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w:t>
            </w:r>
            <w:proofErr w:type="spellStart"/>
            <w:r w:rsidR="001D21AF" w:rsidRPr="0044071E">
              <w:rPr>
                <w:rFonts w:ascii="Tahoma" w:hAnsi="Tahoma" w:cs="Tahoma"/>
                <w:color w:val="000000"/>
                <w:sz w:val="14"/>
                <w:szCs w:val="14"/>
                <w:shd w:val="clear" w:color="auto" w:fill="FFFFFF"/>
                <w:lang w:val="it-IT"/>
              </w:rPr>
              <w:t>Filho</w:t>
            </w:r>
            <w:proofErr w:type="spellEnd"/>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xml:space="preserve">, Leonardo </w:t>
            </w:r>
            <w:proofErr w:type="spellStart"/>
            <w:r w:rsidR="00964A45">
              <w:rPr>
                <w:rFonts w:ascii="Tahoma" w:hAnsi="Tahoma" w:cs="Tahoma"/>
                <w:color w:val="000000"/>
                <w:sz w:val="14"/>
                <w:szCs w:val="14"/>
                <w:shd w:val="clear" w:color="auto" w:fill="FFFFFF"/>
                <w:lang w:val="it-IT"/>
              </w:rPr>
              <w:t>Tognotti</w:t>
            </w:r>
            <w:proofErr w:type="spellEnd"/>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footerReference w:type="default" r:id="rId10"/>
          <w:type w:val="continuous"/>
          <w:pgSz w:w="11906" w:h="16838" w:code="9"/>
          <w:pgMar w:top="1701" w:right="1418" w:bottom="1701" w:left="1701" w:header="1701" w:footer="0" w:gutter="0"/>
          <w:cols w:space="708"/>
          <w:titlePg/>
          <w:docGrid w:linePitch="360"/>
        </w:sectPr>
      </w:pPr>
    </w:p>
    <w:p w14:paraId="2E667253" w14:textId="494A1569" w:rsidR="00E978D0" w:rsidRPr="00B57B36" w:rsidRDefault="00E61255" w:rsidP="00E978D0">
      <w:pPr>
        <w:pStyle w:val="CETTitle"/>
      </w:pPr>
      <w:r>
        <w:t>Elucidating the effects of superficial gas velocity on Poly(3-hydroxybutyrate) production</w:t>
      </w:r>
      <w:r w:rsidR="00600535" w:rsidRPr="00B57B36">
        <w:t xml:space="preserve"> </w:t>
      </w:r>
    </w:p>
    <w:p w14:paraId="3257A74C" w14:textId="77777777" w:rsidR="00E61255" w:rsidRPr="00656D01" w:rsidRDefault="00E61255" w:rsidP="00E61255">
      <w:pPr>
        <w:pStyle w:val="CETAuthors"/>
        <w:rPr>
          <w:lang w:val="it-IT"/>
        </w:rPr>
      </w:pPr>
      <w:r w:rsidRPr="00656D01">
        <w:rPr>
          <w:lang w:val="it-IT"/>
        </w:rPr>
        <w:t>Claudia Amabile</w:t>
      </w:r>
      <w:r w:rsidRPr="00656D01">
        <w:rPr>
          <w:vertAlign w:val="superscript"/>
          <w:lang w:val="it-IT"/>
        </w:rPr>
        <w:t>a</w:t>
      </w:r>
      <w:r w:rsidRPr="00656D01">
        <w:rPr>
          <w:lang w:val="it-IT"/>
        </w:rPr>
        <w:t>, Teresa Abate</w:t>
      </w:r>
      <w:r w:rsidRPr="00656D01">
        <w:rPr>
          <w:vertAlign w:val="superscript"/>
          <w:lang w:val="it-IT"/>
        </w:rPr>
        <w:t>a</w:t>
      </w:r>
      <w:r w:rsidRPr="00656D01">
        <w:rPr>
          <w:lang w:val="it-IT"/>
        </w:rPr>
        <w:t>, Carmen De Crescenzo</w:t>
      </w:r>
      <w:r w:rsidRPr="00656D01">
        <w:rPr>
          <w:vertAlign w:val="superscript"/>
          <w:lang w:val="it-IT"/>
        </w:rPr>
        <w:t>a,*</w:t>
      </w:r>
      <w:r w:rsidRPr="00656D01">
        <w:rPr>
          <w:lang w:val="it-IT"/>
        </w:rPr>
        <w:t>, Simona Sabbarese</w:t>
      </w:r>
      <w:r w:rsidRPr="00656D01">
        <w:rPr>
          <w:vertAlign w:val="superscript"/>
          <w:lang w:val="it-IT"/>
        </w:rPr>
        <w:t>a</w:t>
      </w:r>
      <w:r w:rsidRPr="00656D01">
        <w:rPr>
          <w:lang w:val="it-IT"/>
        </w:rPr>
        <w:t>, Giuseppe Capece</w:t>
      </w:r>
      <w:r w:rsidRPr="00656D01">
        <w:rPr>
          <w:vertAlign w:val="superscript"/>
          <w:lang w:val="it-IT"/>
        </w:rPr>
        <w:t>b</w:t>
      </w:r>
      <w:r w:rsidRPr="00656D01">
        <w:rPr>
          <w:lang w:val="it-IT"/>
        </w:rPr>
        <w:t>, Renato Ciampa</w:t>
      </w:r>
      <w:r w:rsidRPr="00656D01">
        <w:rPr>
          <w:vertAlign w:val="superscript"/>
          <w:lang w:val="it-IT"/>
        </w:rPr>
        <w:t>c</w:t>
      </w:r>
      <w:r w:rsidRPr="00656D01">
        <w:rPr>
          <w:lang w:val="it-IT"/>
        </w:rPr>
        <w:t>, Simeone Chianese</w:t>
      </w:r>
      <w:r w:rsidRPr="00656D01">
        <w:rPr>
          <w:vertAlign w:val="superscript"/>
          <w:lang w:val="it-IT"/>
        </w:rPr>
        <w:t>a</w:t>
      </w:r>
      <w:r w:rsidRPr="00656D01">
        <w:rPr>
          <w:lang w:val="it-IT"/>
        </w:rPr>
        <w:t>, Dino Musmarra</w:t>
      </w:r>
      <w:r w:rsidRPr="00656D01">
        <w:rPr>
          <w:vertAlign w:val="superscript"/>
          <w:lang w:val="it-IT"/>
        </w:rPr>
        <w:t>a</w:t>
      </w:r>
    </w:p>
    <w:p w14:paraId="67B9DE55" w14:textId="77777777" w:rsidR="00E61255" w:rsidRPr="00656D01" w:rsidRDefault="00E61255" w:rsidP="00E61255">
      <w:pPr>
        <w:pStyle w:val="CETAddress"/>
        <w:rPr>
          <w:lang w:val="it-IT"/>
        </w:rPr>
      </w:pPr>
      <w:r w:rsidRPr="00656D01">
        <w:rPr>
          <w:vertAlign w:val="superscript"/>
          <w:lang w:val="it-IT"/>
        </w:rPr>
        <w:t>a</w:t>
      </w:r>
      <w:r w:rsidRPr="00656D01">
        <w:rPr>
          <w:lang w:val="it-IT"/>
        </w:rPr>
        <w:t xml:space="preserve">Department of Engineering, University of Campania “Luigi Vanvitelli”, Via Roma 29, 81031, Aversa, Italy </w:t>
      </w:r>
    </w:p>
    <w:p w14:paraId="609346E8" w14:textId="77777777" w:rsidR="00E61255" w:rsidRDefault="00E61255" w:rsidP="00E61255">
      <w:pPr>
        <w:pStyle w:val="CETemail"/>
        <w:spacing w:after="0"/>
        <w:rPr>
          <w:rStyle w:val="CETAddressCarattere"/>
          <w:lang w:val="it-IT"/>
        </w:rPr>
      </w:pPr>
      <w:r w:rsidRPr="00656D01">
        <w:rPr>
          <w:rStyle w:val="CETAddressCarattere"/>
          <w:vertAlign w:val="superscript"/>
          <w:lang w:val="it-IT"/>
        </w:rPr>
        <w:t>b</w:t>
      </w:r>
      <w:r w:rsidRPr="00656D01">
        <w:rPr>
          <w:rStyle w:val="CETAddressCarattere"/>
          <w:lang w:val="it-IT"/>
        </w:rPr>
        <w:t>Progest S.r.l., Zona ASI Aversa-Nord, Via della Stazione s.n.c., CE, Gricignano d'Aversa, 81030, Italy</w:t>
      </w:r>
    </w:p>
    <w:p w14:paraId="0D141EEE" w14:textId="77777777" w:rsidR="00E61255" w:rsidRPr="006C2144" w:rsidRDefault="00E61255" w:rsidP="00E61255">
      <w:pPr>
        <w:pStyle w:val="CETemail"/>
        <w:spacing w:after="0"/>
        <w:rPr>
          <w:lang w:val="it-IT"/>
        </w:rPr>
      </w:pPr>
      <w:r w:rsidRPr="006C2144">
        <w:rPr>
          <w:szCs w:val="16"/>
          <w:vertAlign w:val="superscript"/>
          <w:lang w:val="it-IT"/>
        </w:rPr>
        <w:t>c</w:t>
      </w:r>
      <w:r w:rsidRPr="006C2144">
        <w:rPr>
          <w:lang w:val="it-IT"/>
        </w:rPr>
        <w:t xml:space="preserve">Centro Diagnostico Baronia S.r.l., Località Taverna Annibale SNC, Area PIP, Lotto n°7, AV, Frigento, 83040, Italy </w:t>
      </w:r>
      <w:r>
        <w:rPr>
          <w:lang w:val="it-IT"/>
        </w:rPr>
        <w:t xml:space="preserve"> </w:t>
      </w:r>
    </w:p>
    <w:p w14:paraId="2C50F8CE" w14:textId="33B931B4" w:rsidR="00E61255" w:rsidRDefault="00113F4C" w:rsidP="00E61255">
      <w:pPr>
        <w:pStyle w:val="CETemail"/>
      </w:pPr>
      <w:hyperlink r:id="rId11" w:history="1">
        <w:r w:rsidR="002448E9" w:rsidRPr="00697FA7">
          <w:rPr>
            <w:rStyle w:val="Collegamentoipertestuale"/>
          </w:rPr>
          <w:t>carmen.decrescenzo@unicampania.it</w:t>
        </w:r>
      </w:hyperlink>
    </w:p>
    <w:p w14:paraId="37A61FCE" w14:textId="23C80DCA" w:rsidR="00DA24C6" w:rsidRPr="00770290" w:rsidRDefault="00E61255" w:rsidP="00E61255">
      <w:pPr>
        <w:pStyle w:val="CETBodytext"/>
        <w:rPr>
          <w:sz w:val="16"/>
        </w:rPr>
      </w:pPr>
      <w:proofErr w:type="spellStart"/>
      <w:r w:rsidRPr="00E61255">
        <w:t>Polyhydroxyalkanoates</w:t>
      </w:r>
      <w:proofErr w:type="spellEnd"/>
      <w:r w:rsidRPr="00E61255">
        <w:t xml:space="preserve"> (PHAs) are a very promising alternative to traditional plastic materials since they are biobased and can degrade in soil, </w:t>
      </w:r>
      <w:r w:rsidR="002C3BA7" w:rsidRPr="00E61255">
        <w:t>water,</w:t>
      </w:r>
      <w:r w:rsidRPr="00E61255">
        <w:t xml:space="preserve"> and sediments. Among all the existing PHAs, Poly-3-hydroxybutyrate (PHB) is the most well-known homopolymer. However, to the current state, </w:t>
      </w:r>
      <w:r w:rsidRPr="00770290">
        <w:t>PHAs represent only about 2% of the total bioplastics produced because their diffusion on a large scale is still limited</w:t>
      </w:r>
      <w:r w:rsidR="000C1BBC" w:rsidRPr="00770290">
        <w:t xml:space="preserve"> due</w:t>
      </w:r>
      <w:r w:rsidRPr="00770290">
        <w:t xml:space="preserve"> to</w:t>
      </w:r>
      <w:r w:rsidRPr="00E61255">
        <w:t xml:space="preserve"> their high market price. Techno-economic assessments showed that raw materials, such as sugars and oils account for up to 40% of the total costs. </w:t>
      </w:r>
      <w:r>
        <w:t xml:space="preserve">In this work, an innovative PHB production process scheme is presented. The expensive carbon sources are replaced by methane, which is cheap, abundant, and can be found as natural gas and in the biogas derived from the anaerobic digestion, thus allowing an integrated biorefinery. Process simulations were carried out to estimate the Poly-3-hydroxybutyrate production yields. Two aerobic fermentations were simulated into 400L semi-continuous reactors: the first for biomass growth in the presence of micro and macro-nutrients; the </w:t>
      </w:r>
      <w:r w:rsidRPr="00770290">
        <w:t xml:space="preserve">second for the PHB accumulation in a nutrient-deprived medium. Since both the biomass growth and PHB accumulation reactions take place in the liquid phase, the mass transfer from a gas to a liquid need to be </w:t>
      </w:r>
      <w:proofErr w:type="spellStart"/>
      <w:r w:rsidR="00F1647C" w:rsidRPr="00770290">
        <w:t>maximised</w:t>
      </w:r>
      <w:proofErr w:type="spellEnd"/>
      <w:r w:rsidR="00F1647C" w:rsidRPr="00770290">
        <w:t xml:space="preserve"> </w:t>
      </w:r>
      <w:r w:rsidRPr="00770290">
        <w:t>to increase biopolymer production. In this context, the effects of the superficial gas velocity (</w:t>
      </w:r>
      <w:r w:rsidRPr="00770290">
        <w:rPr>
          <w:i/>
          <w:iCs/>
        </w:rPr>
        <w:t>U</w:t>
      </w:r>
      <w:r w:rsidRPr="00770290">
        <w:rPr>
          <w:i/>
          <w:iCs/>
          <w:sz w:val="16"/>
          <w:szCs w:val="16"/>
        </w:rPr>
        <w:t>g</w:t>
      </w:r>
      <w:r w:rsidRPr="00770290">
        <w:t xml:space="preserve">) on the mass transfer rates and PHB yields were assessed. Several values of </w:t>
      </w:r>
      <w:r w:rsidRPr="00770290">
        <w:rPr>
          <w:i/>
          <w:iCs/>
        </w:rPr>
        <w:t>U</w:t>
      </w:r>
      <w:r w:rsidRPr="00770290">
        <w:rPr>
          <w:i/>
          <w:iCs/>
          <w:sz w:val="16"/>
          <w:szCs w:val="16"/>
        </w:rPr>
        <w:t>g</w:t>
      </w:r>
      <w:r w:rsidRPr="00770290">
        <w:t>, in the range 0.004 to 0.027 m s</w:t>
      </w:r>
      <w:r w:rsidRPr="00770290">
        <w:rPr>
          <w:sz w:val="16"/>
          <w:szCs w:val="16"/>
          <w:vertAlign w:val="superscript"/>
        </w:rPr>
        <w:t>-</w:t>
      </w:r>
      <w:r w:rsidRPr="00770290">
        <w:rPr>
          <w:sz w:val="13"/>
          <w:szCs w:val="13"/>
          <w:vertAlign w:val="superscript"/>
        </w:rPr>
        <w:t>1</w:t>
      </w:r>
      <w:r w:rsidRPr="00770290">
        <w:t>, that does not limit the viability of the cells, were tested. The PHB production increased with the superficial gas velocity.</w:t>
      </w:r>
    </w:p>
    <w:p w14:paraId="476B2F2E" w14:textId="0262D1D6" w:rsidR="00600535" w:rsidRPr="00770290" w:rsidRDefault="00600535" w:rsidP="00600535">
      <w:pPr>
        <w:pStyle w:val="CETHeading1"/>
        <w:rPr>
          <w:lang w:val="en-GB"/>
        </w:rPr>
      </w:pPr>
      <w:r w:rsidRPr="00770290">
        <w:rPr>
          <w:lang w:val="en-GB"/>
        </w:rPr>
        <w:t>Introduction</w:t>
      </w:r>
    </w:p>
    <w:p w14:paraId="2418AB07" w14:textId="1FC5C17F" w:rsidR="00DC6F67" w:rsidRPr="00770290" w:rsidRDefault="0083658B" w:rsidP="0083658B">
      <w:r w:rsidRPr="00770290">
        <w:rPr>
          <w:lang w:eastAsia="en-GB"/>
        </w:rPr>
        <w:t xml:space="preserve">Fossil-based plastics represent one of the major causes of </w:t>
      </w:r>
      <w:r w:rsidR="007C45EF" w:rsidRPr="00770290">
        <w:rPr>
          <w:lang w:eastAsia="en-GB"/>
        </w:rPr>
        <w:t xml:space="preserve">environmental </w:t>
      </w:r>
      <w:r w:rsidRPr="00770290">
        <w:rPr>
          <w:lang w:eastAsia="en-GB"/>
        </w:rPr>
        <w:t>pollution</w:t>
      </w:r>
      <w:r w:rsidR="002B029A" w:rsidRPr="00770290">
        <w:rPr>
          <w:lang w:eastAsia="en-GB"/>
        </w:rPr>
        <w:t xml:space="preserve"> </w:t>
      </w:r>
      <w:r w:rsidR="00253D47" w:rsidRPr="00770290">
        <w:rPr>
          <w:lang w:eastAsia="en-GB"/>
        </w:rPr>
        <w:fldChar w:fldCharType="begin" w:fldLock="1"/>
      </w:r>
      <w:r w:rsidR="000A4B5D" w:rsidRPr="00770290">
        <w:rPr>
          <w:lang w:eastAsia="en-GB"/>
        </w:rPr>
        <w:instrText>ADDIN CSL_CITATION {"citationItems":[{"id":"ITEM-1","itemData":{"ISSN":"13309862","abstract":"The industrial implementation of cost- and eco-efficient production of bio-based polymeric materials such as polyhydroxyalkanoates (PHAs) or polylactic acid (PLA) requires the comprehension of all process steps. The article at hand provides an insight into recent advances in allocation, pretreatment and utilization of raw materials available for biopolymer production in different areas of the world. Further, the high potential and risks of applying continuous process conduction in comparison with batch and fed-batch fermentation mode are elucidated. It is shown that the process design for continuous PHA production strongly depends on the kinetic characteristics for growth and product formation of the applied production strain. In addition, the triggering of the biopolymer properties by fine-tuning of the polyester composition during biosynthesis is demonstrated. Here, the impact of certain process parameters like the partial oxygen tension on the intracellular metabolic fluxes and the supplementation of cosubstrates on the polyester composition are discussed. In addition, such specialists among microbes are presented that possess the metabolic prerequisites to accumulate high-quality copolyesters merely from cheap unrelated carbon sources without the necessity for supplying expensive cosubstrates. In the field of downstream processing, sustainable methods for product isolation during biopolymer production that do not have a negative influence on the environment are presented.","author":[{"dropping-particle":"","family":"Koller","given":"Martin","non-dropping-particle":"","parse-names":false,"suffix":""},{"dropping-particle":"","family":"Salerno","given":"Anna","non-dropping-particle":"","parse-names":false,"suffix":""},{"dropping-particle":"","family":"Dias","given":"Miguel","non-dropping-particle":"","parse-names":false,"suffix":""},{"dropping-particle":"","family":"Reiterer","given":"Angelika","non-dropping-particle":"","parse-names":false,"suffix":""},{"dropping-particle":"","family":"Braunegg","given":"Gerhart","non-dropping-particle":"","parse-names":false,"suffix":""}],"container-title":"Food Technology and Biotechnology","id":"ITEM-1","issue":"3","issued":{"date-parts":[["2010"]]},"page":"255-269","title":"Modern biotechnological polymer synthesis: A review","type":"article-journal","volume":"48"},"uris":["http://www.mendeley.com/documents/?uuid=de9e7fa6-e36a-4ace-bfb8-1d18e810de8d"]}],"mendeley":{"formattedCitation":"(Koller et al., 2010)","plainTextFormattedCitation":"(Koller et al., 2010)","previouslyFormattedCitation":"(Koller et al., 2010)"},"properties":{"noteIndex":0},"schema":"https://github.com/citation-style-language/schema/raw/master/csl-citation.json"}</w:instrText>
      </w:r>
      <w:r w:rsidR="00253D47" w:rsidRPr="00770290">
        <w:rPr>
          <w:lang w:eastAsia="en-GB"/>
        </w:rPr>
        <w:fldChar w:fldCharType="separate"/>
      </w:r>
      <w:r w:rsidR="000A4B5D" w:rsidRPr="00770290">
        <w:rPr>
          <w:noProof/>
          <w:lang w:eastAsia="en-GB"/>
        </w:rPr>
        <w:t>(Koller et al., 2010)</w:t>
      </w:r>
      <w:r w:rsidR="00253D47" w:rsidRPr="00770290">
        <w:rPr>
          <w:lang w:eastAsia="en-GB"/>
        </w:rPr>
        <w:fldChar w:fldCharType="end"/>
      </w:r>
      <w:r w:rsidRPr="00770290">
        <w:rPr>
          <w:lang w:eastAsia="en-GB"/>
        </w:rPr>
        <w:t xml:space="preserve">. </w:t>
      </w:r>
      <w:r w:rsidR="007F2114" w:rsidRPr="00770290">
        <w:rPr>
          <w:lang w:eastAsia="en-GB"/>
        </w:rPr>
        <w:t>B</w:t>
      </w:r>
      <w:r w:rsidR="006A7627" w:rsidRPr="00770290">
        <w:rPr>
          <w:lang w:eastAsia="en-GB"/>
        </w:rPr>
        <w:t xml:space="preserve">iopolymers such as </w:t>
      </w:r>
      <w:proofErr w:type="spellStart"/>
      <w:r w:rsidR="00340898" w:rsidRPr="00770290">
        <w:rPr>
          <w:lang w:eastAsia="en-GB"/>
        </w:rPr>
        <w:t>P</w:t>
      </w:r>
      <w:r w:rsidR="0028197D" w:rsidRPr="00770290">
        <w:rPr>
          <w:lang w:eastAsia="en-GB"/>
        </w:rPr>
        <w:t>olyhydroxyalkanoates</w:t>
      </w:r>
      <w:proofErr w:type="spellEnd"/>
      <w:r w:rsidR="0028197D" w:rsidRPr="00770290">
        <w:rPr>
          <w:lang w:eastAsia="en-GB"/>
        </w:rPr>
        <w:t xml:space="preserve"> (PHAs) might represent an effective solution</w:t>
      </w:r>
      <w:r w:rsidR="007F2114" w:rsidRPr="00770290">
        <w:rPr>
          <w:lang w:eastAsia="en-GB"/>
        </w:rPr>
        <w:t xml:space="preserve"> in this regard</w:t>
      </w:r>
      <w:r w:rsidR="0028197D" w:rsidRPr="00770290">
        <w:rPr>
          <w:lang w:eastAsia="en-GB"/>
        </w:rPr>
        <w:t xml:space="preserve"> since they are biodegradable</w:t>
      </w:r>
      <w:r w:rsidR="009D1190" w:rsidRPr="00770290">
        <w:rPr>
          <w:lang w:eastAsia="en-GB"/>
        </w:rPr>
        <w:t xml:space="preserve">, </w:t>
      </w:r>
      <w:r w:rsidR="0028197D" w:rsidRPr="00770290">
        <w:rPr>
          <w:lang w:eastAsia="en-GB"/>
        </w:rPr>
        <w:t xml:space="preserve">can be produced biologically by many </w:t>
      </w:r>
      <w:r w:rsidR="00340898" w:rsidRPr="00770290">
        <w:rPr>
          <w:lang w:eastAsia="en-GB"/>
        </w:rPr>
        <w:t>microorganisms</w:t>
      </w:r>
      <w:r w:rsidR="009D1190" w:rsidRPr="00770290">
        <w:rPr>
          <w:lang w:eastAsia="en-GB"/>
        </w:rPr>
        <w:t xml:space="preserve"> </w:t>
      </w:r>
      <w:r w:rsidR="007F2114" w:rsidRPr="00770290">
        <w:rPr>
          <w:lang w:eastAsia="en-GB"/>
        </w:rPr>
        <w:t xml:space="preserve">and are suitable to </w:t>
      </w:r>
      <w:r w:rsidR="004D75B3" w:rsidRPr="00770290">
        <w:rPr>
          <w:lang w:eastAsia="en-GB"/>
        </w:rPr>
        <w:t xml:space="preserve">be </w:t>
      </w:r>
      <w:r w:rsidR="007F2114" w:rsidRPr="00770290">
        <w:rPr>
          <w:lang w:eastAsia="en-GB"/>
        </w:rPr>
        <w:t>use</w:t>
      </w:r>
      <w:r w:rsidR="004D75B3" w:rsidRPr="00770290">
        <w:rPr>
          <w:lang w:eastAsia="en-GB"/>
        </w:rPr>
        <w:t>d</w:t>
      </w:r>
      <w:r w:rsidR="007F2114" w:rsidRPr="00770290">
        <w:rPr>
          <w:lang w:eastAsia="en-GB"/>
        </w:rPr>
        <w:t xml:space="preserve"> in </w:t>
      </w:r>
      <w:r w:rsidR="00340898" w:rsidRPr="00770290">
        <w:rPr>
          <w:lang w:eastAsia="en-GB"/>
        </w:rPr>
        <w:t xml:space="preserve">several sectors, </w:t>
      </w:r>
      <w:r w:rsidR="009D1190" w:rsidRPr="00770290">
        <w:rPr>
          <w:lang w:eastAsia="en-GB"/>
        </w:rPr>
        <w:t>such as medi</w:t>
      </w:r>
      <w:r w:rsidR="00340898" w:rsidRPr="00770290">
        <w:rPr>
          <w:lang w:eastAsia="en-GB"/>
        </w:rPr>
        <w:t>cine</w:t>
      </w:r>
      <w:r w:rsidR="009D1190" w:rsidRPr="00770290">
        <w:rPr>
          <w:lang w:eastAsia="en-GB"/>
        </w:rPr>
        <w:t>, packaging, electronic and agriculture</w:t>
      </w:r>
      <w:r w:rsidR="006A7627" w:rsidRPr="00770290">
        <w:rPr>
          <w:lang w:eastAsia="en-GB"/>
        </w:rPr>
        <w:t>,</w:t>
      </w:r>
      <w:r w:rsidR="009D1190" w:rsidRPr="00770290">
        <w:rPr>
          <w:lang w:eastAsia="en-GB"/>
        </w:rPr>
        <w:t xml:space="preserve"> among the others</w:t>
      </w:r>
      <w:r w:rsidR="00F73F09" w:rsidRPr="00770290">
        <w:rPr>
          <w:lang w:eastAsia="en-GB"/>
        </w:rPr>
        <w:t xml:space="preserve"> </w:t>
      </w:r>
      <w:r w:rsidR="00F73F09" w:rsidRPr="00770290">
        <w:rPr>
          <w:lang w:eastAsia="en-GB"/>
        </w:rPr>
        <w:fldChar w:fldCharType="begin" w:fldLock="1"/>
      </w:r>
      <w:r w:rsidR="000A4B5D" w:rsidRPr="00770290">
        <w:rPr>
          <w:lang w:eastAsia="en-GB"/>
        </w:rPr>
        <w:instrText>ADDIN CSL_CITATION {"citationItems":[{"id":"ITEM-1","itemData":{"DOI":"10.1002/(sici)1097-0290(19960105)49:1&lt;1::aid-bit1&gt;3.0.co;2-p","ISSN":"0006-3592","PMID":"18623547","abstract":"Polyhydroxyalkanoates (PHAs) are polyesters of hydroxyalkanoates (HAs) synthesized by numerous bacteria as intracellular carbon and energy storage compounds and accumulated as granules in the cytoplasm of cells. More than 80 HAs have been detected as constituents of PHAs, which allows these thermoplastic materials to have various mechanical properties resembling hard crystalline polymer or elastic rubber depending on the incorporated monomer units. Even though PHAs have been recognized as good candidates for biodegradable plastics, their high price compared with conventional plastics has limited their use in a wide range of applications. A number of bacteria including Alcaligenes eutrophus, Alcaligenes latus, Azotobacter vinelandii, methylotrophs, pseudomonads, and recombinant Escherichia coli have been employed for the production of PHAs, and the productivity of greater than 2 g PHA/L/h has been achieved. Recent advances in understanding metabolism, molecular biology, and genetics of the PHA-synthesizing bacteria and cloning of more than 20 different PHA biosynthesis genes allowed construction of various recombinant strains that were able to synthesize polyesters having different monomer units and/or to accumulate much more polymers. Also, genetically engineered plants harboring the bacterial PHA biosynthesis genes are being developed for the economical production of PHAs. Improvements in fermentation/separation technology and the development of bacterial strains or plants that more efficiently synthesize PHAs will bring the costs down to make PHAs competitive with the conventional plastics.","author":[{"dropping-particle":"","family":"Lee","given":"Sang Yup","non-dropping-particle":"","parse-names":false,"suffix":""}],"container-title":"Biotechnology and Bioengineering","id":"ITEM-1","issue":"1","issued":{"date-parts":[["2000"]]},"page":"1-14","title":"Bacterial polyhydroxyalkanoates","type":"article-journal","volume":"49"},"uris":["http://www.mendeley.com/documents/?uuid=d3573e8b-0106-4868-b3f5-85b29635031b"]}],"mendeley":{"formattedCitation":"(Lee, 2000)","manualFormatting":"(Lee, 2000)","plainTextFormattedCitation":"(Lee, 2000)","previouslyFormattedCitation":"(Lee, 2000)"},"properties":{"noteIndex":0},"schema":"https://github.com/citation-style-language/schema/raw/master/csl-citation.json"}</w:instrText>
      </w:r>
      <w:r w:rsidR="00F73F09" w:rsidRPr="00770290">
        <w:rPr>
          <w:lang w:eastAsia="en-GB"/>
        </w:rPr>
        <w:fldChar w:fldCharType="separate"/>
      </w:r>
      <w:r w:rsidR="00F73F09" w:rsidRPr="00770290">
        <w:rPr>
          <w:noProof/>
          <w:lang w:eastAsia="en-GB"/>
        </w:rPr>
        <w:t>(Lee</w:t>
      </w:r>
      <w:r w:rsidR="00BC312A" w:rsidRPr="00770290">
        <w:rPr>
          <w:noProof/>
          <w:lang w:eastAsia="en-GB"/>
        </w:rPr>
        <w:t>,</w:t>
      </w:r>
      <w:r w:rsidR="00F73F09" w:rsidRPr="00770290">
        <w:rPr>
          <w:noProof/>
          <w:lang w:eastAsia="en-GB"/>
        </w:rPr>
        <w:t xml:space="preserve"> 2000)</w:t>
      </w:r>
      <w:r w:rsidR="00F73F09" w:rsidRPr="00770290">
        <w:rPr>
          <w:lang w:eastAsia="en-GB"/>
        </w:rPr>
        <w:fldChar w:fldCharType="end"/>
      </w:r>
      <w:r w:rsidR="0028197D" w:rsidRPr="00770290">
        <w:rPr>
          <w:lang w:eastAsia="en-GB"/>
        </w:rPr>
        <w:t xml:space="preserve">. </w:t>
      </w:r>
      <w:r w:rsidR="00340898" w:rsidRPr="00770290">
        <w:t>To date,</w:t>
      </w:r>
      <w:r w:rsidR="00FD48D5" w:rsidRPr="00770290">
        <w:t xml:space="preserve"> the market price of PHAs is still </w:t>
      </w:r>
      <w:r w:rsidR="006A7627" w:rsidRPr="00770290">
        <w:t xml:space="preserve">much </w:t>
      </w:r>
      <w:r w:rsidR="00FD48D5" w:rsidRPr="00770290">
        <w:t>higher than that of conventional plastics, but</w:t>
      </w:r>
      <w:r w:rsidR="006A7627" w:rsidRPr="00770290">
        <w:t xml:space="preserve"> since the oil price increased in 2003, the interest has been redirected on the industrial expansion of PHAs</w:t>
      </w:r>
      <w:r w:rsidR="002448E8" w:rsidRPr="00770290">
        <w:t xml:space="preserve"> with the aim of </w:t>
      </w:r>
      <w:r w:rsidR="00340898" w:rsidRPr="00770290">
        <w:t>reach</w:t>
      </w:r>
      <w:r w:rsidR="002448E8" w:rsidRPr="00770290">
        <w:t>ing</w:t>
      </w:r>
      <w:r w:rsidR="001E67BE" w:rsidRPr="00770290">
        <w:t xml:space="preserve"> a commercially viable price </w:t>
      </w:r>
      <w:r w:rsidR="00394A14" w:rsidRPr="00770290">
        <w:fldChar w:fldCharType="begin" w:fldLock="1"/>
      </w:r>
      <w:r w:rsidR="000A4B5D" w:rsidRPr="00770290">
        <w:instrText>ADDIN CSL_CITATION {"citationItems":[{"id":"ITEM-1","itemData":{"DOI":"10.1002/(sici)1097-0290(19960105)49:1&lt;1::aid-bit1&gt;3.0.co;2-p","ISSN":"0006-3592","PMID":"18623547","abstract":"Polyhydroxyalkanoates (PHAs) are polyesters of hydroxyalkanoates (HAs) synthesized by numerous bacteria as intracellular carbon and energy storage compounds and accumulated as granules in the cytoplasm of cells. More than 80 HAs have been detected as constituents of PHAs, which allows these thermoplastic materials to have various mechanical properties resembling hard crystalline polymer or elastic rubber depending on the incorporated monomer units. Even though PHAs have been recognized as good candidates for biodegradable plastics, their high price compared with conventional plastics has limited their use in a wide range of applications. A number of bacteria including Alcaligenes eutrophus, Alcaligenes latus, Azotobacter vinelandii, methylotrophs, pseudomonads, and recombinant Escherichia coli have been employed for the production of PHAs, and the productivity of greater than 2 g PHA/L/h has been achieved. Recent advances in understanding metabolism, molecular biology, and genetics of the PHA-synthesizing bacteria and cloning of more than 20 different PHA biosynthesis genes allowed construction of various recombinant strains that were able to synthesize polyesters having different monomer units and/or to accumulate much more polymers. Also, genetically engineered plants harboring the bacterial PHA biosynthesis genes are being developed for the economical production of PHAs. Improvements in fermentation/separation technology and the development of bacterial strains or plants that more efficiently synthesize PHAs will bring the costs down to make PHAs competitive with the conventional plastics.","author":[{"dropping-particle":"","family":"Lee","given":"Sang Yup","non-dropping-particle":"","parse-names":false,"suffix":""}],"container-title":"Biotechnology and Bioengineering","id":"ITEM-1","issue":"1","issued":{"date-parts":[["2000"]]},"page":"1-14","title":"Bacterial polyhydroxyalkanoates","type":"article-journal","volume":"49"},"uris":["http://www.mendeley.com/documents/?uuid=d3573e8b-0106-4868-b3f5-85b29635031b"]}],"mendeley":{"formattedCitation":"(Lee, 2000)","manualFormatting":"(Lee, 2000)","plainTextFormattedCitation":"(Lee, 2000)","previouslyFormattedCitation":"(Lee, 2000)"},"properties":{"noteIndex":0},"schema":"https://github.com/citation-style-language/schema/raw/master/csl-citation.json"}</w:instrText>
      </w:r>
      <w:r w:rsidR="00394A14" w:rsidRPr="00770290">
        <w:fldChar w:fldCharType="separate"/>
      </w:r>
      <w:r w:rsidR="00394A14" w:rsidRPr="00770290">
        <w:rPr>
          <w:noProof/>
        </w:rPr>
        <w:t>(Lee</w:t>
      </w:r>
      <w:r w:rsidR="00BC312A" w:rsidRPr="00770290">
        <w:rPr>
          <w:noProof/>
        </w:rPr>
        <w:t>,</w:t>
      </w:r>
      <w:r w:rsidR="00394A14" w:rsidRPr="00770290">
        <w:rPr>
          <w:noProof/>
        </w:rPr>
        <w:t xml:space="preserve"> 2000)</w:t>
      </w:r>
      <w:r w:rsidR="00394A14" w:rsidRPr="00770290">
        <w:fldChar w:fldCharType="end"/>
      </w:r>
      <w:r w:rsidR="00394A14" w:rsidRPr="00770290">
        <w:t xml:space="preserve">. </w:t>
      </w:r>
      <w:r w:rsidR="00F87E52" w:rsidRPr="00770290">
        <w:t>In this context, s</w:t>
      </w:r>
      <w:r w:rsidR="00253D47" w:rsidRPr="00770290">
        <w:t>everal</w:t>
      </w:r>
      <w:r w:rsidR="001E67BE" w:rsidRPr="00770290">
        <w:t xml:space="preserve"> techno-economic assessments showed that substrates represent </w:t>
      </w:r>
      <w:r w:rsidR="007C45EF" w:rsidRPr="00770290">
        <w:t xml:space="preserve">up to </w:t>
      </w:r>
      <w:r w:rsidR="001E67BE" w:rsidRPr="00770290">
        <w:t>40% of the total production cost</w:t>
      </w:r>
      <w:r w:rsidR="0000357B" w:rsidRPr="00770290">
        <w:t xml:space="preserve"> </w:t>
      </w:r>
      <w:r w:rsidR="0000357B" w:rsidRPr="00770290">
        <w:fldChar w:fldCharType="begin" w:fldLock="1"/>
      </w:r>
      <w:r w:rsidR="000A4B5D" w:rsidRPr="00770290">
        <w:instrText>ADDIN CSL_CITATION {"citationItems":[{"id":"ITEM-1","itemData":{"DOI":"10.1007/s00253-012-4649-0","ISBN":"0025301246490","ISSN":"14320614","PMID":"23306640","abstract":"Polyhydroxybutyrate (PHB) is an attractive substitute for petrochemical plastic due to its similar properties, biocompatibility, and biodegradability. The cost of scaled-up PHB production inhibits its widespread usage. Intensive researches are growing to reduce costs and improve thermomechanical, physical, and processing properties of this green biopolymer. Among cheap substrates which are used for reducing total cost of PHB production, some C1 carbon sources, e.g.; methane, methanol, and CO2 have received a great deal of attention due to their serious role in greenhouse problem. This article reviews the fundamentals of strategies for reducing PHA production and moves on to the applications of several cheap substrates with a special emphasis on methane, methanol, and CO2. Also, some explanation for involved microorganisms including the hydrogen-oxidizing bacteria and methanotrophs, their history, culture condition, and nutritional requirements are given. After description of some important strains among the hydrogen-oxidizing and methanotrophic producers of PHB, the article is focused on limitations, threats, and opportunities for application and their future trends. © 2013 Springer-Verlag Berlin Heidelberg.","author":[{"dropping-particle":"","family":"Khosravi-Darani","given":"Kianoush","non-dropping-particle":"","parse-names":false,"suffix":""},{"dropping-particle":"","family":"Mokhtari","given":"Zahra Beigom","non-dropping-particle":"","parse-names":false,"suffix":""},{"dropping-particle":"","family":"Amai","given":"Tomohito","non-dropping-particle":"","parse-names":false,"suffix":""},{"dropping-particle":"","family":"Tanaka","given":"Kenji","non-dropping-particle":"","parse-names":false,"suffix":""}],"container-title":"Applied Microbiology and Biotechnology","id":"ITEM-1","issue":"4","issued":{"date-parts":[["2013"]]},"page":"1407-1424","title":"Microbial production of poly(hydroxybutyrate) from C1 carbon sources","type":"article-journal","volume":"97"},"uris":["http://www.mendeley.com/documents/?uuid=ebcfa6e9-2610-4e87-b340-ca1dc4db3a76"]}],"mendeley":{"formattedCitation":"(Khosravi-Darani et al., 2013)","manualFormatting":"(Khosravi-Darani et al., 2013)","plainTextFormattedCitation":"(Khosravi-Darani et al., 2013)","previouslyFormattedCitation":"(Khosravi-Darani et al., 2013)"},"properties":{"noteIndex":0},"schema":"https://github.com/citation-style-language/schema/raw/master/csl-citation.json"}</w:instrText>
      </w:r>
      <w:r w:rsidR="0000357B" w:rsidRPr="00770290">
        <w:fldChar w:fldCharType="separate"/>
      </w:r>
      <w:r w:rsidR="00D23F3F" w:rsidRPr="00770290">
        <w:rPr>
          <w:noProof/>
        </w:rPr>
        <w:t>(Khosravi-Darani et al.</w:t>
      </w:r>
      <w:r w:rsidR="00BC312A" w:rsidRPr="00770290">
        <w:rPr>
          <w:noProof/>
        </w:rPr>
        <w:t>,</w:t>
      </w:r>
      <w:r w:rsidR="00D23F3F" w:rsidRPr="00770290">
        <w:rPr>
          <w:noProof/>
        </w:rPr>
        <w:t xml:space="preserve"> 2013)</w:t>
      </w:r>
      <w:r w:rsidR="0000357B" w:rsidRPr="00770290">
        <w:fldChar w:fldCharType="end"/>
      </w:r>
      <w:r w:rsidR="001E67BE" w:rsidRPr="00770290">
        <w:t xml:space="preserve">, thus implying the need for </w:t>
      </w:r>
      <w:r w:rsidR="00EF119C" w:rsidRPr="00770290">
        <w:t xml:space="preserve">cheaper </w:t>
      </w:r>
      <w:r w:rsidR="00340898" w:rsidRPr="00770290">
        <w:t>carbon sources</w:t>
      </w:r>
      <w:r w:rsidR="00B52236" w:rsidRPr="00770290">
        <w:t>,</w:t>
      </w:r>
      <w:r w:rsidR="00340898" w:rsidRPr="00770290">
        <w:t xml:space="preserve"> such as </w:t>
      </w:r>
      <w:r w:rsidR="00EF119C" w:rsidRPr="00770290">
        <w:t>methane</w:t>
      </w:r>
      <w:r w:rsidR="00F73F09" w:rsidRPr="00770290">
        <w:t xml:space="preserve"> </w:t>
      </w:r>
      <w:r w:rsidR="0000357B" w:rsidRPr="00770290">
        <w:fldChar w:fldCharType="begin" w:fldLock="1"/>
      </w:r>
      <w:r w:rsidR="000A4B5D" w:rsidRPr="00770290">
        <w:instrText>ADDIN CSL_CITATION {"citationItems":[{"id":"ITEM-1","itemData":{"DOI":"10.1016/j.biortech.2012.12.129","ISSN":"18732976","abstract":"In this study, modeling is used to describe how oxygen and nitrogen source affect the stoichiometry and kinetics of growth and PHB production in the Type II methanotrophs Methylosinus trichosporium OB3b and Methylocystis parvus OBBP. Significant differences were observed, with major implications for the use of these species in biotechnology applications. Such analyses can better inform bioreactor design, scale-up models, and life cycle assessments (LCAs). © 2012 .","author":[{"dropping-particle":"","family":"Rostkowski","given":"Katherine H.","non-dropping-particle":"","parse-names":false,"suffix":""},{"dropping-particle":"","family":"Pfluger","given":"Andrew R.","non-dropping-particle":"","parse-names":false,"suffix":""},{"dropping-particle":"","family":"Criddle","given":"Craig S.","non-dropping-particle":"","parse-names":false,"suffix":""}],"container-title":"Bioresource Technology","id":"ITEM-1","issued":{"date-parts":[["2013"]]},"page":"71-77","title":"Stoichiometry and kinetics of the PHB-producing Type II methanotrophs Methylosinus trichosporium OB3b and Methylocystis parvus OBBP","type":"article-journal","volume":"132"},"uris":["http://www.mendeley.com/documents/?uuid=c1d42080-ea64-4fb3-b5f2-fb55b7af72d6"]}],"mendeley":{"formattedCitation":"(Rostkowski et al., 2013)","manualFormatting":"(Rostkowski et al., 2013)","plainTextFormattedCitation":"(Rostkowski et al., 2013)","previouslyFormattedCitation":"(Rostkowski et al., 2013)"},"properties":{"noteIndex":0},"schema":"https://github.com/citation-style-language/schema/raw/master/csl-citation.json"}</w:instrText>
      </w:r>
      <w:r w:rsidR="0000357B" w:rsidRPr="00770290">
        <w:fldChar w:fldCharType="separate"/>
      </w:r>
      <w:r w:rsidR="0000357B" w:rsidRPr="00770290">
        <w:rPr>
          <w:noProof/>
        </w:rPr>
        <w:t>(Rostkowski</w:t>
      </w:r>
      <w:r w:rsidR="002C3BA7" w:rsidRPr="00770290">
        <w:rPr>
          <w:noProof/>
        </w:rPr>
        <w:t xml:space="preserve"> et al.</w:t>
      </w:r>
      <w:r w:rsidR="00BC312A" w:rsidRPr="00770290">
        <w:rPr>
          <w:noProof/>
        </w:rPr>
        <w:t>,</w:t>
      </w:r>
      <w:r w:rsidR="0000357B" w:rsidRPr="00770290">
        <w:rPr>
          <w:noProof/>
        </w:rPr>
        <w:t xml:space="preserve"> 2013)</w:t>
      </w:r>
      <w:r w:rsidR="0000357B" w:rsidRPr="00770290">
        <w:fldChar w:fldCharType="end"/>
      </w:r>
      <w:r w:rsidR="00EF119C" w:rsidRPr="00770290">
        <w:t>.</w:t>
      </w:r>
      <w:r w:rsidR="004548FD" w:rsidRPr="00770290">
        <w:t xml:space="preserve"> </w:t>
      </w:r>
      <w:r w:rsidR="002C3BA7" w:rsidRPr="00770290">
        <w:t xml:space="preserve">This natural gas </w:t>
      </w:r>
      <w:r w:rsidR="00F1647C" w:rsidRPr="00770290">
        <w:t xml:space="preserve">is </w:t>
      </w:r>
      <w:r w:rsidR="002C3BA7" w:rsidRPr="00770290">
        <w:t>particularly</w:t>
      </w:r>
      <w:r w:rsidR="00596157" w:rsidRPr="00770290">
        <w:t xml:space="preserve"> suitable for the production of </w:t>
      </w:r>
      <w:proofErr w:type="spellStart"/>
      <w:r w:rsidR="00596157" w:rsidRPr="00770290">
        <w:t>Polyhydroxyalkanoates</w:t>
      </w:r>
      <w:proofErr w:type="spellEnd"/>
      <w:r w:rsidR="00F87E52" w:rsidRPr="00770290">
        <w:t xml:space="preserve"> and</w:t>
      </w:r>
      <w:r w:rsidR="00596157" w:rsidRPr="00770290">
        <w:t xml:space="preserve"> can be assimilated as the sole carbon source by </w:t>
      </w:r>
      <w:r w:rsidR="00F87E52" w:rsidRPr="00770290">
        <w:t>Type II methanotrophs</w:t>
      </w:r>
      <w:r w:rsidR="00394A14" w:rsidRPr="00770290">
        <w:t xml:space="preserve">. </w:t>
      </w:r>
      <w:r w:rsidR="00394A14" w:rsidRPr="00770290">
        <w:fldChar w:fldCharType="begin" w:fldLock="1"/>
      </w:r>
      <w:r w:rsidR="000A4B5D" w:rsidRPr="00770290">
        <w:instrText>ADDIN CSL_CITATION {"citationItems":[{"id":"ITEM-1","itemData":{"DOI":"10.21859/ijb.1866","ISSN":"23222921","abstract":"Background: The utilization of methane for production of Poly-β-hydroxybutyrate (PHB) not only cuts the emissions of greenhouse gases but also greatly reduces PHB production cost. Objectives: The aim of this study was to determine the effects of gas-phase conditions on PHB production by Methylosinus trichosporium OB3b. Materials and Methods: Bacterial cultivation and PHB production were conducted in a series of sealed serum bottles. Nitrogen-free mineral salts medium was used to induce PHB production in the presence or absence of N2 in the headspace. Results: In the absence of N2, the highest PHB content (i.e., 52.9% of the dry cell weight with a PHB concentration of 814.3 mg.L-1) was obtained at a ratio of CH4:O2=2:1. Further study at different O2 concentrations with a fixed CH4 partial pressure in absence of N2 showed that PHB accumulation by methanotroph could be tolerated high oxygen partial pressure and its respond to the variation of the oxygen concentration depends on the methane partial pressure. In presence of N2, with headspace gas replenished only when oxygen was almost depleted, the degradation of intracellular PHB has appeared. In the regimen of updating headspace gas at the point when the PHB content began to decrease, the highest PHB content (i.e., 55.5% of the dry cell weight with 901.8 mg.L-1 PHB concentration and 12.5 mg.L-1.h-1PHB productivity) was obtained at 0.2 atm O2 and PHB accumulation was depressed with an oxygen concentration greater than 0.3 atm. Conclusions: The methanotroph responses differentially to the increase in the oxygen partial pressure with regard to PHB accumulation either in the presence or in the absence of N2.","author":[{"dropping-particle":"","family":"Zhang","given":"Tingting","non-dropping-particle":"","parse-names":false,"suffix":""},{"dropping-particle":"","family":"Zhou","given":"Jiti","non-dropping-particle":"","parse-names":false,"suffix":""},{"dropping-particle":"","family":"Wang","given":"Xiaowei","non-dropping-particle":"","parse-names":false,"suffix":""},{"dropping-particle":"","family":"Zhang","given":"Yu","non-dropping-particle":"","parse-names":false,"suffix":""}],"container-title":"Iranian Journal of Biotechnology","id":"ITEM-1","issue":"1","issued":{"date-parts":[["2019"]]},"page":"10-16","title":"Poly-β-hydroxybutyrate production by Methylosinus trichosporium ob3b at different gas-phase conditions","type":"article-journal","volume":"17"},"uris":["http://www.mendeley.com/documents/?uuid=d0b36251-63a0-4ee9-abb4-55c3de70b28b"]}],"mendeley":{"formattedCitation":"(Zhang et al., 2019)","manualFormatting":"Zhang et al. (2019)","plainTextFormattedCitation":"(Zhang et al., 2019)","previouslyFormattedCitation":"(Zhang et al., 2019)"},"properties":{"noteIndex":0},"schema":"https://github.com/citation-style-language/schema/raw/master/csl-citation.json"}</w:instrText>
      </w:r>
      <w:r w:rsidR="00394A14" w:rsidRPr="00770290">
        <w:fldChar w:fldCharType="separate"/>
      </w:r>
      <w:r w:rsidR="00394A14" w:rsidRPr="00770290">
        <w:rPr>
          <w:noProof/>
        </w:rPr>
        <w:t xml:space="preserve">Zhang et al. </w:t>
      </w:r>
      <w:r w:rsidR="000C1BBC" w:rsidRPr="00770290">
        <w:rPr>
          <w:noProof/>
        </w:rPr>
        <w:t>(</w:t>
      </w:r>
      <w:r w:rsidR="00394A14" w:rsidRPr="00770290">
        <w:rPr>
          <w:noProof/>
        </w:rPr>
        <w:t>2019)</w:t>
      </w:r>
      <w:r w:rsidR="00394A14" w:rsidRPr="00770290">
        <w:fldChar w:fldCharType="end"/>
      </w:r>
      <w:r w:rsidR="00394A14" w:rsidRPr="00770290">
        <w:t xml:space="preserve">, </w:t>
      </w:r>
      <w:r w:rsidR="00AB646C" w:rsidRPr="00770290">
        <w:t>for example,</w:t>
      </w:r>
      <w:r w:rsidR="002C3BA7" w:rsidRPr="00770290">
        <w:t xml:space="preserve"> </w:t>
      </w:r>
      <w:r w:rsidR="0027021D" w:rsidRPr="00770290">
        <w:t xml:space="preserve">reported </w:t>
      </w:r>
      <w:r w:rsidR="004548FD" w:rsidRPr="00770290">
        <w:t xml:space="preserve">up to 55% w/w of PHAs when using methane </w:t>
      </w:r>
      <w:r w:rsidR="0014354D" w:rsidRPr="00770290">
        <w:t>as substrate</w:t>
      </w:r>
      <w:r w:rsidR="004548FD" w:rsidRPr="00770290">
        <w:t xml:space="preserve">; </w:t>
      </w:r>
      <w:r w:rsidR="00ED2837" w:rsidRPr="00770290">
        <w:t xml:space="preserve">others </w:t>
      </w:r>
      <w:r w:rsidR="0027021D" w:rsidRPr="00770290">
        <w:t xml:space="preserve">obtained 25 %w/w of PHB </w:t>
      </w:r>
      <w:r w:rsidR="00ED2837" w:rsidRPr="00770290">
        <w:t xml:space="preserve">in a bubble column </w:t>
      </w:r>
      <w:r w:rsidR="0027021D" w:rsidRPr="00770290">
        <w:t>when operating in</w:t>
      </w:r>
      <w:r w:rsidR="00F1647C" w:rsidRPr="00770290">
        <w:t xml:space="preserve"> the</w:t>
      </w:r>
      <w:r w:rsidR="0027021D" w:rsidRPr="00770290">
        <w:t xml:space="preserve"> presence of methane </w:t>
      </w:r>
      <w:r w:rsidR="0027021D" w:rsidRPr="00770290">
        <w:fldChar w:fldCharType="begin" w:fldLock="1"/>
      </w:r>
      <w:r w:rsidR="000A4B5D" w:rsidRPr="00770290">
        <w:instrText>ADDIN CSL_CITATION {"citationItems":[{"id":"ITEM-1","itemData":{"DOI":"10.15255/CABEQ.2017.1263","ISSN":"18465153","abstract":"Reducing the total cost of poly(3-hydroxybutyrate) (PHB) production as an attractive substitute for conventional petrochemical plastics still remains an unsolved problem. The aim of this research was the screening of PHB-producing microorganisms and selection of the best suitable medium for microbial growth and PHB production from methane. A new isolated methanotroph for PHB production from natural gas was studied in different media. After selection of the suitable medium, the effect of five process variables (content of nitrogen source, disodium hydrogen phosphate, methane to air ratio, seed age, and pH) on PHB production was investigated in a bubble column bioreactor. Also, hydrodynamic and mass transfer factors (flow regime, mixing time, gas hold up, and kLa) were considered. At optimum operating conditions and engineering parameters in a bubble column, PHB content in the dried biomass reached 25 % w/w. The results showed that pH is the most important variable in the selected conditions.","author":[{"dropping-particle":"","family":"Khosravi-Darani","given":"K.","non-dropping-particle":"","parse-names":false,"suffix":""},{"dropping-particle":"","family":"Yazdian","given":"F.","non-dropping-particle":"","parse-names":false,"suffix":""},{"dropping-particle":"","family":"Babapour","given":"F.","non-dropping-particle":"","parse-names":false,"suffix":""},{"dropping-particle":"","family":"Amirsadeghi","given":"A. R.","non-dropping-particle":"","parse-names":false,"suffix":""}],"container-title":"Chemical and Biochemical Engineering Quarterly","id":"ITEM-1","issue":"1","issued":{"date-parts":[["2019"]]},"page":"69-77","title":"Poly(3-hydroxybutyrate) production from natural gas by a methanotroph native bacterium in a bubble column bioreactor","type":"article-journal","volume":"33"},"uris":["http://www.mendeley.com/documents/?uuid=38eeda19-de55-48fa-987c-6e6a806dc31a"]}],"mendeley":{"formattedCitation":"(Khosravi-Darani et al., 2019)","manualFormatting":"( Khosravi-Darani et al., 2019)","plainTextFormattedCitation":"(Khosravi-Darani et al., 2019)","previouslyFormattedCitation":"(Khosravi-Darani et al., 2019)"},"properties":{"noteIndex":0},"schema":"https://github.com/citation-style-language/schema/raw/master/csl-citation.json"}</w:instrText>
      </w:r>
      <w:r w:rsidR="0027021D" w:rsidRPr="00770290">
        <w:fldChar w:fldCharType="separate"/>
      </w:r>
      <w:r w:rsidR="0027021D" w:rsidRPr="00770290">
        <w:rPr>
          <w:noProof/>
        </w:rPr>
        <w:t>( Khosravi-Darani et al.</w:t>
      </w:r>
      <w:r w:rsidR="00BC312A" w:rsidRPr="00770290">
        <w:rPr>
          <w:noProof/>
        </w:rPr>
        <w:t>,</w:t>
      </w:r>
      <w:r w:rsidR="0027021D" w:rsidRPr="00770290">
        <w:rPr>
          <w:noProof/>
        </w:rPr>
        <w:t xml:space="preserve"> 2019)</w:t>
      </w:r>
      <w:r w:rsidR="0027021D" w:rsidRPr="00770290">
        <w:fldChar w:fldCharType="end"/>
      </w:r>
      <w:r w:rsidR="0027021D" w:rsidRPr="00770290">
        <w:t xml:space="preserve">; still, the use of </w:t>
      </w:r>
      <w:r w:rsidR="0014354D" w:rsidRPr="00770290">
        <w:t>CH</w:t>
      </w:r>
      <w:r w:rsidR="0014354D" w:rsidRPr="00770290">
        <w:rPr>
          <w:vertAlign w:val="subscript"/>
        </w:rPr>
        <w:t>4</w:t>
      </w:r>
      <w:r w:rsidR="0027021D" w:rsidRPr="00770290">
        <w:t xml:space="preserve"> lead to 35.6% w/w of PHB </w:t>
      </w:r>
      <w:r w:rsidR="004975A5" w:rsidRPr="00770290">
        <w:fldChar w:fldCharType="begin" w:fldLock="1"/>
      </w:r>
      <w:r w:rsidR="004975A5" w:rsidRPr="00770290">
        <w:instrText>ADDIN CSL_CITATION {"citationItems":[{"id":"ITEM-1","itemData":{"DOI":"10.3303/CET1868074","ISBN":"9788895608655","ISSN":"22839216","abstract":"This work aimed at optimizing the removal of diluted CH4 emissions (4 % v/v) by decoupling the actual gas residence time from the overall empty bed residence time (EBRT) in a continuous bubble column bioreactor (BCB) inoculated with Methylocystis hirsuta. Different EBRTs (120, 60, 30 and 15 min) were tested along with six internal gas-recycling ratios (QR/Q = 0, 2, 3, 6, 10 and 15, where QR is the recycling gas flow rate and Q the inlet gas flow rate treated). The results showed a CH4 elimination capacity of 35.2 ± 0.4 g m-3 h-1 (RE=72.9 ± 0.5 %) at an EBRT of 30 min and QR/Q of 15, which was identified as the optimum operating conditions in terms of CH4 abatement. The production of poly-3-hydroxybutyrate (PHB) was initially evaluated batchwise, in experiments limiting micro and macro nutrients such as K, Mn, N, and N with excess of Fe. Nitrogen starvation resulted in the highest PHB accumulation (28.0 ± 1.2 %) batchwise. Based on these results, nine sequential N feast-famine cycles were implemented in the BCB operating at an EBRT of 30 min and a QR/Q of 15. N starvation resulted in a gradual increase in the PHB content from 0.4 ± 0.0 % to 25.7 ± 0.1 % in the first cycle and up to 37.2 ± 2.0 % from the fifth cycle onwards. PHB productivities remained roughly constant during operation under N feast-famine cycles at 1.82-2.23 kg m-3 d-1, which corresponded to specific PHB productivities ranging from 15.9 to 21.6 mg PHB gX-1 h-1.","author":[{"dropping-particle":"","family":"García-Pérez","given":"Teresa","non-dropping-particle":"","parse-names":false,"suffix":""},{"dropping-particle":"","family":"López","given":"Juan C.","non-dropping-particle":"","parse-names":false,"suffix":""},{"dropping-particle":"","family":"Passos","given":"Fabiana","non-dropping-particle":"","parse-names":false,"suffix":""},{"dropping-particle":"","family":"Lebrero","given":"Raquel","non-dropping-particle":"","parse-names":false,"suffix":""},{"dropping-particle":"","family":"Revah","given":"Sergio","non-dropping-particle":"","parse-names":false,"suffix":""},{"dropping-particle":"","family":"Muñoz","given":"Raúl","non-dropping-particle":"","parse-names":false,"suffix":""}],"container-title":"Chemical Engineering Transactions","id":"ITEM-1","issued":{"date-parts":[["2018"]]},"page":"439-444","title":"Optimization of CH4 removal from diluted emissions and continuous PHB production by methylocystis hirsuta: Towards GHG biorefineries","type":"article-journal","volume":"68"},"uris":["http://www.mendeley.com/documents/?uuid=accb8699-a99b-4e43-8ff6-a117aa396fdd"]}],"mendeley":{"formattedCitation":"(García-Pérez et al., 2018)","plainTextFormattedCitation":"(García-Pérez et al., 2018)"},"properties":{"noteIndex":0},"schema":"https://github.com/citation-style-language/schema/raw/master/csl-citation.json"}</w:instrText>
      </w:r>
      <w:r w:rsidR="004975A5" w:rsidRPr="00770290">
        <w:fldChar w:fldCharType="separate"/>
      </w:r>
      <w:r w:rsidR="004975A5" w:rsidRPr="00770290">
        <w:rPr>
          <w:noProof/>
        </w:rPr>
        <w:t>(García-Pérez et al., 2018)</w:t>
      </w:r>
      <w:r w:rsidR="004975A5" w:rsidRPr="00770290">
        <w:fldChar w:fldCharType="end"/>
      </w:r>
      <w:r w:rsidR="004975A5" w:rsidRPr="00770290">
        <w:t xml:space="preserve">. </w:t>
      </w:r>
      <w:r w:rsidR="00AB646C" w:rsidRPr="00770290">
        <w:t>However, when dealing with methane, one of the major obstacles</w:t>
      </w:r>
      <w:r w:rsidR="0016771D" w:rsidRPr="00770290">
        <w:t xml:space="preserve"> in PHAs </w:t>
      </w:r>
      <w:r w:rsidR="00F87E52" w:rsidRPr="00770290">
        <w:t xml:space="preserve">production processes </w:t>
      </w:r>
      <w:r w:rsidR="0016771D" w:rsidRPr="00770290">
        <w:t>is the low solubility of the substrate, which limits its availability in the culture medium. In fact,</w:t>
      </w:r>
      <w:r w:rsidR="00EF119C" w:rsidRPr="00770290">
        <w:t xml:space="preserve"> </w:t>
      </w:r>
      <w:r w:rsidR="0016771D" w:rsidRPr="00770290">
        <w:t>d</w:t>
      </w:r>
      <w:r w:rsidR="00AB646C" w:rsidRPr="00770290">
        <w:t xml:space="preserve">uring the process, both bacteria growth and PHAs accumulation reactions take place into the liquid phase, </w:t>
      </w:r>
      <w:r w:rsidR="00F87E52" w:rsidRPr="00770290">
        <w:t>but</w:t>
      </w:r>
      <w:r w:rsidR="00AB646C" w:rsidRPr="00770290">
        <w:t xml:space="preserve"> the main reactants (</w:t>
      </w:r>
      <w:proofErr w:type="gramStart"/>
      <w:r w:rsidR="00AB646C" w:rsidRPr="00770290">
        <w:t>i.e.</w:t>
      </w:r>
      <w:proofErr w:type="gramEnd"/>
      <w:r w:rsidR="00AB646C" w:rsidRPr="00770290">
        <w:t xml:space="preserve"> </w:t>
      </w:r>
      <w:r w:rsidR="00AB646C" w:rsidRPr="00770290">
        <w:lastRenderedPageBreak/>
        <w:t xml:space="preserve">methane and oxygen) are fed </w:t>
      </w:r>
      <w:r w:rsidR="004D75B3" w:rsidRPr="00770290">
        <w:t xml:space="preserve">as </w:t>
      </w:r>
      <w:r w:rsidR="00AB646C" w:rsidRPr="00770290">
        <w:t xml:space="preserve">a gas stream and need to be transferred to the liquid to be </w:t>
      </w:r>
      <w:r w:rsidR="00F1647C" w:rsidRPr="00770290">
        <w:t xml:space="preserve">metabolised </w:t>
      </w:r>
      <w:r w:rsidR="00AB646C" w:rsidRPr="00770290">
        <w:t xml:space="preserve">by the selected strain. In other terms, process yields are linked to the mass transfer conditions. In this context, high superficial gas velocities </w:t>
      </w:r>
      <w:r w:rsidR="00112A9D" w:rsidRPr="00770290">
        <w:t>(</w:t>
      </w:r>
      <w:r w:rsidR="00112A9D" w:rsidRPr="00770290">
        <w:rPr>
          <w:i/>
          <w:iCs/>
        </w:rPr>
        <w:t>U</w:t>
      </w:r>
      <w:r w:rsidR="00112A9D" w:rsidRPr="00770290">
        <w:rPr>
          <w:i/>
          <w:iCs/>
          <w:vertAlign w:val="subscript"/>
        </w:rPr>
        <w:t>g</w:t>
      </w:r>
      <w:r w:rsidR="00112A9D" w:rsidRPr="00770290">
        <w:t xml:space="preserve">) </w:t>
      </w:r>
      <w:r w:rsidR="00AB646C" w:rsidRPr="00770290">
        <w:t xml:space="preserve">can enhance the </w:t>
      </w:r>
      <w:r w:rsidR="00F87E52" w:rsidRPr="00770290">
        <w:t>methane</w:t>
      </w:r>
      <w:r w:rsidR="00AB646C" w:rsidRPr="00770290">
        <w:t xml:space="preserve"> mass transfer, thus improving biomass and PHB </w:t>
      </w:r>
      <w:r w:rsidR="0014354D" w:rsidRPr="00770290">
        <w:t>yields</w:t>
      </w:r>
      <w:r w:rsidR="00AB646C" w:rsidRPr="00770290">
        <w:t xml:space="preserve"> </w:t>
      </w:r>
      <w:r w:rsidR="00AB646C" w:rsidRPr="00770290">
        <w:fldChar w:fldCharType="begin" w:fldLock="1"/>
      </w:r>
      <w:r w:rsidR="000A4B5D" w:rsidRPr="00770290">
        <w:instrText>ADDIN CSL_CITATION {"citationItems":[{"id":"ITEM-1","itemData":{"author":[{"dropping-particle":"","family":"Toma","given":"M K","non-dropping-particle":"","parse-names":false,"suffix":""},{"dropping-particle":"","family":"Systems","given":"Fermentation","non-dropping-particle":"","parse-names":false,"suffix":""}],"id":"ITEM-1","issued":{"date-parts":[["1991"]]},"page":"552-556","title":"Inhibition of microbial growth and metabolism by excess turbulence","type":"article-journal","volume":"38"},"uris":["http://www.mendeley.com/documents/?uuid=c5c3276f-89b3-4562-b62f-001ab9468a60"]}],"mendeley":{"formattedCitation":"(Toma and Systems, 1991)","manualFormatting":"(Toma and Systems, 1991)","plainTextFormattedCitation":"(Toma and Systems, 1991)","previouslyFormattedCitation":"(Toma and Systems, 1991)"},"properties":{"noteIndex":0},"schema":"https://github.com/citation-style-language/schema/raw/master/csl-citation.json"}</w:instrText>
      </w:r>
      <w:r w:rsidR="00AB646C" w:rsidRPr="00770290">
        <w:fldChar w:fldCharType="separate"/>
      </w:r>
      <w:r w:rsidR="00AB646C" w:rsidRPr="00770290">
        <w:rPr>
          <w:noProof/>
        </w:rPr>
        <w:t>(Toma and Systems</w:t>
      </w:r>
      <w:r w:rsidR="00BC312A" w:rsidRPr="00770290">
        <w:rPr>
          <w:noProof/>
        </w:rPr>
        <w:t>,</w:t>
      </w:r>
      <w:r w:rsidR="00AB646C" w:rsidRPr="00770290">
        <w:rPr>
          <w:noProof/>
        </w:rPr>
        <w:t xml:space="preserve"> 1991)</w:t>
      </w:r>
      <w:r w:rsidR="00AB646C" w:rsidRPr="00770290">
        <w:fldChar w:fldCharType="end"/>
      </w:r>
      <w:r w:rsidR="00AB646C" w:rsidRPr="00770290">
        <w:t>. Anyway, despite this could be an attractive aspect when designing the PHB production process</w:t>
      </w:r>
      <w:r w:rsidR="00F1647C" w:rsidRPr="00770290">
        <w:t>,</w:t>
      </w:r>
      <w:r w:rsidR="00AB646C" w:rsidRPr="00770290">
        <w:t xml:space="preserve"> it should be noted that, if </w:t>
      </w:r>
      <w:r w:rsidR="00AB646C" w:rsidRPr="00770290">
        <w:rPr>
          <w:i/>
          <w:iCs/>
        </w:rPr>
        <w:t>U</w:t>
      </w:r>
      <w:r w:rsidR="00AB646C" w:rsidRPr="00770290">
        <w:rPr>
          <w:i/>
          <w:iCs/>
          <w:vertAlign w:val="subscript"/>
        </w:rPr>
        <w:t>g</w:t>
      </w:r>
      <w:r w:rsidR="00AB646C" w:rsidRPr="00770290">
        <w:t xml:space="preserve"> overcome</w:t>
      </w:r>
      <w:r w:rsidR="004D75B3" w:rsidRPr="00770290">
        <w:t>s</w:t>
      </w:r>
      <w:r w:rsidR="00AB646C" w:rsidRPr="00770290">
        <w:t xml:space="preserve"> the limit from the transition to the turbulent regime, </w:t>
      </w:r>
      <w:r w:rsidR="004042D2" w:rsidRPr="00770290">
        <w:t xml:space="preserve">the shear forces induced by the turbulence can compromise </w:t>
      </w:r>
      <w:r w:rsidR="00AB646C" w:rsidRPr="00770290">
        <w:t xml:space="preserve">the viability of the biomass </w:t>
      </w:r>
      <w:r w:rsidR="001D5320" w:rsidRPr="00770290">
        <w:t>(</w:t>
      </w:r>
      <w:r w:rsidR="00AB646C" w:rsidRPr="00770290">
        <w:fldChar w:fldCharType="begin" w:fldLock="1"/>
      </w:r>
      <w:r w:rsidR="000A4B5D" w:rsidRPr="00770290">
        <w:instrText>ADDIN CSL_CITATION {"citationItems":[{"id":"ITEM-1","itemData":{"author":[{"dropping-particle":"","family":"García-Pérez Teresa, C.López Juan, Passos Fabiana, Lebrero Raquel, Revah Sergio","given":"Muñoz Raul","non-dropping-particle":"","parse-names":false,"suffix":""}],"container-title":"Chemical Engineering Journal","id":"ITEM-1","issued":{"date-parts":[["2018"]]},"page":"691-697","title":"Simultaneous methane abatement and PHB production by Methylocystis hirsuta in a novel gas-recycling bubble column bioreactor","type":"article-journal","volume":"334"},"uris":["http://www.mendeley.com/documents/?uuid=612dd36a-3279-47e4-bddf-67a9c12ad4b2"]}],"mendeley":{"formattedCitation":"(García-Pérez Teresa, C.López Juan, Passos Fabiana, Lebrero Raquel, Revah Sergio, 2018)","manualFormatting":"García-Pérez et al., 2018)","plainTextFormattedCitation":"(García-Pérez Teresa, C.López Juan, Passos Fabiana, Lebrero Raquel, Revah Sergio, 2018)","previouslyFormattedCitation":"(García-Pérez Teresa, C.López Juan, Passos Fabiana, Lebrero Raquel, Revah Sergio, 2018)"},"properties":{"noteIndex":0},"schema":"https://github.com/citation-style-language/schema/raw/master/csl-citation.json"}</w:instrText>
      </w:r>
      <w:r w:rsidR="00AB646C" w:rsidRPr="00770290">
        <w:fldChar w:fldCharType="separate"/>
      </w:r>
      <w:r w:rsidR="005410E3" w:rsidRPr="00770290">
        <w:rPr>
          <w:noProof/>
        </w:rPr>
        <w:t>García-Pérez et al.</w:t>
      </w:r>
      <w:r w:rsidR="00BC312A" w:rsidRPr="00770290">
        <w:rPr>
          <w:noProof/>
        </w:rPr>
        <w:t>,</w:t>
      </w:r>
      <w:r w:rsidR="005410E3" w:rsidRPr="00770290">
        <w:rPr>
          <w:noProof/>
        </w:rPr>
        <w:t xml:space="preserve"> 2018)</w:t>
      </w:r>
      <w:r w:rsidR="00AB646C" w:rsidRPr="00770290">
        <w:fldChar w:fldCharType="end"/>
      </w:r>
      <w:r w:rsidR="00AB646C" w:rsidRPr="00770290">
        <w:t xml:space="preserve">. </w:t>
      </w:r>
      <w:r w:rsidR="00527766" w:rsidRPr="00770290">
        <w:t>In fact, b</w:t>
      </w:r>
      <w:r w:rsidR="00AB646C" w:rsidRPr="00770290">
        <w:t xml:space="preserve">iological processes are operated at low superficial gas velocities </w:t>
      </w:r>
      <w:r w:rsidR="002448E8" w:rsidRPr="00770290">
        <w:t>(</w:t>
      </w:r>
      <w:r w:rsidR="00AB646C" w:rsidRPr="00770290">
        <w:t>in the order of 10</w:t>
      </w:r>
      <w:r w:rsidR="00AB646C" w:rsidRPr="00770290">
        <w:rPr>
          <w:vertAlign w:val="superscript"/>
        </w:rPr>
        <w:t>-2</w:t>
      </w:r>
      <w:r w:rsidR="00AB646C" w:rsidRPr="00770290">
        <w:t>-10</w:t>
      </w:r>
      <w:r w:rsidR="00AB646C" w:rsidRPr="00770290">
        <w:rPr>
          <w:vertAlign w:val="superscript"/>
        </w:rPr>
        <w:t>-3</w:t>
      </w:r>
      <w:r w:rsidR="00AB646C" w:rsidRPr="00770290">
        <w:t xml:space="preserve"> ms</w:t>
      </w:r>
      <w:r w:rsidR="00AB646C" w:rsidRPr="00770290">
        <w:rPr>
          <w:vertAlign w:val="superscript"/>
        </w:rPr>
        <w:t>-1</w:t>
      </w:r>
      <w:r w:rsidR="002448E8" w:rsidRPr="00770290">
        <w:t>)</w:t>
      </w:r>
      <w:r w:rsidR="0016771D" w:rsidRPr="00770290">
        <w:t xml:space="preserve"> to avoid turbulent flows.</w:t>
      </w:r>
      <w:r w:rsidR="00AB646C" w:rsidRPr="00770290">
        <w:t xml:space="preserve"> </w:t>
      </w:r>
      <w:r w:rsidR="0016771D" w:rsidRPr="00770290">
        <w:t>F</w:t>
      </w:r>
      <w:r w:rsidR="00AB646C" w:rsidRPr="00770290">
        <w:t xml:space="preserve">or </w:t>
      </w:r>
      <w:r w:rsidR="0016771D" w:rsidRPr="00770290">
        <w:t>instance</w:t>
      </w:r>
      <w:r w:rsidR="00AB646C" w:rsidRPr="00770290">
        <w:t xml:space="preserve">, </w:t>
      </w:r>
      <w:r w:rsidR="00394A14" w:rsidRPr="00770290">
        <w:fldChar w:fldCharType="begin" w:fldLock="1"/>
      </w:r>
      <w:r w:rsidR="000A4B5D" w:rsidRPr="00770290">
        <w:instrText>ADDIN CSL_CITATION {"citationItems":[{"id":"ITEM-1","itemData":{"DOI":"10.1016/j.biortech.2007.02.012","author":[{"dropping-particle":"","family":"Yoon","given":"Jong Hyun","non-dropping-particle":"","parse-names":false,"suffix":""},{"dropping-particle":"","family":"Shin","given":"Jong-hwan","non-dropping-particle":"","parse-names":false,"suffix":""},{"dropping-particle":"","family":"Park","given":"Tai Hyun","non-dropping-particle":"","parse-names":false,"suffix":""}],"id":"ITEM-1","issued":{"date-parts":[["2008"]]},"page":"1204-1210","title":"Characterization of factors influencing the growth of Anabaena variabilis in a bubble column reactor","type":"article-journal","volume":"99"},"uris":["http://www.mendeley.com/documents/?uuid=972db034-c3ce-44e5-8ce5-5697c85f26df"]}],"mendeley":{"formattedCitation":"(Yoon et al., 2008)","manualFormatting":"Yoon and Park (2008)","plainTextFormattedCitation":"(Yoon et al., 2008)","previouslyFormattedCitation":"(Yoon et al., 2008)"},"properties":{"noteIndex":0},"schema":"https://github.com/citation-style-language/schema/raw/master/csl-citation.json"}</w:instrText>
      </w:r>
      <w:r w:rsidR="00394A14" w:rsidRPr="00770290">
        <w:fldChar w:fldCharType="separate"/>
      </w:r>
      <w:r w:rsidR="00394A14" w:rsidRPr="00770290">
        <w:rPr>
          <w:noProof/>
        </w:rPr>
        <w:t>Yoon and Park (2008)</w:t>
      </w:r>
      <w:r w:rsidR="00394A14" w:rsidRPr="00770290">
        <w:fldChar w:fldCharType="end"/>
      </w:r>
      <w:r w:rsidR="00AB646C" w:rsidRPr="00770290">
        <w:t xml:space="preserve"> demonstrated that the best condition for batch culture of </w:t>
      </w:r>
      <w:proofErr w:type="spellStart"/>
      <w:r w:rsidR="00AB646C" w:rsidRPr="00770290">
        <w:rPr>
          <w:i/>
          <w:iCs/>
        </w:rPr>
        <w:t>Anabena</w:t>
      </w:r>
      <w:proofErr w:type="spellEnd"/>
      <w:r w:rsidR="00AB646C" w:rsidRPr="00770290">
        <w:rPr>
          <w:i/>
          <w:iCs/>
        </w:rPr>
        <w:t xml:space="preserve"> variabilis</w:t>
      </w:r>
      <w:r w:rsidR="00AB646C" w:rsidRPr="00770290">
        <w:t xml:space="preserve"> in bubble column was</w:t>
      </w:r>
      <w:r w:rsidR="004D75B3" w:rsidRPr="00770290">
        <w:t xml:space="preserve"> to operate with </w:t>
      </w:r>
      <w:r w:rsidR="009542D6" w:rsidRPr="00770290">
        <w:t xml:space="preserve">a </w:t>
      </w:r>
      <w:r w:rsidR="004D75B3" w:rsidRPr="00770290">
        <w:t>superficial gas velocity of</w:t>
      </w:r>
      <w:r w:rsidR="00AB646C" w:rsidRPr="00770290">
        <w:t xml:space="preserve"> 0.02 ms</w:t>
      </w:r>
      <w:r w:rsidR="00AB646C" w:rsidRPr="00770290">
        <w:rPr>
          <w:vertAlign w:val="superscript"/>
        </w:rPr>
        <w:t>-1</w:t>
      </w:r>
      <w:r w:rsidR="00AB646C" w:rsidRPr="00770290">
        <w:t>;</w:t>
      </w:r>
      <w:r w:rsidR="005410E3" w:rsidRPr="00770290">
        <w:t xml:space="preserve"> </w:t>
      </w:r>
      <w:r w:rsidR="005410E3" w:rsidRPr="00770290">
        <w:fldChar w:fldCharType="begin" w:fldLock="1"/>
      </w:r>
      <w:r w:rsidR="000A4B5D" w:rsidRPr="00770290">
        <w:instrText>ADDIN CSL_CITATION {"citationItems":[{"id":"ITEM-1","itemData":{"DOI":"10.1002/bit.10657","ISSN":"00063592","PMID":"12740938","abstract":"The effect of high superficial gas velocities in continuous and batch cultures of the strains Dunaliella tertiolecta, Chlamydomonas reinhardtii wild-type and cell wall-lacking mutant was studied in bubble columns. No cell damage was found for D. tertiolecta and C. reinhardtii (wild-type) up to superficial gas velocities of 0.076 and 0.085 m s-1, respectively, suggesting that high superficial gas velocities alone cannot be responsible for cell death and, consequently, bubble bursting cannot be the sole cause for cell injury. A death rate of 0.46 ± 0,08 h-1 was found for C. reinhardtii (cell wall-lacking mutant) at a superficial gas velocity of 0.076 m s-1, and increased to 1.01 ± 0.29 h-1 on increasing superficial gas velocity to 0.085 m s-1. Shear sensitivity is thus strain-dependent and to some extent the cell wall plays a role in the protection against hydrodynamic shear. When studying the effect of bubble formation at the sparger in batch cultures of D. tertiolecta by varying the number of nozzles, a death rate of 0.047 ± 0.016 h-1 was obtained at high gas entrance velocities. D. tertiolecta was cultivated in a pilot-plant reactor under different superficial gas velocities of up to 0.026 m s-1, with relatively low gas entrance velocities and no cell damage was observed. There is some indication that the main parameter causing cell death and damage was the gas entrance velocity at the sparger. © 2003 Wiley Periodicals, Inc.","author":[{"dropping-particle":"","family":"Barbosa","given":"Maria J.","non-dropping-particle":"","parse-names":false,"suffix":""},{"dropping-particle":"","family":"Albrecht","given":"Marco","non-dropping-particle":"","parse-names":false,"suffix":""},{"dropping-particle":"","family":"Wijffels","given":"René H.","non-dropping-particle":"","parse-names":false,"suffix":""}],"container-title":"Biotechnology and Bioengineering","id":"ITEM-1","issue":"1","issued":{"date-parts":[["2003"]]},"page":"112-120","title":"Hydrodynamic stress and lethal events in sparged microalgae cultures","type":"article-journal","volume":"83"},"uris":["http://www.mendeley.com/documents/?uuid=a462032f-d7e2-44a3-a61a-db4ac35c8883"]}],"mendeley":{"formattedCitation":"(Barbosa et al., 2003)","manualFormatting":"Barbosa et al. (2003)","plainTextFormattedCitation":"(Barbosa et al., 2003)","previouslyFormattedCitation":"(Barbosa et al., 2003)"},"properties":{"noteIndex":0},"schema":"https://github.com/citation-style-language/schema/raw/master/csl-citation.json"}</w:instrText>
      </w:r>
      <w:r w:rsidR="005410E3" w:rsidRPr="00770290">
        <w:fldChar w:fldCharType="separate"/>
      </w:r>
      <w:r w:rsidR="005410E3" w:rsidRPr="00770290">
        <w:rPr>
          <w:noProof/>
        </w:rPr>
        <w:t>Barbosa et al. (2003)</w:t>
      </w:r>
      <w:r w:rsidR="005410E3" w:rsidRPr="00770290">
        <w:fldChar w:fldCharType="end"/>
      </w:r>
      <w:r w:rsidR="00AB646C" w:rsidRPr="00770290">
        <w:t xml:space="preserve"> reported that the death rate was higher than </w:t>
      </w:r>
      <w:r w:rsidR="001D5320" w:rsidRPr="00770290">
        <w:t>zero</w:t>
      </w:r>
      <w:r w:rsidR="00AB646C" w:rsidRPr="00770290">
        <w:t xml:space="preserve"> for </w:t>
      </w:r>
      <w:r w:rsidR="00AB646C" w:rsidRPr="00770290">
        <w:rPr>
          <w:i/>
          <w:iCs/>
        </w:rPr>
        <w:t>D.</w:t>
      </w:r>
      <w:r w:rsidR="004D75B3" w:rsidRPr="00770290">
        <w:rPr>
          <w:i/>
          <w:iCs/>
        </w:rPr>
        <w:t xml:space="preserve"> </w:t>
      </w:r>
      <w:proofErr w:type="spellStart"/>
      <w:r w:rsidR="00AB646C" w:rsidRPr="00770290">
        <w:rPr>
          <w:i/>
          <w:iCs/>
        </w:rPr>
        <w:t>tertioleta</w:t>
      </w:r>
      <w:proofErr w:type="spellEnd"/>
      <w:r w:rsidR="00AB646C" w:rsidRPr="00770290">
        <w:t xml:space="preserve"> when working at</w:t>
      </w:r>
      <w:r w:rsidR="004D75B3" w:rsidRPr="00770290">
        <w:rPr>
          <w:i/>
          <w:iCs/>
        </w:rPr>
        <w:t xml:space="preserve"> U</w:t>
      </w:r>
      <w:r w:rsidR="004D75B3" w:rsidRPr="00770290">
        <w:rPr>
          <w:i/>
          <w:iCs/>
          <w:vertAlign w:val="subscript"/>
        </w:rPr>
        <w:t>g</w:t>
      </w:r>
      <w:r w:rsidR="00AB646C" w:rsidRPr="00770290">
        <w:t xml:space="preserve"> </w:t>
      </w:r>
      <w:r w:rsidR="004D75B3" w:rsidRPr="00770290">
        <w:t xml:space="preserve">= </w:t>
      </w:r>
      <w:r w:rsidR="00AB646C" w:rsidRPr="00770290">
        <w:t>0.03</w:t>
      </w:r>
      <w:r w:rsidR="005410E3" w:rsidRPr="00770290">
        <w:t>4</w:t>
      </w:r>
      <w:r w:rsidR="00AB646C" w:rsidRPr="00770290">
        <w:t xml:space="preserve"> ms</w:t>
      </w:r>
      <w:r w:rsidR="00AB646C" w:rsidRPr="00770290">
        <w:rPr>
          <w:vertAlign w:val="superscript"/>
        </w:rPr>
        <w:t>-1</w:t>
      </w:r>
      <w:r w:rsidR="005410E3" w:rsidRPr="00770290">
        <w:t xml:space="preserve">. </w:t>
      </w:r>
      <w:r w:rsidR="002448E8" w:rsidRPr="00770290">
        <w:t xml:space="preserve">In </w:t>
      </w:r>
      <w:r w:rsidR="001D5320" w:rsidRPr="00770290">
        <w:t>view of the above statements</w:t>
      </w:r>
      <w:r w:rsidR="002448E8" w:rsidRPr="00770290">
        <w:t xml:space="preserve">, </w:t>
      </w:r>
      <w:r w:rsidR="006A7627" w:rsidRPr="00770290">
        <w:t xml:space="preserve">major investments </w:t>
      </w:r>
      <w:r w:rsidR="001D5320" w:rsidRPr="00770290">
        <w:t>were</w:t>
      </w:r>
      <w:r w:rsidR="006A7627" w:rsidRPr="00770290">
        <w:t xml:space="preserve"> paid to provide the development of efficient fermentation </w:t>
      </w:r>
      <w:r w:rsidR="00ED2837" w:rsidRPr="00770290">
        <w:t>strategies</w:t>
      </w:r>
      <w:r w:rsidR="0061743A" w:rsidRPr="00770290">
        <w:t xml:space="preserve"> </w:t>
      </w:r>
      <w:r w:rsidR="007F2114" w:rsidRPr="00770290">
        <w:fldChar w:fldCharType="begin" w:fldLock="1"/>
      </w:r>
      <w:r w:rsidR="000A4B5D" w:rsidRPr="00770290">
        <w:instrText>ADDIN CSL_CITATION {"citationItems":[{"id":"ITEM-1","itemData":{"DOI":"10.1007/s00253-008-1757-y","ISSN":"01757598","PMID":"19002455","abstract":"Production of polyhydroxyalkanoates (PHA) by mixed cultures has been widely studied in the last decade. Storage of PHA by mixed microbial cultures occurs under transient conditions of carbon or oxygen availability, known respectively as aerobic dynamic feeding and anaerobic/aerobic process. In these processes, PHA-accumulating organisms, which are quite diverse in terms of phenotype, are selected by the dynamic operating conditions imposed to the reactor. The stability of these processes during long-time operation and the similarity of the polymer physical/chemical properties to the one produced by pure cultures were demonstrated. This process could be implemented at industrial scale, providing that some technological aspects are solved. This review summarizes the relevant research carried out with mixed cultures for PHA production, with main focus on the use of wastes or industrial surplus as feedstocks. Basic concepts, regarding the metabolism and microbiology, and technological approaches, with emphasis on the kind of feedstock and reactor operating conditions for culture selection and PHA accumulation, are described. Challenges for the process optimization are also discussed. © 2008 Springer-Verlag.","author":[{"dropping-particle":"","family":"Serafim","given":"Luisa S.","non-dropping-particle":"","parse-names":false,"suffix":""},{"dropping-particle":"","family":"Lemos","given":"Paulo C.","non-dropping-particle":"","parse-names":false,"suffix":""},{"dropping-particle":"","family":"Albuquerque","given":"Maria G.E.","non-dropping-particle":"","parse-names":false,"suffix":""},{"dropping-particle":"","family":"Reis","given":"Maria A.M.","non-dropping-particle":"","parse-names":false,"suffix":""}],"container-title":"Applied Microbiology and Biotechnology","id":"ITEM-1","issue":"4","issued":{"date-parts":[["2008"]]},"page":"615-628","title":"Strategies for PHA production by mixed cultures and renewable waste materials","type":"article-journal","volume":"81"},"uris":["http://www.mendeley.com/documents/?uuid=8388dc2f-5f56-45e6-ae83-0e60d74d11c5"]}],"mendeley":{"formattedCitation":"(Serafim et al., 2008)","manualFormatting":"(Serafim et al., 2008)","plainTextFormattedCitation":"(Serafim et al., 2008)","previouslyFormattedCitation":"(Serafim et al., 2008)"},"properties":{"noteIndex":0},"schema":"https://github.com/citation-style-language/schema/raw/master/csl-citation.json"}</w:instrText>
      </w:r>
      <w:r w:rsidR="007F2114" w:rsidRPr="00770290">
        <w:fldChar w:fldCharType="separate"/>
      </w:r>
      <w:r w:rsidR="007F2114" w:rsidRPr="00770290">
        <w:rPr>
          <w:noProof/>
        </w:rPr>
        <w:t>(Serafim et al.</w:t>
      </w:r>
      <w:r w:rsidR="00BC312A" w:rsidRPr="00770290">
        <w:rPr>
          <w:noProof/>
        </w:rPr>
        <w:t>,</w:t>
      </w:r>
      <w:r w:rsidR="007F2114" w:rsidRPr="00770290">
        <w:rPr>
          <w:noProof/>
        </w:rPr>
        <w:t xml:space="preserve"> 2008)</w:t>
      </w:r>
      <w:r w:rsidR="007F2114" w:rsidRPr="00770290">
        <w:fldChar w:fldCharType="end"/>
      </w:r>
      <w:r w:rsidR="006858D9" w:rsidRPr="00770290">
        <w:t xml:space="preserve">. </w:t>
      </w:r>
      <w:r w:rsidR="00596157" w:rsidRPr="00770290">
        <w:t xml:space="preserve">The </w:t>
      </w:r>
      <w:r w:rsidR="004D75B3" w:rsidRPr="00770290">
        <w:t xml:space="preserve">process </w:t>
      </w:r>
      <w:r w:rsidR="00C107FD" w:rsidRPr="00770290">
        <w:t>simulated</w:t>
      </w:r>
      <w:r w:rsidR="00721481" w:rsidRPr="00770290">
        <w:t xml:space="preserve"> </w:t>
      </w:r>
      <w:r w:rsidR="00ED2837" w:rsidRPr="00770290">
        <w:t>in this work consists of a two-step</w:t>
      </w:r>
      <w:r w:rsidR="001D5320" w:rsidRPr="00770290">
        <w:t xml:space="preserve"> </w:t>
      </w:r>
      <w:r w:rsidR="00ED2837" w:rsidRPr="00770290">
        <w:t>aerobic fermentation</w:t>
      </w:r>
      <w:r w:rsidR="002448E8" w:rsidRPr="00770290">
        <w:t xml:space="preserve"> in bubble column bioreactors</w:t>
      </w:r>
      <w:r w:rsidR="00ED2837" w:rsidRPr="00770290">
        <w:t xml:space="preserve">: the first one for </w:t>
      </w:r>
      <w:r w:rsidR="00B4090C" w:rsidRPr="00770290">
        <w:t>the</w:t>
      </w:r>
      <w:r w:rsidR="00ED2837" w:rsidRPr="00770290">
        <w:t xml:space="preserve"> growth of </w:t>
      </w:r>
      <w:proofErr w:type="spellStart"/>
      <w:r w:rsidR="00ED2837" w:rsidRPr="00770290">
        <w:rPr>
          <w:i/>
          <w:iCs/>
        </w:rPr>
        <w:t>Methylocystis</w:t>
      </w:r>
      <w:proofErr w:type="spellEnd"/>
      <w:r w:rsidR="00ED2837" w:rsidRPr="00770290">
        <w:rPr>
          <w:i/>
          <w:iCs/>
        </w:rPr>
        <w:t xml:space="preserve"> </w:t>
      </w:r>
      <w:proofErr w:type="spellStart"/>
      <w:r w:rsidR="00ED2837" w:rsidRPr="00770290">
        <w:rPr>
          <w:i/>
          <w:iCs/>
        </w:rPr>
        <w:t>hirsuta</w:t>
      </w:r>
      <w:proofErr w:type="spellEnd"/>
      <w:r w:rsidR="00ED2837" w:rsidRPr="00770290">
        <w:t xml:space="preserve"> under </w:t>
      </w:r>
      <w:r w:rsidR="00112A9D" w:rsidRPr="00770290">
        <w:t xml:space="preserve">nutrients </w:t>
      </w:r>
      <w:r w:rsidR="00ED2837" w:rsidRPr="00770290">
        <w:t xml:space="preserve">balanced conditions; the second one for </w:t>
      </w:r>
      <w:r w:rsidR="00B4090C" w:rsidRPr="00770290">
        <w:t>the</w:t>
      </w:r>
      <w:r w:rsidR="00ED2837" w:rsidRPr="00770290">
        <w:t xml:space="preserve"> accumulation of Poly(3-hydroxybutyrate) </w:t>
      </w:r>
      <w:r w:rsidR="00596157" w:rsidRPr="00770290">
        <w:t>under</w:t>
      </w:r>
      <w:r w:rsidR="00ED2837" w:rsidRPr="00770290">
        <w:t xml:space="preserve"> </w:t>
      </w:r>
      <w:r w:rsidR="00AE3E78" w:rsidRPr="00770290">
        <w:t xml:space="preserve">induced </w:t>
      </w:r>
      <w:r w:rsidR="00ED2837" w:rsidRPr="00770290">
        <w:t xml:space="preserve">metabolic stress. </w:t>
      </w:r>
      <w:r w:rsidR="002448E8" w:rsidRPr="00770290">
        <w:t>T</w:t>
      </w:r>
      <w:r w:rsidR="00BE1142" w:rsidRPr="00770290">
        <w:t xml:space="preserve">he </w:t>
      </w:r>
      <w:r w:rsidR="002448E8" w:rsidRPr="00770290">
        <w:t>impact</w:t>
      </w:r>
      <w:r w:rsidR="00BE1142" w:rsidRPr="00770290">
        <w:t xml:space="preserve"> of the superficial gas velocity </w:t>
      </w:r>
      <w:r w:rsidR="00C27F06" w:rsidRPr="00770290">
        <w:t>on</w:t>
      </w:r>
      <w:r w:rsidR="00BE1142" w:rsidRPr="00770290">
        <w:t xml:space="preserve"> process performance was analysed.</w:t>
      </w:r>
      <w:r w:rsidR="00D21360" w:rsidRPr="00770290">
        <w:t xml:space="preserve"> </w:t>
      </w:r>
      <w:r w:rsidR="002448E8" w:rsidRPr="00770290">
        <w:t xml:space="preserve">Note that, </w:t>
      </w:r>
      <w:r w:rsidR="00F1647C" w:rsidRPr="00770290">
        <w:t>not to</w:t>
      </w:r>
      <w:r w:rsidR="009F0DFF" w:rsidRPr="00770290">
        <w:t xml:space="preserve"> compromise the viability of the biomass, </w:t>
      </w:r>
      <w:r w:rsidR="002448E8" w:rsidRPr="00770290">
        <w:t xml:space="preserve">the turbulent regime was </w:t>
      </w:r>
      <w:r w:rsidR="001D5320" w:rsidRPr="00770290">
        <w:t>avoided</w:t>
      </w:r>
      <w:r w:rsidR="002448E8" w:rsidRPr="00770290">
        <w:t xml:space="preserve"> and</w:t>
      </w:r>
      <w:r w:rsidR="001D5320" w:rsidRPr="00770290">
        <w:t xml:space="preserve"> thus</w:t>
      </w:r>
      <w:r w:rsidR="002448E8" w:rsidRPr="00770290">
        <w:t xml:space="preserve"> </w:t>
      </w:r>
      <w:r w:rsidR="00C27F06" w:rsidRPr="00770290">
        <w:t>the study</w:t>
      </w:r>
      <w:r w:rsidR="009F0DFF" w:rsidRPr="00770290">
        <w:t xml:space="preserve"> </w:t>
      </w:r>
      <w:r w:rsidR="00F1647C" w:rsidRPr="00770290">
        <w:t xml:space="preserve">was </w:t>
      </w:r>
      <w:r w:rsidR="00C27F06" w:rsidRPr="00770290">
        <w:t>limited to the</w:t>
      </w:r>
      <w:r w:rsidR="009F0DFF" w:rsidRPr="00770290">
        <w:t xml:space="preserve"> homogeneous regime.</w:t>
      </w:r>
    </w:p>
    <w:p w14:paraId="5741900F" w14:textId="226CFD11" w:rsidR="00453E24" w:rsidRPr="00770290" w:rsidRDefault="002059FB" w:rsidP="00453E24">
      <w:pPr>
        <w:pStyle w:val="CETHeading1"/>
      </w:pPr>
      <w:r w:rsidRPr="00770290">
        <w:t>PHB production p</w:t>
      </w:r>
      <w:r w:rsidR="001D5320" w:rsidRPr="00770290">
        <w:t>rocess simulation</w:t>
      </w:r>
    </w:p>
    <w:p w14:paraId="7154C2DF" w14:textId="1E83791B" w:rsidR="0072677E" w:rsidRPr="00770290" w:rsidRDefault="007E157C" w:rsidP="0072677E">
      <w:pPr>
        <w:pStyle w:val="CETBodytext"/>
      </w:pPr>
      <w:r w:rsidRPr="00770290">
        <w:t xml:space="preserve">In this study, </w:t>
      </w:r>
      <w:r w:rsidR="00A16B2E" w:rsidRPr="00770290">
        <w:t xml:space="preserve">the </w:t>
      </w:r>
      <w:r w:rsidR="0072677E" w:rsidRPr="00770290">
        <w:t>Poly(3-hydroxybutyrate)</w:t>
      </w:r>
      <w:r w:rsidR="00A16B2E" w:rsidRPr="00770290">
        <w:t xml:space="preserve"> production process</w:t>
      </w:r>
      <w:r w:rsidRPr="00770290">
        <w:t xml:space="preserve"> from methane in bubble column bioreactors</w:t>
      </w:r>
      <w:r w:rsidR="00705A20" w:rsidRPr="00770290">
        <w:t xml:space="preserve"> was simulated</w:t>
      </w:r>
      <w:r w:rsidR="00A16B2E" w:rsidRPr="00770290">
        <w:t>. The main flowsheet, consisting of two semi</w:t>
      </w:r>
      <w:r w:rsidR="00F1647C" w:rsidRPr="00770290">
        <w:t>-</w:t>
      </w:r>
      <w:r w:rsidR="00A16B2E" w:rsidRPr="00770290">
        <w:t>continuous reactors</w:t>
      </w:r>
      <w:r w:rsidRPr="00770290">
        <w:t xml:space="preserve"> working</w:t>
      </w:r>
      <w:r w:rsidR="00A16B2E" w:rsidRPr="00770290">
        <w:t xml:space="preserve"> in series</w:t>
      </w:r>
      <w:r w:rsidR="00DF10C8" w:rsidRPr="00770290">
        <w:t xml:space="preserve"> (D=0.4m, V=400L, A=8),</w:t>
      </w:r>
      <w:r w:rsidR="00A16B2E" w:rsidRPr="00770290">
        <w:t xml:space="preserve"> is </w:t>
      </w:r>
      <w:r w:rsidR="001D5320" w:rsidRPr="00770290">
        <w:t>shown</w:t>
      </w:r>
      <w:r w:rsidR="00A16B2E" w:rsidRPr="00770290">
        <w:t xml:space="preserve"> in Figure 1. </w:t>
      </w:r>
      <w:r w:rsidR="0072677E" w:rsidRPr="00770290">
        <w:t xml:space="preserve">The </w:t>
      </w:r>
      <w:r w:rsidR="002059FB" w:rsidRPr="00770290">
        <w:t xml:space="preserve">liquid </w:t>
      </w:r>
      <w:r w:rsidR="0072677E" w:rsidRPr="00770290">
        <w:t>stream entering the first bioreactor contain</w:t>
      </w:r>
      <w:r w:rsidR="002059FB" w:rsidRPr="00770290">
        <w:t>ed</w:t>
      </w:r>
      <w:r w:rsidR="0072677E" w:rsidRPr="00770290">
        <w:t xml:space="preserve"> an initial amount of biomass, grown in block </w:t>
      </w:r>
      <w:r w:rsidR="002059FB" w:rsidRPr="00770290">
        <w:t>SC</w:t>
      </w:r>
      <w:r w:rsidR="0072677E" w:rsidRPr="00770290">
        <w:t xml:space="preserve">R1 under </w:t>
      </w:r>
      <w:r w:rsidR="00F1647C" w:rsidRPr="00770290">
        <w:t>balanced nutrient</w:t>
      </w:r>
      <w:r w:rsidR="0072677E" w:rsidRPr="00770290">
        <w:t xml:space="preserve"> conditions</w:t>
      </w:r>
      <w:r w:rsidR="003913BE" w:rsidRPr="00770290">
        <w:t xml:space="preserve"> for 1</w:t>
      </w:r>
      <w:r w:rsidR="00B4090C" w:rsidRPr="00770290">
        <w:t>5</w:t>
      </w:r>
      <w:r w:rsidR="003913BE" w:rsidRPr="00770290">
        <w:t xml:space="preserve"> days</w:t>
      </w:r>
      <w:r w:rsidR="0072677E" w:rsidRPr="00770290">
        <w:t>; the stream L2 entering the second bioreactor contain</w:t>
      </w:r>
      <w:r w:rsidR="002059FB" w:rsidRPr="00770290">
        <w:t>ed</w:t>
      </w:r>
      <w:r w:rsidR="0072677E" w:rsidRPr="00770290">
        <w:t xml:space="preserve"> the grown biomass, which </w:t>
      </w:r>
      <w:r w:rsidR="002059FB" w:rsidRPr="00770290">
        <w:t>was subjected</w:t>
      </w:r>
      <w:r w:rsidR="0072677E" w:rsidRPr="00770290">
        <w:t xml:space="preserve"> to metabolic stress to </w:t>
      </w:r>
      <w:r w:rsidR="002059FB" w:rsidRPr="00770290">
        <w:t>induce</w:t>
      </w:r>
      <w:r w:rsidR="0072677E" w:rsidRPr="00770290">
        <w:t xml:space="preserve"> PH</w:t>
      </w:r>
      <w:r w:rsidR="002059FB" w:rsidRPr="00770290">
        <w:t>B accumulation</w:t>
      </w:r>
      <w:r w:rsidR="003913BE" w:rsidRPr="00770290">
        <w:t xml:space="preserve"> within </w:t>
      </w:r>
      <w:r w:rsidR="00B4090C" w:rsidRPr="00770290">
        <w:t>10</w:t>
      </w:r>
      <w:r w:rsidR="003913BE" w:rsidRPr="00770290">
        <w:t xml:space="preserve"> days</w:t>
      </w:r>
      <w:r w:rsidR="0072677E" w:rsidRPr="00770290">
        <w:t>. The stream L</w:t>
      </w:r>
      <w:r w:rsidR="002059FB" w:rsidRPr="00770290">
        <w:t>-OUT2</w:t>
      </w:r>
      <w:r w:rsidR="0072677E" w:rsidRPr="00770290">
        <w:t xml:space="preserve"> resulted rich in PHB</w:t>
      </w:r>
      <w:r w:rsidR="002059FB" w:rsidRPr="00770290">
        <w:t xml:space="preserve">, while </w:t>
      </w:r>
      <w:r w:rsidR="0072677E" w:rsidRPr="00770290">
        <w:t xml:space="preserve">G1 and G2 contained methane and air at 4 %v/v and 96 %v/v, respectively. </w:t>
      </w:r>
    </w:p>
    <w:p w14:paraId="315FED97" w14:textId="7C0C2BC6" w:rsidR="002C568D" w:rsidRPr="00770290" w:rsidRDefault="00A16B2E" w:rsidP="002521A1">
      <w:pPr>
        <w:pStyle w:val="CETBodytext"/>
      </w:pPr>
      <w:r w:rsidRPr="00770290">
        <w:t xml:space="preserve">Other blocks, such as separators, </w:t>
      </w:r>
      <w:r w:rsidR="00112A9D" w:rsidRPr="00770290">
        <w:t>were</w:t>
      </w:r>
      <w:r w:rsidRPr="00770290">
        <w:t xml:space="preserve"> included in the process scheme </w:t>
      </w:r>
      <w:r w:rsidR="002521A1" w:rsidRPr="00770290">
        <w:t>to</w:t>
      </w:r>
      <w:r w:rsidRPr="00770290">
        <w:t xml:space="preserve"> separate</w:t>
      </w:r>
      <w:r w:rsidR="007E157C" w:rsidRPr="00770290">
        <w:t xml:space="preserve"> the</w:t>
      </w:r>
      <w:r w:rsidRPr="00770290">
        <w:t xml:space="preserve"> gas and liquid</w:t>
      </w:r>
      <w:r w:rsidR="007E157C" w:rsidRPr="00770290">
        <w:t xml:space="preserve"> </w:t>
      </w:r>
      <w:r w:rsidR="002C568D" w:rsidRPr="00770290">
        <w:t>contained in the output streams (R1</w:t>
      </w:r>
      <w:r w:rsidR="002059FB" w:rsidRPr="00770290">
        <w:t>OUT</w:t>
      </w:r>
      <w:r w:rsidR="002C568D" w:rsidRPr="00770290">
        <w:t xml:space="preserve"> and R2</w:t>
      </w:r>
      <w:r w:rsidR="002059FB" w:rsidRPr="00770290">
        <w:t>OUT</w:t>
      </w:r>
      <w:r w:rsidR="002C568D" w:rsidRPr="00770290">
        <w:t>).</w:t>
      </w:r>
      <w:r w:rsidR="007E3629" w:rsidRPr="00770290">
        <w:t xml:space="preserve"> The components involved in the process are </w:t>
      </w:r>
      <w:r w:rsidR="00E47357" w:rsidRPr="00770290">
        <w:t xml:space="preserve">reported in </w:t>
      </w:r>
      <w:r w:rsidR="007E3629" w:rsidRPr="00770290">
        <w:t>Table 1</w:t>
      </w:r>
      <w:r w:rsidR="00E47357" w:rsidRPr="00770290">
        <w:t>.</w:t>
      </w:r>
    </w:p>
    <w:p w14:paraId="21D47150" w14:textId="33176BC6" w:rsidR="002C568D" w:rsidRPr="00770290" w:rsidRDefault="002C568D" w:rsidP="002521A1">
      <w:pPr>
        <w:pStyle w:val="CETBodytext"/>
      </w:pPr>
      <w:r w:rsidRPr="00770290">
        <w:rPr>
          <w:noProof/>
          <w:lang w:val="it-IT" w:eastAsia="it-IT"/>
        </w:rPr>
        <w:drawing>
          <wp:inline distT="0" distB="0" distL="0" distR="0" wp14:anchorId="779C61E5" wp14:editId="23CFFEB6">
            <wp:extent cx="5522912" cy="3487994"/>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rotWithShape="1">
                    <a:blip r:embed="rId12"/>
                    <a:srcRect l="3225" t="4282" r="3516" b="3641"/>
                    <a:stretch/>
                  </pic:blipFill>
                  <pic:spPr bwMode="auto">
                    <a:xfrm>
                      <a:off x="0" y="0"/>
                      <a:ext cx="5577257" cy="3522316"/>
                    </a:xfrm>
                    <a:prstGeom prst="rect">
                      <a:avLst/>
                    </a:prstGeom>
                    <a:ln>
                      <a:noFill/>
                    </a:ln>
                    <a:extLst>
                      <a:ext uri="{53640926-AAD7-44D8-BBD7-CCE9431645EC}">
                        <a14:shadowObscured xmlns:a14="http://schemas.microsoft.com/office/drawing/2010/main"/>
                      </a:ext>
                    </a:extLst>
                  </pic:spPr>
                </pic:pic>
              </a:graphicData>
            </a:graphic>
          </wp:inline>
        </w:drawing>
      </w:r>
    </w:p>
    <w:p w14:paraId="248E6392" w14:textId="5D9CA61F" w:rsidR="00823BCE" w:rsidRPr="00770290" w:rsidRDefault="00823BCE" w:rsidP="002521A1">
      <w:pPr>
        <w:pStyle w:val="CETBodytext"/>
      </w:pPr>
      <w:r w:rsidRPr="00770290">
        <w:rPr>
          <w:rStyle w:val="CETCaptionCarattere"/>
        </w:rPr>
        <w:t xml:space="preserve">Figure 1: Process </w:t>
      </w:r>
      <w:r w:rsidR="007E3629" w:rsidRPr="00770290">
        <w:rPr>
          <w:rStyle w:val="CETCaptionCarattere"/>
        </w:rPr>
        <w:t xml:space="preserve">simulation </w:t>
      </w:r>
      <w:r w:rsidRPr="00770290">
        <w:rPr>
          <w:rStyle w:val="CETCaptionCarattere"/>
        </w:rPr>
        <w:t>setup</w:t>
      </w:r>
    </w:p>
    <w:p w14:paraId="56980498" w14:textId="77777777" w:rsidR="002C568D" w:rsidRPr="00770290" w:rsidRDefault="002C568D" w:rsidP="002521A1">
      <w:pPr>
        <w:pStyle w:val="CETBodytext"/>
      </w:pPr>
    </w:p>
    <w:p w14:paraId="76AE0909" w14:textId="27AB3446" w:rsidR="00080309" w:rsidRPr="00770290" w:rsidRDefault="0072677E" w:rsidP="00A35A21">
      <w:pPr>
        <w:pStyle w:val="CETBodytext"/>
      </w:pPr>
      <w:r w:rsidRPr="00770290">
        <w:t>Eventually</w:t>
      </w:r>
      <w:r w:rsidR="00112A9D" w:rsidRPr="00770290">
        <w:t xml:space="preserve">, both growth and accumulation </w:t>
      </w:r>
      <w:r w:rsidR="00A35A21" w:rsidRPr="00770290">
        <w:t xml:space="preserve">reactions </w:t>
      </w:r>
      <w:r w:rsidR="00112A9D" w:rsidRPr="00770290">
        <w:t xml:space="preserve">were </w:t>
      </w:r>
      <w:r w:rsidR="00A35A21" w:rsidRPr="00770290">
        <w:t xml:space="preserve">assigned to the bubble columns according to </w:t>
      </w:r>
      <w:r w:rsidR="00A35A21" w:rsidRPr="00770290">
        <w:fldChar w:fldCharType="begin" w:fldLock="1"/>
      </w:r>
      <w:r w:rsidR="000A4B5D" w:rsidRPr="00770290">
        <w:instrText>ADDIN CSL_CITATION {"citationItems":[{"id":"ITEM-1","itemData":{"DOI":"10.1016/j.biortech.2012.12.129","ISSN":"18732976","abstract":"In this study, modeling is used to describe how oxygen and nitrogen source affect the stoichiometry and kinetics of growth and PHB production in the Type II methanotrophs Methylosinus trichosporium OB3b and Methylocystis parvus OBBP. Significant differences were observed, with major implications for the use of these species in biotechnology applications. Such analyses can better inform bioreactor design, scale-up models, and life cycle assessments (LCAs). © 2012 .","author":[{"dropping-particle":"","family":"Rostkowski","given":"Katherine H.","non-dropping-particle":"","parse-names":false,"suffix":""},{"dropping-particle":"","family":"Pfluger","given":"Andrew R.","non-dropping-particle":"","parse-names":false,"suffix":""},{"dropping-particle":"","family":"Criddle","given":"Craig S.","non-dropping-particle":"","parse-names":false,"suffix":""}],"container-title":"Bioresource Technology","id":"ITEM-1","issued":{"date-parts":[["2013"]]},"page":"71-77","title":"Stoichiometry and kinetics of the PHB-producing Type II methanotrophs Methylosinus trichosporium OB3b and Methylocystis parvus OBBP","type":"article-journal","volume":"132"},"uris":["http://www.mendeley.com/documents/?uuid=c1d42080-ea64-4fb3-b5f2-fb55b7af72d6"]}],"mendeley":{"formattedCitation":"(Rostkowski et al., 2013)","manualFormatting":"Rostkowski et al. (2013","plainTextFormattedCitation":"(Rostkowski et al., 2013)","previouslyFormattedCitation":"(Rostkowski et al., 2013)"},"properties":{"noteIndex":0},"schema":"https://github.com/citation-style-language/schema/raw/master/csl-citation.json"}</w:instrText>
      </w:r>
      <w:r w:rsidR="00A35A21" w:rsidRPr="00770290">
        <w:fldChar w:fldCharType="separate"/>
      </w:r>
      <w:r w:rsidR="00A35A21" w:rsidRPr="00770290">
        <w:rPr>
          <w:noProof/>
        </w:rPr>
        <w:t xml:space="preserve">Rostkowski et al. </w:t>
      </w:r>
      <w:r w:rsidR="0031072C" w:rsidRPr="00770290">
        <w:rPr>
          <w:noProof/>
        </w:rPr>
        <w:t>(</w:t>
      </w:r>
      <w:r w:rsidR="00A35A21" w:rsidRPr="00770290">
        <w:rPr>
          <w:noProof/>
        </w:rPr>
        <w:t>2013</w:t>
      </w:r>
      <w:r w:rsidR="00A35A21" w:rsidRPr="00770290">
        <w:fldChar w:fldCharType="end"/>
      </w:r>
      <w:r w:rsidR="0031072C" w:rsidRPr="00770290">
        <w:t>),</w:t>
      </w:r>
      <w:r w:rsidR="00A35A21" w:rsidRPr="00770290">
        <w:t xml:space="preserve"> </w:t>
      </w:r>
      <w:r w:rsidR="00112A9D" w:rsidRPr="00770290">
        <w:t xml:space="preserve">which reported the stoichiometry of the reactions </w:t>
      </w:r>
      <w:r w:rsidR="00F1647C" w:rsidRPr="00770290">
        <w:t xml:space="preserve">based </w:t>
      </w:r>
      <w:r w:rsidR="00A35A21" w:rsidRPr="00770290">
        <w:t>on an electron balance (</w:t>
      </w:r>
      <w:r w:rsidR="00B4090C" w:rsidRPr="00770290">
        <w:t>E</w:t>
      </w:r>
      <w:r w:rsidR="00A35A21" w:rsidRPr="00770290">
        <w:t>q.1 and 2)</w:t>
      </w:r>
      <w:r w:rsidR="00080309" w:rsidRPr="00770290">
        <w:t>.</w:t>
      </w:r>
    </w:p>
    <w:p w14:paraId="169A3FFF" w14:textId="4C27BA0D" w:rsidR="00A35A21" w:rsidRPr="00770290" w:rsidRDefault="00113F4C" w:rsidP="00080309">
      <w:pPr>
        <w:pStyle w:val="CETEquation"/>
        <w:rPr>
          <w:rFonts w:cs="Arial"/>
          <w:lang w:val="it-IT"/>
        </w:rPr>
      </w:pPr>
      <m:oMath>
        <m:f>
          <m:fPr>
            <m:ctrlPr>
              <w:rPr>
                <w:rFonts w:ascii="Cambria Math" w:hAnsi="Cambria Math" w:cs="Arial"/>
              </w:rPr>
            </m:ctrlPr>
          </m:fPr>
          <m:num>
            <m:r>
              <m:rPr>
                <m:nor/>
              </m:rPr>
              <w:rPr>
                <w:rFonts w:cs="Arial"/>
                <w:lang w:val="it-IT"/>
              </w:rPr>
              <m:t>1</m:t>
            </m:r>
          </m:num>
          <m:den>
            <m:r>
              <m:rPr>
                <m:nor/>
              </m:rPr>
              <w:rPr>
                <w:rFonts w:cs="Arial"/>
                <w:lang w:val="it-IT"/>
              </w:rPr>
              <m:t>4</m:t>
            </m:r>
          </m:den>
        </m:f>
        <m:r>
          <m:rPr>
            <m:nor/>
          </m:rPr>
          <w:rPr>
            <w:rFonts w:cs="Arial"/>
            <w:lang w:val="it-IT"/>
          </w:rPr>
          <m:t>C</m:t>
        </m:r>
        <m:sSub>
          <m:sSubPr>
            <m:ctrlPr>
              <w:rPr>
                <w:rFonts w:ascii="Cambria Math" w:hAnsi="Cambria Math" w:cs="Arial"/>
              </w:rPr>
            </m:ctrlPr>
          </m:sSubPr>
          <m:e>
            <m:r>
              <m:rPr>
                <m:nor/>
              </m:rPr>
              <w:rPr>
                <w:rFonts w:cs="Arial"/>
                <w:lang w:val="it-IT"/>
              </w:rPr>
              <m:t>H</m:t>
            </m:r>
          </m:e>
          <m:sub>
            <m:r>
              <m:rPr>
                <m:nor/>
              </m:rPr>
              <w:rPr>
                <w:rFonts w:cs="Arial"/>
                <w:lang w:val="it-IT"/>
              </w:rPr>
              <m:t>4</m:t>
            </m:r>
          </m:sub>
        </m:sSub>
        <m:r>
          <m:rPr>
            <m:nor/>
          </m:rPr>
          <w:rPr>
            <w:rFonts w:cs="Arial"/>
            <w:lang w:val="it-IT"/>
          </w:rPr>
          <m:t>+</m:t>
        </m:r>
        <m:d>
          <m:dPr>
            <m:ctrlPr>
              <w:rPr>
                <w:rFonts w:ascii="Cambria Math" w:hAnsi="Cambria Math" w:cs="Arial"/>
              </w:rPr>
            </m:ctrlPr>
          </m:dPr>
          <m:e>
            <m:f>
              <m:fPr>
                <m:ctrlPr>
                  <w:rPr>
                    <w:rFonts w:ascii="Cambria Math" w:hAnsi="Cambria Math" w:cs="Arial"/>
                  </w:rPr>
                </m:ctrlPr>
              </m:fPr>
              <m:num>
                <m:r>
                  <m:rPr>
                    <m:nor/>
                  </m:rPr>
                  <w:rPr>
                    <w:rFonts w:cs="Arial"/>
                    <w:lang w:val="it-IT"/>
                  </w:rPr>
                  <m:t>1</m:t>
                </m:r>
              </m:num>
              <m:den>
                <m:r>
                  <m:rPr>
                    <m:nor/>
                  </m:rPr>
                  <w:rPr>
                    <w:rFonts w:cs="Arial"/>
                    <w:lang w:val="it-IT"/>
                  </w:rPr>
                  <m:t>4</m:t>
                </m:r>
              </m:den>
            </m:f>
            <m:r>
              <m:rPr>
                <m:nor/>
              </m:rPr>
              <w:rPr>
                <w:rFonts w:cs="Arial"/>
                <w:lang w:val="it-IT"/>
              </w:rPr>
              <m:t>+</m:t>
            </m:r>
            <m:f>
              <m:fPr>
                <m:ctrlPr>
                  <w:rPr>
                    <w:rFonts w:ascii="Cambria Math" w:hAnsi="Cambria Math" w:cs="Arial"/>
                  </w:rPr>
                </m:ctrlPr>
              </m:fPr>
              <m:num>
                <m:sSub>
                  <m:sSubPr>
                    <m:ctrlPr>
                      <w:rPr>
                        <w:rFonts w:ascii="Cambria Math" w:hAnsi="Cambria Math" w:cs="Arial"/>
                      </w:rPr>
                    </m:ctrlPr>
                  </m:sSubPr>
                  <m:e>
                    <m:r>
                      <m:rPr>
                        <m:nor/>
                      </m:rPr>
                      <w:rPr>
                        <w:rFonts w:cs="Arial"/>
                        <w:lang w:val="it-IT"/>
                      </w:rPr>
                      <m:t>f</m:t>
                    </m:r>
                  </m:e>
                  <m:sub>
                    <m:r>
                      <m:rPr>
                        <m:nor/>
                      </m:rPr>
                      <w:rPr>
                        <w:rFonts w:cs="Arial"/>
                        <w:lang w:val="it-IT"/>
                      </w:rPr>
                      <m:t>e</m:t>
                    </m:r>
                  </m:sub>
                </m:sSub>
              </m:num>
              <m:den>
                <m:r>
                  <m:rPr>
                    <m:nor/>
                  </m:rPr>
                  <w:rPr>
                    <w:rFonts w:cs="Arial"/>
                    <w:lang w:val="it-IT"/>
                  </w:rPr>
                  <m:t>4</m:t>
                </m:r>
              </m:den>
            </m:f>
          </m:e>
        </m:d>
        <m:sSub>
          <m:sSubPr>
            <m:ctrlPr>
              <w:rPr>
                <w:rFonts w:ascii="Cambria Math" w:hAnsi="Cambria Math" w:cs="Arial"/>
              </w:rPr>
            </m:ctrlPr>
          </m:sSubPr>
          <m:e>
            <m:r>
              <m:rPr>
                <m:nor/>
              </m:rPr>
              <w:rPr>
                <w:rFonts w:cs="Arial"/>
                <w:lang w:val="it-IT"/>
              </w:rPr>
              <m:t>O</m:t>
            </m:r>
          </m:e>
          <m:sub>
            <m:r>
              <m:rPr>
                <m:nor/>
              </m:rPr>
              <w:rPr>
                <w:rFonts w:cs="Arial"/>
                <w:lang w:val="it-IT"/>
              </w:rPr>
              <m:t>2</m:t>
            </m:r>
          </m:sub>
        </m:sSub>
        <m:r>
          <m:rPr>
            <m:nor/>
          </m:rPr>
          <w:rPr>
            <w:rFonts w:cs="Arial"/>
            <w:lang w:val="it-IT"/>
          </w:rPr>
          <m:t>+</m:t>
        </m:r>
        <m:f>
          <m:fPr>
            <m:ctrlPr>
              <w:rPr>
                <w:rFonts w:ascii="Cambria Math" w:hAnsi="Cambria Math" w:cs="Arial"/>
              </w:rPr>
            </m:ctrlPr>
          </m:fPr>
          <m:num>
            <m:sSub>
              <m:sSubPr>
                <m:ctrlPr>
                  <w:rPr>
                    <w:rFonts w:ascii="Cambria Math" w:hAnsi="Cambria Math" w:cs="Arial"/>
                  </w:rPr>
                </m:ctrlPr>
              </m:sSubPr>
              <m:e>
                <m:r>
                  <m:rPr>
                    <m:nor/>
                  </m:rPr>
                  <w:rPr>
                    <w:rFonts w:cs="Arial"/>
                    <w:lang w:val="it-IT"/>
                  </w:rPr>
                  <m:t>f</m:t>
                </m:r>
              </m:e>
              <m:sub>
                <m:r>
                  <m:rPr>
                    <m:nor/>
                  </m:rPr>
                  <w:rPr>
                    <w:rFonts w:cs="Arial"/>
                    <w:lang w:val="it-IT"/>
                  </w:rPr>
                  <m:t>s</m:t>
                </m:r>
              </m:sub>
            </m:sSub>
          </m:num>
          <m:den>
            <m:r>
              <m:rPr>
                <m:nor/>
              </m:rPr>
              <w:rPr>
                <w:rFonts w:cs="Arial"/>
                <w:lang w:val="it-IT"/>
              </w:rPr>
              <m:t>28</m:t>
            </m:r>
          </m:den>
        </m:f>
        <m:r>
          <m:rPr>
            <m:nor/>
          </m:rPr>
          <w:rPr>
            <w:rFonts w:cs="Arial"/>
            <w:lang w:val="it-IT"/>
          </w:rPr>
          <m:t>N</m:t>
        </m:r>
        <m:sSubSup>
          <m:sSubSupPr>
            <m:ctrlPr>
              <w:rPr>
                <w:rFonts w:ascii="Cambria Math" w:hAnsi="Cambria Math" w:cs="Arial"/>
              </w:rPr>
            </m:ctrlPr>
          </m:sSubSupPr>
          <m:e>
            <m:r>
              <m:rPr>
                <m:nor/>
              </m:rPr>
              <w:rPr>
                <w:rFonts w:cs="Arial"/>
                <w:lang w:val="it-IT"/>
              </w:rPr>
              <m:t>O</m:t>
            </m:r>
          </m:e>
          <m:sub>
            <m:r>
              <m:rPr>
                <m:nor/>
              </m:rPr>
              <w:rPr>
                <w:rFonts w:cs="Arial"/>
                <w:lang w:val="it-IT"/>
              </w:rPr>
              <m:t>3</m:t>
            </m:r>
          </m:sub>
          <m:sup>
            <m:r>
              <m:rPr>
                <m:nor/>
              </m:rPr>
              <w:rPr>
                <w:rFonts w:cs="Arial"/>
                <w:lang w:val="it-IT"/>
              </w:rPr>
              <m:t>-</m:t>
            </m:r>
          </m:sup>
        </m:sSubSup>
        <m:r>
          <m:rPr>
            <m:nor/>
          </m:rPr>
          <w:rPr>
            <w:rFonts w:cs="Arial"/>
            <w:lang w:val="it-IT"/>
          </w:rPr>
          <m:t>+</m:t>
        </m:r>
        <m:d>
          <m:dPr>
            <m:ctrlPr>
              <w:rPr>
                <w:rFonts w:ascii="Cambria Math" w:hAnsi="Cambria Math" w:cs="Arial"/>
              </w:rPr>
            </m:ctrlPr>
          </m:dPr>
          <m:e>
            <m:f>
              <m:fPr>
                <m:ctrlPr>
                  <w:rPr>
                    <w:rFonts w:ascii="Cambria Math" w:hAnsi="Cambria Math" w:cs="Arial"/>
                  </w:rPr>
                </m:ctrlPr>
              </m:fPr>
              <m:num>
                <m:r>
                  <m:rPr>
                    <m:nor/>
                  </m:rPr>
                  <w:rPr>
                    <w:rFonts w:cs="Arial"/>
                    <w:lang w:val="it-IT"/>
                  </w:rPr>
                  <m:t>29</m:t>
                </m:r>
              </m:num>
              <m:den>
                <m:r>
                  <m:rPr>
                    <m:nor/>
                  </m:rPr>
                  <w:rPr>
                    <w:rFonts w:cs="Arial"/>
                    <w:lang w:val="it-IT"/>
                  </w:rPr>
                  <m:t>28</m:t>
                </m:r>
              </m:den>
            </m:f>
            <m:sSub>
              <m:sSubPr>
                <m:ctrlPr>
                  <w:rPr>
                    <w:rFonts w:ascii="Cambria Math" w:hAnsi="Cambria Math" w:cs="Arial"/>
                  </w:rPr>
                </m:ctrlPr>
              </m:sSubPr>
              <m:e>
                <m:r>
                  <m:rPr>
                    <m:nor/>
                  </m:rPr>
                  <w:rPr>
                    <w:rFonts w:cs="Arial"/>
                    <w:lang w:val="it-IT"/>
                  </w:rPr>
                  <m:t>f</m:t>
                </m:r>
              </m:e>
              <m:sub>
                <m:r>
                  <m:rPr>
                    <m:nor/>
                  </m:rPr>
                  <w:rPr>
                    <w:rFonts w:cs="Arial"/>
                    <w:lang w:val="it-IT"/>
                  </w:rPr>
                  <m:t>s</m:t>
                </m:r>
              </m:sub>
            </m:sSub>
            <m:r>
              <m:rPr>
                <m:nor/>
              </m:rPr>
              <w:rPr>
                <w:rFonts w:cs="Arial"/>
                <w:lang w:val="it-IT"/>
              </w:rPr>
              <m:t>+</m:t>
            </m:r>
            <m:sSub>
              <m:sSubPr>
                <m:ctrlPr>
                  <w:rPr>
                    <w:rFonts w:ascii="Cambria Math" w:hAnsi="Cambria Math" w:cs="Arial"/>
                  </w:rPr>
                </m:ctrlPr>
              </m:sSubPr>
              <m:e>
                <m:r>
                  <m:rPr>
                    <m:nor/>
                  </m:rPr>
                  <w:rPr>
                    <w:rFonts w:cs="Arial"/>
                    <w:lang w:val="it-IT"/>
                  </w:rPr>
                  <m:t>f</m:t>
                </m:r>
              </m:e>
              <m:sub>
                <m:r>
                  <m:rPr>
                    <m:nor/>
                  </m:rPr>
                  <w:rPr>
                    <w:rFonts w:cs="Arial"/>
                    <w:lang w:val="it-IT"/>
                  </w:rPr>
                  <m:t>e</m:t>
                </m:r>
              </m:sub>
            </m:sSub>
            <m:r>
              <m:rPr>
                <m:nor/>
              </m:rPr>
              <w:rPr>
                <w:rFonts w:cs="Arial"/>
                <w:lang w:val="it-IT"/>
              </w:rPr>
              <m:t>-1</m:t>
            </m:r>
          </m:e>
        </m:d>
        <m:sSup>
          <m:sSupPr>
            <m:ctrlPr>
              <w:rPr>
                <w:rFonts w:ascii="Cambria Math" w:hAnsi="Cambria Math" w:cs="Arial"/>
              </w:rPr>
            </m:ctrlPr>
          </m:sSupPr>
          <m:e>
            <m:r>
              <m:rPr>
                <m:nor/>
              </m:rPr>
              <w:rPr>
                <w:rFonts w:cs="Arial"/>
                <w:lang w:val="it-IT"/>
              </w:rPr>
              <m:t>H</m:t>
            </m:r>
          </m:e>
          <m:sup>
            <m:r>
              <m:rPr>
                <m:nor/>
              </m:rPr>
              <w:rPr>
                <w:rFonts w:cs="Arial"/>
                <w:lang w:val="it-IT"/>
              </w:rPr>
              <m:t>+</m:t>
            </m:r>
          </m:sup>
        </m:sSup>
        <m:r>
          <m:rPr>
            <m:nor/>
          </m:rPr>
          <w:rPr>
            <w:rFonts w:cs="Arial"/>
            <w:lang w:val="it-IT"/>
          </w:rPr>
          <m:t>→</m:t>
        </m:r>
        <m:d>
          <m:dPr>
            <m:ctrlPr>
              <w:rPr>
                <w:rFonts w:ascii="Cambria Math" w:hAnsi="Cambria Math" w:cs="Arial"/>
              </w:rPr>
            </m:ctrlPr>
          </m:dPr>
          <m:e>
            <m:f>
              <m:fPr>
                <m:ctrlPr>
                  <w:rPr>
                    <w:rFonts w:ascii="Cambria Math" w:hAnsi="Cambria Math" w:cs="Arial"/>
                  </w:rPr>
                </m:ctrlPr>
              </m:fPr>
              <m:num>
                <m:r>
                  <m:rPr>
                    <m:nor/>
                  </m:rPr>
                  <w:rPr>
                    <w:rFonts w:cs="Arial"/>
                    <w:lang w:val="it-IT"/>
                  </w:rPr>
                  <m:t>1</m:t>
                </m:r>
              </m:num>
              <m:den>
                <m:r>
                  <m:rPr>
                    <m:nor/>
                  </m:rPr>
                  <w:rPr>
                    <w:rFonts w:cs="Arial"/>
                    <w:lang w:val="it-IT"/>
                  </w:rPr>
                  <m:t>4</m:t>
                </m:r>
              </m:den>
            </m:f>
            <m:r>
              <m:rPr>
                <m:nor/>
              </m:rPr>
              <w:rPr>
                <w:rFonts w:cs="Arial"/>
                <w:lang w:val="it-IT"/>
              </w:rPr>
              <m:t>-</m:t>
            </m:r>
            <m:f>
              <m:fPr>
                <m:ctrlPr>
                  <w:rPr>
                    <w:rFonts w:ascii="Cambria Math" w:hAnsi="Cambria Math" w:cs="Arial"/>
                  </w:rPr>
                </m:ctrlPr>
              </m:fPr>
              <m:num>
                <m:r>
                  <m:rPr>
                    <m:nor/>
                  </m:rPr>
                  <w:rPr>
                    <w:rFonts w:cs="Arial"/>
                    <w:lang w:val="it-IT"/>
                  </w:rPr>
                  <m:t>5</m:t>
                </m:r>
                <m:sSub>
                  <m:sSubPr>
                    <m:ctrlPr>
                      <w:rPr>
                        <w:rFonts w:ascii="Cambria Math" w:hAnsi="Cambria Math" w:cs="Arial"/>
                      </w:rPr>
                    </m:ctrlPr>
                  </m:sSubPr>
                  <m:e>
                    <m:r>
                      <m:rPr>
                        <m:nor/>
                      </m:rPr>
                      <w:rPr>
                        <w:rFonts w:cs="Arial"/>
                        <w:lang w:val="it-IT"/>
                      </w:rPr>
                      <m:t>f</m:t>
                    </m:r>
                  </m:e>
                  <m:sub>
                    <m:r>
                      <m:rPr>
                        <m:nor/>
                      </m:rPr>
                      <w:rPr>
                        <w:rFonts w:cs="Arial"/>
                        <w:lang w:val="it-IT"/>
                      </w:rPr>
                      <m:t>e</m:t>
                    </m:r>
                  </m:sub>
                </m:sSub>
              </m:num>
              <m:den>
                <m:r>
                  <m:rPr>
                    <m:nor/>
                  </m:rPr>
                  <w:rPr>
                    <w:rFonts w:cs="Arial"/>
                    <w:lang w:val="it-IT"/>
                  </w:rPr>
                  <m:t>28</m:t>
                </m:r>
              </m:den>
            </m:f>
          </m:e>
        </m:d>
        <m:r>
          <m:rPr>
            <m:nor/>
          </m:rPr>
          <w:rPr>
            <w:rFonts w:cs="Arial"/>
            <w:lang w:val="it-IT"/>
          </w:rPr>
          <m:t>C</m:t>
        </m:r>
        <m:sSub>
          <m:sSubPr>
            <m:ctrlPr>
              <w:rPr>
                <w:rFonts w:ascii="Cambria Math" w:hAnsi="Cambria Math" w:cs="Arial"/>
              </w:rPr>
            </m:ctrlPr>
          </m:sSubPr>
          <m:e>
            <m:r>
              <m:rPr>
                <m:nor/>
              </m:rPr>
              <w:rPr>
                <w:rFonts w:cs="Arial"/>
                <w:lang w:val="it-IT"/>
              </w:rPr>
              <m:t>O</m:t>
            </m:r>
          </m:e>
          <m:sub>
            <m:r>
              <m:rPr>
                <m:nor/>
              </m:rPr>
              <w:rPr>
                <w:rFonts w:cs="Arial"/>
                <w:lang w:val="it-IT"/>
              </w:rPr>
              <m:t>2</m:t>
            </m:r>
          </m:sub>
        </m:sSub>
        <m:r>
          <m:rPr>
            <m:nor/>
          </m:rPr>
          <w:rPr>
            <w:rFonts w:cs="Arial"/>
            <w:lang w:val="it-IT"/>
          </w:rPr>
          <m:t>+(</m:t>
        </m:r>
        <m:f>
          <m:fPr>
            <m:ctrlPr>
              <w:rPr>
                <w:rFonts w:ascii="Cambria Math" w:hAnsi="Cambria Math" w:cs="Arial"/>
              </w:rPr>
            </m:ctrlPr>
          </m:fPr>
          <m:num>
            <m:sSub>
              <m:sSubPr>
                <m:ctrlPr>
                  <w:rPr>
                    <w:rFonts w:ascii="Cambria Math" w:hAnsi="Cambria Math" w:cs="Arial"/>
                  </w:rPr>
                </m:ctrlPr>
              </m:sSubPr>
              <m:e>
                <m:r>
                  <m:rPr>
                    <m:nor/>
                  </m:rPr>
                  <w:rPr>
                    <w:rFonts w:cs="Arial"/>
                    <w:lang w:val="it-IT"/>
                  </w:rPr>
                  <m:t>f</m:t>
                </m:r>
              </m:e>
              <m:sub>
                <m:r>
                  <m:rPr>
                    <m:nor/>
                  </m:rPr>
                  <w:rPr>
                    <w:rFonts w:cs="Arial"/>
                    <w:lang w:val="it-IT"/>
                  </w:rPr>
                  <m:t>e</m:t>
                </m:r>
              </m:sub>
            </m:sSub>
          </m:num>
          <m:den>
            <m:r>
              <m:rPr>
                <m:nor/>
              </m:rPr>
              <w:rPr>
                <w:rFonts w:cs="Arial"/>
                <w:lang w:val="it-IT"/>
              </w:rPr>
              <m:t>2</m:t>
            </m:r>
          </m:den>
        </m:f>
        <m:r>
          <m:rPr>
            <m:nor/>
          </m:rPr>
          <w:rPr>
            <w:rFonts w:cs="Arial"/>
            <w:lang w:val="it-IT"/>
          </w:rPr>
          <m:t>+</m:t>
        </m:r>
        <m:f>
          <m:fPr>
            <m:ctrlPr>
              <w:rPr>
                <w:rFonts w:ascii="Cambria Math" w:hAnsi="Cambria Math" w:cs="Arial"/>
              </w:rPr>
            </m:ctrlPr>
          </m:fPr>
          <m:num>
            <m:r>
              <m:rPr>
                <m:nor/>
              </m:rPr>
              <w:rPr>
                <w:rFonts w:cs="Arial"/>
                <w:lang w:val="it-IT"/>
              </w:rPr>
              <m:t>11</m:t>
            </m:r>
            <m:sSub>
              <m:sSubPr>
                <m:ctrlPr>
                  <w:rPr>
                    <w:rFonts w:ascii="Cambria Math" w:hAnsi="Cambria Math" w:cs="Arial"/>
                  </w:rPr>
                </m:ctrlPr>
              </m:sSubPr>
              <m:e>
                <m:r>
                  <m:rPr>
                    <m:nor/>
                  </m:rPr>
                  <w:rPr>
                    <w:rFonts w:cs="Arial"/>
                    <w:lang w:val="it-IT"/>
                  </w:rPr>
                  <m:t>f</m:t>
                </m:r>
              </m:e>
              <m:sub>
                <m:r>
                  <m:rPr>
                    <m:nor/>
                  </m:rPr>
                  <w:rPr>
                    <w:rFonts w:cs="Arial"/>
                    <w:lang w:val="it-IT"/>
                  </w:rPr>
                  <m:t>s</m:t>
                </m:r>
              </m:sub>
            </m:sSub>
          </m:num>
          <m:den>
            <m:r>
              <m:rPr>
                <m:nor/>
              </m:rPr>
              <w:rPr>
                <w:rFonts w:cs="Arial"/>
                <w:lang w:val="it-IT"/>
              </w:rPr>
              <m:t>28</m:t>
            </m:r>
          </m:den>
        </m:f>
        <m:sSub>
          <m:sSubPr>
            <m:ctrlPr>
              <w:rPr>
                <w:rFonts w:ascii="Cambria Math" w:hAnsi="Cambria Math" w:cs="Arial"/>
              </w:rPr>
            </m:ctrlPr>
          </m:sSubPr>
          <m:e>
            <m:r>
              <m:rPr>
                <m:nor/>
              </m:rPr>
              <w:rPr>
                <w:rFonts w:cs="Arial"/>
                <w:lang w:val="it-IT"/>
              </w:rPr>
              <m:t>)H</m:t>
            </m:r>
          </m:e>
          <m:sub>
            <m:r>
              <m:rPr>
                <m:nor/>
              </m:rPr>
              <w:rPr>
                <w:rFonts w:cs="Arial"/>
                <w:lang w:val="it-IT"/>
              </w:rPr>
              <m:t>2</m:t>
            </m:r>
          </m:sub>
        </m:sSub>
        <m:r>
          <m:rPr>
            <m:nor/>
          </m:rPr>
          <w:rPr>
            <w:rFonts w:cs="Arial"/>
            <w:lang w:val="it-IT"/>
          </w:rPr>
          <m:t>O+</m:t>
        </m:r>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m:rPr>
                        <m:nor/>
                      </m:rPr>
                      <w:rPr>
                        <w:rFonts w:cs="Arial"/>
                        <w:lang w:val="it-IT"/>
                      </w:rPr>
                      <m:t>f</m:t>
                    </m:r>
                  </m:e>
                  <m:sub>
                    <m:r>
                      <m:rPr>
                        <m:nor/>
                      </m:rPr>
                      <w:rPr>
                        <w:rFonts w:cs="Arial"/>
                        <w:lang w:val="it-IT"/>
                      </w:rPr>
                      <m:t>s</m:t>
                    </m:r>
                  </m:sub>
                </m:sSub>
              </m:num>
              <m:den>
                <m:r>
                  <m:rPr>
                    <m:nor/>
                  </m:rPr>
                  <w:rPr>
                    <w:rFonts w:cs="Arial"/>
                    <w:lang w:val="it-IT"/>
                  </w:rPr>
                  <m:t>28</m:t>
                </m:r>
              </m:den>
            </m:f>
          </m:e>
        </m:d>
        <m:sSub>
          <m:sSubPr>
            <m:ctrlPr>
              <w:rPr>
                <w:rFonts w:ascii="Cambria Math" w:hAnsi="Cambria Math" w:cs="Arial"/>
              </w:rPr>
            </m:ctrlPr>
          </m:sSubPr>
          <m:e>
            <m:r>
              <m:rPr>
                <m:nor/>
              </m:rPr>
              <w:rPr>
                <w:rFonts w:cs="Arial"/>
                <w:lang w:val="it-IT"/>
              </w:rPr>
              <m:t>C</m:t>
            </m:r>
          </m:e>
          <m:sub>
            <m:r>
              <m:rPr>
                <m:nor/>
              </m:rPr>
              <w:rPr>
                <w:rFonts w:cs="Arial"/>
                <w:lang w:val="it-IT"/>
              </w:rPr>
              <m:t>5</m:t>
            </m:r>
          </m:sub>
        </m:sSub>
        <m:sSub>
          <m:sSubPr>
            <m:ctrlPr>
              <w:rPr>
                <w:rFonts w:ascii="Cambria Math" w:hAnsi="Cambria Math" w:cs="Arial"/>
              </w:rPr>
            </m:ctrlPr>
          </m:sSubPr>
          <m:e>
            <m:r>
              <m:rPr>
                <m:nor/>
              </m:rPr>
              <w:rPr>
                <w:rFonts w:cs="Arial"/>
                <w:lang w:val="it-IT"/>
              </w:rPr>
              <m:t>H</m:t>
            </m:r>
          </m:e>
          <m:sub>
            <m:r>
              <m:rPr>
                <m:nor/>
              </m:rPr>
              <w:rPr>
                <w:rFonts w:cs="Arial"/>
                <w:lang w:val="it-IT"/>
              </w:rPr>
              <m:t>7</m:t>
            </m:r>
          </m:sub>
        </m:sSub>
        <m:sSub>
          <m:sSubPr>
            <m:ctrlPr>
              <w:rPr>
                <w:rFonts w:ascii="Cambria Math" w:hAnsi="Cambria Math" w:cs="Arial"/>
              </w:rPr>
            </m:ctrlPr>
          </m:sSubPr>
          <m:e>
            <m:r>
              <m:rPr>
                <m:nor/>
              </m:rPr>
              <w:rPr>
                <w:rFonts w:cs="Arial"/>
                <w:lang w:val="it-IT"/>
              </w:rPr>
              <m:t>O</m:t>
            </m:r>
          </m:e>
          <m:sub>
            <m:r>
              <m:rPr>
                <m:nor/>
              </m:rPr>
              <w:rPr>
                <w:rFonts w:cs="Arial"/>
                <w:lang w:val="it-IT"/>
              </w:rPr>
              <m:t>2</m:t>
            </m:r>
          </m:sub>
        </m:sSub>
        <m:r>
          <m:rPr>
            <m:nor/>
          </m:rPr>
          <w:rPr>
            <w:rFonts w:cs="Arial"/>
            <w:lang w:val="it-IT"/>
          </w:rPr>
          <m:t xml:space="preserve">N          </m:t>
        </m:r>
      </m:oMath>
      <w:r w:rsidR="00080309" w:rsidRPr="00770290">
        <w:rPr>
          <w:rFonts w:cs="Arial"/>
          <w:lang w:val="it-IT"/>
        </w:rPr>
        <w:t xml:space="preserve">        </w:t>
      </w:r>
      <w:r w:rsidR="00B4090C" w:rsidRPr="00770290">
        <w:rPr>
          <w:rFonts w:cs="Arial"/>
          <w:lang w:val="it-IT"/>
        </w:rPr>
        <w:t xml:space="preserve">                 </w:t>
      </w:r>
      <w:r w:rsidR="00080309" w:rsidRPr="00770290">
        <w:rPr>
          <w:rFonts w:cs="Arial"/>
          <w:lang w:val="it-IT"/>
        </w:rPr>
        <w:t xml:space="preserve"> (1)</w:t>
      </w:r>
    </w:p>
    <w:p w14:paraId="365EF7AB" w14:textId="4BFE5E5B" w:rsidR="00A35A21" w:rsidRPr="00770290" w:rsidRDefault="00113F4C" w:rsidP="00080309">
      <w:pPr>
        <w:pStyle w:val="CETEquation"/>
        <w:rPr>
          <w:rFonts w:cs="Arial"/>
          <w:lang w:val="it-IT"/>
        </w:rPr>
      </w:pPr>
      <m:oMath>
        <m:f>
          <m:fPr>
            <m:ctrlPr>
              <w:rPr>
                <w:rFonts w:ascii="Cambria Math" w:hAnsi="Cambria Math" w:cs="Arial"/>
              </w:rPr>
            </m:ctrlPr>
          </m:fPr>
          <m:num>
            <m:r>
              <m:rPr>
                <m:nor/>
              </m:rPr>
              <w:rPr>
                <w:rFonts w:cs="Arial"/>
                <w:lang w:val="it-IT"/>
              </w:rPr>
              <m:t>1</m:t>
            </m:r>
          </m:num>
          <m:den>
            <m:r>
              <m:rPr>
                <m:nor/>
              </m:rPr>
              <w:rPr>
                <w:rFonts w:cs="Arial"/>
                <w:lang w:val="it-IT"/>
              </w:rPr>
              <m:t>4</m:t>
            </m:r>
          </m:den>
        </m:f>
        <m:r>
          <m:rPr>
            <m:nor/>
          </m:rPr>
          <w:rPr>
            <w:rFonts w:cs="Arial"/>
            <w:lang w:val="it-IT"/>
          </w:rPr>
          <m:t>C</m:t>
        </m:r>
        <m:sSub>
          <m:sSubPr>
            <m:ctrlPr>
              <w:rPr>
                <w:rFonts w:ascii="Cambria Math" w:hAnsi="Cambria Math" w:cs="Arial"/>
              </w:rPr>
            </m:ctrlPr>
          </m:sSubPr>
          <m:e>
            <m:r>
              <m:rPr>
                <m:nor/>
              </m:rPr>
              <w:rPr>
                <w:rFonts w:cs="Arial"/>
                <w:lang w:val="it-IT"/>
              </w:rPr>
              <m:t>H</m:t>
            </m:r>
          </m:e>
          <m:sub>
            <m:r>
              <m:rPr>
                <m:nor/>
              </m:rPr>
              <w:rPr>
                <w:rFonts w:cs="Arial"/>
                <w:lang w:val="it-IT"/>
              </w:rPr>
              <m:t>4</m:t>
            </m:r>
          </m:sub>
        </m:sSub>
        <m:r>
          <m:rPr>
            <m:nor/>
          </m:rPr>
          <w:rPr>
            <w:rFonts w:cs="Arial"/>
            <w:lang w:val="it-IT"/>
          </w:rPr>
          <m:t>+</m:t>
        </m:r>
        <m:d>
          <m:dPr>
            <m:ctrlPr>
              <w:rPr>
                <w:rFonts w:ascii="Cambria Math" w:hAnsi="Cambria Math" w:cs="Arial"/>
              </w:rPr>
            </m:ctrlPr>
          </m:dPr>
          <m:e>
            <m:f>
              <m:fPr>
                <m:ctrlPr>
                  <w:rPr>
                    <w:rFonts w:ascii="Cambria Math" w:hAnsi="Cambria Math" w:cs="Arial"/>
                  </w:rPr>
                </m:ctrlPr>
              </m:fPr>
              <m:num>
                <m:r>
                  <m:rPr>
                    <m:nor/>
                  </m:rPr>
                  <w:rPr>
                    <w:rFonts w:cs="Arial"/>
                    <w:lang w:val="it-IT"/>
                  </w:rPr>
                  <m:t>1</m:t>
                </m:r>
              </m:num>
              <m:den>
                <m:r>
                  <m:rPr>
                    <m:nor/>
                  </m:rPr>
                  <w:rPr>
                    <w:rFonts w:cs="Arial"/>
                    <w:lang w:val="it-IT"/>
                  </w:rPr>
                  <m:t>4</m:t>
                </m:r>
              </m:den>
            </m:f>
            <m:r>
              <m:rPr>
                <m:nor/>
              </m:rPr>
              <w:rPr>
                <w:rFonts w:cs="Arial"/>
                <w:lang w:val="it-IT"/>
              </w:rPr>
              <m:t>+</m:t>
            </m:r>
            <m:f>
              <m:fPr>
                <m:ctrlPr>
                  <w:rPr>
                    <w:rFonts w:ascii="Cambria Math" w:hAnsi="Cambria Math" w:cs="Arial"/>
                  </w:rPr>
                </m:ctrlPr>
              </m:fPr>
              <m:num>
                <m:sSub>
                  <m:sSubPr>
                    <m:ctrlPr>
                      <w:rPr>
                        <w:rFonts w:ascii="Cambria Math" w:hAnsi="Cambria Math" w:cs="Arial"/>
                      </w:rPr>
                    </m:ctrlPr>
                  </m:sSubPr>
                  <m:e>
                    <m:r>
                      <m:rPr>
                        <m:nor/>
                      </m:rPr>
                      <w:rPr>
                        <w:rFonts w:cs="Arial"/>
                        <w:lang w:val="it-IT"/>
                      </w:rPr>
                      <m:t>f</m:t>
                    </m:r>
                  </m:e>
                  <m:sub>
                    <m:r>
                      <m:rPr>
                        <m:nor/>
                      </m:rPr>
                      <w:rPr>
                        <w:rFonts w:cs="Arial"/>
                        <w:lang w:val="it-IT"/>
                      </w:rPr>
                      <m:t>e</m:t>
                    </m:r>
                  </m:sub>
                </m:sSub>
              </m:num>
              <m:den>
                <m:r>
                  <m:rPr>
                    <m:nor/>
                  </m:rPr>
                  <w:rPr>
                    <w:rFonts w:cs="Arial"/>
                    <w:lang w:val="it-IT"/>
                  </w:rPr>
                  <m:t>4</m:t>
                </m:r>
              </m:den>
            </m:f>
          </m:e>
        </m:d>
        <m:sSub>
          <m:sSubPr>
            <m:ctrlPr>
              <w:rPr>
                <w:rFonts w:ascii="Cambria Math" w:hAnsi="Cambria Math" w:cs="Arial"/>
              </w:rPr>
            </m:ctrlPr>
          </m:sSubPr>
          <m:e>
            <m:r>
              <m:rPr>
                <m:nor/>
              </m:rPr>
              <w:rPr>
                <w:rFonts w:cs="Arial"/>
                <w:lang w:val="it-IT"/>
              </w:rPr>
              <m:t>O</m:t>
            </m:r>
          </m:e>
          <m:sub>
            <m:r>
              <m:rPr>
                <m:nor/>
              </m:rPr>
              <w:rPr>
                <w:rFonts w:cs="Arial"/>
                <w:lang w:val="it-IT"/>
              </w:rPr>
              <m:t>2</m:t>
            </m:r>
          </m:sub>
        </m:sSub>
        <m:r>
          <m:rPr>
            <m:nor/>
          </m:rPr>
          <w:rPr>
            <w:rFonts w:cs="Arial"/>
            <w:lang w:val="it-IT"/>
          </w:rPr>
          <m:t>→</m:t>
        </m:r>
        <m:d>
          <m:dPr>
            <m:ctrlPr>
              <w:rPr>
                <w:rFonts w:ascii="Cambria Math" w:hAnsi="Cambria Math" w:cs="Arial"/>
              </w:rPr>
            </m:ctrlPr>
          </m:dPr>
          <m:e>
            <m:f>
              <m:fPr>
                <m:ctrlPr>
                  <w:rPr>
                    <w:rFonts w:ascii="Cambria Math" w:hAnsi="Cambria Math" w:cs="Arial"/>
                  </w:rPr>
                </m:ctrlPr>
              </m:fPr>
              <m:num>
                <m:r>
                  <m:rPr>
                    <m:nor/>
                  </m:rPr>
                  <w:rPr>
                    <w:rFonts w:cs="Arial"/>
                    <w:lang w:val="it-IT"/>
                  </w:rPr>
                  <m:t>1</m:t>
                </m:r>
              </m:num>
              <m:den>
                <m:r>
                  <m:rPr>
                    <m:nor/>
                  </m:rPr>
                  <w:rPr>
                    <w:rFonts w:cs="Arial"/>
                    <w:lang w:val="it-IT"/>
                  </w:rPr>
                  <m:t>4</m:t>
                </m:r>
              </m:den>
            </m:f>
            <m:r>
              <m:rPr>
                <m:nor/>
              </m:rPr>
              <w:rPr>
                <w:rFonts w:cs="Arial"/>
                <w:lang w:val="it-IT"/>
              </w:rPr>
              <m:t>-</m:t>
            </m:r>
            <m:f>
              <m:fPr>
                <m:ctrlPr>
                  <w:rPr>
                    <w:rFonts w:ascii="Cambria Math" w:hAnsi="Cambria Math" w:cs="Arial"/>
                  </w:rPr>
                </m:ctrlPr>
              </m:fPr>
              <m:num>
                <m:r>
                  <m:rPr>
                    <m:nor/>
                  </m:rPr>
                  <w:rPr>
                    <w:rFonts w:cs="Arial"/>
                    <w:lang w:val="it-IT"/>
                  </w:rPr>
                  <m:t>4</m:t>
                </m:r>
                <m:sSub>
                  <m:sSubPr>
                    <m:ctrlPr>
                      <w:rPr>
                        <w:rFonts w:ascii="Cambria Math" w:hAnsi="Cambria Math" w:cs="Arial"/>
                      </w:rPr>
                    </m:ctrlPr>
                  </m:sSubPr>
                  <m:e>
                    <m:r>
                      <m:rPr>
                        <m:nor/>
                      </m:rPr>
                      <w:rPr>
                        <w:rFonts w:cs="Arial"/>
                        <w:lang w:val="it-IT"/>
                      </w:rPr>
                      <m:t>f</m:t>
                    </m:r>
                  </m:e>
                  <m:sub>
                    <m:r>
                      <m:rPr>
                        <m:nor/>
                      </m:rPr>
                      <w:rPr>
                        <w:rFonts w:cs="Arial"/>
                        <w:lang w:val="it-IT"/>
                      </w:rPr>
                      <m:t>s</m:t>
                    </m:r>
                  </m:sub>
                </m:sSub>
              </m:num>
              <m:den>
                <m:r>
                  <m:rPr>
                    <m:nor/>
                  </m:rPr>
                  <w:rPr>
                    <w:rFonts w:cs="Arial"/>
                    <w:lang w:val="it-IT"/>
                  </w:rPr>
                  <m:t>18</m:t>
                </m:r>
              </m:den>
            </m:f>
          </m:e>
        </m:d>
        <m:r>
          <m:rPr>
            <m:nor/>
          </m:rPr>
          <w:rPr>
            <w:rFonts w:cs="Arial"/>
            <w:lang w:val="it-IT"/>
          </w:rPr>
          <m:t>C</m:t>
        </m:r>
        <m:sSub>
          <m:sSubPr>
            <m:ctrlPr>
              <w:rPr>
                <w:rFonts w:ascii="Cambria Math" w:hAnsi="Cambria Math" w:cs="Arial"/>
              </w:rPr>
            </m:ctrlPr>
          </m:sSubPr>
          <m:e>
            <m:r>
              <m:rPr>
                <m:nor/>
              </m:rPr>
              <w:rPr>
                <w:rFonts w:cs="Arial"/>
                <w:lang w:val="it-IT"/>
              </w:rPr>
              <m:t>O</m:t>
            </m:r>
          </m:e>
          <m:sub>
            <m:r>
              <m:rPr>
                <m:nor/>
              </m:rPr>
              <w:rPr>
                <w:rFonts w:cs="Arial"/>
                <w:lang w:val="it-IT"/>
              </w:rPr>
              <m:t>2</m:t>
            </m:r>
          </m:sub>
        </m:sSub>
        <m:r>
          <m:rPr>
            <m:nor/>
          </m:rPr>
          <w:rPr>
            <w:rFonts w:cs="Arial"/>
            <w:lang w:val="it-IT"/>
          </w:rPr>
          <m:t>+</m:t>
        </m:r>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m:rPr>
                        <m:nor/>
                      </m:rPr>
                      <w:rPr>
                        <w:rFonts w:cs="Arial"/>
                        <w:lang w:val="it-IT"/>
                      </w:rPr>
                      <m:t>f</m:t>
                    </m:r>
                  </m:e>
                  <m:sub>
                    <m:r>
                      <m:rPr>
                        <m:nor/>
                      </m:rPr>
                      <w:rPr>
                        <w:rFonts w:cs="Arial"/>
                        <w:lang w:val="it-IT"/>
                      </w:rPr>
                      <m:t>e</m:t>
                    </m:r>
                  </m:sub>
                </m:sSub>
              </m:num>
              <m:den>
                <m:r>
                  <m:rPr>
                    <m:nor/>
                  </m:rPr>
                  <w:rPr>
                    <w:rFonts w:cs="Arial"/>
                    <w:lang w:val="it-IT"/>
                  </w:rPr>
                  <m:t>2</m:t>
                </m:r>
              </m:den>
            </m:f>
            <m:r>
              <m:rPr>
                <m:nor/>
              </m:rPr>
              <w:rPr>
                <w:rFonts w:cs="Arial"/>
                <w:lang w:val="it-IT"/>
              </w:rPr>
              <m:t>+</m:t>
            </m:r>
            <m:f>
              <m:fPr>
                <m:ctrlPr>
                  <w:rPr>
                    <w:rFonts w:ascii="Cambria Math" w:hAnsi="Cambria Math" w:cs="Arial"/>
                  </w:rPr>
                </m:ctrlPr>
              </m:fPr>
              <m:num>
                <m:sSub>
                  <m:sSubPr>
                    <m:ctrlPr>
                      <w:rPr>
                        <w:rFonts w:ascii="Cambria Math" w:hAnsi="Cambria Math" w:cs="Arial"/>
                      </w:rPr>
                    </m:ctrlPr>
                  </m:sSubPr>
                  <m:e>
                    <m:r>
                      <m:rPr>
                        <m:nor/>
                      </m:rPr>
                      <w:rPr>
                        <w:rFonts w:cs="Arial"/>
                        <w:lang w:val="it-IT"/>
                      </w:rPr>
                      <m:t>f</m:t>
                    </m:r>
                  </m:e>
                  <m:sub>
                    <m:r>
                      <m:rPr>
                        <m:nor/>
                      </m:rPr>
                      <w:rPr>
                        <w:rFonts w:cs="Arial"/>
                        <w:lang w:val="it-IT"/>
                      </w:rPr>
                      <m:t>s</m:t>
                    </m:r>
                  </m:sub>
                </m:sSub>
              </m:num>
              <m:den>
                <m:r>
                  <m:rPr>
                    <m:nor/>
                  </m:rPr>
                  <w:rPr>
                    <w:rFonts w:cs="Arial"/>
                    <w:lang w:val="it-IT"/>
                  </w:rPr>
                  <m:t>3</m:t>
                </m:r>
              </m:den>
            </m:f>
          </m:e>
        </m:d>
        <m:sSub>
          <m:sSubPr>
            <m:ctrlPr>
              <w:rPr>
                <w:rFonts w:ascii="Cambria Math" w:hAnsi="Cambria Math" w:cs="Arial"/>
              </w:rPr>
            </m:ctrlPr>
          </m:sSubPr>
          <m:e>
            <m:r>
              <m:rPr>
                <m:nor/>
              </m:rPr>
              <w:rPr>
                <w:rFonts w:cs="Arial"/>
                <w:lang w:val="it-IT"/>
              </w:rPr>
              <m:t>H</m:t>
            </m:r>
          </m:e>
          <m:sub>
            <m:r>
              <m:rPr>
                <m:nor/>
              </m:rPr>
              <w:rPr>
                <w:rFonts w:cs="Arial"/>
                <w:lang w:val="it-IT"/>
              </w:rPr>
              <m:t>2</m:t>
            </m:r>
          </m:sub>
        </m:sSub>
        <m:r>
          <m:rPr>
            <m:nor/>
          </m:rPr>
          <w:rPr>
            <w:rFonts w:cs="Arial"/>
            <w:lang w:val="it-IT"/>
          </w:rPr>
          <m:t>O+</m:t>
        </m:r>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m:rPr>
                        <m:nor/>
                      </m:rPr>
                      <w:rPr>
                        <w:rFonts w:cs="Arial"/>
                        <w:lang w:val="it-IT"/>
                      </w:rPr>
                      <m:t>f</m:t>
                    </m:r>
                  </m:e>
                  <m:sub>
                    <m:r>
                      <m:rPr>
                        <m:nor/>
                      </m:rPr>
                      <w:rPr>
                        <w:rFonts w:cs="Arial"/>
                        <w:lang w:val="it-IT"/>
                      </w:rPr>
                      <m:t>s</m:t>
                    </m:r>
                  </m:sub>
                </m:sSub>
              </m:num>
              <m:den>
                <m:r>
                  <m:rPr>
                    <m:nor/>
                  </m:rPr>
                  <w:rPr>
                    <w:rFonts w:cs="Arial"/>
                    <w:lang w:val="it-IT"/>
                  </w:rPr>
                  <m:t>18</m:t>
                </m:r>
              </m:den>
            </m:f>
          </m:e>
        </m:d>
        <m:sSub>
          <m:sSubPr>
            <m:ctrlPr>
              <w:rPr>
                <w:rFonts w:ascii="Cambria Math" w:hAnsi="Cambria Math" w:cs="Arial"/>
              </w:rPr>
            </m:ctrlPr>
          </m:sSubPr>
          <m:e>
            <m:r>
              <m:rPr>
                <m:nor/>
              </m:rPr>
              <w:rPr>
                <w:rFonts w:cs="Arial"/>
                <w:lang w:val="it-IT"/>
              </w:rPr>
              <m:t>C</m:t>
            </m:r>
          </m:e>
          <m:sub>
            <m:r>
              <m:rPr>
                <m:nor/>
              </m:rPr>
              <w:rPr>
                <w:rFonts w:cs="Arial"/>
                <w:lang w:val="it-IT"/>
              </w:rPr>
              <m:t>4</m:t>
            </m:r>
          </m:sub>
        </m:sSub>
        <m:sSub>
          <m:sSubPr>
            <m:ctrlPr>
              <w:rPr>
                <w:rFonts w:ascii="Cambria Math" w:hAnsi="Cambria Math" w:cs="Arial"/>
              </w:rPr>
            </m:ctrlPr>
          </m:sSubPr>
          <m:e>
            <m:r>
              <m:rPr>
                <m:nor/>
              </m:rPr>
              <w:rPr>
                <w:rFonts w:cs="Arial"/>
                <w:lang w:val="it-IT"/>
              </w:rPr>
              <m:t>H</m:t>
            </m:r>
          </m:e>
          <m:sub>
            <m:r>
              <m:rPr>
                <m:nor/>
              </m:rPr>
              <w:rPr>
                <w:rFonts w:cs="Arial"/>
                <w:lang w:val="it-IT"/>
              </w:rPr>
              <m:t>6</m:t>
            </m:r>
          </m:sub>
        </m:sSub>
        <m:sSub>
          <m:sSubPr>
            <m:ctrlPr>
              <w:rPr>
                <w:rFonts w:ascii="Cambria Math" w:hAnsi="Cambria Math" w:cs="Arial"/>
              </w:rPr>
            </m:ctrlPr>
          </m:sSubPr>
          <m:e>
            <m:r>
              <m:rPr>
                <m:nor/>
              </m:rPr>
              <w:rPr>
                <w:rFonts w:cs="Arial"/>
                <w:lang w:val="it-IT"/>
              </w:rPr>
              <m:t>O</m:t>
            </m:r>
          </m:e>
          <m:sub>
            <m:r>
              <m:rPr>
                <m:nor/>
              </m:rPr>
              <w:rPr>
                <w:rFonts w:cs="Arial"/>
                <w:lang w:val="it-IT"/>
              </w:rPr>
              <m:t xml:space="preserve">2  </m:t>
            </m:r>
          </m:sub>
        </m:sSub>
      </m:oMath>
      <w:r w:rsidR="00080309" w:rsidRPr="00770290">
        <w:rPr>
          <w:rFonts w:cs="Arial"/>
          <w:lang w:val="it-IT"/>
        </w:rPr>
        <w:t xml:space="preserve">                                                                  </w:t>
      </w:r>
      <w:r w:rsidR="00B4090C" w:rsidRPr="00770290">
        <w:rPr>
          <w:rFonts w:cs="Arial"/>
          <w:lang w:val="it-IT"/>
        </w:rPr>
        <w:t xml:space="preserve">        </w:t>
      </w:r>
      <w:r w:rsidR="00080309" w:rsidRPr="00770290">
        <w:rPr>
          <w:rFonts w:cs="Arial"/>
          <w:lang w:val="it-IT"/>
        </w:rPr>
        <w:t xml:space="preserve">   (2)</w:t>
      </w:r>
    </w:p>
    <w:p w14:paraId="4C601502" w14:textId="298879AC" w:rsidR="00383BE7" w:rsidRPr="00770290" w:rsidRDefault="00E975FE" w:rsidP="00E975FE">
      <w:pPr>
        <w:pStyle w:val="CETTabletitle"/>
      </w:pPr>
      <w:r w:rsidRPr="00770290">
        <w:t xml:space="preserve">Table 1: </w:t>
      </w:r>
      <w:r w:rsidR="007E42C3" w:rsidRPr="00770290">
        <w:t>C</w:t>
      </w:r>
      <w:r w:rsidR="00A35A21" w:rsidRPr="00770290">
        <w:t>omponents involved in the process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418"/>
        <w:gridCol w:w="1276"/>
      </w:tblGrid>
      <w:tr w:rsidR="00B2269B" w:rsidRPr="00770290" w14:paraId="04B8146F" w14:textId="77777777" w:rsidTr="00004F9D">
        <w:tc>
          <w:tcPr>
            <w:tcW w:w="1701" w:type="dxa"/>
            <w:tcBorders>
              <w:top w:val="single" w:sz="12" w:space="0" w:color="008000"/>
              <w:bottom w:val="single" w:sz="6" w:space="0" w:color="008000"/>
            </w:tcBorders>
            <w:shd w:val="clear" w:color="auto" w:fill="FFFFFF"/>
          </w:tcPr>
          <w:p w14:paraId="4317882A" w14:textId="31ADC3EF" w:rsidR="00B2269B" w:rsidRPr="00770290" w:rsidRDefault="00B2269B" w:rsidP="00B72F6E">
            <w:pPr>
              <w:pStyle w:val="CETBodytext"/>
              <w:rPr>
                <w:lang w:val="en-GB"/>
              </w:rPr>
            </w:pPr>
            <w:r w:rsidRPr="00770290">
              <w:rPr>
                <w:lang w:val="en-GB"/>
              </w:rPr>
              <w:t>Component</w:t>
            </w:r>
          </w:p>
        </w:tc>
        <w:tc>
          <w:tcPr>
            <w:tcW w:w="1418" w:type="dxa"/>
            <w:tcBorders>
              <w:top w:val="single" w:sz="12" w:space="0" w:color="008000"/>
              <w:bottom w:val="single" w:sz="6" w:space="0" w:color="008000"/>
            </w:tcBorders>
            <w:shd w:val="clear" w:color="auto" w:fill="FFFFFF"/>
          </w:tcPr>
          <w:p w14:paraId="78CF79B0" w14:textId="4266D261" w:rsidR="00B2269B" w:rsidRPr="00770290" w:rsidRDefault="00B2269B" w:rsidP="00B72F6E">
            <w:pPr>
              <w:pStyle w:val="CETBodytext"/>
              <w:rPr>
                <w:lang w:val="en-GB"/>
              </w:rPr>
            </w:pPr>
            <w:r w:rsidRPr="00770290">
              <w:rPr>
                <w:lang w:val="en-GB"/>
              </w:rPr>
              <w:t>Liquid stream</w:t>
            </w:r>
          </w:p>
        </w:tc>
        <w:tc>
          <w:tcPr>
            <w:tcW w:w="1276" w:type="dxa"/>
            <w:tcBorders>
              <w:top w:val="single" w:sz="12" w:space="0" w:color="008000"/>
              <w:bottom w:val="single" w:sz="6" w:space="0" w:color="008000"/>
            </w:tcBorders>
            <w:shd w:val="clear" w:color="auto" w:fill="FFFFFF"/>
          </w:tcPr>
          <w:p w14:paraId="4A7C4B40" w14:textId="2DAC0D8B" w:rsidR="00B2269B" w:rsidRPr="00770290" w:rsidRDefault="00B2269B" w:rsidP="00B72F6E">
            <w:pPr>
              <w:pStyle w:val="CETBodytext"/>
              <w:rPr>
                <w:lang w:val="en-GB"/>
              </w:rPr>
            </w:pPr>
            <w:r w:rsidRPr="00770290">
              <w:rPr>
                <w:lang w:val="en-GB"/>
              </w:rPr>
              <w:t>Gas stream</w:t>
            </w:r>
          </w:p>
        </w:tc>
      </w:tr>
      <w:tr w:rsidR="00B2269B" w:rsidRPr="00770290" w14:paraId="4A5B0147" w14:textId="77777777" w:rsidTr="00004F9D">
        <w:tc>
          <w:tcPr>
            <w:tcW w:w="1701" w:type="dxa"/>
            <w:shd w:val="clear" w:color="auto" w:fill="FFFFFF"/>
          </w:tcPr>
          <w:p w14:paraId="24F490A9" w14:textId="12CEC7A7" w:rsidR="00B2269B" w:rsidRPr="00770290" w:rsidRDefault="00B2269B" w:rsidP="00383BE7">
            <w:pPr>
              <w:pStyle w:val="CETBodytext"/>
              <w:rPr>
                <w:lang w:val="en-GB"/>
              </w:rPr>
            </w:pPr>
            <w:r w:rsidRPr="00770290">
              <w:t>Water</w:t>
            </w:r>
          </w:p>
        </w:tc>
        <w:tc>
          <w:tcPr>
            <w:tcW w:w="1418" w:type="dxa"/>
            <w:shd w:val="clear" w:color="auto" w:fill="FFFFFF"/>
          </w:tcPr>
          <w:p w14:paraId="555E6EEC" w14:textId="018D7A59" w:rsidR="00B2269B" w:rsidRPr="00770290" w:rsidRDefault="00B2269B" w:rsidP="00383BE7">
            <w:pPr>
              <w:pStyle w:val="CETBodytext"/>
              <w:rPr>
                <w:lang w:val="en-GB"/>
              </w:rPr>
            </w:pPr>
            <w:r w:rsidRPr="00770290">
              <w:rPr>
                <w:rFonts w:cs="Arial"/>
                <w:lang w:val="en-GB"/>
              </w:rPr>
              <w:t>●</w:t>
            </w:r>
          </w:p>
        </w:tc>
        <w:tc>
          <w:tcPr>
            <w:tcW w:w="1276" w:type="dxa"/>
            <w:shd w:val="clear" w:color="auto" w:fill="FFFFFF"/>
          </w:tcPr>
          <w:p w14:paraId="22D2312C" w14:textId="77777777" w:rsidR="00B2269B" w:rsidRPr="00770290" w:rsidRDefault="00B2269B" w:rsidP="00383BE7">
            <w:pPr>
              <w:pStyle w:val="CETBodytext"/>
              <w:rPr>
                <w:lang w:val="en-GB"/>
              </w:rPr>
            </w:pPr>
          </w:p>
        </w:tc>
      </w:tr>
      <w:tr w:rsidR="00B2269B" w:rsidRPr="00770290" w14:paraId="0CA9F46E" w14:textId="77777777" w:rsidTr="00004F9D">
        <w:tc>
          <w:tcPr>
            <w:tcW w:w="1701" w:type="dxa"/>
            <w:shd w:val="clear" w:color="auto" w:fill="FFFFFF"/>
          </w:tcPr>
          <w:p w14:paraId="204CEA4B" w14:textId="784EE69C" w:rsidR="00B2269B" w:rsidRPr="00770290" w:rsidRDefault="00B2269B" w:rsidP="00383BE7">
            <w:pPr>
              <w:pStyle w:val="CETBodytext"/>
              <w:ind w:right="-1"/>
              <w:rPr>
                <w:rFonts w:cs="Arial"/>
                <w:szCs w:val="18"/>
                <w:lang w:val="en-GB"/>
              </w:rPr>
            </w:pPr>
            <w:r w:rsidRPr="00770290">
              <w:t>Biomass</w:t>
            </w:r>
          </w:p>
        </w:tc>
        <w:tc>
          <w:tcPr>
            <w:tcW w:w="1418" w:type="dxa"/>
            <w:shd w:val="clear" w:color="auto" w:fill="FFFFFF"/>
          </w:tcPr>
          <w:p w14:paraId="41C50F7F" w14:textId="753282E7" w:rsidR="00B2269B" w:rsidRPr="00770290" w:rsidRDefault="00B2269B" w:rsidP="00383BE7">
            <w:pPr>
              <w:pStyle w:val="CETBodytext"/>
              <w:ind w:right="-1"/>
              <w:rPr>
                <w:rFonts w:cs="Arial"/>
                <w:szCs w:val="18"/>
                <w:lang w:val="en-GB"/>
              </w:rPr>
            </w:pPr>
            <w:r w:rsidRPr="00770290">
              <w:rPr>
                <w:rFonts w:cs="Arial"/>
                <w:lang w:val="en-GB"/>
              </w:rPr>
              <w:t>●</w:t>
            </w:r>
          </w:p>
        </w:tc>
        <w:tc>
          <w:tcPr>
            <w:tcW w:w="1276" w:type="dxa"/>
            <w:shd w:val="clear" w:color="auto" w:fill="FFFFFF"/>
          </w:tcPr>
          <w:p w14:paraId="3FF04338" w14:textId="77777777" w:rsidR="00B2269B" w:rsidRPr="00770290" w:rsidRDefault="00B2269B" w:rsidP="00383BE7">
            <w:pPr>
              <w:pStyle w:val="CETBodytext"/>
              <w:ind w:right="-1"/>
              <w:rPr>
                <w:rFonts w:cs="Arial"/>
                <w:szCs w:val="18"/>
                <w:lang w:val="en-GB"/>
              </w:rPr>
            </w:pPr>
          </w:p>
        </w:tc>
      </w:tr>
      <w:tr w:rsidR="00B2269B" w:rsidRPr="00770290" w14:paraId="5CF183C5" w14:textId="77777777" w:rsidTr="00004F9D">
        <w:tc>
          <w:tcPr>
            <w:tcW w:w="1701" w:type="dxa"/>
            <w:shd w:val="clear" w:color="auto" w:fill="FFFFFF"/>
          </w:tcPr>
          <w:p w14:paraId="5DC0E0CA" w14:textId="4D2C102D" w:rsidR="00B2269B" w:rsidRPr="00770290" w:rsidRDefault="00B2269B" w:rsidP="00383BE7">
            <w:pPr>
              <w:pStyle w:val="CETBodytext"/>
              <w:ind w:right="-1"/>
            </w:pPr>
            <w:r w:rsidRPr="00770290">
              <w:t>PHB</w:t>
            </w:r>
          </w:p>
        </w:tc>
        <w:tc>
          <w:tcPr>
            <w:tcW w:w="1418" w:type="dxa"/>
            <w:shd w:val="clear" w:color="auto" w:fill="FFFFFF"/>
          </w:tcPr>
          <w:p w14:paraId="4B7C80B8" w14:textId="56FC9F58" w:rsidR="00B2269B" w:rsidRPr="00770290" w:rsidRDefault="00B2269B" w:rsidP="00383BE7">
            <w:pPr>
              <w:pStyle w:val="CETBodytext"/>
              <w:ind w:right="-1"/>
              <w:rPr>
                <w:rFonts w:cs="Arial"/>
                <w:szCs w:val="18"/>
                <w:lang w:val="en-GB"/>
              </w:rPr>
            </w:pPr>
            <w:r w:rsidRPr="00770290">
              <w:rPr>
                <w:rFonts w:cs="Arial"/>
                <w:lang w:val="en-GB"/>
              </w:rPr>
              <w:t>●</w:t>
            </w:r>
          </w:p>
        </w:tc>
        <w:tc>
          <w:tcPr>
            <w:tcW w:w="1276" w:type="dxa"/>
            <w:shd w:val="clear" w:color="auto" w:fill="FFFFFF"/>
          </w:tcPr>
          <w:p w14:paraId="0262FCCC" w14:textId="77777777" w:rsidR="00B2269B" w:rsidRPr="00770290" w:rsidRDefault="00B2269B" w:rsidP="00383BE7">
            <w:pPr>
              <w:pStyle w:val="CETBodytext"/>
              <w:ind w:right="-1"/>
              <w:rPr>
                <w:rFonts w:cs="Arial"/>
                <w:szCs w:val="18"/>
                <w:lang w:val="en-GB"/>
              </w:rPr>
            </w:pPr>
          </w:p>
        </w:tc>
      </w:tr>
      <w:tr w:rsidR="00B2269B" w:rsidRPr="00770290" w14:paraId="2636C07B" w14:textId="77777777" w:rsidTr="00004F9D">
        <w:tc>
          <w:tcPr>
            <w:tcW w:w="1701" w:type="dxa"/>
            <w:shd w:val="clear" w:color="auto" w:fill="FFFFFF"/>
          </w:tcPr>
          <w:p w14:paraId="2E3EBF61" w14:textId="4EF4C1FA" w:rsidR="00B2269B" w:rsidRPr="00770290" w:rsidRDefault="00B2269B" w:rsidP="00383BE7">
            <w:pPr>
              <w:pStyle w:val="CETBodytext"/>
              <w:ind w:right="-1"/>
            </w:pPr>
            <w:r w:rsidRPr="00770290">
              <w:t>Carbon dioxide</w:t>
            </w:r>
          </w:p>
        </w:tc>
        <w:tc>
          <w:tcPr>
            <w:tcW w:w="1418" w:type="dxa"/>
            <w:shd w:val="clear" w:color="auto" w:fill="FFFFFF"/>
          </w:tcPr>
          <w:p w14:paraId="3840C87A" w14:textId="77777777" w:rsidR="00B2269B" w:rsidRPr="00770290" w:rsidRDefault="00B2269B" w:rsidP="00383BE7">
            <w:pPr>
              <w:pStyle w:val="CETBodytext"/>
              <w:ind w:right="-1"/>
              <w:rPr>
                <w:rFonts w:cs="Arial"/>
                <w:szCs w:val="18"/>
                <w:lang w:val="en-GB"/>
              </w:rPr>
            </w:pPr>
          </w:p>
        </w:tc>
        <w:tc>
          <w:tcPr>
            <w:tcW w:w="1276" w:type="dxa"/>
            <w:shd w:val="clear" w:color="auto" w:fill="FFFFFF"/>
          </w:tcPr>
          <w:p w14:paraId="2857BACD" w14:textId="0249C24D" w:rsidR="00B2269B" w:rsidRPr="00770290" w:rsidRDefault="00B2269B" w:rsidP="00383BE7">
            <w:pPr>
              <w:pStyle w:val="CETBodytext"/>
              <w:ind w:right="-1"/>
              <w:rPr>
                <w:rFonts w:cs="Arial"/>
                <w:szCs w:val="18"/>
                <w:lang w:val="en-GB"/>
              </w:rPr>
            </w:pPr>
            <w:r w:rsidRPr="00770290">
              <w:rPr>
                <w:rFonts w:cs="Arial"/>
                <w:lang w:val="en-GB"/>
              </w:rPr>
              <w:t>●</w:t>
            </w:r>
          </w:p>
        </w:tc>
      </w:tr>
      <w:tr w:rsidR="00B2269B" w:rsidRPr="00770290" w14:paraId="781ECBD4" w14:textId="77777777" w:rsidTr="00004F9D">
        <w:tc>
          <w:tcPr>
            <w:tcW w:w="1701" w:type="dxa"/>
            <w:shd w:val="clear" w:color="auto" w:fill="FFFFFF"/>
          </w:tcPr>
          <w:p w14:paraId="3D4E1D3A" w14:textId="354147DB" w:rsidR="00B2269B" w:rsidRPr="00770290" w:rsidRDefault="00B2269B" w:rsidP="00383BE7">
            <w:pPr>
              <w:pStyle w:val="CETBodytext"/>
              <w:ind w:right="-1"/>
            </w:pPr>
            <w:r w:rsidRPr="00770290">
              <w:t>Methane</w:t>
            </w:r>
          </w:p>
        </w:tc>
        <w:tc>
          <w:tcPr>
            <w:tcW w:w="1418" w:type="dxa"/>
            <w:shd w:val="clear" w:color="auto" w:fill="FFFFFF"/>
          </w:tcPr>
          <w:p w14:paraId="78C403F2" w14:textId="77777777" w:rsidR="00B2269B" w:rsidRPr="00770290" w:rsidRDefault="00B2269B" w:rsidP="00383BE7">
            <w:pPr>
              <w:pStyle w:val="CETBodytext"/>
              <w:ind w:right="-1"/>
              <w:rPr>
                <w:rFonts w:cs="Arial"/>
                <w:szCs w:val="18"/>
                <w:lang w:val="en-GB"/>
              </w:rPr>
            </w:pPr>
          </w:p>
        </w:tc>
        <w:tc>
          <w:tcPr>
            <w:tcW w:w="1276" w:type="dxa"/>
            <w:shd w:val="clear" w:color="auto" w:fill="FFFFFF"/>
          </w:tcPr>
          <w:p w14:paraId="12D85EDE" w14:textId="0BA756BD" w:rsidR="00B2269B" w:rsidRPr="00770290" w:rsidRDefault="00B2269B" w:rsidP="00383BE7">
            <w:pPr>
              <w:pStyle w:val="CETBodytext"/>
              <w:ind w:right="-1"/>
              <w:rPr>
                <w:rFonts w:cs="Arial"/>
                <w:szCs w:val="18"/>
                <w:lang w:val="en-GB"/>
              </w:rPr>
            </w:pPr>
            <w:r w:rsidRPr="00770290">
              <w:rPr>
                <w:rFonts w:cs="Arial"/>
                <w:lang w:val="en-GB"/>
              </w:rPr>
              <w:t>●</w:t>
            </w:r>
          </w:p>
        </w:tc>
      </w:tr>
      <w:tr w:rsidR="00B2269B" w:rsidRPr="00770290" w14:paraId="4859814B" w14:textId="77777777" w:rsidTr="00004F9D">
        <w:tc>
          <w:tcPr>
            <w:tcW w:w="1701" w:type="dxa"/>
            <w:shd w:val="clear" w:color="auto" w:fill="FFFFFF"/>
          </w:tcPr>
          <w:p w14:paraId="0C0794C3" w14:textId="645F883B" w:rsidR="00B2269B" w:rsidRPr="00770290" w:rsidRDefault="00B2269B" w:rsidP="00383BE7">
            <w:pPr>
              <w:pStyle w:val="CETBodytext"/>
              <w:ind w:right="-1"/>
            </w:pPr>
            <w:r w:rsidRPr="00770290">
              <w:t>Oxygen</w:t>
            </w:r>
          </w:p>
        </w:tc>
        <w:tc>
          <w:tcPr>
            <w:tcW w:w="1418" w:type="dxa"/>
            <w:shd w:val="clear" w:color="auto" w:fill="FFFFFF"/>
          </w:tcPr>
          <w:p w14:paraId="19E2A30E" w14:textId="77777777" w:rsidR="00B2269B" w:rsidRPr="00770290" w:rsidRDefault="00B2269B" w:rsidP="00383BE7">
            <w:pPr>
              <w:pStyle w:val="CETBodytext"/>
              <w:ind w:right="-1"/>
              <w:rPr>
                <w:rFonts w:cs="Arial"/>
                <w:szCs w:val="18"/>
                <w:lang w:val="en-GB"/>
              </w:rPr>
            </w:pPr>
          </w:p>
        </w:tc>
        <w:tc>
          <w:tcPr>
            <w:tcW w:w="1276" w:type="dxa"/>
            <w:shd w:val="clear" w:color="auto" w:fill="FFFFFF"/>
          </w:tcPr>
          <w:p w14:paraId="26961BFD" w14:textId="6A000CEC" w:rsidR="00B2269B" w:rsidRPr="00770290" w:rsidRDefault="00B2269B" w:rsidP="00383BE7">
            <w:pPr>
              <w:pStyle w:val="CETBodytext"/>
              <w:ind w:right="-1"/>
              <w:rPr>
                <w:rFonts w:cs="Arial"/>
                <w:szCs w:val="18"/>
                <w:lang w:val="en-GB"/>
              </w:rPr>
            </w:pPr>
            <w:r w:rsidRPr="00770290">
              <w:rPr>
                <w:rFonts w:cs="Arial"/>
                <w:lang w:val="en-GB"/>
              </w:rPr>
              <w:t>●</w:t>
            </w:r>
          </w:p>
        </w:tc>
      </w:tr>
      <w:tr w:rsidR="00B2269B" w:rsidRPr="00770290" w14:paraId="6457E9AB" w14:textId="77777777" w:rsidTr="00004F9D">
        <w:tc>
          <w:tcPr>
            <w:tcW w:w="1701" w:type="dxa"/>
            <w:shd w:val="clear" w:color="auto" w:fill="FFFFFF"/>
          </w:tcPr>
          <w:p w14:paraId="4F14BF3E" w14:textId="0928E9BF" w:rsidR="00B2269B" w:rsidRPr="00770290" w:rsidRDefault="00B2269B" w:rsidP="00383BE7">
            <w:pPr>
              <w:pStyle w:val="CETBodytext"/>
              <w:ind w:right="-1"/>
            </w:pPr>
            <w:r w:rsidRPr="00770290">
              <w:t>Nitrate</w:t>
            </w:r>
          </w:p>
        </w:tc>
        <w:tc>
          <w:tcPr>
            <w:tcW w:w="1418" w:type="dxa"/>
            <w:shd w:val="clear" w:color="auto" w:fill="FFFFFF"/>
          </w:tcPr>
          <w:p w14:paraId="69F993A6" w14:textId="432B2AE9" w:rsidR="00B2269B" w:rsidRPr="00770290" w:rsidRDefault="00B2269B" w:rsidP="00383BE7">
            <w:pPr>
              <w:pStyle w:val="CETBodytext"/>
              <w:ind w:right="-1"/>
              <w:rPr>
                <w:rFonts w:cs="Arial"/>
                <w:szCs w:val="18"/>
                <w:lang w:val="en-GB"/>
              </w:rPr>
            </w:pPr>
            <w:r w:rsidRPr="00770290">
              <w:rPr>
                <w:rFonts w:cs="Arial"/>
                <w:lang w:val="en-GB"/>
              </w:rPr>
              <w:t>●</w:t>
            </w:r>
          </w:p>
        </w:tc>
        <w:tc>
          <w:tcPr>
            <w:tcW w:w="1276" w:type="dxa"/>
            <w:shd w:val="clear" w:color="auto" w:fill="FFFFFF"/>
          </w:tcPr>
          <w:p w14:paraId="26A23740" w14:textId="77777777" w:rsidR="00B2269B" w:rsidRPr="00770290" w:rsidRDefault="00B2269B" w:rsidP="00383BE7">
            <w:pPr>
              <w:pStyle w:val="CETBodytext"/>
              <w:ind w:right="-1"/>
              <w:rPr>
                <w:rFonts w:cs="Arial"/>
                <w:szCs w:val="18"/>
                <w:lang w:val="en-GB"/>
              </w:rPr>
            </w:pPr>
          </w:p>
        </w:tc>
      </w:tr>
      <w:tr w:rsidR="00B2269B" w:rsidRPr="00770290" w14:paraId="41CB5D30" w14:textId="77777777" w:rsidTr="00004F9D">
        <w:tc>
          <w:tcPr>
            <w:tcW w:w="1701" w:type="dxa"/>
            <w:shd w:val="clear" w:color="auto" w:fill="FFFFFF"/>
          </w:tcPr>
          <w:p w14:paraId="737F6E3B" w14:textId="3AB52E08" w:rsidR="00B2269B" w:rsidRPr="00770290" w:rsidRDefault="00B2269B" w:rsidP="00383BE7">
            <w:pPr>
              <w:pStyle w:val="CETBodytext"/>
              <w:ind w:right="-1"/>
            </w:pPr>
            <w:r w:rsidRPr="00770290">
              <w:t>Nitrogen</w:t>
            </w:r>
          </w:p>
        </w:tc>
        <w:tc>
          <w:tcPr>
            <w:tcW w:w="1418" w:type="dxa"/>
            <w:shd w:val="clear" w:color="auto" w:fill="FFFFFF"/>
          </w:tcPr>
          <w:p w14:paraId="7AB4D341" w14:textId="77777777" w:rsidR="00B2269B" w:rsidRPr="00770290" w:rsidRDefault="00B2269B" w:rsidP="00383BE7">
            <w:pPr>
              <w:pStyle w:val="CETBodytext"/>
              <w:ind w:right="-1"/>
              <w:rPr>
                <w:rFonts w:cs="Arial"/>
                <w:szCs w:val="18"/>
                <w:lang w:val="en-GB"/>
              </w:rPr>
            </w:pPr>
          </w:p>
        </w:tc>
        <w:tc>
          <w:tcPr>
            <w:tcW w:w="1276" w:type="dxa"/>
            <w:shd w:val="clear" w:color="auto" w:fill="FFFFFF"/>
          </w:tcPr>
          <w:p w14:paraId="06196545" w14:textId="5B293AE6" w:rsidR="00B2269B" w:rsidRPr="00770290" w:rsidRDefault="00B2269B" w:rsidP="00383BE7">
            <w:pPr>
              <w:pStyle w:val="CETBodytext"/>
              <w:ind w:right="-1"/>
              <w:rPr>
                <w:rFonts w:cs="Arial"/>
                <w:szCs w:val="18"/>
                <w:lang w:val="en-GB"/>
              </w:rPr>
            </w:pPr>
            <w:r w:rsidRPr="00770290">
              <w:rPr>
                <w:rFonts w:cs="Arial"/>
                <w:lang w:val="en-GB"/>
              </w:rPr>
              <w:t>●</w:t>
            </w:r>
          </w:p>
        </w:tc>
      </w:tr>
    </w:tbl>
    <w:p w14:paraId="1EBFD6B4" w14:textId="47304B74" w:rsidR="002059FB" w:rsidRPr="00770290" w:rsidRDefault="002059FB" w:rsidP="002521A1">
      <w:pPr>
        <w:pStyle w:val="CETBodytext"/>
      </w:pPr>
    </w:p>
    <w:p w14:paraId="379EED30" w14:textId="0996E844" w:rsidR="008D7D04" w:rsidRPr="00770290" w:rsidRDefault="002521A1" w:rsidP="00966B16">
      <w:pPr>
        <w:pStyle w:val="CETheadingx"/>
      </w:pPr>
      <w:r w:rsidRPr="00770290">
        <w:t>Mass transfer study</w:t>
      </w:r>
    </w:p>
    <w:p w14:paraId="0488721E" w14:textId="34C9C73E" w:rsidR="00040E1F" w:rsidRPr="00770290" w:rsidRDefault="008D6E8E" w:rsidP="007A3796">
      <w:pPr>
        <w:rPr>
          <w:lang w:val="en-US"/>
        </w:rPr>
      </w:pPr>
      <w:r w:rsidRPr="00770290">
        <w:rPr>
          <w:lang w:val="en-US"/>
        </w:rPr>
        <w:t>Gas</w:t>
      </w:r>
      <w:r w:rsidR="005D184F" w:rsidRPr="00770290">
        <w:rPr>
          <w:lang w:val="en-US"/>
        </w:rPr>
        <w:t>-</w:t>
      </w:r>
      <w:r w:rsidRPr="00770290">
        <w:rPr>
          <w:lang w:val="en-US"/>
        </w:rPr>
        <w:t xml:space="preserve">liquid mass transfer is one of the major </w:t>
      </w:r>
      <w:r w:rsidR="00C97E56" w:rsidRPr="00770290">
        <w:rPr>
          <w:lang w:val="en-US"/>
        </w:rPr>
        <w:t>hindrances</w:t>
      </w:r>
      <w:r w:rsidRPr="00770290">
        <w:rPr>
          <w:lang w:val="en-US"/>
        </w:rPr>
        <w:t xml:space="preserve"> in methanotrophic </w:t>
      </w:r>
      <w:r w:rsidR="00C97E56" w:rsidRPr="00770290">
        <w:rPr>
          <w:lang w:val="en-US"/>
        </w:rPr>
        <w:t xml:space="preserve">fermentations because </w:t>
      </w:r>
      <w:r w:rsidR="00040E1F" w:rsidRPr="00770290">
        <w:rPr>
          <w:lang w:val="en-US"/>
        </w:rPr>
        <w:t>the low solubility of methane limits the availability of the carbon source in the culture medium</w:t>
      </w:r>
      <w:r w:rsidR="005D184F" w:rsidRPr="00770290">
        <w:rPr>
          <w:lang w:val="en-US"/>
        </w:rPr>
        <w:t>. T</w:t>
      </w:r>
      <w:r w:rsidR="007A3796" w:rsidRPr="00770290">
        <w:rPr>
          <w:lang w:val="en-US"/>
        </w:rPr>
        <w:t>herefore</w:t>
      </w:r>
      <w:r w:rsidR="005D184F" w:rsidRPr="00770290">
        <w:rPr>
          <w:lang w:val="en-US"/>
        </w:rPr>
        <w:t>,</w:t>
      </w:r>
      <w:r w:rsidR="00040E1F" w:rsidRPr="00770290">
        <w:rPr>
          <w:lang w:val="en-US"/>
        </w:rPr>
        <w:t xml:space="preserve"> the estimation of</w:t>
      </w:r>
      <w:r w:rsidRPr="00770290">
        <w:rPr>
          <w:lang w:val="en-US"/>
        </w:rPr>
        <w:t xml:space="preserve"> the parameters that control the mass transfer</w:t>
      </w:r>
      <w:r w:rsidR="00040E1F" w:rsidRPr="00770290">
        <w:rPr>
          <w:lang w:val="en-US"/>
        </w:rPr>
        <w:t xml:space="preserve"> is </w:t>
      </w:r>
      <w:r w:rsidR="009F672B" w:rsidRPr="00770290">
        <w:rPr>
          <w:lang w:val="en-US"/>
        </w:rPr>
        <w:t>paramount.</w:t>
      </w:r>
    </w:p>
    <w:p w14:paraId="0D039D81" w14:textId="5D6DFA9D" w:rsidR="00966B16" w:rsidRPr="00770290" w:rsidRDefault="00040E1F" w:rsidP="00966B16">
      <w:r w:rsidRPr="00770290">
        <w:rPr>
          <w:lang w:val="en-US"/>
        </w:rPr>
        <w:t>In this work</w:t>
      </w:r>
      <w:r w:rsidR="00C97E56" w:rsidRPr="00770290">
        <w:rPr>
          <w:lang w:val="en-US"/>
        </w:rPr>
        <w:t>,</w:t>
      </w:r>
      <w:r w:rsidRPr="00770290">
        <w:rPr>
          <w:lang w:val="en-US"/>
        </w:rPr>
        <w:t xml:space="preserve"> </w:t>
      </w:r>
      <w:r w:rsidR="008D6E8E" w:rsidRPr="00770290">
        <w:rPr>
          <w:lang w:val="en-US"/>
        </w:rPr>
        <w:t xml:space="preserve">the liquid side mass transfer coefficient </w:t>
      </w:r>
      <w:r w:rsidR="009F672B" w:rsidRPr="00770290">
        <w:rPr>
          <w:lang w:val="en-US"/>
        </w:rPr>
        <w:t>(</w:t>
      </w:r>
      <w:proofErr w:type="spellStart"/>
      <w:r w:rsidR="009F672B" w:rsidRPr="00770290">
        <w:rPr>
          <w:i/>
          <w:iCs/>
        </w:rPr>
        <w:t>k</w:t>
      </w:r>
      <w:r w:rsidR="009F672B" w:rsidRPr="00770290">
        <w:rPr>
          <w:i/>
          <w:iCs/>
          <w:vertAlign w:val="subscript"/>
        </w:rPr>
        <w:t>L</w:t>
      </w:r>
      <w:proofErr w:type="spellEnd"/>
      <w:r w:rsidR="009F672B" w:rsidRPr="00770290">
        <w:t xml:space="preserve">) </w:t>
      </w:r>
      <w:r w:rsidR="00C97E56" w:rsidRPr="00770290">
        <w:t xml:space="preserve">was estimated </w:t>
      </w:r>
      <w:r w:rsidR="00C97E56" w:rsidRPr="00770290">
        <w:rPr>
          <w:lang w:val="en-US"/>
        </w:rPr>
        <w:t xml:space="preserve">according to </w:t>
      </w:r>
      <w:proofErr w:type="spellStart"/>
      <w:r w:rsidR="00C97E56" w:rsidRPr="00770290">
        <w:rPr>
          <w:lang w:val="en-US"/>
        </w:rPr>
        <w:t>Higbie’s</w:t>
      </w:r>
      <w:proofErr w:type="spellEnd"/>
      <w:r w:rsidR="00C97E56" w:rsidRPr="00770290">
        <w:rPr>
          <w:lang w:val="en-US"/>
        </w:rPr>
        <w:t xml:space="preserve"> equation for bubbles larger than 2</w:t>
      </w:r>
      <w:r w:rsidR="00A97F4A" w:rsidRPr="00770290">
        <w:rPr>
          <w:lang w:val="en-US"/>
        </w:rPr>
        <w:t>.</w:t>
      </w:r>
      <w:r w:rsidR="00C97E56" w:rsidRPr="00770290">
        <w:rPr>
          <w:lang w:val="en-US"/>
        </w:rPr>
        <w:t>5</w:t>
      </w:r>
      <w:r w:rsidR="003913BE" w:rsidRPr="00770290">
        <w:rPr>
          <w:lang w:val="en-US"/>
        </w:rPr>
        <w:t xml:space="preserve"> mm</w:t>
      </w:r>
      <w:r w:rsidR="00DA13C9" w:rsidRPr="00770290">
        <w:rPr>
          <w:lang w:val="en-US"/>
        </w:rPr>
        <w:t xml:space="preserve"> (</w:t>
      </w:r>
      <w:r w:rsidR="00B4090C" w:rsidRPr="00770290">
        <w:rPr>
          <w:lang w:val="en-US"/>
        </w:rPr>
        <w:t>Eq</w:t>
      </w:r>
      <w:r w:rsidR="00DA13C9" w:rsidRPr="00770290">
        <w:rPr>
          <w:lang w:val="en-US"/>
        </w:rPr>
        <w:t>.3)</w:t>
      </w:r>
      <w:r w:rsidR="00572FCB" w:rsidRPr="00770290">
        <w:rPr>
          <w:lang w:val="en-US"/>
        </w:rPr>
        <w:t xml:space="preserve"> </w:t>
      </w:r>
      <w:r w:rsidR="00572FCB" w:rsidRPr="00770290">
        <w:rPr>
          <w:lang w:val="en-US"/>
        </w:rPr>
        <w:fldChar w:fldCharType="begin" w:fldLock="1"/>
      </w:r>
      <w:r w:rsidR="000A4B5D" w:rsidRPr="00770290">
        <w:rPr>
          <w:lang w:val="en-US"/>
        </w:rPr>
        <w:instrText>ADDIN CSL_CITATION {"citationItems":[{"id":"ITEM-1","itemData":{"DOI":"10.1002/jctb.6445","ISSN":"10974660","abstract":"BACKGROUND: Bubble columns have found a wide range of application in biochemical industry. Mass transfer in the bubble column can be manipulated by adjusting the bubble size. Thus, for the design of bubble columns, it is necessary to investigate the behaviors of different-sized bubbles. This work attempts to study the global hydrodynamic and mass transfer characteristics of bubble swarms with Sauter mean diameters (d32) of 0.38–4.88 mm, from microbubbles to millimeter-sized bubbles, in a co-current bubble column. RESULTS: The specific interfacial areas of the bubble swarms with d32 of 0.38–1.47 (generated by ceramic membrane module) and 1.05–4.88 mm (generated by plate gas distributor) are 250–1100 and 7–270 m−1, respectively. The liquid-side mass transfer coefficient (kL) of those two kinds of bubbles are (0.45–1.16) × 10−4 and (0.58–7.65) × 10−4 m s−1, respectively. CONCLUSION: Decreasing the bubble size can effectively increase the volumetric mass transfer coefficient (kLa), especially when the bubble size decreases to several micrometers. The major contribution to the mass transfer enhancement results from the increase of the specific interfacial area. Conversely, the kL decreases clearly. It is demonstrated that Higbieʼs and Frosslingʼs equations can approximate the kL of the bubble swarms with d32 ' 2 mm and d32 ' 2 mm in the bubble column, respectively. © 2020 Society of Chemical Industry.","author":[{"dropping-particle":"","family":"Wang","given":"Zhengchao","non-dropping-particle":"","parse-names":false,"suffix":""},{"dropping-particle":"","family":"Guo","given":"Kai","non-dropping-particle":"","parse-names":false,"suffix":""},{"dropping-particle":"","family":"Liu","given":"Hui","non-dropping-particle":"","parse-names":false,"suffix":""},{"dropping-particle":"","family":"Liu","given":"Chunjiang","non-dropping-particle":"","parse-names":false,"suffix":""},{"dropping-particle":"","family":"Geng","given":"Yao","non-dropping-particle":"","parse-names":false,"suffix":""},{"dropping-particle":"","family":"Lu","given":"Zhe","non-dropping-particle":"","parse-names":false,"suffix":""},{"dropping-particle":"","family":"Jiao","given":"Boya","non-dropping-particle":"","parse-names":false,"suffix":""},{"dropping-particle":"","family":"Chen","given":"Dengyue","non-dropping-particle":"","parse-names":false,"suffix":""}],"container-title":"Journal of Chemical Technology and Biotechnology","id":"ITEM-1","issue":"11","issued":{"date-parts":[["2020"]]},"page":"2853-2867","title":"Effects of bubble size on the gas–liquid mass transfer of bubble swarms with Sauter mean diameters of 0.38–4.88 mm in a co-current upflow bubble column","type":"article-journal","volume":"95"},"uris":["http://www.mendeley.com/documents/?uuid=93617615-8202-4307-830e-444d3e8d2948"]}],"mendeley":{"formattedCitation":"(Wang et al., 2020)","plainTextFormattedCitation":"(Wang et al., 2020)","previouslyFormattedCitation":"(Wang et al., 2020)"},"properties":{"noteIndex":0},"schema":"https://github.com/citation-style-language/schema/raw/master/csl-citation.json"}</w:instrText>
      </w:r>
      <w:r w:rsidR="00572FCB" w:rsidRPr="00770290">
        <w:rPr>
          <w:lang w:val="en-US"/>
        </w:rPr>
        <w:fldChar w:fldCharType="separate"/>
      </w:r>
      <w:r w:rsidR="000A4B5D" w:rsidRPr="00770290">
        <w:rPr>
          <w:noProof/>
          <w:lang w:val="en-US"/>
        </w:rPr>
        <w:t>(Wang et al., 2020)</w:t>
      </w:r>
      <w:r w:rsidR="00572FCB" w:rsidRPr="00770290">
        <w:rPr>
          <w:lang w:val="en-US"/>
        </w:rPr>
        <w:fldChar w:fldCharType="end"/>
      </w:r>
      <w:r w:rsidR="00C97E56" w:rsidRPr="00770290">
        <w:rPr>
          <w:lang w:val="en-US"/>
        </w:rPr>
        <w:t xml:space="preserve">; while </w:t>
      </w:r>
      <w:r w:rsidRPr="00770290">
        <w:rPr>
          <w:lang w:val="en-US"/>
        </w:rPr>
        <w:t>the interfacial contact surface</w:t>
      </w:r>
      <w:r w:rsidR="00DA13C9" w:rsidRPr="00770290">
        <w:rPr>
          <w:lang w:val="en-US"/>
        </w:rPr>
        <w:t xml:space="preserve"> </w:t>
      </w:r>
      <w:r w:rsidR="009F672B" w:rsidRPr="00770290">
        <w:rPr>
          <w:lang w:val="en-US"/>
        </w:rPr>
        <w:t>(</w:t>
      </w:r>
      <w:r w:rsidR="009F672B" w:rsidRPr="00770290">
        <w:rPr>
          <w:i/>
          <w:iCs/>
          <w:lang w:val="en-US"/>
        </w:rPr>
        <w:t>a</w:t>
      </w:r>
      <w:r w:rsidR="009F672B" w:rsidRPr="00770290">
        <w:rPr>
          <w:lang w:val="en-US"/>
        </w:rPr>
        <w:t xml:space="preserve">) </w:t>
      </w:r>
      <w:r w:rsidR="00DA13C9" w:rsidRPr="00770290">
        <w:rPr>
          <w:lang w:val="en-US"/>
        </w:rPr>
        <w:t>(</w:t>
      </w:r>
      <w:r w:rsidR="00B4090C" w:rsidRPr="00770290">
        <w:rPr>
          <w:lang w:val="en-US"/>
        </w:rPr>
        <w:t>E</w:t>
      </w:r>
      <w:r w:rsidR="00DA13C9" w:rsidRPr="00770290">
        <w:rPr>
          <w:lang w:val="en-US"/>
        </w:rPr>
        <w:t xml:space="preserve">q.4) </w:t>
      </w:r>
      <w:r w:rsidRPr="00770290">
        <w:rPr>
          <w:lang w:val="en-US"/>
        </w:rPr>
        <w:t>w</w:t>
      </w:r>
      <w:r w:rsidR="00C97E56" w:rsidRPr="00770290">
        <w:rPr>
          <w:lang w:val="en-US"/>
        </w:rPr>
        <w:t>as</w:t>
      </w:r>
      <w:r w:rsidRPr="00770290">
        <w:rPr>
          <w:lang w:val="en-US"/>
        </w:rPr>
        <w:t xml:space="preserve"> estimated </w:t>
      </w:r>
      <w:r w:rsidR="00C97E56" w:rsidRPr="00770290">
        <w:rPr>
          <w:lang w:val="en-US"/>
        </w:rPr>
        <w:t xml:space="preserve">as </w:t>
      </w:r>
      <w:r w:rsidR="00F1647C" w:rsidRPr="00770290">
        <w:rPr>
          <w:lang w:val="en-US"/>
        </w:rPr>
        <w:t xml:space="preserve">a </w:t>
      </w:r>
      <w:r w:rsidR="00C97E56" w:rsidRPr="00770290">
        <w:rPr>
          <w:lang w:val="en-US"/>
        </w:rPr>
        <w:t xml:space="preserve">function of </w:t>
      </w:r>
      <w:r w:rsidRPr="00770290">
        <w:t>the gas hold-up (</w:t>
      </w:r>
      <w:r w:rsidRPr="00770290">
        <w:rPr>
          <w:i/>
        </w:rPr>
        <w:t>ε</w:t>
      </w:r>
      <w:r w:rsidRPr="00770290">
        <w:t>)</w:t>
      </w:r>
      <w:r w:rsidR="00C97E56" w:rsidRPr="00770290">
        <w:t xml:space="preserve"> </w:t>
      </w:r>
      <w:r w:rsidRPr="00770290">
        <w:t>and the size of the bubbles (</w:t>
      </w:r>
      <w:proofErr w:type="spellStart"/>
      <w:r w:rsidRPr="00770290">
        <w:rPr>
          <w:i/>
        </w:rPr>
        <w:t>d</w:t>
      </w:r>
      <w:r w:rsidRPr="00770290">
        <w:rPr>
          <w:i/>
          <w:vertAlign w:val="subscript"/>
        </w:rPr>
        <w:t>b</w:t>
      </w:r>
      <w:proofErr w:type="spellEnd"/>
      <w:r w:rsidRPr="00770290">
        <w:t>)</w:t>
      </w:r>
      <w:r w:rsidR="00C97E56" w:rsidRPr="00770290">
        <w:t>, which are the main features affecting the mass transfer in bubble column bioreactors</w:t>
      </w:r>
      <w:r w:rsidR="00D23F3F" w:rsidRPr="00770290">
        <w:t>.</w:t>
      </w:r>
    </w:p>
    <w:p w14:paraId="3C2E4D76" w14:textId="193F61BE" w:rsidR="00A708BB" w:rsidRPr="00770290" w:rsidRDefault="00113F4C" w:rsidP="00080309">
      <w:pPr>
        <w:pStyle w:val="CETEquation"/>
        <w:rPr>
          <w:lang w:val="it-IT"/>
        </w:rPr>
      </w:pPr>
      <m:oMath>
        <m:sSubSup>
          <m:sSubSupPr>
            <m:ctrlPr>
              <w:rPr>
                <w:rFonts w:ascii="Cambria Math" w:hAnsi="Cambria Math" w:cs="Arial"/>
                <w:i/>
                <w:iCs/>
              </w:rPr>
            </m:ctrlPr>
          </m:sSubSupPr>
          <m:e>
            <m:r>
              <m:rPr>
                <m:nor/>
              </m:rPr>
              <w:rPr>
                <w:rFonts w:cs="Arial"/>
                <w:i/>
                <w:iCs/>
                <w:lang w:val="it-IT"/>
              </w:rPr>
              <m:t>k</m:t>
            </m:r>
          </m:e>
          <m:sub>
            <m:r>
              <m:rPr>
                <m:nor/>
              </m:rPr>
              <w:rPr>
                <w:rFonts w:cs="Arial"/>
                <w:i/>
                <w:iCs/>
                <w:lang w:val="it-IT"/>
              </w:rPr>
              <m:t>L</m:t>
            </m:r>
          </m:sub>
          <m:sup>
            <m:r>
              <m:rPr>
                <m:nor/>
              </m:rPr>
              <w:rPr>
                <w:rFonts w:cs="Arial"/>
                <w:i/>
                <w:iCs/>
                <w:lang w:val="it-IT"/>
              </w:rPr>
              <m:t>0</m:t>
            </m:r>
          </m:sup>
        </m:sSubSup>
        <m:r>
          <m:rPr>
            <m:nor/>
          </m:rPr>
          <w:rPr>
            <w:rFonts w:cs="Arial"/>
            <w:lang w:val="it-IT"/>
          </w:rPr>
          <m:t>=2</m:t>
        </m:r>
        <m:rad>
          <m:radPr>
            <m:degHide m:val="1"/>
            <m:ctrlPr>
              <w:rPr>
                <w:rFonts w:ascii="Cambria Math" w:hAnsi="Cambria Math" w:cs="Arial"/>
              </w:rPr>
            </m:ctrlPr>
          </m:radPr>
          <m:deg/>
          <m:e>
            <m:f>
              <m:fPr>
                <m:ctrlPr>
                  <w:rPr>
                    <w:rFonts w:ascii="Cambria Math" w:hAnsi="Cambria Math" w:cs="Arial"/>
                  </w:rPr>
                </m:ctrlPr>
              </m:fPr>
              <m:num>
                <m:sSub>
                  <m:sSubPr>
                    <m:ctrlPr>
                      <w:rPr>
                        <w:rFonts w:ascii="Cambria Math" w:hAnsi="Cambria Math" w:cs="Arial"/>
                      </w:rPr>
                    </m:ctrlPr>
                  </m:sSubPr>
                  <m:e>
                    <m:r>
                      <m:rPr>
                        <m:nor/>
                      </m:rPr>
                      <w:rPr>
                        <w:rFonts w:cs="Arial"/>
                        <w:lang w:val="it-IT"/>
                      </w:rPr>
                      <m:t>D</m:t>
                    </m:r>
                  </m:e>
                  <m:sub>
                    <m:r>
                      <m:rPr>
                        <m:nor/>
                      </m:rPr>
                      <w:rPr>
                        <w:rFonts w:cs="Arial"/>
                        <w:lang w:val="it-IT"/>
                      </w:rPr>
                      <m:t>CH4,H2O</m:t>
                    </m:r>
                  </m:sub>
                </m:sSub>
              </m:num>
              <m:den>
                <m:sSub>
                  <m:sSubPr>
                    <m:ctrlPr>
                      <w:rPr>
                        <w:rFonts w:ascii="Cambria Math" w:hAnsi="Cambria Math" w:cs="Arial"/>
                      </w:rPr>
                    </m:ctrlPr>
                  </m:sSubPr>
                  <m:e>
                    <m:r>
                      <m:rPr>
                        <m:nor/>
                      </m:rPr>
                      <w:rPr>
                        <w:rFonts w:cs="Arial"/>
                        <w:lang w:val="it-IT"/>
                      </w:rPr>
                      <m:t>t</m:t>
                    </m:r>
                  </m:e>
                  <m:sub>
                    <m:r>
                      <m:rPr>
                        <m:nor/>
                      </m:rPr>
                      <w:rPr>
                        <w:rFonts w:cs="Arial"/>
                        <w:lang w:val="it-IT"/>
                      </w:rPr>
                      <m:t>e</m:t>
                    </m:r>
                  </m:sub>
                </m:sSub>
                <m:r>
                  <m:rPr>
                    <m:nor/>
                  </m:rPr>
                  <w:rPr>
                    <w:rFonts w:cs="Arial"/>
                    <w:lang w:val="it-IT"/>
                  </w:rPr>
                  <m:t xml:space="preserve"> </m:t>
                </m:r>
                <m:r>
                  <m:rPr>
                    <m:nor/>
                  </m:rPr>
                  <w:rPr>
                    <w:rFonts w:cs="Arial"/>
                  </w:rPr>
                  <m:t>π</m:t>
                </m:r>
              </m:den>
            </m:f>
          </m:e>
        </m:rad>
      </m:oMath>
      <w:r w:rsidR="00080309" w:rsidRPr="00770290">
        <w:rPr>
          <w:lang w:val="it-IT"/>
        </w:rPr>
        <w:t xml:space="preserve">                                                                                                                                               </w:t>
      </w:r>
      <w:r w:rsidR="00B4090C" w:rsidRPr="00770290">
        <w:rPr>
          <w:lang w:val="it-IT"/>
        </w:rPr>
        <w:t xml:space="preserve">   </w:t>
      </w:r>
      <w:r w:rsidR="00080309" w:rsidRPr="00770290">
        <w:rPr>
          <w:lang w:val="it-IT"/>
        </w:rPr>
        <w:t xml:space="preserve">    (3)</w:t>
      </w:r>
    </w:p>
    <w:p w14:paraId="64CB9435" w14:textId="1BD87D5A" w:rsidR="00A708BB" w:rsidRPr="00770290" w:rsidRDefault="00004F9D" w:rsidP="00080309">
      <w:pPr>
        <w:pStyle w:val="CETEquation"/>
      </w:pPr>
      <m:oMath>
        <m:r>
          <m:rPr>
            <m:nor/>
          </m:rPr>
          <w:rPr>
            <w:rFonts w:cs="Arial"/>
            <w:i/>
            <w:iCs/>
          </w:rPr>
          <m:t>a</m:t>
        </m:r>
        <m:r>
          <m:rPr>
            <m:nor/>
          </m:rPr>
          <w:rPr>
            <w:rFonts w:cs="Arial"/>
          </w:rPr>
          <m:t>=</m:t>
        </m:r>
        <m:f>
          <m:fPr>
            <m:ctrlPr>
              <w:rPr>
                <w:rFonts w:ascii="Cambria Math" w:hAnsi="Cambria Math" w:cs="Arial"/>
              </w:rPr>
            </m:ctrlPr>
          </m:fPr>
          <m:num>
            <m:r>
              <m:rPr>
                <m:nor/>
              </m:rPr>
              <w:rPr>
                <w:rFonts w:cs="Arial"/>
              </w:rPr>
              <m:t>6</m:t>
            </m:r>
            <m:sSub>
              <m:sSubPr>
                <m:ctrlPr>
                  <w:rPr>
                    <w:rFonts w:ascii="Cambria Math" w:hAnsi="Cambria Math" w:cs="Arial"/>
                  </w:rPr>
                </m:ctrlPr>
              </m:sSubPr>
              <m:e>
                <m:r>
                  <m:rPr>
                    <m:nor/>
                  </m:rPr>
                  <w:rPr>
                    <w:rFonts w:cs="Arial"/>
                  </w:rPr>
                  <m:t>ε</m:t>
                </m:r>
              </m:e>
              <m:sub>
                <m:r>
                  <m:rPr>
                    <m:nor/>
                  </m:rPr>
                  <w:rPr>
                    <w:rFonts w:cs="Arial"/>
                  </w:rPr>
                  <m:t>g</m:t>
                </m:r>
              </m:sub>
            </m:sSub>
          </m:num>
          <m:den>
            <m:sSub>
              <m:sSubPr>
                <m:ctrlPr>
                  <w:rPr>
                    <w:rFonts w:ascii="Cambria Math" w:hAnsi="Cambria Math" w:cs="Arial"/>
                  </w:rPr>
                </m:ctrlPr>
              </m:sSubPr>
              <m:e>
                <m:r>
                  <m:rPr>
                    <m:nor/>
                  </m:rPr>
                  <w:rPr>
                    <w:rFonts w:cs="Arial"/>
                  </w:rPr>
                  <m:t>d</m:t>
                </m:r>
              </m:e>
              <m:sub>
                <m:r>
                  <m:rPr>
                    <m:nor/>
                  </m:rPr>
                  <w:rPr>
                    <w:rFonts w:cs="Arial"/>
                  </w:rPr>
                  <m:t>b</m:t>
                </m:r>
              </m:sub>
            </m:sSub>
            <m:d>
              <m:dPr>
                <m:ctrlPr>
                  <w:rPr>
                    <w:rFonts w:ascii="Cambria Math" w:hAnsi="Cambria Math" w:cs="Arial"/>
                  </w:rPr>
                </m:ctrlPr>
              </m:dPr>
              <m:e>
                <m:r>
                  <m:rPr>
                    <m:nor/>
                  </m:rPr>
                  <w:rPr>
                    <w:rFonts w:cs="Arial"/>
                  </w:rPr>
                  <m:t>1-</m:t>
                </m:r>
                <m:sSub>
                  <m:sSubPr>
                    <m:ctrlPr>
                      <w:rPr>
                        <w:rFonts w:ascii="Cambria Math" w:hAnsi="Cambria Math" w:cs="Arial"/>
                      </w:rPr>
                    </m:ctrlPr>
                  </m:sSubPr>
                  <m:e>
                    <m:r>
                      <m:rPr>
                        <m:nor/>
                      </m:rPr>
                      <w:rPr>
                        <w:rFonts w:cs="Arial"/>
                      </w:rPr>
                      <m:t>ε</m:t>
                    </m:r>
                  </m:e>
                  <m:sub>
                    <m:r>
                      <m:rPr>
                        <m:nor/>
                      </m:rPr>
                      <w:rPr>
                        <w:rFonts w:cs="Arial"/>
                      </w:rPr>
                      <m:t>g</m:t>
                    </m:r>
                  </m:sub>
                </m:sSub>
              </m:e>
            </m:d>
          </m:den>
        </m:f>
        <m:r>
          <m:rPr>
            <m:nor/>
          </m:rPr>
          <w:rPr>
            <w:rFonts w:cs="Arial"/>
          </w:rPr>
          <m:t xml:space="preserve">        </m:t>
        </m:r>
      </m:oMath>
      <w:r w:rsidR="00080309" w:rsidRPr="00770290">
        <w:t xml:space="preserve">                                                                                                                                             </w:t>
      </w:r>
      <w:r w:rsidR="00B4090C" w:rsidRPr="00770290">
        <w:t xml:space="preserve">  </w:t>
      </w:r>
      <w:r w:rsidR="00080309" w:rsidRPr="00770290">
        <w:t xml:space="preserve">     (4)</w:t>
      </w:r>
    </w:p>
    <w:p w14:paraId="6B0407FE" w14:textId="7C3B8815" w:rsidR="007A3796" w:rsidRPr="00770290" w:rsidRDefault="00112A9D" w:rsidP="00A708BB">
      <w:pPr>
        <w:pStyle w:val="CETHeadingxx"/>
        <w:rPr>
          <w:b w:val="0"/>
          <w:bCs/>
        </w:rPr>
      </w:pPr>
      <w:r w:rsidRPr="00770290">
        <w:rPr>
          <w:b w:val="0"/>
          <w:bCs/>
        </w:rPr>
        <w:t>T</w:t>
      </w:r>
      <w:r w:rsidR="00CF1923" w:rsidRPr="00770290">
        <w:rPr>
          <w:b w:val="0"/>
          <w:bCs/>
        </w:rPr>
        <w:t xml:space="preserve">he gas hold-up </w:t>
      </w:r>
      <w:r w:rsidRPr="00770290">
        <w:rPr>
          <w:b w:val="0"/>
          <w:bCs/>
        </w:rPr>
        <w:t xml:space="preserve">in </w:t>
      </w:r>
      <w:r w:rsidR="00B4090C" w:rsidRPr="00770290">
        <w:rPr>
          <w:b w:val="0"/>
          <w:bCs/>
        </w:rPr>
        <w:t>E</w:t>
      </w:r>
      <w:r w:rsidRPr="00770290">
        <w:rPr>
          <w:b w:val="0"/>
          <w:bCs/>
        </w:rPr>
        <w:t xml:space="preserve">q.4 </w:t>
      </w:r>
      <w:r w:rsidR="00CF1923" w:rsidRPr="00770290">
        <w:rPr>
          <w:b w:val="0"/>
          <w:bCs/>
        </w:rPr>
        <w:t>can be calculated according to</w:t>
      </w:r>
      <w:r w:rsidR="00DA13C9" w:rsidRPr="00770290">
        <w:rPr>
          <w:b w:val="0"/>
          <w:bCs/>
        </w:rPr>
        <w:t xml:space="preserve"> </w:t>
      </w:r>
      <w:r w:rsidR="00B4090C" w:rsidRPr="00770290">
        <w:rPr>
          <w:b w:val="0"/>
          <w:bCs/>
        </w:rPr>
        <w:t>E</w:t>
      </w:r>
      <w:r w:rsidR="00DA13C9" w:rsidRPr="00770290">
        <w:rPr>
          <w:b w:val="0"/>
          <w:bCs/>
        </w:rPr>
        <w:t>q.5</w:t>
      </w:r>
      <w:r w:rsidR="00CF1923" w:rsidRPr="00770290">
        <w:rPr>
          <w:b w:val="0"/>
          <w:bCs/>
        </w:rPr>
        <w:t>:</w:t>
      </w:r>
    </w:p>
    <w:p w14:paraId="5024D63C" w14:textId="4EF726F8" w:rsidR="00455AD8" w:rsidRPr="00770290" w:rsidRDefault="00113F4C" w:rsidP="00080309">
      <w:pPr>
        <w:pStyle w:val="CETEquation"/>
      </w:pPr>
      <m:oMath>
        <m:sSub>
          <m:sSubPr>
            <m:ctrlPr>
              <w:rPr>
                <w:rFonts w:ascii="Cambria Math" w:hAnsi="Cambria Math" w:cs="Arial"/>
                <w:i/>
                <w:iCs/>
              </w:rPr>
            </m:ctrlPr>
          </m:sSubPr>
          <m:e>
            <m:r>
              <m:rPr>
                <m:nor/>
              </m:rPr>
              <w:rPr>
                <w:rFonts w:cs="Arial"/>
                <w:i/>
                <w:iCs/>
              </w:rPr>
              <m:t>ε</m:t>
            </m:r>
          </m:e>
          <m:sub>
            <m:r>
              <m:rPr>
                <m:nor/>
              </m:rPr>
              <w:rPr>
                <w:rFonts w:cs="Arial"/>
                <w:i/>
                <w:iCs/>
              </w:rPr>
              <m:t>g</m:t>
            </m:r>
          </m:sub>
        </m:sSub>
        <m:r>
          <m:rPr>
            <m:nor/>
          </m:rPr>
          <w:rPr>
            <w:rFonts w:cs="Arial"/>
          </w:rPr>
          <m:t>=</m:t>
        </m:r>
        <m:f>
          <m:fPr>
            <m:ctrlPr>
              <w:rPr>
                <w:rFonts w:ascii="Cambria Math" w:hAnsi="Cambria Math" w:cs="Arial"/>
              </w:rPr>
            </m:ctrlPr>
          </m:fPr>
          <m:num>
            <m:sSub>
              <m:sSubPr>
                <m:ctrlPr>
                  <w:rPr>
                    <w:rFonts w:ascii="Cambria Math" w:hAnsi="Cambria Math" w:cs="Arial"/>
                  </w:rPr>
                </m:ctrlPr>
              </m:sSubPr>
              <m:e>
                <m:r>
                  <m:rPr>
                    <m:nor/>
                  </m:rPr>
                  <w:rPr>
                    <w:rFonts w:cs="Arial"/>
                  </w:rPr>
                  <m:t>U</m:t>
                </m:r>
              </m:e>
              <m:sub>
                <m:r>
                  <m:rPr>
                    <m:nor/>
                  </m:rPr>
                  <w:rPr>
                    <w:rFonts w:cs="Arial"/>
                  </w:rPr>
                  <m:t>G</m:t>
                </m:r>
              </m:sub>
            </m:sSub>
          </m:num>
          <m:den>
            <m:r>
              <m:rPr>
                <m:nor/>
              </m:rPr>
              <w:rPr>
                <w:rFonts w:cs="Arial"/>
              </w:rPr>
              <m:t xml:space="preserve">2+0.3 </m:t>
            </m:r>
            <m:sSub>
              <m:sSubPr>
                <m:ctrlPr>
                  <w:rPr>
                    <w:rFonts w:ascii="Cambria Math" w:hAnsi="Cambria Math" w:cs="Arial"/>
                  </w:rPr>
                </m:ctrlPr>
              </m:sSubPr>
              <m:e>
                <m:r>
                  <m:rPr>
                    <m:nor/>
                  </m:rPr>
                  <w:rPr>
                    <w:rFonts w:cs="Arial"/>
                  </w:rPr>
                  <m:t>U</m:t>
                </m:r>
              </m:e>
              <m:sub>
                <m:r>
                  <m:rPr>
                    <m:nor/>
                  </m:rPr>
                  <w:rPr>
                    <w:rFonts w:cs="Arial"/>
                  </w:rPr>
                  <m:t>G</m:t>
                </m:r>
              </m:sub>
            </m:sSub>
          </m:den>
        </m:f>
        <m:r>
          <m:rPr>
            <m:nor/>
          </m:rPr>
          <w:rPr>
            <w:rFonts w:cs="Arial"/>
          </w:rPr>
          <m:t xml:space="preserve">          </m:t>
        </m:r>
      </m:oMath>
      <w:r w:rsidR="00080309" w:rsidRPr="00770290">
        <w:t xml:space="preserve">                                                                                                                                               (5)</w:t>
      </w:r>
    </w:p>
    <w:p w14:paraId="188CCDC3" w14:textId="4BF7FB6D" w:rsidR="003A4032" w:rsidRPr="00770290" w:rsidRDefault="001D5E0E" w:rsidP="003A4032">
      <w:r w:rsidRPr="00770290">
        <w:t>S</w:t>
      </w:r>
      <w:r w:rsidR="00C93BEE" w:rsidRPr="00770290">
        <w:t>ince</w:t>
      </w:r>
      <w:r w:rsidR="00CF1923" w:rsidRPr="00770290">
        <w:t xml:space="preserve"> the gas hold-up is related to </w:t>
      </w:r>
      <w:r w:rsidR="00CF1923" w:rsidRPr="00770290">
        <w:rPr>
          <w:i/>
          <w:iCs/>
        </w:rPr>
        <w:t>U</w:t>
      </w:r>
      <w:r w:rsidR="00CF1923" w:rsidRPr="00770290">
        <w:rPr>
          <w:i/>
          <w:iCs/>
          <w:vertAlign w:val="subscript"/>
        </w:rPr>
        <w:t>g</w:t>
      </w:r>
      <w:r w:rsidR="00CF1923" w:rsidRPr="00770290">
        <w:t xml:space="preserve">, the volumetric mass transfer coefficient </w:t>
      </w:r>
      <w:r w:rsidR="00C93BEE" w:rsidRPr="00770290">
        <w:t xml:space="preserve">depends </w:t>
      </w:r>
      <w:r w:rsidR="00CF1923" w:rsidRPr="00770290">
        <w:t xml:space="preserve">on </w:t>
      </w:r>
      <w:r w:rsidR="00C93BEE" w:rsidRPr="00770290">
        <w:t>it</w:t>
      </w:r>
      <w:r w:rsidR="00CF1923" w:rsidRPr="00770290">
        <w:t>.</w:t>
      </w:r>
      <w:r w:rsidR="00C93BEE" w:rsidRPr="00770290">
        <w:t xml:space="preserve"> </w:t>
      </w:r>
      <w:r w:rsidR="00C93BEE" w:rsidRPr="00770290">
        <w:rPr>
          <w:rStyle w:val="CETBodytextCarattere"/>
        </w:rPr>
        <w:t>For this purpose</w:t>
      </w:r>
      <w:r w:rsidR="00CF1923" w:rsidRPr="00770290">
        <w:rPr>
          <w:rStyle w:val="CETBodytextCarattere"/>
        </w:rPr>
        <w:t>,</w:t>
      </w:r>
      <w:r w:rsidRPr="00770290">
        <w:rPr>
          <w:rStyle w:val="CETBodytextCarattere"/>
        </w:rPr>
        <w:t xml:space="preserve"> the effect of the variation of the superficial gas velocity in the range 0.004-0.027 ms</w:t>
      </w:r>
      <w:r w:rsidRPr="00770290">
        <w:rPr>
          <w:rStyle w:val="CETBodytextCarattere"/>
          <w:vertAlign w:val="superscript"/>
        </w:rPr>
        <w:t>-1</w:t>
      </w:r>
      <w:r w:rsidRPr="00770290">
        <w:rPr>
          <w:rStyle w:val="CETBodytextCarattere"/>
        </w:rPr>
        <w:t xml:space="preserve"> was tested. It is worth highlighting that</w:t>
      </w:r>
      <w:r w:rsidR="00F1647C" w:rsidRPr="00770290">
        <w:rPr>
          <w:rStyle w:val="CETBodytextCarattere"/>
        </w:rPr>
        <w:t>,</w:t>
      </w:r>
      <w:r w:rsidRPr="00770290">
        <w:rPr>
          <w:rStyle w:val="CETBodytextCarattere"/>
        </w:rPr>
        <w:t xml:space="preserve"> not</w:t>
      </w:r>
      <w:r w:rsidRPr="00770290">
        <w:t xml:space="preserve"> to compromise the viability of the biomass, the turbulent regime was avoided</w:t>
      </w:r>
      <w:r w:rsidR="00F1647C" w:rsidRPr="00770290">
        <w:t>,</w:t>
      </w:r>
      <w:r w:rsidR="00B2269B" w:rsidRPr="00770290">
        <w:t xml:space="preserve"> and the maximum </w:t>
      </w:r>
      <w:r w:rsidR="00B2269B" w:rsidRPr="00770290">
        <w:rPr>
          <w:i/>
          <w:iCs/>
        </w:rPr>
        <w:t>U</w:t>
      </w:r>
      <w:r w:rsidR="00B2269B" w:rsidRPr="00770290">
        <w:rPr>
          <w:i/>
          <w:iCs/>
          <w:vertAlign w:val="subscript"/>
        </w:rPr>
        <w:t>g</w:t>
      </w:r>
      <w:r w:rsidR="00B2269B" w:rsidRPr="00770290">
        <w:t xml:space="preserve"> </w:t>
      </w:r>
      <w:r w:rsidR="00F1647C" w:rsidRPr="00770290">
        <w:t xml:space="preserve">was </w:t>
      </w:r>
      <w:r w:rsidR="00B2269B" w:rsidRPr="00770290">
        <w:t>set under the limit for the transition, which</w:t>
      </w:r>
      <w:r w:rsidR="00F1647C" w:rsidRPr="00770290">
        <w:t xml:space="preserve"> </w:t>
      </w:r>
      <w:r w:rsidRPr="00770290">
        <w:t>was achieved at</w:t>
      </w:r>
      <w:r w:rsidR="00D23F3F" w:rsidRPr="00770290">
        <w:t xml:space="preserve"> </w:t>
      </w:r>
      <w:r w:rsidR="00D23F3F" w:rsidRPr="00770290">
        <w:rPr>
          <w:i/>
          <w:iCs/>
        </w:rPr>
        <w:t>U</w:t>
      </w:r>
      <w:r w:rsidR="00D23F3F" w:rsidRPr="00770290">
        <w:rPr>
          <w:i/>
          <w:iCs/>
          <w:vertAlign w:val="subscript"/>
        </w:rPr>
        <w:t>g</w:t>
      </w:r>
      <w:r w:rsidR="00D23F3F" w:rsidRPr="00770290">
        <w:t>=0.0</w:t>
      </w:r>
      <w:r w:rsidR="003A4032" w:rsidRPr="00770290">
        <w:t>3</w:t>
      </w:r>
      <w:r w:rsidR="00D23F3F" w:rsidRPr="00770290">
        <w:t xml:space="preserve"> ms</w:t>
      </w:r>
      <w:r w:rsidR="00D23F3F" w:rsidRPr="00770290">
        <w:rPr>
          <w:vertAlign w:val="superscript"/>
        </w:rPr>
        <w:t>-1</w:t>
      </w:r>
      <w:r w:rsidR="002963F8" w:rsidRPr="00770290">
        <w:rPr>
          <w:vertAlign w:val="superscript"/>
        </w:rPr>
        <w:t xml:space="preserve"> </w:t>
      </w:r>
      <w:r w:rsidR="00D23F3F" w:rsidRPr="00770290">
        <w:t xml:space="preserve">according to </w:t>
      </w:r>
      <w:r w:rsidR="00D23F3F" w:rsidRPr="00770290">
        <w:fldChar w:fldCharType="begin" w:fldLock="1"/>
      </w:r>
      <w:r w:rsidR="000A4B5D" w:rsidRPr="00770290">
        <w:instrText>ADDIN CSL_CITATION {"citationItems":[{"id":"ITEM-1","itemData":{"DOI":"10.1002/cjce.5450720102","ISSN":"1939019X","abstract":"Experiments conducted in 0.15 m diameter bubble columns using water and non</w:instrText>
      </w:r>
      <w:r w:rsidR="000A4B5D" w:rsidRPr="00770290">
        <w:rPr>
          <w:rFonts w:ascii="Cambria Math" w:hAnsi="Cambria Math" w:cs="Cambria Math"/>
        </w:rPr>
        <w:instrText>‐</w:instrText>
      </w:r>
      <w:r w:rsidR="000A4B5D" w:rsidRPr="00770290">
        <w:instrText>aqueous liquids have shown that the gas velocity at which transition from the bubbly flow to the churn</w:instrText>
      </w:r>
      <w:r w:rsidR="000A4B5D" w:rsidRPr="00770290">
        <w:rPr>
          <w:rFonts w:ascii="Cambria Math" w:hAnsi="Cambria Math" w:cs="Cambria Math"/>
        </w:rPr>
        <w:instrText>‐</w:instrText>
      </w:r>
      <w:r w:rsidR="000A4B5D" w:rsidRPr="00770290">
        <w:instrText>turbulent flow regime occurs is a function of gas density. The transition velocity increased with increasing gas density. The direct effect of gas density on gas holdup in the bubbly flow regime is small with only a slight increase in holdup being observed at higher densities (ϵG α ρg0.04). In the churnturbulent region a much greater effect of gas density on gas holdup was observed. These differences were found to be a direct function of the differences in holdup values at the transition points. Gas holdup was found to be a function of the gas phase momentum. In the bubbly flow regime holdup was directly proportional to momentum while in the churn</w:instrText>
      </w:r>
      <w:r w:rsidR="000A4B5D" w:rsidRPr="00770290">
        <w:rPr>
          <w:rFonts w:ascii="Cambria Math" w:hAnsi="Cambria Math" w:cs="Cambria Math"/>
        </w:rPr>
        <w:instrText>‐</w:instrText>
      </w:r>
      <w:r w:rsidR="000A4B5D" w:rsidRPr="00770290">
        <w:instrText>turbulent regime holdup was proportional to momentum to the one third power. Reasons for this behaviour are discussed, as well as the implied effects on liquid mixing in bubble column slurry reactors. The effects of gas density may offer an explanation for some apparently anomalous published results. Copyright © 1994 Canadian Society for Chemical Engineering","author":[{"dropping-particle":"","family":"Reilly","given":"I. G.","non-dropping-particle":"","parse-names":false,"suffix":""},{"dropping-particle":"","family":"Scott","given":"D. S.","non-dropping-particle":"","parse-names":false,"suffix":""},{"dropping-particle":"","family":"Debruijn","given":"T. J.W.","non-dropping-particle":"","parse-names":false,"suffix":""},{"dropping-particle":"","family":"Macintyre","given":"D.","non-dropping-particle":"","parse-names":false,"suffix":""}],"container-title":"The Canadian Journal of Chemical Engineering","id":"ITEM-1","issue":"1","issued":{"date-parts":[["1994"]]},"page":"3-12","title":"The role of gas phase momentum in determining gas holdup and hydrodynamic flow regimes in bubble column operations","type":"article-journal","volume":"72"},"uris":["http://www.mendeley.com/documents/?uuid=d778e885-f781-412c-9b42-eae9cff9c55e"]}],"mendeley":{"formattedCitation":"(Reilly et al., 1994)","manualFormatting":"Reilly et al. (1994)","plainTextFormattedCitation":"(Reilly et al., 1994)","previouslyFormattedCitation":"(Reilly et al., 1994)"},"properties":{"noteIndex":0},"schema":"https://github.com/citation-style-language/schema/raw/master/csl-citation.json"}</w:instrText>
      </w:r>
      <w:r w:rsidR="00D23F3F" w:rsidRPr="00770290">
        <w:fldChar w:fldCharType="separate"/>
      </w:r>
      <w:r w:rsidR="00D23F3F" w:rsidRPr="00770290">
        <w:rPr>
          <w:noProof/>
        </w:rPr>
        <w:t xml:space="preserve">Reilly et al. </w:t>
      </w:r>
      <w:r w:rsidR="003A4032" w:rsidRPr="00770290">
        <w:rPr>
          <w:noProof/>
        </w:rPr>
        <w:t>(</w:t>
      </w:r>
      <w:r w:rsidR="00D23F3F" w:rsidRPr="00770290">
        <w:rPr>
          <w:noProof/>
        </w:rPr>
        <w:t>1994)</w:t>
      </w:r>
      <w:r w:rsidR="00D23F3F" w:rsidRPr="00770290">
        <w:fldChar w:fldCharType="end"/>
      </w:r>
      <w:r w:rsidR="003A4032" w:rsidRPr="00770290">
        <w:t>.</w:t>
      </w:r>
    </w:p>
    <w:p w14:paraId="4CF20417" w14:textId="77777777" w:rsidR="003A4032" w:rsidRPr="00770290" w:rsidRDefault="003A4032" w:rsidP="003A4032"/>
    <w:p w14:paraId="15EF9BFA" w14:textId="05F6178C" w:rsidR="00FA696D" w:rsidRPr="00770290" w:rsidRDefault="0097441B" w:rsidP="003A4032">
      <w:pPr>
        <w:pStyle w:val="CETHeading1"/>
      </w:pPr>
      <w:r w:rsidRPr="00770290">
        <w:t>Results and discussion</w:t>
      </w:r>
    </w:p>
    <w:p w14:paraId="4BE44B38" w14:textId="78082AC3" w:rsidR="008D7D04" w:rsidRPr="00770290" w:rsidRDefault="00085ABE" w:rsidP="00344D69">
      <w:pPr>
        <w:pStyle w:val="CETBodytext"/>
      </w:pPr>
      <w:r w:rsidRPr="00770290">
        <w:t>The results</w:t>
      </w:r>
      <w:r w:rsidR="00344D69" w:rsidRPr="00770290">
        <w:t xml:space="preserve"> of the simulations </w:t>
      </w:r>
      <w:r w:rsidRPr="00770290">
        <w:t xml:space="preserve">are reported </w:t>
      </w:r>
      <w:r w:rsidR="00344D69" w:rsidRPr="00770290">
        <w:t>in terms of productivity of PHB (</w:t>
      </w:r>
      <w:proofErr w:type="spellStart"/>
      <w:r w:rsidR="00344D69" w:rsidRPr="00770290">
        <w:t>PHB</w:t>
      </w:r>
      <w:r w:rsidR="00344D69" w:rsidRPr="00770290">
        <w:rPr>
          <w:vertAlign w:val="subscript"/>
        </w:rPr>
        <w:t>prod</w:t>
      </w:r>
      <w:proofErr w:type="spellEnd"/>
      <w:r w:rsidR="00344D69" w:rsidRPr="00770290">
        <w:t>)</w:t>
      </w:r>
      <w:r w:rsidR="004E659E" w:rsidRPr="00770290">
        <w:t xml:space="preserve">, </w:t>
      </w:r>
      <w:r w:rsidR="00335C30" w:rsidRPr="00770290">
        <w:t>yields of PHB on the</w:t>
      </w:r>
      <w:r w:rsidR="00313D75" w:rsidRPr="00770290">
        <w:t xml:space="preserve"> selected</w:t>
      </w:r>
      <w:r w:rsidR="00335C30" w:rsidRPr="00770290">
        <w:t xml:space="preserve"> substrate (</w:t>
      </w:r>
      <w:proofErr w:type="spellStart"/>
      <w:r w:rsidR="00335C30" w:rsidRPr="00770290">
        <w:t>yPHB</w:t>
      </w:r>
      <w:proofErr w:type="spellEnd"/>
      <w:r w:rsidR="00335C30" w:rsidRPr="00770290">
        <w:t>)</w:t>
      </w:r>
      <w:r w:rsidR="00D2623D" w:rsidRPr="00770290">
        <w:t>, content of polymer accumulated into the biomass (</w:t>
      </w:r>
      <w:r w:rsidR="00A9328C" w:rsidRPr="00770290">
        <w:rPr>
          <w:i/>
          <w:iCs/>
        </w:rPr>
        <w:t>%</w:t>
      </w:r>
      <w:r w:rsidR="00D2623D" w:rsidRPr="00770290">
        <w:t>PHB)</w:t>
      </w:r>
      <w:r w:rsidR="004E659E" w:rsidRPr="00770290">
        <w:t xml:space="preserve"> and substrate consumption (SC).</w:t>
      </w:r>
      <w:r w:rsidR="00CD2342" w:rsidRPr="00770290">
        <w:t xml:space="preserve"> All parameters were assessed </w:t>
      </w:r>
      <w:r w:rsidR="00EF3A38" w:rsidRPr="00770290">
        <w:t xml:space="preserve">as </w:t>
      </w:r>
      <w:r w:rsidR="00F1647C" w:rsidRPr="00770290">
        <w:t xml:space="preserve">a </w:t>
      </w:r>
      <w:r w:rsidR="00EF3A38" w:rsidRPr="00770290">
        <w:t>function of</w:t>
      </w:r>
      <w:r w:rsidR="00CD2342" w:rsidRPr="00770290">
        <w:t xml:space="preserve"> the superficial gas velocity.</w:t>
      </w:r>
    </w:p>
    <w:p w14:paraId="3612BF48" w14:textId="2746504F" w:rsidR="004E659E" w:rsidRPr="00770290" w:rsidRDefault="00CD2342" w:rsidP="002625A4">
      <w:r w:rsidRPr="00770290">
        <w:t xml:space="preserve">The productivity of </w:t>
      </w:r>
      <w:r w:rsidR="00AD02D7" w:rsidRPr="00770290">
        <w:t>PHB</w:t>
      </w:r>
      <w:r w:rsidRPr="00770290">
        <w:rPr>
          <w:vertAlign w:val="subscript"/>
        </w:rPr>
        <w:t xml:space="preserve"> </w:t>
      </w:r>
      <w:r w:rsidRPr="00770290">
        <w:t xml:space="preserve">was calculated according to </w:t>
      </w:r>
      <w:r w:rsidRPr="00770290">
        <w:fldChar w:fldCharType="begin" w:fldLock="1"/>
      </w:r>
      <w:r w:rsidR="000A4B5D" w:rsidRPr="00770290">
        <w:instrText>ADDIN CSL_CITATION {"citationItems":[{"id":"ITEM-1","itemData":{"DOI":"10.1016/j.wasman.2020.06.009","ISSN":"18792456","PMID":"32585559","abstract":"Creating additional value out of biogas during waste treatment has become a priority in past years. Biogas bioconversion into valuable bioproducts such as biopolymers has emerged as a promising strategy. This work assessed the operational feasibility of a bubble column bioreactor (BCB) implemented with gas recirculation and inoculated with a polyhydroxybutyrate (PHB)-producing strain using biogas as substrate. The BCB was initially operated at empty bed residence times (EBRTs) ranging from 30 to 120 min and gas recirculation ratios (R) from 0 to 30 to assess the gas-to-liquid mass transfer and bioconversion of CH4. Subsequently, the BCB was continuously operated at a R of 30 and an EBRT of 60 min under excess of nitrogen and nitrogen feast-famine cycles of 24 h:24 h to trigger PHB synthesis. Gas recirculation played a major role in CH4 gas–liquid transfer, providing almost fourfold higher CH4 elimination capacities (~41 g CH4 m−3 h−1) at the highest R and EBRT of 60 min. The long-term operation under N excess conditions entailed nitrite accumulation (induced by O2 limiting conditions) and concurrent methanotrophic activity inhibition above ~60 mg N-NO2− L−1. Adjusting the N-NO3− supply to match microbial N demand successfully prevented nitrite accumulation. Finally, the N feast-famine 24 h:24 h strategy supported a stable CH4 conversion with a removal efficiency of 70% along with a continuous PHB production, which yielded PHB accumulations of 14.5 ± 2.9% (mg PHB mg−1 total suspended solids × 100). These outcomes represent the first step towards the integration of biogas biorefineries into conventional anaerobic digestion plants.","author":[{"dropping-particle":"","family":"Rodríguez","given":"Yadira","non-dropping-particle":"","parse-names":false,"suffix":""},{"dropping-particle":"","family":"Firmino","given":"Paulo Igor Milen","non-dropping-particle":"","parse-names":false,"suffix":""},{"dropping-particle":"","family":"Pérez","given":"Víctor","non-dropping-particle":"","parse-names":false,"suffix":""},{"dropping-particle":"","family":"Lebrero","given":"Raquel","non-dropping-particle":"","parse-names":false,"suffix":""},{"dropping-particle":"","family":"Muñoz","given":"Raúl","non-dropping-particle":"","parse-names":false,"suffix":""}],"container-title":"Waste Management","id":"ITEM-1","issued":{"date-parts":[["2020"]]},"page":"395-403","title":"Biogas valorization via continuous polyhydroxybutyrate production by Methylocystis hirsuta in a bubble column bioreactor","type":"article-journal","volume":"113"},"uris":["http://www.mendeley.com/documents/?uuid=707d8c8f-bd01-45a2-af29-f4c1e1948bd4"]}],"mendeley":{"formattedCitation":"(Rodríguez et al., 2020b)","manualFormatting":"Rodríguez et al. (2020)","plainTextFormattedCitation":"(Rodríguez et al., 2020b)","previouslyFormattedCitation":"(Rodríguez et al., 2020b)"},"properties":{"noteIndex":0},"schema":"https://github.com/citation-style-language/schema/raw/master/csl-citation.json"}</w:instrText>
      </w:r>
      <w:r w:rsidRPr="00770290">
        <w:fldChar w:fldCharType="separate"/>
      </w:r>
      <w:r w:rsidRPr="00770290">
        <w:rPr>
          <w:noProof/>
        </w:rPr>
        <w:t>Rodríguez et al. (2020)</w:t>
      </w:r>
      <w:r w:rsidRPr="00770290">
        <w:fldChar w:fldCharType="end"/>
      </w:r>
      <w:r w:rsidRPr="00770290">
        <w:t xml:space="preserve"> and</w:t>
      </w:r>
      <w:r w:rsidR="00AD02D7" w:rsidRPr="00770290">
        <w:t xml:space="preserve"> ranged from</w:t>
      </w:r>
      <w:r w:rsidR="00335C30" w:rsidRPr="00770290">
        <w:t xml:space="preserve"> 0.08 to 0.8 </w:t>
      </w:r>
      <w:proofErr w:type="spellStart"/>
      <w:r w:rsidRPr="00770290">
        <w:t>k</w:t>
      </w:r>
      <w:r w:rsidR="00335C30" w:rsidRPr="00770290">
        <w:t>g</w:t>
      </w:r>
      <w:r w:rsidRPr="00770290">
        <w:t>PHB</w:t>
      </w:r>
      <w:proofErr w:type="spellEnd"/>
      <w:r w:rsidRPr="00770290">
        <w:t xml:space="preserve"> </w:t>
      </w:r>
      <w:r w:rsidR="00335C30" w:rsidRPr="00770290">
        <w:t>m</w:t>
      </w:r>
      <w:r w:rsidRPr="00770290">
        <w:rPr>
          <w:vertAlign w:val="superscript"/>
        </w:rPr>
        <w:t>-3</w:t>
      </w:r>
      <w:r w:rsidR="00335C30" w:rsidRPr="00770290">
        <w:t>h</w:t>
      </w:r>
      <w:r w:rsidRPr="00770290">
        <w:rPr>
          <w:vertAlign w:val="superscript"/>
        </w:rPr>
        <w:t xml:space="preserve">-1 </w:t>
      </w:r>
      <w:r w:rsidRPr="00770290">
        <w:t xml:space="preserve">(Figure </w:t>
      </w:r>
      <w:r w:rsidR="00E975FE" w:rsidRPr="00770290">
        <w:t>2</w:t>
      </w:r>
      <w:r w:rsidRPr="00770290">
        <w:t>)</w:t>
      </w:r>
      <w:r w:rsidR="00335C30" w:rsidRPr="00770290">
        <w:t>.</w:t>
      </w:r>
      <w:r w:rsidR="006F57A6" w:rsidRPr="00770290">
        <w:t xml:space="preserve"> </w:t>
      </w:r>
      <w:r w:rsidR="00010E65" w:rsidRPr="00770290">
        <w:t xml:space="preserve">Previous studies </w:t>
      </w:r>
      <w:r w:rsidRPr="00770290">
        <w:t>show</w:t>
      </w:r>
      <w:r w:rsidR="002448E9" w:rsidRPr="00770290">
        <w:t>ed</w:t>
      </w:r>
      <w:r w:rsidR="00010E65" w:rsidRPr="00770290">
        <w:t xml:space="preserve"> </w:t>
      </w:r>
      <w:r w:rsidRPr="00770290">
        <w:t xml:space="preserve">that </w:t>
      </w:r>
      <w:r w:rsidR="00010E65" w:rsidRPr="00770290">
        <w:t xml:space="preserve">values ranging from 0.03 </w:t>
      </w:r>
      <w:proofErr w:type="spellStart"/>
      <w:r w:rsidRPr="00770290">
        <w:t>kgPHB</w:t>
      </w:r>
      <w:proofErr w:type="spellEnd"/>
      <w:r w:rsidRPr="00770290">
        <w:t xml:space="preserve"> m</w:t>
      </w:r>
      <w:r w:rsidRPr="00770290">
        <w:rPr>
          <w:vertAlign w:val="superscript"/>
        </w:rPr>
        <w:t>-3</w:t>
      </w:r>
      <w:r w:rsidRPr="00770290">
        <w:t>h</w:t>
      </w:r>
      <w:r w:rsidRPr="00770290">
        <w:rPr>
          <w:vertAlign w:val="superscript"/>
        </w:rPr>
        <w:t xml:space="preserve">-1 </w:t>
      </w:r>
      <w:r w:rsidR="00010E65" w:rsidRPr="00770290">
        <w:t xml:space="preserve">to 1.4 </w:t>
      </w:r>
      <w:proofErr w:type="spellStart"/>
      <w:r w:rsidRPr="00770290">
        <w:t>kgPHB</w:t>
      </w:r>
      <w:proofErr w:type="spellEnd"/>
      <w:r w:rsidRPr="00770290">
        <w:t xml:space="preserve"> m</w:t>
      </w:r>
      <w:r w:rsidRPr="00770290">
        <w:rPr>
          <w:vertAlign w:val="superscript"/>
        </w:rPr>
        <w:t>-3</w:t>
      </w:r>
      <w:r w:rsidRPr="00770290">
        <w:t>h</w:t>
      </w:r>
      <w:r w:rsidRPr="00770290">
        <w:rPr>
          <w:vertAlign w:val="superscript"/>
        </w:rPr>
        <w:t xml:space="preserve">-1 </w:t>
      </w:r>
      <w:r w:rsidR="00752FFA" w:rsidRPr="00770290">
        <w:t>were</w:t>
      </w:r>
      <w:r w:rsidR="00010E65" w:rsidRPr="00770290">
        <w:t xml:space="preserve"> measured when producing PHB from methane under different strategies</w:t>
      </w:r>
      <w:r w:rsidRPr="00770290">
        <w:t xml:space="preserve"> </w:t>
      </w:r>
      <w:r w:rsidRPr="00770290">
        <w:fldChar w:fldCharType="begin" w:fldLock="1"/>
      </w:r>
      <w:r w:rsidR="000A4B5D" w:rsidRPr="00770290">
        <w:instrText>ADDIN CSL_CITATION {"citationItems":[{"id":"ITEM-1","itemData":{"author":[{"dropping-particle":"","family":"García-Pérez Teresa, C.López Juan, Passos Fabiana, Lebrero Raquel, Revah Sergio","given":"Muñoz Raul","non-dropping-particle":"","parse-names":false,"suffix":""}],"container-title":"Chemical Engineering Journal","id":"ITEM-1","issued":{"date-parts":[["2018"]]},"page":"691-697","title":"Simultaneous methane abatement and PHB production by Methylocystis hirsuta in a novel gas-recycling bubble column bioreactor","type":"article-journal","volume":"334"},"uris":["http://www.mendeley.com/documents/?uuid=612dd36a-3279-47e4-bddf-67a9c12ad4b2"]}],"mendeley":{"formattedCitation":"(García-Pérez Teresa, C.López Juan, Passos Fabiana, Lebrero Raquel, Revah Sergio, 2018)","manualFormatting":"(García-Pérez et al., 2018)","plainTextFormattedCitation":"(García-Pérez Teresa, C.López Juan, Passos Fabiana, Lebrero Raquel, Revah Sergio, 2018)","previouslyFormattedCitation":"(García-Pérez Teresa, C.López Juan, Passos Fabiana, Lebrero Raquel, Revah Sergio, 2018)"},"properties":{"noteIndex":0},"schema":"https://github.com/citation-style-language/schema/raw/master/csl-citation.json"}</w:instrText>
      </w:r>
      <w:r w:rsidRPr="00770290">
        <w:fldChar w:fldCharType="separate"/>
      </w:r>
      <w:r w:rsidRPr="00770290">
        <w:rPr>
          <w:noProof/>
        </w:rPr>
        <w:t>(García-Pérez et al.</w:t>
      </w:r>
      <w:r w:rsidR="00BC312A" w:rsidRPr="00770290">
        <w:rPr>
          <w:noProof/>
        </w:rPr>
        <w:t>,</w:t>
      </w:r>
      <w:r w:rsidRPr="00770290">
        <w:rPr>
          <w:noProof/>
        </w:rPr>
        <w:t xml:space="preserve"> 2018)</w:t>
      </w:r>
      <w:r w:rsidRPr="00770290">
        <w:fldChar w:fldCharType="end"/>
      </w:r>
      <w:r w:rsidR="006A769D" w:rsidRPr="00770290">
        <w:t>.</w:t>
      </w:r>
    </w:p>
    <w:p w14:paraId="733C34DE" w14:textId="2E96C39D" w:rsidR="00841D7F" w:rsidRPr="00770290" w:rsidRDefault="002B040B" w:rsidP="00841D7F">
      <w:r w:rsidRPr="00770290">
        <w:t xml:space="preserve">It should be noted that the PHB produced increased </w:t>
      </w:r>
      <w:r w:rsidR="000C1BBC" w:rsidRPr="00770290">
        <w:t xml:space="preserve">linearly </w:t>
      </w:r>
      <w:r w:rsidRPr="00770290">
        <w:t xml:space="preserve">with the superficial gas velocity, thus demonstrating the beneficial effect of working at higher </w:t>
      </w:r>
      <w:r w:rsidRPr="00770290">
        <w:rPr>
          <w:i/>
          <w:iCs/>
        </w:rPr>
        <w:t>U</w:t>
      </w:r>
      <w:r w:rsidRPr="00770290">
        <w:rPr>
          <w:i/>
          <w:iCs/>
          <w:vertAlign w:val="subscript"/>
        </w:rPr>
        <w:t>g</w:t>
      </w:r>
      <w:r w:rsidR="006A318C" w:rsidRPr="00770290">
        <w:t>:</w:t>
      </w:r>
      <w:r w:rsidRPr="00770290">
        <w:t xml:space="preserve"> </w:t>
      </w:r>
      <w:r w:rsidR="006A318C" w:rsidRPr="00770290">
        <w:t>m</w:t>
      </w:r>
      <w:r w:rsidR="00841D7F" w:rsidRPr="00770290">
        <w:t>ore specifically, it resulted that higher superficial gas velocities are responsible for enhanced transfer capacities, thus leading to higher process yields. This is particularly evident in Figure 3, in which the effect of the superficial gas velocity on the mass transfer is reported in terms of methane consumed by the active biomass. It can be stated that the methane consumption capacity linearly increases when ranging from 0.004 to 0.027 ms</w:t>
      </w:r>
      <w:r w:rsidR="00841D7F" w:rsidRPr="00770290">
        <w:rPr>
          <w:vertAlign w:val="superscript"/>
        </w:rPr>
        <w:t>-1</w:t>
      </w:r>
      <w:r w:rsidR="00841D7F" w:rsidRPr="00770290">
        <w:t xml:space="preserve"> because of the higher </w:t>
      </w:r>
      <w:proofErr w:type="spellStart"/>
      <w:r w:rsidR="00841D7F" w:rsidRPr="00770290">
        <w:rPr>
          <w:i/>
          <w:iCs/>
        </w:rPr>
        <w:t>k</w:t>
      </w:r>
      <w:r w:rsidR="00841D7F" w:rsidRPr="00770290">
        <w:rPr>
          <w:i/>
          <w:iCs/>
          <w:vertAlign w:val="subscript"/>
        </w:rPr>
        <w:t>L</w:t>
      </w:r>
      <w:r w:rsidR="00841D7F" w:rsidRPr="00770290">
        <w:rPr>
          <w:i/>
          <w:iCs/>
        </w:rPr>
        <w:t>a</w:t>
      </w:r>
      <w:proofErr w:type="spellEnd"/>
      <w:r w:rsidR="00841D7F" w:rsidRPr="00770290">
        <w:t xml:space="preserve"> linked to higher velocities. The trend show</w:t>
      </w:r>
      <w:r w:rsidR="00F85E4A" w:rsidRPr="00770290">
        <w:t>n</w:t>
      </w:r>
      <w:r w:rsidR="00841D7F" w:rsidRPr="00770290">
        <w:t xml:space="preserve"> in Figure </w:t>
      </w:r>
      <w:r w:rsidR="002963F8" w:rsidRPr="00770290">
        <w:t>3</w:t>
      </w:r>
      <w:r w:rsidR="00841D7F" w:rsidRPr="00770290">
        <w:t xml:space="preserve"> was previously reported and supported with experimental results, thus being consistent with the literature.</w:t>
      </w:r>
      <w:r w:rsidR="00841D7F" w:rsidRPr="00770290">
        <w:fldChar w:fldCharType="begin" w:fldLock="1"/>
      </w:r>
      <w:r w:rsidR="000A4B5D" w:rsidRPr="00770290">
        <w:instrText>ADDIN CSL_CITATION {"citationItems":[{"id":"ITEM-1","itemData":{"DOI":"10.1016/j.scitotenv.2019.135136","ISSN":"18791026","PMID":"31862586","abstract":"The valorization of biogas as a feedstock for the generation of added-value bioproducts will play a key role on the sustainability of anaerobic digestion. The present work assessed the influence of key environmental parameters (O2:CH4 ratio, temperature and nitrogen source) on the growth and polyhydroxybutyrate (PHB) synthesis under nitrogen limiting conditions of the type II methanotroph Methylocystis hirsuta CSC1 using biogas as a feedstock. The O2:CH4 ratios tested (1:1, 1.5:1 and 2:1) did not affect significantly M. hirsuta CSC1 growth yields (~5 g TSS mol−1 CH4), although lower CH4 removal rates were reached under O2-limiting conditions (ratio 1:1). The highest PHB content (45 wt%) was achieved at a ratio 2:1 and was threefold higher than those obtained at lower ratios (~15 wt%). The increase in temperature from 15 to 25 °C resulted in increases in the growth yield (from 5 to 6 g TSS mol−1 CH4) and PHB content (from 32 to 40 wt%). Conversely, the lowest PHB content (30 wt%) was reached at 37 °C, together with a negligible growth under nutrient sufficient conditions. The nitrogen source also played a key role on both M. hirsuta CSC1 growth and PHB synthesis. Thus, ammonium resulted in the highest growth yield (7 g TSS mol−1 CH4), although the maximum PHB content was achieved when biomass was previously grown in nitrate as the nitrogen source (41 wt%). Nitrite exerted an inhibitory effect on M. hirsuta CSC1 growth.","author":[{"dropping-particle":"","family":"Rodríguez","given":"Yadira","non-dropping-particle":"","parse-names":false,"suffix":""},{"dropping-particle":"","family":"Firmino","given":"Paulo Igor Milen","non-dropping-particle":"","parse-names":false,"suffix":""},{"dropping-particle":"","family":"Arnáiz","given":"Esther","non-dropping-particle":"","parse-names":false,"suffix":""},{"dropping-particle":"","family":"Lebrero","given":"Raquel","non-dropping-particle":"","parse-names":false,"suffix":""},{"dropping-particle":"","family":"Muñoz","given":"Raúl","non-dropping-particle":"","parse-names":false,"suffix":""}],"container-title":"Science of the Total Environment","id":"ITEM-1","issued":{"date-parts":[["2020"]]},"page":"135136","publisher":"Elsevier B.V.","title":"Elucidating the influence of environmental factors on biogas-based polyhydroxybutyrate production by Methylocystis hirsuta CSC1","type":"article-journal","volume":"706"},"uris":["http://www.mendeley.com/documents/?uuid=49e6b145-5dda-4c40-b4fe-27391cc731e1"]}],"mendeley":{"formattedCitation":"(Rodríguez et al., 2020a)","manualFormatting":" For instance, Rodríguez et al. (2020)","plainTextFormattedCitation":"(Rodríguez et al., 2020a)","previouslyFormattedCitation":"(Rodríguez et al., 2020a)"},"properties":{"noteIndex":0},"schema":"https://github.com/citation-style-language/schema/raw/master/csl-citation.json"}</w:instrText>
      </w:r>
      <w:r w:rsidR="00841D7F" w:rsidRPr="00770290">
        <w:fldChar w:fldCharType="separate"/>
      </w:r>
      <w:r w:rsidR="00841D7F" w:rsidRPr="00770290">
        <w:rPr>
          <w:noProof/>
        </w:rPr>
        <w:t xml:space="preserve"> For instance, Rodríguez et al. (2020)</w:t>
      </w:r>
      <w:r w:rsidR="00841D7F" w:rsidRPr="00770290">
        <w:fldChar w:fldCharType="end"/>
      </w:r>
      <w:r w:rsidR="00841D7F" w:rsidRPr="00770290">
        <w:t xml:space="preserve"> reported a substrate consumption from 7 gCH</w:t>
      </w:r>
      <w:r w:rsidR="00841D7F" w:rsidRPr="00770290">
        <w:rPr>
          <w:vertAlign w:val="subscript"/>
        </w:rPr>
        <w:t>4</w:t>
      </w:r>
      <w:r w:rsidR="00841D7F" w:rsidRPr="00770290">
        <w:t xml:space="preserve"> m</w:t>
      </w:r>
      <w:r w:rsidR="00841D7F" w:rsidRPr="00770290">
        <w:rPr>
          <w:vertAlign w:val="superscript"/>
        </w:rPr>
        <w:t>-3</w:t>
      </w:r>
      <w:r w:rsidR="00841D7F" w:rsidRPr="00770290">
        <w:t>h</w:t>
      </w:r>
      <w:r w:rsidR="00841D7F" w:rsidRPr="00770290">
        <w:rPr>
          <w:vertAlign w:val="superscript"/>
        </w:rPr>
        <w:t>-1</w:t>
      </w:r>
      <w:r w:rsidR="00841D7F" w:rsidRPr="00770290">
        <w:t xml:space="preserve"> to 74 gCH</w:t>
      </w:r>
      <w:r w:rsidR="00841D7F" w:rsidRPr="00770290">
        <w:rPr>
          <w:vertAlign w:val="subscript"/>
        </w:rPr>
        <w:t>4</w:t>
      </w:r>
      <w:r w:rsidR="00841D7F" w:rsidRPr="00770290">
        <w:t xml:space="preserve"> m</w:t>
      </w:r>
      <w:r w:rsidR="00841D7F" w:rsidRPr="00770290">
        <w:rPr>
          <w:vertAlign w:val="superscript"/>
        </w:rPr>
        <w:t>-3</w:t>
      </w:r>
      <w:r w:rsidR="00841D7F" w:rsidRPr="00770290">
        <w:t>h</w:t>
      </w:r>
      <w:r w:rsidR="00841D7F" w:rsidRPr="00770290">
        <w:rPr>
          <w:vertAlign w:val="superscript"/>
        </w:rPr>
        <w:t xml:space="preserve">-1 </w:t>
      </w:r>
      <w:r w:rsidR="00841D7F" w:rsidRPr="00770290">
        <w:t xml:space="preserve">when inducing PHB accumulation in a bubble column reactor under several operating conditions. </w:t>
      </w:r>
      <w:r w:rsidR="00841D7F" w:rsidRPr="00770290">
        <w:lastRenderedPageBreak/>
        <w:t>Others reported a methane consumption ranging from 6 gCH</w:t>
      </w:r>
      <w:r w:rsidR="00841D7F" w:rsidRPr="00770290">
        <w:rPr>
          <w:vertAlign w:val="subscript"/>
        </w:rPr>
        <w:t>4</w:t>
      </w:r>
      <w:r w:rsidR="00841D7F" w:rsidRPr="00770290">
        <w:t xml:space="preserve"> m</w:t>
      </w:r>
      <w:r w:rsidR="00841D7F" w:rsidRPr="00770290">
        <w:rPr>
          <w:vertAlign w:val="superscript"/>
        </w:rPr>
        <w:t>-3</w:t>
      </w:r>
      <w:r w:rsidR="00841D7F" w:rsidRPr="00770290">
        <w:t>h</w:t>
      </w:r>
      <w:r w:rsidR="00841D7F" w:rsidRPr="00770290">
        <w:rPr>
          <w:vertAlign w:val="superscript"/>
        </w:rPr>
        <w:t>-1</w:t>
      </w:r>
      <w:r w:rsidR="00841D7F" w:rsidRPr="00770290">
        <w:t xml:space="preserve"> to 56 gCH</w:t>
      </w:r>
      <w:r w:rsidR="00841D7F" w:rsidRPr="00770290">
        <w:rPr>
          <w:vertAlign w:val="subscript"/>
        </w:rPr>
        <w:t>4</w:t>
      </w:r>
      <w:r w:rsidR="00841D7F" w:rsidRPr="00770290">
        <w:t xml:space="preserve"> m</w:t>
      </w:r>
      <w:r w:rsidR="00841D7F" w:rsidRPr="00770290">
        <w:rPr>
          <w:vertAlign w:val="superscript"/>
        </w:rPr>
        <w:t>-3</w:t>
      </w:r>
      <w:r w:rsidR="00841D7F" w:rsidRPr="00770290">
        <w:t>h</w:t>
      </w:r>
      <w:r w:rsidR="00841D7F" w:rsidRPr="00770290">
        <w:rPr>
          <w:vertAlign w:val="superscript"/>
        </w:rPr>
        <w:t xml:space="preserve">-1 </w:t>
      </w:r>
      <w:r w:rsidR="00841D7F" w:rsidRPr="00770290">
        <w:t xml:space="preserve">in a bubble column reactor during the accumulation of Poly(3-hydroxybutyrate) </w:t>
      </w:r>
      <w:r w:rsidR="00841D7F" w:rsidRPr="00770290">
        <w:fldChar w:fldCharType="begin" w:fldLock="1"/>
      </w:r>
      <w:r w:rsidR="000A4B5D" w:rsidRPr="00770290">
        <w:instrText>ADDIN CSL_CITATION {"citationItems":[{"id":"ITEM-1","itemData":{"author":[{"dropping-particle":"","family":"García-Pérez Teresa, C.López Juan, Passos Fabiana, Lebrero Raquel, Revah Sergio","given":"Muñoz Raul","non-dropping-particle":"","parse-names":false,"suffix":""}],"container-title":"Chemical Engineering Journal","id":"ITEM-1","issued":{"date-parts":[["2018"]]},"page":"691-697","title":"Simultaneous methane abatement and PHB production by Methylocystis hirsuta in a novel gas-recycling bubble column bioreactor","type":"article-journal","volume":"334"},"uris":["http://www.mendeley.com/documents/?uuid=612dd36a-3279-47e4-bddf-67a9c12ad4b2"]}],"mendeley":{"formattedCitation":"(García-Pérez Teresa, C.López Juan, Passos Fabiana, Lebrero Raquel, Revah Sergio, 2018)","manualFormatting":"(García-Pérez ","plainTextFormattedCitation":"(García-Pérez Teresa, C.López Juan, Passos Fabiana, Lebrero Raquel, Revah Sergio, 2018)","previouslyFormattedCitation":"(García-Pérez Teresa, C.López Juan, Passos Fabiana, Lebrero Raquel, Revah Sergio, 2018)"},"properties":{"noteIndex":0},"schema":"https://github.com/citation-style-language/schema/raw/master/csl-citation.json"}</w:instrText>
      </w:r>
      <w:r w:rsidR="00841D7F" w:rsidRPr="00770290">
        <w:fldChar w:fldCharType="separate"/>
      </w:r>
      <w:r w:rsidR="00841D7F" w:rsidRPr="00770290">
        <w:rPr>
          <w:noProof/>
        </w:rPr>
        <w:t xml:space="preserve">(García-Pérez </w:t>
      </w:r>
      <w:r w:rsidR="00841D7F" w:rsidRPr="00770290">
        <w:fldChar w:fldCharType="end"/>
      </w:r>
      <w:r w:rsidR="00841D7F" w:rsidRPr="00770290">
        <w:t>et al.</w:t>
      </w:r>
      <w:r w:rsidR="00BC312A" w:rsidRPr="00770290">
        <w:t>,</w:t>
      </w:r>
      <w:r w:rsidR="00841D7F" w:rsidRPr="00770290">
        <w:t xml:space="preserve"> 2018).</w:t>
      </w:r>
    </w:p>
    <w:p w14:paraId="727308C7" w14:textId="77777777" w:rsidR="00841D7F" w:rsidRPr="00770290" w:rsidRDefault="00841D7F" w:rsidP="00841D7F"/>
    <w:p w14:paraId="01C11543" w14:textId="66645360" w:rsidR="00010E65" w:rsidRPr="00770290" w:rsidRDefault="00D86B3F" w:rsidP="00290CC7">
      <w:r w:rsidRPr="00770290">
        <w:rPr>
          <w:noProof/>
          <w:lang w:val="it-IT" w:eastAsia="it-IT"/>
        </w:rPr>
        <w:drawing>
          <wp:inline distT="0" distB="0" distL="0" distR="0" wp14:anchorId="23AD681B" wp14:editId="1802F792">
            <wp:extent cx="4118834" cy="2520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8834" cy="2520000"/>
                    </a:xfrm>
                    <a:prstGeom prst="rect">
                      <a:avLst/>
                    </a:prstGeom>
                    <a:noFill/>
                  </pic:spPr>
                </pic:pic>
              </a:graphicData>
            </a:graphic>
          </wp:inline>
        </w:drawing>
      </w:r>
    </w:p>
    <w:p w14:paraId="7C794807" w14:textId="25390D6D" w:rsidR="00E975FE" w:rsidRPr="00770290" w:rsidRDefault="00E975FE" w:rsidP="002625A4">
      <w:pPr>
        <w:rPr>
          <w:rStyle w:val="CETCaptionCarattere"/>
        </w:rPr>
      </w:pPr>
      <w:r w:rsidRPr="00770290">
        <w:rPr>
          <w:rStyle w:val="CETCaptionCarattere"/>
        </w:rPr>
        <w:t xml:space="preserve">Figure 2: </w:t>
      </w:r>
      <w:r w:rsidR="001617BE" w:rsidRPr="00770290">
        <w:rPr>
          <w:rStyle w:val="CETCaptionCarattere"/>
        </w:rPr>
        <w:t>P</w:t>
      </w:r>
      <w:r w:rsidRPr="00770290">
        <w:rPr>
          <w:rStyle w:val="CETCaptionCarattere"/>
        </w:rPr>
        <w:t xml:space="preserve">roductivity of PHB </w:t>
      </w:r>
      <w:r w:rsidR="00F1647C" w:rsidRPr="00770290">
        <w:rPr>
          <w:rStyle w:val="CETCaptionCarattere"/>
        </w:rPr>
        <w:t>as a function of the superficial gas velocity</w:t>
      </w:r>
      <w:r w:rsidR="00F1647C" w:rsidRPr="00770290" w:rsidDel="00F1647C">
        <w:rPr>
          <w:rStyle w:val="CETCaptionCarattere"/>
        </w:rPr>
        <w:t xml:space="preserve"> </w:t>
      </w:r>
    </w:p>
    <w:p w14:paraId="0BC9428A" w14:textId="23F645C8" w:rsidR="00EF3A38" w:rsidRPr="00770290" w:rsidRDefault="00EF3A38" w:rsidP="002625A4"/>
    <w:p w14:paraId="145712E2" w14:textId="2A057966" w:rsidR="00335C30" w:rsidRPr="00770290" w:rsidRDefault="00BC312A" w:rsidP="008D7D04">
      <w:r w:rsidRPr="00770290">
        <w:rPr>
          <w:noProof/>
        </w:rPr>
        <w:drawing>
          <wp:inline distT="0" distB="0" distL="0" distR="0" wp14:anchorId="7FDFBC65" wp14:editId="4CC0C288">
            <wp:extent cx="4282440" cy="2510661"/>
            <wp:effectExtent l="0" t="0" r="381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2440" cy="2510661"/>
                    </a:xfrm>
                    <a:prstGeom prst="rect">
                      <a:avLst/>
                    </a:prstGeom>
                    <a:noFill/>
                  </pic:spPr>
                </pic:pic>
              </a:graphicData>
            </a:graphic>
          </wp:inline>
        </w:drawing>
      </w:r>
    </w:p>
    <w:p w14:paraId="267CFE5E" w14:textId="18C4DE06" w:rsidR="00E975FE" w:rsidRPr="00770290" w:rsidRDefault="00E975FE" w:rsidP="00E975FE">
      <w:pPr>
        <w:rPr>
          <w:rStyle w:val="CETCaptionCarattere"/>
        </w:rPr>
      </w:pPr>
      <w:r w:rsidRPr="00770290">
        <w:rPr>
          <w:rStyle w:val="CETCaptionCarattere"/>
        </w:rPr>
        <w:t xml:space="preserve">Figure </w:t>
      </w:r>
      <w:r w:rsidR="00D2623D" w:rsidRPr="00770290">
        <w:rPr>
          <w:rStyle w:val="CETCaptionCarattere"/>
        </w:rPr>
        <w:t>3</w:t>
      </w:r>
      <w:r w:rsidRPr="00770290">
        <w:rPr>
          <w:rStyle w:val="CETCaptionCarattere"/>
        </w:rPr>
        <w:t xml:space="preserve">: </w:t>
      </w:r>
      <w:r w:rsidR="001617BE" w:rsidRPr="00770290">
        <w:rPr>
          <w:rStyle w:val="CETCaptionCarattere"/>
        </w:rPr>
        <w:t>S</w:t>
      </w:r>
      <w:r w:rsidR="00656AFB" w:rsidRPr="00770290">
        <w:rPr>
          <w:rStyle w:val="CETCaptionCarattere"/>
        </w:rPr>
        <w:t xml:space="preserve">ubstrate </w:t>
      </w:r>
      <w:r w:rsidRPr="00770290">
        <w:rPr>
          <w:rStyle w:val="CETCaptionCarattere"/>
        </w:rPr>
        <w:t xml:space="preserve">consumption as </w:t>
      </w:r>
      <w:r w:rsidR="00F1647C" w:rsidRPr="00770290">
        <w:rPr>
          <w:rStyle w:val="CETCaptionCarattere"/>
        </w:rPr>
        <w:t xml:space="preserve">a </w:t>
      </w:r>
      <w:r w:rsidRPr="00770290">
        <w:rPr>
          <w:rStyle w:val="CETCaptionCarattere"/>
        </w:rPr>
        <w:t>function of the superficial gas velocity</w:t>
      </w:r>
    </w:p>
    <w:p w14:paraId="3C73186E" w14:textId="4AC9DCFC" w:rsidR="00E975FE" w:rsidRPr="00770290" w:rsidRDefault="00E975FE" w:rsidP="008D7D04"/>
    <w:p w14:paraId="37C38DCD" w14:textId="4F34F4CE" w:rsidR="00D2623D" w:rsidRPr="00770290" w:rsidRDefault="00841D7F" w:rsidP="00D2623D">
      <w:r w:rsidRPr="00770290">
        <w:t>T</w:t>
      </w:r>
      <w:r w:rsidR="00D2623D" w:rsidRPr="00770290">
        <w:t xml:space="preserve">he fraction of polymer accumulated into the biomass remained almost constant at 42% (Figure </w:t>
      </w:r>
      <w:r w:rsidRPr="00770290">
        <w:t>4</w:t>
      </w:r>
      <w:r w:rsidR="00D2623D" w:rsidRPr="00770290">
        <w:t xml:space="preserve">), </w:t>
      </w:r>
      <w:r w:rsidR="00441B9C" w:rsidRPr="00770290">
        <w:t>with little variation only in correspondence of</w:t>
      </w:r>
      <w:r w:rsidR="00D2623D" w:rsidRPr="00770290">
        <w:t xml:space="preserve"> lower </w:t>
      </w:r>
      <w:r w:rsidR="00B14A5C" w:rsidRPr="00770290">
        <w:t xml:space="preserve">superficial gas </w:t>
      </w:r>
      <w:r w:rsidR="00D2623D" w:rsidRPr="00770290">
        <w:t>velocities. The values obtained are in agreement with the literature</w:t>
      </w:r>
      <w:r w:rsidR="009542D6" w:rsidRPr="00770290">
        <w:t xml:space="preserve">. </w:t>
      </w:r>
      <w:r w:rsidR="00D2623D" w:rsidRPr="00770290">
        <w:fldChar w:fldCharType="begin" w:fldLock="1"/>
      </w:r>
      <w:r w:rsidR="000A4B5D" w:rsidRPr="00770290">
        <w:instrText>ADDIN CSL_CITATION {"citationItems":[{"id":"ITEM-1","itemData":{"author":[{"dropping-particle":"","family":"García-Pérez Teresa, C.López Juan, Passos Fabiana, Lebrero Raquel, Revah Sergio","given":"Muñoz Raul","non-dropping-particle":"","parse-names":false,"suffix":""}],"container-title":"Chemical Engineering Journal","id":"ITEM-1","issued":{"date-parts":[["2018"]]},"page":"691-697","title":"Simultaneous methane abatement and PHB production by Methylocystis hirsuta in a novel gas-recycling bubble column bioreactor","type":"article-journal","volume":"334"},"uris":["http://www.mendeley.com/documents/?uuid=612dd36a-3279-47e4-bddf-67a9c12ad4b2"]}],"mendeley":{"formattedCitation":"(García-Pérez Teresa, C.López Juan, Passos Fabiana, Lebrero Raquel, Revah Sergio, 2018)","manualFormatting":"García-Pérez Teresa et al. (2018)","plainTextFormattedCitation":"(García-Pérez Teresa, C.López Juan, Passos Fabiana, Lebrero Raquel, Revah Sergio, 2018)","previouslyFormattedCitation":"(García-Pérez Teresa, C.López Juan, Passos Fabiana, Lebrero Raquel, Revah Sergio, 2018)"},"properties":{"noteIndex":0},"schema":"https://github.com/citation-style-language/schema/raw/master/csl-citation.json"}</w:instrText>
      </w:r>
      <w:r w:rsidR="00D2623D" w:rsidRPr="00770290">
        <w:fldChar w:fldCharType="separate"/>
      </w:r>
      <w:r w:rsidR="00D2623D" w:rsidRPr="00770290">
        <w:rPr>
          <w:noProof/>
        </w:rPr>
        <w:t>García-Pérez Teresa et al. (2018)</w:t>
      </w:r>
      <w:r w:rsidR="00D2623D" w:rsidRPr="00770290">
        <w:fldChar w:fldCharType="end"/>
      </w:r>
      <w:r w:rsidR="00D2623D" w:rsidRPr="00770290">
        <w:t xml:space="preserve">, for example, reported 34.6% of PHB when working with methane as the sole carbon source; </w:t>
      </w:r>
      <w:r w:rsidR="00D2623D" w:rsidRPr="00770290">
        <w:fldChar w:fldCharType="begin" w:fldLock="1"/>
      </w:r>
      <w:r w:rsidR="000A4B5D" w:rsidRPr="00770290">
        <w:instrText>ADDIN CSL_CITATION {"citationItems":[{"id":"ITEM-1","itemData":{"DOI":"10.1016/j.biortech.2015.09.094","ISSN":"18732976","PMID":"26454368","abstract":"Methane (CH4) is a readily available feedstock for production of polyhydroxyalkanoates (PHAs). The structure and PHA production capacity of a Methylocystis-dominated methanotrophic enrichment was stable in long-term operation (&gt;175days) when grown exponentially under non-aseptic conditions in fill-and-draw batch cultures with ammonium as nitrogen source. Cells harvested in the draw step were incubated in the absence of nitrogen with various combinations of CH4 and valerate to assess capacity for synthesis of poly(3-hydroxybutyrate) (P3HB) and poly(3-hydroxybutyrate-co-3-hydroxyvalerate) (PHBV). When fed CH4 alone, only P3HB was produced. When fed CH4 plus valerate, PHBV was synthesized. The mol% of 3-hydroxyvalerate (3HV) increased with added valerate. Oxidation of CH4 was required for valerate assimilation, and the fraction of CH4 oxidized increased with increased mol% 3HV. By separating PHA accumulation from cell replication, tailored PHA-rich biomass can be generated by addition of co-substrate, while retaining a large inoculum for the next cycle of cell division.","author":[{"dropping-particle":"","family":"Myung","given":"Jaewook","non-dropping-particle":"","parse-names":false,"suffix":""},{"dropping-particle":"","family":"Galega","given":"Wakuna M.","non-dropping-particle":"","parse-names":false,"suffix":""},{"dropping-particle":"","family":"Nostrand","given":"Joy D.","non-dropping-particle":"Van","parse-names":false,"suffix":""},{"dropping-particle":"","family":"Yuan","given":"Tong","non-dropping-particle":"","parse-names":false,"suffix":""},{"dropping-particle":"","family":"Zhou","given":"Jizhong","non-dropping-particle":"","parse-names":false,"suffix":""},{"dropping-particle":"","family":"Criddle","given":"Craig S.","non-dropping-particle":"","parse-names":false,"suffix":""}],"container-title":"Bioresource Technology","id":"ITEM-1","issued":{"date-parts":[["2015"]]},"page":"811-818","publisher":"Elsevier Ltd","title":"Long-term cultivation of a stable Methylocystis-dominated methanotrophic enrichment enabling tailored production of poly(3-hydroxybutyrate-co-3-hydroxyvalerate)","type":"article-journal","volume":"198"},"uris":["http://www.mendeley.com/documents/?uuid=4c87ea9b-f439-407b-aebd-28677d315172"]}],"mendeley":{"formattedCitation":"(Myung et al., 2015)","manualFormatting":"Myung et al. (2015)","plainTextFormattedCitation":"(Myung et al., 2015)","previouslyFormattedCitation":"(Myung et al., 2015)"},"properties":{"noteIndex":0},"schema":"https://github.com/citation-style-language/schema/raw/master/csl-citation.json"}</w:instrText>
      </w:r>
      <w:r w:rsidR="00D2623D" w:rsidRPr="00770290">
        <w:fldChar w:fldCharType="separate"/>
      </w:r>
      <w:r w:rsidR="00D2623D" w:rsidRPr="00770290">
        <w:rPr>
          <w:noProof/>
        </w:rPr>
        <w:t>Myung et al. (2015)</w:t>
      </w:r>
      <w:r w:rsidR="00D2623D" w:rsidRPr="00770290">
        <w:fldChar w:fldCharType="end"/>
      </w:r>
      <w:r w:rsidR="00D2623D" w:rsidRPr="00770290">
        <w:t xml:space="preserve"> obtained 39% of PHB when employing mixed methane </w:t>
      </w:r>
      <w:r w:rsidR="00F1647C" w:rsidRPr="00770290">
        <w:t xml:space="preserve">utilising </w:t>
      </w:r>
      <w:r w:rsidR="00D2623D" w:rsidRPr="00770290">
        <w:t xml:space="preserve">culture to accumulate PHB; </w:t>
      </w:r>
      <w:r w:rsidR="00D2623D" w:rsidRPr="00770290">
        <w:fldChar w:fldCharType="begin" w:fldLock="1"/>
      </w:r>
      <w:r w:rsidR="000A4B5D" w:rsidRPr="00770290">
        <w:instrText>ADDIN CSL_CITATION {"citationItems":[{"id":"ITEM-1","itemData":{"DOI":"10.1016/j.biortech.2012.12.129","ISSN":"18732976","abstract":"In this study, modeling is used to describe how oxygen and nitrogen source affect the stoichiometry and kinetics of growth and PHB production in the Type II methanotrophs Methylosinus trichosporium OB3b and Methylocystis parvus OBBP. Significant differences were observed, with major implications for the use of these species in biotechnology applications. Such analyses can better inform bioreactor design, scale-up models, and life cycle assessments (LCAs). © 2012 .","author":[{"dropping-particle":"","family":"Rostkowski","given":"Katherine H.","non-dropping-particle":"","parse-names":false,"suffix":""},{"dropping-particle":"","family":"Pfluger","given":"Andrew R.","non-dropping-particle":"","parse-names":false,"suffix":""},{"dropping-particle":"","family":"Criddle","given":"Craig S.","non-dropping-particle":"","parse-names":false,"suffix":""}],"container-title":"Bioresource Technology","id":"ITEM-1","issued":{"date-parts":[["2013"]]},"page":"71-77","title":"Stoichiometry and kinetics of the PHB-producing Type II methanotrophs Methylosinus trichosporium OB3b and Methylocystis parvus OBBP","type":"article-journal","volume":"132"},"uris":["http://www.mendeley.com/documents/?uuid=c1d42080-ea64-4fb3-b5f2-fb55b7af72d6"]}],"mendeley":{"formattedCitation":"(Rostkowski et al., 2013)","manualFormatting":"Rostkowski et al. (2013)","plainTextFormattedCitation":"(Rostkowski et al., 2013)","previouslyFormattedCitation":"(Rostkowski et al., 2013)"},"properties":{"noteIndex":0},"schema":"https://github.com/citation-style-language/schema/raw/master/csl-citation.json"}</w:instrText>
      </w:r>
      <w:r w:rsidR="00D2623D" w:rsidRPr="00770290">
        <w:fldChar w:fldCharType="separate"/>
      </w:r>
      <w:r w:rsidR="00D2623D" w:rsidRPr="00770290">
        <w:rPr>
          <w:noProof/>
        </w:rPr>
        <w:t>Rostkowski et al. (2013)</w:t>
      </w:r>
      <w:r w:rsidR="00D2623D" w:rsidRPr="00770290">
        <w:fldChar w:fldCharType="end"/>
      </w:r>
      <w:r w:rsidR="00D2623D" w:rsidRPr="00770290">
        <w:t xml:space="preserve"> showed the possibility to accumulate up to 60% of </w:t>
      </w:r>
      <w:r w:rsidR="00F1647C" w:rsidRPr="00770290">
        <w:t>dry cell</w:t>
      </w:r>
      <w:r w:rsidR="00D2623D" w:rsidRPr="00770290">
        <w:t xml:space="preserve"> weight when accumulating PHB in </w:t>
      </w:r>
      <w:proofErr w:type="spellStart"/>
      <w:r w:rsidR="00D2623D" w:rsidRPr="00770290">
        <w:rPr>
          <w:i/>
          <w:iCs/>
        </w:rPr>
        <w:t>Methylocystis</w:t>
      </w:r>
      <w:proofErr w:type="spellEnd"/>
      <w:r w:rsidR="00D2623D" w:rsidRPr="00770290">
        <w:rPr>
          <w:i/>
          <w:iCs/>
        </w:rPr>
        <w:t xml:space="preserve"> </w:t>
      </w:r>
      <w:proofErr w:type="spellStart"/>
      <w:r w:rsidR="00D2623D" w:rsidRPr="00770290">
        <w:rPr>
          <w:i/>
          <w:iCs/>
        </w:rPr>
        <w:t>parvus</w:t>
      </w:r>
      <w:proofErr w:type="spellEnd"/>
      <w:r w:rsidR="00D2623D" w:rsidRPr="00770290">
        <w:rPr>
          <w:i/>
          <w:iCs/>
        </w:rPr>
        <w:t xml:space="preserve"> OBBP </w:t>
      </w:r>
      <w:r w:rsidR="00D2623D" w:rsidRPr="00770290">
        <w:t>with methane fed as the sole carbon source.</w:t>
      </w:r>
    </w:p>
    <w:p w14:paraId="16B7B2F1" w14:textId="7601F09C" w:rsidR="00841D7F" w:rsidRPr="00770290" w:rsidRDefault="009542D6" w:rsidP="00841D7F">
      <w:r w:rsidRPr="00770290">
        <w:t xml:space="preserve">In terms of </w:t>
      </w:r>
      <w:r w:rsidR="00841D7F" w:rsidRPr="00770290">
        <w:t xml:space="preserve">PHB </w:t>
      </w:r>
      <w:r w:rsidRPr="00770290">
        <w:t>yield</w:t>
      </w:r>
      <w:r w:rsidR="00841D7F" w:rsidRPr="00770290">
        <w:t xml:space="preserve">, it can be noted from Figure 5 that an increase was observed in the range of </w:t>
      </w:r>
      <w:r w:rsidR="00841D7F" w:rsidRPr="00770290">
        <w:rPr>
          <w:i/>
          <w:iCs/>
        </w:rPr>
        <w:t>U</w:t>
      </w:r>
      <w:r w:rsidR="00841D7F" w:rsidRPr="00770290">
        <w:rPr>
          <w:i/>
          <w:iCs/>
          <w:vertAlign w:val="subscript"/>
        </w:rPr>
        <w:t>g</w:t>
      </w:r>
      <w:r w:rsidR="00841D7F" w:rsidRPr="00770290">
        <w:t xml:space="preserve"> from 0.004 to 0.015 ms</w:t>
      </w:r>
      <w:r w:rsidR="00841D7F" w:rsidRPr="00770290">
        <w:rPr>
          <w:vertAlign w:val="superscript"/>
        </w:rPr>
        <w:t>-1</w:t>
      </w:r>
      <w:r w:rsidR="00841D7F" w:rsidRPr="00770290">
        <w:t>, while for higher values of the superficial gas velocity</w:t>
      </w:r>
      <w:r w:rsidR="00F1647C" w:rsidRPr="00770290">
        <w:t>,</w:t>
      </w:r>
      <w:r w:rsidR="00841D7F" w:rsidRPr="00770290">
        <w:t xml:space="preserve"> the parameter was </w:t>
      </w:r>
      <w:r w:rsidRPr="00770290">
        <w:t xml:space="preserve">almost </w:t>
      </w:r>
      <w:r w:rsidR="00841D7F" w:rsidRPr="00770290">
        <w:t xml:space="preserve">stable at 0.5. Previous studies showed that the yields of PHB on methane can reach up to 1.13, but the most reported values are in the range between 0.2 and 0.5. For instance, 0.24 and 0.34 </w:t>
      </w:r>
      <w:proofErr w:type="spellStart"/>
      <w:r w:rsidR="00841D7F" w:rsidRPr="00770290">
        <w:t>gPHB</w:t>
      </w:r>
      <w:proofErr w:type="spellEnd"/>
      <w:r w:rsidR="00841D7F" w:rsidRPr="00770290">
        <w:t>/gCH</w:t>
      </w:r>
      <w:r w:rsidR="00841D7F" w:rsidRPr="00770290">
        <w:rPr>
          <w:vertAlign w:val="subscript"/>
        </w:rPr>
        <w:t>4</w:t>
      </w:r>
      <w:r w:rsidR="00841D7F" w:rsidRPr="00770290">
        <w:t xml:space="preserve"> were reported with </w:t>
      </w:r>
      <w:proofErr w:type="spellStart"/>
      <w:r w:rsidR="00841D7F" w:rsidRPr="00770290">
        <w:rPr>
          <w:i/>
          <w:iCs/>
        </w:rPr>
        <w:t>Methylocystis</w:t>
      </w:r>
      <w:proofErr w:type="spellEnd"/>
      <w:r w:rsidR="00841D7F" w:rsidRPr="00770290">
        <w:rPr>
          <w:i/>
          <w:iCs/>
        </w:rPr>
        <w:t xml:space="preserve"> </w:t>
      </w:r>
      <w:proofErr w:type="spellStart"/>
      <w:r w:rsidR="00841D7F" w:rsidRPr="00770290">
        <w:rPr>
          <w:i/>
          <w:iCs/>
        </w:rPr>
        <w:t>parvus</w:t>
      </w:r>
      <w:proofErr w:type="spellEnd"/>
      <w:r w:rsidR="00841D7F" w:rsidRPr="00770290">
        <w:rPr>
          <w:i/>
          <w:iCs/>
        </w:rPr>
        <w:t xml:space="preserve"> OBBP</w:t>
      </w:r>
      <w:r w:rsidR="00841D7F" w:rsidRPr="00770290">
        <w:t xml:space="preserve"> accumulating PHB in two different conditions </w:t>
      </w:r>
      <w:r w:rsidR="00841D7F" w:rsidRPr="00770290">
        <w:fldChar w:fldCharType="begin" w:fldLock="1"/>
      </w:r>
      <w:r w:rsidR="000A4B5D" w:rsidRPr="00770290">
        <w:instrText>ADDIN CSL_CITATION {"citationItems":[{"id":"ITEM-1","itemData":{"DOI":"10.1128/AEM.00509-11","ISSN":"00992240","PMID":"21724874","abstract":"Differences in carbon assimilation pathways and reducing power requirements among organisms are likely to affect the role of the storage polymer poly-3-hydroxybutyrate (PHB). Previous researchers have demonstrated that PHB functions as a sole growth substrate in aerobic cultures enriched on acetate during periods of carbon deficiency, but it is uncertain how C 1 metabolism affects the role of PHB. In the present study, the type II methanotroph Methylocystis parvus OBBP did not replicate using stored PHB in the absence of methane, even when all other nutrients were provided in excess. When PHB-rich cultures of M. parvus OBBP were deprived of carbon and nitrogen for 48 h, they did not utilize significant amounts of stored PHB, and neither cell concentrations nor concentrations of total suspended solids changed significantly. When methane and nitrogen both were present, PHB and methane were consumed simultaneously. Cells with PHB had significantly higher specific growth rates than cells lacking PHB. The addition of formate (a source of reducing power) to PHB-rich cells delayed PHB consumption, but the addition of glyoxylate (a source of C 2 units) did not. This and results from other researchers suggest that methanotrophic PHB metabolism is linked to the supply of reducing power as opposed to the supply of C 2 units for synthesis. © 2011, American Society for Microbiology.","author":[{"dropping-particle":"","family":"Pieja","given":"Allison J.","non-dropping-particle":"","parse-names":false,"suffix":""},{"dropping-particle":"","family":"Sundstrom","given":"Eric R.","non-dropping-particle":"","parse-names":false,"suffix":""},{"dropping-particle":"","family":"Criddle","given":"Craig S.","non-dropping-particle":"","parse-names":false,"suffix":""}],"container-title":"Applied and Environmental Microbiology","id":"ITEM-1","issue":"17","issued":{"date-parts":[["2011"]]},"page":"6012-6019","title":"Poly-3-hydroxybutyrate metabolism in the type II Methanotroph Methylocystis parvus OBBP","type":"article-journal","volume":"77"},"uris":["http://www.mendeley.com/documents/?uuid=132c36ab-1504-42e3-a3a5-d44d14fa3fb6"]}],"mendeley":{"formattedCitation":"(Pieja et al., 2011)","manualFormatting":"(Pieja et al., 2011)","plainTextFormattedCitation":"(Pieja et al., 2011)","previouslyFormattedCitation":"(Pieja et al., 2011)"},"properties":{"noteIndex":0},"schema":"https://github.com/citation-style-language/schema/raw/master/csl-citation.json"}</w:instrText>
      </w:r>
      <w:r w:rsidR="00841D7F" w:rsidRPr="00770290">
        <w:fldChar w:fldCharType="separate"/>
      </w:r>
      <w:r w:rsidR="00841D7F" w:rsidRPr="00770290">
        <w:rPr>
          <w:noProof/>
        </w:rPr>
        <w:t>(Pieja et al.</w:t>
      </w:r>
      <w:r w:rsidR="00BC312A" w:rsidRPr="00770290">
        <w:rPr>
          <w:noProof/>
        </w:rPr>
        <w:t>,</w:t>
      </w:r>
      <w:r w:rsidR="00841D7F" w:rsidRPr="00770290">
        <w:rPr>
          <w:noProof/>
        </w:rPr>
        <w:t xml:space="preserve"> 2011)</w:t>
      </w:r>
      <w:r w:rsidR="00841D7F" w:rsidRPr="00770290">
        <w:fldChar w:fldCharType="end"/>
      </w:r>
      <w:r w:rsidR="00841D7F" w:rsidRPr="00770290">
        <w:t xml:space="preserve">; a yield coefficient of 0.45 was found during the accumulation of PHB in mixed methane </w:t>
      </w:r>
      <w:r w:rsidR="00F1647C" w:rsidRPr="00770290">
        <w:t xml:space="preserve">utilising </w:t>
      </w:r>
      <w:r w:rsidR="00841D7F" w:rsidRPr="00770290">
        <w:t xml:space="preserve">culture </w:t>
      </w:r>
      <w:r w:rsidR="00841D7F" w:rsidRPr="00770290">
        <w:fldChar w:fldCharType="begin" w:fldLock="1"/>
      </w:r>
      <w:r w:rsidR="000A4B5D" w:rsidRPr="00770290">
        <w:instrText>ADDIN CSL_CITATION {"citationItems":[{"id":"ITEM-1","itemData":{"DOI":"10.1111/j.1365-2672.2008.03831.x","ISSN":"13645072","PMID":"18422550","abstract":"Aims: To investigate the effect of various single nutrient deficiencies on poly-β-hydroxybutyrate (PHB) biosynthesis in a methane-utilizing mixed culture (dominant species Methylocystis sp. GB 25 DSM 7674). Methods and Results: Poly-β-hydroxybutyrate accumulation experiments were performed in 7 and 70 l bioreactors and initiated by potassium, sulfur or iron deficiency. After 24 h the PHB content reached levels of 33.6%, 32.6% and 10.4% respectively. Interestingly a polymer with an ultra-high average-weight molecular weight (Mw) of 3.1 MDa was accumulated under potassium-limited conditions. When sulfur and iron were lacking Mw were lower by 20.6 and 41.6%. Potassium-deficiency experiments were furthermore characterized by a maximum specific PHB formation rate 0.08 g g -1residual biomass (R) h-1 and a yield coefficient of 0.45 g PHB g-1 CH4. Conclusions: Biosynthesis of an ultra-high Mw PHB in a methane-utilizing mixed culture can be induced by potassium deficiency. Significance and Impact of the Study: This study greatly extends the knowledge in the field of bacterial biopolymer formation with gaseous substrates. The special system used here combines the use of methane a low-cost substrate available from natural and renewable sources with the possibility of employing a mixed-culture in an open system for the synthesis of a high-value product. © 2008 The Authors.","author":[{"dropping-particle":"","family":"Helm","given":"J.","non-dropping-particle":"","parse-names":false,"suffix":""},{"dropping-particle":"","family":"Wendlandt","given":"K. D.","non-dropping-particle":"","parse-names":false,"suffix":""},{"dropping-particle":"","family":"Jechorek","given":"M.","non-dropping-particle":"","parse-names":false,"suffix":""},{"dropping-particle":"","family":"Stottmeister","given":"U.","non-dropping-particle":"","parse-names":false,"suffix":""}],"container-title":"Journal of Applied Microbiology","id":"ITEM-1","issue":"4","issued":{"date-parts":[["2008"]]},"page":"1054-1061","title":"Potassium deficiency results in accumulation of ultra-high molecular weight poly-β-hydroxybutyrate in a methane-utilizing mixed culture","type":"article-journal","volume":"105"},"uris":["http://www.mendeley.com/documents/?uuid=86b18f3a-389b-44f8-857d-75b46ec2a78a"]}],"mendeley":{"formattedCitation":"(Helm et al., 2008)","manualFormatting":"(Helm et al., 2008)","plainTextFormattedCitation":"(Helm et al., 2008)","previouslyFormattedCitation":"(Helm et al., 2008)"},"properties":{"noteIndex":0},"schema":"https://github.com/citation-style-language/schema/raw/master/csl-citation.json"}</w:instrText>
      </w:r>
      <w:r w:rsidR="00841D7F" w:rsidRPr="00770290">
        <w:fldChar w:fldCharType="separate"/>
      </w:r>
      <w:r w:rsidR="00841D7F" w:rsidRPr="00770290">
        <w:rPr>
          <w:noProof/>
        </w:rPr>
        <w:t>(Helm et al.</w:t>
      </w:r>
      <w:r w:rsidR="00BC312A" w:rsidRPr="00770290">
        <w:rPr>
          <w:noProof/>
        </w:rPr>
        <w:t>,</w:t>
      </w:r>
      <w:r w:rsidR="00841D7F" w:rsidRPr="00770290">
        <w:rPr>
          <w:noProof/>
        </w:rPr>
        <w:t xml:space="preserve"> 2008)</w:t>
      </w:r>
      <w:r w:rsidR="00841D7F" w:rsidRPr="00770290">
        <w:fldChar w:fldCharType="end"/>
      </w:r>
      <w:r w:rsidR="00841D7F" w:rsidRPr="00770290">
        <w:t xml:space="preserve">; still, Wendlandt et al. reported a ratio of PHB to the relative consumed methane of 0.54 </w:t>
      </w:r>
      <w:r w:rsidR="00841D7F" w:rsidRPr="00770290">
        <w:fldChar w:fldCharType="begin" w:fldLock="1"/>
      </w:r>
      <w:r w:rsidR="000A4B5D" w:rsidRPr="00770290">
        <w:instrText>ADDIN CSL_CITATION {"citationItems":[{"id":"ITEM-1","itemData":{"author":[{"dropping-particle":"","family":"Wendlandt","given":"K","non-dropping-particle":"","parse-names":false,"suffix":""},{"dropping-particle":"","family":"Jechorek","given":"M","non-dropping-particle":"","parse-names":false,"suffix":""},{"dropping-particle":"","family":"Helm","given":"J","non-dropping-particle":"","parse-names":false,"suffix":""},{"dropping-particle":"","family":"Stottmeister","given":"U","non-dropping-particle":"","parse-names":false,"suffix":""}],"id":"ITEM-1","issue":"97","issued":{"date-parts":[["1998"]]},"page":"191-194","title":"Production of PHB with a high molecular mass from methane","type":"article-journal","volume":"3910"},"uris":["http://www.mendeley.com/documents/?uuid=e8cced1a-dc05-41a3-aca6-298b546fee75"]}],"mendeley":{"formattedCitation":"(Wendlandt et al., 1998)","manualFormatting":"(Wendlandt et al., 1998)","plainTextFormattedCitation":"(Wendlandt et al., 1998)","previouslyFormattedCitation":"(Wendlandt et al., 1998)"},"properties":{"noteIndex":0},"schema":"https://github.com/citation-style-language/schema/raw/master/csl-citation.json"}</w:instrText>
      </w:r>
      <w:r w:rsidR="00841D7F" w:rsidRPr="00770290">
        <w:fldChar w:fldCharType="separate"/>
      </w:r>
      <w:r w:rsidR="00841D7F" w:rsidRPr="00770290">
        <w:rPr>
          <w:noProof/>
        </w:rPr>
        <w:t>(Wendlandt et al.</w:t>
      </w:r>
      <w:r w:rsidR="00BC312A" w:rsidRPr="00770290">
        <w:rPr>
          <w:noProof/>
        </w:rPr>
        <w:t>,</w:t>
      </w:r>
      <w:r w:rsidR="00841D7F" w:rsidRPr="00770290">
        <w:rPr>
          <w:noProof/>
        </w:rPr>
        <w:t xml:space="preserve"> 1998)</w:t>
      </w:r>
      <w:r w:rsidR="00841D7F" w:rsidRPr="00770290">
        <w:fldChar w:fldCharType="end"/>
      </w:r>
      <w:r w:rsidR="00841D7F" w:rsidRPr="00770290">
        <w:t xml:space="preserve">. </w:t>
      </w:r>
    </w:p>
    <w:p w14:paraId="6423B907" w14:textId="6D865957" w:rsidR="00D2623D" w:rsidRPr="00770290" w:rsidRDefault="00B91955" w:rsidP="00D2623D">
      <w:pPr>
        <w:rPr>
          <w:lang w:val="it-IT"/>
        </w:rPr>
      </w:pPr>
      <w:r w:rsidRPr="00770290">
        <w:rPr>
          <w:noProof/>
          <w:lang w:val="it-IT" w:eastAsia="it-IT"/>
        </w:rPr>
        <w:lastRenderedPageBreak/>
        <w:drawing>
          <wp:inline distT="0" distB="0" distL="0" distR="0" wp14:anchorId="4776FAAE" wp14:editId="70696133">
            <wp:extent cx="4324688" cy="2520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4688" cy="2520000"/>
                    </a:xfrm>
                    <a:prstGeom prst="rect">
                      <a:avLst/>
                    </a:prstGeom>
                    <a:noFill/>
                  </pic:spPr>
                </pic:pic>
              </a:graphicData>
            </a:graphic>
          </wp:inline>
        </w:drawing>
      </w:r>
    </w:p>
    <w:p w14:paraId="497E2D4A" w14:textId="53865456" w:rsidR="00D2623D" w:rsidRPr="00770290" w:rsidRDefault="00D2623D" w:rsidP="00D2623D">
      <w:pPr>
        <w:rPr>
          <w:rStyle w:val="CETCaptionCarattere"/>
        </w:rPr>
      </w:pPr>
      <w:r w:rsidRPr="00770290">
        <w:rPr>
          <w:rStyle w:val="CETCaptionCarattere"/>
        </w:rPr>
        <w:t xml:space="preserve">Figure </w:t>
      </w:r>
      <w:r w:rsidR="00841D7F" w:rsidRPr="00770290">
        <w:rPr>
          <w:rStyle w:val="CETCaptionCarattere"/>
        </w:rPr>
        <w:t>4</w:t>
      </w:r>
      <w:r w:rsidRPr="00770290">
        <w:rPr>
          <w:rStyle w:val="CETCaptionCarattere"/>
        </w:rPr>
        <w:t xml:space="preserve">: </w:t>
      </w:r>
      <w:r w:rsidR="001617BE" w:rsidRPr="00770290">
        <w:rPr>
          <w:rStyle w:val="CETCaptionCarattere"/>
        </w:rPr>
        <w:t>C</w:t>
      </w:r>
      <w:r w:rsidRPr="00770290">
        <w:rPr>
          <w:rStyle w:val="CETCaptionCarattere"/>
        </w:rPr>
        <w:t>ontent of PHB accumulated after 10 days</w:t>
      </w:r>
      <w:r w:rsidR="00F1647C" w:rsidRPr="00770290">
        <w:rPr>
          <w:rStyle w:val="CETCaptionCarattere"/>
        </w:rPr>
        <w:t xml:space="preserve"> as a function of the superficial gas velocity</w:t>
      </w:r>
    </w:p>
    <w:p w14:paraId="16210634" w14:textId="0CD4B7CF" w:rsidR="00D2623D" w:rsidRPr="00770290" w:rsidRDefault="00D2623D" w:rsidP="008D7D04"/>
    <w:p w14:paraId="7CBE5573" w14:textId="727B83C6" w:rsidR="008D7D04" w:rsidRPr="00770290" w:rsidRDefault="003A4032" w:rsidP="008D7D04">
      <w:r w:rsidRPr="00770290">
        <w:rPr>
          <w:noProof/>
          <w:lang w:val="it-IT" w:eastAsia="it-IT"/>
        </w:rPr>
        <w:drawing>
          <wp:inline distT="0" distB="0" distL="0" distR="0" wp14:anchorId="14A4CFBB" wp14:editId="07220412">
            <wp:extent cx="4076538" cy="252000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538" cy="2520000"/>
                    </a:xfrm>
                    <a:prstGeom prst="rect">
                      <a:avLst/>
                    </a:prstGeom>
                    <a:noFill/>
                  </pic:spPr>
                </pic:pic>
              </a:graphicData>
            </a:graphic>
          </wp:inline>
        </w:drawing>
      </w:r>
    </w:p>
    <w:p w14:paraId="0DB45841" w14:textId="7B8965A4" w:rsidR="00E975FE" w:rsidRPr="00770290" w:rsidRDefault="00E975FE" w:rsidP="002625A4">
      <w:pPr>
        <w:rPr>
          <w:i/>
        </w:rPr>
      </w:pPr>
      <w:r w:rsidRPr="00770290">
        <w:rPr>
          <w:rStyle w:val="CETCaptionCarattere"/>
        </w:rPr>
        <w:t xml:space="preserve">Figure </w:t>
      </w:r>
      <w:r w:rsidR="00D86B3F" w:rsidRPr="00770290">
        <w:rPr>
          <w:rStyle w:val="CETCaptionCarattere"/>
        </w:rPr>
        <w:t>5</w:t>
      </w:r>
      <w:r w:rsidRPr="00770290">
        <w:rPr>
          <w:rStyle w:val="CETCaptionCarattere"/>
        </w:rPr>
        <w:t xml:space="preserve">: </w:t>
      </w:r>
      <w:r w:rsidR="001617BE" w:rsidRPr="00770290">
        <w:rPr>
          <w:rStyle w:val="CETCaptionCarattere"/>
        </w:rPr>
        <w:t>Y</w:t>
      </w:r>
      <w:r w:rsidRPr="00770290">
        <w:rPr>
          <w:rStyle w:val="CETCaptionCarattere"/>
        </w:rPr>
        <w:t xml:space="preserve">ield of PHB on methane </w:t>
      </w:r>
      <w:r w:rsidR="00F1647C" w:rsidRPr="00770290">
        <w:rPr>
          <w:rStyle w:val="CETCaptionCarattere"/>
        </w:rPr>
        <w:t>as a function of the superficial gas velocity</w:t>
      </w:r>
      <w:r w:rsidR="00F1647C" w:rsidRPr="00770290" w:rsidDel="00F1647C">
        <w:rPr>
          <w:rStyle w:val="CETCaptionCarattere"/>
        </w:rPr>
        <w:t xml:space="preserve"> </w:t>
      </w:r>
      <w:r w:rsidRPr="00770290">
        <w:rPr>
          <w:rStyle w:val="CETCaptionCarattere"/>
        </w:rPr>
        <w:t>y</w:t>
      </w:r>
    </w:p>
    <w:p w14:paraId="39B34FA8" w14:textId="6BD13303" w:rsidR="006A325C" w:rsidRPr="00770290" w:rsidRDefault="00966B16" w:rsidP="00966B16">
      <w:pPr>
        <w:pStyle w:val="CETHeading1"/>
      </w:pPr>
      <w:r w:rsidRPr="00770290">
        <w:t>Conclusion</w:t>
      </w:r>
    </w:p>
    <w:p w14:paraId="5B1C4900" w14:textId="3A003707" w:rsidR="008D7D04" w:rsidRPr="00770290" w:rsidRDefault="00966B16" w:rsidP="00966B16">
      <w:pPr>
        <w:pStyle w:val="CETBodytext"/>
      </w:pPr>
      <w:r w:rsidRPr="00770290">
        <w:t xml:space="preserve">In this </w:t>
      </w:r>
      <w:r w:rsidR="00FA696D" w:rsidRPr="00770290">
        <w:t>work</w:t>
      </w:r>
      <w:r w:rsidRPr="00770290">
        <w:t xml:space="preserve">, </w:t>
      </w:r>
      <w:r w:rsidR="00F03ADF" w:rsidRPr="00770290">
        <w:t xml:space="preserve">a </w:t>
      </w:r>
      <w:r w:rsidR="00885F6D" w:rsidRPr="00770290">
        <w:t xml:space="preserve">model of a </w:t>
      </w:r>
      <w:r w:rsidR="00F1647C" w:rsidRPr="00770290">
        <w:t>double-</w:t>
      </w:r>
      <w:r w:rsidR="00F03ADF" w:rsidRPr="00770290">
        <w:t>stage</w:t>
      </w:r>
      <w:r w:rsidRPr="00770290">
        <w:t xml:space="preserve"> process </w:t>
      </w:r>
      <w:r w:rsidR="00F03ADF" w:rsidRPr="00770290">
        <w:t>to produce</w:t>
      </w:r>
      <w:r w:rsidRPr="00770290">
        <w:t xml:space="preserve"> Poly(3-hydroxybutyrate) from methane </w:t>
      </w:r>
      <w:r w:rsidR="002D23E5" w:rsidRPr="00770290">
        <w:t>is proposed</w:t>
      </w:r>
      <w:r w:rsidRPr="00770290">
        <w:t xml:space="preserve">. Both the </w:t>
      </w:r>
      <w:r w:rsidR="00FA696D" w:rsidRPr="00770290">
        <w:t>bacterial growth</w:t>
      </w:r>
      <w:r w:rsidRPr="00770290">
        <w:t xml:space="preserve"> and the accumulation of the polymer took place into semi</w:t>
      </w:r>
      <w:r w:rsidR="00F1647C" w:rsidRPr="00770290">
        <w:t>-</w:t>
      </w:r>
      <w:r w:rsidRPr="00770290">
        <w:t>continuous bubble column bioreactors</w:t>
      </w:r>
      <w:r w:rsidR="00FA696D" w:rsidRPr="00770290">
        <w:t xml:space="preserve">, where the liquid was fed </w:t>
      </w:r>
      <w:r w:rsidR="004E659E" w:rsidRPr="00770290">
        <w:t>initially,</w:t>
      </w:r>
      <w:r w:rsidR="00FA696D" w:rsidRPr="00770290">
        <w:t xml:space="preserve"> and the gas stream was continuously supplied at</w:t>
      </w:r>
      <w:r w:rsidRPr="00770290">
        <w:t xml:space="preserve"> </w:t>
      </w:r>
      <w:r w:rsidR="00FA696D" w:rsidRPr="00770290">
        <w:t>s</w:t>
      </w:r>
      <w:r w:rsidR="00C6353D" w:rsidRPr="00770290">
        <w:t xml:space="preserve">uperficial gas velocities </w:t>
      </w:r>
      <w:r w:rsidR="00F03ADF" w:rsidRPr="00770290">
        <w:t>ranging from</w:t>
      </w:r>
      <w:r w:rsidR="00C6353D" w:rsidRPr="00770290">
        <w:t xml:space="preserve"> 0.004</w:t>
      </w:r>
      <w:r w:rsidR="002D23E5" w:rsidRPr="00770290">
        <w:t xml:space="preserve"> ms</w:t>
      </w:r>
      <w:r w:rsidR="002D23E5" w:rsidRPr="00770290">
        <w:rPr>
          <w:vertAlign w:val="superscript"/>
        </w:rPr>
        <w:t>-1</w:t>
      </w:r>
      <w:r w:rsidR="002D23E5" w:rsidRPr="00770290">
        <w:t xml:space="preserve"> to </w:t>
      </w:r>
      <w:r w:rsidR="00C6353D" w:rsidRPr="00770290">
        <w:t>0.27 ms</w:t>
      </w:r>
      <w:r w:rsidR="00C6353D" w:rsidRPr="00770290">
        <w:rPr>
          <w:vertAlign w:val="superscript"/>
        </w:rPr>
        <w:t>-1</w:t>
      </w:r>
      <w:r w:rsidR="00FA696D" w:rsidRPr="00770290">
        <w:t>.</w:t>
      </w:r>
      <w:r w:rsidR="00C6353D" w:rsidRPr="00770290">
        <w:t xml:space="preserve"> </w:t>
      </w:r>
      <w:r w:rsidR="00FA696D" w:rsidRPr="00770290">
        <w:t xml:space="preserve">The effect of </w:t>
      </w:r>
      <w:r w:rsidR="00FA696D" w:rsidRPr="00770290">
        <w:rPr>
          <w:i/>
          <w:iCs/>
        </w:rPr>
        <w:t>U</w:t>
      </w:r>
      <w:r w:rsidR="00FA696D" w:rsidRPr="00770290">
        <w:rPr>
          <w:i/>
          <w:iCs/>
          <w:vertAlign w:val="subscript"/>
        </w:rPr>
        <w:t>g</w:t>
      </w:r>
      <w:r w:rsidR="00C6353D" w:rsidRPr="00770290">
        <w:t xml:space="preserve"> </w:t>
      </w:r>
      <w:r w:rsidR="00FA696D" w:rsidRPr="00770290">
        <w:t>on mass transfer parameters and process performance was evaluated</w:t>
      </w:r>
      <w:r w:rsidR="00C6353D" w:rsidRPr="00770290">
        <w:t>. Results show that the volumetric liquid side mass transfer coefficient, as well as the productivity of PHB</w:t>
      </w:r>
      <w:r w:rsidR="00F03ADF" w:rsidRPr="00770290">
        <w:t xml:space="preserve"> and the methane consumption</w:t>
      </w:r>
      <w:r w:rsidR="00C6353D" w:rsidRPr="00770290">
        <w:t>, grow</w:t>
      </w:r>
      <w:r w:rsidR="00C73A71" w:rsidRPr="00770290">
        <w:t>s</w:t>
      </w:r>
      <w:r w:rsidR="00C6353D" w:rsidRPr="00770290">
        <w:t xml:space="preserve"> with the superficial gas velocity</w:t>
      </w:r>
      <w:r w:rsidR="00FA696D" w:rsidRPr="00770290">
        <w:t xml:space="preserve"> and reach </w:t>
      </w:r>
      <w:r w:rsidR="00C6353D" w:rsidRPr="00770290">
        <w:t xml:space="preserve">the </w:t>
      </w:r>
      <w:r w:rsidR="00FA696D" w:rsidRPr="00770290">
        <w:t>highest</w:t>
      </w:r>
      <w:r w:rsidR="00C6353D" w:rsidRPr="00770290">
        <w:t xml:space="preserve"> values at 0.027 ms</w:t>
      </w:r>
      <w:r w:rsidR="00C6353D" w:rsidRPr="00770290">
        <w:rPr>
          <w:vertAlign w:val="superscript"/>
        </w:rPr>
        <w:t>-1</w:t>
      </w:r>
      <w:r w:rsidR="00C6353D" w:rsidRPr="00770290">
        <w:t xml:space="preserve">. </w:t>
      </w:r>
      <w:r w:rsidR="00F03ADF" w:rsidRPr="00770290">
        <w:t>The content of PHB, on the other hand, was almost stable at</w:t>
      </w:r>
      <w:r w:rsidR="00C6353D" w:rsidRPr="00770290">
        <w:t xml:space="preserve"> </w:t>
      </w:r>
      <w:r w:rsidR="00F03ADF" w:rsidRPr="00770290">
        <w:t>42</w:t>
      </w:r>
      <w:r w:rsidR="00C6353D" w:rsidRPr="00770290">
        <w:t xml:space="preserve">% w/w </w:t>
      </w:r>
      <w:r w:rsidR="00F03ADF" w:rsidRPr="00770290">
        <w:t xml:space="preserve">after 10 days of fermentation. </w:t>
      </w:r>
      <w:r w:rsidR="008615E7" w:rsidRPr="00770290">
        <w:t xml:space="preserve">It can be stated that it </w:t>
      </w:r>
      <w:r w:rsidR="00823BCE" w:rsidRPr="00770290">
        <w:t>would be advisable to work</w:t>
      </w:r>
      <w:r w:rsidR="008615E7" w:rsidRPr="00770290">
        <w:t xml:space="preserve"> at higher superficial gas velocity when producing PHB, </w:t>
      </w:r>
      <w:r w:rsidR="00823BCE" w:rsidRPr="00770290">
        <w:t>with the aim of</w:t>
      </w:r>
      <w:r w:rsidR="008615E7" w:rsidRPr="00770290">
        <w:t xml:space="preserve"> increas</w:t>
      </w:r>
      <w:r w:rsidR="00823BCE" w:rsidRPr="00770290">
        <w:t>ing</w:t>
      </w:r>
      <w:r w:rsidR="008615E7" w:rsidRPr="00770290">
        <w:t xml:space="preserve"> the mass transfer rate of the carbon source and </w:t>
      </w:r>
      <w:r w:rsidR="00F1647C" w:rsidRPr="00770290">
        <w:t xml:space="preserve">improving </w:t>
      </w:r>
      <w:r w:rsidR="008615E7" w:rsidRPr="00770290">
        <w:t>the process performance. However, when dealing with biological systems, also the fluid-dynamic conditions should be carefully evaluated to avoid high turbulence</w:t>
      </w:r>
      <w:r w:rsidR="00F1647C" w:rsidRPr="00770290">
        <w:t xml:space="preserve"> that</w:t>
      </w:r>
      <w:r w:rsidR="008615E7" w:rsidRPr="00770290">
        <w:t xml:space="preserve"> damages the cells</w:t>
      </w:r>
      <w:r w:rsidR="00BC312A" w:rsidRPr="00770290">
        <w:t xml:space="preserve"> and</w:t>
      </w:r>
      <w:r w:rsidR="008615E7" w:rsidRPr="00770290">
        <w:t xml:space="preserve"> </w:t>
      </w:r>
      <w:r w:rsidR="00B4090C" w:rsidRPr="00770290">
        <w:t xml:space="preserve">then </w:t>
      </w:r>
      <w:r w:rsidR="00F1647C" w:rsidRPr="00770290">
        <w:t xml:space="preserve">lowers </w:t>
      </w:r>
      <w:r w:rsidR="008615E7" w:rsidRPr="00770290">
        <w:t>the concentration of the active biomass.</w:t>
      </w:r>
    </w:p>
    <w:p w14:paraId="07A6D20F" w14:textId="7F4895C4" w:rsidR="00280FAF" w:rsidRPr="00770290" w:rsidRDefault="00280FAF" w:rsidP="00280FAF">
      <w:pPr>
        <w:pStyle w:val="CETHeadingxx"/>
        <w:rPr>
          <w:lang w:val="en-GB"/>
        </w:rPr>
        <w:sectPr w:rsidR="00280FAF" w:rsidRPr="00770290" w:rsidSect="00B57E6F">
          <w:type w:val="continuous"/>
          <w:pgSz w:w="11906" w:h="16838" w:code="9"/>
          <w:pgMar w:top="1701" w:right="1418" w:bottom="1701" w:left="1701" w:header="1701" w:footer="0" w:gutter="0"/>
          <w:cols w:space="708"/>
          <w:formProt w:val="0"/>
          <w:titlePg/>
          <w:docGrid w:linePitch="360"/>
        </w:sectPr>
      </w:pPr>
      <w:r w:rsidRPr="00770290">
        <w:t>Nomenclature</w:t>
      </w:r>
    </w:p>
    <w:p w14:paraId="7819AE9E" w14:textId="77777777" w:rsidR="00DA13C9" w:rsidRPr="00770290" w:rsidRDefault="00DA13C9" w:rsidP="00DA13C9">
      <w:pPr>
        <w:spacing w:line="240" w:lineRule="auto"/>
        <w:rPr>
          <w:rFonts w:cs="Arial"/>
          <w:szCs w:val="18"/>
        </w:rPr>
      </w:pPr>
      <w:r w:rsidRPr="00770290">
        <w:rPr>
          <w:rFonts w:cs="Arial"/>
          <w:i/>
          <w:iCs/>
          <w:szCs w:val="18"/>
        </w:rPr>
        <w:t>A</w:t>
      </w:r>
      <w:r w:rsidRPr="00770290">
        <w:rPr>
          <w:rFonts w:cs="Arial"/>
          <w:szCs w:val="18"/>
        </w:rPr>
        <w:t>: aspect ratio</w:t>
      </w:r>
    </w:p>
    <w:p w14:paraId="0C4CD13F" w14:textId="77777777" w:rsidR="00DA13C9" w:rsidRPr="00770290" w:rsidRDefault="00DA13C9" w:rsidP="00DA13C9">
      <w:pPr>
        <w:spacing w:line="240" w:lineRule="auto"/>
        <w:rPr>
          <w:rFonts w:cs="Arial"/>
          <w:szCs w:val="18"/>
          <w:shd w:val="clear" w:color="auto" w:fill="FFFFFF"/>
        </w:rPr>
      </w:pPr>
      <w:r w:rsidRPr="00770290">
        <w:rPr>
          <w:rFonts w:cs="Arial"/>
          <w:i/>
          <w:iCs/>
          <w:szCs w:val="18"/>
          <w:shd w:val="clear" w:color="auto" w:fill="FFFFFF"/>
        </w:rPr>
        <w:t>a</w:t>
      </w:r>
      <w:r w:rsidRPr="00770290">
        <w:rPr>
          <w:rFonts w:cs="Arial"/>
          <w:szCs w:val="18"/>
          <w:shd w:val="clear" w:color="auto" w:fill="FFFFFF"/>
        </w:rPr>
        <w:t>: specific contact surface</w:t>
      </w:r>
    </w:p>
    <w:p w14:paraId="7A041C73" w14:textId="77777777" w:rsidR="00DA13C9" w:rsidRPr="00770290" w:rsidRDefault="00DA13C9" w:rsidP="00DA13C9">
      <w:pPr>
        <w:spacing w:line="240" w:lineRule="auto"/>
        <w:rPr>
          <w:rFonts w:cs="Arial"/>
          <w:szCs w:val="18"/>
          <w:shd w:val="clear" w:color="auto" w:fill="FFFFFF"/>
        </w:rPr>
      </w:pPr>
      <w:proofErr w:type="spellStart"/>
      <w:r w:rsidRPr="00770290">
        <w:rPr>
          <w:rFonts w:cs="Arial"/>
          <w:i/>
          <w:iCs/>
          <w:szCs w:val="18"/>
          <w:shd w:val="clear" w:color="auto" w:fill="FFFFFF"/>
        </w:rPr>
        <w:t>d</w:t>
      </w:r>
      <w:r w:rsidRPr="00770290">
        <w:rPr>
          <w:rFonts w:cs="Arial"/>
          <w:i/>
          <w:iCs/>
          <w:szCs w:val="18"/>
          <w:shd w:val="clear" w:color="auto" w:fill="FFFFFF"/>
          <w:vertAlign w:val="subscript"/>
        </w:rPr>
        <w:t>b</w:t>
      </w:r>
      <w:proofErr w:type="spellEnd"/>
      <w:r w:rsidRPr="00770290">
        <w:rPr>
          <w:rFonts w:cs="Arial"/>
          <w:szCs w:val="18"/>
          <w:shd w:val="clear" w:color="auto" w:fill="FFFFFF"/>
        </w:rPr>
        <w:t>: bubble mean dimension</w:t>
      </w:r>
    </w:p>
    <w:p w14:paraId="0AC45B52" w14:textId="77777777" w:rsidR="00DA13C9" w:rsidRPr="00770290" w:rsidRDefault="00DA13C9" w:rsidP="00DA13C9">
      <w:pPr>
        <w:spacing w:line="240" w:lineRule="auto"/>
        <w:rPr>
          <w:rFonts w:cs="Arial"/>
          <w:szCs w:val="18"/>
          <w:shd w:val="clear" w:color="auto" w:fill="FFFFFF"/>
        </w:rPr>
      </w:pPr>
      <w:r w:rsidRPr="00770290">
        <w:rPr>
          <w:rFonts w:cs="Arial"/>
          <w:i/>
          <w:iCs/>
          <w:szCs w:val="18"/>
          <w:shd w:val="clear" w:color="auto" w:fill="FFFFFF"/>
        </w:rPr>
        <w:t>D</w:t>
      </w:r>
      <w:r w:rsidRPr="00770290">
        <w:rPr>
          <w:rFonts w:cs="Arial"/>
          <w:i/>
          <w:iCs/>
          <w:szCs w:val="18"/>
          <w:shd w:val="clear" w:color="auto" w:fill="FFFFFF"/>
          <w:vertAlign w:val="subscript"/>
        </w:rPr>
        <w:t>CH4, H2O</w:t>
      </w:r>
      <w:r w:rsidRPr="00770290">
        <w:rPr>
          <w:rFonts w:cs="Arial"/>
          <w:szCs w:val="18"/>
          <w:shd w:val="clear" w:color="auto" w:fill="FFFFFF"/>
        </w:rPr>
        <w:t>: diffusivity of methane in water</w:t>
      </w:r>
    </w:p>
    <w:p w14:paraId="29F00FDD" w14:textId="77777777" w:rsidR="00DA13C9" w:rsidRPr="00770290" w:rsidRDefault="00DA13C9" w:rsidP="00DA13C9">
      <w:pPr>
        <w:spacing w:line="240" w:lineRule="auto"/>
        <w:rPr>
          <w:rFonts w:cs="Arial"/>
          <w:szCs w:val="18"/>
          <w:shd w:val="clear" w:color="auto" w:fill="FFFFFF"/>
        </w:rPr>
      </w:pPr>
      <w:r w:rsidRPr="00770290">
        <w:rPr>
          <w:rFonts w:cs="Arial"/>
          <w:i/>
          <w:iCs/>
          <w:szCs w:val="18"/>
          <w:shd w:val="clear" w:color="auto" w:fill="FFFFFF"/>
          <w:lang w:val="it-IT"/>
        </w:rPr>
        <w:t>ε</w:t>
      </w:r>
      <w:r w:rsidRPr="00770290">
        <w:rPr>
          <w:rFonts w:cs="Arial"/>
          <w:i/>
          <w:iCs/>
          <w:szCs w:val="18"/>
          <w:shd w:val="clear" w:color="auto" w:fill="FFFFFF"/>
          <w:vertAlign w:val="subscript"/>
        </w:rPr>
        <w:t>g</w:t>
      </w:r>
      <w:r w:rsidRPr="00770290">
        <w:rPr>
          <w:rFonts w:cs="Arial"/>
          <w:szCs w:val="18"/>
          <w:shd w:val="clear" w:color="auto" w:fill="FFFFFF"/>
        </w:rPr>
        <w:t>: gas hold-up</w:t>
      </w:r>
    </w:p>
    <w:p w14:paraId="799D582A" w14:textId="77777777" w:rsidR="00DA13C9" w:rsidRPr="00770290" w:rsidRDefault="00DA13C9" w:rsidP="00DA13C9">
      <w:pPr>
        <w:spacing w:line="240" w:lineRule="auto"/>
        <w:rPr>
          <w:rFonts w:cs="Arial"/>
          <w:i/>
          <w:iCs/>
          <w:szCs w:val="18"/>
          <w:shd w:val="clear" w:color="auto" w:fill="FFFFFF"/>
        </w:rPr>
      </w:pPr>
      <w:proofErr w:type="spellStart"/>
      <w:r w:rsidRPr="00770290">
        <w:rPr>
          <w:rFonts w:cs="Arial"/>
          <w:i/>
          <w:iCs/>
          <w:szCs w:val="18"/>
          <w:shd w:val="clear" w:color="auto" w:fill="FFFFFF"/>
        </w:rPr>
        <w:t>f</w:t>
      </w:r>
      <w:r w:rsidRPr="00770290">
        <w:rPr>
          <w:rFonts w:cs="Arial"/>
          <w:i/>
          <w:iCs/>
          <w:szCs w:val="18"/>
          <w:shd w:val="clear" w:color="auto" w:fill="FFFFFF"/>
          <w:vertAlign w:val="subscript"/>
        </w:rPr>
        <w:t>e</w:t>
      </w:r>
      <w:proofErr w:type="spellEnd"/>
      <w:r w:rsidRPr="00770290">
        <w:rPr>
          <w:rFonts w:cs="Arial"/>
          <w:i/>
          <w:iCs/>
          <w:szCs w:val="18"/>
          <w:shd w:val="clear" w:color="auto" w:fill="FFFFFF"/>
        </w:rPr>
        <w:t>, f</w:t>
      </w:r>
      <w:r w:rsidRPr="00770290">
        <w:rPr>
          <w:rFonts w:cs="Arial"/>
          <w:i/>
          <w:iCs/>
          <w:szCs w:val="18"/>
          <w:shd w:val="clear" w:color="auto" w:fill="FFFFFF"/>
          <w:vertAlign w:val="subscript"/>
        </w:rPr>
        <w:t>s</w:t>
      </w:r>
      <w:r w:rsidRPr="00770290">
        <w:rPr>
          <w:rFonts w:cs="Arial"/>
          <w:i/>
          <w:iCs/>
          <w:szCs w:val="18"/>
          <w:shd w:val="clear" w:color="auto" w:fill="FFFFFF"/>
        </w:rPr>
        <w:t>:</w:t>
      </w:r>
      <w:r w:rsidRPr="00770290">
        <w:rPr>
          <w:rFonts w:cs="Arial"/>
          <w:szCs w:val="18"/>
          <w:shd w:val="clear" w:color="auto" w:fill="FFFFFF"/>
          <w:vertAlign w:val="subscript"/>
        </w:rPr>
        <w:t xml:space="preserve"> </w:t>
      </w:r>
      <w:r w:rsidRPr="00770290">
        <w:rPr>
          <w:rFonts w:cs="Arial"/>
          <w:szCs w:val="18"/>
          <w:shd w:val="clear" w:color="auto" w:fill="FFFFFF"/>
        </w:rPr>
        <w:t>partition coefficients</w:t>
      </w:r>
    </w:p>
    <w:p w14:paraId="244C3D05" w14:textId="77777777" w:rsidR="00DA13C9" w:rsidRPr="00770290" w:rsidRDefault="00DA13C9" w:rsidP="00DA13C9">
      <w:pPr>
        <w:spacing w:line="240" w:lineRule="auto"/>
        <w:rPr>
          <w:rFonts w:cs="Arial"/>
          <w:szCs w:val="18"/>
          <w:shd w:val="clear" w:color="auto" w:fill="FFFFFF"/>
        </w:rPr>
      </w:pPr>
      <w:proofErr w:type="spellStart"/>
      <w:r w:rsidRPr="00770290">
        <w:rPr>
          <w:rFonts w:cs="Arial"/>
          <w:i/>
          <w:iCs/>
          <w:szCs w:val="18"/>
          <w:shd w:val="clear" w:color="auto" w:fill="FFFFFF"/>
        </w:rPr>
        <w:t>k</w:t>
      </w:r>
      <w:r w:rsidRPr="00770290">
        <w:rPr>
          <w:rFonts w:cs="Arial"/>
          <w:i/>
          <w:iCs/>
          <w:szCs w:val="18"/>
          <w:shd w:val="clear" w:color="auto" w:fill="FFFFFF"/>
          <w:vertAlign w:val="subscript"/>
        </w:rPr>
        <w:t>L</w:t>
      </w:r>
      <w:proofErr w:type="spellEnd"/>
      <w:r w:rsidRPr="00770290">
        <w:rPr>
          <w:rFonts w:cs="Arial"/>
          <w:szCs w:val="18"/>
          <w:shd w:val="clear" w:color="auto" w:fill="FFFFFF"/>
        </w:rPr>
        <w:t>: liquid side mass transfer coefficient in presence of chemical reaction</w:t>
      </w:r>
    </w:p>
    <w:p w14:paraId="1BCDA2BD" w14:textId="77777777" w:rsidR="00DA13C9" w:rsidRPr="00770290" w:rsidRDefault="00DA13C9" w:rsidP="00DA13C9">
      <w:pPr>
        <w:spacing w:line="240" w:lineRule="auto"/>
        <w:rPr>
          <w:rFonts w:cs="Arial"/>
          <w:szCs w:val="18"/>
          <w:shd w:val="clear" w:color="auto" w:fill="FFFFFF"/>
        </w:rPr>
      </w:pPr>
      <w:proofErr w:type="spellStart"/>
      <w:r w:rsidRPr="00770290">
        <w:rPr>
          <w:rFonts w:cs="Arial"/>
          <w:i/>
          <w:iCs/>
          <w:szCs w:val="18"/>
          <w:shd w:val="clear" w:color="auto" w:fill="FFFFFF"/>
        </w:rPr>
        <w:lastRenderedPageBreak/>
        <w:t>k</w:t>
      </w:r>
      <w:r w:rsidRPr="00770290">
        <w:rPr>
          <w:rFonts w:cs="Arial"/>
          <w:i/>
          <w:iCs/>
          <w:szCs w:val="18"/>
          <w:shd w:val="clear" w:color="auto" w:fill="FFFFFF"/>
          <w:vertAlign w:val="subscript"/>
        </w:rPr>
        <w:t>L</w:t>
      </w:r>
      <w:r w:rsidRPr="00770290">
        <w:rPr>
          <w:rFonts w:cs="Arial"/>
          <w:i/>
          <w:iCs/>
          <w:szCs w:val="18"/>
          <w:shd w:val="clear" w:color="auto" w:fill="FFFFFF"/>
        </w:rPr>
        <w:t>a</w:t>
      </w:r>
      <w:proofErr w:type="spellEnd"/>
      <w:r w:rsidRPr="00770290">
        <w:rPr>
          <w:rFonts w:cs="Arial"/>
          <w:szCs w:val="18"/>
          <w:shd w:val="clear" w:color="auto" w:fill="FFFFFF"/>
        </w:rPr>
        <w:t>: liquid side volumetric mass transfer coefficient</w:t>
      </w:r>
    </w:p>
    <w:p w14:paraId="3AE8EFCC" w14:textId="77777777" w:rsidR="00DA13C9" w:rsidRPr="00770290" w:rsidRDefault="00DA13C9" w:rsidP="00DA13C9">
      <w:pPr>
        <w:spacing w:line="240" w:lineRule="auto"/>
        <w:rPr>
          <w:rFonts w:cs="Arial"/>
          <w:i/>
          <w:iCs/>
          <w:szCs w:val="18"/>
          <w:shd w:val="clear" w:color="auto" w:fill="FFFFFF"/>
        </w:rPr>
      </w:pPr>
      <w:proofErr w:type="spellStart"/>
      <w:r w:rsidRPr="00770290">
        <w:rPr>
          <w:rFonts w:cs="Arial"/>
          <w:i/>
          <w:iCs/>
          <w:szCs w:val="18"/>
          <w:shd w:val="clear" w:color="auto" w:fill="FFFFFF"/>
        </w:rPr>
        <w:t>t</w:t>
      </w:r>
      <w:r w:rsidRPr="00770290">
        <w:rPr>
          <w:rFonts w:cs="Arial"/>
          <w:i/>
          <w:iCs/>
          <w:szCs w:val="18"/>
          <w:shd w:val="clear" w:color="auto" w:fill="FFFFFF"/>
          <w:vertAlign w:val="subscript"/>
        </w:rPr>
        <w:t>e</w:t>
      </w:r>
      <w:proofErr w:type="spellEnd"/>
      <w:r w:rsidRPr="00770290">
        <w:rPr>
          <w:rFonts w:cs="Arial"/>
          <w:i/>
          <w:iCs/>
          <w:szCs w:val="18"/>
          <w:shd w:val="clear" w:color="auto" w:fill="FFFFFF"/>
        </w:rPr>
        <w:t xml:space="preserve">: </w:t>
      </w:r>
      <w:r w:rsidRPr="00770290">
        <w:rPr>
          <w:rFonts w:cs="Arial"/>
          <w:szCs w:val="18"/>
          <w:shd w:val="clear" w:color="auto" w:fill="FFFFFF"/>
        </w:rPr>
        <w:t>gas-liquid exposure time</w:t>
      </w:r>
    </w:p>
    <w:p w14:paraId="7A9045FB" w14:textId="77777777" w:rsidR="00AD7146" w:rsidRPr="00770290" w:rsidRDefault="00AD7146" w:rsidP="00AD7146">
      <w:pPr>
        <w:spacing w:line="240" w:lineRule="auto"/>
        <w:rPr>
          <w:rFonts w:cs="Arial"/>
          <w:szCs w:val="18"/>
        </w:rPr>
      </w:pPr>
      <w:r w:rsidRPr="00770290">
        <w:rPr>
          <w:rFonts w:cs="Arial"/>
          <w:i/>
          <w:iCs/>
          <w:szCs w:val="18"/>
        </w:rPr>
        <w:t>U</w:t>
      </w:r>
      <w:r w:rsidRPr="00770290">
        <w:rPr>
          <w:rFonts w:cs="Arial"/>
          <w:i/>
          <w:iCs/>
          <w:szCs w:val="18"/>
          <w:vertAlign w:val="subscript"/>
        </w:rPr>
        <w:t>g</w:t>
      </w:r>
      <w:r w:rsidRPr="00770290">
        <w:rPr>
          <w:rFonts w:cs="Arial"/>
          <w:szCs w:val="18"/>
        </w:rPr>
        <w:t>: superficial gas velocity</w:t>
      </w:r>
    </w:p>
    <w:p w14:paraId="21C67851" w14:textId="61433C16" w:rsidR="009A366A" w:rsidRPr="00770290" w:rsidRDefault="00AD7146" w:rsidP="00AD7146">
      <w:pPr>
        <w:spacing w:line="240" w:lineRule="auto"/>
        <w:rPr>
          <w:rFonts w:cs="Arial"/>
          <w:szCs w:val="18"/>
        </w:rPr>
      </w:pPr>
      <w:r w:rsidRPr="00770290">
        <w:rPr>
          <w:rFonts w:cs="Arial"/>
          <w:i/>
          <w:iCs/>
          <w:szCs w:val="18"/>
        </w:rPr>
        <w:t>V</w:t>
      </w:r>
      <w:r w:rsidRPr="00770290">
        <w:rPr>
          <w:rFonts w:cs="Arial"/>
          <w:szCs w:val="18"/>
        </w:rPr>
        <w:t>: volume</w:t>
      </w:r>
    </w:p>
    <w:p w14:paraId="588EFFEE" w14:textId="77777777" w:rsidR="009A366A" w:rsidRPr="00770290" w:rsidRDefault="009A366A" w:rsidP="00AD7146">
      <w:pPr>
        <w:spacing w:line="240" w:lineRule="auto"/>
        <w:rPr>
          <w:rFonts w:cs="Arial"/>
          <w:szCs w:val="18"/>
        </w:rPr>
      </w:pPr>
    </w:p>
    <w:p w14:paraId="0F2F14BA" w14:textId="77777777" w:rsidR="009A366A" w:rsidRPr="00770290" w:rsidRDefault="009A366A" w:rsidP="00AD7146">
      <w:pPr>
        <w:spacing w:line="240" w:lineRule="auto"/>
        <w:rPr>
          <w:rFonts w:cs="Arial"/>
          <w:szCs w:val="18"/>
        </w:rPr>
      </w:pPr>
    </w:p>
    <w:p w14:paraId="38BFE636" w14:textId="48937FE3" w:rsidR="009A366A" w:rsidRPr="00770290" w:rsidRDefault="009A366A" w:rsidP="00AD7146">
      <w:pPr>
        <w:spacing w:line="240" w:lineRule="auto"/>
        <w:rPr>
          <w:rFonts w:cs="Arial"/>
          <w:szCs w:val="18"/>
        </w:rPr>
        <w:sectPr w:rsidR="009A366A" w:rsidRPr="00770290" w:rsidSect="00200ECB">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770290" w:rsidRDefault="00600535" w:rsidP="00600535">
      <w:pPr>
        <w:pStyle w:val="CETAcknowledgementstitle"/>
      </w:pPr>
      <w:r w:rsidRPr="00770290">
        <w:t>Acknowledgments</w:t>
      </w:r>
    </w:p>
    <w:p w14:paraId="21C457CE" w14:textId="77777777" w:rsidR="00AD7146" w:rsidRPr="00770290" w:rsidRDefault="00AD7146" w:rsidP="00AD7146">
      <w:pPr>
        <w:pStyle w:val="CETBodytext"/>
      </w:pPr>
      <w:proofErr w:type="spellStart"/>
      <w:r w:rsidRPr="00770290">
        <w:rPr>
          <w:lang w:val="it-IT"/>
        </w:rPr>
        <w:t>This</w:t>
      </w:r>
      <w:proofErr w:type="spellEnd"/>
      <w:r w:rsidRPr="00770290">
        <w:rPr>
          <w:lang w:val="it-IT"/>
        </w:rPr>
        <w:t xml:space="preserve"> work </w:t>
      </w:r>
      <w:proofErr w:type="spellStart"/>
      <w:r w:rsidRPr="00770290">
        <w:rPr>
          <w:lang w:val="it-IT"/>
        </w:rPr>
        <w:t>was</w:t>
      </w:r>
      <w:proofErr w:type="spellEnd"/>
      <w:r w:rsidRPr="00770290">
        <w:rPr>
          <w:lang w:val="it-IT"/>
        </w:rPr>
        <w:t xml:space="preserve"> </w:t>
      </w:r>
      <w:proofErr w:type="spellStart"/>
      <w:r w:rsidRPr="00770290">
        <w:rPr>
          <w:lang w:val="it-IT"/>
        </w:rPr>
        <w:t>supported</w:t>
      </w:r>
      <w:proofErr w:type="spellEnd"/>
      <w:r w:rsidRPr="00770290">
        <w:rPr>
          <w:lang w:val="it-IT"/>
        </w:rPr>
        <w:t xml:space="preserve"> by “Fondo per la Crescita Sostenibile – Sportello “Agrifood” PON I&amp;C 2014-2020”, di cui al D.M. 5 marzo 2018 Capo III. </w:t>
      </w:r>
      <w:r w:rsidRPr="00770290">
        <w:t>Prog. n. F/200125/01-03/X45.</w:t>
      </w:r>
    </w:p>
    <w:p w14:paraId="0469334F" w14:textId="77777777" w:rsidR="00AD7146" w:rsidRPr="00770290" w:rsidRDefault="00AD7146" w:rsidP="00AD7146">
      <w:pPr>
        <w:pStyle w:val="CETBodytext"/>
      </w:pPr>
      <w:r w:rsidRPr="00770290">
        <w:t>Authors would like to thank VALERE “</w:t>
      </w:r>
      <w:proofErr w:type="spellStart"/>
      <w:r w:rsidRPr="00770290">
        <w:t>VAnviteLli</w:t>
      </w:r>
      <w:proofErr w:type="spellEnd"/>
      <w:r w:rsidRPr="00770290">
        <w:t xml:space="preserve"> </w:t>
      </w:r>
      <w:proofErr w:type="spellStart"/>
      <w:r w:rsidRPr="00770290">
        <w:t>pEr</w:t>
      </w:r>
      <w:proofErr w:type="spellEnd"/>
      <w:r w:rsidRPr="00770290">
        <w:t xml:space="preserve"> la </w:t>
      </w:r>
      <w:proofErr w:type="spellStart"/>
      <w:r w:rsidRPr="00770290">
        <w:t>RicErca</w:t>
      </w:r>
      <w:proofErr w:type="spellEnd"/>
      <w:r w:rsidRPr="00770290">
        <w:t xml:space="preserve">” PROGRAMME by the University of Campania Luigi </w:t>
      </w:r>
      <w:proofErr w:type="spellStart"/>
      <w:r w:rsidRPr="00770290">
        <w:t>Vanvitelli</w:t>
      </w:r>
      <w:proofErr w:type="spellEnd"/>
      <w:r w:rsidRPr="00770290">
        <w:t>.</w:t>
      </w:r>
    </w:p>
    <w:p w14:paraId="03507984" w14:textId="63476396" w:rsidR="00600535" w:rsidRPr="00770290" w:rsidRDefault="00600535" w:rsidP="00A708BB">
      <w:pPr>
        <w:pStyle w:val="CETReference"/>
      </w:pPr>
      <w:r w:rsidRPr="00770290">
        <w:t>References</w:t>
      </w:r>
    </w:p>
    <w:p w14:paraId="428B022A" w14:textId="77777777" w:rsidR="00E65B91" w:rsidRPr="00770290" w:rsidRDefault="00E65B91" w:rsidP="00600535">
      <w:pPr>
        <w:pStyle w:val="CETReferencetext"/>
      </w:pPr>
    </w:p>
    <w:p w14:paraId="59264B15" w14:textId="7880AB46" w:rsidR="004975A5" w:rsidRPr="00770290" w:rsidRDefault="00966B16" w:rsidP="004975A5">
      <w:pPr>
        <w:widowControl w:val="0"/>
        <w:autoSpaceDE w:val="0"/>
        <w:autoSpaceDN w:val="0"/>
        <w:adjustRightInd w:val="0"/>
        <w:spacing w:line="240" w:lineRule="auto"/>
        <w:ind w:left="480" w:hanging="480"/>
        <w:rPr>
          <w:rFonts w:cs="Arial"/>
          <w:noProof/>
          <w:szCs w:val="24"/>
        </w:rPr>
      </w:pPr>
      <w:r w:rsidRPr="00770290">
        <w:fldChar w:fldCharType="begin" w:fldLock="1"/>
      </w:r>
      <w:r w:rsidRPr="00770290">
        <w:instrText xml:space="preserve">ADDIN Mendeley Bibliography CSL_BIBLIOGRAPHY </w:instrText>
      </w:r>
      <w:r w:rsidRPr="00770290">
        <w:fldChar w:fldCharType="separate"/>
      </w:r>
      <w:r w:rsidR="004975A5" w:rsidRPr="00770290">
        <w:rPr>
          <w:rFonts w:cs="Arial"/>
          <w:noProof/>
          <w:szCs w:val="24"/>
        </w:rPr>
        <w:t>Barbosa, M.J., Albrecht, M., Wijffels, R.H., 2003. Hydrodynamic stress and lethal events in sparged microalgae cultures. Biotechnol. Bioeng. 83, 112–120.</w:t>
      </w:r>
    </w:p>
    <w:p w14:paraId="2D1B45F6" w14:textId="7C77D0B5" w:rsidR="004975A5" w:rsidRPr="00770290" w:rsidRDefault="004975A5" w:rsidP="004975A5">
      <w:pPr>
        <w:widowControl w:val="0"/>
        <w:autoSpaceDE w:val="0"/>
        <w:autoSpaceDN w:val="0"/>
        <w:adjustRightInd w:val="0"/>
        <w:spacing w:line="240" w:lineRule="auto"/>
        <w:ind w:left="480" w:hanging="480"/>
        <w:rPr>
          <w:rFonts w:cs="Arial"/>
          <w:noProof/>
          <w:szCs w:val="24"/>
          <w:lang w:val="es-419"/>
        </w:rPr>
      </w:pPr>
      <w:r w:rsidRPr="00770290">
        <w:rPr>
          <w:rFonts w:cs="Arial"/>
          <w:noProof/>
          <w:szCs w:val="24"/>
        </w:rPr>
        <w:t xml:space="preserve">García-Pérez, T., López, J.C., Passos, F., Lebrero, R., Revah, S., Muñoz, R., 2018, Optimization of CH4 removal from diluted emissions and continuous PHB production by methylocystis hirsuta: Towards GHG biorefineries, Chem. Eng. </w:t>
      </w:r>
      <w:r w:rsidRPr="00770290">
        <w:rPr>
          <w:rFonts w:cs="Arial"/>
          <w:noProof/>
          <w:szCs w:val="24"/>
          <w:lang w:val="es-419"/>
        </w:rPr>
        <w:t>Trans., 68, 439–444.</w:t>
      </w:r>
    </w:p>
    <w:p w14:paraId="0A57C656"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lang w:val="es-419"/>
        </w:rPr>
        <w:t xml:space="preserve">García-Pérez Teresa, C.López Juan, Passos Fabiana, Lebrero Raquel, Revah Sergio, M.R., 2018. </w:t>
      </w:r>
      <w:r w:rsidRPr="00770290">
        <w:rPr>
          <w:rFonts w:cs="Arial"/>
          <w:noProof/>
          <w:szCs w:val="24"/>
        </w:rPr>
        <w:t>Simultaneous methane abatement and PHB production by Methylocystis hirsuta in a novel gas-recycling bubble column bioreactor. Chem. Eng. J. 334, 691–697.</w:t>
      </w:r>
    </w:p>
    <w:p w14:paraId="64608E28" w14:textId="77777777" w:rsidR="004975A5" w:rsidRPr="00770290" w:rsidRDefault="004975A5" w:rsidP="004975A5">
      <w:pPr>
        <w:widowControl w:val="0"/>
        <w:autoSpaceDE w:val="0"/>
        <w:autoSpaceDN w:val="0"/>
        <w:adjustRightInd w:val="0"/>
        <w:spacing w:line="240" w:lineRule="auto"/>
        <w:ind w:left="480" w:hanging="480"/>
        <w:rPr>
          <w:rFonts w:cs="Arial"/>
          <w:noProof/>
          <w:szCs w:val="24"/>
          <w:lang w:val="it-IT"/>
        </w:rPr>
      </w:pPr>
      <w:r w:rsidRPr="00770290">
        <w:rPr>
          <w:rFonts w:cs="Arial"/>
          <w:noProof/>
          <w:szCs w:val="24"/>
        </w:rPr>
        <w:t xml:space="preserve">Helm, J., Wendlandt, K.D., Jechorek, M., Stottmeister, U., 2008. Potassium deficiency results in accumulation of ultra-high molecular weight poly-β-hydroxybutyrate in a methane-utilizing mixed culture. </w:t>
      </w:r>
      <w:r w:rsidRPr="00770290">
        <w:rPr>
          <w:rFonts w:cs="Arial"/>
          <w:noProof/>
          <w:szCs w:val="24"/>
          <w:lang w:val="it-IT"/>
        </w:rPr>
        <w:t>J. Appl. Microbiol. 105, 1054–1061.</w:t>
      </w:r>
    </w:p>
    <w:p w14:paraId="673A8838"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lang w:val="it-IT"/>
        </w:rPr>
        <w:t xml:space="preserve">Khosravi-Darani, K., Mokhtari, Z.B., Amai, T., Tanaka, K., 2013. </w:t>
      </w:r>
      <w:r w:rsidRPr="00770290">
        <w:rPr>
          <w:rFonts w:cs="Arial"/>
          <w:noProof/>
          <w:szCs w:val="24"/>
        </w:rPr>
        <w:t>Microbial production of poly(hydroxybutyrate) from C1 carbon sources. Appl. Microbiol. Biotechnol. 97, 1407–1424.</w:t>
      </w:r>
    </w:p>
    <w:p w14:paraId="4B88B791"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rPr>
        <w:t>Khosravi-Darani, K., Yazdian, F., Babapour, F., Amirsadeghi, A.R., 2019. Poly(3-hydroxybutyrate) production from natural gas by a methanotroph native bacterium in a bubble column bioreactor. Chem. Biochem. Eng. Q. 33, 69–77.</w:t>
      </w:r>
    </w:p>
    <w:p w14:paraId="56F70CBE"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rPr>
        <w:t>Koller, M., Salerno, A., Dias, M., Reiterer, A., Braunegg, G., 2010. Modern biotechnological polymer synthesis: A review. Food Technol. Biotechnol. 48, 255–269.</w:t>
      </w:r>
    </w:p>
    <w:p w14:paraId="5EB0B169"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rPr>
        <w:t>Lee, S.Y., 2000. Bacterial polyhydroxyalkanoates. Biotechnol. Bioeng. 49, 1–14.</w:t>
      </w:r>
    </w:p>
    <w:p w14:paraId="3B92E18F"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rPr>
        <w:t>Myung, J., Galega, W.M., Van Nostrand, J.D., Yuan, T., Zhou, J., Criddle, C.S., 2015. Long-term cultivation of a stable Methylocystis-dominated methanotrophic enrichment enabling tailored production of poly(3-hydroxybutyrate-co-3-hydroxyvalerate). Bioresour. Technol. 198, 811–818.</w:t>
      </w:r>
    </w:p>
    <w:p w14:paraId="0CE411AE"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rPr>
        <w:t>Pieja, A.J., Sundstrom, E.R., Criddle, C.S., 2011. Poly-3-hydroxybutyrate metabolism in the type II Methanotroph Methylocystis parvus OBBP. Appl. Environ. Microbiol. 77, 6012–6019.</w:t>
      </w:r>
    </w:p>
    <w:p w14:paraId="2486F4D0" w14:textId="77777777" w:rsidR="004975A5" w:rsidRPr="00770290" w:rsidRDefault="004975A5" w:rsidP="004975A5">
      <w:pPr>
        <w:widowControl w:val="0"/>
        <w:autoSpaceDE w:val="0"/>
        <w:autoSpaceDN w:val="0"/>
        <w:adjustRightInd w:val="0"/>
        <w:spacing w:line="240" w:lineRule="auto"/>
        <w:ind w:left="480" w:hanging="480"/>
        <w:rPr>
          <w:rFonts w:cs="Arial"/>
          <w:noProof/>
          <w:szCs w:val="24"/>
          <w:lang w:val="es-419"/>
        </w:rPr>
      </w:pPr>
      <w:r w:rsidRPr="00770290">
        <w:rPr>
          <w:rFonts w:cs="Arial"/>
          <w:noProof/>
          <w:szCs w:val="24"/>
        </w:rPr>
        <w:t xml:space="preserve">Reilly, I.G., Scott, D.S., Debruijn, T.J.W., Macintyre, D., 1994. The role of gas phase momentum in determining gas holdup and hydrodynamic flow regimes in bubble column operations. </w:t>
      </w:r>
      <w:r w:rsidRPr="00770290">
        <w:rPr>
          <w:rFonts w:cs="Arial"/>
          <w:noProof/>
          <w:szCs w:val="24"/>
          <w:lang w:val="es-419"/>
        </w:rPr>
        <w:t>Can. J. Chem. Eng. 72, 3–12.</w:t>
      </w:r>
    </w:p>
    <w:p w14:paraId="686A96AB" w14:textId="77777777" w:rsidR="004975A5" w:rsidRPr="00770290" w:rsidRDefault="004975A5" w:rsidP="004975A5">
      <w:pPr>
        <w:widowControl w:val="0"/>
        <w:autoSpaceDE w:val="0"/>
        <w:autoSpaceDN w:val="0"/>
        <w:adjustRightInd w:val="0"/>
        <w:spacing w:line="240" w:lineRule="auto"/>
        <w:ind w:left="480" w:hanging="480"/>
        <w:rPr>
          <w:rFonts w:cs="Arial"/>
          <w:noProof/>
          <w:szCs w:val="24"/>
          <w:lang w:val="es-419"/>
        </w:rPr>
      </w:pPr>
      <w:r w:rsidRPr="00770290">
        <w:rPr>
          <w:rFonts w:cs="Arial"/>
          <w:noProof/>
          <w:szCs w:val="24"/>
          <w:lang w:val="es-419"/>
        </w:rPr>
        <w:t xml:space="preserve">Rodríguez, Y., Firmino, P.I.M., Arnáiz, E., Lebrero, R., Muñoz, R., 2020a. </w:t>
      </w:r>
      <w:r w:rsidRPr="00770290">
        <w:rPr>
          <w:rFonts w:cs="Arial"/>
          <w:noProof/>
          <w:szCs w:val="24"/>
        </w:rPr>
        <w:t xml:space="preserve">Elucidating the influence of environmental factors on biogas-based polyhydroxybutyrate production by Methylocystis hirsuta CSC1. Sci. </w:t>
      </w:r>
      <w:r w:rsidRPr="00770290">
        <w:rPr>
          <w:rFonts w:cs="Arial"/>
          <w:noProof/>
          <w:szCs w:val="24"/>
          <w:lang w:val="es-419"/>
        </w:rPr>
        <w:t>Total Environ. 706, 135136.</w:t>
      </w:r>
    </w:p>
    <w:p w14:paraId="5C23066B"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lang w:val="es-419"/>
        </w:rPr>
        <w:t xml:space="preserve">Rodríguez, Y., Firmino, P.I.M., Pérez, V., Lebrero, R., Muñoz, R., 2020b. </w:t>
      </w:r>
      <w:r w:rsidRPr="00770290">
        <w:rPr>
          <w:rFonts w:cs="Arial"/>
          <w:noProof/>
          <w:szCs w:val="24"/>
        </w:rPr>
        <w:t>Biogas valorization via continuous polyhydroxybutyrate production by Methylocystis hirsuta in a bubble column bioreactor. Waste Manag. 113, 395–403.</w:t>
      </w:r>
    </w:p>
    <w:p w14:paraId="46BA3114"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rPr>
        <w:t>Rostkowski, K.H., Pfluger, A.R., Criddle, C.S., 2013. Stoichiometry and kinetics of the PHB-producing Type II methanotrophs Methylosinus trichosporium OB3b and Methylocystis parvus OBBP. Bioresour. Technol. 132, 71–77.</w:t>
      </w:r>
    </w:p>
    <w:p w14:paraId="6FF9AFEB"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rPr>
        <w:t>Serafim, L.S., Lemos, P.C., Albuquerque, M.G.E., Reis, M.A.M., 2008. Strategies for PHA production by mixed cultures and renewable waste materials. Appl. Microbiol. Biotechnol. 81, 615–628.</w:t>
      </w:r>
    </w:p>
    <w:p w14:paraId="58DEBA8A"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rPr>
        <w:t>Toma, M.K., Systems, F., 1991. Inhibition of microbial growth and metabolism by excess turbulence 38, 552–556.</w:t>
      </w:r>
    </w:p>
    <w:p w14:paraId="73A716D2"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rPr>
        <w:t>Wang, Z., Guo, K., Liu, H., Liu, C., Geng, Y., Lu, Z., Jiao, B., Chen, D., 2020. Effects of bubble size on the gas–liquid mass transfer of bubble swarms with Sauter mean diameters of 0.38–4.88 mm in a co-current upflow bubble column. J. Chem. Technol. Biotechnol. 95, 2853–2867.</w:t>
      </w:r>
    </w:p>
    <w:p w14:paraId="6C237C8F"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rPr>
        <w:t>Wendlandt, K., Jechorek, M., Helm, J., Stottmeister, U., 1998. Production of PHB with a high molecular mass from methane 3910, 191–194.</w:t>
      </w:r>
    </w:p>
    <w:p w14:paraId="286E66F9" w14:textId="77777777" w:rsidR="004975A5" w:rsidRPr="00770290" w:rsidRDefault="004975A5" w:rsidP="004975A5">
      <w:pPr>
        <w:widowControl w:val="0"/>
        <w:autoSpaceDE w:val="0"/>
        <w:autoSpaceDN w:val="0"/>
        <w:adjustRightInd w:val="0"/>
        <w:spacing w:line="240" w:lineRule="auto"/>
        <w:ind w:left="480" w:hanging="480"/>
        <w:rPr>
          <w:rFonts w:cs="Arial"/>
          <w:noProof/>
          <w:szCs w:val="24"/>
        </w:rPr>
      </w:pPr>
      <w:r w:rsidRPr="00770290">
        <w:rPr>
          <w:rFonts w:cs="Arial"/>
          <w:noProof/>
          <w:szCs w:val="24"/>
        </w:rPr>
        <w:t>Yoon, J.H., Shin, J., Park, T.H., 2008. Characterization of factors influencing the growth of Anabaena variabilis in a bubble column reactor 99, 1204–1210.</w:t>
      </w:r>
    </w:p>
    <w:p w14:paraId="2E711D06" w14:textId="77777777" w:rsidR="004975A5" w:rsidRPr="00770290" w:rsidRDefault="004975A5" w:rsidP="004975A5">
      <w:pPr>
        <w:widowControl w:val="0"/>
        <w:autoSpaceDE w:val="0"/>
        <w:autoSpaceDN w:val="0"/>
        <w:adjustRightInd w:val="0"/>
        <w:spacing w:line="240" w:lineRule="auto"/>
        <w:ind w:left="480" w:hanging="480"/>
        <w:rPr>
          <w:rFonts w:cs="Arial"/>
          <w:noProof/>
        </w:rPr>
      </w:pPr>
      <w:r w:rsidRPr="00770290">
        <w:rPr>
          <w:rFonts w:cs="Arial"/>
          <w:noProof/>
          <w:szCs w:val="24"/>
          <w:lang w:val="fr-FR"/>
        </w:rPr>
        <w:t xml:space="preserve">Zhang, T., Zhou, J., Wang, X., Zhang, Y., 2019. </w:t>
      </w:r>
      <w:r w:rsidRPr="00770290">
        <w:rPr>
          <w:rFonts w:cs="Arial"/>
          <w:noProof/>
          <w:szCs w:val="24"/>
        </w:rPr>
        <w:t>Poly-β-hydroxybutyrate production by Methylosinus trichosporium ob3b at different gas-phase conditions. Iran. J. Biotechnol. 17, 10–16.</w:t>
      </w:r>
    </w:p>
    <w:p w14:paraId="19C4FC68" w14:textId="2877C536" w:rsidR="004628D2" w:rsidRDefault="00966B16" w:rsidP="00D02676">
      <w:pPr>
        <w:pStyle w:val="CETReferencetext"/>
        <w:ind w:left="0" w:firstLine="0"/>
      </w:pPr>
      <w:r w:rsidRPr="00770290">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2E2B" w14:textId="77777777" w:rsidR="00113F4C" w:rsidRDefault="00113F4C" w:rsidP="004F5E36">
      <w:r>
        <w:separator/>
      </w:r>
    </w:p>
  </w:endnote>
  <w:endnote w:type="continuationSeparator" w:id="0">
    <w:p w14:paraId="00C28BB2" w14:textId="77777777" w:rsidR="00113F4C" w:rsidRDefault="00113F4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862A" w14:textId="6F981269" w:rsidR="004E659E" w:rsidRPr="004E659E" w:rsidRDefault="004E659E">
    <w:pPr>
      <w:pStyle w:val="Pidipagina"/>
      <w:rPr>
        <w:lang w:val="it-IT"/>
      </w:rPr>
    </w:pPr>
    <w:r>
      <w:rPr>
        <w:lang w:val="it-I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55B1" w14:textId="77777777" w:rsidR="00113F4C" w:rsidRDefault="00113F4C" w:rsidP="004F5E36">
      <w:r>
        <w:separator/>
      </w:r>
    </w:p>
  </w:footnote>
  <w:footnote w:type="continuationSeparator" w:id="0">
    <w:p w14:paraId="0E6848C7" w14:textId="77777777" w:rsidR="00113F4C" w:rsidRDefault="00113F4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357B"/>
    <w:rsid w:val="00004F9D"/>
    <w:rsid w:val="000052FB"/>
    <w:rsid w:val="00010E65"/>
    <w:rsid w:val="000117CB"/>
    <w:rsid w:val="0003148D"/>
    <w:rsid w:val="00031EEC"/>
    <w:rsid w:val="00040E1F"/>
    <w:rsid w:val="00051566"/>
    <w:rsid w:val="00062A9A"/>
    <w:rsid w:val="00065058"/>
    <w:rsid w:val="00080309"/>
    <w:rsid w:val="00085ABE"/>
    <w:rsid w:val="00086C39"/>
    <w:rsid w:val="00094186"/>
    <w:rsid w:val="00095852"/>
    <w:rsid w:val="000A03B2"/>
    <w:rsid w:val="000A4B5D"/>
    <w:rsid w:val="000C1BBC"/>
    <w:rsid w:val="000D0268"/>
    <w:rsid w:val="000D34BE"/>
    <w:rsid w:val="000D6D67"/>
    <w:rsid w:val="000E102F"/>
    <w:rsid w:val="000E36F1"/>
    <w:rsid w:val="000E3A73"/>
    <w:rsid w:val="000E414A"/>
    <w:rsid w:val="000E7163"/>
    <w:rsid w:val="000F093C"/>
    <w:rsid w:val="000F787B"/>
    <w:rsid w:val="001112AD"/>
    <w:rsid w:val="00112A9D"/>
    <w:rsid w:val="0011369A"/>
    <w:rsid w:val="00113F4C"/>
    <w:rsid w:val="00117C2F"/>
    <w:rsid w:val="0012091F"/>
    <w:rsid w:val="00126BC2"/>
    <w:rsid w:val="001308B6"/>
    <w:rsid w:val="0013121F"/>
    <w:rsid w:val="00131FE6"/>
    <w:rsid w:val="0013263F"/>
    <w:rsid w:val="001331DF"/>
    <w:rsid w:val="00134DE4"/>
    <w:rsid w:val="0014034D"/>
    <w:rsid w:val="001429B0"/>
    <w:rsid w:val="0014354D"/>
    <w:rsid w:val="00143FE8"/>
    <w:rsid w:val="00144D16"/>
    <w:rsid w:val="00146AE6"/>
    <w:rsid w:val="00150E59"/>
    <w:rsid w:val="00152DE3"/>
    <w:rsid w:val="001617BE"/>
    <w:rsid w:val="00164CF9"/>
    <w:rsid w:val="001667A6"/>
    <w:rsid w:val="0016771D"/>
    <w:rsid w:val="00170127"/>
    <w:rsid w:val="00184AD6"/>
    <w:rsid w:val="001A4AF7"/>
    <w:rsid w:val="001B0349"/>
    <w:rsid w:val="001B1E93"/>
    <w:rsid w:val="001B24C0"/>
    <w:rsid w:val="001B65C1"/>
    <w:rsid w:val="001C09A4"/>
    <w:rsid w:val="001C684B"/>
    <w:rsid w:val="001D0CFB"/>
    <w:rsid w:val="001D21AF"/>
    <w:rsid w:val="001D495A"/>
    <w:rsid w:val="001D5320"/>
    <w:rsid w:val="001D53FC"/>
    <w:rsid w:val="001D5E0E"/>
    <w:rsid w:val="001E36F8"/>
    <w:rsid w:val="001E67BE"/>
    <w:rsid w:val="001F42A5"/>
    <w:rsid w:val="001F7B9D"/>
    <w:rsid w:val="00201C93"/>
    <w:rsid w:val="002059FB"/>
    <w:rsid w:val="00207485"/>
    <w:rsid w:val="00217076"/>
    <w:rsid w:val="002224B4"/>
    <w:rsid w:val="00232FF7"/>
    <w:rsid w:val="002439D3"/>
    <w:rsid w:val="002447EF"/>
    <w:rsid w:val="002448E8"/>
    <w:rsid w:val="002448E9"/>
    <w:rsid w:val="002459A8"/>
    <w:rsid w:val="00251550"/>
    <w:rsid w:val="002521A1"/>
    <w:rsid w:val="00253D47"/>
    <w:rsid w:val="002625A4"/>
    <w:rsid w:val="00263B05"/>
    <w:rsid w:val="0027021D"/>
    <w:rsid w:val="0027221A"/>
    <w:rsid w:val="00275B61"/>
    <w:rsid w:val="00280FAF"/>
    <w:rsid w:val="0028197D"/>
    <w:rsid w:val="00282656"/>
    <w:rsid w:val="00290CC7"/>
    <w:rsid w:val="002963F8"/>
    <w:rsid w:val="00296B83"/>
    <w:rsid w:val="002A563D"/>
    <w:rsid w:val="002B029A"/>
    <w:rsid w:val="002B040B"/>
    <w:rsid w:val="002B4015"/>
    <w:rsid w:val="002B78CE"/>
    <w:rsid w:val="002C2FB6"/>
    <w:rsid w:val="002C3BA7"/>
    <w:rsid w:val="002C568D"/>
    <w:rsid w:val="002D23E5"/>
    <w:rsid w:val="002D498F"/>
    <w:rsid w:val="002D5E8D"/>
    <w:rsid w:val="002E5FA7"/>
    <w:rsid w:val="002F3309"/>
    <w:rsid w:val="003008CE"/>
    <w:rsid w:val="003009B7"/>
    <w:rsid w:val="00300E56"/>
    <w:rsid w:val="00301E2A"/>
    <w:rsid w:val="0030469C"/>
    <w:rsid w:val="0031072C"/>
    <w:rsid w:val="00313D75"/>
    <w:rsid w:val="00321CA6"/>
    <w:rsid w:val="00323763"/>
    <w:rsid w:val="00334C09"/>
    <w:rsid w:val="00335C30"/>
    <w:rsid w:val="00340898"/>
    <w:rsid w:val="00344D69"/>
    <w:rsid w:val="003658EC"/>
    <w:rsid w:val="003723D4"/>
    <w:rsid w:val="00381905"/>
    <w:rsid w:val="00383BE7"/>
    <w:rsid w:val="00384CC8"/>
    <w:rsid w:val="003871FD"/>
    <w:rsid w:val="003913BE"/>
    <w:rsid w:val="0039334A"/>
    <w:rsid w:val="00394A14"/>
    <w:rsid w:val="0039534F"/>
    <w:rsid w:val="003A1E30"/>
    <w:rsid w:val="003A2829"/>
    <w:rsid w:val="003A4032"/>
    <w:rsid w:val="003A7D1C"/>
    <w:rsid w:val="003B13FC"/>
    <w:rsid w:val="003B304B"/>
    <w:rsid w:val="003B3146"/>
    <w:rsid w:val="003F015E"/>
    <w:rsid w:val="00400414"/>
    <w:rsid w:val="004042D2"/>
    <w:rsid w:val="0041446B"/>
    <w:rsid w:val="0044071E"/>
    <w:rsid w:val="00441B9C"/>
    <w:rsid w:val="0044329C"/>
    <w:rsid w:val="00453E24"/>
    <w:rsid w:val="004548FD"/>
    <w:rsid w:val="00455AD8"/>
    <w:rsid w:val="00457456"/>
    <w:rsid w:val="004577FE"/>
    <w:rsid w:val="00457B9C"/>
    <w:rsid w:val="0046164A"/>
    <w:rsid w:val="004628D2"/>
    <w:rsid w:val="00462DCD"/>
    <w:rsid w:val="00463F6B"/>
    <w:rsid w:val="004648AD"/>
    <w:rsid w:val="004703A9"/>
    <w:rsid w:val="004760DE"/>
    <w:rsid w:val="004763D7"/>
    <w:rsid w:val="00481F04"/>
    <w:rsid w:val="00493B18"/>
    <w:rsid w:val="004975A5"/>
    <w:rsid w:val="004A004E"/>
    <w:rsid w:val="004A24CF"/>
    <w:rsid w:val="004B724B"/>
    <w:rsid w:val="004C3D1D"/>
    <w:rsid w:val="004C7913"/>
    <w:rsid w:val="004D75B3"/>
    <w:rsid w:val="004E4DD6"/>
    <w:rsid w:val="004E659E"/>
    <w:rsid w:val="004F4DC6"/>
    <w:rsid w:val="004F5E36"/>
    <w:rsid w:val="00507B47"/>
    <w:rsid w:val="00507BEF"/>
    <w:rsid w:val="00507CC9"/>
    <w:rsid w:val="005119A5"/>
    <w:rsid w:val="00527766"/>
    <w:rsid w:val="005278B7"/>
    <w:rsid w:val="00532016"/>
    <w:rsid w:val="005346C8"/>
    <w:rsid w:val="005410E3"/>
    <w:rsid w:val="005420FA"/>
    <w:rsid w:val="00543E7D"/>
    <w:rsid w:val="005441CB"/>
    <w:rsid w:val="00545E7B"/>
    <w:rsid w:val="00547A68"/>
    <w:rsid w:val="005531C9"/>
    <w:rsid w:val="00570C43"/>
    <w:rsid w:val="00572FCB"/>
    <w:rsid w:val="00596157"/>
    <w:rsid w:val="005B2110"/>
    <w:rsid w:val="005B61E6"/>
    <w:rsid w:val="005C77E1"/>
    <w:rsid w:val="005D184F"/>
    <w:rsid w:val="005D668A"/>
    <w:rsid w:val="005D6A2F"/>
    <w:rsid w:val="005D7900"/>
    <w:rsid w:val="005E1A82"/>
    <w:rsid w:val="005E3870"/>
    <w:rsid w:val="005E794C"/>
    <w:rsid w:val="005F0A28"/>
    <w:rsid w:val="005F0E5E"/>
    <w:rsid w:val="00600535"/>
    <w:rsid w:val="00610CD6"/>
    <w:rsid w:val="006121A1"/>
    <w:rsid w:val="0061743A"/>
    <w:rsid w:val="00620DEE"/>
    <w:rsid w:val="00621F92"/>
    <w:rsid w:val="0062280A"/>
    <w:rsid w:val="00625639"/>
    <w:rsid w:val="00631B33"/>
    <w:rsid w:val="006375F3"/>
    <w:rsid w:val="0064184D"/>
    <w:rsid w:val="006422CC"/>
    <w:rsid w:val="00656AFB"/>
    <w:rsid w:val="00660E3E"/>
    <w:rsid w:val="00662E74"/>
    <w:rsid w:val="00665477"/>
    <w:rsid w:val="00680C23"/>
    <w:rsid w:val="006858D9"/>
    <w:rsid w:val="00693766"/>
    <w:rsid w:val="006A318C"/>
    <w:rsid w:val="006A325C"/>
    <w:rsid w:val="006A3281"/>
    <w:rsid w:val="006A7627"/>
    <w:rsid w:val="006A769D"/>
    <w:rsid w:val="006B4888"/>
    <w:rsid w:val="006C2E45"/>
    <w:rsid w:val="006C359C"/>
    <w:rsid w:val="006C5579"/>
    <w:rsid w:val="006C6FA8"/>
    <w:rsid w:val="006D5FD6"/>
    <w:rsid w:val="006D6E8B"/>
    <w:rsid w:val="006E737D"/>
    <w:rsid w:val="006F57A6"/>
    <w:rsid w:val="00705A20"/>
    <w:rsid w:val="00713973"/>
    <w:rsid w:val="00720A24"/>
    <w:rsid w:val="00721481"/>
    <w:rsid w:val="0072677E"/>
    <w:rsid w:val="00732386"/>
    <w:rsid w:val="0073514D"/>
    <w:rsid w:val="007447F3"/>
    <w:rsid w:val="00752FFA"/>
    <w:rsid w:val="0075499F"/>
    <w:rsid w:val="007661C8"/>
    <w:rsid w:val="00770290"/>
    <w:rsid w:val="0077098D"/>
    <w:rsid w:val="007931FA"/>
    <w:rsid w:val="007A3796"/>
    <w:rsid w:val="007A4861"/>
    <w:rsid w:val="007A7BBA"/>
    <w:rsid w:val="007B0C50"/>
    <w:rsid w:val="007B48F9"/>
    <w:rsid w:val="007B6BAE"/>
    <w:rsid w:val="007C1A43"/>
    <w:rsid w:val="007C45EF"/>
    <w:rsid w:val="007D154E"/>
    <w:rsid w:val="007D4CBE"/>
    <w:rsid w:val="007E157C"/>
    <w:rsid w:val="007E3629"/>
    <w:rsid w:val="007E42C3"/>
    <w:rsid w:val="007F069F"/>
    <w:rsid w:val="007F2114"/>
    <w:rsid w:val="0080013E"/>
    <w:rsid w:val="00800A63"/>
    <w:rsid w:val="00803699"/>
    <w:rsid w:val="00813288"/>
    <w:rsid w:val="00816445"/>
    <w:rsid w:val="008168FC"/>
    <w:rsid w:val="00822AD1"/>
    <w:rsid w:val="00823BCE"/>
    <w:rsid w:val="00830996"/>
    <w:rsid w:val="008345F1"/>
    <w:rsid w:val="0083658B"/>
    <w:rsid w:val="00841D7F"/>
    <w:rsid w:val="008615E7"/>
    <w:rsid w:val="00865B07"/>
    <w:rsid w:val="008667EA"/>
    <w:rsid w:val="0087637F"/>
    <w:rsid w:val="00885F6D"/>
    <w:rsid w:val="00892AD5"/>
    <w:rsid w:val="008A1512"/>
    <w:rsid w:val="008A6573"/>
    <w:rsid w:val="008C671A"/>
    <w:rsid w:val="008D32B9"/>
    <w:rsid w:val="008D433B"/>
    <w:rsid w:val="008D6E8E"/>
    <w:rsid w:val="008D7D04"/>
    <w:rsid w:val="008E566E"/>
    <w:rsid w:val="0090161A"/>
    <w:rsid w:val="00901EB6"/>
    <w:rsid w:val="00904C62"/>
    <w:rsid w:val="009202B7"/>
    <w:rsid w:val="00922BA8"/>
    <w:rsid w:val="00924DAC"/>
    <w:rsid w:val="00927058"/>
    <w:rsid w:val="00940821"/>
    <w:rsid w:val="00942750"/>
    <w:rsid w:val="009450CE"/>
    <w:rsid w:val="00947179"/>
    <w:rsid w:val="0095164B"/>
    <w:rsid w:val="00954090"/>
    <w:rsid w:val="009542D6"/>
    <w:rsid w:val="009573E7"/>
    <w:rsid w:val="00960250"/>
    <w:rsid w:val="00963C1E"/>
    <w:rsid w:val="00963E05"/>
    <w:rsid w:val="00964A45"/>
    <w:rsid w:val="00966B16"/>
    <w:rsid w:val="00967843"/>
    <w:rsid w:val="00967D54"/>
    <w:rsid w:val="00971028"/>
    <w:rsid w:val="0097441B"/>
    <w:rsid w:val="00993B84"/>
    <w:rsid w:val="00995D10"/>
    <w:rsid w:val="00996483"/>
    <w:rsid w:val="00996F5A"/>
    <w:rsid w:val="009A366A"/>
    <w:rsid w:val="009B041A"/>
    <w:rsid w:val="009B3113"/>
    <w:rsid w:val="009C37C3"/>
    <w:rsid w:val="009C7C86"/>
    <w:rsid w:val="009D1190"/>
    <w:rsid w:val="009D2FF7"/>
    <w:rsid w:val="009E1A6D"/>
    <w:rsid w:val="009E7884"/>
    <w:rsid w:val="009E788A"/>
    <w:rsid w:val="009F0DFF"/>
    <w:rsid w:val="009F0E08"/>
    <w:rsid w:val="009F672B"/>
    <w:rsid w:val="00A16B2E"/>
    <w:rsid w:val="00A1763D"/>
    <w:rsid w:val="00A17C28"/>
    <w:rsid w:val="00A17CEC"/>
    <w:rsid w:val="00A27EF0"/>
    <w:rsid w:val="00A342F0"/>
    <w:rsid w:val="00A35A21"/>
    <w:rsid w:val="00A42361"/>
    <w:rsid w:val="00A4642A"/>
    <w:rsid w:val="00A50B20"/>
    <w:rsid w:val="00A51390"/>
    <w:rsid w:val="00A60D13"/>
    <w:rsid w:val="00A63943"/>
    <w:rsid w:val="00A708BB"/>
    <w:rsid w:val="00A72745"/>
    <w:rsid w:val="00A74065"/>
    <w:rsid w:val="00A76EFC"/>
    <w:rsid w:val="00A91010"/>
    <w:rsid w:val="00A9328C"/>
    <w:rsid w:val="00A97F29"/>
    <w:rsid w:val="00A97F4A"/>
    <w:rsid w:val="00AA702E"/>
    <w:rsid w:val="00AB0964"/>
    <w:rsid w:val="00AB130A"/>
    <w:rsid w:val="00AB5011"/>
    <w:rsid w:val="00AB646C"/>
    <w:rsid w:val="00AC7368"/>
    <w:rsid w:val="00AD02D7"/>
    <w:rsid w:val="00AD16B9"/>
    <w:rsid w:val="00AD7146"/>
    <w:rsid w:val="00AE377D"/>
    <w:rsid w:val="00AE3E78"/>
    <w:rsid w:val="00AF0EBA"/>
    <w:rsid w:val="00B02C8A"/>
    <w:rsid w:val="00B14A5C"/>
    <w:rsid w:val="00B17FBD"/>
    <w:rsid w:val="00B2269B"/>
    <w:rsid w:val="00B26E22"/>
    <w:rsid w:val="00B315A6"/>
    <w:rsid w:val="00B31813"/>
    <w:rsid w:val="00B33365"/>
    <w:rsid w:val="00B4090C"/>
    <w:rsid w:val="00B52236"/>
    <w:rsid w:val="00B54D4F"/>
    <w:rsid w:val="00B57B36"/>
    <w:rsid w:val="00B57E6F"/>
    <w:rsid w:val="00B8686D"/>
    <w:rsid w:val="00B91955"/>
    <w:rsid w:val="00B93F69"/>
    <w:rsid w:val="00BB1417"/>
    <w:rsid w:val="00BB17E7"/>
    <w:rsid w:val="00BB1DDC"/>
    <w:rsid w:val="00BC30C9"/>
    <w:rsid w:val="00BC312A"/>
    <w:rsid w:val="00BD077D"/>
    <w:rsid w:val="00BE1142"/>
    <w:rsid w:val="00BE3E58"/>
    <w:rsid w:val="00C01616"/>
    <w:rsid w:val="00C0162B"/>
    <w:rsid w:val="00C068ED"/>
    <w:rsid w:val="00C107FD"/>
    <w:rsid w:val="00C13CF5"/>
    <w:rsid w:val="00C20D4F"/>
    <w:rsid w:val="00C22E0C"/>
    <w:rsid w:val="00C27F06"/>
    <w:rsid w:val="00C345B1"/>
    <w:rsid w:val="00C40142"/>
    <w:rsid w:val="00C52C3C"/>
    <w:rsid w:val="00C57182"/>
    <w:rsid w:val="00C57863"/>
    <w:rsid w:val="00C6353D"/>
    <w:rsid w:val="00C655FD"/>
    <w:rsid w:val="00C73A71"/>
    <w:rsid w:val="00C75407"/>
    <w:rsid w:val="00C870A8"/>
    <w:rsid w:val="00C93BEE"/>
    <w:rsid w:val="00C94434"/>
    <w:rsid w:val="00C97E56"/>
    <w:rsid w:val="00CA0D75"/>
    <w:rsid w:val="00CA1C95"/>
    <w:rsid w:val="00CA5A9C"/>
    <w:rsid w:val="00CC4C20"/>
    <w:rsid w:val="00CD2342"/>
    <w:rsid w:val="00CD3517"/>
    <w:rsid w:val="00CD5FE2"/>
    <w:rsid w:val="00CE7C68"/>
    <w:rsid w:val="00CF1923"/>
    <w:rsid w:val="00D02676"/>
    <w:rsid w:val="00D02B4C"/>
    <w:rsid w:val="00D040C4"/>
    <w:rsid w:val="00D21360"/>
    <w:rsid w:val="00D23F3F"/>
    <w:rsid w:val="00D2623D"/>
    <w:rsid w:val="00D42A1E"/>
    <w:rsid w:val="00D46B7E"/>
    <w:rsid w:val="00D5690D"/>
    <w:rsid w:val="00D57C84"/>
    <w:rsid w:val="00D6057D"/>
    <w:rsid w:val="00D71640"/>
    <w:rsid w:val="00D836C5"/>
    <w:rsid w:val="00D84576"/>
    <w:rsid w:val="00D86B3F"/>
    <w:rsid w:val="00D95599"/>
    <w:rsid w:val="00DA1399"/>
    <w:rsid w:val="00DA13C9"/>
    <w:rsid w:val="00DA24C6"/>
    <w:rsid w:val="00DA4D7B"/>
    <w:rsid w:val="00DC5331"/>
    <w:rsid w:val="00DC6F67"/>
    <w:rsid w:val="00DE264A"/>
    <w:rsid w:val="00DF10C8"/>
    <w:rsid w:val="00DF5072"/>
    <w:rsid w:val="00E02D18"/>
    <w:rsid w:val="00E041E7"/>
    <w:rsid w:val="00E23CA1"/>
    <w:rsid w:val="00E24B84"/>
    <w:rsid w:val="00E25F0F"/>
    <w:rsid w:val="00E409A8"/>
    <w:rsid w:val="00E47357"/>
    <w:rsid w:val="00E50C12"/>
    <w:rsid w:val="00E61255"/>
    <w:rsid w:val="00E65B91"/>
    <w:rsid w:val="00E7209D"/>
    <w:rsid w:val="00E72EAD"/>
    <w:rsid w:val="00E77223"/>
    <w:rsid w:val="00E8528B"/>
    <w:rsid w:val="00E85B94"/>
    <w:rsid w:val="00E92C11"/>
    <w:rsid w:val="00E975FE"/>
    <w:rsid w:val="00E978D0"/>
    <w:rsid w:val="00EA4613"/>
    <w:rsid w:val="00EA7F91"/>
    <w:rsid w:val="00EB009D"/>
    <w:rsid w:val="00EB1523"/>
    <w:rsid w:val="00EC0E49"/>
    <w:rsid w:val="00EC101F"/>
    <w:rsid w:val="00EC1D9F"/>
    <w:rsid w:val="00ED2837"/>
    <w:rsid w:val="00EE0131"/>
    <w:rsid w:val="00EE17B0"/>
    <w:rsid w:val="00EF06D9"/>
    <w:rsid w:val="00EF119C"/>
    <w:rsid w:val="00EF3A38"/>
    <w:rsid w:val="00F03ADF"/>
    <w:rsid w:val="00F15F50"/>
    <w:rsid w:val="00F1647C"/>
    <w:rsid w:val="00F30C64"/>
    <w:rsid w:val="00F32BA2"/>
    <w:rsid w:val="00F32CDB"/>
    <w:rsid w:val="00F565FE"/>
    <w:rsid w:val="00F63A70"/>
    <w:rsid w:val="00F73F09"/>
    <w:rsid w:val="00F7534E"/>
    <w:rsid w:val="00F85E4A"/>
    <w:rsid w:val="00F87E52"/>
    <w:rsid w:val="00FA1802"/>
    <w:rsid w:val="00FA21D0"/>
    <w:rsid w:val="00FA5F5F"/>
    <w:rsid w:val="00FA696D"/>
    <w:rsid w:val="00FB2760"/>
    <w:rsid w:val="00FB730C"/>
    <w:rsid w:val="00FC2695"/>
    <w:rsid w:val="00FC3E03"/>
    <w:rsid w:val="00FC3FC1"/>
    <w:rsid w:val="00FD48D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Default">
    <w:name w:val="Default"/>
    <w:rsid w:val="00E612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E61255"/>
    <w:rPr>
      <w:color w:val="605E5C"/>
      <w:shd w:val="clear" w:color="auto" w:fill="E1DFDD"/>
    </w:rPr>
  </w:style>
  <w:style w:type="character" w:styleId="Testosegnaposto">
    <w:name w:val="Placeholder Text"/>
    <w:basedOn w:val="Carpredefinitoparagrafo"/>
    <w:uiPriority w:val="99"/>
    <w:semiHidden/>
    <w:rsid w:val="00217076"/>
    <w:rPr>
      <w:color w:val="808080"/>
    </w:rPr>
  </w:style>
  <w:style w:type="paragraph" w:styleId="Revisione">
    <w:name w:val="Revision"/>
    <w:hidden/>
    <w:uiPriority w:val="99"/>
    <w:semiHidden/>
    <w:rsid w:val="00D23F3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n.decrescenzo@unicampania.it"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3B199-2DDA-4862-9B76-5E749F18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11369</Words>
  <Characters>64808</Characters>
  <Application>Microsoft Office Word</Application>
  <DocSecurity>0</DocSecurity>
  <Lines>540</Lines>
  <Paragraphs>152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Claudia Amabile</cp:lastModifiedBy>
  <cp:revision>12</cp:revision>
  <cp:lastPrinted>2015-05-12T18:31:00Z</cp:lastPrinted>
  <dcterms:created xsi:type="dcterms:W3CDTF">2022-01-21T11:24:00Z</dcterms:created>
  <dcterms:modified xsi:type="dcterms:W3CDTF">2022-02-22T09:33:00Z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94ff78b2-1262-36cb-8649-3925b4fff616</vt:lpwstr>
  </property>
  <property fmtid="{D5CDD505-2E9C-101B-9397-08002B2CF9AE}" pid="6" name="Mendeley Citation Style_1">
    <vt:lpwstr>http://www.zotero.org/styles/elsevier-harvard2</vt:lpwstr>
  </property>
  <property fmtid="{D5CDD505-2E9C-101B-9397-08002B2CF9AE}" pid="7" name="Mendeley Recent Style Id 0_1">
    <vt:lpwstr>http://www.zotero.org/styles/acs-sustainable-chemistry-and-engineering</vt:lpwstr>
  </property>
  <property fmtid="{D5CDD505-2E9C-101B-9397-08002B2CF9AE}" pid="8" name="Mendeley Recent Style Name 0_1">
    <vt:lpwstr>ACS Sustainable Chemistry &amp; Engineering</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http://www.zotero.org/styles/elsevier-harvard</vt:lpwstr>
  </property>
  <property fmtid="{D5CDD505-2E9C-101B-9397-08002B2CF9AE}" pid="18" name="Mendeley Recent Style Name 5_1">
    <vt:lpwstr>Elsevier - Harvard (with titles)</vt:lpwstr>
  </property>
  <property fmtid="{D5CDD505-2E9C-101B-9397-08002B2CF9AE}" pid="19" name="Mendeley Recent Style Id 6_1">
    <vt:lpwstr>http://www.zotero.org/styles/elsevier-harvard-without-titles</vt:lpwstr>
  </property>
  <property fmtid="{D5CDD505-2E9C-101B-9397-08002B2CF9AE}" pid="20" name="Mendeley Recent Style Name 6_1">
    <vt:lpwstr>Elsevier - Harvard (without titles)</vt:lpwstr>
  </property>
  <property fmtid="{D5CDD505-2E9C-101B-9397-08002B2CF9AE}" pid="21" name="Mendeley Recent Style Id 7_1">
    <vt:lpwstr>http://www.zotero.org/styles/elsevier-harvard2</vt:lpwstr>
  </property>
  <property fmtid="{D5CDD505-2E9C-101B-9397-08002B2CF9AE}" pid="22" name="Mendeley Recent Style Name 7_1">
    <vt:lpwstr>Elsevier - Harvard 2</vt:lpwstr>
  </property>
  <property fmtid="{D5CDD505-2E9C-101B-9397-08002B2CF9AE}" pid="23" name="Mendeley Recent Style Id 8_1">
    <vt:lpwstr>http://www.zotero.org/styles/ieee</vt:lpwstr>
  </property>
  <property fmtid="{D5CDD505-2E9C-101B-9397-08002B2CF9AE}" pid="24" name="Mendeley Recent Style Name 8_1">
    <vt:lpwstr>IEEE</vt:lpwstr>
  </property>
  <property fmtid="{D5CDD505-2E9C-101B-9397-08002B2CF9AE}" pid="25" name="Mendeley Recent Style Id 9_1">
    <vt:lpwstr>http://www.zotero.org/styles/modern-humanities-research-association</vt:lpwstr>
  </property>
  <property fmtid="{D5CDD505-2E9C-101B-9397-08002B2CF9AE}" pid="26" name="Mendeley Recent Style Name 9_1">
    <vt:lpwstr>Modern Humanities Research Association 3rd edition (note with bibliography)</vt:lpwstr>
  </property>
</Properties>
</file>