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454F" w14:textId="77777777" w:rsidR="00DE588A" w:rsidRDefault="00DE588A"/>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588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667AC" w14:paraId="380FA3CD" w14:textId="77777777" w:rsidTr="00DE588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D07ECD" w:rsidRDefault="000D0268" w:rsidP="00CD5FE2">
            <w:pPr>
              <w:spacing w:line="140" w:lineRule="atLeast"/>
              <w:jc w:val="right"/>
              <w:rPr>
                <w:rFonts w:cs="Arial"/>
                <w:sz w:val="13"/>
                <w:szCs w:val="13"/>
                <w:lang w:val="da-DK"/>
              </w:rPr>
            </w:pPr>
            <w:r w:rsidRPr="00D07ECD">
              <w:rPr>
                <w:rFonts w:cs="Arial"/>
                <w:sz w:val="13"/>
                <w:szCs w:val="13"/>
                <w:lang w:val="da-DK"/>
              </w:rPr>
              <w:t>Online at www.cetjournal.it</w:t>
            </w:r>
          </w:p>
        </w:tc>
      </w:tr>
      <w:tr w:rsidR="000A03B2" w:rsidRPr="00B57B36" w14:paraId="2D1B7169" w14:textId="77777777" w:rsidTr="00DE588A">
        <w:trPr>
          <w:trHeight w:val="68"/>
          <w:jc w:val="center"/>
        </w:trPr>
        <w:tc>
          <w:tcPr>
            <w:tcW w:w="8782"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 xml:space="preserve">Guest </w:t>
            </w:r>
            <w:proofErr w:type="spellStart"/>
            <w:r w:rsidRPr="0044071E">
              <w:rPr>
                <w:rFonts w:ascii="Tahoma" w:hAnsi="Tahoma" w:cs="Tahoma"/>
                <w:iCs/>
                <w:color w:val="333333"/>
                <w:sz w:val="14"/>
                <w:szCs w:val="14"/>
                <w:lang w:val="it-IT" w:eastAsia="it-IT"/>
              </w:rPr>
              <w:t>Editors</w:t>
            </w:r>
            <w:proofErr w:type="spellEnd"/>
            <w:r w:rsidRPr="0044071E">
              <w:rPr>
                <w:rFonts w:ascii="Tahoma" w:hAnsi="Tahoma" w:cs="Tahoma"/>
                <w:iCs/>
                <w:color w:val="333333"/>
                <w:sz w:val="14"/>
                <w:szCs w:val="14"/>
                <w:lang w:val="it-IT" w:eastAsia="it-IT"/>
              </w:rPr>
              <w:t>:</w:t>
            </w:r>
            <w:r w:rsidR="001D21AF" w:rsidRPr="0044071E">
              <w:rPr>
                <w:rFonts w:ascii="Tahoma" w:hAnsi="Tahoma" w:cs="Tahoma"/>
                <w:color w:val="000000"/>
                <w:sz w:val="14"/>
                <w:szCs w:val="14"/>
                <w:shd w:val="clear" w:color="auto" w:fill="FFFFFF"/>
                <w:lang w:val="it-IT"/>
              </w:rPr>
              <w:t xml:space="preserve"> Rubens </w:t>
            </w:r>
            <w:proofErr w:type="spellStart"/>
            <w:r w:rsidR="001D21AF" w:rsidRPr="0044071E">
              <w:rPr>
                <w:rFonts w:ascii="Tahoma" w:hAnsi="Tahoma" w:cs="Tahoma"/>
                <w:color w:val="000000"/>
                <w:sz w:val="14"/>
                <w:szCs w:val="14"/>
                <w:shd w:val="clear" w:color="auto" w:fill="FFFFFF"/>
                <w:lang w:val="it-IT"/>
              </w:rPr>
              <w:t>Maciel</w:t>
            </w:r>
            <w:proofErr w:type="spellEnd"/>
            <w:r w:rsidR="001D21AF" w:rsidRPr="0044071E">
              <w:rPr>
                <w:rFonts w:ascii="Tahoma" w:hAnsi="Tahoma" w:cs="Tahoma"/>
                <w:color w:val="000000"/>
                <w:sz w:val="14"/>
                <w:szCs w:val="14"/>
                <w:shd w:val="clear" w:color="auto" w:fill="FFFFFF"/>
                <w:lang w:val="it-IT"/>
              </w:rPr>
              <w:t xml:space="preserve"> </w:t>
            </w:r>
            <w:proofErr w:type="spellStart"/>
            <w:r w:rsidR="001D21AF" w:rsidRPr="0044071E">
              <w:rPr>
                <w:rFonts w:ascii="Tahoma" w:hAnsi="Tahoma" w:cs="Tahoma"/>
                <w:color w:val="000000"/>
                <w:sz w:val="14"/>
                <w:szCs w:val="14"/>
                <w:shd w:val="clear" w:color="auto" w:fill="FFFFFF"/>
                <w:lang w:val="it-IT"/>
              </w:rPr>
              <w:t>Filho</w:t>
            </w:r>
            <w:proofErr w:type="spellEnd"/>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xml:space="preserve">, Leonardo </w:t>
            </w:r>
            <w:proofErr w:type="spellStart"/>
            <w:r w:rsidR="00964A45">
              <w:rPr>
                <w:rFonts w:ascii="Tahoma" w:hAnsi="Tahoma" w:cs="Tahoma"/>
                <w:color w:val="000000"/>
                <w:sz w:val="14"/>
                <w:szCs w:val="14"/>
                <w:shd w:val="clear" w:color="auto" w:fill="FFFFFF"/>
                <w:lang w:val="it-IT"/>
              </w:rPr>
              <w:t>Tognotti</w:t>
            </w:r>
            <w:proofErr w:type="spellEnd"/>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307D188" w:rsidR="00E978D0" w:rsidRPr="003845AB" w:rsidRDefault="00FA340C" w:rsidP="00E978D0">
      <w:pPr>
        <w:pStyle w:val="CETTitle"/>
      </w:pPr>
      <w:r w:rsidRPr="003845AB">
        <w:t>Brewer</w:t>
      </w:r>
      <w:r>
        <w:t>'</w:t>
      </w:r>
      <w:r w:rsidRPr="003845AB">
        <w:t xml:space="preserve">s </w:t>
      </w:r>
      <w:r w:rsidR="003845AB" w:rsidRPr="003845AB">
        <w:t>spent grain: its v</w:t>
      </w:r>
      <w:r w:rsidR="003845AB">
        <w:t>alue as renewable biomass and its possible applications</w:t>
      </w:r>
    </w:p>
    <w:p w14:paraId="0488FED2" w14:textId="74FE63D8" w:rsidR="00B57E6F" w:rsidRPr="00DE588A" w:rsidRDefault="00861537" w:rsidP="00B57E6F">
      <w:pPr>
        <w:pStyle w:val="CETAuthors"/>
        <w:rPr>
          <w:lang w:val="it-IT"/>
        </w:rPr>
      </w:pPr>
      <w:r w:rsidRPr="00DE588A">
        <w:rPr>
          <w:lang w:val="it-IT"/>
        </w:rPr>
        <w:t>Silvia Lisci</w:t>
      </w:r>
      <w:r w:rsidR="00AB2BD4" w:rsidRPr="00DE588A">
        <w:rPr>
          <w:vertAlign w:val="superscript"/>
          <w:lang w:val="it-IT"/>
        </w:rPr>
        <w:t>a</w:t>
      </w:r>
      <w:r w:rsidR="00B57E6F" w:rsidRPr="00DE588A">
        <w:rPr>
          <w:lang w:val="it-IT"/>
        </w:rPr>
        <w:t xml:space="preserve">, </w:t>
      </w:r>
      <w:r w:rsidR="007923DC" w:rsidRPr="00DE588A">
        <w:rPr>
          <w:lang w:val="it-IT"/>
        </w:rPr>
        <w:t>Stefania Tronci</w:t>
      </w:r>
      <w:r w:rsidR="00AB2BD4" w:rsidRPr="00DE588A">
        <w:rPr>
          <w:vertAlign w:val="superscript"/>
          <w:lang w:val="it-IT"/>
        </w:rPr>
        <w:t>a</w:t>
      </w:r>
      <w:r w:rsidR="00B57E6F" w:rsidRPr="00DE588A">
        <w:rPr>
          <w:lang w:val="it-IT"/>
        </w:rPr>
        <w:t>,</w:t>
      </w:r>
      <w:r w:rsidR="00994ABD" w:rsidRPr="00DE588A">
        <w:rPr>
          <w:lang w:val="it-IT"/>
        </w:rPr>
        <w:t xml:space="preserve"> Massimiliano Grosso</w:t>
      </w:r>
      <w:r w:rsidR="00AB2BD4" w:rsidRPr="00DE588A">
        <w:rPr>
          <w:vertAlign w:val="superscript"/>
          <w:lang w:val="it-IT"/>
        </w:rPr>
        <w:t>a</w:t>
      </w:r>
      <w:r w:rsidR="0058353A" w:rsidRPr="00DE588A">
        <w:rPr>
          <w:lang w:val="it-IT"/>
        </w:rPr>
        <w:t>, Henrik Karring</w:t>
      </w:r>
      <w:r w:rsidR="00AB2BD4" w:rsidRPr="00DE588A">
        <w:rPr>
          <w:vertAlign w:val="superscript"/>
          <w:lang w:val="it-IT"/>
        </w:rPr>
        <w:t>b</w:t>
      </w:r>
      <w:r w:rsidR="0058353A" w:rsidRPr="00DE588A">
        <w:rPr>
          <w:lang w:val="it-IT"/>
        </w:rPr>
        <w:t>, Ron H</w:t>
      </w:r>
      <w:r w:rsidR="00EF5902" w:rsidRPr="00DE588A">
        <w:rPr>
          <w:lang w:val="it-IT"/>
        </w:rPr>
        <w:t>ajrizaj</w:t>
      </w:r>
      <w:r w:rsidR="00AB2BD4" w:rsidRPr="00DE588A">
        <w:rPr>
          <w:vertAlign w:val="superscript"/>
          <w:lang w:val="it-IT"/>
        </w:rPr>
        <w:t>b</w:t>
      </w:r>
      <w:r w:rsidR="00810EBE" w:rsidRPr="00DE588A">
        <w:rPr>
          <w:lang w:val="it-IT"/>
        </w:rPr>
        <w:t>, Massimiliano Errico</w:t>
      </w:r>
      <w:r w:rsidR="00AB2BD4" w:rsidRPr="00DE588A">
        <w:rPr>
          <w:vertAlign w:val="superscript"/>
          <w:lang w:val="it-IT"/>
        </w:rPr>
        <w:t>b</w:t>
      </w:r>
      <w:r w:rsidR="00510DAC" w:rsidRPr="00DE588A">
        <w:rPr>
          <w:vertAlign w:val="superscript"/>
          <w:lang w:val="it-IT"/>
        </w:rPr>
        <w:t>,</w:t>
      </w:r>
      <w:r w:rsidR="00510DAC" w:rsidRPr="00DE588A">
        <w:rPr>
          <w:rFonts w:cs="Arial"/>
          <w:vertAlign w:val="superscript"/>
          <w:lang w:val="it-IT"/>
        </w:rPr>
        <w:t>*</w:t>
      </w:r>
      <w:r w:rsidR="00B57E6F" w:rsidRPr="00DE588A">
        <w:rPr>
          <w:lang w:val="it-IT"/>
        </w:rPr>
        <w:t xml:space="preserve"> </w:t>
      </w:r>
    </w:p>
    <w:p w14:paraId="6B2D21B3" w14:textId="2E675744" w:rsidR="00B57E6F" w:rsidRPr="00DE588A" w:rsidRDefault="00B57E6F" w:rsidP="00B57E6F">
      <w:pPr>
        <w:pStyle w:val="CETAddress"/>
        <w:rPr>
          <w:lang w:val="it-IT"/>
        </w:rPr>
      </w:pPr>
      <w:r w:rsidRPr="00DE588A">
        <w:rPr>
          <w:vertAlign w:val="superscript"/>
          <w:lang w:val="it-IT"/>
        </w:rPr>
        <w:t>a</w:t>
      </w:r>
      <w:r w:rsidR="00AB2BD4" w:rsidRPr="00DE588A">
        <w:rPr>
          <w:lang w:val="it-IT"/>
        </w:rPr>
        <w:t>Universit</w:t>
      </w:r>
      <w:r w:rsidR="00EC7AC3" w:rsidRPr="00DE588A">
        <w:rPr>
          <w:lang w:val="it-IT"/>
        </w:rPr>
        <w:t>a di Cagliari, Dipartimento di Ingegneria Meccanica, Chimica e dei Materiali, Italy</w:t>
      </w:r>
      <w:r w:rsidRPr="00DE588A">
        <w:rPr>
          <w:lang w:val="it-IT"/>
        </w:rPr>
        <w:t xml:space="preserve"> </w:t>
      </w:r>
    </w:p>
    <w:p w14:paraId="3D72B0B0" w14:textId="6C6D5677" w:rsidR="00B57E6F" w:rsidRPr="00B57B36" w:rsidRDefault="00B57E6F" w:rsidP="00B57E6F">
      <w:pPr>
        <w:pStyle w:val="CETAddress"/>
      </w:pPr>
      <w:r w:rsidRPr="00B57B36">
        <w:rPr>
          <w:vertAlign w:val="superscript"/>
        </w:rPr>
        <w:t>b</w:t>
      </w:r>
      <w:r w:rsidR="00EC7AC3">
        <w:t>University of Southern Denmark, Department of Green Technology, Denmark</w:t>
      </w:r>
      <w:r w:rsidRPr="00B57B36">
        <w:t xml:space="preserve"> </w:t>
      </w:r>
    </w:p>
    <w:p w14:paraId="73F1267A" w14:textId="220086A2" w:rsidR="00B57E6F" w:rsidRPr="00B57B36" w:rsidRDefault="00352DF0" w:rsidP="00B57E6F">
      <w:pPr>
        <w:pStyle w:val="CETemail"/>
      </w:pPr>
      <w:r w:rsidRPr="00FD495B">
        <w:rPr>
          <w:rFonts w:cs="Arial"/>
        </w:rPr>
        <w:t>*</w:t>
      </w:r>
      <w:r w:rsidR="00B40A46">
        <w:t>maer@igt.sdu.dk</w:t>
      </w:r>
      <w:r w:rsidR="00B57E6F" w:rsidRPr="00B57B36">
        <w:t xml:space="preserve"> </w:t>
      </w:r>
    </w:p>
    <w:p w14:paraId="37A61FCE" w14:textId="3043E651" w:rsidR="00DA24C6" w:rsidRDefault="00393EB5" w:rsidP="00D83AEB">
      <w:pPr>
        <w:pStyle w:val="CETListbullets"/>
        <w:ind w:left="0" w:firstLine="0"/>
      </w:pPr>
      <w:r>
        <w:t>C</w:t>
      </w:r>
      <w:r w:rsidR="00486608" w:rsidRPr="00486608">
        <w:t xml:space="preserve">limate change, depletion of fossil resources, constant population growth and increasing energy demand are </w:t>
      </w:r>
      <w:r w:rsidR="00CC441F">
        <w:t>issues of great concer</w:t>
      </w:r>
      <w:r>
        <w:t>n.</w:t>
      </w:r>
      <w:r w:rsidR="00486608" w:rsidRPr="00486608">
        <w:t xml:space="preserve"> </w:t>
      </w:r>
      <w:r>
        <w:t>T</w:t>
      </w:r>
      <w:r w:rsidR="00486608" w:rsidRPr="00486608">
        <w:t xml:space="preserve">he idea of </w:t>
      </w:r>
      <w:r w:rsidR="00CC441F">
        <w:t>valorising</w:t>
      </w:r>
      <w:r w:rsidR="00486608" w:rsidRPr="00486608">
        <w:t xml:space="preserve"> tonnes of industrial waste produced on the planet every year </w:t>
      </w:r>
      <w:r>
        <w:t>appears as a possible pathway for a sustainable growth</w:t>
      </w:r>
      <w:r w:rsidR="00486608" w:rsidRPr="00486608">
        <w:t xml:space="preserve">. Among </w:t>
      </w:r>
      <w:r w:rsidR="00CC441F">
        <w:t>different</w:t>
      </w:r>
      <w:r>
        <w:t xml:space="preserve"> alternatives</w:t>
      </w:r>
      <w:r w:rsidR="00486608" w:rsidRPr="00486608">
        <w:t xml:space="preserve">, lignocellulosic biomasses (LCBs) are the most important, </w:t>
      </w:r>
      <w:proofErr w:type="gramStart"/>
      <w:r w:rsidR="00486608" w:rsidRPr="00486608">
        <w:t>abundant</w:t>
      </w:r>
      <w:proofErr w:type="gramEnd"/>
      <w:r w:rsidR="00486608" w:rsidRPr="00486608">
        <w:t xml:space="preserve"> and cheap resource available. They are obtained from crops and organic agricultural or industrial waste as bio-degradable by</w:t>
      </w:r>
      <w:r w:rsidR="00F95853">
        <w:t>-</w:t>
      </w:r>
      <w:r w:rsidR="00486608" w:rsidRPr="00486608">
        <w:t xml:space="preserve">products. Therefore, LCBs represent a versatile, renewable, widely </w:t>
      </w:r>
      <w:proofErr w:type="gramStart"/>
      <w:r w:rsidR="00486608" w:rsidRPr="00486608">
        <w:t>available</w:t>
      </w:r>
      <w:proofErr w:type="gramEnd"/>
      <w:r w:rsidR="00486608" w:rsidRPr="00486608">
        <w:t xml:space="preserve"> and low-cost raw material that can </w:t>
      </w:r>
      <w:r>
        <w:t xml:space="preserve">be </w:t>
      </w:r>
      <w:r w:rsidR="00486608" w:rsidRPr="00486608">
        <w:t>potentially use</w:t>
      </w:r>
      <w:r>
        <w:t>d</w:t>
      </w:r>
      <w:r w:rsidR="00486608" w:rsidRPr="00486608">
        <w:t xml:space="preserve"> to produce biofuels, new materials and chemical compounds, satisfying the industry</w:t>
      </w:r>
      <w:r w:rsidR="00FA340C">
        <w:t>'</w:t>
      </w:r>
      <w:r w:rsidR="00486608" w:rsidRPr="00486608">
        <w:t xml:space="preserve">s desire to move towards </w:t>
      </w:r>
      <w:r>
        <w:t>a green transition</w:t>
      </w:r>
      <w:r w:rsidR="00486608" w:rsidRPr="00486608">
        <w:t>. The brewery</w:t>
      </w:r>
      <w:r w:rsidR="00FA340C">
        <w:t>'</w:t>
      </w:r>
      <w:r w:rsidR="00486608" w:rsidRPr="00486608">
        <w:t>s spent grain (BSG) is the main by</w:t>
      </w:r>
      <w:r w:rsidR="00F95853">
        <w:t>-</w:t>
      </w:r>
      <w:r w:rsidR="00486608" w:rsidRPr="00486608">
        <w:t>product of the brewing industry (about 85% of total by</w:t>
      </w:r>
      <w:r w:rsidR="00F95853">
        <w:t>-</w:t>
      </w:r>
      <w:r w:rsidR="00486608" w:rsidRPr="00486608">
        <w:t xml:space="preserve">products), generated in </w:t>
      </w:r>
      <w:r w:rsidR="00FA340C">
        <w:t>massiv</w:t>
      </w:r>
      <w:r w:rsidR="00FA340C" w:rsidRPr="00486608">
        <w:t xml:space="preserve">e </w:t>
      </w:r>
      <w:r w:rsidR="00486608" w:rsidRPr="00486608">
        <w:t xml:space="preserve">amounts throughout the year. It represents a raw material with an interesting chemical composition that has shown to have the potential to be used in different industrial exploitations. This </w:t>
      </w:r>
      <w:r w:rsidR="00EF1C3A">
        <w:t>study</w:t>
      </w:r>
      <w:r w:rsidR="00EF1C3A" w:rsidRPr="00486608">
        <w:t xml:space="preserve"> </w:t>
      </w:r>
      <w:r w:rsidR="00FA340C" w:rsidRPr="00486608">
        <w:t>summari</w:t>
      </w:r>
      <w:r w:rsidR="00FA340C">
        <w:t>s</w:t>
      </w:r>
      <w:r w:rsidR="00FA340C" w:rsidRPr="00486608">
        <w:t xml:space="preserve">es </w:t>
      </w:r>
      <w:r w:rsidR="00EF1C3A">
        <w:t xml:space="preserve">some of the relevant </w:t>
      </w:r>
      <w:r w:rsidR="00486608" w:rsidRPr="00486608">
        <w:t>research on BSG</w:t>
      </w:r>
      <w:r w:rsidR="00EF1C3A">
        <w:t xml:space="preserve"> valori</w:t>
      </w:r>
      <w:r w:rsidR="00FA340C">
        <w:t>s</w:t>
      </w:r>
      <w:r w:rsidR="00EF1C3A">
        <w:t>ation</w:t>
      </w:r>
      <w:r w:rsidR="00486608" w:rsidRPr="00486608">
        <w:t xml:space="preserve"> starting from the simplest</w:t>
      </w:r>
      <w:r w:rsidR="00EF1C3A">
        <w:t xml:space="preserve"> case of </w:t>
      </w:r>
      <w:r w:rsidR="00486608" w:rsidRPr="00486608">
        <w:t xml:space="preserve">its use as </w:t>
      </w:r>
      <w:r w:rsidR="00FA340C">
        <w:t xml:space="preserve">an </w:t>
      </w:r>
      <w:r w:rsidR="00486608" w:rsidRPr="00486608">
        <w:t xml:space="preserve">ingredient for animal feed up to the production of biofuels and the </w:t>
      </w:r>
      <w:r w:rsidR="00EF1C3A">
        <w:t>recovery</w:t>
      </w:r>
      <w:r w:rsidR="00EF1C3A" w:rsidRPr="00486608">
        <w:t xml:space="preserve"> </w:t>
      </w:r>
      <w:r w:rsidR="00486608" w:rsidRPr="00486608">
        <w:t xml:space="preserve">of value-added compounds. </w:t>
      </w:r>
    </w:p>
    <w:p w14:paraId="658ECCEE" w14:textId="4A5E4A3C" w:rsidR="00486608" w:rsidRPr="00A072C5" w:rsidRDefault="00600535" w:rsidP="00486608">
      <w:pPr>
        <w:pStyle w:val="CETHeading1"/>
        <w:rPr>
          <w:lang w:val="en-GB"/>
        </w:rPr>
      </w:pPr>
      <w:r w:rsidRPr="00B57B36">
        <w:rPr>
          <w:lang w:val="en-GB"/>
        </w:rPr>
        <w:t>Introduction</w:t>
      </w:r>
    </w:p>
    <w:p w14:paraId="30DE5107" w14:textId="725B6ECA" w:rsidR="00486608" w:rsidRDefault="00486608" w:rsidP="00486608">
      <w:pPr>
        <w:pStyle w:val="CETBodytext"/>
      </w:pPr>
      <w:r>
        <w:t xml:space="preserve">In recent years there has been a growing awareness of human actions and how they impact the environment. In a world increasingly affected by </w:t>
      </w:r>
      <w:r w:rsidR="00E552E6">
        <w:t>environmental issues</w:t>
      </w:r>
      <w:r>
        <w:t xml:space="preserve"> and unprecedented population growth, the possibility of recycling industrial wastes as </w:t>
      </w:r>
      <w:r w:rsidR="007E048B">
        <w:t>re</w:t>
      </w:r>
      <w:r>
        <w:t>source</w:t>
      </w:r>
      <w:r w:rsidR="007E048B">
        <w:t>s</w:t>
      </w:r>
      <w:r>
        <w:t xml:space="preserve"> of </w:t>
      </w:r>
      <w:r w:rsidR="007E048B">
        <w:t>raw material</w:t>
      </w:r>
      <w:r>
        <w:t xml:space="preserve"> is becoming more and more popular</w:t>
      </w:r>
      <w:r w:rsidR="007E048B">
        <w:t xml:space="preserve">. </w:t>
      </w:r>
      <w:r>
        <w:t xml:space="preserve">The main </w:t>
      </w:r>
      <w:r w:rsidR="00EF1C3A">
        <w:t xml:space="preserve">principle </w:t>
      </w:r>
      <w:r>
        <w:t>is to</w:t>
      </w:r>
      <w:r w:rsidR="00A36817">
        <w:t xml:space="preserve"> </w:t>
      </w:r>
      <w:proofErr w:type="spellStart"/>
      <w:r w:rsidR="00FA340C">
        <w:t>valorise</w:t>
      </w:r>
      <w:proofErr w:type="spellEnd"/>
      <w:r w:rsidR="00FA340C">
        <w:t xml:space="preserve"> </w:t>
      </w:r>
      <w:r w:rsidR="00A36817">
        <w:t xml:space="preserve">wastes and exploit them </w:t>
      </w:r>
      <w:r w:rsidR="004847EC">
        <w:t xml:space="preserve">in a wide range of industrial sectors such as the production of </w:t>
      </w:r>
      <w:r w:rsidR="004C2EF4">
        <w:t>bio</w:t>
      </w:r>
      <w:r w:rsidR="004847EC">
        <w:t>chemicals</w:t>
      </w:r>
      <w:r w:rsidR="004C2EF4">
        <w:t xml:space="preserve">, food ingredients, </w:t>
      </w:r>
      <w:proofErr w:type="gramStart"/>
      <w:r w:rsidR="004C2EF4">
        <w:t>nutraceuticals</w:t>
      </w:r>
      <w:proofErr w:type="gramEnd"/>
      <w:r w:rsidR="004C2EF4">
        <w:t xml:space="preserve"> and biofuels. </w:t>
      </w:r>
      <w:r w:rsidR="00D9612A">
        <w:t xml:space="preserve">Significant quantities of waste are produced every day </w:t>
      </w:r>
      <w:r w:rsidR="00FA340C">
        <w:t>worldwide</w:t>
      </w:r>
      <w:r w:rsidR="00D9612A">
        <w:t xml:space="preserve">, creating environmental </w:t>
      </w:r>
      <w:r w:rsidR="00EF1C3A">
        <w:t>and</w:t>
      </w:r>
      <w:r w:rsidR="00D9612A">
        <w:t xml:space="preserve"> social problems. </w:t>
      </w:r>
      <w:r w:rsidR="00B30917">
        <w:t>The recovery and conversion of th</w:t>
      </w:r>
      <w:r w:rsidR="00EF1C3A">
        <w:t>e</w:t>
      </w:r>
      <w:r w:rsidR="00B30917">
        <w:t>s</w:t>
      </w:r>
      <w:r w:rsidR="00EF1C3A">
        <w:t xml:space="preserve">e </w:t>
      </w:r>
      <w:r w:rsidR="00B30917">
        <w:t>waste</w:t>
      </w:r>
      <w:r w:rsidR="00EF1C3A">
        <w:t>s</w:t>
      </w:r>
      <w:r w:rsidR="00B30917">
        <w:t xml:space="preserve"> would be a</w:t>
      </w:r>
      <w:r w:rsidR="00FA340C">
        <w:t>n attempt to achieve</w:t>
      </w:r>
      <w:r w:rsidR="00B30917">
        <w:t xml:space="preserve"> a greener policy oriented towards a sustainable circular economy. In this way, the problem of disposing of by-products, which would otherwise be landfilled or incinerated, would be solved. </w:t>
      </w:r>
      <w:r w:rsidR="00E552E6">
        <w:t xml:space="preserve">In this scenario, lignocellulosic biomass is </w:t>
      </w:r>
      <w:r w:rsidR="00FA340C">
        <w:t xml:space="preserve">undoubtedly </w:t>
      </w:r>
      <w:r w:rsidR="00E552E6">
        <w:t>one of the most important waste</w:t>
      </w:r>
      <w:r w:rsidR="006841D4">
        <w:t>s</w:t>
      </w:r>
      <w:r w:rsidR="00E552E6">
        <w:t xml:space="preserve"> generated by human activity every year</w:t>
      </w:r>
      <w:r w:rsidR="006841D4">
        <w:t xml:space="preserve"> or easily available in the environment</w:t>
      </w:r>
      <w:r w:rsidR="00E552E6">
        <w:t>.</w:t>
      </w:r>
      <w:r w:rsidR="004847EC">
        <w:t xml:space="preserve"> </w:t>
      </w:r>
      <w:r w:rsidR="006841D4">
        <w:t>It was estimated that</w:t>
      </w:r>
      <w:r>
        <w:t xml:space="preserve"> lignocellulosic biomass production reaches 200 billion tons/year</w:t>
      </w:r>
      <w:r w:rsidR="00E552E6">
        <w:t xml:space="preserve"> (</w:t>
      </w:r>
      <w:proofErr w:type="spellStart"/>
      <w:r w:rsidR="00E552E6">
        <w:t>Mankar</w:t>
      </w:r>
      <w:proofErr w:type="spellEnd"/>
      <w:r w:rsidR="00E552E6">
        <w:t xml:space="preserve"> et al., 2021)</w:t>
      </w:r>
      <w:r>
        <w:t>. Th</w:t>
      </w:r>
      <w:r w:rsidR="006841D4">
        <w:t>is estimate</w:t>
      </w:r>
      <w:r>
        <w:t xml:space="preserve">, combined with the fact that it is a natural and cheap raw material, are important factors encouraging its use </w:t>
      </w:r>
      <w:r w:rsidR="00214C16">
        <w:t>in different applications such as</w:t>
      </w:r>
      <w:r>
        <w:t xml:space="preserve"> </w:t>
      </w:r>
      <w:r w:rsidR="00214C16">
        <w:t>the manufacturing of</w:t>
      </w:r>
      <w:r>
        <w:t xml:space="preserve"> biofuels, new </w:t>
      </w:r>
      <w:proofErr w:type="gramStart"/>
      <w:r>
        <w:t>materials</w:t>
      </w:r>
      <w:proofErr w:type="gramEnd"/>
      <w:r>
        <w:t xml:space="preserve"> and chemical compounds</w:t>
      </w:r>
      <w:r w:rsidR="00214C16">
        <w:t xml:space="preserve">. </w:t>
      </w:r>
      <w:r>
        <w:t>Brewer</w:t>
      </w:r>
      <w:r w:rsidR="00FA340C">
        <w:t>'</w:t>
      </w:r>
      <w:r>
        <w:t xml:space="preserve">s spent grain is the main insoluble solid by-product generated during beer production and after wort extraction. It represents about 85% of the total by-products. </w:t>
      </w:r>
      <w:r w:rsidR="00FA340C">
        <w:t>Ikram et al. (2017) reported that</w:t>
      </w:r>
      <w:r>
        <w:t xml:space="preserve"> the amount of BSG produced annually by the brewing industry in the European Union is about 3.4 million tons, while global production reaches 39 million tons (</w:t>
      </w:r>
      <w:proofErr w:type="spellStart"/>
      <w:r>
        <w:t>Birsan</w:t>
      </w:r>
      <w:proofErr w:type="spellEnd"/>
      <w:r>
        <w:t xml:space="preserve"> et al, 2019). 100 kg of malt gives approximately 100-130 kg of fresh BSG, with a moisture content of 70-80%, equivalent to around 20 kg of BSG per 100 L of brewed beer. BSG is composed of the barley malt husk, </w:t>
      </w:r>
      <w:proofErr w:type="gramStart"/>
      <w:r>
        <w:t>pericarp</w:t>
      </w:r>
      <w:proofErr w:type="gramEnd"/>
      <w:r>
        <w:t xml:space="preserve"> and seed coat, </w:t>
      </w:r>
      <w:r w:rsidR="00FA340C">
        <w:t>containing</w:t>
      </w:r>
      <w:r>
        <w:t xml:space="preserve"> nutrients that are not extracted during the mashing and malting processes. Factors such as the type and quality of grain used can influence its composition, but also the malting and mashing conditions and the </w:t>
      </w:r>
      <w:r>
        <w:lastRenderedPageBreak/>
        <w:t>harvest time. Despite this</w:t>
      </w:r>
      <w:r w:rsidR="00FA340C">
        <w:t>,</w:t>
      </w:r>
      <w:r>
        <w:t xml:space="preserve"> its composition generally includes high levels of dietary fiber, protein, essential amino acids, as well as minerals, polyphenols, </w:t>
      </w:r>
      <w:proofErr w:type="gramStart"/>
      <w:r>
        <w:t>vitamins</w:t>
      </w:r>
      <w:proofErr w:type="gramEnd"/>
      <w:r>
        <w:t xml:space="preserve"> and lipids. Bianco et al. (2020) </w:t>
      </w:r>
      <w:r w:rsidR="00FD495B">
        <w:t xml:space="preserve">reported </w:t>
      </w:r>
      <w:r>
        <w:t>that 70% of the BSG produced is used for animal feed as this is the main and the quickest alternative, 10% for biogas production</w:t>
      </w:r>
      <w:r w:rsidR="00FA340C">
        <w:t>,</w:t>
      </w:r>
      <w:r>
        <w:t xml:space="preserve"> and the remaining 20% is landfilled. </w:t>
      </w:r>
      <w:r w:rsidR="00F75FF8">
        <w:t xml:space="preserve">Today, </w:t>
      </w:r>
      <w:r>
        <w:t>with the new agricultural and eco-political circumstances aimed at solving the logistical problem of the disposal of this by</w:t>
      </w:r>
      <w:r w:rsidR="00FA340C">
        <w:t>-</w:t>
      </w:r>
      <w:r>
        <w:t>product, there is a growing interest in possible alternative methods of using it. These include the production of biofuels, but also its use in human food, as ingredient or using value-added components extracted from it, or in non-food products such as pharmaceuticals, cosmetics, construction of food packaging (</w:t>
      </w:r>
      <w:proofErr w:type="spellStart"/>
      <w:r>
        <w:t>Chetrariu</w:t>
      </w:r>
      <w:proofErr w:type="spellEnd"/>
      <w:r>
        <w:t xml:space="preserve"> and </w:t>
      </w:r>
      <w:proofErr w:type="spellStart"/>
      <w:r>
        <w:t>Dabija</w:t>
      </w:r>
      <w:proofErr w:type="spellEnd"/>
      <w:r>
        <w:t xml:space="preserve">, 2020). </w:t>
      </w:r>
      <w:r w:rsidR="002B1E37">
        <w:t>In this study</w:t>
      </w:r>
      <w:r w:rsidR="00FA340C">
        <w:t>,</w:t>
      </w:r>
      <w:r w:rsidR="002B1E37">
        <w:t xml:space="preserve"> relevant </w:t>
      </w:r>
      <w:r w:rsidR="0085596B">
        <w:t>literature on BSG</w:t>
      </w:r>
      <w:r w:rsidR="002B1E37">
        <w:t xml:space="preserve"> has been reviewed</w:t>
      </w:r>
      <w:r w:rsidR="0085596B">
        <w:t xml:space="preserve">, highlighting its properties in terms of composition and its potential applications. In particular, the focus </w:t>
      </w:r>
      <w:r w:rsidR="002B1E37">
        <w:t>is</w:t>
      </w:r>
      <w:r w:rsidR="0085596B">
        <w:t xml:space="preserve"> on its use as food or food additive in both animal and human diet, </w:t>
      </w:r>
      <w:r w:rsidR="007236A2">
        <w:t>in the production of bioethanol</w:t>
      </w:r>
      <w:r w:rsidR="00B67BE9">
        <w:t>,</w:t>
      </w:r>
      <w:r w:rsidR="007236A2">
        <w:t xml:space="preserve"> </w:t>
      </w:r>
      <w:r w:rsidR="009C60E0">
        <w:t xml:space="preserve">for </w:t>
      </w:r>
      <w:r w:rsidR="007236A2">
        <w:t xml:space="preserve">the recovery of </w:t>
      </w:r>
      <w:r w:rsidR="00B47CFA">
        <w:t>phenolics</w:t>
      </w:r>
      <w:r w:rsidR="007236A2">
        <w:t xml:space="preserve"> </w:t>
      </w:r>
      <w:r w:rsidR="002B1E37">
        <w:t>compounds</w:t>
      </w:r>
      <w:r w:rsidR="00B67BE9">
        <w:t xml:space="preserve">, and </w:t>
      </w:r>
      <w:r w:rsidR="00236DB3">
        <w:t>as energy source</w:t>
      </w:r>
      <w:r w:rsidR="007236A2">
        <w:t xml:space="preserve">. The most recent studies </w:t>
      </w:r>
      <w:r w:rsidR="002B1E37">
        <w:t>are</w:t>
      </w:r>
      <w:r w:rsidR="007236A2">
        <w:t xml:space="preserve"> reported and </w:t>
      </w:r>
      <w:r w:rsidR="00A90507">
        <w:t xml:space="preserve">discussed.  </w:t>
      </w:r>
    </w:p>
    <w:p w14:paraId="216423A1" w14:textId="51DB9A3E" w:rsidR="00304D66" w:rsidRPr="005C6F14" w:rsidRDefault="00304D66" w:rsidP="00FD495B">
      <w:pPr>
        <w:pStyle w:val="CETTabletitle"/>
      </w:pPr>
      <w:r>
        <w:t xml:space="preserve">Table </w:t>
      </w:r>
      <w:r>
        <w:fldChar w:fldCharType="begin"/>
      </w:r>
      <w:r>
        <w:instrText xml:space="preserve"> SEQ Table \* ARABIC </w:instrText>
      </w:r>
      <w:r>
        <w:fldChar w:fldCharType="separate"/>
      </w:r>
      <w:r>
        <w:rPr>
          <w:noProof/>
        </w:rPr>
        <w:t>1</w:t>
      </w:r>
      <w:r>
        <w:fldChar w:fldCharType="end"/>
      </w:r>
      <w:r>
        <w:t>: Chemical composition of brewer</w:t>
      </w:r>
      <w:r w:rsidR="00FA340C">
        <w:t>'</w:t>
      </w:r>
      <w:r>
        <w:t>s spent grain (BSG) on a dry weight basis.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04"/>
        <w:gridCol w:w="1673"/>
        <w:gridCol w:w="1559"/>
        <w:gridCol w:w="1843"/>
        <w:gridCol w:w="2268"/>
      </w:tblGrid>
      <w:tr w:rsidR="00304D66" w:rsidRPr="00B57B36" w14:paraId="5BAFDA64" w14:textId="77777777" w:rsidTr="000C0E84">
        <w:tc>
          <w:tcPr>
            <w:tcW w:w="1304" w:type="dxa"/>
            <w:tcBorders>
              <w:top w:val="single" w:sz="12" w:space="0" w:color="008000"/>
              <w:bottom w:val="single" w:sz="6" w:space="0" w:color="008000"/>
            </w:tcBorders>
            <w:shd w:val="clear" w:color="auto" w:fill="FFFFFF"/>
          </w:tcPr>
          <w:p w14:paraId="7BC8A6E1" w14:textId="77777777" w:rsidR="00304D66" w:rsidRDefault="00304D66" w:rsidP="000C0E84">
            <w:pPr>
              <w:pStyle w:val="CETBodytext"/>
              <w:rPr>
                <w:lang w:val="en-GB"/>
              </w:rPr>
            </w:pPr>
            <w:r>
              <w:rPr>
                <w:lang w:val="en-GB"/>
              </w:rPr>
              <w:t xml:space="preserve">Components </w:t>
            </w:r>
          </w:p>
          <w:p w14:paraId="5BB6F934" w14:textId="77777777" w:rsidR="00304D66" w:rsidRPr="00B57B36" w:rsidRDefault="00304D66" w:rsidP="000C0E84">
            <w:pPr>
              <w:pStyle w:val="CETBodytext"/>
              <w:rPr>
                <w:lang w:val="en-GB"/>
              </w:rPr>
            </w:pPr>
            <w:r>
              <w:rPr>
                <w:lang w:val="en-GB"/>
              </w:rPr>
              <w:t xml:space="preserve">[g </w:t>
            </w:r>
            <w:proofErr w:type="gramStart"/>
            <w:r>
              <w:rPr>
                <w:lang w:val="en-GB"/>
              </w:rPr>
              <w:t>kg</w:t>
            </w:r>
            <w:r w:rsidRPr="003A4FC0">
              <w:rPr>
                <w:vertAlign w:val="superscript"/>
                <w:lang w:val="en-GB"/>
              </w:rPr>
              <w:t>-1</w:t>
            </w:r>
            <w:proofErr w:type="gramEnd"/>
            <w:r>
              <w:rPr>
                <w:lang w:val="en-GB"/>
              </w:rPr>
              <w:t>]</w:t>
            </w:r>
            <w:r w:rsidRPr="00B57B36">
              <w:rPr>
                <w:lang w:val="en-GB"/>
              </w:rPr>
              <w:t xml:space="preserve"> </w:t>
            </w:r>
          </w:p>
        </w:tc>
        <w:tc>
          <w:tcPr>
            <w:tcW w:w="1673" w:type="dxa"/>
            <w:tcBorders>
              <w:top w:val="single" w:sz="12" w:space="0" w:color="008000"/>
              <w:bottom w:val="single" w:sz="6" w:space="0" w:color="008000"/>
            </w:tcBorders>
            <w:shd w:val="clear" w:color="auto" w:fill="FFFFFF"/>
          </w:tcPr>
          <w:p w14:paraId="15831649" w14:textId="77777777" w:rsidR="00304D66" w:rsidRPr="00B57B36" w:rsidRDefault="00304D66" w:rsidP="000C0E84">
            <w:pPr>
              <w:pStyle w:val="CETBodytext"/>
              <w:jc w:val="left"/>
              <w:rPr>
                <w:lang w:val="en-GB"/>
              </w:rPr>
            </w:pPr>
            <w:r>
              <w:rPr>
                <w:lang w:val="en-GB"/>
              </w:rPr>
              <w:t>(</w:t>
            </w:r>
            <w:proofErr w:type="spellStart"/>
            <w:r>
              <w:rPr>
                <w:lang w:val="en-GB"/>
              </w:rPr>
              <w:t>Mussatto</w:t>
            </w:r>
            <w:proofErr w:type="spellEnd"/>
            <w:r>
              <w:rPr>
                <w:lang w:val="en-GB"/>
              </w:rPr>
              <w:t xml:space="preserve"> and Roberto, 2006)</w:t>
            </w:r>
          </w:p>
        </w:tc>
        <w:tc>
          <w:tcPr>
            <w:tcW w:w="1559" w:type="dxa"/>
            <w:tcBorders>
              <w:top w:val="single" w:sz="12" w:space="0" w:color="008000"/>
              <w:bottom w:val="single" w:sz="6" w:space="0" w:color="008000"/>
            </w:tcBorders>
            <w:shd w:val="clear" w:color="auto" w:fill="FFFFFF"/>
          </w:tcPr>
          <w:p w14:paraId="60FAB28E" w14:textId="77777777" w:rsidR="00304D66" w:rsidRPr="00B57B36" w:rsidRDefault="00304D66" w:rsidP="000C0E84">
            <w:pPr>
              <w:pStyle w:val="CETBodytext"/>
              <w:rPr>
                <w:lang w:val="en-GB"/>
              </w:rPr>
            </w:pPr>
            <w:r>
              <w:rPr>
                <w:lang w:val="en-GB"/>
              </w:rPr>
              <w:t>(</w:t>
            </w:r>
            <w:proofErr w:type="spellStart"/>
            <w:r>
              <w:rPr>
                <w:lang w:val="en-GB"/>
              </w:rPr>
              <w:t>Xiros</w:t>
            </w:r>
            <w:proofErr w:type="spellEnd"/>
            <w:r>
              <w:rPr>
                <w:lang w:val="en-GB"/>
              </w:rPr>
              <w:t xml:space="preserve"> et al., 2008)</w:t>
            </w:r>
          </w:p>
        </w:tc>
        <w:tc>
          <w:tcPr>
            <w:tcW w:w="1843" w:type="dxa"/>
            <w:tcBorders>
              <w:top w:val="single" w:sz="12" w:space="0" w:color="008000"/>
              <w:bottom w:val="single" w:sz="6" w:space="0" w:color="008000"/>
            </w:tcBorders>
            <w:shd w:val="clear" w:color="auto" w:fill="FFFFFF"/>
          </w:tcPr>
          <w:p w14:paraId="0CA0C8BB" w14:textId="77777777" w:rsidR="00304D66" w:rsidRPr="00B57B36" w:rsidRDefault="00304D66" w:rsidP="000C0E84">
            <w:pPr>
              <w:pStyle w:val="CETBodytext"/>
              <w:ind w:right="-1"/>
              <w:rPr>
                <w:rFonts w:cs="Arial"/>
                <w:szCs w:val="18"/>
                <w:lang w:val="en-GB"/>
              </w:rPr>
            </w:pPr>
            <w:r>
              <w:rPr>
                <w:rFonts w:cs="Arial"/>
                <w:szCs w:val="18"/>
                <w:lang w:val="en-GB"/>
              </w:rPr>
              <w:t>(Waters et al., 2012)</w:t>
            </w:r>
          </w:p>
        </w:tc>
        <w:tc>
          <w:tcPr>
            <w:tcW w:w="2268" w:type="dxa"/>
            <w:tcBorders>
              <w:top w:val="single" w:sz="12" w:space="0" w:color="008000"/>
              <w:bottom w:val="single" w:sz="6" w:space="0" w:color="008000"/>
            </w:tcBorders>
            <w:shd w:val="clear" w:color="auto" w:fill="FFFFFF"/>
          </w:tcPr>
          <w:p w14:paraId="0F416AEE" w14:textId="77777777" w:rsidR="00304D66" w:rsidRPr="00B57B36" w:rsidRDefault="00304D66" w:rsidP="000C0E84">
            <w:pPr>
              <w:pStyle w:val="CETBodytext"/>
              <w:ind w:right="-1"/>
              <w:rPr>
                <w:rFonts w:cs="Arial"/>
                <w:szCs w:val="18"/>
                <w:lang w:val="en-GB"/>
              </w:rPr>
            </w:pPr>
            <w:r>
              <w:rPr>
                <w:rFonts w:cs="Arial"/>
                <w:szCs w:val="18"/>
                <w:lang w:val="en-GB"/>
              </w:rPr>
              <w:t>(</w:t>
            </w:r>
            <w:proofErr w:type="spellStart"/>
            <w:r>
              <w:rPr>
                <w:rFonts w:cs="Arial"/>
                <w:szCs w:val="18"/>
                <w:lang w:val="en-GB"/>
              </w:rPr>
              <w:t>Meneses</w:t>
            </w:r>
            <w:proofErr w:type="spellEnd"/>
            <w:r>
              <w:rPr>
                <w:rFonts w:cs="Arial"/>
                <w:szCs w:val="18"/>
                <w:lang w:val="en-GB"/>
              </w:rPr>
              <w:t xml:space="preserve"> et al., 2013)</w:t>
            </w:r>
          </w:p>
        </w:tc>
      </w:tr>
      <w:tr w:rsidR="00304D66" w:rsidRPr="00B57B36" w14:paraId="09A35B42" w14:textId="77777777" w:rsidTr="000C0E84">
        <w:tc>
          <w:tcPr>
            <w:tcW w:w="1304" w:type="dxa"/>
            <w:shd w:val="clear" w:color="auto" w:fill="FFFFFF"/>
          </w:tcPr>
          <w:p w14:paraId="045A156F" w14:textId="77777777" w:rsidR="00304D66" w:rsidRPr="00B57B36" w:rsidRDefault="00304D66" w:rsidP="000C0E84">
            <w:pPr>
              <w:pStyle w:val="CETBodytext"/>
              <w:rPr>
                <w:lang w:val="en-GB"/>
              </w:rPr>
            </w:pPr>
            <w:r>
              <w:rPr>
                <w:lang w:val="en-GB"/>
              </w:rPr>
              <w:t>Cellulose</w:t>
            </w:r>
          </w:p>
        </w:tc>
        <w:tc>
          <w:tcPr>
            <w:tcW w:w="1673" w:type="dxa"/>
            <w:shd w:val="clear" w:color="auto" w:fill="FFFFFF"/>
          </w:tcPr>
          <w:p w14:paraId="0EF4F468" w14:textId="77777777" w:rsidR="00304D66" w:rsidRPr="00B57B36" w:rsidRDefault="00304D66" w:rsidP="000C0E84">
            <w:pPr>
              <w:pStyle w:val="CETBodytext"/>
              <w:rPr>
                <w:lang w:val="en-GB"/>
              </w:rPr>
            </w:pPr>
            <w:r>
              <w:rPr>
                <w:lang w:val="en-GB"/>
              </w:rPr>
              <w:t>167.8</w:t>
            </w:r>
          </w:p>
        </w:tc>
        <w:tc>
          <w:tcPr>
            <w:tcW w:w="1559" w:type="dxa"/>
            <w:shd w:val="clear" w:color="auto" w:fill="FFFFFF"/>
          </w:tcPr>
          <w:p w14:paraId="6650EC48" w14:textId="77777777" w:rsidR="00304D66" w:rsidRPr="00B57B36" w:rsidRDefault="00304D66" w:rsidP="000C0E84">
            <w:pPr>
              <w:pStyle w:val="CETBodytext"/>
              <w:rPr>
                <w:lang w:val="en-GB"/>
              </w:rPr>
            </w:pPr>
            <w:r>
              <w:rPr>
                <w:lang w:val="en-GB"/>
              </w:rPr>
              <w:t>120</w:t>
            </w:r>
          </w:p>
        </w:tc>
        <w:tc>
          <w:tcPr>
            <w:tcW w:w="1843" w:type="dxa"/>
            <w:shd w:val="clear" w:color="auto" w:fill="FFFFFF"/>
          </w:tcPr>
          <w:p w14:paraId="49857054" w14:textId="77777777" w:rsidR="00304D66" w:rsidRPr="00B57B36" w:rsidRDefault="00304D66" w:rsidP="000C0E84">
            <w:pPr>
              <w:pStyle w:val="CETBodytext"/>
              <w:ind w:right="-1"/>
              <w:rPr>
                <w:rFonts w:cs="Arial"/>
                <w:szCs w:val="18"/>
                <w:lang w:val="en-GB"/>
              </w:rPr>
            </w:pPr>
            <w:r>
              <w:rPr>
                <w:rFonts w:cs="Arial"/>
                <w:szCs w:val="18"/>
                <w:lang w:val="en-GB"/>
              </w:rPr>
              <w:t>260</w:t>
            </w:r>
          </w:p>
        </w:tc>
        <w:tc>
          <w:tcPr>
            <w:tcW w:w="2268" w:type="dxa"/>
            <w:shd w:val="clear" w:color="auto" w:fill="FFFFFF"/>
          </w:tcPr>
          <w:p w14:paraId="1F332F1E" w14:textId="77777777" w:rsidR="00304D66" w:rsidRPr="00B57B36" w:rsidRDefault="00304D66" w:rsidP="000C0E84">
            <w:pPr>
              <w:pStyle w:val="CETBodytext"/>
              <w:ind w:right="-1"/>
              <w:rPr>
                <w:rFonts w:cs="Arial"/>
                <w:szCs w:val="18"/>
                <w:lang w:val="en-GB"/>
              </w:rPr>
            </w:pPr>
            <w:r>
              <w:rPr>
                <w:rFonts w:cs="Arial"/>
                <w:szCs w:val="18"/>
                <w:lang w:val="en-GB"/>
              </w:rPr>
              <w:t>217.3</w:t>
            </w:r>
          </w:p>
        </w:tc>
      </w:tr>
      <w:tr w:rsidR="00304D66" w:rsidRPr="00B57B36" w14:paraId="33ADFBB9" w14:textId="77777777" w:rsidTr="000C0E84">
        <w:tc>
          <w:tcPr>
            <w:tcW w:w="1304" w:type="dxa"/>
            <w:shd w:val="clear" w:color="auto" w:fill="FFFFFF"/>
          </w:tcPr>
          <w:p w14:paraId="5AF09FC8" w14:textId="77777777" w:rsidR="00304D66" w:rsidRPr="00B57B36" w:rsidRDefault="00304D66" w:rsidP="000C0E84">
            <w:pPr>
              <w:pStyle w:val="CETBodytext"/>
              <w:ind w:right="-1"/>
              <w:rPr>
                <w:rFonts w:cs="Arial"/>
                <w:szCs w:val="18"/>
                <w:lang w:val="en-GB"/>
              </w:rPr>
            </w:pPr>
            <w:r>
              <w:rPr>
                <w:rFonts w:cs="Arial"/>
                <w:szCs w:val="18"/>
                <w:lang w:val="en-GB"/>
              </w:rPr>
              <w:t>Hemicellulose</w:t>
            </w:r>
          </w:p>
        </w:tc>
        <w:tc>
          <w:tcPr>
            <w:tcW w:w="1673" w:type="dxa"/>
            <w:shd w:val="clear" w:color="auto" w:fill="FFFFFF"/>
          </w:tcPr>
          <w:p w14:paraId="5C2EAD52" w14:textId="77777777" w:rsidR="00304D66" w:rsidRPr="00B57B36" w:rsidRDefault="00304D66" w:rsidP="000C0E84">
            <w:pPr>
              <w:pStyle w:val="CETBodytext"/>
              <w:ind w:right="-1"/>
              <w:rPr>
                <w:rFonts w:cs="Arial"/>
                <w:szCs w:val="18"/>
                <w:lang w:val="en-GB"/>
              </w:rPr>
            </w:pPr>
            <w:r>
              <w:rPr>
                <w:rFonts w:cs="Arial"/>
                <w:szCs w:val="18"/>
                <w:lang w:val="en-GB"/>
              </w:rPr>
              <w:t>284.2</w:t>
            </w:r>
          </w:p>
        </w:tc>
        <w:tc>
          <w:tcPr>
            <w:tcW w:w="1559" w:type="dxa"/>
            <w:shd w:val="clear" w:color="auto" w:fill="FFFFFF"/>
          </w:tcPr>
          <w:p w14:paraId="05BC11B0" w14:textId="77777777" w:rsidR="00304D66" w:rsidRPr="00B57B36" w:rsidRDefault="00304D66" w:rsidP="000C0E84">
            <w:pPr>
              <w:pStyle w:val="CETBodytext"/>
              <w:ind w:right="-1"/>
              <w:rPr>
                <w:rFonts w:cs="Arial"/>
                <w:szCs w:val="18"/>
                <w:lang w:val="en-GB"/>
              </w:rPr>
            </w:pPr>
            <w:r>
              <w:rPr>
                <w:rFonts w:cs="Arial"/>
                <w:szCs w:val="18"/>
                <w:lang w:val="en-GB"/>
              </w:rPr>
              <w:t>402</w:t>
            </w:r>
          </w:p>
        </w:tc>
        <w:tc>
          <w:tcPr>
            <w:tcW w:w="1843" w:type="dxa"/>
            <w:shd w:val="clear" w:color="auto" w:fill="FFFFFF"/>
          </w:tcPr>
          <w:p w14:paraId="1AFF39D2" w14:textId="77777777" w:rsidR="00304D66" w:rsidRPr="00B57B36" w:rsidRDefault="00304D66" w:rsidP="000C0E84">
            <w:pPr>
              <w:pStyle w:val="CETBodytext"/>
              <w:ind w:right="-1"/>
              <w:rPr>
                <w:rFonts w:cs="Arial"/>
                <w:szCs w:val="18"/>
                <w:lang w:val="en-GB"/>
              </w:rPr>
            </w:pPr>
            <w:r>
              <w:rPr>
                <w:rFonts w:cs="Arial"/>
                <w:szCs w:val="18"/>
                <w:lang w:val="en-GB"/>
              </w:rPr>
              <w:t>222</w:t>
            </w:r>
          </w:p>
        </w:tc>
        <w:tc>
          <w:tcPr>
            <w:tcW w:w="2268" w:type="dxa"/>
            <w:shd w:val="clear" w:color="auto" w:fill="FFFFFF"/>
          </w:tcPr>
          <w:p w14:paraId="4C59FF8F" w14:textId="77777777" w:rsidR="00304D66" w:rsidRPr="00B57B36" w:rsidRDefault="00304D66" w:rsidP="000C0E84">
            <w:pPr>
              <w:pStyle w:val="CETBodytext"/>
              <w:ind w:right="-1"/>
              <w:rPr>
                <w:rFonts w:cs="Arial"/>
                <w:szCs w:val="18"/>
                <w:lang w:val="en-GB"/>
              </w:rPr>
            </w:pPr>
            <w:r>
              <w:rPr>
                <w:rFonts w:cs="Arial"/>
                <w:szCs w:val="18"/>
                <w:lang w:val="en-GB"/>
              </w:rPr>
              <w:t>192.7</w:t>
            </w:r>
          </w:p>
        </w:tc>
      </w:tr>
      <w:tr w:rsidR="00304D66" w:rsidRPr="00B57B36" w14:paraId="21D6B8E2" w14:textId="77777777" w:rsidTr="000C0E84">
        <w:tc>
          <w:tcPr>
            <w:tcW w:w="1304" w:type="dxa"/>
            <w:shd w:val="clear" w:color="auto" w:fill="FFFFFF"/>
          </w:tcPr>
          <w:p w14:paraId="349EBBD4" w14:textId="77777777" w:rsidR="00304D66" w:rsidRDefault="00304D66" w:rsidP="000C0E84">
            <w:pPr>
              <w:pStyle w:val="CETBodytext"/>
              <w:ind w:right="-1"/>
              <w:rPr>
                <w:rFonts w:cs="Arial"/>
                <w:szCs w:val="18"/>
                <w:lang w:val="en-GB"/>
              </w:rPr>
            </w:pPr>
            <w:r>
              <w:rPr>
                <w:rFonts w:cs="Arial"/>
                <w:szCs w:val="18"/>
                <w:lang w:val="en-GB"/>
              </w:rPr>
              <w:t xml:space="preserve">   </w:t>
            </w:r>
            <w:proofErr w:type="spellStart"/>
            <w:r>
              <w:rPr>
                <w:rFonts w:cs="Arial"/>
                <w:szCs w:val="18"/>
                <w:lang w:val="en-GB"/>
              </w:rPr>
              <w:t>Xylan</w:t>
            </w:r>
            <w:proofErr w:type="spellEnd"/>
          </w:p>
        </w:tc>
        <w:tc>
          <w:tcPr>
            <w:tcW w:w="1673" w:type="dxa"/>
            <w:shd w:val="clear" w:color="auto" w:fill="FFFFFF"/>
          </w:tcPr>
          <w:p w14:paraId="489882C4" w14:textId="77777777" w:rsidR="00304D66" w:rsidRPr="00B57B36" w:rsidRDefault="00304D66" w:rsidP="000C0E84">
            <w:pPr>
              <w:pStyle w:val="CETBodytext"/>
              <w:ind w:right="-1"/>
              <w:rPr>
                <w:rFonts w:cs="Arial"/>
                <w:szCs w:val="18"/>
                <w:lang w:val="en-GB"/>
              </w:rPr>
            </w:pPr>
            <w:r>
              <w:rPr>
                <w:rFonts w:cs="Arial"/>
                <w:szCs w:val="18"/>
                <w:lang w:val="en-GB"/>
              </w:rPr>
              <w:t>199.4</w:t>
            </w:r>
          </w:p>
        </w:tc>
        <w:tc>
          <w:tcPr>
            <w:tcW w:w="1559" w:type="dxa"/>
            <w:shd w:val="clear" w:color="auto" w:fill="FFFFFF"/>
          </w:tcPr>
          <w:p w14:paraId="1DDD6F60" w14:textId="77777777" w:rsidR="00304D66" w:rsidRPr="00B57B36" w:rsidRDefault="00304D66" w:rsidP="000C0E84">
            <w:pPr>
              <w:pStyle w:val="CETBodytext"/>
              <w:ind w:right="-1"/>
              <w:rPr>
                <w:rFonts w:cs="Arial"/>
                <w:szCs w:val="18"/>
                <w:lang w:val="en-GB"/>
              </w:rPr>
            </w:pPr>
            <w:r>
              <w:rPr>
                <w:rFonts w:cs="Arial"/>
                <w:szCs w:val="18"/>
                <w:lang w:val="en-GB"/>
              </w:rPr>
              <w:t>NR</w:t>
            </w:r>
          </w:p>
        </w:tc>
        <w:tc>
          <w:tcPr>
            <w:tcW w:w="1843" w:type="dxa"/>
            <w:shd w:val="clear" w:color="auto" w:fill="FFFFFF"/>
          </w:tcPr>
          <w:p w14:paraId="53066501" w14:textId="77777777" w:rsidR="00304D66" w:rsidRPr="00B57B36" w:rsidRDefault="00304D66" w:rsidP="000C0E84">
            <w:pPr>
              <w:pStyle w:val="CETBodytext"/>
              <w:ind w:right="-1"/>
              <w:rPr>
                <w:rFonts w:cs="Arial"/>
                <w:szCs w:val="18"/>
                <w:lang w:val="en-GB"/>
              </w:rPr>
            </w:pPr>
            <w:r>
              <w:rPr>
                <w:rFonts w:cs="Arial"/>
                <w:szCs w:val="18"/>
                <w:lang w:val="en-GB"/>
              </w:rPr>
              <w:t>NR</w:t>
            </w:r>
          </w:p>
        </w:tc>
        <w:tc>
          <w:tcPr>
            <w:tcW w:w="2268" w:type="dxa"/>
            <w:shd w:val="clear" w:color="auto" w:fill="FFFFFF"/>
          </w:tcPr>
          <w:p w14:paraId="375DBADE" w14:textId="77777777" w:rsidR="00304D66" w:rsidRPr="00B57B36" w:rsidRDefault="00304D66" w:rsidP="000C0E84">
            <w:pPr>
              <w:pStyle w:val="CETBodytext"/>
              <w:ind w:right="-1"/>
              <w:rPr>
                <w:rFonts w:cs="Arial"/>
                <w:szCs w:val="18"/>
                <w:lang w:val="en-GB"/>
              </w:rPr>
            </w:pPr>
            <w:r>
              <w:rPr>
                <w:rFonts w:cs="Arial"/>
                <w:szCs w:val="18"/>
                <w:lang w:val="en-GB"/>
              </w:rPr>
              <w:t>136.3</w:t>
            </w:r>
          </w:p>
        </w:tc>
      </w:tr>
      <w:tr w:rsidR="00304D66" w:rsidRPr="00B57B36" w14:paraId="0F37C5A0" w14:textId="77777777" w:rsidTr="000C0E84">
        <w:tc>
          <w:tcPr>
            <w:tcW w:w="1304" w:type="dxa"/>
            <w:shd w:val="clear" w:color="auto" w:fill="FFFFFF"/>
          </w:tcPr>
          <w:p w14:paraId="457F6E99" w14:textId="77777777" w:rsidR="00304D66" w:rsidRDefault="00304D66" w:rsidP="000C0E84">
            <w:pPr>
              <w:pStyle w:val="CETBodytext"/>
              <w:ind w:right="-1"/>
              <w:rPr>
                <w:rFonts w:cs="Arial"/>
                <w:szCs w:val="18"/>
                <w:lang w:val="en-GB"/>
              </w:rPr>
            </w:pPr>
            <w:r>
              <w:rPr>
                <w:rFonts w:cs="Arial"/>
                <w:szCs w:val="18"/>
                <w:lang w:val="en-GB"/>
              </w:rPr>
              <w:t xml:space="preserve">   </w:t>
            </w:r>
            <w:proofErr w:type="spellStart"/>
            <w:r>
              <w:rPr>
                <w:rFonts w:cs="Arial"/>
                <w:szCs w:val="18"/>
                <w:lang w:val="en-GB"/>
              </w:rPr>
              <w:t>Arabinian</w:t>
            </w:r>
            <w:proofErr w:type="spellEnd"/>
          </w:p>
        </w:tc>
        <w:tc>
          <w:tcPr>
            <w:tcW w:w="1673" w:type="dxa"/>
            <w:shd w:val="clear" w:color="auto" w:fill="FFFFFF"/>
          </w:tcPr>
          <w:p w14:paraId="44C2BBC6" w14:textId="77777777" w:rsidR="00304D66" w:rsidRPr="00B57B36" w:rsidRDefault="00304D66" w:rsidP="000C0E84">
            <w:pPr>
              <w:pStyle w:val="CETBodytext"/>
              <w:ind w:right="-1"/>
              <w:rPr>
                <w:rFonts w:cs="Arial"/>
                <w:szCs w:val="18"/>
                <w:lang w:val="en-GB"/>
              </w:rPr>
            </w:pPr>
            <w:r>
              <w:rPr>
                <w:rFonts w:cs="Arial"/>
                <w:szCs w:val="18"/>
                <w:lang w:val="en-GB"/>
              </w:rPr>
              <w:t>84.8</w:t>
            </w:r>
          </w:p>
        </w:tc>
        <w:tc>
          <w:tcPr>
            <w:tcW w:w="1559" w:type="dxa"/>
            <w:shd w:val="clear" w:color="auto" w:fill="FFFFFF"/>
          </w:tcPr>
          <w:p w14:paraId="7DAA6CBF" w14:textId="77777777" w:rsidR="00304D66" w:rsidRPr="00B57B36" w:rsidRDefault="00304D66" w:rsidP="000C0E84">
            <w:pPr>
              <w:pStyle w:val="CETBodytext"/>
              <w:ind w:right="-1"/>
              <w:rPr>
                <w:rFonts w:cs="Arial"/>
                <w:szCs w:val="18"/>
                <w:lang w:val="en-GB"/>
              </w:rPr>
            </w:pPr>
            <w:r>
              <w:rPr>
                <w:rFonts w:cs="Arial"/>
                <w:szCs w:val="18"/>
                <w:lang w:val="en-GB"/>
              </w:rPr>
              <w:t>NR</w:t>
            </w:r>
          </w:p>
        </w:tc>
        <w:tc>
          <w:tcPr>
            <w:tcW w:w="1843" w:type="dxa"/>
            <w:shd w:val="clear" w:color="auto" w:fill="FFFFFF"/>
          </w:tcPr>
          <w:p w14:paraId="0E1AE914" w14:textId="77777777" w:rsidR="00304D66" w:rsidRPr="00B57B36" w:rsidRDefault="00304D66" w:rsidP="000C0E84">
            <w:pPr>
              <w:pStyle w:val="CETBodytext"/>
              <w:ind w:right="-1"/>
              <w:rPr>
                <w:rFonts w:cs="Arial"/>
                <w:szCs w:val="18"/>
                <w:lang w:val="en-GB"/>
              </w:rPr>
            </w:pPr>
            <w:r>
              <w:rPr>
                <w:rFonts w:cs="Arial"/>
                <w:szCs w:val="18"/>
                <w:lang w:val="en-GB"/>
              </w:rPr>
              <w:t>NR</w:t>
            </w:r>
          </w:p>
        </w:tc>
        <w:tc>
          <w:tcPr>
            <w:tcW w:w="2268" w:type="dxa"/>
            <w:shd w:val="clear" w:color="auto" w:fill="FFFFFF"/>
          </w:tcPr>
          <w:p w14:paraId="396C6A53" w14:textId="77777777" w:rsidR="00304D66" w:rsidRPr="00B57B36" w:rsidRDefault="00304D66" w:rsidP="000C0E84">
            <w:pPr>
              <w:pStyle w:val="CETBodytext"/>
              <w:ind w:right="-1"/>
              <w:rPr>
                <w:rFonts w:cs="Arial"/>
                <w:szCs w:val="18"/>
                <w:lang w:val="en-GB"/>
              </w:rPr>
            </w:pPr>
            <w:r>
              <w:rPr>
                <w:rFonts w:cs="Arial"/>
                <w:szCs w:val="18"/>
                <w:lang w:val="en-GB"/>
              </w:rPr>
              <w:t>56.4</w:t>
            </w:r>
          </w:p>
        </w:tc>
      </w:tr>
      <w:tr w:rsidR="00304D66" w:rsidRPr="00B57B36" w14:paraId="031686ED" w14:textId="77777777" w:rsidTr="000C0E84">
        <w:tc>
          <w:tcPr>
            <w:tcW w:w="1304" w:type="dxa"/>
            <w:shd w:val="clear" w:color="auto" w:fill="FFFFFF"/>
          </w:tcPr>
          <w:p w14:paraId="69A54BF0" w14:textId="77777777" w:rsidR="00304D66" w:rsidRDefault="00304D66" w:rsidP="000C0E84">
            <w:pPr>
              <w:pStyle w:val="CETBodytext"/>
              <w:ind w:right="-1"/>
              <w:rPr>
                <w:rFonts w:cs="Arial"/>
                <w:szCs w:val="18"/>
                <w:lang w:val="en-GB"/>
              </w:rPr>
            </w:pPr>
            <w:r>
              <w:rPr>
                <w:rFonts w:cs="Arial"/>
                <w:szCs w:val="18"/>
                <w:lang w:val="en-GB"/>
              </w:rPr>
              <w:t>Lignin</w:t>
            </w:r>
          </w:p>
        </w:tc>
        <w:tc>
          <w:tcPr>
            <w:tcW w:w="1673" w:type="dxa"/>
            <w:shd w:val="clear" w:color="auto" w:fill="FFFFFF"/>
          </w:tcPr>
          <w:p w14:paraId="055F149A" w14:textId="77777777" w:rsidR="00304D66" w:rsidRPr="00B57B36" w:rsidRDefault="00304D66" w:rsidP="000C0E84">
            <w:pPr>
              <w:pStyle w:val="CETBodytext"/>
              <w:ind w:right="-1"/>
              <w:rPr>
                <w:rFonts w:cs="Arial"/>
                <w:szCs w:val="18"/>
                <w:lang w:val="en-GB"/>
              </w:rPr>
            </w:pPr>
            <w:r>
              <w:rPr>
                <w:rFonts w:cs="Arial"/>
                <w:szCs w:val="18"/>
                <w:lang w:val="en-GB"/>
              </w:rPr>
              <w:t>277.8</w:t>
            </w:r>
          </w:p>
        </w:tc>
        <w:tc>
          <w:tcPr>
            <w:tcW w:w="1559" w:type="dxa"/>
            <w:shd w:val="clear" w:color="auto" w:fill="FFFFFF"/>
          </w:tcPr>
          <w:p w14:paraId="2BA60654" w14:textId="77777777" w:rsidR="00304D66" w:rsidRPr="00B57B36" w:rsidRDefault="00304D66" w:rsidP="000C0E84">
            <w:pPr>
              <w:pStyle w:val="CETBodytext"/>
              <w:ind w:right="-1"/>
              <w:rPr>
                <w:rFonts w:cs="Arial"/>
                <w:szCs w:val="18"/>
                <w:lang w:val="en-GB"/>
              </w:rPr>
            </w:pPr>
            <w:r>
              <w:rPr>
                <w:rFonts w:cs="Arial"/>
                <w:szCs w:val="18"/>
                <w:lang w:val="en-GB"/>
              </w:rPr>
              <w:t>115</w:t>
            </w:r>
          </w:p>
        </w:tc>
        <w:tc>
          <w:tcPr>
            <w:tcW w:w="1843" w:type="dxa"/>
            <w:shd w:val="clear" w:color="auto" w:fill="FFFFFF"/>
          </w:tcPr>
          <w:p w14:paraId="1B4D88B4" w14:textId="77777777" w:rsidR="00304D66" w:rsidRPr="00B57B36" w:rsidRDefault="00304D66" w:rsidP="000C0E84">
            <w:pPr>
              <w:pStyle w:val="CETBodytext"/>
              <w:ind w:right="-1"/>
              <w:rPr>
                <w:rFonts w:cs="Arial"/>
                <w:szCs w:val="18"/>
                <w:lang w:val="en-GB"/>
              </w:rPr>
            </w:pPr>
            <w:r>
              <w:rPr>
                <w:rFonts w:cs="Arial"/>
                <w:szCs w:val="18"/>
                <w:lang w:val="en-GB"/>
              </w:rPr>
              <w:t>NR</w:t>
            </w:r>
          </w:p>
        </w:tc>
        <w:tc>
          <w:tcPr>
            <w:tcW w:w="2268" w:type="dxa"/>
            <w:shd w:val="clear" w:color="auto" w:fill="FFFFFF"/>
          </w:tcPr>
          <w:p w14:paraId="0882201C" w14:textId="77777777" w:rsidR="00304D66" w:rsidRPr="00B57B36" w:rsidRDefault="00304D66" w:rsidP="000C0E84">
            <w:pPr>
              <w:pStyle w:val="CETBodytext"/>
              <w:ind w:right="-1"/>
              <w:rPr>
                <w:rFonts w:cs="Arial"/>
                <w:szCs w:val="18"/>
                <w:lang w:val="en-GB"/>
              </w:rPr>
            </w:pPr>
            <w:r>
              <w:rPr>
                <w:rFonts w:cs="Arial"/>
                <w:szCs w:val="18"/>
                <w:lang w:val="en-GB"/>
              </w:rPr>
              <w:t>194.0</w:t>
            </w:r>
          </w:p>
        </w:tc>
      </w:tr>
      <w:tr w:rsidR="00304D66" w:rsidRPr="00B57B36" w14:paraId="1DBFE655" w14:textId="77777777" w:rsidTr="000C0E84">
        <w:tc>
          <w:tcPr>
            <w:tcW w:w="1304" w:type="dxa"/>
            <w:shd w:val="clear" w:color="auto" w:fill="FFFFFF"/>
          </w:tcPr>
          <w:p w14:paraId="1242E0C8" w14:textId="77777777" w:rsidR="00304D66" w:rsidRDefault="00304D66" w:rsidP="000C0E84">
            <w:pPr>
              <w:pStyle w:val="CETBodytext"/>
              <w:ind w:right="-1"/>
              <w:rPr>
                <w:rFonts w:cs="Arial"/>
                <w:szCs w:val="18"/>
                <w:lang w:val="en-GB"/>
              </w:rPr>
            </w:pPr>
            <w:r>
              <w:rPr>
                <w:rFonts w:cs="Arial"/>
                <w:szCs w:val="18"/>
                <w:lang w:val="en-GB"/>
              </w:rPr>
              <w:t>Proteins</w:t>
            </w:r>
          </w:p>
        </w:tc>
        <w:tc>
          <w:tcPr>
            <w:tcW w:w="1673" w:type="dxa"/>
            <w:shd w:val="clear" w:color="auto" w:fill="FFFFFF"/>
          </w:tcPr>
          <w:p w14:paraId="2AB6125B" w14:textId="77777777" w:rsidR="00304D66" w:rsidRPr="00B57B36" w:rsidRDefault="00304D66" w:rsidP="000C0E84">
            <w:pPr>
              <w:pStyle w:val="CETBodytext"/>
              <w:ind w:right="-1"/>
              <w:rPr>
                <w:rFonts w:cs="Arial"/>
                <w:szCs w:val="18"/>
                <w:lang w:val="en-GB"/>
              </w:rPr>
            </w:pPr>
            <w:r>
              <w:rPr>
                <w:rFonts w:cs="Arial"/>
                <w:szCs w:val="18"/>
                <w:lang w:val="en-GB"/>
              </w:rPr>
              <w:t>152.5</w:t>
            </w:r>
          </w:p>
        </w:tc>
        <w:tc>
          <w:tcPr>
            <w:tcW w:w="1559" w:type="dxa"/>
            <w:shd w:val="clear" w:color="auto" w:fill="FFFFFF"/>
          </w:tcPr>
          <w:p w14:paraId="25EAF24B" w14:textId="77777777" w:rsidR="00304D66" w:rsidRPr="00B57B36" w:rsidRDefault="00304D66" w:rsidP="000C0E84">
            <w:pPr>
              <w:pStyle w:val="CETBodytext"/>
              <w:ind w:right="-1"/>
              <w:rPr>
                <w:rFonts w:cs="Arial"/>
                <w:szCs w:val="18"/>
                <w:lang w:val="en-GB"/>
              </w:rPr>
            </w:pPr>
            <w:r>
              <w:rPr>
                <w:rFonts w:cs="Arial"/>
                <w:szCs w:val="18"/>
                <w:lang w:val="en-GB"/>
              </w:rPr>
              <w:t>142</w:t>
            </w:r>
          </w:p>
        </w:tc>
        <w:tc>
          <w:tcPr>
            <w:tcW w:w="1843" w:type="dxa"/>
            <w:shd w:val="clear" w:color="auto" w:fill="FFFFFF"/>
          </w:tcPr>
          <w:p w14:paraId="415DFACB" w14:textId="77777777" w:rsidR="00304D66" w:rsidRPr="00B57B36" w:rsidRDefault="00304D66" w:rsidP="000C0E84">
            <w:pPr>
              <w:pStyle w:val="CETBodytext"/>
              <w:ind w:right="-1"/>
              <w:rPr>
                <w:rFonts w:cs="Arial"/>
                <w:szCs w:val="18"/>
                <w:lang w:val="en-GB"/>
              </w:rPr>
            </w:pPr>
            <w:r>
              <w:rPr>
                <w:rFonts w:cs="Arial"/>
                <w:szCs w:val="18"/>
                <w:lang w:val="en-GB"/>
              </w:rPr>
              <w:t>221.3</w:t>
            </w:r>
          </w:p>
        </w:tc>
        <w:tc>
          <w:tcPr>
            <w:tcW w:w="2268" w:type="dxa"/>
            <w:shd w:val="clear" w:color="auto" w:fill="FFFFFF"/>
          </w:tcPr>
          <w:p w14:paraId="4D6B0587" w14:textId="77777777" w:rsidR="00304D66" w:rsidRPr="00B57B36" w:rsidRDefault="00304D66" w:rsidP="000C0E84">
            <w:pPr>
              <w:pStyle w:val="CETBodytext"/>
              <w:ind w:right="-1"/>
              <w:rPr>
                <w:rFonts w:cs="Arial"/>
                <w:szCs w:val="18"/>
                <w:lang w:val="en-GB"/>
              </w:rPr>
            </w:pPr>
            <w:r>
              <w:rPr>
                <w:rFonts w:cs="Arial"/>
                <w:szCs w:val="18"/>
                <w:lang w:val="en-GB"/>
              </w:rPr>
              <w:t>246.9</w:t>
            </w:r>
          </w:p>
        </w:tc>
      </w:tr>
      <w:tr w:rsidR="00304D66" w:rsidRPr="00B57B36" w14:paraId="67417C1C" w14:textId="77777777" w:rsidTr="000C0E84">
        <w:tc>
          <w:tcPr>
            <w:tcW w:w="1304" w:type="dxa"/>
            <w:shd w:val="clear" w:color="auto" w:fill="FFFFFF"/>
          </w:tcPr>
          <w:p w14:paraId="65F41FFF" w14:textId="77777777" w:rsidR="00304D66" w:rsidRDefault="00304D66" w:rsidP="000C0E84">
            <w:pPr>
              <w:pStyle w:val="CETBodytext"/>
              <w:ind w:right="-1"/>
              <w:rPr>
                <w:rFonts w:cs="Arial"/>
                <w:szCs w:val="18"/>
                <w:lang w:val="en-GB"/>
              </w:rPr>
            </w:pPr>
            <w:r>
              <w:rPr>
                <w:rFonts w:cs="Arial"/>
                <w:szCs w:val="18"/>
                <w:lang w:val="en-GB"/>
              </w:rPr>
              <w:t>Ashes</w:t>
            </w:r>
          </w:p>
        </w:tc>
        <w:tc>
          <w:tcPr>
            <w:tcW w:w="1673" w:type="dxa"/>
            <w:shd w:val="clear" w:color="auto" w:fill="FFFFFF"/>
          </w:tcPr>
          <w:p w14:paraId="617C60A9" w14:textId="77777777" w:rsidR="00304D66" w:rsidRPr="00B57B36" w:rsidRDefault="00304D66" w:rsidP="000C0E84">
            <w:pPr>
              <w:pStyle w:val="CETBodytext"/>
              <w:ind w:right="-1"/>
              <w:rPr>
                <w:rFonts w:cs="Arial"/>
                <w:szCs w:val="18"/>
                <w:lang w:val="en-GB"/>
              </w:rPr>
            </w:pPr>
            <w:r>
              <w:rPr>
                <w:rFonts w:cs="Arial"/>
                <w:szCs w:val="18"/>
                <w:lang w:val="en-GB"/>
              </w:rPr>
              <w:t>46.0</w:t>
            </w:r>
          </w:p>
        </w:tc>
        <w:tc>
          <w:tcPr>
            <w:tcW w:w="1559" w:type="dxa"/>
            <w:shd w:val="clear" w:color="auto" w:fill="FFFFFF"/>
          </w:tcPr>
          <w:p w14:paraId="7B952A3A" w14:textId="77777777" w:rsidR="00304D66" w:rsidRPr="00B57B36" w:rsidRDefault="00304D66" w:rsidP="000C0E84">
            <w:pPr>
              <w:pStyle w:val="CETBodytext"/>
              <w:ind w:right="-1"/>
              <w:rPr>
                <w:rFonts w:cs="Arial"/>
                <w:szCs w:val="18"/>
                <w:lang w:val="en-GB"/>
              </w:rPr>
            </w:pPr>
            <w:r>
              <w:rPr>
                <w:rFonts w:cs="Arial"/>
                <w:szCs w:val="18"/>
                <w:lang w:val="en-GB"/>
              </w:rPr>
              <w:t>33</w:t>
            </w:r>
          </w:p>
        </w:tc>
        <w:tc>
          <w:tcPr>
            <w:tcW w:w="1843" w:type="dxa"/>
            <w:shd w:val="clear" w:color="auto" w:fill="FFFFFF"/>
          </w:tcPr>
          <w:p w14:paraId="2481F66C" w14:textId="77777777" w:rsidR="00304D66" w:rsidRPr="00B57B36" w:rsidRDefault="00304D66" w:rsidP="000C0E84">
            <w:pPr>
              <w:pStyle w:val="CETBodytext"/>
              <w:ind w:right="-1"/>
              <w:rPr>
                <w:rFonts w:cs="Arial"/>
                <w:szCs w:val="18"/>
                <w:lang w:val="en-GB"/>
              </w:rPr>
            </w:pPr>
            <w:r>
              <w:rPr>
                <w:rFonts w:cs="Arial"/>
                <w:szCs w:val="18"/>
                <w:lang w:val="en-GB"/>
              </w:rPr>
              <w:t>11</w:t>
            </w:r>
          </w:p>
        </w:tc>
        <w:tc>
          <w:tcPr>
            <w:tcW w:w="2268" w:type="dxa"/>
            <w:shd w:val="clear" w:color="auto" w:fill="FFFFFF"/>
          </w:tcPr>
          <w:p w14:paraId="28D750BF" w14:textId="77777777" w:rsidR="00304D66" w:rsidRPr="00B57B36" w:rsidRDefault="00304D66" w:rsidP="000C0E84">
            <w:pPr>
              <w:pStyle w:val="CETBodytext"/>
              <w:ind w:right="-1"/>
              <w:rPr>
                <w:rFonts w:cs="Arial"/>
                <w:szCs w:val="18"/>
                <w:lang w:val="en-GB"/>
              </w:rPr>
            </w:pPr>
            <w:r>
              <w:rPr>
                <w:rFonts w:cs="Arial"/>
                <w:szCs w:val="18"/>
                <w:lang w:val="en-GB"/>
              </w:rPr>
              <w:t>41.8</w:t>
            </w:r>
          </w:p>
        </w:tc>
      </w:tr>
    </w:tbl>
    <w:p w14:paraId="6634F5C4" w14:textId="0FCE5253" w:rsidR="00304D66" w:rsidRPr="00486608" w:rsidRDefault="00304D66" w:rsidP="00486608">
      <w:pPr>
        <w:pStyle w:val="CETBodytext"/>
      </w:pPr>
      <w:r>
        <w:t>*NR = Not Reported</w:t>
      </w:r>
      <w:r w:rsidR="009F3D76">
        <w:t>.</w:t>
      </w:r>
      <w:r>
        <w:t xml:space="preserve"> </w:t>
      </w:r>
    </w:p>
    <w:p w14:paraId="5741900F" w14:textId="65B69680" w:rsidR="00453E24" w:rsidRDefault="00486608" w:rsidP="00453E24">
      <w:pPr>
        <w:pStyle w:val="CETHeading1"/>
      </w:pPr>
      <w:r>
        <w:t xml:space="preserve">BSG chemical composition </w:t>
      </w:r>
    </w:p>
    <w:p w14:paraId="639D2891" w14:textId="43B91B56" w:rsidR="00D61D5C" w:rsidRPr="00486608" w:rsidRDefault="00486608" w:rsidP="00486608">
      <w:pPr>
        <w:pStyle w:val="CETBodytext"/>
      </w:pPr>
      <w:r w:rsidRPr="00486608">
        <w:t>Brewery</w:t>
      </w:r>
      <w:r w:rsidR="00FA340C">
        <w:t>'</w:t>
      </w:r>
      <w:r w:rsidRPr="00486608">
        <w:t xml:space="preserve">s spent grain consists </w:t>
      </w:r>
      <w:r w:rsidR="00D93D74">
        <w:t>of a</w:t>
      </w:r>
      <w:r w:rsidR="00FA340C">
        <w:t xml:space="preserve"> heterogeneous mixture of cereal grain husks, pericarp, residual amounts of endosperm depending on the brewing regime applied, and the original barley grain coating layer</w:t>
      </w:r>
      <w:r w:rsidRPr="00486608">
        <w:t xml:space="preserve"> (Steiner at al., 2015). These outer layers contain nutrients </w:t>
      </w:r>
      <w:r w:rsidR="00FA340C">
        <w:t>not extracted during the malting and mashing processes, making</w:t>
      </w:r>
      <w:r w:rsidRPr="00486608">
        <w:t xml:space="preserve"> the spent grain an </w:t>
      </w:r>
      <w:r w:rsidR="00FA340C">
        <w:t>attractive</w:t>
      </w:r>
      <w:r w:rsidR="00FA340C" w:rsidRPr="00486608">
        <w:t xml:space="preserve"> </w:t>
      </w:r>
      <w:r w:rsidRPr="00486608">
        <w:t xml:space="preserve">raw material. Table 1 </w:t>
      </w:r>
      <w:proofErr w:type="spellStart"/>
      <w:r w:rsidR="00FA340C" w:rsidRPr="00486608">
        <w:t>summari</w:t>
      </w:r>
      <w:r w:rsidR="00FA340C">
        <w:t>s</w:t>
      </w:r>
      <w:r w:rsidR="00FA340C" w:rsidRPr="00486608">
        <w:t>es</w:t>
      </w:r>
      <w:proofErr w:type="spellEnd"/>
      <w:r w:rsidR="00FA340C" w:rsidRPr="00486608">
        <w:t xml:space="preserve"> </w:t>
      </w:r>
      <w:r w:rsidRPr="00486608">
        <w:t>the chemical composition of BSG</w:t>
      </w:r>
      <w:r w:rsidR="00D93D74">
        <w:t xml:space="preserve">. </w:t>
      </w:r>
      <w:r w:rsidRPr="00486608">
        <w:t xml:space="preserve">Independently of the variations that can be observed in its composition in terms of the individual component concentration, this residue is predominantly composed of fiber (cellulose, </w:t>
      </w:r>
      <w:proofErr w:type="gramStart"/>
      <w:r w:rsidRPr="00486608">
        <w:t>hemicellulose</w:t>
      </w:r>
      <w:proofErr w:type="gramEnd"/>
      <w:r w:rsidRPr="00486608">
        <w:t xml:space="preserve"> and lignin) since barley malt husk is a lignocellulosic material. Hemicellulose and cellulose are fractions composed of sugars, of which xylose, arabinose and glucose are the most abundant mono-glycans as stated by </w:t>
      </w:r>
      <w:proofErr w:type="spellStart"/>
      <w:r w:rsidRPr="00486608">
        <w:t>Mussatto</w:t>
      </w:r>
      <w:proofErr w:type="spellEnd"/>
      <w:r w:rsidRPr="00486608">
        <w:t xml:space="preserve"> and Roberto (2006), comprising around 50% (w/w) of the BSG composition. Lignin and proteins are also significant constituents of BSG. </w:t>
      </w:r>
      <w:proofErr w:type="gramStart"/>
      <w:r w:rsidRPr="00486608">
        <w:t>In particular, lignin</w:t>
      </w:r>
      <w:proofErr w:type="gramEnd"/>
      <w:r w:rsidRPr="00486608">
        <w:t xml:space="preserve"> is a polyphenolic macromolecule responsible for maintaining the structural integrity and rigidity of the cell wall. Moreover, it contains several phenolic compounds, the most important of which are ferulic, p-coumaric, syringic, vanillic and p-hydroxybenzoic (</w:t>
      </w:r>
      <w:proofErr w:type="spellStart"/>
      <w:r w:rsidRPr="00486608">
        <w:t>Mussatto</w:t>
      </w:r>
      <w:proofErr w:type="spellEnd"/>
      <w:r w:rsidRPr="00486608">
        <w:t xml:space="preserve"> et al., 2007). Protein generally comprises 15% to 25% of the composition of BSG. The study conducted by Santos et al. (2003) showed that the protein fraction in </w:t>
      </w:r>
      <w:proofErr w:type="gramStart"/>
      <w:r w:rsidR="00FA340C" w:rsidRPr="00486608">
        <w:t>oven</w:t>
      </w:r>
      <w:r w:rsidR="00FA340C">
        <w:t>-</w:t>
      </w:r>
      <w:r w:rsidRPr="00486608">
        <w:t>dried</w:t>
      </w:r>
      <w:proofErr w:type="gramEnd"/>
      <w:r w:rsidRPr="00486608">
        <w:t xml:space="preserve"> BSG can be 15% to 24.2% and includes globulins, albumins, </w:t>
      </w:r>
      <w:proofErr w:type="spellStart"/>
      <w:r w:rsidRPr="00486608">
        <w:t>glutelins</w:t>
      </w:r>
      <w:proofErr w:type="spellEnd"/>
      <w:r w:rsidRPr="00486608">
        <w:t xml:space="preserve"> and hordeins. BSG </w:t>
      </w:r>
      <w:r w:rsidR="00FA340C">
        <w:t>also contains</w:t>
      </w:r>
      <w:r w:rsidRPr="00486608">
        <w:t xml:space="preserve"> </w:t>
      </w:r>
      <w:r w:rsidR="00FA340C">
        <w:t xml:space="preserve">significant </w:t>
      </w:r>
      <w:r w:rsidRPr="00486608">
        <w:t xml:space="preserve">amounts of minerals, the most abundant being calcium, followed by magnesium, </w:t>
      </w:r>
      <w:proofErr w:type="gramStart"/>
      <w:r w:rsidRPr="00486608">
        <w:t>phosphorus</w:t>
      </w:r>
      <w:proofErr w:type="gramEnd"/>
      <w:r w:rsidRPr="00486608">
        <w:t xml:space="preserve"> and sodium (</w:t>
      </w:r>
      <w:proofErr w:type="spellStart"/>
      <w:r w:rsidRPr="00486608">
        <w:t>Meneses</w:t>
      </w:r>
      <w:proofErr w:type="spellEnd"/>
      <w:r w:rsidRPr="00486608">
        <w:t xml:space="preserve"> et al., 2013)</w:t>
      </w:r>
      <w:r w:rsidR="00FA340C">
        <w:t>. Still,</w:t>
      </w:r>
      <w:r w:rsidRPr="00486608">
        <w:t xml:space="preserve"> it is possible to </w:t>
      </w:r>
      <w:proofErr w:type="gramStart"/>
      <w:r w:rsidRPr="00486608">
        <w:t>find also</w:t>
      </w:r>
      <w:proofErr w:type="gramEnd"/>
      <w:r w:rsidRPr="00486608">
        <w:t xml:space="preserve"> iron, copper, potassium and manganese (</w:t>
      </w:r>
      <w:proofErr w:type="spellStart"/>
      <w:r w:rsidRPr="00486608">
        <w:t>Mussatto</w:t>
      </w:r>
      <w:proofErr w:type="spellEnd"/>
      <w:r w:rsidRPr="00486608">
        <w:t xml:space="preserve">, 2009). Vitamins are also present in noteworthy quantities, in particular biotin, niacin, folic acid, choline, thiamine, pantothenic acid, </w:t>
      </w:r>
      <w:proofErr w:type="gramStart"/>
      <w:r w:rsidRPr="00486608">
        <w:t>riboflavin</w:t>
      </w:r>
      <w:proofErr w:type="gramEnd"/>
      <w:r w:rsidRPr="00486608">
        <w:t xml:space="preserve"> and pyridoxine (Ikram et al., 2017; </w:t>
      </w:r>
      <w:proofErr w:type="spellStart"/>
      <w:r w:rsidRPr="00486608">
        <w:t>Chetrariu</w:t>
      </w:r>
      <w:proofErr w:type="spellEnd"/>
      <w:r w:rsidRPr="00486608">
        <w:t xml:space="preserve"> and </w:t>
      </w:r>
      <w:proofErr w:type="spellStart"/>
      <w:r w:rsidRPr="00486608">
        <w:t>Dabija</w:t>
      </w:r>
      <w:proofErr w:type="spellEnd"/>
      <w:r w:rsidRPr="00486608">
        <w:t>, 2020). Finally, there are extractives formed by waxes, resins, tannins, essential oils, and lipids</w:t>
      </w:r>
      <w:r w:rsidR="00FA340C">
        <w:t>,</w:t>
      </w:r>
      <w:r w:rsidRPr="00486608">
        <w:t xml:space="preserve"> among which triglycerides and fatty acids are the most abundant (</w:t>
      </w:r>
      <w:proofErr w:type="spellStart"/>
      <w:r w:rsidRPr="00486608">
        <w:t>Mussatto</w:t>
      </w:r>
      <w:proofErr w:type="spellEnd"/>
      <w:r w:rsidRPr="00486608">
        <w:t xml:space="preserve"> 2009; Ikram et al., 2017; </w:t>
      </w:r>
      <w:proofErr w:type="spellStart"/>
      <w:r w:rsidRPr="00486608">
        <w:t>Chetrariu</w:t>
      </w:r>
      <w:proofErr w:type="spellEnd"/>
      <w:r w:rsidRPr="00486608">
        <w:t xml:space="preserve"> and </w:t>
      </w:r>
      <w:proofErr w:type="spellStart"/>
      <w:r w:rsidRPr="00486608">
        <w:t>Dabija</w:t>
      </w:r>
      <w:proofErr w:type="spellEnd"/>
      <w:r w:rsidRPr="00486608">
        <w:t>, 2020).</w:t>
      </w:r>
    </w:p>
    <w:p w14:paraId="0C9F5EE2" w14:textId="67B79CA7" w:rsidR="00566858" w:rsidRDefault="00F95853" w:rsidP="00F95853">
      <w:pPr>
        <w:pStyle w:val="CETHeading1"/>
      </w:pPr>
      <w:r>
        <w:t>Potential applications for BSG</w:t>
      </w:r>
    </w:p>
    <w:p w14:paraId="73722EF0" w14:textId="3300C28E" w:rsidR="00071FD2" w:rsidRDefault="00DF4736" w:rsidP="00652BFB">
      <w:pPr>
        <w:pStyle w:val="CETheadingx"/>
      </w:pPr>
      <w:r w:rsidRPr="00652BFB">
        <w:t xml:space="preserve">Being a low-cost raw material, many efforts have been made to investigate </w:t>
      </w:r>
      <w:r w:rsidR="00637127">
        <w:t>BSG</w:t>
      </w:r>
      <w:r w:rsidR="00637127" w:rsidRPr="00652BFB">
        <w:t xml:space="preserve"> </w:t>
      </w:r>
      <w:r w:rsidRPr="00652BFB">
        <w:t>possible application in the field of animal and human nutrition</w:t>
      </w:r>
      <w:r w:rsidR="005A7EB0">
        <w:t>, as feedstock for biofuels production</w:t>
      </w:r>
      <w:r w:rsidRPr="00652BFB">
        <w:t xml:space="preserve">, and in biotechnological processes </w:t>
      </w:r>
      <w:r w:rsidR="005A7EB0">
        <w:t>through</w:t>
      </w:r>
      <w:r w:rsidR="005A7EB0" w:rsidRPr="00652BFB">
        <w:t xml:space="preserve"> </w:t>
      </w:r>
      <w:r w:rsidRPr="00652BFB">
        <w:t>the extraction of value-added compounds.</w:t>
      </w:r>
      <w:r w:rsidR="002A1AD5">
        <w:t xml:space="preserve"> The most relevant studies in the literature are presented and discussed in the following paragraphs. </w:t>
      </w:r>
    </w:p>
    <w:p w14:paraId="402D8A57" w14:textId="77777777" w:rsidR="00FB7B22" w:rsidRPr="002648B3" w:rsidRDefault="00FB7B22" w:rsidP="002648B3">
      <w:pPr>
        <w:pStyle w:val="CETBodytext"/>
        <w:spacing w:before="120" w:after="120"/>
        <w:rPr>
          <w:b/>
          <w:bCs/>
          <w:szCs w:val="21"/>
        </w:rPr>
      </w:pPr>
      <w:r w:rsidRPr="002648B3">
        <w:rPr>
          <w:b/>
          <w:bCs/>
          <w:szCs w:val="21"/>
        </w:rPr>
        <w:t>3.1 BSG in animal feed</w:t>
      </w:r>
    </w:p>
    <w:p w14:paraId="55364434" w14:textId="422B397A" w:rsidR="00F75FF8" w:rsidRPr="00F75FF8" w:rsidRDefault="00FB7B22" w:rsidP="00F75FF8">
      <w:pPr>
        <w:pStyle w:val="CETBodytext"/>
      </w:pPr>
      <w:r>
        <w:t>Due to</w:t>
      </w:r>
      <w:r w:rsidR="005A7EB0">
        <w:t xml:space="preserve"> BSG low cost, availability,</w:t>
      </w:r>
      <w:r>
        <w:t xml:space="preserve"> high </w:t>
      </w:r>
      <w:proofErr w:type="gramStart"/>
      <w:r>
        <w:t>protein</w:t>
      </w:r>
      <w:proofErr w:type="gramEnd"/>
      <w:r>
        <w:t xml:space="preserve"> and fiber content, spent grain has always been mainly used for </w:t>
      </w:r>
      <w:r w:rsidR="0081569B">
        <w:t>different animals (</w:t>
      </w:r>
      <w:r>
        <w:t>cattle</w:t>
      </w:r>
      <w:r w:rsidR="0081569B">
        <w:t>, fish, chickens, pigs and ruminants)</w:t>
      </w:r>
      <w:r>
        <w:t xml:space="preserve"> feed, either in wet or dried form (</w:t>
      </w:r>
      <w:proofErr w:type="spellStart"/>
      <w:r>
        <w:t>Mussatto</w:t>
      </w:r>
      <w:proofErr w:type="spellEnd"/>
      <w:r>
        <w:t>, 2014)</w:t>
      </w:r>
      <w:r w:rsidR="0081569B">
        <w:t xml:space="preserve">, </w:t>
      </w:r>
      <w:r>
        <w:t xml:space="preserve">creating an output for this material and solving the problem of its disposal (Aliyu and </w:t>
      </w:r>
      <w:proofErr w:type="spellStart"/>
      <w:r>
        <w:t>Bala</w:t>
      </w:r>
      <w:proofErr w:type="spellEnd"/>
      <w:r>
        <w:t xml:space="preserve">, 2011). It has been </w:t>
      </w:r>
      <w:r>
        <w:lastRenderedPageBreak/>
        <w:t xml:space="preserve">demonstrated that the combination of </w:t>
      </w:r>
      <w:r w:rsidR="0081569B">
        <w:t>BSG</w:t>
      </w:r>
      <w:r>
        <w:t xml:space="preserve"> with nitrogen sources such as urea can provide ideal nutrition for ruminants with all essential amino acids (</w:t>
      </w:r>
      <w:proofErr w:type="spellStart"/>
      <w:r>
        <w:t>Huige</w:t>
      </w:r>
      <w:proofErr w:type="spellEnd"/>
      <w:r>
        <w:t>, 2006). As reported by Tang et al. (2009), the consumption of BSG or its derivatives by rats is responsible for beneficial effects on intestinal digestion, which are related to the glutamine-rich protein content, to a high content of non-cellulosic polysaccharides and small amounts of β-glucans.</w:t>
      </w:r>
    </w:p>
    <w:p w14:paraId="4AE4DF86" w14:textId="7B6A7AA0" w:rsidR="00DF4736" w:rsidRDefault="00DF4736" w:rsidP="00DF4736">
      <w:pPr>
        <w:pStyle w:val="CETBodytext"/>
      </w:pPr>
      <w:r>
        <w:t xml:space="preserve">Other important benefits have been observed in other animals such as fish. A study conducted by Kaur and Saxena (2004) revealed that the substitution of rice with spent grain resulted in greater body weight gain attributed to the high-quality protein and essential amino acid content of a BSG-based diet. Aliyu and </w:t>
      </w:r>
      <w:proofErr w:type="spellStart"/>
      <w:r>
        <w:t>Bala</w:t>
      </w:r>
      <w:proofErr w:type="spellEnd"/>
      <w:r>
        <w:t xml:space="preserve"> (</w:t>
      </w:r>
      <w:r w:rsidR="009F3D76">
        <w:t>2011</w:t>
      </w:r>
      <w:r>
        <w:t xml:space="preserve">) </w:t>
      </w:r>
      <w:r w:rsidR="0081569B">
        <w:t xml:space="preserve">examined </w:t>
      </w:r>
      <w:r w:rsidR="00170CEE">
        <w:t>the effect of BSG on the nutritional value of milk yield in dairy cattle observing</w:t>
      </w:r>
      <w:r>
        <w:t xml:space="preserve"> that, compared to a </w:t>
      </w:r>
      <w:proofErr w:type="spellStart"/>
      <w:r w:rsidR="00FA340C">
        <w:t>maise</w:t>
      </w:r>
      <w:proofErr w:type="spellEnd"/>
      <w:r>
        <w:t xml:space="preserve">-based diet (45% w/w), an integration of BSG (45% w/w) leads to an increase in current milk yield, milk total solids content and milk fat yield. Although the major nutritional benefits of BSG consumption have been observed especially in dairy cattle, several efforts have been made to exploit all or part of this raw material in mixed forms and in different animals. In fact, as reported in </w:t>
      </w:r>
      <w:proofErr w:type="spellStart"/>
      <w:r>
        <w:t>Mussatto</w:t>
      </w:r>
      <w:proofErr w:type="spellEnd"/>
      <w:r>
        <w:t xml:space="preserve"> (2014), it is used as </w:t>
      </w:r>
      <w:r w:rsidR="00170CEE">
        <w:t>part</w:t>
      </w:r>
      <w:r>
        <w:t xml:space="preserve"> of the poultry diet. </w:t>
      </w:r>
      <w:r w:rsidR="00FA340C">
        <w:t>However, m</w:t>
      </w:r>
      <w:r>
        <w:t xml:space="preserve">ost of </w:t>
      </w:r>
      <w:r w:rsidR="00FA340C">
        <w:t xml:space="preserve">the </w:t>
      </w:r>
      <w:r>
        <w:t xml:space="preserve">polysaccharides in the </w:t>
      </w:r>
      <w:r w:rsidR="00FA340C">
        <w:t xml:space="preserve">BSG </w:t>
      </w:r>
      <w:r>
        <w:t>cell walls</w:t>
      </w:r>
      <w:r w:rsidR="00FA340C">
        <w:t>,</w:t>
      </w:r>
      <w:r>
        <w:t xml:space="preserve"> such as arabinoxylan and β-glucans cannot be digested by these animals. This problem is due to the lack of enzymes required for hydrolysis of the polymer chains and has been solved simply by adding the missing enzymes (xylanase and β-</w:t>
      </w:r>
      <w:proofErr w:type="spellStart"/>
      <w:r>
        <w:t>glucanase</w:t>
      </w:r>
      <w:proofErr w:type="spellEnd"/>
      <w:r>
        <w:t xml:space="preserve">) to the </w:t>
      </w:r>
      <w:r w:rsidR="00170CEE">
        <w:t>feed</w:t>
      </w:r>
      <w:r>
        <w:t>.</w:t>
      </w:r>
    </w:p>
    <w:p w14:paraId="2AEC0BAF" w14:textId="77777777" w:rsidR="00DF4736" w:rsidRPr="002648B3" w:rsidRDefault="00DF4736" w:rsidP="005D05ED">
      <w:pPr>
        <w:pStyle w:val="CETBodytext"/>
        <w:spacing w:before="120" w:after="120"/>
        <w:rPr>
          <w:b/>
          <w:szCs w:val="21"/>
        </w:rPr>
      </w:pPr>
      <w:r w:rsidRPr="002648B3">
        <w:rPr>
          <w:b/>
          <w:szCs w:val="21"/>
        </w:rPr>
        <w:t>3.2 BSG in human diet</w:t>
      </w:r>
    </w:p>
    <w:p w14:paraId="74EE5E2A" w14:textId="7445323D" w:rsidR="009A645C" w:rsidRDefault="00DF4736" w:rsidP="00DF4736">
      <w:pPr>
        <w:pStyle w:val="CETBodytext"/>
        <w:rPr>
          <w:bCs/>
        </w:rPr>
      </w:pPr>
      <w:r w:rsidRPr="00DF4736">
        <w:rPr>
          <w:bCs/>
        </w:rPr>
        <w:t xml:space="preserve">Several beneficial effects have been observed </w:t>
      </w:r>
      <w:r w:rsidR="00B43344">
        <w:rPr>
          <w:bCs/>
        </w:rPr>
        <w:t>in the use of</w:t>
      </w:r>
      <w:r w:rsidRPr="00DF4736">
        <w:rPr>
          <w:bCs/>
        </w:rPr>
        <w:t xml:space="preserve"> BSG or its components </w:t>
      </w:r>
      <w:r w:rsidR="00B43344">
        <w:rPr>
          <w:bCs/>
        </w:rPr>
        <w:t xml:space="preserve">in </w:t>
      </w:r>
      <w:r w:rsidR="00FA340C">
        <w:rPr>
          <w:bCs/>
        </w:rPr>
        <w:t xml:space="preserve">the </w:t>
      </w:r>
      <w:r w:rsidR="00B43344">
        <w:rPr>
          <w:bCs/>
        </w:rPr>
        <w:t xml:space="preserve">human diet, </w:t>
      </w:r>
      <w:r w:rsidRPr="00DF4736">
        <w:rPr>
          <w:bCs/>
        </w:rPr>
        <w:t xml:space="preserve">including accelerated transit time, increased </w:t>
      </w:r>
      <w:proofErr w:type="spellStart"/>
      <w:r w:rsidRPr="00DF4736">
        <w:rPr>
          <w:bCs/>
        </w:rPr>
        <w:t>f</w:t>
      </w:r>
      <w:r w:rsidR="00FA340C">
        <w:rPr>
          <w:bCs/>
        </w:rPr>
        <w:t>a</w:t>
      </w:r>
      <w:r w:rsidRPr="00DF4736">
        <w:rPr>
          <w:bCs/>
        </w:rPr>
        <w:t>ecal</w:t>
      </w:r>
      <w:proofErr w:type="spellEnd"/>
      <w:r w:rsidRPr="00DF4736">
        <w:rPr>
          <w:bCs/>
        </w:rPr>
        <w:t xml:space="preserve"> volume, reduced cholesterol and postprandial glucose levels (</w:t>
      </w:r>
      <w:proofErr w:type="spellStart"/>
      <w:r w:rsidRPr="00DF4736">
        <w:rPr>
          <w:bCs/>
        </w:rPr>
        <w:t>Mussatto</w:t>
      </w:r>
      <w:proofErr w:type="spellEnd"/>
      <w:r w:rsidRPr="00DF4736">
        <w:rPr>
          <w:bCs/>
        </w:rPr>
        <w:t xml:space="preserve">, 2014). </w:t>
      </w:r>
      <w:r w:rsidR="00D03E76">
        <w:rPr>
          <w:bCs/>
        </w:rPr>
        <w:t>Further</w:t>
      </w:r>
      <w:r w:rsidRPr="00DF4736">
        <w:rPr>
          <w:bCs/>
        </w:rPr>
        <w:t xml:space="preserve"> positive effects</w:t>
      </w:r>
      <w:r w:rsidR="00D03E76">
        <w:rPr>
          <w:bCs/>
        </w:rPr>
        <w:t xml:space="preserve"> are associated </w:t>
      </w:r>
      <w:r w:rsidR="00FA340C">
        <w:rPr>
          <w:bCs/>
        </w:rPr>
        <w:t>with a significant reduction in contracting type II diabetes, obesity, diverticulitis, cardiovascular problems,</w:t>
      </w:r>
      <w:r w:rsidRPr="00DF4736">
        <w:rPr>
          <w:bCs/>
        </w:rPr>
        <w:t xml:space="preserve"> or colorectal cancer (Steiner et al., 2015). This is due to the presence of biologically active compounds</w:t>
      </w:r>
      <w:r w:rsidR="00686A3D">
        <w:rPr>
          <w:bCs/>
        </w:rPr>
        <w:t xml:space="preserve"> such as </w:t>
      </w:r>
      <w:r w:rsidR="000A0264">
        <w:rPr>
          <w:rFonts w:cs="Arial"/>
          <w:bCs/>
        </w:rPr>
        <w:t>β</w:t>
      </w:r>
      <w:r w:rsidR="000A0264">
        <w:rPr>
          <w:bCs/>
        </w:rPr>
        <w:t>-glucans</w:t>
      </w:r>
      <w:r w:rsidRPr="00DF4736">
        <w:rPr>
          <w:bCs/>
        </w:rPr>
        <w:t xml:space="preserve"> which play an important physiological role in the body (</w:t>
      </w:r>
      <w:proofErr w:type="spellStart"/>
      <w:r w:rsidRPr="00DF4736">
        <w:rPr>
          <w:bCs/>
        </w:rPr>
        <w:t>Chetrariu</w:t>
      </w:r>
      <w:proofErr w:type="spellEnd"/>
      <w:r w:rsidRPr="00DF4736">
        <w:rPr>
          <w:bCs/>
        </w:rPr>
        <w:t xml:space="preserve"> and </w:t>
      </w:r>
      <w:proofErr w:type="spellStart"/>
      <w:r w:rsidRPr="00DF4736">
        <w:rPr>
          <w:bCs/>
        </w:rPr>
        <w:t>Dabija</w:t>
      </w:r>
      <w:proofErr w:type="spellEnd"/>
      <w:r w:rsidRPr="00DF4736">
        <w:rPr>
          <w:bCs/>
        </w:rPr>
        <w:t xml:space="preserve">, 2020). This has led to increased interest in </w:t>
      </w:r>
      <w:r w:rsidR="00FA340C">
        <w:rPr>
          <w:bCs/>
        </w:rPr>
        <w:t>developing</w:t>
      </w:r>
      <w:r w:rsidRPr="00DF4736">
        <w:rPr>
          <w:bCs/>
        </w:rPr>
        <w:t xml:space="preserve"> BSG fortified foods</w:t>
      </w:r>
      <w:r w:rsidR="00FA340C">
        <w:rPr>
          <w:bCs/>
        </w:rPr>
        <w:t>,</w:t>
      </w:r>
      <w:r w:rsidRPr="00DF4736">
        <w:rPr>
          <w:bCs/>
        </w:rPr>
        <w:t xml:space="preserve"> which are considered functional food offering health benefits when combined with a balanced diet. </w:t>
      </w:r>
      <w:r w:rsidR="00F557AA">
        <w:rPr>
          <w:bCs/>
        </w:rPr>
        <w:t>The incorporation of sp</w:t>
      </w:r>
      <w:r w:rsidR="003431AB">
        <w:rPr>
          <w:bCs/>
        </w:rPr>
        <w:t xml:space="preserve">ent grain in the manufacturing of bakery products such as bread, biscuits and snacks </w:t>
      </w:r>
      <w:proofErr w:type="gramStart"/>
      <w:r w:rsidR="003431AB">
        <w:rPr>
          <w:bCs/>
        </w:rPr>
        <w:t>was</w:t>
      </w:r>
      <w:proofErr w:type="gramEnd"/>
      <w:r w:rsidR="003431AB">
        <w:rPr>
          <w:bCs/>
        </w:rPr>
        <w:t xml:space="preserve"> also evaluated in order to increase the fiber content. </w:t>
      </w:r>
      <w:r w:rsidRPr="00DF4736">
        <w:rPr>
          <w:bCs/>
        </w:rPr>
        <w:t xml:space="preserve">To make this possible, </w:t>
      </w:r>
      <w:r w:rsidR="003431AB">
        <w:rPr>
          <w:bCs/>
        </w:rPr>
        <w:t>BSG</w:t>
      </w:r>
      <w:r w:rsidRPr="00DF4736">
        <w:rPr>
          <w:bCs/>
        </w:rPr>
        <w:t xml:space="preserve"> </w:t>
      </w:r>
      <w:r w:rsidR="00463EC1">
        <w:rPr>
          <w:bCs/>
        </w:rPr>
        <w:t>is usually</w:t>
      </w:r>
      <w:r w:rsidRPr="00DF4736">
        <w:rPr>
          <w:bCs/>
        </w:rPr>
        <w:t xml:space="preserve"> converted into flour as its grainy nature may alter the </w:t>
      </w:r>
      <w:r w:rsidR="00FA340C">
        <w:rPr>
          <w:bCs/>
        </w:rPr>
        <w:t>final product's physical properties</w:t>
      </w:r>
      <w:r w:rsidRPr="00DF4736">
        <w:rPr>
          <w:bCs/>
        </w:rPr>
        <w:t>. In this way</w:t>
      </w:r>
      <w:r w:rsidR="00FA340C">
        <w:rPr>
          <w:bCs/>
        </w:rPr>
        <w:t>,</w:t>
      </w:r>
      <w:r w:rsidRPr="00DF4736">
        <w:rPr>
          <w:bCs/>
        </w:rPr>
        <w:t xml:space="preserve"> the particle</w:t>
      </w:r>
      <w:r w:rsidR="00FA340C">
        <w:rPr>
          <w:bCs/>
        </w:rPr>
        <w:t xml:space="preserve"> </w:t>
      </w:r>
      <w:r w:rsidRPr="00DF4736">
        <w:rPr>
          <w:bCs/>
        </w:rPr>
        <w:t xml:space="preserve">size is reduced, which is important </w:t>
      </w:r>
      <w:r w:rsidR="004E0B3A">
        <w:rPr>
          <w:bCs/>
        </w:rPr>
        <w:t xml:space="preserve">to make </w:t>
      </w:r>
      <w:r w:rsidR="00597979">
        <w:rPr>
          <w:bCs/>
        </w:rPr>
        <w:t xml:space="preserve">the final product acceptable </w:t>
      </w:r>
      <w:r w:rsidR="009510BC">
        <w:rPr>
          <w:bCs/>
        </w:rPr>
        <w:t>to the consumer</w:t>
      </w:r>
      <w:r w:rsidR="005C0FC5">
        <w:rPr>
          <w:bCs/>
        </w:rPr>
        <w:t xml:space="preserve"> </w:t>
      </w:r>
      <w:r w:rsidRPr="00DF4736">
        <w:rPr>
          <w:bCs/>
        </w:rPr>
        <w:t>(</w:t>
      </w:r>
      <w:proofErr w:type="spellStart"/>
      <w:r w:rsidRPr="00DF4736">
        <w:rPr>
          <w:bCs/>
        </w:rPr>
        <w:t>Mussatto</w:t>
      </w:r>
      <w:proofErr w:type="spellEnd"/>
      <w:r w:rsidRPr="00DF4736">
        <w:rPr>
          <w:bCs/>
        </w:rPr>
        <w:t xml:space="preserve">, 2014). BSG incorporation </w:t>
      </w:r>
      <w:r w:rsidR="00F12B67">
        <w:rPr>
          <w:bCs/>
        </w:rPr>
        <w:t xml:space="preserve">in food products </w:t>
      </w:r>
      <w:r w:rsidRPr="00DF4736">
        <w:rPr>
          <w:bCs/>
        </w:rPr>
        <w:t xml:space="preserve">was </w:t>
      </w:r>
      <w:proofErr w:type="spellStart"/>
      <w:r w:rsidR="00FA340C" w:rsidRPr="00DF4736">
        <w:rPr>
          <w:bCs/>
        </w:rPr>
        <w:t>analy</w:t>
      </w:r>
      <w:r w:rsidR="00FA340C">
        <w:rPr>
          <w:bCs/>
        </w:rPr>
        <w:t>s</w:t>
      </w:r>
      <w:r w:rsidR="00FA340C" w:rsidRPr="00DF4736">
        <w:rPr>
          <w:bCs/>
        </w:rPr>
        <w:t>ed</w:t>
      </w:r>
      <w:proofErr w:type="spellEnd"/>
      <w:r w:rsidR="00FA340C" w:rsidRPr="00DF4736">
        <w:rPr>
          <w:bCs/>
        </w:rPr>
        <w:t xml:space="preserve"> </w:t>
      </w:r>
      <w:r w:rsidR="009D24C5">
        <w:rPr>
          <w:bCs/>
        </w:rPr>
        <w:t xml:space="preserve">by Lynch et al. (2016) </w:t>
      </w:r>
      <w:r w:rsidRPr="00DF4736">
        <w:rPr>
          <w:bCs/>
        </w:rPr>
        <w:t>at different levels (10-40% on a dry weight)</w:t>
      </w:r>
      <w:r w:rsidR="00E767D2">
        <w:rPr>
          <w:bCs/>
        </w:rPr>
        <w:t>.</w:t>
      </w:r>
      <w:r w:rsidRPr="00DF4736">
        <w:rPr>
          <w:bCs/>
        </w:rPr>
        <w:t xml:space="preserve"> </w:t>
      </w:r>
      <w:r w:rsidR="00E767D2">
        <w:rPr>
          <w:bCs/>
        </w:rPr>
        <w:t>T</w:t>
      </w:r>
      <w:r w:rsidRPr="00DF4736">
        <w:rPr>
          <w:bCs/>
        </w:rPr>
        <w:t xml:space="preserve">he main effects observed were an increase in protein, fiber and amino acids content and a decrease in </w:t>
      </w:r>
      <w:r w:rsidR="00FA340C">
        <w:rPr>
          <w:bCs/>
        </w:rPr>
        <w:t xml:space="preserve">the </w:t>
      </w:r>
      <w:r w:rsidRPr="00DF4736">
        <w:rPr>
          <w:bCs/>
        </w:rPr>
        <w:t>starch level and calorie</w:t>
      </w:r>
      <w:r w:rsidR="00E767D2">
        <w:rPr>
          <w:bCs/>
        </w:rPr>
        <w:t>s</w:t>
      </w:r>
      <w:r w:rsidRPr="00DF4736">
        <w:rPr>
          <w:bCs/>
        </w:rPr>
        <w:t xml:space="preserve">. However, it is important to consider the possible sensory alterations that may occur. In fact, since it has a brown </w:t>
      </w:r>
      <w:proofErr w:type="spellStart"/>
      <w:r w:rsidR="009D24C5" w:rsidRPr="00DF4736">
        <w:rPr>
          <w:bCs/>
        </w:rPr>
        <w:t>colo</w:t>
      </w:r>
      <w:r w:rsidR="00FA340C">
        <w:rPr>
          <w:bCs/>
        </w:rPr>
        <w:t>u</w:t>
      </w:r>
      <w:r w:rsidR="009D24C5" w:rsidRPr="00DF4736">
        <w:rPr>
          <w:bCs/>
        </w:rPr>
        <w:t>r</w:t>
      </w:r>
      <w:proofErr w:type="spellEnd"/>
      <w:r w:rsidRPr="00DF4736">
        <w:rPr>
          <w:bCs/>
        </w:rPr>
        <w:t xml:space="preserve">, it is recommended to use BSG only in colored products (bread, biscuits, etc.) </w:t>
      </w:r>
      <w:r w:rsidR="00E767D2">
        <w:rPr>
          <w:bCs/>
        </w:rPr>
        <w:t>to prevent</w:t>
      </w:r>
      <w:r w:rsidRPr="00DF4736">
        <w:rPr>
          <w:bCs/>
        </w:rPr>
        <w:t xml:space="preserve"> </w:t>
      </w:r>
      <w:proofErr w:type="spellStart"/>
      <w:r w:rsidR="009D24C5" w:rsidRPr="00DF4736">
        <w:rPr>
          <w:bCs/>
        </w:rPr>
        <w:t>colo</w:t>
      </w:r>
      <w:r w:rsidR="00FA340C">
        <w:rPr>
          <w:bCs/>
        </w:rPr>
        <w:t>u</w:t>
      </w:r>
      <w:r w:rsidR="009D24C5" w:rsidRPr="00DF4736">
        <w:rPr>
          <w:bCs/>
        </w:rPr>
        <w:t>r</w:t>
      </w:r>
      <w:proofErr w:type="spellEnd"/>
      <w:r w:rsidRPr="00DF4736">
        <w:rPr>
          <w:bCs/>
        </w:rPr>
        <w:t xml:space="preserve"> </w:t>
      </w:r>
      <w:r w:rsidR="00E767D2">
        <w:rPr>
          <w:bCs/>
        </w:rPr>
        <w:t xml:space="preserve">alteration </w:t>
      </w:r>
      <w:r w:rsidRPr="00DF4736">
        <w:rPr>
          <w:bCs/>
        </w:rPr>
        <w:t xml:space="preserve">of the product. </w:t>
      </w:r>
      <w:r w:rsidR="00E767D2">
        <w:rPr>
          <w:bCs/>
        </w:rPr>
        <w:t>For a BSG addition higher than 20%</w:t>
      </w:r>
      <w:r w:rsidR="00FA340C">
        <w:rPr>
          <w:bCs/>
        </w:rPr>
        <w:t>,</w:t>
      </w:r>
      <w:r w:rsidR="00E767D2">
        <w:rPr>
          <w:bCs/>
        </w:rPr>
        <w:t xml:space="preserve"> </w:t>
      </w:r>
      <w:r w:rsidRPr="00DF4736">
        <w:rPr>
          <w:bCs/>
        </w:rPr>
        <w:t xml:space="preserve">the </w:t>
      </w:r>
      <w:proofErr w:type="spellStart"/>
      <w:r w:rsidRPr="00DF4736">
        <w:rPr>
          <w:bCs/>
        </w:rPr>
        <w:t>colour</w:t>
      </w:r>
      <w:proofErr w:type="spellEnd"/>
      <w:r w:rsidRPr="00DF4736">
        <w:rPr>
          <w:bCs/>
        </w:rPr>
        <w:t xml:space="preserve"> </w:t>
      </w:r>
      <w:r w:rsidR="00E767D2">
        <w:rPr>
          <w:bCs/>
        </w:rPr>
        <w:t>is</w:t>
      </w:r>
      <w:r w:rsidR="00E767D2" w:rsidRPr="00DF4736">
        <w:rPr>
          <w:bCs/>
        </w:rPr>
        <w:t xml:space="preserve"> </w:t>
      </w:r>
      <w:r w:rsidRPr="00DF4736">
        <w:rPr>
          <w:bCs/>
        </w:rPr>
        <w:t xml:space="preserve">not the only property </w:t>
      </w:r>
      <w:r w:rsidR="00FA340C">
        <w:rPr>
          <w:bCs/>
        </w:rPr>
        <w:t xml:space="preserve">to be </w:t>
      </w:r>
      <w:r w:rsidRPr="00DF4736">
        <w:rPr>
          <w:bCs/>
        </w:rPr>
        <w:t xml:space="preserve">affected, but also the product structure, the </w:t>
      </w:r>
      <w:proofErr w:type="gramStart"/>
      <w:r w:rsidRPr="00DF4736">
        <w:rPr>
          <w:bCs/>
        </w:rPr>
        <w:t>volume</w:t>
      </w:r>
      <w:proofErr w:type="gramEnd"/>
      <w:r w:rsidRPr="00DF4736">
        <w:rPr>
          <w:bCs/>
        </w:rPr>
        <w:t xml:space="preserve"> and the texture. According to</w:t>
      </w:r>
      <w:r w:rsidR="005C0FC5">
        <w:rPr>
          <w:bCs/>
        </w:rPr>
        <w:t xml:space="preserve"> </w:t>
      </w:r>
      <w:r w:rsidR="00742F07">
        <w:rPr>
          <w:bCs/>
        </w:rPr>
        <w:t>Steiner et al. (2015)</w:t>
      </w:r>
      <w:r w:rsidRPr="00DF4736">
        <w:rPr>
          <w:bCs/>
        </w:rPr>
        <w:t>, these problems</w:t>
      </w:r>
      <w:r w:rsidR="009A645C">
        <w:rPr>
          <w:bCs/>
        </w:rPr>
        <w:t xml:space="preserve"> can be prevented by replacing </w:t>
      </w:r>
      <w:r w:rsidRPr="00DF4736">
        <w:rPr>
          <w:bCs/>
        </w:rPr>
        <w:t xml:space="preserve">only 10% of normal flour </w:t>
      </w:r>
      <w:r w:rsidR="009A645C">
        <w:rPr>
          <w:bCs/>
        </w:rPr>
        <w:t>with</w:t>
      </w:r>
      <w:r w:rsidRPr="00DF4736">
        <w:rPr>
          <w:bCs/>
        </w:rPr>
        <w:t xml:space="preserve"> BSG.</w:t>
      </w:r>
      <w:r w:rsidRPr="00DF4736">
        <w:rPr>
          <w:bCs/>
        </w:rPr>
        <w:tab/>
      </w:r>
      <w:r w:rsidR="009A645C">
        <w:rPr>
          <w:bCs/>
        </w:rPr>
        <w:t xml:space="preserve"> Besides </w:t>
      </w:r>
      <w:r w:rsidRPr="00DF4736">
        <w:rPr>
          <w:bCs/>
        </w:rPr>
        <w:t>bakery products</w:t>
      </w:r>
      <w:r w:rsidR="00FA340C">
        <w:rPr>
          <w:bCs/>
        </w:rPr>
        <w:t>,</w:t>
      </w:r>
      <w:r w:rsidRPr="00DF4736">
        <w:rPr>
          <w:bCs/>
        </w:rPr>
        <w:t xml:space="preserve"> </w:t>
      </w:r>
      <w:proofErr w:type="spellStart"/>
      <w:r w:rsidRPr="00DF4736">
        <w:rPr>
          <w:bCs/>
        </w:rPr>
        <w:t>Özvural</w:t>
      </w:r>
      <w:proofErr w:type="spellEnd"/>
      <w:r w:rsidRPr="00DF4736">
        <w:rPr>
          <w:bCs/>
        </w:rPr>
        <w:t xml:space="preserve"> et al. (2009) investigated the production of Frankfurters sausages using BSG as a fat substitute to produce a meat product with high fiber </w:t>
      </w:r>
      <w:r w:rsidR="009A645C">
        <w:rPr>
          <w:bCs/>
        </w:rPr>
        <w:t>and</w:t>
      </w:r>
      <w:r w:rsidR="009A645C" w:rsidRPr="00DF4736">
        <w:rPr>
          <w:bCs/>
        </w:rPr>
        <w:t xml:space="preserve"> </w:t>
      </w:r>
      <w:r w:rsidRPr="00DF4736">
        <w:rPr>
          <w:bCs/>
        </w:rPr>
        <w:t xml:space="preserve">low-fat content. </w:t>
      </w:r>
    </w:p>
    <w:p w14:paraId="0AEBAF38" w14:textId="4D9CDDA6" w:rsidR="00DF4736" w:rsidRPr="00DF4736" w:rsidRDefault="00436156" w:rsidP="00DF4736">
      <w:pPr>
        <w:pStyle w:val="CETBodytext"/>
        <w:rPr>
          <w:bCs/>
        </w:rPr>
      </w:pPr>
      <w:r>
        <w:rPr>
          <w:bCs/>
        </w:rPr>
        <w:t xml:space="preserve">Other than a direct application of BSG as </w:t>
      </w:r>
      <w:r w:rsidR="00FA340C">
        <w:rPr>
          <w:bCs/>
        </w:rPr>
        <w:t>a substitute for other ingredients in food preparation, the extraction of phenolic compounds</w:t>
      </w:r>
      <w:r>
        <w:rPr>
          <w:bCs/>
        </w:rPr>
        <w:t xml:space="preserve"> as </w:t>
      </w:r>
      <w:r w:rsidR="00DF4736" w:rsidRPr="00DF4736">
        <w:rPr>
          <w:bCs/>
        </w:rPr>
        <w:t xml:space="preserve">additives </w:t>
      </w:r>
      <w:r>
        <w:rPr>
          <w:bCs/>
        </w:rPr>
        <w:t xml:space="preserve">represents a feasible </w:t>
      </w:r>
      <w:proofErr w:type="spellStart"/>
      <w:r>
        <w:rPr>
          <w:bCs/>
        </w:rPr>
        <w:t>valori</w:t>
      </w:r>
      <w:r w:rsidR="00FA340C">
        <w:rPr>
          <w:bCs/>
        </w:rPr>
        <w:t>s</w:t>
      </w:r>
      <w:r>
        <w:rPr>
          <w:bCs/>
        </w:rPr>
        <w:t>ation</w:t>
      </w:r>
      <w:proofErr w:type="spellEnd"/>
      <w:r>
        <w:rPr>
          <w:bCs/>
        </w:rPr>
        <w:t xml:space="preserve"> route. </w:t>
      </w:r>
      <w:r w:rsidR="006D16FD">
        <w:rPr>
          <w:bCs/>
        </w:rPr>
        <w:t xml:space="preserve">As suggested by </w:t>
      </w:r>
      <w:r w:rsidR="00DF4736" w:rsidRPr="00DF4736">
        <w:rPr>
          <w:bCs/>
        </w:rPr>
        <w:t>McCarthy et al. (2013)</w:t>
      </w:r>
      <w:r w:rsidR="007227E8">
        <w:rPr>
          <w:bCs/>
        </w:rPr>
        <w:t>, the addition of BSG</w:t>
      </w:r>
      <w:r w:rsidR="00464C6E">
        <w:rPr>
          <w:bCs/>
        </w:rPr>
        <w:t xml:space="preserve"> extracts</w:t>
      </w:r>
      <w:r w:rsidR="007227E8">
        <w:rPr>
          <w:bCs/>
        </w:rPr>
        <w:t xml:space="preserve"> to food drinks</w:t>
      </w:r>
      <w:r w:rsidR="00464C6E">
        <w:rPr>
          <w:bCs/>
        </w:rPr>
        <w:t xml:space="preserve"> such as fruit juices and smoothies can </w:t>
      </w:r>
      <w:r w:rsidR="00965D01">
        <w:rPr>
          <w:bCs/>
        </w:rPr>
        <w:t>significantly improve the total phenol</w:t>
      </w:r>
      <w:r w:rsidR="009C6481">
        <w:rPr>
          <w:bCs/>
        </w:rPr>
        <w:t>i</w:t>
      </w:r>
      <w:r w:rsidR="00965D01">
        <w:rPr>
          <w:bCs/>
        </w:rPr>
        <w:t>c content</w:t>
      </w:r>
      <w:r w:rsidR="008611DF">
        <w:rPr>
          <w:bCs/>
        </w:rPr>
        <w:t xml:space="preserve"> in the case</w:t>
      </w:r>
      <w:r w:rsidR="009956AE">
        <w:rPr>
          <w:bCs/>
        </w:rPr>
        <w:t xml:space="preserve"> of </w:t>
      </w:r>
      <w:r w:rsidR="00DE11E7">
        <w:rPr>
          <w:bCs/>
        </w:rPr>
        <w:t>important differences with the original</w:t>
      </w:r>
      <w:r w:rsidR="005C0FC5">
        <w:rPr>
          <w:bCs/>
        </w:rPr>
        <w:t xml:space="preserve">s. </w:t>
      </w:r>
      <w:r w:rsidR="00DF4736" w:rsidRPr="00DF4736">
        <w:rPr>
          <w:bCs/>
        </w:rPr>
        <w:t>Further studies were conducted on the use of polyphenols and flavonoids extracted from BSG for the preparation of fish burgers using various bioactive powders (Spinelli et al., 201</w:t>
      </w:r>
      <w:r w:rsidR="008066D6">
        <w:rPr>
          <w:bCs/>
        </w:rPr>
        <w:t>6a),</w:t>
      </w:r>
      <w:r w:rsidR="00DF4736" w:rsidRPr="00DF4736">
        <w:rPr>
          <w:bCs/>
        </w:rPr>
        <w:t xml:space="preserve"> and on the possibility of strengthening food products such as pasta and infant formulas using the extracted proteins (</w:t>
      </w:r>
      <w:proofErr w:type="spellStart"/>
      <w:r w:rsidR="00DF4736" w:rsidRPr="00DF4736">
        <w:rPr>
          <w:bCs/>
        </w:rPr>
        <w:t>Nazzaro</w:t>
      </w:r>
      <w:proofErr w:type="spellEnd"/>
      <w:r w:rsidR="00DF4736" w:rsidRPr="00DF4736">
        <w:rPr>
          <w:bCs/>
        </w:rPr>
        <w:t xml:space="preserve"> et al., 2018).</w:t>
      </w:r>
    </w:p>
    <w:p w14:paraId="206074F6" w14:textId="4F6F8076" w:rsidR="004D63CA" w:rsidRDefault="00652BFB" w:rsidP="005D05ED">
      <w:pPr>
        <w:pStyle w:val="CETBodytext"/>
        <w:spacing w:before="120" w:after="120"/>
        <w:rPr>
          <w:b/>
        </w:rPr>
      </w:pPr>
      <w:r>
        <w:rPr>
          <w:b/>
        </w:rPr>
        <w:t xml:space="preserve">3.3 BSG for ethanol production </w:t>
      </w:r>
    </w:p>
    <w:p w14:paraId="3BBEDBB8" w14:textId="3A35FC85" w:rsidR="00346735" w:rsidRDefault="00EC3752" w:rsidP="00F15E13">
      <w:pPr>
        <w:pStyle w:val="CETBodytext"/>
        <w:rPr>
          <w:bCs/>
        </w:rPr>
      </w:pPr>
      <w:r>
        <w:rPr>
          <w:bCs/>
        </w:rPr>
        <w:t xml:space="preserve">Biofuels obtained from the conversion of lignocellulosic materials are a viable alternative </w:t>
      </w:r>
      <w:r w:rsidR="00475DE0">
        <w:rPr>
          <w:bCs/>
        </w:rPr>
        <w:t>to fossil fuels</w:t>
      </w:r>
      <w:r w:rsidR="009933D8">
        <w:rPr>
          <w:bCs/>
        </w:rPr>
        <w:t xml:space="preserve"> </w:t>
      </w:r>
      <w:r w:rsidR="000A23D1">
        <w:rPr>
          <w:bCs/>
        </w:rPr>
        <w:t xml:space="preserve">since </w:t>
      </w:r>
      <w:r w:rsidR="00FA340C">
        <w:rPr>
          <w:bCs/>
        </w:rPr>
        <w:t xml:space="preserve">they </w:t>
      </w:r>
      <w:r w:rsidR="000A23D1">
        <w:rPr>
          <w:bCs/>
        </w:rPr>
        <w:t xml:space="preserve">are considered carbon neutral. </w:t>
      </w:r>
      <w:r w:rsidR="00E96E0C">
        <w:rPr>
          <w:bCs/>
        </w:rPr>
        <w:t>Cellulosic</w:t>
      </w:r>
      <w:r w:rsidR="000C43C4">
        <w:rPr>
          <w:bCs/>
        </w:rPr>
        <w:t xml:space="preserve"> bioethanol has received considerable global attention as a transport fuel </w:t>
      </w:r>
      <w:r w:rsidR="002423C4">
        <w:rPr>
          <w:bCs/>
        </w:rPr>
        <w:t>for several benefits</w:t>
      </w:r>
      <w:r w:rsidR="00FA340C">
        <w:rPr>
          <w:bCs/>
        </w:rPr>
        <w:t>,</w:t>
      </w:r>
      <w:r w:rsidR="002423C4">
        <w:rPr>
          <w:bCs/>
        </w:rPr>
        <w:t xml:space="preserve"> among which its potential to reduce greenhouse gas emissions by 86% certainly stands out (Wang et al., 2007). </w:t>
      </w:r>
      <w:r w:rsidR="00A42A19">
        <w:rPr>
          <w:bCs/>
        </w:rPr>
        <w:t xml:space="preserve">Several studies were performed to obtain ethanol from the biological conversion of </w:t>
      </w:r>
      <w:r w:rsidR="000A23D1">
        <w:rPr>
          <w:bCs/>
        </w:rPr>
        <w:t xml:space="preserve">SBG </w:t>
      </w:r>
      <w:r w:rsidR="00A42A19">
        <w:rPr>
          <w:bCs/>
        </w:rPr>
        <w:t>using different pre-treatment techniques and fermentation conditions</w:t>
      </w:r>
      <w:r w:rsidR="00D046A3">
        <w:rPr>
          <w:bCs/>
        </w:rPr>
        <w:t>, leading to significantly different results in terms of ethanol yield</w:t>
      </w:r>
      <w:r w:rsidR="00A42A19">
        <w:rPr>
          <w:bCs/>
        </w:rPr>
        <w:t>. White et al.</w:t>
      </w:r>
      <w:r w:rsidR="008172C5">
        <w:rPr>
          <w:bCs/>
        </w:rPr>
        <w:t xml:space="preserve"> (2008) compared the results obtained from acid pre-treatment with HNO</w:t>
      </w:r>
      <w:r w:rsidR="008172C5" w:rsidRPr="00E73D93">
        <w:rPr>
          <w:bCs/>
          <w:vertAlign w:val="subscript"/>
        </w:rPr>
        <w:t>3</w:t>
      </w:r>
      <w:r w:rsidR="008172C5">
        <w:rPr>
          <w:bCs/>
        </w:rPr>
        <w:t>, H</w:t>
      </w:r>
      <w:r w:rsidR="008172C5" w:rsidRPr="00E73D93">
        <w:rPr>
          <w:bCs/>
          <w:vertAlign w:val="subscript"/>
        </w:rPr>
        <w:t>2</w:t>
      </w:r>
      <w:r w:rsidR="008172C5">
        <w:rPr>
          <w:bCs/>
        </w:rPr>
        <w:t>SO</w:t>
      </w:r>
      <w:r w:rsidR="008172C5" w:rsidRPr="00E73D93">
        <w:rPr>
          <w:bCs/>
          <w:vertAlign w:val="subscript"/>
        </w:rPr>
        <w:t>4</w:t>
      </w:r>
      <w:r w:rsidR="008172C5">
        <w:rPr>
          <w:bCs/>
        </w:rPr>
        <w:t xml:space="preserve"> and HCl at different concentrations and found the former to be the most suitable for performing this step. </w:t>
      </w:r>
      <w:r w:rsidR="006214DB">
        <w:rPr>
          <w:bCs/>
        </w:rPr>
        <w:t>The hydrolysate pretreated with 0.16 N HNO</w:t>
      </w:r>
      <w:r w:rsidR="006214DB" w:rsidRPr="009F3D76">
        <w:rPr>
          <w:bCs/>
          <w:vertAlign w:val="subscript"/>
        </w:rPr>
        <w:t>3</w:t>
      </w:r>
      <w:r w:rsidR="006214DB">
        <w:rPr>
          <w:bCs/>
        </w:rPr>
        <w:t xml:space="preserve"> and subjected to enzymatic hydrolysis, was subsequently fermented for 48 h at 30°C using two different yeast strains, </w:t>
      </w:r>
      <w:r w:rsidR="006214DB" w:rsidRPr="001C515B">
        <w:rPr>
          <w:bCs/>
          <w:i/>
          <w:iCs/>
        </w:rPr>
        <w:t xml:space="preserve">Pichia </w:t>
      </w:r>
      <w:proofErr w:type="spellStart"/>
      <w:r w:rsidR="006214DB" w:rsidRPr="001C515B">
        <w:rPr>
          <w:bCs/>
          <w:i/>
          <w:iCs/>
        </w:rPr>
        <w:t>stipit</w:t>
      </w:r>
      <w:r w:rsidR="001C515B" w:rsidRPr="001C515B">
        <w:rPr>
          <w:bCs/>
          <w:i/>
          <w:iCs/>
        </w:rPr>
        <w:t>i</w:t>
      </w:r>
      <w:r w:rsidR="006214DB" w:rsidRPr="001C515B">
        <w:rPr>
          <w:bCs/>
          <w:i/>
          <w:iCs/>
        </w:rPr>
        <w:t>s</w:t>
      </w:r>
      <w:proofErr w:type="spellEnd"/>
      <w:r w:rsidR="006214DB">
        <w:rPr>
          <w:bCs/>
        </w:rPr>
        <w:t xml:space="preserve"> </w:t>
      </w:r>
      <w:r w:rsidR="001C515B">
        <w:rPr>
          <w:bCs/>
        </w:rPr>
        <w:t xml:space="preserve">NCYC 1540 </w:t>
      </w:r>
      <w:r w:rsidR="006214DB">
        <w:rPr>
          <w:bCs/>
        </w:rPr>
        <w:t xml:space="preserve">and </w:t>
      </w:r>
      <w:proofErr w:type="spellStart"/>
      <w:r w:rsidR="006214DB" w:rsidRPr="001C515B">
        <w:rPr>
          <w:bCs/>
          <w:i/>
          <w:iCs/>
        </w:rPr>
        <w:t>Kluyveromyces</w:t>
      </w:r>
      <w:proofErr w:type="spellEnd"/>
      <w:r w:rsidR="006214DB" w:rsidRPr="001C515B">
        <w:rPr>
          <w:bCs/>
          <w:i/>
          <w:iCs/>
        </w:rPr>
        <w:t xml:space="preserve"> </w:t>
      </w:r>
      <w:proofErr w:type="spellStart"/>
      <w:r w:rsidR="006214DB" w:rsidRPr="001C515B">
        <w:rPr>
          <w:bCs/>
          <w:i/>
          <w:iCs/>
        </w:rPr>
        <w:t>marxianus</w:t>
      </w:r>
      <w:proofErr w:type="spellEnd"/>
      <w:r w:rsidR="001C515B">
        <w:rPr>
          <w:bCs/>
        </w:rPr>
        <w:t xml:space="preserve"> NCYC 1425</w:t>
      </w:r>
      <w:r w:rsidR="006214DB">
        <w:rPr>
          <w:bCs/>
        </w:rPr>
        <w:t xml:space="preserve">, obtaining respectively </w:t>
      </w:r>
      <w:r w:rsidR="00E73D93">
        <w:rPr>
          <w:bCs/>
        </w:rPr>
        <w:t>8.3 and 5.9 g L</w:t>
      </w:r>
      <w:r w:rsidR="00E73D93" w:rsidRPr="00E73D93">
        <w:rPr>
          <w:bCs/>
          <w:vertAlign w:val="superscript"/>
        </w:rPr>
        <w:t>-1</w:t>
      </w:r>
      <w:r w:rsidR="00E73D93">
        <w:rPr>
          <w:bCs/>
        </w:rPr>
        <w:t xml:space="preserve"> ethanol, which correspond to 0.32 and 0.23 g ethanol (g substrate</w:t>
      </w:r>
      <w:r w:rsidR="00E73D93" w:rsidRPr="00E73D93">
        <w:rPr>
          <w:bCs/>
          <w:vertAlign w:val="superscript"/>
        </w:rPr>
        <w:t>-1</w:t>
      </w:r>
      <w:r w:rsidR="00E73D93">
        <w:rPr>
          <w:bCs/>
        </w:rPr>
        <w:t xml:space="preserve">) and 63% and 45% in terms of theoretical conversion. </w:t>
      </w:r>
      <w:r w:rsidR="00FA340C">
        <w:rPr>
          <w:bCs/>
        </w:rPr>
        <w:t xml:space="preserve">Liguori et al. (2015) </w:t>
      </w:r>
      <w:r w:rsidR="00FA340C">
        <w:rPr>
          <w:bCs/>
        </w:rPr>
        <w:lastRenderedPageBreak/>
        <w:t>obtained a higher concentration of ethanol</w:t>
      </w:r>
      <w:r w:rsidR="00B14192">
        <w:rPr>
          <w:bCs/>
        </w:rPr>
        <w:t>, which combined an acid pre-treatment with H</w:t>
      </w:r>
      <w:r w:rsidR="00B14192" w:rsidRPr="00B14192">
        <w:rPr>
          <w:bCs/>
          <w:vertAlign w:val="subscript"/>
        </w:rPr>
        <w:t>2</w:t>
      </w:r>
      <w:r w:rsidR="00B14192">
        <w:rPr>
          <w:bCs/>
        </w:rPr>
        <w:t>SO</w:t>
      </w:r>
      <w:r w:rsidR="00B14192" w:rsidRPr="00B14192">
        <w:rPr>
          <w:bCs/>
          <w:vertAlign w:val="subscript"/>
        </w:rPr>
        <w:t>4</w:t>
      </w:r>
      <w:r w:rsidR="00B14192">
        <w:rPr>
          <w:bCs/>
        </w:rPr>
        <w:t xml:space="preserve"> with an alkaline treatment</w:t>
      </w:r>
      <w:r w:rsidR="00C65E34">
        <w:rPr>
          <w:bCs/>
        </w:rPr>
        <w:t xml:space="preserve">, resulting in a hydrolysate containing 75 g/L glucose. </w:t>
      </w:r>
      <w:r w:rsidR="001C515B">
        <w:rPr>
          <w:bCs/>
        </w:rPr>
        <w:t xml:space="preserve">The fermentation step was performed using </w:t>
      </w:r>
      <w:r w:rsidR="001C515B" w:rsidRPr="001C515B">
        <w:rPr>
          <w:bCs/>
          <w:i/>
          <w:iCs/>
        </w:rPr>
        <w:t>Saccharomyces cerevisiae</w:t>
      </w:r>
      <w:r w:rsidR="001C515B">
        <w:rPr>
          <w:bCs/>
        </w:rPr>
        <w:t xml:space="preserve"> NRRL YB 2293</w:t>
      </w:r>
      <w:r w:rsidR="00954095">
        <w:rPr>
          <w:bCs/>
        </w:rPr>
        <w:t xml:space="preserve"> and comparing the ethanol yield obtained using the BSG hydrolysate as a growth substrate with and without a supplement of yeast extract</w:t>
      </w:r>
      <w:r w:rsidR="00FA340C">
        <w:rPr>
          <w:bCs/>
        </w:rPr>
        <w:t>.</w:t>
      </w:r>
      <w:r w:rsidR="00954095">
        <w:rPr>
          <w:bCs/>
        </w:rPr>
        <w:t xml:space="preserve"> </w:t>
      </w:r>
      <w:r w:rsidR="00FF4CC0">
        <w:rPr>
          <w:bCs/>
        </w:rPr>
        <w:t>In the first case, an ethanol concentration of 12 gL</w:t>
      </w:r>
      <w:r w:rsidR="00FF4CC0" w:rsidRPr="00756A22">
        <w:rPr>
          <w:bCs/>
          <w:vertAlign w:val="superscript"/>
        </w:rPr>
        <w:t>-1</w:t>
      </w:r>
      <w:r w:rsidR="00FF4CC0">
        <w:rPr>
          <w:bCs/>
        </w:rPr>
        <w:t xml:space="preserve"> corresponding to 0.26 g ethanol (g substrate</w:t>
      </w:r>
      <w:r w:rsidR="00FF4CC0" w:rsidRPr="00756A22">
        <w:rPr>
          <w:bCs/>
          <w:vertAlign w:val="superscript"/>
        </w:rPr>
        <w:t>-1</w:t>
      </w:r>
      <w:r w:rsidR="00FF4CC0">
        <w:rPr>
          <w:bCs/>
        </w:rPr>
        <w:t>) was obtained, compared to 12.79 gL</w:t>
      </w:r>
      <w:r w:rsidR="00FF4CC0" w:rsidRPr="00756A22">
        <w:rPr>
          <w:bCs/>
          <w:vertAlign w:val="superscript"/>
        </w:rPr>
        <w:t>-1</w:t>
      </w:r>
      <w:r w:rsidR="00FF4CC0">
        <w:rPr>
          <w:bCs/>
        </w:rPr>
        <w:t xml:space="preserve"> ethanol and 0.28 g ethanol (g substrate</w:t>
      </w:r>
      <w:r w:rsidR="00FF4CC0" w:rsidRPr="00756A22">
        <w:rPr>
          <w:bCs/>
          <w:vertAlign w:val="superscript"/>
        </w:rPr>
        <w:t>-1</w:t>
      </w:r>
      <w:r w:rsidR="00FF4CC0">
        <w:rPr>
          <w:bCs/>
        </w:rPr>
        <w:t>) when the hydrolysate was enriched with nutrients. Therefore, the authors demonstrated that in both cases</w:t>
      </w:r>
      <w:r w:rsidR="00FA340C">
        <w:rPr>
          <w:bCs/>
        </w:rPr>
        <w:t>,</w:t>
      </w:r>
      <w:r w:rsidR="00FF4CC0">
        <w:rPr>
          <w:bCs/>
        </w:rPr>
        <w:t xml:space="preserve"> similar concentration</w:t>
      </w:r>
      <w:r w:rsidR="00FA340C">
        <w:rPr>
          <w:bCs/>
        </w:rPr>
        <w:t>s</w:t>
      </w:r>
      <w:r w:rsidR="00FF4CC0">
        <w:rPr>
          <w:bCs/>
        </w:rPr>
        <w:t xml:space="preserve"> of ethanol were achieved</w:t>
      </w:r>
      <w:r w:rsidR="00FA340C">
        <w:rPr>
          <w:bCs/>
        </w:rPr>
        <w:t>. T</w:t>
      </w:r>
      <w:r w:rsidR="00FF4CC0">
        <w:rPr>
          <w:bCs/>
        </w:rPr>
        <w:t xml:space="preserve">he only difference is </w:t>
      </w:r>
      <w:r w:rsidR="00FA340C">
        <w:rPr>
          <w:bCs/>
        </w:rPr>
        <w:t>that enriching the medium with a nitrogen source improves performance in</w:t>
      </w:r>
      <w:r w:rsidR="00FF4CC0">
        <w:rPr>
          <w:bCs/>
        </w:rPr>
        <w:t xml:space="preserve"> reducing fermentation time. </w:t>
      </w:r>
      <w:r w:rsidR="00727930">
        <w:rPr>
          <w:bCs/>
        </w:rPr>
        <w:t>Ma</w:t>
      </w:r>
      <w:r w:rsidR="00BE2347">
        <w:rPr>
          <w:bCs/>
        </w:rPr>
        <w:t>t</w:t>
      </w:r>
      <w:r w:rsidR="00727930">
        <w:rPr>
          <w:bCs/>
        </w:rPr>
        <w:t xml:space="preserve">a et al. (2015) </w:t>
      </w:r>
      <w:proofErr w:type="spellStart"/>
      <w:r w:rsidR="00727930">
        <w:rPr>
          <w:bCs/>
        </w:rPr>
        <w:t>optimi</w:t>
      </w:r>
      <w:r w:rsidR="00FA340C">
        <w:rPr>
          <w:bCs/>
        </w:rPr>
        <w:t>s</w:t>
      </w:r>
      <w:r w:rsidR="00727930">
        <w:rPr>
          <w:bCs/>
        </w:rPr>
        <w:t>ed</w:t>
      </w:r>
      <w:proofErr w:type="spellEnd"/>
      <w:r w:rsidR="00727930">
        <w:rPr>
          <w:bCs/>
        </w:rPr>
        <w:t xml:space="preserve"> the </w:t>
      </w:r>
      <w:r w:rsidR="00EB1EE1">
        <w:rPr>
          <w:bCs/>
        </w:rPr>
        <w:t xml:space="preserve">acid and enzyme </w:t>
      </w:r>
      <w:r w:rsidR="00727930">
        <w:rPr>
          <w:bCs/>
        </w:rPr>
        <w:t xml:space="preserve">BSG </w:t>
      </w:r>
      <w:r w:rsidR="00EB1EE1">
        <w:rPr>
          <w:bCs/>
        </w:rPr>
        <w:t>pre</w:t>
      </w:r>
      <w:r w:rsidR="00FA340C">
        <w:rPr>
          <w:bCs/>
        </w:rPr>
        <w:t>-</w:t>
      </w:r>
      <w:r w:rsidR="00EB1EE1">
        <w:rPr>
          <w:bCs/>
        </w:rPr>
        <w:t>treatment</w:t>
      </w:r>
      <w:r w:rsidR="00401CBE">
        <w:rPr>
          <w:bCs/>
        </w:rPr>
        <w:t xml:space="preserve">s </w:t>
      </w:r>
      <w:r w:rsidR="004A4A28">
        <w:rPr>
          <w:bCs/>
        </w:rPr>
        <w:t>carried out sequentially</w:t>
      </w:r>
      <w:r w:rsidR="005C0FC5">
        <w:rPr>
          <w:bCs/>
        </w:rPr>
        <w:t xml:space="preserve"> </w:t>
      </w:r>
      <w:r w:rsidR="00727930">
        <w:rPr>
          <w:bCs/>
        </w:rPr>
        <w:t xml:space="preserve">by evaluating different combinations of reaction times and </w:t>
      </w:r>
      <w:r w:rsidR="00FA340C">
        <w:rPr>
          <w:bCs/>
        </w:rPr>
        <w:t>enzyme/BSG ratio values</w:t>
      </w:r>
      <w:r w:rsidR="00BE2347">
        <w:rPr>
          <w:bCs/>
        </w:rPr>
        <w:t xml:space="preserve"> but</w:t>
      </w:r>
      <w:r w:rsidR="00727930">
        <w:rPr>
          <w:bCs/>
        </w:rPr>
        <w:t xml:space="preserve"> keeping the acid amount and concentration constant. The maximum total su</w:t>
      </w:r>
      <w:r w:rsidR="00BE2347">
        <w:rPr>
          <w:bCs/>
        </w:rPr>
        <w:t>gar conversion obtained</w:t>
      </w:r>
      <w:r w:rsidR="00497D3E">
        <w:rPr>
          <w:bCs/>
        </w:rPr>
        <w:t xml:space="preserve"> was</w:t>
      </w:r>
      <w:r w:rsidR="00BE2347">
        <w:rPr>
          <w:bCs/>
        </w:rPr>
        <w:t xml:space="preserve"> 22.24%</w:t>
      </w:r>
      <w:r w:rsidR="00346735">
        <w:rPr>
          <w:bCs/>
        </w:rPr>
        <w:t xml:space="preserve">. </w:t>
      </w:r>
      <w:r w:rsidR="000065E1">
        <w:rPr>
          <w:bCs/>
        </w:rPr>
        <w:t xml:space="preserve">Fermentation was </w:t>
      </w:r>
      <w:r w:rsidR="00EB1EE1">
        <w:rPr>
          <w:bCs/>
        </w:rPr>
        <w:t xml:space="preserve">then </w:t>
      </w:r>
      <w:r w:rsidR="000065E1">
        <w:rPr>
          <w:bCs/>
        </w:rPr>
        <w:t xml:space="preserve">conducted at 30°C for 72 h using both a synthetic growth medium and BSG hydrolysates </w:t>
      </w:r>
      <w:proofErr w:type="gramStart"/>
      <w:r w:rsidR="000065E1">
        <w:rPr>
          <w:bCs/>
        </w:rPr>
        <w:t>in order to</w:t>
      </w:r>
      <w:proofErr w:type="gramEnd"/>
      <w:r w:rsidR="000065E1">
        <w:rPr>
          <w:bCs/>
        </w:rPr>
        <w:t xml:space="preserve"> evaluate the potential presence of inhibitors from the previous pre-treatment steps.</w:t>
      </w:r>
      <w:r w:rsidR="00DB6AAB">
        <w:rPr>
          <w:bCs/>
        </w:rPr>
        <w:t xml:space="preserve"> Two different strains were used in this case as well, </w:t>
      </w:r>
      <w:r w:rsidR="00DB6AAB" w:rsidRPr="001C515B">
        <w:rPr>
          <w:bCs/>
          <w:i/>
          <w:iCs/>
        </w:rPr>
        <w:t xml:space="preserve">Pichia </w:t>
      </w:r>
      <w:proofErr w:type="spellStart"/>
      <w:r w:rsidR="00DB6AAB" w:rsidRPr="001C515B">
        <w:rPr>
          <w:bCs/>
          <w:i/>
          <w:iCs/>
        </w:rPr>
        <w:t>stipitis</w:t>
      </w:r>
      <w:proofErr w:type="spellEnd"/>
      <w:r w:rsidR="00DB6AAB">
        <w:rPr>
          <w:bCs/>
        </w:rPr>
        <w:t xml:space="preserve"> NCYC 1541 and</w:t>
      </w:r>
      <w:r w:rsidR="000065E1">
        <w:rPr>
          <w:bCs/>
        </w:rPr>
        <w:t xml:space="preserve"> </w:t>
      </w:r>
      <w:proofErr w:type="spellStart"/>
      <w:r w:rsidR="00DB6AAB" w:rsidRPr="001C515B">
        <w:rPr>
          <w:bCs/>
          <w:i/>
          <w:iCs/>
        </w:rPr>
        <w:t>Kluyveromyces</w:t>
      </w:r>
      <w:proofErr w:type="spellEnd"/>
      <w:r w:rsidR="00DB6AAB" w:rsidRPr="001C515B">
        <w:rPr>
          <w:bCs/>
          <w:i/>
          <w:iCs/>
        </w:rPr>
        <w:t xml:space="preserve"> </w:t>
      </w:r>
      <w:proofErr w:type="spellStart"/>
      <w:r w:rsidR="00DB6AAB" w:rsidRPr="001C515B">
        <w:rPr>
          <w:bCs/>
          <w:i/>
          <w:iCs/>
        </w:rPr>
        <w:t>marxianus</w:t>
      </w:r>
      <w:proofErr w:type="spellEnd"/>
      <w:r w:rsidR="00DB6AAB">
        <w:rPr>
          <w:bCs/>
        </w:rPr>
        <w:t xml:space="preserve"> NCYC 2791. In both cases the results showed that the fermentation efficiency is much higher in the case of synthetic medium</w:t>
      </w:r>
      <w:r w:rsidR="002E54D7">
        <w:rPr>
          <w:bCs/>
        </w:rPr>
        <w:t xml:space="preserve"> (around 80%)</w:t>
      </w:r>
      <w:r w:rsidR="00DB6AAB">
        <w:rPr>
          <w:bCs/>
        </w:rPr>
        <w:t xml:space="preserve">, and only </w:t>
      </w:r>
      <w:r w:rsidR="002E54D7">
        <w:rPr>
          <w:bCs/>
        </w:rPr>
        <w:t xml:space="preserve">45.10% for </w:t>
      </w:r>
      <w:proofErr w:type="spellStart"/>
      <w:proofErr w:type="gramStart"/>
      <w:r w:rsidR="002E54D7" w:rsidRPr="002E54D7">
        <w:rPr>
          <w:bCs/>
          <w:i/>
          <w:iCs/>
        </w:rPr>
        <w:t>P.stipitis</w:t>
      </w:r>
      <w:proofErr w:type="spellEnd"/>
      <w:proofErr w:type="gramEnd"/>
      <w:r w:rsidR="002E54D7">
        <w:rPr>
          <w:bCs/>
        </w:rPr>
        <w:t xml:space="preserve"> and 36.58% for </w:t>
      </w:r>
      <w:proofErr w:type="spellStart"/>
      <w:r w:rsidR="002E54D7" w:rsidRPr="002E54D7">
        <w:rPr>
          <w:bCs/>
          <w:i/>
          <w:iCs/>
        </w:rPr>
        <w:t>K.marxianus</w:t>
      </w:r>
      <w:proofErr w:type="spellEnd"/>
      <w:r w:rsidR="00D066FF">
        <w:rPr>
          <w:bCs/>
        </w:rPr>
        <w:t>. The theoretical ethanol yield was 0.27 and 0.19 g ethanol (g substrate</w:t>
      </w:r>
      <w:r w:rsidR="00D066FF" w:rsidRPr="00D066FF">
        <w:rPr>
          <w:bCs/>
          <w:vertAlign w:val="superscript"/>
        </w:rPr>
        <w:t>-1</w:t>
      </w:r>
      <w:r w:rsidR="00D066FF">
        <w:rPr>
          <w:bCs/>
        </w:rPr>
        <w:t xml:space="preserve">) respectively for </w:t>
      </w:r>
      <w:proofErr w:type="spellStart"/>
      <w:proofErr w:type="gramStart"/>
      <w:r w:rsidR="00D066FF" w:rsidRPr="002E54D7">
        <w:rPr>
          <w:bCs/>
          <w:i/>
          <w:iCs/>
        </w:rPr>
        <w:t>P.stipitis</w:t>
      </w:r>
      <w:proofErr w:type="spellEnd"/>
      <w:proofErr w:type="gramEnd"/>
      <w:r w:rsidR="00D066FF">
        <w:rPr>
          <w:bCs/>
          <w:i/>
          <w:iCs/>
        </w:rPr>
        <w:t xml:space="preserve"> </w:t>
      </w:r>
      <w:r w:rsidR="00D066FF" w:rsidRPr="00D066FF">
        <w:rPr>
          <w:bCs/>
        </w:rPr>
        <w:t>and</w:t>
      </w:r>
      <w:r w:rsidR="00D066FF">
        <w:rPr>
          <w:bCs/>
          <w:i/>
          <w:iCs/>
        </w:rPr>
        <w:t xml:space="preserve"> </w:t>
      </w:r>
      <w:proofErr w:type="spellStart"/>
      <w:r w:rsidR="00D066FF" w:rsidRPr="002E54D7">
        <w:rPr>
          <w:bCs/>
          <w:i/>
          <w:iCs/>
        </w:rPr>
        <w:t>K.marxianus</w:t>
      </w:r>
      <w:proofErr w:type="spellEnd"/>
      <w:r w:rsidR="00D066FF">
        <w:rPr>
          <w:bCs/>
          <w:i/>
          <w:iCs/>
        </w:rPr>
        <w:t xml:space="preserve">, </w:t>
      </w:r>
      <w:r w:rsidR="00D066FF">
        <w:rPr>
          <w:bCs/>
        </w:rPr>
        <w:t>while the actual 0.0856 and 0.0308 g ethanol (g substrate</w:t>
      </w:r>
      <w:r w:rsidR="00D066FF" w:rsidRPr="00D066FF">
        <w:rPr>
          <w:bCs/>
          <w:vertAlign w:val="superscript"/>
        </w:rPr>
        <w:t>-1</w:t>
      </w:r>
      <w:r w:rsidR="00D066FF">
        <w:rPr>
          <w:bCs/>
        </w:rPr>
        <w:t xml:space="preserve">). The low values of these yields compared to those </w:t>
      </w:r>
      <w:r w:rsidR="00346735">
        <w:rPr>
          <w:bCs/>
        </w:rPr>
        <w:t xml:space="preserve">obtained by </w:t>
      </w:r>
      <w:r w:rsidR="00D066FF">
        <w:rPr>
          <w:bCs/>
        </w:rPr>
        <w:t>White et al., 2008</w:t>
      </w:r>
      <w:r w:rsidR="00346735">
        <w:rPr>
          <w:bCs/>
        </w:rPr>
        <w:t>,</w:t>
      </w:r>
      <w:r w:rsidR="00756A22">
        <w:rPr>
          <w:bCs/>
        </w:rPr>
        <w:t xml:space="preserve"> were justified </w:t>
      </w:r>
      <w:proofErr w:type="gramStart"/>
      <w:r w:rsidR="00756A22">
        <w:rPr>
          <w:bCs/>
        </w:rPr>
        <w:t>as a consequence of</w:t>
      </w:r>
      <w:proofErr w:type="gramEnd"/>
      <w:r w:rsidR="00756A22">
        <w:rPr>
          <w:bCs/>
        </w:rPr>
        <w:t xml:space="preserve"> the presence of fermentation inhibitors form the pre-treatment steps.</w:t>
      </w:r>
    </w:p>
    <w:p w14:paraId="29F0E892" w14:textId="1F49E6DB" w:rsidR="009B4458" w:rsidRPr="00D066FF" w:rsidRDefault="00346735" w:rsidP="00F15E13">
      <w:pPr>
        <w:pStyle w:val="CETBodytext"/>
        <w:rPr>
          <w:bCs/>
        </w:rPr>
      </w:pPr>
      <w:r>
        <w:rPr>
          <w:bCs/>
        </w:rPr>
        <w:t>Overall</w:t>
      </w:r>
      <w:r w:rsidR="00756A22">
        <w:rPr>
          <w:bCs/>
        </w:rPr>
        <w:t>, BSG represents a valuable raw material with potential for ethanol production</w:t>
      </w:r>
      <w:r w:rsidR="00FA340C">
        <w:rPr>
          <w:bCs/>
        </w:rPr>
        <w:t>. However,</w:t>
      </w:r>
      <w:r w:rsidR="00756A22">
        <w:rPr>
          <w:bCs/>
        </w:rPr>
        <w:t xml:space="preserve"> </w:t>
      </w:r>
      <w:r>
        <w:rPr>
          <w:bCs/>
        </w:rPr>
        <w:t xml:space="preserve">research efforts are still necessary </w:t>
      </w:r>
      <w:r w:rsidR="00FA340C">
        <w:rPr>
          <w:bCs/>
        </w:rPr>
        <w:t xml:space="preserve">to </w:t>
      </w:r>
      <w:proofErr w:type="spellStart"/>
      <w:r w:rsidR="00FA340C">
        <w:rPr>
          <w:bCs/>
        </w:rPr>
        <w:t>optimise</w:t>
      </w:r>
      <w:proofErr w:type="spellEnd"/>
      <w:r w:rsidR="00FA340C">
        <w:rPr>
          <w:bCs/>
        </w:rPr>
        <w:t xml:space="preserve"> the process conditions, develop green technologies for the pre-treatment steps, develop cheap enzymatic routes, and invest</w:t>
      </w:r>
      <w:r>
        <w:rPr>
          <w:bCs/>
        </w:rPr>
        <w:t xml:space="preserve"> in genetically modified strains to improve the sugar-ethanol conversion. </w:t>
      </w:r>
    </w:p>
    <w:p w14:paraId="662B4B9C" w14:textId="31A85436" w:rsidR="00652BFB" w:rsidRDefault="00652BFB" w:rsidP="005D05ED">
      <w:pPr>
        <w:pStyle w:val="CETBodytext"/>
        <w:spacing w:before="120" w:after="120"/>
        <w:rPr>
          <w:b/>
        </w:rPr>
      </w:pPr>
      <w:r>
        <w:rPr>
          <w:b/>
        </w:rPr>
        <w:t xml:space="preserve">3.4 Extraction of value-added compounds from BSG </w:t>
      </w:r>
    </w:p>
    <w:p w14:paraId="5B22A461" w14:textId="283AFB10" w:rsidR="00F31882" w:rsidRDefault="000F718F" w:rsidP="00903CAD">
      <w:pPr>
        <w:pStyle w:val="CETBodytext"/>
        <w:rPr>
          <w:bCs/>
        </w:rPr>
      </w:pPr>
      <w:r>
        <w:rPr>
          <w:bCs/>
        </w:rPr>
        <w:t xml:space="preserve">As already mentioned, </w:t>
      </w:r>
      <w:r w:rsidR="000C25B7">
        <w:rPr>
          <w:bCs/>
        </w:rPr>
        <w:t xml:space="preserve">BSG represents an important and inexpensive source of value-added components such as carbohydrates, </w:t>
      </w:r>
      <w:r w:rsidR="00A53D51">
        <w:rPr>
          <w:bCs/>
        </w:rPr>
        <w:t>proteins,</w:t>
      </w:r>
      <w:r w:rsidR="00633B9B">
        <w:rPr>
          <w:bCs/>
        </w:rPr>
        <w:t xml:space="preserve"> and lipids</w:t>
      </w:r>
      <w:r w:rsidR="00244B29">
        <w:rPr>
          <w:bCs/>
        </w:rPr>
        <w:t xml:space="preserve"> but it contains also phenolic compounds that have recently gained considerable interest for their valuable health-</w:t>
      </w:r>
      <w:r w:rsidR="00633B9B">
        <w:rPr>
          <w:bCs/>
        </w:rPr>
        <w:t>benefiting properties</w:t>
      </w:r>
      <w:r w:rsidR="00244B29">
        <w:rPr>
          <w:bCs/>
        </w:rPr>
        <w:t xml:space="preserve">. </w:t>
      </w:r>
      <w:proofErr w:type="gramStart"/>
      <w:r w:rsidR="00A53D51">
        <w:rPr>
          <w:bCs/>
        </w:rPr>
        <w:t>In particular</w:t>
      </w:r>
      <w:r w:rsidR="004D3431">
        <w:rPr>
          <w:bCs/>
        </w:rPr>
        <w:t xml:space="preserve">, </w:t>
      </w:r>
      <w:r w:rsidR="00A53D51">
        <w:rPr>
          <w:bCs/>
        </w:rPr>
        <w:t>due</w:t>
      </w:r>
      <w:proofErr w:type="gramEnd"/>
      <w:r w:rsidR="00A53D51">
        <w:rPr>
          <w:bCs/>
        </w:rPr>
        <w:t xml:space="preserve"> to their role in the prevention of chronic disorders, cancer and intracellular oxidative stress </w:t>
      </w:r>
      <w:r w:rsidR="000C73D7">
        <w:rPr>
          <w:bCs/>
        </w:rPr>
        <w:t xml:space="preserve">their recovery is </w:t>
      </w:r>
      <w:r w:rsidR="00A53D51">
        <w:rPr>
          <w:bCs/>
        </w:rPr>
        <w:t xml:space="preserve">attractive </w:t>
      </w:r>
      <w:r w:rsidR="009B4458">
        <w:rPr>
          <w:bCs/>
        </w:rPr>
        <w:t xml:space="preserve">for manufacturers and scientists (Ikram et al., 2020). </w:t>
      </w:r>
      <w:r w:rsidR="005D0ABB">
        <w:rPr>
          <w:bCs/>
        </w:rPr>
        <w:t xml:space="preserve">Different levels of phenolic compounds have been found in BSG, but usually the </w:t>
      </w:r>
      <w:r w:rsidR="00E16AB9">
        <w:rPr>
          <w:bCs/>
        </w:rPr>
        <w:t>hydroxybenzoic acids (</w:t>
      </w:r>
      <w:r w:rsidR="005D0ABB">
        <w:rPr>
          <w:bCs/>
        </w:rPr>
        <w:t>HBA</w:t>
      </w:r>
      <w:r w:rsidR="00E16AB9">
        <w:rPr>
          <w:bCs/>
        </w:rPr>
        <w:t>)</w:t>
      </w:r>
      <w:r w:rsidR="005D0ABB">
        <w:rPr>
          <w:bCs/>
        </w:rPr>
        <w:t xml:space="preserve"> content of BSG is lower than </w:t>
      </w:r>
      <w:r w:rsidR="00E16AB9">
        <w:rPr>
          <w:bCs/>
        </w:rPr>
        <w:t>hydroxycinnamic acids (</w:t>
      </w:r>
      <w:r w:rsidR="005D0ABB">
        <w:rPr>
          <w:bCs/>
        </w:rPr>
        <w:t>HCA</w:t>
      </w:r>
      <w:r w:rsidR="00E16AB9">
        <w:rPr>
          <w:bCs/>
        </w:rPr>
        <w:t>)</w:t>
      </w:r>
      <w:r w:rsidR="005D0ABB">
        <w:rPr>
          <w:bCs/>
        </w:rPr>
        <w:t>. The most abundant among HBA is the syringic acid but their quantity can vary depending on the barley variety, the harvesting time, and the characteristics of the growing region. Regarding the HCA, those present in higher quantities are ferulic acid</w:t>
      </w:r>
      <w:r w:rsidR="008550FA">
        <w:rPr>
          <w:bCs/>
        </w:rPr>
        <w:t xml:space="preserve"> (FA)</w:t>
      </w:r>
      <w:r w:rsidR="005D0ABB">
        <w:rPr>
          <w:bCs/>
        </w:rPr>
        <w:t xml:space="preserve"> and </w:t>
      </w:r>
      <w:r w:rsidR="005D0ABB" w:rsidRPr="008550FA">
        <w:rPr>
          <w:bCs/>
          <w:i/>
          <w:iCs/>
        </w:rPr>
        <w:t>p</w:t>
      </w:r>
      <w:r w:rsidR="005D0ABB">
        <w:rPr>
          <w:bCs/>
        </w:rPr>
        <w:t>-coumaric acid</w:t>
      </w:r>
      <w:r w:rsidR="008550FA">
        <w:rPr>
          <w:bCs/>
        </w:rPr>
        <w:t xml:space="preserve"> (</w:t>
      </w:r>
      <w:r w:rsidR="008550FA" w:rsidRPr="008550FA">
        <w:rPr>
          <w:bCs/>
          <w:i/>
          <w:iCs/>
        </w:rPr>
        <w:t>p</w:t>
      </w:r>
      <w:r w:rsidR="008550FA">
        <w:rPr>
          <w:bCs/>
        </w:rPr>
        <w:t>-CA) (</w:t>
      </w:r>
      <w:proofErr w:type="spellStart"/>
      <w:r w:rsidR="008550FA">
        <w:rPr>
          <w:bCs/>
        </w:rPr>
        <w:t>Mussatto</w:t>
      </w:r>
      <w:proofErr w:type="spellEnd"/>
      <w:r w:rsidR="008550FA">
        <w:rPr>
          <w:bCs/>
        </w:rPr>
        <w:t xml:space="preserve"> et al., 2007), which</w:t>
      </w:r>
      <w:r w:rsidR="00EC786E">
        <w:rPr>
          <w:bCs/>
        </w:rPr>
        <w:t xml:space="preserve"> are both contained in the outer layers of grain and remain in BSG after the entire </w:t>
      </w:r>
      <w:r w:rsidR="00FA340C">
        <w:rPr>
          <w:bCs/>
        </w:rPr>
        <w:t xml:space="preserve">brewery's </w:t>
      </w:r>
      <w:r w:rsidR="00EC786E">
        <w:rPr>
          <w:bCs/>
        </w:rPr>
        <w:t xml:space="preserve">process. </w:t>
      </w:r>
      <w:r w:rsidR="00856B39">
        <w:rPr>
          <w:bCs/>
        </w:rPr>
        <w:t xml:space="preserve">The </w:t>
      </w:r>
      <w:r w:rsidR="00EC786E">
        <w:rPr>
          <w:bCs/>
        </w:rPr>
        <w:t>recovery process</w:t>
      </w:r>
      <w:r w:rsidR="00856B39">
        <w:rPr>
          <w:bCs/>
        </w:rPr>
        <w:t xml:space="preserve"> of phenolic compounds</w:t>
      </w:r>
      <w:r w:rsidR="00EC786E">
        <w:rPr>
          <w:bCs/>
        </w:rPr>
        <w:t xml:space="preserve"> can be </w:t>
      </w:r>
      <w:proofErr w:type="spellStart"/>
      <w:r w:rsidR="00FA340C">
        <w:rPr>
          <w:bCs/>
        </w:rPr>
        <w:t>summarised</w:t>
      </w:r>
      <w:proofErr w:type="spellEnd"/>
      <w:r w:rsidR="00FA340C">
        <w:rPr>
          <w:bCs/>
        </w:rPr>
        <w:t xml:space="preserve"> </w:t>
      </w:r>
      <w:r w:rsidR="00EC786E">
        <w:rPr>
          <w:bCs/>
        </w:rPr>
        <w:t>in the following steps: pre</w:t>
      </w:r>
      <w:r w:rsidR="00FA340C">
        <w:rPr>
          <w:bCs/>
        </w:rPr>
        <w:t>-</w:t>
      </w:r>
      <w:r w:rsidR="00EC786E">
        <w:rPr>
          <w:bCs/>
        </w:rPr>
        <w:t xml:space="preserve">treatment, extraction, </w:t>
      </w:r>
      <w:r w:rsidR="004E721D">
        <w:rPr>
          <w:bCs/>
        </w:rPr>
        <w:t>isolation,</w:t>
      </w:r>
      <w:r w:rsidR="00EC786E">
        <w:rPr>
          <w:bCs/>
        </w:rPr>
        <w:t xml:space="preserve"> and purification</w:t>
      </w:r>
      <w:r w:rsidR="004E721D">
        <w:rPr>
          <w:bCs/>
        </w:rPr>
        <w:t>. The pre</w:t>
      </w:r>
      <w:r w:rsidR="00FA340C">
        <w:rPr>
          <w:bCs/>
        </w:rPr>
        <w:t>-</w:t>
      </w:r>
      <w:r w:rsidR="004E721D">
        <w:rPr>
          <w:bCs/>
        </w:rPr>
        <w:t xml:space="preserve">treatment can include maceration, </w:t>
      </w:r>
      <w:proofErr w:type="spellStart"/>
      <w:r w:rsidR="00FA340C">
        <w:rPr>
          <w:bCs/>
        </w:rPr>
        <w:t>homogenisation</w:t>
      </w:r>
      <w:proofErr w:type="spellEnd"/>
      <w:r w:rsidR="004E721D">
        <w:rPr>
          <w:bCs/>
        </w:rPr>
        <w:t xml:space="preserve">, </w:t>
      </w:r>
      <w:proofErr w:type="gramStart"/>
      <w:r w:rsidR="00C71539">
        <w:rPr>
          <w:bCs/>
        </w:rPr>
        <w:t>grinding</w:t>
      </w:r>
      <w:proofErr w:type="gramEnd"/>
      <w:r w:rsidR="00C71539">
        <w:rPr>
          <w:bCs/>
        </w:rPr>
        <w:t xml:space="preserve"> and milling </w:t>
      </w:r>
      <w:r w:rsidR="00FA6DAF">
        <w:rPr>
          <w:bCs/>
        </w:rPr>
        <w:t>leading</w:t>
      </w:r>
      <w:r w:rsidR="00C71539">
        <w:rPr>
          <w:bCs/>
        </w:rPr>
        <w:t xml:space="preserve"> to the disruption of the cellular structure improving the recovery of bioactive compounds and increasing the </w:t>
      </w:r>
      <w:r w:rsidR="00FA6DAF">
        <w:rPr>
          <w:bCs/>
        </w:rPr>
        <w:t>mass transfer</w:t>
      </w:r>
      <w:r w:rsidR="00C71539">
        <w:rPr>
          <w:bCs/>
        </w:rPr>
        <w:t xml:space="preserve"> between the solvent and the biomass. In addition to the pre</w:t>
      </w:r>
      <w:r w:rsidR="00FA340C">
        <w:rPr>
          <w:bCs/>
        </w:rPr>
        <w:t>-</w:t>
      </w:r>
      <w:r w:rsidR="00C71539">
        <w:rPr>
          <w:bCs/>
        </w:rPr>
        <w:t xml:space="preserve">treatment techniques already mentioned, </w:t>
      </w:r>
      <w:r w:rsidR="00FA340C">
        <w:rPr>
          <w:bCs/>
        </w:rPr>
        <w:t>other methods such as autohydrolysis, acid, alkaline, and enzymatic pre-treatments</w:t>
      </w:r>
      <w:r w:rsidR="00C71539">
        <w:rPr>
          <w:bCs/>
        </w:rPr>
        <w:t xml:space="preserve"> can be useful </w:t>
      </w:r>
      <w:r w:rsidR="00D71C40">
        <w:rPr>
          <w:bCs/>
        </w:rPr>
        <w:t xml:space="preserve">in the breakdown of the biomass structure and access to the cell vacuole where </w:t>
      </w:r>
      <w:r w:rsidR="00FA6DAF">
        <w:rPr>
          <w:bCs/>
        </w:rPr>
        <w:t xml:space="preserve">the phenolics </w:t>
      </w:r>
      <w:r w:rsidR="00D71C40">
        <w:rPr>
          <w:bCs/>
        </w:rPr>
        <w:t xml:space="preserve">are contained. </w:t>
      </w:r>
      <w:r w:rsidR="00666663">
        <w:rPr>
          <w:bCs/>
        </w:rPr>
        <w:t xml:space="preserve">Among the different extraction techniques used </w:t>
      </w:r>
      <w:r w:rsidR="00FA340C">
        <w:rPr>
          <w:bCs/>
        </w:rPr>
        <w:t>to recover</w:t>
      </w:r>
      <w:r w:rsidR="00666663">
        <w:rPr>
          <w:bCs/>
        </w:rPr>
        <w:t xml:space="preserve"> phenolic compounds, a differentiation can be made between conventional and non-conventional methods. The solid-liquid extraction</w:t>
      </w:r>
      <w:r w:rsidR="00C32755">
        <w:rPr>
          <w:bCs/>
        </w:rPr>
        <w:t xml:space="preserve"> (SLE)</w:t>
      </w:r>
      <w:r w:rsidR="00666663">
        <w:rPr>
          <w:bCs/>
        </w:rPr>
        <w:t xml:space="preserve"> </w:t>
      </w:r>
      <w:r w:rsidR="00C32755">
        <w:rPr>
          <w:bCs/>
        </w:rPr>
        <w:t>together with Soxhlet (SE) are</w:t>
      </w:r>
      <w:r w:rsidR="00666663">
        <w:rPr>
          <w:bCs/>
        </w:rPr>
        <w:t xml:space="preserve"> </w:t>
      </w:r>
      <w:r w:rsidR="00E437E6">
        <w:rPr>
          <w:bCs/>
        </w:rPr>
        <w:t>the</w:t>
      </w:r>
      <w:r w:rsidR="00666663">
        <w:rPr>
          <w:bCs/>
        </w:rPr>
        <w:t xml:space="preserve"> most common</w:t>
      </w:r>
      <w:r w:rsidR="00C32755">
        <w:rPr>
          <w:bCs/>
        </w:rPr>
        <w:t xml:space="preserve"> and well-established</w:t>
      </w:r>
      <w:r w:rsidR="00666663">
        <w:rPr>
          <w:bCs/>
        </w:rPr>
        <w:t xml:space="preserve"> technique</w:t>
      </w:r>
      <w:r w:rsidR="00C32755">
        <w:rPr>
          <w:bCs/>
        </w:rPr>
        <w:t>s</w:t>
      </w:r>
      <w:r w:rsidR="00856B39">
        <w:rPr>
          <w:bCs/>
        </w:rPr>
        <w:t xml:space="preserve"> </w:t>
      </w:r>
      <w:r w:rsidR="00666663">
        <w:rPr>
          <w:bCs/>
        </w:rPr>
        <w:t>used</w:t>
      </w:r>
      <w:r w:rsidR="005C59EB">
        <w:rPr>
          <w:bCs/>
        </w:rPr>
        <w:t xml:space="preserve"> due to </w:t>
      </w:r>
      <w:r w:rsidR="00C32755">
        <w:rPr>
          <w:bCs/>
        </w:rPr>
        <w:t>their</w:t>
      </w:r>
      <w:r w:rsidR="005C59EB">
        <w:rPr>
          <w:bCs/>
        </w:rPr>
        <w:t xml:space="preserve"> simplicity, </w:t>
      </w:r>
      <w:proofErr w:type="gramStart"/>
      <w:r w:rsidR="005C59EB">
        <w:rPr>
          <w:bCs/>
        </w:rPr>
        <w:t>efficiency</w:t>
      </w:r>
      <w:proofErr w:type="gramEnd"/>
      <w:r w:rsidR="005C59EB">
        <w:rPr>
          <w:bCs/>
        </w:rPr>
        <w:t xml:space="preserve"> and wide </w:t>
      </w:r>
      <w:r w:rsidR="00C32755">
        <w:rPr>
          <w:bCs/>
        </w:rPr>
        <w:t xml:space="preserve">industrial </w:t>
      </w:r>
      <w:r w:rsidR="005C59EB">
        <w:rPr>
          <w:bCs/>
        </w:rPr>
        <w:t>applicability</w:t>
      </w:r>
      <w:r w:rsidR="00C32755">
        <w:rPr>
          <w:bCs/>
        </w:rPr>
        <w:t>. The former</w:t>
      </w:r>
      <w:r w:rsidR="00927E2B">
        <w:rPr>
          <w:bCs/>
        </w:rPr>
        <w:t xml:space="preserve"> is usually combined with alkaline hydrolysis </w:t>
      </w:r>
      <w:r w:rsidR="00E437E6">
        <w:rPr>
          <w:bCs/>
        </w:rPr>
        <w:t>to</w:t>
      </w:r>
      <w:r w:rsidR="00927E2B">
        <w:rPr>
          <w:bCs/>
        </w:rPr>
        <w:t xml:space="preserve"> increase extraction efficiency by degrading lignin and cellulose and releasing unbound HCA (FA and </w:t>
      </w:r>
      <w:r w:rsidR="00927E2B" w:rsidRPr="00927E2B">
        <w:rPr>
          <w:bCs/>
          <w:i/>
          <w:iCs/>
        </w:rPr>
        <w:t>p</w:t>
      </w:r>
      <w:r w:rsidR="00927E2B">
        <w:rPr>
          <w:bCs/>
        </w:rPr>
        <w:t>-CA).</w:t>
      </w:r>
      <w:r w:rsidR="00E437E6">
        <w:rPr>
          <w:bCs/>
        </w:rPr>
        <w:t xml:space="preserve"> </w:t>
      </w:r>
      <w:r w:rsidR="00A22B63">
        <w:rPr>
          <w:bCs/>
        </w:rPr>
        <w:t>Although this technique ensures a good recovery of phenolics</w:t>
      </w:r>
      <w:r w:rsidR="007C69E1">
        <w:rPr>
          <w:bCs/>
        </w:rPr>
        <w:t xml:space="preserve"> (</w:t>
      </w:r>
      <w:proofErr w:type="spellStart"/>
      <w:r w:rsidR="007C69E1">
        <w:rPr>
          <w:bCs/>
        </w:rPr>
        <w:t>Meneses</w:t>
      </w:r>
      <w:proofErr w:type="spellEnd"/>
      <w:r w:rsidR="007C69E1">
        <w:rPr>
          <w:bCs/>
        </w:rPr>
        <w:t xml:space="preserve"> et al., 2013)</w:t>
      </w:r>
      <w:r w:rsidR="00A22B63">
        <w:rPr>
          <w:bCs/>
        </w:rPr>
        <w:t xml:space="preserve">, there are drawbacks such as the important amounts of solvent required, the long extraction time but also the possible need for additional procedures to remove unwanted non-phenolic compounds thus increasing the process cost, which led to consider alternative methods. </w:t>
      </w:r>
      <w:r w:rsidR="00DB546A">
        <w:rPr>
          <w:bCs/>
        </w:rPr>
        <w:t xml:space="preserve">Alternative extraction methods, also called green techniques because they follow the standards set by the Environmental Protection Agency (USA), have recently been proposed. </w:t>
      </w:r>
      <w:r w:rsidR="00FA340C">
        <w:rPr>
          <w:bCs/>
        </w:rPr>
        <w:t>S</w:t>
      </w:r>
      <w:r w:rsidR="00DB546A">
        <w:rPr>
          <w:bCs/>
        </w:rPr>
        <w:t xml:space="preserve">upercritical fluid extraction and </w:t>
      </w:r>
      <w:proofErr w:type="spellStart"/>
      <w:r w:rsidR="00FA340C">
        <w:rPr>
          <w:bCs/>
        </w:rPr>
        <w:t>pressurised</w:t>
      </w:r>
      <w:proofErr w:type="spellEnd"/>
      <w:r w:rsidR="00FA340C">
        <w:rPr>
          <w:bCs/>
        </w:rPr>
        <w:t xml:space="preserve"> </w:t>
      </w:r>
      <w:r w:rsidR="00DB546A">
        <w:rPr>
          <w:bCs/>
        </w:rPr>
        <w:t>fluid extraction belong to this category</w:t>
      </w:r>
      <w:r w:rsidR="00B67778">
        <w:rPr>
          <w:bCs/>
        </w:rPr>
        <w:t>.</w:t>
      </w:r>
      <w:r w:rsidR="00246A09">
        <w:rPr>
          <w:bCs/>
        </w:rPr>
        <w:t xml:space="preserve"> I</w:t>
      </w:r>
      <w:r w:rsidR="005A65D6">
        <w:rPr>
          <w:bCs/>
        </w:rPr>
        <w:t xml:space="preserve">n recent decades, </w:t>
      </w:r>
      <w:r w:rsidR="00246A09">
        <w:rPr>
          <w:bCs/>
        </w:rPr>
        <w:t xml:space="preserve">they have caught </w:t>
      </w:r>
      <w:r w:rsidR="008F1FB0">
        <w:rPr>
          <w:bCs/>
        </w:rPr>
        <w:t xml:space="preserve">the interest of researchers </w:t>
      </w:r>
      <w:r w:rsidR="005C0FC5">
        <w:rPr>
          <w:bCs/>
        </w:rPr>
        <w:t>due to the</w:t>
      </w:r>
      <w:r w:rsidR="00294E56">
        <w:rPr>
          <w:bCs/>
        </w:rPr>
        <w:t xml:space="preserve"> reduced extraction time, reduced solve</w:t>
      </w:r>
      <w:r w:rsidR="00F508F8">
        <w:rPr>
          <w:bCs/>
        </w:rPr>
        <w:t xml:space="preserve">nt use, higher extraction yield and </w:t>
      </w:r>
      <w:r w:rsidR="00947471">
        <w:rPr>
          <w:bCs/>
        </w:rPr>
        <w:t xml:space="preserve">enhanced quality of extracts. </w:t>
      </w:r>
      <w:r w:rsidR="000C6944">
        <w:rPr>
          <w:bCs/>
        </w:rPr>
        <w:t>U</w:t>
      </w:r>
      <w:r w:rsidR="00747B2C">
        <w:rPr>
          <w:bCs/>
        </w:rPr>
        <w:t>ltrasound and</w:t>
      </w:r>
      <w:r w:rsidR="008D2C8C">
        <w:rPr>
          <w:bCs/>
        </w:rPr>
        <w:t xml:space="preserve"> microwave-assisted</w:t>
      </w:r>
      <w:r w:rsidR="00CB0071">
        <w:rPr>
          <w:bCs/>
        </w:rPr>
        <w:t xml:space="preserve"> </w:t>
      </w:r>
      <w:r w:rsidR="004D6754">
        <w:rPr>
          <w:bCs/>
        </w:rPr>
        <w:t>extraction</w:t>
      </w:r>
      <w:r w:rsidR="00747B2C">
        <w:rPr>
          <w:bCs/>
        </w:rPr>
        <w:t xml:space="preserve"> can be considered in the same way </w:t>
      </w:r>
      <w:r w:rsidR="0096273B">
        <w:rPr>
          <w:bCs/>
        </w:rPr>
        <w:t>if combined with a conventional method</w:t>
      </w:r>
      <w:r w:rsidR="002B6E8B">
        <w:rPr>
          <w:bCs/>
        </w:rPr>
        <w:t xml:space="preserve"> using </w:t>
      </w:r>
      <w:r w:rsidR="00231C1D">
        <w:rPr>
          <w:bCs/>
        </w:rPr>
        <w:t>inorganic</w:t>
      </w:r>
      <w:r w:rsidR="00BC043C">
        <w:rPr>
          <w:bCs/>
        </w:rPr>
        <w:t xml:space="preserve"> solvent</w:t>
      </w:r>
      <w:r w:rsidR="00231C1D">
        <w:rPr>
          <w:bCs/>
        </w:rPr>
        <w:t>s</w:t>
      </w:r>
      <w:r w:rsidR="005C0FC5">
        <w:rPr>
          <w:bCs/>
        </w:rPr>
        <w:t xml:space="preserve"> or with pressure liquid extraction</w:t>
      </w:r>
      <w:r w:rsidR="00D63438">
        <w:rPr>
          <w:bCs/>
        </w:rPr>
        <w:t xml:space="preserve">. </w:t>
      </w:r>
      <w:r w:rsidR="005C0FC5">
        <w:rPr>
          <w:bCs/>
        </w:rPr>
        <w:t>T</w:t>
      </w:r>
      <w:r w:rsidR="000705B3">
        <w:rPr>
          <w:bCs/>
        </w:rPr>
        <w:t xml:space="preserve">he advantage of </w:t>
      </w:r>
      <w:r w:rsidR="00257AFB">
        <w:rPr>
          <w:bCs/>
        </w:rPr>
        <w:t>their use</w:t>
      </w:r>
      <w:r w:rsidR="00017B17">
        <w:rPr>
          <w:bCs/>
        </w:rPr>
        <w:t xml:space="preserve"> is t</w:t>
      </w:r>
      <w:r w:rsidR="00C5100B">
        <w:rPr>
          <w:bCs/>
        </w:rPr>
        <w:t>he obtainment of cleaner extracts</w:t>
      </w:r>
      <w:r w:rsidR="00EC64AF">
        <w:rPr>
          <w:bCs/>
        </w:rPr>
        <w:t xml:space="preserve"> without presence of residues, which would occur w</w:t>
      </w:r>
      <w:r w:rsidR="006B7CC6">
        <w:rPr>
          <w:bCs/>
        </w:rPr>
        <w:t>hen extracting with organic solvents.</w:t>
      </w:r>
      <w:r w:rsidR="009436CB">
        <w:rPr>
          <w:bCs/>
        </w:rPr>
        <w:t xml:space="preserve"> </w:t>
      </w:r>
      <w:r w:rsidR="00285A5D">
        <w:rPr>
          <w:bCs/>
        </w:rPr>
        <w:t>Although</w:t>
      </w:r>
      <w:r w:rsidR="00DE2E66">
        <w:rPr>
          <w:bCs/>
        </w:rPr>
        <w:t xml:space="preserve"> there are still few works involving their application on BSG</w:t>
      </w:r>
      <w:r w:rsidR="00660845">
        <w:rPr>
          <w:bCs/>
        </w:rPr>
        <w:t>, a significant progress</w:t>
      </w:r>
      <w:r w:rsidR="00EB0375">
        <w:rPr>
          <w:bCs/>
        </w:rPr>
        <w:t xml:space="preserve"> has been made</w:t>
      </w:r>
      <w:r w:rsidR="00DE2E66">
        <w:rPr>
          <w:bCs/>
        </w:rPr>
        <w:t xml:space="preserve"> (</w:t>
      </w:r>
      <w:r w:rsidR="00A567EB">
        <w:rPr>
          <w:bCs/>
        </w:rPr>
        <w:t xml:space="preserve">Wang et al., 2013; Spinelli et al., 2016b; </w:t>
      </w:r>
      <w:r w:rsidR="008066D6">
        <w:rPr>
          <w:bCs/>
        </w:rPr>
        <w:t>Herbst et al., 2021</w:t>
      </w:r>
      <w:r w:rsidR="00DE2E66">
        <w:rPr>
          <w:bCs/>
        </w:rPr>
        <w:t>)</w:t>
      </w:r>
      <w:r w:rsidR="007F75ED">
        <w:rPr>
          <w:bCs/>
        </w:rPr>
        <w:t xml:space="preserve"> and</w:t>
      </w:r>
      <w:r w:rsidR="00970BEB">
        <w:rPr>
          <w:bCs/>
        </w:rPr>
        <w:t>,</w:t>
      </w:r>
      <w:r w:rsidR="005C0FC5">
        <w:rPr>
          <w:bCs/>
        </w:rPr>
        <w:t xml:space="preserve"> </w:t>
      </w:r>
      <w:r w:rsidR="00BC23E4">
        <w:rPr>
          <w:bCs/>
        </w:rPr>
        <w:t>they are very encouraging</w:t>
      </w:r>
      <w:r w:rsidR="007F75ED">
        <w:rPr>
          <w:bCs/>
        </w:rPr>
        <w:t>,</w:t>
      </w:r>
      <w:r w:rsidR="00BC23E4">
        <w:rPr>
          <w:bCs/>
        </w:rPr>
        <w:t xml:space="preserve"> </w:t>
      </w:r>
      <w:r w:rsidR="005C0FC5">
        <w:rPr>
          <w:bCs/>
        </w:rPr>
        <w:t>offering</w:t>
      </w:r>
      <w:r w:rsidR="00BC23E4">
        <w:rPr>
          <w:bCs/>
        </w:rPr>
        <w:t xml:space="preserve"> an interesting starting point for further research into possible </w:t>
      </w:r>
      <w:r w:rsidR="00DA03FE">
        <w:rPr>
          <w:bCs/>
        </w:rPr>
        <w:t>a possible scale-up.</w:t>
      </w:r>
      <w:r w:rsidR="00BC23E4">
        <w:rPr>
          <w:bCs/>
        </w:rPr>
        <w:t xml:space="preserve"> </w:t>
      </w:r>
    </w:p>
    <w:p w14:paraId="5CD038DA" w14:textId="77777777" w:rsidR="000667AC" w:rsidRPr="000667AC" w:rsidRDefault="000667AC" w:rsidP="002648B3">
      <w:pPr>
        <w:pStyle w:val="CETBodytext"/>
        <w:spacing w:before="120" w:after="120"/>
        <w:rPr>
          <w:b/>
        </w:rPr>
      </w:pPr>
      <w:r w:rsidRPr="000667AC">
        <w:rPr>
          <w:b/>
        </w:rPr>
        <w:lastRenderedPageBreak/>
        <w:t xml:space="preserve">3.5 Energy production from BSG </w:t>
      </w:r>
    </w:p>
    <w:p w14:paraId="79BE6788" w14:textId="41B87629" w:rsidR="000667AC" w:rsidRDefault="000667AC" w:rsidP="000667AC">
      <w:pPr>
        <w:pStyle w:val="CETBodytext"/>
        <w:rPr>
          <w:bCs/>
        </w:rPr>
      </w:pPr>
      <w:r w:rsidRPr="000667AC">
        <w:rPr>
          <w:bCs/>
        </w:rPr>
        <w:t xml:space="preserve">As an agri-food biomass, </w:t>
      </w:r>
      <w:r w:rsidR="005532D8">
        <w:rPr>
          <w:bCs/>
        </w:rPr>
        <w:t>BSG</w:t>
      </w:r>
      <w:r w:rsidRPr="000667AC">
        <w:rPr>
          <w:bCs/>
        </w:rPr>
        <w:t xml:space="preserve"> represent</w:t>
      </w:r>
      <w:r w:rsidR="005532D8">
        <w:rPr>
          <w:bCs/>
        </w:rPr>
        <w:t>s</w:t>
      </w:r>
      <w:r w:rsidRPr="000667AC">
        <w:rPr>
          <w:bCs/>
        </w:rPr>
        <w:t xml:space="preserve"> a valid raw material that can be used effectively in a waste-to-energy process due to its ability to produce energy. This approach includes technologies such as aerobic digestion and thermochemical conversion processes (combustion, </w:t>
      </w:r>
      <w:proofErr w:type="gramStart"/>
      <w:r w:rsidRPr="000667AC">
        <w:rPr>
          <w:bCs/>
        </w:rPr>
        <w:t>pyrolysis</w:t>
      </w:r>
      <w:proofErr w:type="gramEnd"/>
      <w:r w:rsidRPr="000667AC">
        <w:rPr>
          <w:bCs/>
        </w:rPr>
        <w:t xml:space="preserve"> and gasification). Important requirements for a valid energy </w:t>
      </w:r>
      <w:proofErr w:type="spellStart"/>
      <w:r w:rsidRPr="000667AC">
        <w:rPr>
          <w:bCs/>
        </w:rPr>
        <w:t>valorisation</w:t>
      </w:r>
      <w:proofErr w:type="spellEnd"/>
      <w:r w:rsidRPr="000667AC">
        <w:rPr>
          <w:bCs/>
        </w:rPr>
        <w:t xml:space="preserve"> are calorific values over 15 MJ kg</w:t>
      </w:r>
      <w:r w:rsidRPr="005D71CA">
        <w:rPr>
          <w:bCs/>
          <w:vertAlign w:val="superscript"/>
        </w:rPr>
        <w:t>-1</w:t>
      </w:r>
      <w:r w:rsidRPr="000667AC">
        <w:rPr>
          <w:bCs/>
        </w:rPr>
        <w:t xml:space="preserve"> and humidity in the range 10-15 % (Gil-Castell et al., 2022). Considering the BSG composition, a drying phase is certainly necessary </w:t>
      </w:r>
      <w:proofErr w:type="gramStart"/>
      <w:r w:rsidRPr="000667AC">
        <w:rPr>
          <w:bCs/>
        </w:rPr>
        <w:t>in order to</w:t>
      </w:r>
      <w:proofErr w:type="gramEnd"/>
      <w:r w:rsidRPr="000667AC">
        <w:rPr>
          <w:bCs/>
        </w:rPr>
        <w:t xml:space="preserve"> reach the desired moisture value. Following the circular economy </w:t>
      </w:r>
      <w:r w:rsidR="00202D8F">
        <w:rPr>
          <w:bCs/>
        </w:rPr>
        <w:t>principle</w:t>
      </w:r>
      <w:r w:rsidRPr="000667AC">
        <w:rPr>
          <w:bCs/>
        </w:rPr>
        <w:t xml:space="preserve">, it is worth noting the possibility of reusing the spent grain energy </w:t>
      </w:r>
      <w:r w:rsidR="007B2442">
        <w:rPr>
          <w:bCs/>
        </w:rPr>
        <w:t xml:space="preserve">content </w:t>
      </w:r>
      <w:r w:rsidR="00202D8F">
        <w:rPr>
          <w:bCs/>
        </w:rPr>
        <w:t>within</w:t>
      </w:r>
      <w:r w:rsidRPr="000667AC">
        <w:rPr>
          <w:bCs/>
        </w:rPr>
        <w:t xml:space="preserve"> the beer industry, allowing a reduction in energy consumption. However, mature strategies are not yet available and further studies in this direction are required.</w:t>
      </w:r>
    </w:p>
    <w:p w14:paraId="68D26B83" w14:textId="77777777" w:rsidR="00600535" w:rsidRPr="00B57B36" w:rsidRDefault="00600535" w:rsidP="00600535">
      <w:pPr>
        <w:pStyle w:val="CETHeading1"/>
        <w:rPr>
          <w:lang w:val="en-GB"/>
        </w:rPr>
      </w:pPr>
      <w:r w:rsidRPr="00B57B36">
        <w:rPr>
          <w:lang w:val="en-GB"/>
        </w:rPr>
        <w:t>Conclusions</w:t>
      </w:r>
    </w:p>
    <w:p w14:paraId="46F062E1" w14:textId="1A9EF8C0" w:rsidR="00D046A3" w:rsidRDefault="00FA340C" w:rsidP="00BB444B">
      <w:pPr>
        <w:pStyle w:val="CETReference"/>
        <w:jc w:val="both"/>
        <w:rPr>
          <w:b w:val="0"/>
          <w:bCs/>
        </w:rPr>
      </w:pPr>
      <w:r>
        <w:rPr>
          <w:b w:val="0"/>
          <w:bCs/>
        </w:rPr>
        <w:t>W</w:t>
      </w:r>
      <w:r w:rsidR="00833439">
        <w:rPr>
          <w:b w:val="0"/>
          <w:bCs/>
        </w:rPr>
        <w:t xml:space="preserve">aste </w:t>
      </w:r>
      <w:r w:rsidR="00E3162C">
        <w:rPr>
          <w:b w:val="0"/>
          <w:bCs/>
        </w:rPr>
        <w:t>reuse</w:t>
      </w:r>
      <w:r w:rsidR="007110EF">
        <w:rPr>
          <w:b w:val="0"/>
          <w:bCs/>
        </w:rPr>
        <w:t xml:space="preserve"> </w:t>
      </w:r>
      <w:r w:rsidR="003D733B">
        <w:rPr>
          <w:b w:val="0"/>
          <w:bCs/>
        </w:rPr>
        <w:t xml:space="preserve">is an increasingly </w:t>
      </w:r>
      <w:r w:rsidR="005A137E">
        <w:rPr>
          <w:b w:val="0"/>
          <w:bCs/>
        </w:rPr>
        <w:t xml:space="preserve">common practice </w:t>
      </w:r>
      <w:r>
        <w:rPr>
          <w:b w:val="0"/>
          <w:bCs/>
        </w:rPr>
        <w:t>that</w:t>
      </w:r>
      <w:r w:rsidR="005A137E">
        <w:rPr>
          <w:b w:val="0"/>
          <w:bCs/>
        </w:rPr>
        <w:t xml:space="preserve"> </w:t>
      </w:r>
      <w:r w:rsidR="002B1F5D">
        <w:rPr>
          <w:b w:val="0"/>
          <w:bCs/>
        </w:rPr>
        <w:t>allows t</w:t>
      </w:r>
      <w:r>
        <w:rPr>
          <w:b w:val="0"/>
          <w:bCs/>
        </w:rPr>
        <w:t>ackling</w:t>
      </w:r>
      <w:r w:rsidR="00481E7C">
        <w:rPr>
          <w:b w:val="0"/>
          <w:bCs/>
        </w:rPr>
        <w:t xml:space="preserve"> the issue related t</w:t>
      </w:r>
      <w:r w:rsidR="00924C7F">
        <w:rPr>
          <w:b w:val="0"/>
          <w:bCs/>
        </w:rPr>
        <w:t>o their management</w:t>
      </w:r>
      <w:r w:rsidR="00FE33DE">
        <w:rPr>
          <w:b w:val="0"/>
          <w:bCs/>
        </w:rPr>
        <w:t xml:space="preserve"> whil</w:t>
      </w:r>
      <w:r w:rsidR="00323548">
        <w:rPr>
          <w:b w:val="0"/>
          <w:bCs/>
        </w:rPr>
        <w:t xml:space="preserve">e exploiting </w:t>
      </w:r>
      <w:r w:rsidR="003030E0">
        <w:rPr>
          <w:b w:val="0"/>
          <w:bCs/>
        </w:rPr>
        <w:t>their</w:t>
      </w:r>
      <w:r w:rsidR="00323548">
        <w:rPr>
          <w:b w:val="0"/>
          <w:bCs/>
        </w:rPr>
        <w:t xml:space="preserve"> potential as raw materials</w:t>
      </w:r>
      <w:r w:rsidR="003030E0">
        <w:rPr>
          <w:b w:val="0"/>
          <w:bCs/>
        </w:rPr>
        <w:t>.</w:t>
      </w:r>
      <w:r w:rsidR="007D4548">
        <w:rPr>
          <w:b w:val="0"/>
          <w:bCs/>
        </w:rPr>
        <w:t xml:space="preserve"> </w:t>
      </w:r>
      <w:r>
        <w:rPr>
          <w:b w:val="0"/>
          <w:bCs/>
        </w:rPr>
        <w:t>This review discussed a summary of the composition and possible applications of brewer's spent grain</w:t>
      </w:r>
      <w:r w:rsidR="00922FEC">
        <w:rPr>
          <w:b w:val="0"/>
          <w:bCs/>
        </w:rPr>
        <w:t xml:space="preserve">. </w:t>
      </w:r>
      <w:r w:rsidR="009A11D4">
        <w:rPr>
          <w:b w:val="0"/>
          <w:bCs/>
        </w:rPr>
        <w:t>BSG represents a valuable agro-industrial by-product</w:t>
      </w:r>
      <w:r>
        <w:rPr>
          <w:b w:val="0"/>
          <w:bCs/>
        </w:rPr>
        <w:t>. Due to its chemical composition and wide availability at low cost, i</w:t>
      </w:r>
      <w:r w:rsidR="009A11D4">
        <w:rPr>
          <w:b w:val="0"/>
          <w:bCs/>
        </w:rPr>
        <w:t xml:space="preserve">t can be reused </w:t>
      </w:r>
      <w:r w:rsidR="00DA03FE">
        <w:rPr>
          <w:b w:val="0"/>
          <w:bCs/>
        </w:rPr>
        <w:t>in</w:t>
      </w:r>
      <w:r w:rsidR="00F97BB0">
        <w:rPr>
          <w:b w:val="0"/>
          <w:bCs/>
        </w:rPr>
        <w:t xml:space="preserve"> </w:t>
      </w:r>
      <w:r w:rsidR="009A11D4">
        <w:rPr>
          <w:b w:val="0"/>
          <w:bCs/>
        </w:rPr>
        <w:t xml:space="preserve">different </w:t>
      </w:r>
      <w:r w:rsidR="00F97BB0">
        <w:rPr>
          <w:b w:val="0"/>
          <w:bCs/>
        </w:rPr>
        <w:t>applications</w:t>
      </w:r>
      <w:r w:rsidR="00DA03FE">
        <w:rPr>
          <w:b w:val="0"/>
          <w:bCs/>
        </w:rPr>
        <w:t xml:space="preserve"> spanning feed and food and recovery of target compounds</w:t>
      </w:r>
      <w:r w:rsidR="009A11D4">
        <w:rPr>
          <w:b w:val="0"/>
          <w:bCs/>
        </w:rPr>
        <w:t>. In the last years</w:t>
      </w:r>
      <w:r>
        <w:rPr>
          <w:b w:val="0"/>
          <w:bCs/>
        </w:rPr>
        <w:t>, several efforts have been made to use it in an alternative way,</w:t>
      </w:r>
      <w:r w:rsidR="009A11D4">
        <w:rPr>
          <w:b w:val="0"/>
          <w:bCs/>
        </w:rPr>
        <w:t xml:space="preserve"> not only as animal feed. Important results </w:t>
      </w:r>
      <w:r w:rsidR="00BB444B">
        <w:rPr>
          <w:b w:val="0"/>
          <w:bCs/>
        </w:rPr>
        <w:t xml:space="preserve">have been obtained from its integration in the human diet, which have confirmed the value of its chemical composition. Its applications in the chemical and biotechnology sector are also noteworthy, and </w:t>
      </w:r>
      <w:proofErr w:type="gramStart"/>
      <w:r w:rsidR="00BB444B">
        <w:rPr>
          <w:b w:val="0"/>
          <w:bCs/>
        </w:rPr>
        <w:t>in particular as</w:t>
      </w:r>
      <w:proofErr w:type="gramEnd"/>
      <w:r w:rsidR="00BB444B">
        <w:rPr>
          <w:b w:val="0"/>
          <w:bCs/>
        </w:rPr>
        <w:t xml:space="preserve"> a fermentation substrate for the production of biofuels and as an extraction matrix of valid and useful bioactive components for the manufacturing of chemicals, pharmaceutical</w:t>
      </w:r>
      <w:r w:rsidR="00B343E3">
        <w:rPr>
          <w:b w:val="0"/>
          <w:bCs/>
        </w:rPr>
        <w:t xml:space="preserve"> and</w:t>
      </w:r>
      <w:r w:rsidR="00DA03FE">
        <w:rPr>
          <w:b w:val="0"/>
          <w:bCs/>
        </w:rPr>
        <w:t xml:space="preserve"> </w:t>
      </w:r>
      <w:r w:rsidR="00BB444B">
        <w:rPr>
          <w:b w:val="0"/>
          <w:bCs/>
        </w:rPr>
        <w:t>cosmetic compounds</w:t>
      </w:r>
      <w:r w:rsidR="00DA03FE">
        <w:rPr>
          <w:b w:val="0"/>
          <w:bCs/>
        </w:rPr>
        <w:t xml:space="preserve">. </w:t>
      </w:r>
      <w:r w:rsidR="00BB444B">
        <w:rPr>
          <w:b w:val="0"/>
          <w:bCs/>
        </w:rPr>
        <w:t xml:space="preserve">However, further studies are needed to </w:t>
      </w:r>
      <w:r>
        <w:rPr>
          <w:b w:val="0"/>
          <w:bCs/>
        </w:rPr>
        <w:t xml:space="preserve">optimise </w:t>
      </w:r>
      <w:r w:rsidR="00BB444B">
        <w:rPr>
          <w:b w:val="0"/>
          <w:bCs/>
        </w:rPr>
        <w:t>the production process in the different areas</w:t>
      </w:r>
      <w:r w:rsidR="00DA03FE">
        <w:rPr>
          <w:b w:val="0"/>
          <w:bCs/>
        </w:rPr>
        <w:t>. In particular</w:t>
      </w:r>
      <w:r>
        <w:rPr>
          <w:b w:val="0"/>
          <w:bCs/>
        </w:rPr>
        <w:t>,</w:t>
      </w:r>
      <w:r w:rsidR="00DA03FE">
        <w:rPr>
          <w:b w:val="0"/>
          <w:bCs/>
        </w:rPr>
        <w:t xml:space="preserve"> </w:t>
      </w:r>
      <w:r>
        <w:rPr>
          <w:b w:val="0"/>
          <w:bCs/>
        </w:rPr>
        <w:t xml:space="preserve">the </w:t>
      </w:r>
      <w:r w:rsidR="00DA03FE">
        <w:rPr>
          <w:b w:val="0"/>
          <w:bCs/>
        </w:rPr>
        <w:t xml:space="preserve">development of </w:t>
      </w:r>
      <w:r>
        <w:rPr>
          <w:b w:val="0"/>
          <w:bCs/>
        </w:rPr>
        <w:t>unit operations sequence that can exploit BSG potential and case studies devoted to understanding</w:t>
      </w:r>
      <w:r w:rsidR="0097147B">
        <w:rPr>
          <w:b w:val="0"/>
          <w:bCs/>
        </w:rPr>
        <w:t xml:space="preserve"> the econom</w:t>
      </w:r>
      <w:r>
        <w:rPr>
          <w:b w:val="0"/>
          <w:bCs/>
        </w:rPr>
        <w:t>ics</w:t>
      </w:r>
      <w:r w:rsidR="0097147B">
        <w:rPr>
          <w:b w:val="0"/>
          <w:bCs/>
        </w:rPr>
        <w:t xml:space="preserve"> behind the process and the market potential for the obtainable products</w:t>
      </w:r>
      <w:r w:rsidRPr="00FA340C">
        <w:rPr>
          <w:b w:val="0"/>
          <w:bCs/>
        </w:rPr>
        <w:t xml:space="preserve"> </w:t>
      </w:r>
      <w:r>
        <w:rPr>
          <w:b w:val="0"/>
          <w:bCs/>
        </w:rPr>
        <w:t>is still missing</w:t>
      </w:r>
      <w:r w:rsidR="0097147B">
        <w:rPr>
          <w:b w:val="0"/>
          <w:bCs/>
        </w:rPr>
        <w:t>. Future works are called to address</w:t>
      </w:r>
      <w:r w:rsidR="00BB444B">
        <w:rPr>
          <w:b w:val="0"/>
          <w:bCs/>
        </w:rPr>
        <w:t xml:space="preserve"> </w:t>
      </w:r>
      <w:r w:rsidR="0097147B">
        <w:rPr>
          <w:b w:val="0"/>
          <w:bCs/>
        </w:rPr>
        <w:t>the process</w:t>
      </w:r>
      <w:r w:rsidR="00BB444B">
        <w:rPr>
          <w:b w:val="0"/>
          <w:bCs/>
        </w:rPr>
        <w:t xml:space="preserve"> cost </w:t>
      </w:r>
      <w:r>
        <w:rPr>
          <w:b w:val="0"/>
          <w:bCs/>
        </w:rPr>
        <w:t xml:space="preserve">minimisation </w:t>
      </w:r>
      <w:r w:rsidR="00BB444B">
        <w:rPr>
          <w:b w:val="0"/>
          <w:bCs/>
        </w:rPr>
        <w:t xml:space="preserve">and yield </w:t>
      </w:r>
      <w:r>
        <w:rPr>
          <w:b w:val="0"/>
          <w:bCs/>
        </w:rPr>
        <w:t xml:space="preserve">maximisation </w:t>
      </w:r>
      <w:r w:rsidR="00BB444B">
        <w:rPr>
          <w:b w:val="0"/>
          <w:bCs/>
        </w:rPr>
        <w:t xml:space="preserve">with the aim of </w:t>
      </w:r>
      <w:r>
        <w:rPr>
          <w:b w:val="0"/>
          <w:bCs/>
        </w:rPr>
        <w:t>implementing</w:t>
      </w:r>
      <w:r w:rsidR="00BB444B">
        <w:rPr>
          <w:b w:val="0"/>
          <w:bCs/>
        </w:rPr>
        <w:t xml:space="preserve"> industrial reuse of BSG an ever-closer reality. </w:t>
      </w:r>
    </w:p>
    <w:p w14:paraId="6C4D3804" w14:textId="77777777" w:rsidR="00963496" w:rsidRPr="00B57B36" w:rsidRDefault="00963496" w:rsidP="00963496">
      <w:pPr>
        <w:pStyle w:val="CETAcknowledgementstitle"/>
      </w:pPr>
      <w:r w:rsidRPr="00B57B36">
        <w:t>Acknowledgments</w:t>
      </w:r>
    </w:p>
    <w:p w14:paraId="5FB98C6E" w14:textId="629A62B1" w:rsidR="00963496" w:rsidRPr="00963496" w:rsidRDefault="0059658A" w:rsidP="00963496">
      <w:pPr>
        <w:pStyle w:val="CETBodytext"/>
        <w:rPr>
          <w:lang w:val="en-GB"/>
        </w:rPr>
      </w:pPr>
      <w:r>
        <w:rPr>
          <w:lang w:val="en-GB"/>
        </w:rPr>
        <w:t xml:space="preserve">M. </w:t>
      </w:r>
      <w:proofErr w:type="spellStart"/>
      <w:r>
        <w:rPr>
          <w:lang w:val="en-GB"/>
        </w:rPr>
        <w:t>Errico</w:t>
      </w:r>
      <w:proofErr w:type="spellEnd"/>
      <w:r>
        <w:rPr>
          <w:lang w:val="en-GB"/>
        </w:rPr>
        <w:t xml:space="preserve"> acknow</w:t>
      </w:r>
      <w:r w:rsidR="00935CE1">
        <w:rPr>
          <w:lang w:val="en-GB"/>
        </w:rPr>
        <w:t xml:space="preserve">ledges the funding received from the European Union´s Horizon 2020 research and innovation programme under the Marie </w:t>
      </w:r>
      <w:proofErr w:type="spellStart"/>
      <w:r w:rsidR="00E57BA9" w:rsidRPr="00E57BA9">
        <w:rPr>
          <w:lang w:val="en-GB"/>
        </w:rPr>
        <w:t>Skłodowska</w:t>
      </w:r>
      <w:proofErr w:type="spellEnd"/>
      <w:r w:rsidR="00E57BA9" w:rsidRPr="00E57BA9">
        <w:rPr>
          <w:lang w:val="en-GB"/>
        </w:rPr>
        <w:t>-Curie grant agreement No 778168.</w:t>
      </w:r>
    </w:p>
    <w:p w14:paraId="428B022A" w14:textId="5489D655" w:rsidR="00E65B91" w:rsidRDefault="00600535" w:rsidP="00652BFB">
      <w:pPr>
        <w:pStyle w:val="CETReference"/>
      </w:pPr>
      <w:r w:rsidRPr="00B57B36">
        <w:t>References</w:t>
      </w:r>
    </w:p>
    <w:p w14:paraId="315FCCF0" w14:textId="430BA770" w:rsidR="00472166" w:rsidRDefault="00472166" w:rsidP="00652BFB">
      <w:pPr>
        <w:pStyle w:val="CETReferencetext"/>
      </w:pPr>
      <w:r>
        <w:t xml:space="preserve">Aliyu S., </w:t>
      </w:r>
      <w:proofErr w:type="spellStart"/>
      <w:r>
        <w:t>Bala</w:t>
      </w:r>
      <w:proofErr w:type="spellEnd"/>
      <w:r>
        <w:t xml:space="preserve"> M.</w:t>
      </w:r>
      <w:r w:rsidR="00593995">
        <w:t>,</w:t>
      </w:r>
      <w:r>
        <w:t xml:space="preserve"> 2011</w:t>
      </w:r>
      <w:r w:rsidR="00593995">
        <w:t>,</w:t>
      </w:r>
      <w:r>
        <w:t xml:space="preserve"> Brewer</w:t>
      </w:r>
      <w:r w:rsidR="00FA340C">
        <w:t>'</w:t>
      </w:r>
      <w:r>
        <w:t>s spent grain: A review of its potentials and applications</w:t>
      </w:r>
      <w:r w:rsidR="00276C7B">
        <w:t>,</w:t>
      </w:r>
      <w:r>
        <w:t xml:space="preserve"> African Journal of Biotechnology, 10(3), 324-331.</w:t>
      </w:r>
    </w:p>
    <w:p w14:paraId="4345E7EE" w14:textId="34C095E4" w:rsidR="00472166" w:rsidRDefault="00472166" w:rsidP="00652BFB">
      <w:pPr>
        <w:pStyle w:val="CETReferencetext"/>
      </w:pPr>
      <w:r w:rsidRPr="00E9384F">
        <w:t xml:space="preserve">Bianco A., </w:t>
      </w:r>
      <w:proofErr w:type="spellStart"/>
      <w:r w:rsidRPr="00E9384F">
        <w:t>Budroni</w:t>
      </w:r>
      <w:proofErr w:type="spellEnd"/>
      <w:r w:rsidRPr="00E9384F">
        <w:t xml:space="preserve"> M., Zara S., </w:t>
      </w:r>
      <w:proofErr w:type="spellStart"/>
      <w:r w:rsidRPr="00E9384F">
        <w:t>Mannazzu</w:t>
      </w:r>
      <w:proofErr w:type="spellEnd"/>
      <w:r w:rsidRPr="00E9384F">
        <w:t xml:space="preserve"> I., </w:t>
      </w:r>
      <w:proofErr w:type="spellStart"/>
      <w:r w:rsidRPr="00E9384F">
        <w:t>Fancello</w:t>
      </w:r>
      <w:proofErr w:type="spellEnd"/>
      <w:r w:rsidRPr="00E9384F">
        <w:t xml:space="preserve"> F.</w:t>
      </w:r>
      <w:proofErr w:type="gramStart"/>
      <w:r w:rsidRPr="00E9384F">
        <w:t>,  Zara</w:t>
      </w:r>
      <w:proofErr w:type="gramEnd"/>
      <w:r w:rsidRPr="00E9384F">
        <w:t xml:space="preserve"> G.</w:t>
      </w:r>
      <w:r w:rsidR="009B2A70">
        <w:t xml:space="preserve">, </w:t>
      </w:r>
      <w:r w:rsidRPr="00E9384F">
        <w:t>2020</w:t>
      </w:r>
      <w:r w:rsidR="009B2A70">
        <w:t>,</w:t>
      </w:r>
      <w:r w:rsidRPr="00E9384F">
        <w:t xml:space="preserve"> The role of microorganisms on biotransformation of brewers</w:t>
      </w:r>
      <w:r w:rsidR="00FA340C">
        <w:t>'</w:t>
      </w:r>
      <w:r w:rsidRPr="00E9384F">
        <w:t xml:space="preserve"> spent grain</w:t>
      </w:r>
      <w:r w:rsidR="00276C7B">
        <w:t>,</w:t>
      </w:r>
      <w:r w:rsidRPr="00E9384F">
        <w:t xml:space="preserve"> Applied Microbiology and Biotechnology, 104(20), 8661-8678.</w:t>
      </w:r>
    </w:p>
    <w:p w14:paraId="6BDF8002" w14:textId="0641E1DB" w:rsidR="00472166" w:rsidRPr="009F3D76" w:rsidRDefault="00472166" w:rsidP="00652BFB">
      <w:pPr>
        <w:pStyle w:val="CETReferencetext"/>
        <w:rPr>
          <w:lang w:val="fr-FR"/>
        </w:rPr>
      </w:pPr>
      <w:proofErr w:type="spellStart"/>
      <w:r w:rsidRPr="00A53D60">
        <w:t>Birsan</w:t>
      </w:r>
      <w:proofErr w:type="spellEnd"/>
      <w:r w:rsidRPr="00A53D60">
        <w:t xml:space="preserve"> R. I., Wilde P., Waldron K. W., Rai D.K.</w:t>
      </w:r>
      <w:r w:rsidR="009B2A70">
        <w:t xml:space="preserve">, </w:t>
      </w:r>
      <w:r w:rsidRPr="00A53D60">
        <w:t>2019</w:t>
      </w:r>
      <w:r w:rsidR="009B2A70">
        <w:t>,</w:t>
      </w:r>
      <w:r w:rsidRPr="00A53D60">
        <w:t xml:space="preserve"> Recovery of polyphenols from brewer</w:t>
      </w:r>
      <w:r w:rsidR="00FA340C">
        <w:t>'</w:t>
      </w:r>
      <w:r w:rsidRPr="00A53D60">
        <w:t xml:space="preserve">s spent grains. </w:t>
      </w:r>
      <w:proofErr w:type="spellStart"/>
      <w:r w:rsidRPr="009F3D76">
        <w:rPr>
          <w:lang w:val="fr-FR"/>
        </w:rPr>
        <w:t>Antioxidants</w:t>
      </w:r>
      <w:proofErr w:type="spellEnd"/>
      <w:r w:rsidRPr="009F3D76">
        <w:rPr>
          <w:lang w:val="fr-FR"/>
        </w:rPr>
        <w:t>, 8(9), 380.</w:t>
      </w:r>
    </w:p>
    <w:p w14:paraId="783EB1CD" w14:textId="3AAF9B4B" w:rsidR="00472166" w:rsidDel="008066D6" w:rsidRDefault="00472166" w:rsidP="00652BFB">
      <w:pPr>
        <w:pStyle w:val="CETReferencetext"/>
      </w:pPr>
      <w:r w:rsidRPr="009F3D76" w:rsidDel="008066D6">
        <w:rPr>
          <w:lang w:val="fr-FR"/>
        </w:rPr>
        <w:t xml:space="preserve">Caetano N.S., Moura R.F., </w:t>
      </w:r>
      <w:proofErr w:type="spellStart"/>
      <w:r w:rsidRPr="009F3D76" w:rsidDel="008066D6">
        <w:rPr>
          <w:lang w:val="fr-FR"/>
        </w:rPr>
        <w:t>Meireles</w:t>
      </w:r>
      <w:proofErr w:type="spellEnd"/>
      <w:r w:rsidRPr="009F3D76" w:rsidDel="008066D6">
        <w:rPr>
          <w:lang w:val="fr-FR"/>
        </w:rPr>
        <w:t xml:space="preserve"> S., Mendes</w:t>
      </w:r>
      <w:r w:rsidR="00054AE8">
        <w:rPr>
          <w:lang w:val="fr-FR"/>
        </w:rPr>
        <w:t xml:space="preserve"> </w:t>
      </w:r>
      <w:r w:rsidRPr="009F3D76" w:rsidDel="008066D6">
        <w:rPr>
          <w:lang w:val="fr-FR"/>
        </w:rPr>
        <w:t>A.M., Mata T.M.</w:t>
      </w:r>
      <w:r w:rsidR="009B2A70">
        <w:rPr>
          <w:lang w:val="fr-FR"/>
        </w:rPr>
        <w:t xml:space="preserve">, </w:t>
      </w:r>
      <w:r w:rsidRPr="009F3D76" w:rsidDel="008066D6">
        <w:rPr>
          <w:lang w:val="fr-FR"/>
        </w:rPr>
        <w:t>2013</w:t>
      </w:r>
      <w:r w:rsidR="009B2A70">
        <w:rPr>
          <w:lang w:val="fr-FR"/>
        </w:rPr>
        <w:t>,</w:t>
      </w:r>
      <w:r w:rsidRPr="009F3D76" w:rsidDel="008066D6">
        <w:rPr>
          <w:lang w:val="fr-FR"/>
        </w:rPr>
        <w:t xml:space="preserve"> </w:t>
      </w:r>
      <w:r w:rsidRPr="00BE2347" w:rsidDel="008066D6">
        <w:t>Bioethanol from brewer</w:t>
      </w:r>
      <w:r w:rsidR="00FA340C">
        <w:t>'</w:t>
      </w:r>
      <w:r w:rsidRPr="00BE2347" w:rsidDel="008066D6">
        <w:t xml:space="preserve">s spent </w:t>
      </w:r>
      <w:proofErr w:type="gramStart"/>
      <w:r w:rsidRPr="00BE2347" w:rsidDel="008066D6">
        <w:t>grains:</w:t>
      </w:r>
      <w:proofErr w:type="gramEnd"/>
      <w:r w:rsidRPr="00BE2347" w:rsidDel="008066D6">
        <w:t xml:space="preserve"> Acid pre</w:t>
      </w:r>
      <w:r w:rsidR="00FA340C">
        <w:t>-</w:t>
      </w:r>
      <w:r w:rsidRPr="00BE2347" w:rsidDel="008066D6">
        <w:t>treatment optimi</w:t>
      </w:r>
      <w:r w:rsidR="00FA340C">
        <w:t>s</w:t>
      </w:r>
      <w:r w:rsidRPr="00BE2347" w:rsidDel="008066D6">
        <w:t>ation</w:t>
      </w:r>
      <w:r w:rsidR="00276C7B">
        <w:t>,</w:t>
      </w:r>
      <w:r w:rsidRPr="00BE2347" w:rsidDel="008066D6">
        <w:t xml:space="preserve"> Chem</w:t>
      </w:r>
      <w:r w:rsidR="004E48EC">
        <w:t>ical</w:t>
      </w:r>
      <w:r w:rsidRPr="00BE2347" w:rsidDel="008066D6">
        <w:t xml:space="preserve"> Eng</w:t>
      </w:r>
      <w:r w:rsidR="004E48EC">
        <w:t>ineering Transactions</w:t>
      </w:r>
      <w:r w:rsidRPr="00BE2347" w:rsidDel="008066D6">
        <w:t>, 35, 1021-1026.</w:t>
      </w:r>
    </w:p>
    <w:p w14:paraId="18380707" w14:textId="21414143" w:rsidR="00472166" w:rsidRDefault="00472166" w:rsidP="00652BFB">
      <w:pPr>
        <w:pStyle w:val="CETReferencetext"/>
      </w:pPr>
      <w:proofErr w:type="spellStart"/>
      <w:r>
        <w:t>Chetrariu</w:t>
      </w:r>
      <w:proofErr w:type="spellEnd"/>
      <w:r>
        <w:t xml:space="preserve"> A., </w:t>
      </w:r>
      <w:proofErr w:type="spellStart"/>
      <w:r>
        <w:t>Dabija</w:t>
      </w:r>
      <w:proofErr w:type="spellEnd"/>
      <w:r>
        <w:t xml:space="preserve"> A.</w:t>
      </w:r>
      <w:r w:rsidR="009B2A70">
        <w:t xml:space="preserve">, </w:t>
      </w:r>
      <w:r>
        <w:t>2020</w:t>
      </w:r>
      <w:r w:rsidR="009B2A70">
        <w:t>,</w:t>
      </w:r>
      <w:r>
        <w:t xml:space="preserve"> Brewer</w:t>
      </w:r>
      <w:r w:rsidR="00FA340C">
        <w:t>'</w:t>
      </w:r>
      <w:r>
        <w:t>s spent grains: Possibilities of valori</w:t>
      </w:r>
      <w:r w:rsidR="00FA340C">
        <w:t>s</w:t>
      </w:r>
      <w:r>
        <w:t>ation, a review</w:t>
      </w:r>
      <w:r w:rsidR="00575E65">
        <w:t>,</w:t>
      </w:r>
      <w:r>
        <w:t xml:space="preserve"> Applied Sciences, 10(16), 5619.</w:t>
      </w:r>
    </w:p>
    <w:p w14:paraId="5F716AB3" w14:textId="6E9F34B3" w:rsidR="00185356" w:rsidRDefault="00185356" w:rsidP="00652BFB">
      <w:pPr>
        <w:pStyle w:val="CETReferencetext"/>
      </w:pPr>
      <w:r w:rsidRPr="00185356">
        <w:t xml:space="preserve">Gil-Castell O., </w:t>
      </w:r>
      <w:proofErr w:type="spellStart"/>
      <w:r w:rsidRPr="00185356">
        <w:t>Mascia</w:t>
      </w:r>
      <w:proofErr w:type="spellEnd"/>
      <w:r w:rsidRPr="00185356">
        <w:t xml:space="preserve"> N., </w:t>
      </w:r>
      <w:proofErr w:type="spellStart"/>
      <w:r w:rsidRPr="00185356">
        <w:t>Primaz</w:t>
      </w:r>
      <w:proofErr w:type="spellEnd"/>
      <w:r w:rsidRPr="00185356">
        <w:t xml:space="preserve"> C., </w:t>
      </w:r>
      <w:proofErr w:type="spellStart"/>
      <w:r w:rsidRPr="00185356">
        <w:t>Vásqez-Garay</w:t>
      </w:r>
      <w:proofErr w:type="spellEnd"/>
      <w:r w:rsidRPr="00185356">
        <w:t xml:space="preserve"> F., </w:t>
      </w:r>
      <w:proofErr w:type="spellStart"/>
      <w:r w:rsidRPr="00185356">
        <w:t>Baschetti</w:t>
      </w:r>
      <w:proofErr w:type="spellEnd"/>
      <w:r w:rsidRPr="00185356">
        <w:t xml:space="preserve"> </w:t>
      </w:r>
      <w:proofErr w:type="spellStart"/>
      <w:r w:rsidRPr="00185356">
        <w:t>M.G.</w:t>
      </w:r>
      <w:r>
        <w:t xml:space="preserve">, </w:t>
      </w:r>
      <w:r w:rsidRPr="00185356">
        <w:t>Ribes-Greus</w:t>
      </w:r>
      <w:proofErr w:type="spellEnd"/>
      <w:r w:rsidRPr="00185356">
        <w:t>, A., 2022</w:t>
      </w:r>
      <w:r>
        <w:t>,</w:t>
      </w:r>
      <w:r w:rsidRPr="00185356">
        <w:t xml:space="preserve"> Brewer’s spent grains as biofuels in combustion-based energy recovery processes: Evaluation of thermo-oxidative decomposition</w:t>
      </w:r>
      <w:r>
        <w:t>,</w:t>
      </w:r>
      <w:r w:rsidRPr="00185356">
        <w:t xml:space="preserve"> Fuel, 312,122955.</w:t>
      </w:r>
    </w:p>
    <w:p w14:paraId="140B0C9D" w14:textId="225A5DD2" w:rsidR="00472166" w:rsidDel="008066D6" w:rsidRDefault="00472166" w:rsidP="00652BFB">
      <w:pPr>
        <w:pStyle w:val="CETReferencetext"/>
      </w:pPr>
      <w:r w:rsidRPr="009F3D76" w:rsidDel="008066D6">
        <w:rPr>
          <w:lang w:val="en-US"/>
        </w:rPr>
        <w:t>Guido L.F., Moreira M.M.</w:t>
      </w:r>
      <w:r w:rsidR="009B2A70">
        <w:rPr>
          <w:lang w:val="en-US"/>
        </w:rPr>
        <w:t xml:space="preserve">, </w:t>
      </w:r>
      <w:r w:rsidRPr="009F3D76" w:rsidDel="008066D6">
        <w:rPr>
          <w:lang w:val="en-US"/>
        </w:rPr>
        <w:t>2017</w:t>
      </w:r>
      <w:r w:rsidR="009B2A70">
        <w:rPr>
          <w:lang w:val="en-US"/>
        </w:rPr>
        <w:t>,</w:t>
      </w:r>
      <w:r w:rsidRPr="009F3D76" w:rsidDel="008066D6">
        <w:rPr>
          <w:lang w:val="en-US"/>
        </w:rPr>
        <w:t xml:space="preserve"> </w:t>
      </w:r>
      <w:r w:rsidRPr="00D71C40" w:rsidDel="008066D6">
        <w:t>Techniques for extraction of brewer</w:t>
      </w:r>
      <w:r w:rsidR="00FA340C">
        <w:t>'</w:t>
      </w:r>
      <w:r w:rsidRPr="00D71C40" w:rsidDel="008066D6">
        <w:t>s spent grain polyphenols: A review</w:t>
      </w:r>
      <w:r w:rsidR="00575E65">
        <w:t>,</w:t>
      </w:r>
      <w:r w:rsidRPr="00D71C40" w:rsidDel="008066D6">
        <w:t xml:space="preserve"> Food and Bioprocess Technology, 10(7), 1192-1209.</w:t>
      </w:r>
    </w:p>
    <w:p w14:paraId="06EF8D86" w14:textId="1C8CC55C" w:rsidR="00472166" w:rsidRDefault="00472166" w:rsidP="00652BFB">
      <w:pPr>
        <w:pStyle w:val="CETReferencetext"/>
      </w:pPr>
      <w:r w:rsidRPr="004D0DED">
        <w:t xml:space="preserve">Herbst G., </w:t>
      </w:r>
      <w:proofErr w:type="spellStart"/>
      <w:r w:rsidRPr="004D0DED">
        <w:t>Hamerski</w:t>
      </w:r>
      <w:proofErr w:type="spellEnd"/>
      <w:r w:rsidRPr="004D0DED">
        <w:t xml:space="preserve"> F.</w:t>
      </w:r>
      <w:r w:rsidR="00054AE8">
        <w:t>,</w:t>
      </w:r>
      <w:r w:rsidRPr="004D0DED">
        <w:t xml:space="preserve"> </w:t>
      </w:r>
      <w:proofErr w:type="spellStart"/>
      <w:r w:rsidRPr="004D0DED">
        <w:t>Errico</w:t>
      </w:r>
      <w:proofErr w:type="spellEnd"/>
      <w:r w:rsidRPr="004D0DED">
        <w:t xml:space="preserve"> M., </w:t>
      </w:r>
      <w:proofErr w:type="spellStart"/>
      <w:r w:rsidRPr="004D0DED">
        <w:t>Corazza</w:t>
      </w:r>
      <w:proofErr w:type="spellEnd"/>
      <w:r w:rsidRPr="004D0DED">
        <w:t>, M.L.</w:t>
      </w:r>
      <w:r w:rsidR="009B2A70">
        <w:t xml:space="preserve">, </w:t>
      </w:r>
      <w:r w:rsidRPr="004D0DED">
        <w:t>2021</w:t>
      </w:r>
      <w:r w:rsidR="009B2A70">
        <w:t>,</w:t>
      </w:r>
      <w:r w:rsidRPr="004D0DED">
        <w:t xml:space="preserve"> Pressuri</w:t>
      </w:r>
      <w:r w:rsidR="00FA340C">
        <w:t>s</w:t>
      </w:r>
      <w:r w:rsidRPr="004D0DED">
        <w:t>ed liquid extraction of brewer</w:t>
      </w:r>
      <w:r w:rsidR="00FA340C">
        <w:t>'</w:t>
      </w:r>
      <w:r w:rsidRPr="004D0DED">
        <w:t>s spent grain: Kinetics and crude extracts characteri</w:t>
      </w:r>
      <w:r w:rsidR="00FA340C">
        <w:t>s</w:t>
      </w:r>
      <w:r w:rsidRPr="004D0DED">
        <w:t>ation</w:t>
      </w:r>
      <w:r w:rsidR="00575E65">
        <w:t>,</w:t>
      </w:r>
      <w:r w:rsidRPr="004D0DED">
        <w:t xml:space="preserve"> Journal of Industrial and Engineering Chemistry, 102, 370-383.</w:t>
      </w:r>
    </w:p>
    <w:p w14:paraId="2F1500C8" w14:textId="5062703D" w:rsidR="00472166" w:rsidRDefault="00472166" w:rsidP="00652BFB">
      <w:pPr>
        <w:pStyle w:val="CETReferencetext"/>
      </w:pPr>
      <w:proofErr w:type="spellStart"/>
      <w:r>
        <w:t>Huige</w:t>
      </w:r>
      <w:proofErr w:type="spellEnd"/>
      <w:r>
        <w:t xml:space="preserve"> N.J.</w:t>
      </w:r>
      <w:r w:rsidR="009B2A70">
        <w:t xml:space="preserve">, </w:t>
      </w:r>
      <w:r>
        <w:t>2006</w:t>
      </w:r>
      <w:r w:rsidR="009B2A70">
        <w:t>,</w:t>
      </w:r>
      <w:r>
        <w:t xml:space="preserve"> Brewery by-products and effluents. In Handbook of brewing (pp. 670-729). CRC Press.</w:t>
      </w:r>
    </w:p>
    <w:p w14:paraId="53CBCDD9" w14:textId="792D9F7B" w:rsidR="00472166" w:rsidRDefault="00472166" w:rsidP="00652BFB">
      <w:pPr>
        <w:pStyle w:val="CETReferencetext"/>
      </w:pPr>
      <w:r>
        <w:t>Ikram S., Huang L., Zhang</w:t>
      </w:r>
      <w:r w:rsidR="00054AE8">
        <w:t xml:space="preserve"> </w:t>
      </w:r>
      <w:r>
        <w:t>H., Wang J., Yin M.</w:t>
      </w:r>
      <w:r w:rsidR="009B2A70">
        <w:t xml:space="preserve">, </w:t>
      </w:r>
      <w:r>
        <w:t>2017</w:t>
      </w:r>
      <w:r w:rsidR="009B2A70">
        <w:t>,</w:t>
      </w:r>
      <w:r>
        <w:t xml:space="preserve"> Composition and nutrient value proposition of brewers spent grain</w:t>
      </w:r>
      <w:r w:rsidR="004A6A42">
        <w:t>,</w:t>
      </w:r>
      <w:r>
        <w:t xml:space="preserve"> Journal of food science, 82(10), 2232-2242.</w:t>
      </w:r>
    </w:p>
    <w:p w14:paraId="4CA4EBD4" w14:textId="15DD4F4C" w:rsidR="00472166" w:rsidRDefault="00472166" w:rsidP="00652BFB">
      <w:pPr>
        <w:pStyle w:val="CETReferencetext"/>
      </w:pPr>
      <w:r w:rsidRPr="009B4458">
        <w:t>Ikram S., Zhang H., Ming H., Wang J.</w:t>
      </w:r>
      <w:r w:rsidR="009B2A70">
        <w:t xml:space="preserve">, </w:t>
      </w:r>
      <w:r w:rsidRPr="009B4458">
        <w:t>2020</w:t>
      </w:r>
      <w:r w:rsidR="009B2A70">
        <w:t>,</w:t>
      </w:r>
      <w:r w:rsidRPr="009B4458">
        <w:t xml:space="preserve"> Recovery of major phenolic acids and antioxidant activity of highland barley brewer</w:t>
      </w:r>
      <w:r w:rsidR="00FA340C">
        <w:t>'</w:t>
      </w:r>
      <w:r w:rsidRPr="009B4458">
        <w:t>s spent grains extracts</w:t>
      </w:r>
      <w:r w:rsidR="004A6A42">
        <w:t>,</w:t>
      </w:r>
      <w:r w:rsidRPr="009B4458">
        <w:t xml:space="preserve"> Journal of Food Processing and Preservation, 44(1), e14308.</w:t>
      </w:r>
    </w:p>
    <w:p w14:paraId="6DF7F05D" w14:textId="08EB3627" w:rsidR="00472166" w:rsidRDefault="00472166" w:rsidP="00652BFB">
      <w:pPr>
        <w:pStyle w:val="CETReferencetext"/>
      </w:pPr>
      <w:r>
        <w:t xml:space="preserve">Kaur </w:t>
      </w:r>
      <w:proofErr w:type="gramStart"/>
      <w:r>
        <w:t>V. .</w:t>
      </w:r>
      <w:proofErr w:type="gramEnd"/>
      <w:r>
        <w:t>, Saxena P.K.</w:t>
      </w:r>
      <w:r w:rsidR="009B2A70">
        <w:t xml:space="preserve">, </w:t>
      </w:r>
      <w:r>
        <w:t>2004</w:t>
      </w:r>
      <w:r w:rsidR="009B2A70">
        <w:t>,</w:t>
      </w:r>
      <w:r>
        <w:t xml:space="preserve"> Incorporation of brewery waste in supplementary feed and its impact on growth in some carps</w:t>
      </w:r>
      <w:r w:rsidR="004A6A42">
        <w:t>,</w:t>
      </w:r>
      <w:r>
        <w:t xml:space="preserve"> Bioresource </w:t>
      </w:r>
      <w:r w:rsidR="0097147B">
        <w:t>T</w:t>
      </w:r>
      <w:r>
        <w:t>echnology, 91(1), 101-104.</w:t>
      </w:r>
    </w:p>
    <w:p w14:paraId="5BCD2382" w14:textId="1CCAAAD5" w:rsidR="00472166" w:rsidDel="008066D6" w:rsidRDefault="00472166" w:rsidP="00652BFB">
      <w:pPr>
        <w:pStyle w:val="CETReferencetext"/>
      </w:pPr>
      <w:proofErr w:type="spellStart"/>
      <w:r w:rsidDel="008066D6">
        <w:t>Ktenioudaki</w:t>
      </w:r>
      <w:proofErr w:type="spellEnd"/>
      <w:r w:rsidDel="008066D6">
        <w:t xml:space="preserve"> A., Alvarez-</w:t>
      </w:r>
      <w:proofErr w:type="spellStart"/>
      <w:r w:rsidDel="008066D6">
        <w:t>Jubete</w:t>
      </w:r>
      <w:proofErr w:type="spellEnd"/>
      <w:r w:rsidDel="008066D6">
        <w:t xml:space="preserve"> L., Smyth T.J., </w:t>
      </w:r>
      <w:proofErr w:type="spellStart"/>
      <w:r w:rsidDel="008066D6">
        <w:t>Kilcawley</w:t>
      </w:r>
      <w:proofErr w:type="spellEnd"/>
      <w:r w:rsidDel="008066D6">
        <w:t xml:space="preserve"> K., Rai D.K., Gallagher E.</w:t>
      </w:r>
      <w:r w:rsidR="004A6A42">
        <w:t xml:space="preserve">, </w:t>
      </w:r>
      <w:r w:rsidDel="008066D6">
        <w:t>2015</w:t>
      </w:r>
      <w:r w:rsidR="004A6A42">
        <w:t>,</w:t>
      </w:r>
      <w:r w:rsidDel="008066D6">
        <w:t xml:space="preserve"> Application of bioprocessing techniques (sourdough fermentation and technological aids) for brewer's spent grain breads</w:t>
      </w:r>
      <w:r w:rsidR="004A6A42">
        <w:t>,</w:t>
      </w:r>
      <w:r w:rsidDel="008066D6">
        <w:t xml:space="preserve"> Food Research International, 73, 107-116.</w:t>
      </w:r>
    </w:p>
    <w:p w14:paraId="67D818A7" w14:textId="69A90A69" w:rsidR="00472166" w:rsidDel="008066D6" w:rsidRDefault="00472166" w:rsidP="00652BFB">
      <w:pPr>
        <w:pStyle w:val="CETReferencetext"/>
      </w:pPr>
      <w:r w:rsidRPr="00B06BC8" w:rsidDel="008066D6">
        <w:lastRenderedPageBreak/>
        <w:t xml:space="preserve">Kumar P., Barrett D.M., </w:t>
      </w:r>
      <w:proofErr w:type="spellStart"/>
      <w:r w:rsidRPr="00B06BC8" w:rsidDel="008066D6">
        <w:t>Delwiche</w:t>
      </w:r>
      <w:proofErr w:type="spellEnd"/>
      <w:r w:rsidRPr="00B06BC8" w:rsidDel="008066D6">
        <w:t xml:space="preserve"> M.J.</w:t>
      </w:r>
      <w:proofErr w:type="gramStart"/>
      <w:r w:rsidRPr="00B06BC8" w:rsidDel="008066D6">
        <w:t>,  Stroeve</w:t>
      </w:r>
      <w:proofErr w:type="gramEnd"/>
      <w:r w:rsidRPr="00B06BC8" w:rsidDel="008066D6">
        <w:t xml:space="preserve"> P.</w:t>
      </w:r>
      <w:r w:rsidR="004A6A42">
        <w:t xml:space="preserve">, </w:t>
      </w:r>
      <w:r w:rsidRPr="00B06BC8" w:rsidDel="008066D6">
        <w:t>2009</w:t>
      </w:r>
      <w:r w:rsidR="004A6A42">
        <w:t>,</w:t>
      </w:r>
      <w:r w:rsidRPr="00B06BC8" w:rsidDel="008066D6">
        <w:t xml:space="preserve"> Methods for pre</w:t>
      </w:r>
      <w:r w:rsidR="00FA340C">
        <w:t>-</w:t>
      </w:r>
      <w:r w:rsidRPr="00B06BC8" w:rsidDel="008066D6">
        <w:t>treatment of lignocellulosic biomass for efficient hydrolysis and biofuel production</w:t>
      </w:r>
      <w:r w:rsidR="004A6A42">
        <w:t>,</w:t>
      </w:r>
      <w:r w:rsidRPr="00B06BC8" w:rsidDel="008066D6">
        <w:t xml:space="preserve"> Industrial &amp; </w:t>
      </w:r>
      <w:r w:rsidR="00F54927">
        <w:t>E</w:t>
      </w:r>
      <w:r w:rsidRPr="00B06BC8" w:rsidDel="008066D6">
        <w:t xml:space="preserve">ngineering </w:t>
      </w:r>
      <w:r w:rsidR="00F54927">
        <w:t>C</w:t>
      </w:r>
      <w:r w:rsidRPr="00B06BC8" w:rsidDel="008066D6">
        <w:t xml:space="preserve">hemistry </w:t>
      </w:r>
      <w:r w:rsidR="00F54927">
        <w:t>R</w:t>
      </w:r>
      <w:r w:rsidRPr="00B06BC8" w:rsidDel="008066D6">
        <w:t>esearch, 48(8), 3713-3729.</w:t>
      </w:r>
    </w:p>
    <w:p w14:paraId="6836A41E" w14:textId="0DA90CA8" w:rsidR="00472166" w:rsidRDefault="00472166" w:rsidP="00652BFB">
      <w:pPr>
        <w:pStyle w:val="CETReferencetext"/>
      </w:pPr>
      <w:r w:rsidRPr="002838F5">
        <w:t xml:space="preserve">Liguori R., </w:t>
      </w:r>
      <w:proofErr w:type="spellStart"/>
      <w:r w:rsidRPr="002838F5">
        <w:t>Soccol</w:t>
      </w:r>
      <w:proofErr w:type="spellEnd"/>
      <w:r w:rsidRPr="002838F5">
        <w:t xml:space="preserve"> C.R., Porto de Souza </w:t>
      </w:r>
      <w:proofErr w:type="spellStart"/>
      <w:r w:rsidRPr="002838F5">
        <w:t>Vandenberghe</w:t>
      </w:r>
      <w:proofErr w:type="spellEnd"/>
      <w:r w:rsidRPr="002838F5">
        <w:t xml:space="preserve"> L., </w:t>
      </w:r>
      <w:proofErr w:type="spellStart"/>
      <w:r w:rsidRPr="002838F5">
        <w:t>Woiciechowski</w:t>
      </w:r>
      <w:proofErr w:type="spellEnd"/>
      <w:r w:rsidRPr="002838F5">
        <w:t xml:space="preserve"> A.L.</w:t>
      </w:r>
      <w:proofErr w:type="gramStart"/>
      <w:r w:rsidRPr="002838F5">
        <w:t xml:space="preserve">,  </w:t>
      </w:r>
      <w:proofErr w:type="spellStart"/>
      <w:r w:rsidRPr="002838F5">
        <w:t>Faraco</w:t>
      </w:r>
      <w:proofErr w:type="spellEnd"/>
      <w:proofErr w:type="gramEnd"/>
      <w:r w:rsidRPr="002838F5">
        <w:t xml:space="preserve"> V.</w:t>
      </w:r>
      <w:r w:rsidR="004A6A42">
        <w:t xml:space="preserve">, </w:t>
      </w:r>
      <w:r w:rsidRPr="002838F5">
        <w:t>2015</w:t>
      </w:r>
      <w:r w:rsidR="004A6A42">
        <w:t>,</w:t>
      </w:r>
      <w:r w:rsidRPr="002838F5">
        <w:t xml:space="preserve"> Second generation ethanol production from brewers</w:t>
      </w:r>
      <w:r w:rsidR="00FA340C">
        <w:t>'</w:t>
      </w:r>
      <w:r w:rsidRPr="002838F5">
        <w:t xml:space="preserve"> spent grain</w:t>
      </w:r>
      <w:r w:rsidR="004A6A42">
        <w:t>,</w:t>
      </w:r>
      <w:r w:rsidRPr="002838F5">
        <w:t xml:space="preserve"> Energies, 8(4), 2575-2586.</w:t>
      </w:r>
    </w:p>
    <w:p w14:paraId="134310DB" w14:textId="3F4D57A5" w:rsidR="00472166" w:rsidDel="002838F5" w:rsidRDefault="00472166" w:rsidP="00652BFB">
      <w:pPr>
        <w:pStyle w:val="CETReferencetext"/>
      </w:pPr>
      <w:r w:rsidRPr="004D0DED" w:rsidDel="008066D6">
        <w:t>López</w:t>
      </w:r>
      <w:r w:rsidRPr="004D0DED" w:rsidDel="008066D6">
        <w:rPr>
          <w:rFonts w:ascii="Cambria Math" w:hAnsi="Cambria Math" w:cs="Cambria Math"/>
        </w:rPr>
        <w:t>‐</w:t>
      </w:r>
      <w:r w:rsidRPr="004D0DED" w:rsidDel="008066D6">
        <w:t xml:space="preserve">Linares J.C., </w:t>
      </w:r>
      <w:proofErr w:type="spellStart"/>
      <w:r w:rsidRPr="004D0DED" w:rsidDel="008066D6">
        <w:t>Campillo</w:t>
      </w:r>
      <w:proofErr w:type="spellEnd"/>
      <w:r w:rsidRPr="004D0DED" w:rsidDel="008066D6">
        <w:t xml:space="preserve"> V., Coca</w:t>
      </w:r>
      <w:r w:rsidR="00C0096D">
        <w:t xml:space="preserve"> </w:t>
      </w:r>
      <w:r w:rsidRPr="004D0DED" w:rsidDel="008066D6">
        <w:t>M., Lucas S., Garc</w:t>
      </w:r>
      <w:r w:rsidRPr="004D0DED" w:rsidDel="008066D6">
        <w:rPr>
          <w:rFonts w:cs="Arial"/>
        </w:rPr>
        <w:t>í</w:t>
      </w:r>
      <w:r w:rsidRPr="004D0DED" w:rsidDel="008066D6">
        <w:t>a</w:t>
      </w:r>
      <w:r w:rsidRPr="004D0DED" w:rsidDel="008066D6">
        <w:rPr>
          <w:rFonts w:ascii="Cambria Math" w:hAnsi="Cambria Math" w:cs="Cambria Math"/>
        </w:rPr>
        <w:t>‐</w:t>
      </w:r>
      <w:r w:rsidRPr="004D0DED" w:rsidDel="008066D6">
        <w:t>Cubero M.T.</w:t>
      </w:r>
      <w:r w:rsidR="004A6A42">
        <w:t xml:space="preserve">, </w:t>
      </w:r>
      <w:r w:rsidRPr="004D0DED" w:rsidDel="008066D6">
        <w:t>2021</w:t>
      </w:r>
      <w:r w:rsidR="004A6A42">
        <w:t>,</w:t>
      </w:r>
      <w:r w:rsidRPr="004D0DED" w:rsidDel="008066D6">
        <w:t xml:space="preserve"> Microwave</w:t>
      </w:r>
      <w:r w:rsidRPr="004D0DED" w:rsidDel="008066D6">
        <w:rPr>
          <w:rFonts w:ascii="Cambria Math" w:hAnsi="Cambria Math" w:cs="Cambria Math"/>
        </w:rPr>
        <w:t>‐</w:t>
      </w:r>
      <w:r w:rsidRPr="004D0DED" w:rsidDel="008066D6">
        <w:t>assisted deep eutectic solvent extraction of phenolic compounds from brewer's spent grain</w:t>
      </w:r>
      <w:r w:rsidR="004A6A42">
        <w:t>,</w:t>
      </w:r>
      <w:r w:rsidRPr="004D0DED" w:rsidDel="008066D6">
        <w:t xml:space="preserve"> Journal of Chemical Technology &amp; Biotechnology, 96(2), 481-490.</w:t>
      </w:r>
    </w:p>
    <w:p w14:paraId="0EEA6200" w14:textId="116D5134" w:rsidR="00472166" w:rsidRDefault="00472166" w:rsidP="00652BFB">
      <w:pPr>
        <w:pStyle w:val="CETReferencetext"/>
      </w:pPr>
      <w:r w:rsidRPr="004A6A42">
        <w:rPr>
          <w:lang w:val="en-US"/>
        </w:rPr>
        <w:t>Lynch K.M., Steffen E.J., Arendt E.K.</w:t>
      </w:r>
      <w:r w:rsidR="004A6A42" w:rsidRPr="004A6A42">
        <w:rPr>
          <w:lang w:val="en-US"/>
        </w:rPr>
        <w:t xml:space="preserve">, </w:t>
      </w:r>
      <w:r w:rsidRPr="004A6A42">
        <w:rPr>
          <w:lang w:val="en-US"/>
        </w:rPr>
        <w:t>2016</w:t>
      </w:r>
      <w:r w:rsidR="004A6A42" w:rsidRPr="004A6A42">
        <w:rPr>
          <w:lang w:val="en-US"/>
        </w:rPr>
        <w:t>,</w:t>
      </w:r>
      <w:r w:rsidRPr="004A6A42">
        <w:rPr>
          <w:lang w:val="en-US"/>
        </w:rPr>
        <w:t xml:space="preserve"> </w:t>
      </w:r>
      <w:r>
        <w:t>Brewers' spent grain: a review with an emphasis on food and health</w:t>
      </w:r>
      <w:r w:rsidR="004A6A42">
        <w:t>,</w:t>
      </w:r>
      <w:r>
        <w:t xml:space="preserve"> Journal of the Institute of Brewing, 122(4), 553-568.</w:t>
      </w:r>
    </w:p>
    <w:p w14:paraId="50BE5591" w14:textId="1F9B2875" w:rsidR="00472166" w:rsidRDefault="00472166" w:rsidP="00CD7867">
      <w:pPr>
        <w:pStyle w:val="CETListbullets"/>
      </w:pPr>
      <w:proofErr w:type="spellStart"/>
      <w:r>
        <w:rPr>
          <w:shd w:val="clear" w:color="auto" w:fill="FFFFFF"/>
        </w:rPr>
        <w:t>Mankar</w:t>
      </w:r>
      <w:proofErr w:type="spellEnd"/>
      <w:r>
        <w:rPr>
          <w:shd w:val="clear" w:color="auto" w:fill="FFFFFF"/>
        </w:rPr>
        <w:t xml:space="preserve"> A.R., Pandey A., </w:t>
      </w:r>
      <w:proofErr w:type="spellStart"/>
      <w:r>
        <w:rPr>
          <w:shd w:val="clear" w:color="auto" w:fill="FFFFFF"/>
        </w:rPr>
        <w:t>Modak</w:t>
      </w:r>
      <w:proofErr w:type="spellEnd"/>
      <w:r>
        <w:rPr>
          <w:shd w:val="clear" w:color="auto" w:fill="FFFFFF"/>
        </w:rPr>
        <w:t xml:space="preserve"> A., Pant K.K</w:t>
      </w:r>
      <w:r w:rsidR="004A6A42">
        <w:rPr>
          <w:shd w:val="clear" w:color="auto" w:fill="FFFFFF"/>
        </w:rPr>
        <w:t xml:space="preserve">., </w:t>
      </w:r>
      <w:r>
        <w:rPr>
          <w:shd w:val="clear" w:color="auto" w:fill="FFFFFF"/>
        </w:rPr>
        <w:t>2021</w:t>
      </w:r>
      <w:r w:rsidR="004A6A42">
        <w:rPr>
          <w:shd w:val="clear" w:color="auto" w:fill="FFFFFF"/>
        </w:rPr>
        <w:t>,</w:t>
      </w:r>
      <w:r>
        <w:rPr>
          <w:shd w:val="clear" w:color="auto" w:fill="FFFFFF"/>
        </w:rPr>
        <w:t xml:space="preserve"> Pre</w:t>
      </w:r>
      <w:r w:rsidR="00FA340C">
        <w:rPr>
          <w:shd w:val="clear" w:color="auto" w:fill="FFFFFF"/>
        </w:rPr>
        <w:t>-</w:t>
      </w:r>
      <w:r>
        <w:rPr>
          <w:shd w:val="clear" w:color="auto" w:fill="FFFFFF"/>
        </w:rPr>
        <w:t>treatment of lignocellulosic biomass: A review on recent advances</w:t>
      </w:r>
      <w:r w:rsidR="004A6A42">
        <w:rPr>
          <w:shd w:val="clear" w:color="auto" w:fill="FFFFFF"/>
        </w:rPr>
        <w:t>,</w:t>
      </w:r>
      <w:r>
        <w:rPr>
          <w:shd w:val="clear" w:color="auto" w:fill="FFFFFF"/>
        </w:rPr>
        <w:t> </w:t>
      </w:r>
      <w:r w:rsidRPr="004E48EC">
        <w:rPr>
          <w:shd w:val="clear" w:color="auto" w:fill="FFFFFF"/>
        </w:rPr>
        <w:t>Bioresource Technology</w:t>
      </w:r>
      <w:r>
        <w:rPr>
          <w:shd w:val="clear" w:color="auto" w:fill="FFFFFF"/>
        </w:rPr>
        <w:t>, </w:t>
      </w:r>
      <w:r>
        <w:rPr>
          <w:i/>
          <w:iCs/>
          <w:shd w:val="clear" w:color="auto" w:fill="FFFFFF"/>
        </w:rPr>
        <w:t>334</w:t>
      </w:r>
      <w:r>
        <w:rPr>
          <w:shd w:val="clear" w:color="auto" w:fill="FFFFFF"/>
        </w:rPr>
        <w:t>, 125235.</w:t>
      </w:r>
    </w:p>
    <w:p w14:paraId="30E58507" w14:textId="728674E6" w:rsidR="00472166" w:rsidRDefault="00472166" w:rsidP="00652BFB">
      <w:pPr>
        <w:pStyle w:val="CETReferencetext"/>
      </w:pPr>
      <w:r w:rsidRPr="003845AB">
        <w:t xml:space="preserve">Mata T.M., Tavares T.F., </w:t>
      </w:r>
      <w:proofErr w:type="spellStart"/>
      <w:r w:rsidRPr="003845AB">
        <w:t>Meireles</w:t>
      </w:r>
      <w:proofErr w:type="spellEnd"/>
      <w:r w:rsidRPr="003845AB">
        <w:t xml:space="preserve"> S., Caetano N.S.</w:t>
      </w:r>
      <w:r w:rsidR="004A6A42">
        <w:t xml:space="preserve">, </w:t>
      </w:r>
      <w:r w:rsidRPr="003845AB">
        <w:t>2015</w:t>
      </w:r>
      <w:r w:rsidR="004A6A42">
        <w:t>,</w:t>
      </w:r>
      <w:r w:rsidRPr="003845AB">
        <w:t xml:space="preserve"> </w:t>
      </w:r>
      <w:r w:rsidRPr="00BE2347">
        <w:t>Bioethanol from brewers</w:t>
      </w:r>
      <w:r w:rsidR="00FA340C">
        <w:t>'</w:t>
      </w:r>
      <w:r w:rsidRPr="00BE2347">
        <w:t xml:space="preserve"> spent grain: pentose fermentation</w:t>
      </w:r>
      <w:r w:rsidR="004A6A42">
        <w:t>,</w:t>
      </w:r>
      <w:r w:rsidRPr="00BE2347">
        <w:t xml:space="preserve"> Chemical </w:t>
      </w:r>
      <w:r w:rsidR="00F54927">
        <w:t>E</w:t>
      </w:r>
      <w:r w:rsidRPr="00BE2347">
        <w:t xml:space="preserve">ngineering </w:t>
      </w:r>
      <w:r w:rsidR="00F54927">
        <w:t>T</w:t>
      </w:r>
      <w:r w:rsidRPr="00BE2347">
        <w:t>ransactions</w:t>
      </w:r>
      <w:r w:rsidR="00830682">
        <w:t>, 43, 241-</w:t>
      </w:r>
      <w:r w:rsidR="006C0812">
        <w:t>246.</w:t>
      </w:r>
    </w:p>
    <w:p w14:paraId="702D1FDA" w14:textId="4478427E" w:rsidR="00472166" w:rsidRDefault="00472166" w:rsidP="00652BFB">
      <w:pPr>
        <w:pStyle w:val="CETReferencetext"/>
      </w:pPr>
      <w:r>
        <w:t>McCarthy A.L., O</w:t>
      </w:r>
      <w:r w:rsidR="00FA340C">
        <w:t>'</w:t>
      </w:r>
      <w:r>
        <w:t xml:space="preserve">Callaghan Y.C., </w:t>
      </w:r>
      <w:proofErr w:type="spellStart"/>
      <w:r>
        <w:t>Neugart</w:t>
      </w:r>
      <w:proofErr w:type="spellEnd"/>
      <w:r>
        <w:t xml:space="preserve"> S., Piggott C.O., Connolly A., Jansen M.A., ...</w:t>
      </w:r>
      <w:r w:rsidR="00593995">
        <w:t xml:space="preserve">, </w:t>
      </w:r>
      <w:r>
        <w:t>O</w:t>
      </w:r>
      <w:r w:rsidR="00FA340C">
        <w:t>'</w:t>
      </w:r>
      <w:r>
        <w:t>Brien N.M.</w:t>
      </w:r>
      <w:r w:rsidR="006C0812">
        <w:t xml:space="preserve">, </w:t>
      </w:r>
      <w:r>
        <w:t>2013</w:t>
      </w:r>
      <w:r w:rsidR="006C0812">
        <w:t>,</w:t>
      </w:r>
      <w:r>
        <w:t xml:space="preserve"> The hydroxycinnamic acid content of barley and brewers</w:t>
      </w:r>
      <w:r w:rsidR="00FA340C">
        <w:t>'</w:t>
      </w:r>
      <w:r>
        <w:t xml:space="preserve"> spent grain (BSG) and the potential to incorporate phenolic extracts of BSG as antioxidants into fruit beverages</w:t>
      </w:r>
      <w:r w:rsidR="006C0812">
        <w:t>,</w:t>
      </w:r>
      <w:r>
        <w:t xml:space="preserve"> Food Chemistry, 141(3), 2567-2574.</w:t>
      </w:r>
    </w:p>
    <w:p w14:paraId="0E2BE4E3" w14:textId="33F53449" w:rsidR="00472166" w:rsidRDefault="00472166" w:rsidP="00652BFB">
      <w:pPr>
        <w:pStyle w:val="CETReferencetext"/>
      </w:pPr>
      <w:proofErr w:type="spellStart"/>
      <w:r w:rsidRPr="00A22B63">
        <w:t>Meneses</w:t>
      </w:r>
      <w:proofErr w:type="spellEnd"/>
      <w:r w:rsidRPr="00A22B63">
        <w:t xml:space="preserve"> N.G., Martins S., Teixeira J.A., </w:t>
      </w:r>
      <w:proofErr w:type="spellStart"/>
      <w:r w:rsidRPr="00A22B63">
        <w:t>Mussatto</w:t>
      </w:r>
      <w:proofErr w:type="spellEnd"/>
      <w:r w:rsidR="00593995">
        <w:t xml:space="preserve"> </w:t>
      </w:r>
      <w:r w:rsidRPr="00A22B63">
        <w:t>S.I.</w:t>
      </w:r>
      <w:r w:rsidR="006C0812">
        <w:t>,</w:t>
      </w:r>
      <w:r w:rsidRPr="00A22B63">
        <w:t>2013</w:t>
      </w:r>
      <w:r w:rsidR="006C0812">
        <w:t>,</w:t>
      </w:r>
      <w:r w:rsidRPr="00A22B63">
        <w:t xml:space="preserve"> Influence of extraction solvents on the recovery of antioxidant phenolic compounds from brewer</w:t>
      </w:r>
      <w:r w:rsidR="00FA340C">
        <w:t>'</w:t>
      </w:r>
      <w:r w:rsidRPr="00A22B63">
        <w:t>s spent grains. Separation and Purification Technology, 108, 152-158.</w:t>
      </w:r>
    </w:p>
    <w:p w14:paraId="44F88127" w14:textId="46D46E88" w:rsidR="00472166" w:rsidRDefault="00472166" w:rsidP="00652BFB">
      <w:pPr>
        <w:pStyle w:val="CETReferencetext"/>
      </w:pPr>
      <w:proofErr w:type="spellStart"/>
      <w:r>
        <w:t>Mussatto</w:t>
      </w:r>
      <w:proofErr w:type="spellEnd"/>
      <w:r>
        <w:t xml:space="preserve"> S.I.</w:t>
      </w:r>
      <w:r w:rsidR="006C0812">
        <w:t xml:space="preserve">, </w:t>
      </w:r>
      <w:r>
        <w:t>2009</w:t>
      </w:r>
      <w:r w:rsidR="006C0812">
        <w:t>,</w:t>
      </w:r>
      <w:r>
        <w:t xml:space="preserve"> Biotechnological potential of brewing industry by-products. In Biotechnology for agro-industrial residues utilisation (pp. 313-326). Springer, Dordrecht.</w:t>
      </w:r>
    </w:p>
    <w:p w14:paraId="0C7F80D9" w14:textId="4EC99070" w:rsidR="00472166" w:rsidRDefault="00472166" w:rsidP="006C0812">
      <w:pPr>
        <w:pStyle w:val="CETReferencetext"/>
      </w:pPr>
      <w:proofErr w:type="spellStart"/>
      <w:r>
        <w:t>Mussatto</w:t>
      </w:r>
      <w:proofErr w:type="spellEnd"/>
      <w:r>
        <w:t xml:space="preserve"> S.I.</w:t>
      </w:r>
      <w:r w:rsidR="006C0812">
        <w:t xml:space="preserve">, </w:t>
      </w:r>
      <w:r>
        <w:t>2014</w:t>
      </w:r>
      <w:r w:rsidR="006C0812">
        <w:t>,</w:t>
      </w:r>
      <w:r>
        <w:t xml:space="preserve"> Brewer's spent grain: a valuable feedstock for industrial applications</w:t>
      </w:r>
      <w:r w:rsidR="006C0812">
        <w:t>,</w:t>
      </w:r>
      <w:r>
        <w:t xml:space="preserve"> Journal of the Science of Food and Agriculture, 94(7), 1264-1275.</w:t>
      </w:r>
    </w:p>
    <w:p w14:paraId="127EC9D8" w14:textId="239ACB1C" w:rsidR="00472166" w:rsidRDefault="00472166" w:rsidP="00652BFB">
      <w:pPr>
        <w:pStyle w:val="CETReferencetext"/>
      </w:pPr>
      <w:proofErr w:type="spellStart"/>
      <w:r w:rsidRPr="009F3D76">
        <w:rPr>
          <w:lang w:val="en-US"/>
        </w:rPr>
        <w:t>Mussatto</w:t>
      </w:r>
      <w:proofErr w:type="spellEnd"/>
      <w:r w:rsidRPr="009F3D76">
        <w:rPr>
          <w:lang w:val="en-US"/>
        </w:rPr>
        <w:t xml:space="preserve"> S.I., </w:t>
      </w:r>
      <w:proofErr w:type="spellStart"/>
      <w:r w:rsidRPr="009F3D76">
        <w:rPr>
          <w:lang w:val="en-US"/>
        </w:rPr>
        <w:t>Dragone</w:t>
      </w:r>
      <w:proofErr w:type="spellEnd"/>
      <w:r w:rsidRPr="009F3D76">
        <w:rPr>
          <w:lang w:val="en-US"/>
        </w:rPr>
        <w:t xml:space="preserve"> G., Roberto I.C.</w:t>
      </w:r>
      <w:r w:rsidR="006C0812">
        <w:rPr>
          <w:lang w:val="en-US"/>
        </w:rPr>
        <w:t xml:space="preserve">, </w:t>
      </w:r>
      <w:r w:rsidRPr="009F3D76">
        <w:rPr>
          <w:lang w:val="en-US"/>
        </w:rPr>
        <w:t>2007</w:t>
      </w:r>
      <w:r w:rsidR="006C0812">
        <w:rPr>
          <w:lang w:val="en-US"/>
        </w:rPr>
        <w:t>,</w:t>
      </w:r>
      <w:r w:rsidRPr="009F3D76">
        <w:rPr>
          <w:lang w:val="en-US"/>
        </w:rPr>
        <w:t xml:space="preserve"> </w:t>
      </w:r>
      <w:r w:rsidRPr="008550FA">
        <w:t>Ferulic and p-coumaric acids extraction by alkaline hydrolysis of brewer's spent grain. Industrial Crops and Products, 25(2), 231-237.</w:t>
      </w:r>
    </w:p>
    <w:p w14:paraId="2512221C" w14:textId="2592924C" w:rsidR="00472166" w:rsidRPr="00BF4966" w:rsidRDefault="00472166" w:rsidP="00652BFB">
      <w:pPr>
        <w:pStyle w:val="CETReferencetext"/>
        <w:rPr>
          <w:lang w:val="it-IT"/>
        </w:rPr>
      </w:pPr>
      <w:proofErr w:type="spellStart"/>
      <w:r>
        <w:t>Mussatto</w:t>
      </w:r>
      <w:proofErr w:type="spellEnd"/>
      <w:r>
        <w:t xml:space="preserve"> S.I., </w:t>
      </w:r>
      <w:proofErr w:type="spellStart"/>
      <w:r>
        <w:t>Dragone</w:t>
      </w:r>
      <w:proofErr w:type="spellEnd"/>
      <w:r>
        <w:t xml:space="preserve"> G., Roberto I.C.</w:t>
      </w:r>
      <w:r w:rsidR="006C0812">
        <w:t xml:space="preserve">, </w:t>
      </w:r>
      <w:r>
        <w:t>2007</w:t>
      </w:r>
      <w:r w:rsidR="006C0812">
        <w:t>,</w:t>
      </w:r>
      <w:r>
        <w:t xml:space="preserve"> Ferulic and p-coumaric acids extraction by alkaline hydrolysis of brewer's spent grain</w:t>
      </w:r>
      <w:r w:rsidR="006C0812">
        <w:t>,</w:t>
      </w:r>
      <w:r>
        <w:t xml:space="preserve"> </w:t>
      </w:r>
      <w:r w:rsidRPr="00BF4966">
        <w:rPr>
          <w:lang w:val="it-IT"/>
        </w:rPr>
        <w:t xml:space="preserve">Industrial </w:t>
      </w:r>
      <w:proofErr w:type="spellStart"/>
      <w:r w:rsidRPr="00BF4966">
        <w:rPr>
          <w:lang w:val="it-IT"/>
        </w:rPr>
        <w:t>Crops</w:t>
      </w:r>
      <w:proofErr w:type="spellEnd"/>
      <w:r w:rsidRPr="00BF4966">
        <w:rPr>
          <w:lang w:val="it-IT"/>
        </w:rPr>
        <w:t xml:space="preserve"> and </w:t>
      </w:r>
      <w:proofErr w:type="spellStart"/>
      <w:r w:rsidRPr="00BF4966">
        <w:rPr>
          <w:lang w:val="it-IT"/>
        </w:rPr>
        <w:t>Products</w:t>
      </w:r>
      <w:proofErr w:type="spellEnd"/>
      <w:r w:rsidRPr="00BF4966">
        <w:rPr>
          <w:lang w:val="it-IT"/>
        </w:rPr>
        <w:t>, 25(2), 231-237.</w:t>
      </w:r>
    </w:p>
    <w:p w14:paraId="43B36051" w14:textId="302ABE6B" w:rsidR="00472166" w:rsidRDefault="00472166" w:rsidP="00652BFB">
      <w:pPr>
        <w:pStyle w:val="CETReferencetext"/>
      </w:pPr>
      <w:r w:rsidRPr="00BF4966">
        <w:rPr>
          <w:lang w:val="it-IT"/>
        </w:rPr>
        <w:t xml:space="preserve">Nazzaro F., </w:t>
      </w:r>
      <w:proofErr w:type="spellStart"/>
      <w:r w:rsidRPr="00BF4966">
        <w:rPr>
          <w:lang w:val="it-IT"/>
        </w:rPr>
        <w:t>Fratianni</w:t>
      </w:r>
      <w:proofErr w:type="spellEnd"/>
      <w:r w:rsidR="00593995">
        <w:rPr>
          <w:lang w:val="it-IT"/>
        </w:rPr>
        <w:t xml:space="preserve"> </w:t>
      </w:r>
      <w:r w:rsidRPr="00BF4966">
        <w:rPr>
          <w:lang w:val="it-IT"/>
        </w:rPr>
        <w:t>F., Ombra M.N., d’</w:t>
      </w:r>
      <w:proofErr w:type="spellStart"/>
      <w:r w:rsidRPr="00BF4966">
        <w:rPr>
          <w:lang w:val="it-IT"/>
        </w:rPr>
        <w:t>Acierno</w:t>
      </w:r>
      <w:proofErr w:type="spellEnd"/>
      <w:r w:rsidRPr="00BF4966">
        <w:rPr>
          <w:lang w:val="it-IT"/>
        </w:rPr>
        <w:t xml:space="preserve"> A., Coppola R.</w:t>
      </w:r>
      <w:r w:rsidR="006C0812">
        <w:rPr>
          <w:lang w:val="it-IT"/>
        </w:rPr>
        <w:t xml:space="preserve">, </w:t>
      </w:r>
      <w:r w:rsidRPr="00BF4966">
        <w:rPr>
          <w:lang w:val="it-IT"/>
        </w:rPr>
        <w:t>2018</w:t>
      </w:r>
      <w:r w:rsidR="006C0812">
        <w:rPr>
          <w:lang w:val="it-IT"/>
        </w:rPr>
        <w:t>,</w:t>
      </w:r>
      <w:r w:rsidRPr="00BF4966">
        <w:rPr>
          <w:lang w:val="it-IT"/>
        </w:rPr>
        <w:t xml:space="preserve"> </w:t>
      </w:r>
      <w:r>
        <w:t>Recovery of biomolecules of high benefit from food waste</w:t>
      </w:r>
      <w:r w:rsidR="006C0812">
        <w:t>,</w:t>
      </w:r>
      <w:r>
        <w:t xml:space="preserve"> Current Opinion in Food Science, 22, 43-54.</w:t>
      </w:r>
    </w:p>
    <w:p w14:paraId="5382DC97" w14:textId="5EB6918C" w:rsidR="00472166" w:rsidRDefault="00472166" w:rsidP="00652BFB">
      <w:pPr>
        <w:pStyle w:val="CETReferencetext"/>
      </w:pPr>
      <w:proofErr w:type="spellStart"/>
      <w:r>
        <w:t>Özvural</w:t>
      </w:r>
      <w:proofErr w:type="spellEnd"/>
      <w:r>
        <w:t xml:space="preserve"> E.B., </w:t>
      </w:r>
      <w:proofErr w:type="spellStart"/>
      <w:r>
        <w:t>Vural</w:t>
      </w:r>
      <w:proofErr w:type="spellEnd"/>
      <w:r>
        <w:t xml:space="preserve"> H., </w:t>
      </w:r>
      <w:proofErr w:type="spellStart"/>
      <w:r>
        <w:t>Gökbulut</w:t>
      </w:r>
      <w:proofErr w:type="spellEnd"/>
      <w:r>
        <w:t xml:space="preserve"> İ., </w:t>
      </w:r>
      <w:proofErr w:type="spellStart"/>
      <w:r>
        <w:t>Özboy</w:t>
      </w:r>
      <w:r>
        <w:rPr>
          <w:rFonts w:ascii="Cambria Math" w:hAnsi="Cambria Math" w:cs="Cambria Math"/>
        </w:rPr>
        <w:t>‐</w:t>
      </w:r>
      <w:r>
        <w:rPr>
          <w:rFonts w:cs="Arial"/>
        </w:rPr>
        <w:t>Ö</w:t>
      </w:r>
      <w:r>
        <w:t>zba</w:t>
      </w:r>
      <w:r>
        <w:rPr>
          <w:rFonts w:cs="Arial"/>
        </w:rPr>
        <w:t>ş</w:t>
      </w:r>
      <w:proofErr w:type="spellEnd"/>
      <w:r>
        <w:t xml:space="preserve"> </w:t>
      </w:r>
      <w:r>
        <w:rPr>
          <w:rFonts w:cs="Arial"/>
        </w:rPr>
        <w:t>Ö</w:t>
      </w:r>
      <w:r>
        <w:t>.</w:t>
      </w:r>
      <w:r w:rsidR="006C0812">
        <w:t xml:space="preserve">, </w:t>
      </w:r>
      <w:r>
        <w:t>2009</w:t>
      </w:r>
      <w:r w:rsidR="006C0812">
        <w:t>,</w:t>
      </w:r>
      <w:r>
        <w:t xml:space="preserve"> Utili</w:t>
      </w:r>
      <w:r w:rsidR="00FA340C">
        <w:t>s</w:t>
      </w:r>
      <w:r>
        <w:t>ation of brewer</w:t>
      </w:r>
      <w:r w:rsidR="00FA340C">
        <w:rPr>
          <w:rFonts w:cs="Arial"/>
        </w:rPr>
        <w:t>'</w:t>
      </w:r>
      <w:r>
        <w:t>s spent grain in the production of Frankfurters</w:t>
      </w:r>
      <w:r w:rsidR="006C0812">
        <w:t>,</w:t>
      </w:r>
      <w:r>
        <w:t xml:space="preserve"> International Journal of Food Science &amp; Technology, 44(6), 1093-1099.</w:t>
      </w:r>
    </w:p>
    <w:p w14:paraId="5E556C8A" w14:textId="4649D277" w:rsidR="00472166" w:rsidDel="005853CD" w:rsidRDefault="00472166" w:rsidP="00652BFB">
      <w:pPr>
        <w:pStyle w:val="CETReferencetext"/>
      </w:pPr>
      <w:proofErr w:type="spellStart"/>
      <w:r w:rsidRPr="001C6A2D" w:rsidDel="008066D6">
        <w:t>Robak</w:t>
      </w:r>
      <w:proofErr w:type="spellEnd"/>
      <w:r w:rsidRPr="001C6A2D" w:rsidDel="008066D6">
        <w:t xml:space="preserve"> K., </w:t>
      </w:r>
      <w:proofErr w:type="spellStart"/>
      <w:r w:rsidRPr="001C6A2D" w:rsidDel="008066D6">
        <w:t>Balcerek</w:t>
      </w:r>
      <w:proofErr w:type="spellEnd"/>
      <w:r w:rsidR="00593995">
        <w:t xml:space="preserve"> </w:t>
      </w:r>
      <w:r w:rsidRPr="001C6A2D" w:rsidDel="008066D6">
        <w:t>M.</w:t>
      </w:r>
      <w:r w:rsidR="006C0812">
        <w:t xml:space="preserve">, </w:t>
      </w:r>
      <w:r w:rsidRPr="001C6A2D" w:rsidDel="008066D6">
        <w:t>2018</w:t>
      </w:r>
      <w:r w:rsidR="006C0812">
        <w:t>,</w:t>
      </w:r>
      <w:r w:rsidRPr="001C6A2D" w:rsidDel="008066D6">
        <w:t xml:space="preserve"> Review of </w:t>
      </w:r>
      <w:proofErr w:type="gramStart"/>
      <w:r w:rsidRPr="001C6A2D" w:rsidDel="008066D6">
        <w:t>second generation</w:t>
      </w:r>
      <w:proofErr w:type="gramEnd"/>
      <w:r w:rsidRPr="001C6A2D" w:rsidDel="008066D6">
        <w:t xml:space="preserve"> bioethanol production from residual biomass</w:t>
      </w:r>
      <w:r w:rsidR="006C0812">
        <w:t>,</w:t>
      </w:r>
      <w:r w:rsidRPr="001C6A2D" w:rsidDel="008066D6">
        <w:t xml:space="preserve"> Food </w:t>
      </w:r>
      <w:r w:rsidR="00F54927">
        <w:t>T</w:t>
      </w:r>
      <w:r w:rsidRPr="001C6A2D" w:rsidDel="008066D6">
        <w:t xml:space="preserve">echnology and </w:t>
      </w:r>
      <w:r w:rsidR="00F54927">
        <w:t>B</w:t>
      </w:r>
      <w:r w:rsidRPr="001C6A2D" w:rsidDel="008066D6">
        <w:t>iotechnology, 56(2), 174.</w:t>
      </w:r>
    </w:p>
    <w:p w14:paraId="0E31C240" w14:textId="6B3A6AAF" w:rsidR="00472166" w:rsidRDefault="00472166" w:rsidP="00652BFB">
      <w:pPr>
        <w:pStyle w:val="CETReferencetext"/>
      </w:pPr>
      <w:r w:rsidRPr="005853CD">
        <w:t>Santos M., Jiménez J.J., Bartolomé B., Gómez-</w:t>
      </w:r>
      <w:proofErr w:type="spellStart"/>
      <w:r w:rsidRPr="005853CD">
        <w:t>Cordovés</w:t>
      </w:r>
      <w:proofErr w:type="spellEnd"/>
      <w:r w:rsidRPr="005853CD">
        <w:t xml:space="preserve"> C., Del </w:t>
      </w:r>
      <w:proofErr w:type="spellStart"/>
      <w:r w:rsidRPr="005853CD">
        <w:t>Nozal</w:t>
      </w:r>
      <w:proofErr w:type="spellEnd"/>
      <w:r w:rsidRPr="005853CD">
        <w:t xml:space="preserve"> M.J.</w:t>
      </w:r>
      <w:r w:rsidR="006C0812">
        <w:t xml:space="preserve">, </w:t>
      </w:r>
      <w:r w:rsidRPr="005853CD">
        <w:t>2003</w:t>
      </w:r>
      <w:r w:rsidR="006C0812">
        <w:t>,</w:t>
      </w:r>
      <w:r w:rsidRPr="005853CD">
        <w:t xml:space="preserve"> Variability of brewer’s spent grain within a brewery</w:t>
      </w:r>
      <w:r w:rsidR="006C0812">
        <w:t>,</w:t>
      </w:r>
      <w:r w:rsidRPr="005853CD">
        <w:t xml:space="preserve"> Food Chemistry, 80(1), 17-21.</w:t>
      </w:r>
    </w:p>
    <w:p w14:paraId="25F5DC1B" w14:textId="0966FF72" w:rsidR="00472166" w:rsidRPr="009F3D76" w:rsidRDefault="00472166" w:rsidP="00652BFB">
      <w:pPr>
        <w:pStyle w:val="CETReferencetext"/>
        <w:rPr>
          <w:lang w:val="it-IT"/>
        </w:rPr>
      </w:pPr>
      <w:r w:rsidRPr="006C0812">
        <w:rPr>
          <w:lang w:val="en-US"/>
        </w:rPr>
        <w:t>Spinelli S., Conte A., Del Nobile M.A.</w:t>
      </w:r>
      <w:r w:rsidR="006C0812" w:rsidRPr="006C0812">
        <w:rPr>
          <w:lang w:val="en-US"/>
        </w:rPr>
        <w:t xml:space="preserve">, </w:t>
      </w:r>
      <w:r w:rsidRPr="006C0812">
        <w:rPr>
          <w:lang w:val="en-US"/>
        </w:rPr>
        <w:t>2016a</w:t>
      </w:r>
      <w:r w:rsidR="006C0812" w:rsidRPr="006C0812">
        <w:rPr>
          <w:lang w:val="en-US"/>
        </w:rPr>
        <w:t>,</w:t>
      </w:r>
      <w:r w:rsidRPr="006C0812">
        <w:rPr>
          <w:lang w:val="en-US"/>
        </w:rPr>
        <w:t xml:space="preserve"> </w:t>
      </w:r>
      <w:r>
        <w:t>Microencapsulation of extracted bioactive compounds from brewer</w:t>
      </w:r>
      <w:r w:rsidR="00FA340C">
        <w:t>'</w:t>
      </w:r>
      <w:r>
        <w:t>s spent grain to enrich fish-burgers</w:t>
      </w:r>
      <w:r w:rsidR="006C0812">
        <w:t>,</w:t>
      </w:r>
      <w:r>
        <w:t xml:space="preserve"> </w:t>
      </w:r>
      <w:proofErr w:type="spellStart"/>
      <w:r w:rsidRPr="009F3D76">
        <w:rPr>
          <w:lang w:val="it-IT"/>
        </w:rPr>
        <w:t>Food</w:t>
      </w:r>
      <w:proofErr w:type="spellEnd"/>
      <w:r w:rsidRPr="009F3D76">
        <w:rPr>
          <w:lang w:val="it-IT"/>
        </w:rPr>
        <w:t xml:space="preserve"> and </w:t>
      </w:r>
      <w:proofErr w:type="spellStart"/>
      <w:r w:rsidRPr="009F3D76">
        <w:rPr>
          <w:lang w:val="it-IT"/>
        </w:rPr>
        <w:t>Bioproducts</w:t>
      </w:r>
      <w:proofErr w:type="spellEnd"/>
      <w:r w:rsidRPr="009F3D76">
        <w:rPr>
          <w:lang w:val="it-IT"/>
        </w:rPr>
        <w:t xml:space="preserve"> Processing, 100, 450-456.</w:t>
      </w:r>
    </w:p>
    <w:p w14:paraId="6409BCE4" w14:textId="1E8283B7" w:rsidR="00472166" w:rsidRDefault="00472166" w:rsidP="00652BFB">
      <w:pPr>
        <w:pStyle w:val="CETReferencetext"/>
      </w:pPr>
      <w:r w:rsidRPr="009F3D76">
        <w:rPr>
          <w:lang w:val="it-IT"/>
        </w:rPr>
        <w:t xml:space="preserve">Spinelli S., Conte A., Lecce L., </w:t>
      </w:r>
      <w:proofErr w:type="spellStart"/>
      <w:r w:rsidRPr="009F3D76">
        <w:rPr>
          <w:lang w:val="it-IT"/>
        </w:rPr>
        <w:t>Padalino</w:t>
      </w:r>
      <w:proofErr w:type="spellEnd"/>
      <w:r w:rsidRPr="009F3D76">
        <w:rPr>
          <w:lang w:val="it-IT"/>
        </w:rPr>
        <w:t xml:space="preserve"> L., Del Nobile</w:t>
      </w:r>
      <w:r w:rsidR="00593995">
        <w:rPr>
          <w:lang w:val="it-IT"/>
        </w:rPr>
        <w:t xml:space="preserve"> </w:t>
      </w:r>
      <w:r w:rsidRPr="009F3D76">
        <w:rPr>
          <w:lang w:val="it-IT"/>
        </w:rPr>
        <w:t>M.A.</w:t>
      </w:r>
      <w:r w:rsidR="006C0812">
        <w:rPr>
          <w:lang w:val="it-IT"/>
        </w:rPr>
        <w:t xml:space="preserve">, </w:t>
      </w:r>
      <w:r w:rsidRPr="009F3D76">
        <w:rPr>
          <w:lang w:val="it-IT"/>
        </w:rPr>
        <w:t>2016b</w:t>
      </w:r>
      <w:r w:rsidR="006C0812">
        <w:rPr>
          <w:lang w:val="it-IT"/>
        </w:rPr>
        <w:t>,</w:t>
      </w:r>
      <w:r w:rsidRPr="009F3D76">
        <w:rPr>
          <w:lang w:val="it-IT"/>
        </w:rPr>
        <w:t xml:space="preserve"> </w:t>
      </w:r>
      <w:r w:rsidRPr="004D0DED">
        <w:t>Supercritical carbon dioxide extraction of brewer's spent grain</w:t>
      </w:r>
      <w:r w:rsidR="006C0812">
        <w:t>,</w:t>
      </w:r>
      <w:r w:rsidRPr="004D0DED">
        <w:t xml:space="preserve"> The Journal of Supercritical Fluids, 107, 69-74.</w:t>
      </w:r>
    </w:p>
    <w:p w14:paraId="64A062CC" w14:textId="6718AB48" w:rsidR="00472166" w:rsidRDefault="00472166" w:rsidP="00652BFB">
      <w:pPr>
        <w:pStyle w:val="CETReferencetext"/>
      </w:pPr>
      <w:r>
        <w:t>Steiner J., Procopio S., Becker T.</w:t>
      </w:r>
      <w:r w:rsidR="006C0812">
        <w:t xml:space="preserve">, </w:t>
      </w:r>
      <w:r>
        <w:t>2015</w:t>
      </w:r>
      <w:r w:rsidR="006C0812">
        <w:t>,</w:t>
      </w:r>
      <w:r>
        <w:t xml:space="preserve"> Brewer</w:t>
      </w:r>
      <w:r w:rsidR="00FA340C">
        <w:t>'</w:t>
      </w:r>
      <w:r>
        <w:t>s spent grain: source of value-added polysaccharides for the food industry in reference to the health claims</w:t>
      </w:r>
      <w:r w:rsidR="006C0812">
        <w:t>,</w:t>
      </w:r>
      <w:r>
        <w:t xml:space="preserve"> European Food Research and Technology, 241(3), 303-315.</w:t>
      </w:r>
    </w:p>
    <w:p w14:paraId="77FB227E" w14:textId="21DE7EBA" w:rsidR="00472166" w:rsidRDefault="00472166" w:rsidP="00652BFB">
      <w:pPr>
        <w:pStyle w:val="CETReferencetext"/>
      </w:pPr>
      <w:r>
        <w:t>Tang D.S., Yin G.M., He Y.Z., Hu S.Q., Li B., Li L., ...</w:t>
      </w:r>
      <w:r w:rsidR="00593995">
        <w:t>,</w:t>
      </w:r>
      <w:r>
        <w:t xml:space="preserve"> </w:t>
      </w:r>
      <w:proofErr w:type="spellStart"/>
      <w:r>
        <w:t>Borthakur</w:t>
      </w:r>
      <w:proofErr w:type="spellEnd"/>
      <w:r>
        <w:t xml:space="preserve"> D.</w:t>
      </w:r>
      <w:r w:rsidR="006C0812">
        <w:t xml:space="preserve">, </w:t>
      </w:r>
      <w:r>
        <w:t>2009</w:t>
      </w:r>
      <w:r w:rsidR="006C0812">
        <w:t>,</w:t>
      </w:r>
      <w:r>
        <w:t xml:space="preserve"> Recovery of protein from brewer's spent grain by ultrafiltration</w:t>
      </w:r>
      <w:r w:rsidR="006C0812">
        <w:t>,</w:t>
      </w:r>
      <w:r>
        <w:t xml:space="preserve"> Biochemical Engineering Journal, 48(1), 1-5.</w:t>
      </w:r>
    </w:p>
    <w:p w14:paraId="78673BAC" w14:textId="41F54B8B" w:rsidR="00472166" w:rsidDel="00A567EB" w:rsidRDefault="00472166" w:rsidP="00652BFB">
      <w:pPr>
        <w:pStyle w:val="CETReferencetext"/>
      </w:pPr>
      <w:proofErr w:type="spellStart"/>
      <w:r w:rsidRPr="00215ECE" w:rsidDel="00A567EB">
        <w:t>Vasić</w:t>
      </w:r>
      <w:proofErr w:type="spellEnd"/>
      <w:r w:rsidRPr="00215ECE" w:rsidDel="00A567EB">
        <w:t xml:space="preserve"> K., </w:t>
      </w:r>
      <w:proofErr w:type="spellStart"/>
      <w:r w:rsidRPr="00215ECE" w:rsidDel="00A567EB">
        <w:t>Knez</w:t>
      </w:r>
      <w:proofErr w:type="spellEnd"/>
      <w:r w:rsidRPr="00215ECE" w:rsidDel="00A567EB">
        <w:t xml:space="preserve"> Ž., </w:t>
      </w:r>
      <w:proofErr w:type="spellStart"/>
      <w:r w:rsidRPr="00215ECE" w:rsidDel="00A567EB">
        <w:t>Leitgeb</w:t>
      </w:r>
      <w:proofErr w:type="spellEnd"/>
      <w:r w:rsidRPr="00215ECE" w:rsidDel="00A567EB">
        <w:t xml:space="preserve"> M.</w:t>
      </w:r>
      <w:r w:rsidR="006C0812">
        <w:t xml:space="preserve">, </w:t>
      </w:r>
      <w:r w:rsidRPr="00215ECE" w:rsidDel="00A567EB">
        <w:t>2021</w:t>
      </w:r>
      <w:r w:rsidR="006C0812">
        <w:t>,</w:t>
      </w:r>
      <w:r w:rsidRPr="00215ECE" w:rsidDel="00A567EB">
        <w:t xml:space="preserve"> Bioethanol production by enzymatic hydrolysis from different lignocellulosic sources</w:t>
      </w:r>
      <w:r w:rsidR="006C0812">
        <w:t>,</w:t>
      </w:r>
      <w:r w:rsidRPr="00215ECE" w:rsidDel="00A567EB">
        <w:t xml:space="preserve"> Molecules, 26(3), 753.</w:t>
      </w:r>
    </w:p>
    <w:p w14:paraId="2B693816" w14:textId="10CBCC11" w:rsidR="00472166" w:rsidRDefault="00472166" w:rsidP="00652BFB">
      <w:pPr>
        <w:pStyle w:val="CETReferencetext"/>
      </w:pPr>
      <w:r w:rsidRPr="00566CDC">
        <w:t xml:space="preserve">Wang M., Wu M., </w:t>
      </w:r>
      <w:proofErr w:type="spellStart"/>
      <w:r w:rsidRPr="00566CDC">
        <w:t>Huo</w:t>
      </w:r>
      <w:proofErr w:type="spellEnd"/>
      <w:r w:rsidRPr="00566CDC">
        <w:t xml:space="preserve"> H.</w:t>
      </w:r>
      <w:r w:rsidR="006C0812">
        <w:t xml:space="preserve">, </w:t>
      </w:r>
      <w:r w:rsidRPr="00566CDC">
        <w:t>2007</w:t>
      </w:r>
      <w:r w:rsidR="006C0812">
        <w:t>,</w:t>
      </w:r>
      <w:r w:rsidRPr="00566CDC">
        <w:t xml:space="preserve"> Life-cycle energy and greenhouse gas emission impacts of different corn ethanol plant types</w:t>
      </w:r>
      <w:r w:rsidR="006C0812">
        <w:t>,</w:t>
      </w:r>
      <w:r w:rsidRPr="00566CDC">
        <w:t xml:space="preserve"> Environmental Research Letters, 2(2), 024001.</w:t>
      </w:r>
      <w:r>
        <w:t xml:space="preserve"> </w:t>
      </w:r>
    </w:p>
    <w:p w14:paraId="7E996E8B" w14:textId="0C8EA99E" w:rsidR="00472166" w:rsidRDefault="00472166" w:rsidP="00652BFB">
      <w:pPr>
        <w:pStyle w:val="CETReferencetext"/>
      </w:pPr>
      <w:r w:rsidRPr="004D0DED">
        <w:t>Wang X.J., Qi J.C., Wang X., Cao L.P.</w:t>
      </w:r>
      <w:r w:rsidR="006C0812">
        <w:t xml:space="preserve">, </w:t>
      </w:r>
      <w:r w:rsidRPr="004D0DED">
        <w:t>2013</w:t>
      </w:r>
      <w:r w:rsidR="006C0812">
        <w:t>,</w:t>
      </w:r>
      <w:r w:rsidRPr="004D0DED">
        <w:t xml:space="preserve"> Extraction of polyphenols from barley (Hordeum vulgare L.) grain using ultrasound-assisted extraction technology</w:t>
      </w:r>
      <w:r w:rsidR="00116C51">
        <w:t>,</w:t>
      </w:r>
      <w:r w:rsidRPr="004D0DED">
        <w:t xml:space="preserve"> Asian Journal of Chemistry, 25(3), 1324-1330.</w:t>
      </w:r>
    </w:p>
    <w:p w14:paraId="5F32C06F" w14:textId="70FCBC6D" w:rsidR="00472166" w:rsidRDefault="00472166" w:rsidP="00116C51">
      <w:pPr>
        <w:pStyle w:val="CETReferencetext"/>
      </w:pPr>
      <w:r>
        <w:t xml:space="preserve">Waters D.M., Jacob F., </w:t>
      </w:r>
      <w:proofErr w:type="spellStart"/>
      <w:r>
        <w:t>Titze</w:t>
      </w:r>
      <w:proofErr w:type="spellEnd"/>
      <w:r>
        <w:t xml:space="preserve"> J., Arendt E.K., </w:t>
      </w:r>
      <w:proofErr w:type="spellStart"/>
      <w:r>
        <w:t>Zannini</w:t>
      </w:r>
      <w:proofErr w:type="spellEnd"/>
      <w:r>
        <w:t xml:space="preserve"> E.</w:t>
      </w:r>
      <w:r w:rsidR="00116C51">
        <w:t xml:space="preserve">, </w:t>
      </w:r>
      <w:r>
        <w:t>2012</w:t>
      </w:r>
      <w:r w:rsidR="00116C51">
        <w:t>,</w:t>
      </w:r>
      <w:r>
        <w:t xml:space="preserve"> Fibre, </w:t>
      </w:r>
      <w:proofErr w:type="gramStart"/>
      <w:r>
        <w:t>protein</w:t>
      </w:r>
      <w:proofErr w:type="gramEnd"/>
      <w:r>
        <w:t xml:space="preserve"> and mineral fortification of wheat bread through milled and fermented brewer</w:t>
      </w:r>
      <w:r w:rsidR="00FA340C">
        <w:t>'</w:t>
      </w:r>
      <w:r>
        <w:t>s spent grain enrichment</w:t>
      </w:r>
      <w:r w:rsidR="00116C51">
        <w:t>,</w:t>
      </w:r>
      <w:r>
        <w:t xml:space="preserve"> European Food Research and Technology, 235(5), 767-778.</w:t>
      </w:r>
    </w:p>
    <w:p w14:paraId="390D3891" w14:textId="21E5EF2A" w:rsidR="00472166" w:rsidRDefault="00472166" w:rsidP="00652BFB">
      <w:pPr>
        <w:pStyle w:val="CETReferencetext"/>
      </w:pPr>
      <w:r w:rsidRPr="008172C5">
        <w:t>White J.S., Yohannan B.K., Walker G.M.</w:t>
      </w:r>
      <w:r w:rsidR="00116C51">
        <w:t xml:space="preserve">, </w:t>
      </w:r>
      <w:r w:rsidRPr="008172C5">
        <w:t>2008</w:t>
      </w:r>
      <w:r w:rsidR="00116C51">
        <w:t>,</w:t>
      </w:r>
      <w:r w:rsidRPr="008172C5">
        <w:t xml:space="preserve"> Bioconversion of brewer's spent grains to bioethanol</w:t>
      </w:r>
      <w:r w:rsidR="00116C51">
        <w:t>,</w:t>
      </w:r>
      <w:r w:rsidRPr="008172C5">
        <w:t xml:space="preserve"> FEMS Yeast Research, 8(7), 1175-1184.</w:t>
      </w:r>
    </w:p>
    <w:p w14:paraId="3D1487CD" w14:textId="72CA31CD" w:rsidR="0097147B" w:rsidRDefault="00472166" w:rsidP="00185356">
      <w:pPr>
        <w:pStyle w:val="CETReferencetext"/>
      </w:pPr>
      <w:proofErr w:type="spellStart"/>
      <w:r>
        <w:t>Xiros</w:t>
      </w:r>
      <w:proofErr w:type="spellEnd"/>
      <w:r>
        <w:t xml:space="preserve"> C., </w:t>
      </w:r>
      <w:proofErr w:type="spellStart"/>
      <w:r>
        <w:t>Topakas</w:t>
      </w:r>
      <w:proofErr w:type="spellEnd"/>
      <w:r>
        <w:t xml:space="preserve"> E., </w:t>
      </w:r>
      <w:proofErr w:type="spellStart"/>
      <w:r>
        <w:t>Katapodis</w:t>
      </w:r>
      <w:proofErr w:type="spellEnd"/>
      <w:r>
        <w:t xml:space="preserve"> P., </w:t>
      </w:r>
      <w:proofErr w:type="spellStart"/>
      <w:r>
        <w:t>Christakopoulos</w:t>
      </w:r>
      <w:proofErr w:type="spellEnd"/>
      <w:r>
        <w:t xml:space="preserve"> P.</w:t>
      </w:r>
      <w:r w:rsidR="00116C51">
        <w:t xml:space="preserve">, </w:t>
      </w:r>
      <w:r>
        <w:t>2008</w:t>
      </w:r>
      <w:r w:rsidR="00116C51">
        <w:t>,</w:t>
      </w:r>
      <w:r>
        <w:t xml:space="preserve"> Hydrolysis and fermentation of brewer</w:t>
      </w:r>
      <w:r w:rsidR="00FA340C">
        <w:t>'</w:t>
      </w:r>
      <w:r>
        <w:t xml:space="preserve">s spent grain by Neurospora </w:t>
      </w:r>
      <w:proofErr w:type="spellStart"/>
      <w:r>
        <w:t>crassa</w:t>
      </w:r>
      <w:proofErr w:type="spellEnd"/>
      <w:r w:rsidR="00116C51">
        <w:t>,</w:t>
      </w:r>
      <w:r>
        <w:t xml:space="preserve"> Bioresource </w:t>
      </w:r>
      <w:r w:rsidR="0097147B">
        <w:t>T</w:t>
      </w:r>
      <w:r>
        <w:t>echnology, 99(13), 5427-5435.</w:t>
      </w:r>
    </w:p>
    <w:p w14:paraId="7622E629" w14:textId="77777777" w:rsidR="0097147B" w:rsidRDefault="0097147B" w:rsidP="00142585">
      <w:pPr>
        <w:pStyle w:val="CETReferencetext"/>
      </w:pPr>
    </w:p>
    <w:p w14:paraId="19C4FC68" w14:textId="6212B5D4" w:rsidR="004628D2" w:rsidRDefault="004628D2" w:rsidP="00142585">
      <w:pPr>
        <w:pStyle w:val="CETReferencetext"/>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1E18" w14:textId="77777777" w:rsidR="00590B6A" w:rsidRDefault="00590B6A" w:rsidP="004F5E36">
      <w:r>
        <w:separator/>
      </w:r>
    </w:p>
  </w:endnote>
  <w:endnote w:type="continuationSeparator" w:id="0">
    <w:p w14:paraId="4202EB01" w14:textId="77777777" w:rsidR="00590B6A" w:rsidRDefault="00590B6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6809" w14:textId="77777777" w:rsidR="00590B6A" w:rsidRDefault="00590B6A" w:rsidP="004F5E36">
      <w:r>
        <w:separator/>
      </w:r>
    </w:p>
  </w:footnote>
  <w:footnote w:type="continuationSeparator" w:id="0">
    <w:p w14:paraId="6BEB9D76" w14:textId="77777777" w:rsidR="00590B6A" w:rsidRDefault="00590B6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425CA"/>
    <w:multiLevelType w:val="hybridMultilevel"/>
    <w:tmpl w:val="F97E0FFA"/>
    <w:lvl w:ilvl="0" w:tplc="390E1708">
      <w:start w:val="1"/>
      <w:numFmt w:val="bullet"/>
      <w:lvlText w:val="•"/>
      <w:lvlJc w:val="left"/>
      <w:pPr>
        <w:tabs>
          <w:tab w:val="num" w:pos="720"/>
        </w:tabs>
        <w:ind w:left="720" w:hanging="360"/>
      </w:pPr>
      <w:rPr>
        <w:rFonts w:ascii="Arial" w:hAnsi="Arial" w:hint="default"/>
      </w:rPr>
    </w:lvl>
    <w:lvl w:ilvl="1" w:tplc="F6CA25CC" w:tentative="1">
      <w:start w:val="1"/>
      <w:numFmt w:val="bullet"/>
      <w:lvlText w:val="•"/>
      <w:lvlJc w:val="left"/>
      <w:pPr>
        <w:tabs>
          <w:tab w:val="num" w:pos="1440"/>
        </w:tabs>
        <w:ind w:left="1440" w:hanging="360"/>
      </w:pPr>
      <w:rPr>
        <w:rFonts w:ascii="Arial" w:hAnsi="Arial" w:hint="default"/>
      </w:rPr>
    </w:lvl>
    <w:lvl w:ilvl="2" w:tplc="6D1C64DA" w:tentative="1">
      <w:start w:val="1"/>
      <w:numFmt w:val="bullet"/>
      <w:lvlText w:val="•"/>
      <w:lvlJc w:val="left"/>
      <w:pPr>
        <w:tabs>
          <w:tab w:val="num" w:pos="2160"/>
        </w:tabs>
        <w:ind w:left="2160" w:hanging="360"/>
      </w:pPr>
      <w:rPr>
        <w:rFonts w:ascii="Arial" w:hAnsi="Arial" w:hint="default"/>
      </w:rPr>
    </w:lvl>
    <w:lvl w:ilvl="3" w:tplc="8898CB2C" w:tentative="1">
      <w:start w:val="1"/>
      <w:numFmt w:val="bullet"/>
      <w:lvlText w:val="•"/>
      <w:lvlJc w:val="left"/>
      <w:pPr>
        <w:tabs>
          <w:tab w:val="num" w:pos="2880"/>
        </w:tabs>
        <w:ind w:left="2880" w:hanging="360"/>
      </w:pPr>
      <w:rPr>
        <w:rFonts w:ascii="Arial" w:hAnsi="Arial" w:hint="default"/>
      </w:rPr>
    </w:lvl>
    <w:lvl w:ilvl="4" w:tplc="DA8811FC" w:tentative="1">
      <w:start w:val="1"/>
      <w:numFmt w:val="bullet"/>
      <w:lvlText w:val="•"/>
      <w:lvlJc w:val="left"/>
      <w:pPr>
        <w:tabs>
          <w:tab w:val="num" w:pos="3600"/>
        </w:tabs>
        <w:ind w:left="3600" w:hanging="360"/>
      </w:pPr>
      <w:rPr>
        <w:rFonts w:ascii="Arial" w:hAnsi="Arial" w:hint="default"/>
      </w:rPr>
    </w:lvl>
    <w:lvl w:ilvl="5" w:tplc="354ACF3A" w:tentative="1">
      <w:start w:val="1"/>
      <w:numFmt w:val="bullet"/>
      <w:lvlText w:val="•"/>
      <w:lvlJc w:val="left"/>
      <w:pPr>
        <w:tabs>
          <w:tab w:val="num" w:pos="4320"/>
        </w:tabs>
        <w:ind w:left="4320" w:hanging="360"/>
      </w:pPr>
      <w:rPr>
        <w:rFonts w:ascii="Arial" w:hAnsi="Arial" w:hint="default"/>
      </w:rPr>
    </w:lvl>
    <w:lvl w:ilvl="6" w:tplc="70DADE16" w:tentative="1">
      <w:start w:val="1"/>
      <w:numFmt w:val="bullet"/>
      <w:lvlText w:val="•"/>
      <w:lvlJc w:val="left"/>
      <w:pPr>
        <w:tabs>
          <w:tab w:val="num" w:pos="5040"/>
        </w:tabs>
        <w:ind w:left="5040" w:hanging="360"/>
      </w:pPr>
      <w:rPr>
        <w:rFonts w:ascii="Arial" w:hAnsi="Arial" w:hint="default"/>
      </w:rPr>
    </w:lvl>
    <w:lvl w:ilvl="7" w:tplc="857C4890" w:tentative="1">
      <w:start w:val="1"/>
      <w:numFmt w:val="bullet"/>
      <w:lvlText w:val="•"/>
      <w:lvlJc w:val="left"/>
      <w:pPr>
        <w:tabs>
          <w:tab w:val="num" w:pos="5760"/>
        </w:tabs>
        <w:ind w:left="5760" w:hanging="360"/>
      </w:pPr>
      <w:rPr>
        <w:rFonts w:ascii="Arial" w:hAnsi="Arial" w:hint="default"/>
      </w:rPr>
    </w:lvl>
    <w:lvl w:ilvl="8" w:tplc="443067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065E1"/>
    <w:rsid w:val="000117CB"/>
    <w:rsid w:val="000152DC"/>
    <w:rsid w:val="00017B17"/>
    <w:rsid w:val="00022CCB"/>
    <w:rsid w:val="0003148D"/>
    <w:rsid w:val="00031EEC"/>
    <w:rsid w:val="0004434B"/>
    <w:rsid w:val="00044B07"/>
    <w:rsid w:val="000461AC"/>
    <w:rsid w:val="00047890"/>
    <w:rsid w:val="00051566"/>
    <w:rsid w:val="00054AE8"/>
    <w:rsid w:val="000555C1"/>
    <w:rsid w:val="00062A9A"/>
    <w:rsid w:val="00065058"/>
    <w:rsid w:val="000667AC"/>
    <w:rsid w:val="000705B3"/>
    <w:rsid w:val="00071FD2"/>
    <w:rsid w:val="0007582F"/>
    <w:rsid w:val="000768D5"/>
    <w:rsid w:val="00086C39"/>
    <w:rsid w:val="000A0264"/>
    <w:rsid w:val="000A03B2"/>
    <w:rsid w:val="000A23D1"/>
    <w:rsid w:val="000A693E"/>
    <w:rsid w:val="000B58E7"/>
    <w:rsid w:val="000C1407"/>
    <w:rsid w:val="000C25B7"/>
    <w:rsid w:val="000C43C4"/>
    <w:rsid w:val="000C6944"/>
    <w:rsid w:val="000C72D7"/>
    <w:rsid w:val="000C73D7"/>
    <w:rsid w:val="000D0268"/>
    <w:rsid w:val="000D34BE"/>
    <w:rsid w:val="000E102F"/>
    <w:rsid w:val="000E36F1"/>
    <w:rsid w:val="000E3A73"/>
    <w:rsid w:val="000E414A"/>
    <w:rsid w:val="000F093C"/>
    <w:rsid w:val="000F0C93"/>
    <w:rsid w:val="000F718F"/>
    <w:rsid w:val="000F787B"/>
    <w:rsid w:val="00112574"/>
    <w:rsid w:val="00116C51"/>
    <w:rsid w:val="0012091F"/>
    <w:rsid w:val="00121053"/>
    <w:rsid w:val="00122E59"/>
    <w:rsid w:val="00126BC2"/>
    <w:rsid w:val="001308B6"/>
    <w:rsid w:val="0013121F"/>
    <w:rsid w:val="00131FE6"/>
    <w:rsid w:val="0013263F"/>
    <w:rsid w:val="001331DF"/>
    <w:rsid w:val="00134DE4"/>
    <w:rsid w:val="0014034D"/>
    <w:rsid w:val="00142585"/>
    <w:rsid w:val="00144D16"/>
    <w:rsid w:val="00146430"/>
    <w:rsid w:val="00150E59"/>
    <w:rsid w:val="00152DE3"/>
    <w:rsid w:val="00164CF9"/>
    <w:rsid w:val="001667A6"/>
    <w:rsid w:val="00167688"/>
    <w:rsid w:val="00170CEE"/>
    <w:rsid w:val="00170D98"/>
    <w:rsid w:val="00182499"/>
    <w:rsid w:val="00184A60"/>
    <w:rsid w:val="00184AD6"/>
    <w:rsid w:val="00185356"/>
    <w:rsid w:val="0019188B"/>
    <w:rsid w:val="0019226F"/>
    <w:rsid w:val="001A232C"/>
    <w:rsid w:val="001A4AF7"/>
    <w:rsid w:val="001B0349"/>
    <w:rsid w:val="001B1E93"/>
    <w:rsid w:val="001B3672"/>
    <w:rsid w:val="001B5CA7"/>
    <w:rsid w:val="001B65C1"/>
    <w:rsid w:val="001C515B"/>
    <w:rsid w:val="001C684B"/>
    <w:rsid w:val="001C6A2D"/>
    <w:rsid w:val="001D0CFB"/>
    <w:rsid w:val="001D1E4B"/>
    <w:rsid w:val="001D21AF"/>
    <w:rsid w:val="001D53FC"/>
    <w:rsid w:val="001E028E"/>
    <w:rsid w:val="001E52A0"/>
    <w:rsid w:val="001F42A5"/>
    <w:rsid w:val="001F4DA7"/>
    <w:rsid w:val="001F7B9D"/>
    <w:rsid w:val="00201C93"/>
    <w:rsid w:val="002025FC"/>
    <w:rsid w:val="00202D8F"/>
    <w:rsid w:val="00207BD6"/>
    <w:rsid w:val="00207E20"/>
    <w:rsid w:val="002135F5"/>
    <w:rsid w:val="00214C16"/>
    <w:rsid w:val="00215ECE"/>
    <w:rsid w:val="0022240C"/>
    <w:rsid w:val="002224B4"/>
    <w:rsid w:val="00231C1D"/>
    <w:rsid w:val="00236468"/>
    <w:rsid w:val="00236DB3"/>
    <w:rsid w:val="002423C4"/>
    <w:rsid w:val="002447EF"/>
    <w:rsid w:val="00244B29"/>
    <w:rsid w:val="00246A09"/>
    <w:rsid w:val="00251550"/>
    <w:rsid w:val="00257AFB"/>
    <w:rsid w:val="002605F5"/>
    <w:rsid w:val="00263B05"/>
    <w:rsid w:val="002648B3"/>
    <w:rsid w:val="0027221A"/>
    <w:rsid w:val="00274E13"/>
    <w:rsid w:val="00274E28"/>
    <w:rsid w:val="00275B61"/>
    <w:rsid w:val="00276C7B"/>
    <w:rsid w:val="00280436"/>
    <w:rsid w:val="00280FAF"/>
    <w:rsid w:val="00282656"/>
    <w:rsid w:val="002838F5"/>
    <w:rsid w:val="00285A5D"/>
    <w:rsid w:val="00287AC2"/>
    <w:rsid w:val="002935FE"/>
    <w:rsid w:val="00294E56"/>
    <w:rsid w:val="00296B83"/>
    <w:rsid w:val="002A1AD5"/>
    <w:rsid w:val="002A35A5"/>
    <w:rsid w:val="002B1E37"/>
    <w:rsid w:val="002B1F5D"/>
    <w:rsid w:val="002B4015"/>
    <w:rsid w:val="002B6E8B"/>
    <w:rsid w:val="002B78CE"/>
    <w:rsid w:val="002C13BB"/>
    <w:rsid w:val="002C2FB6"/>
    <w:rsid w:val="002C527D"/>
    <w:rsid w:val="002E54D7"/>
    <w:rsid w:val="002E5FA7"/>
    <w:rsid w:val="002E7F8D"/>
    <w:rsid w:val="002F3309"/>
    <w:rsid w:val="002F3F09"/>
    <w:rsid w:val="002F79B7"/>
    <w:rsid w:val="003008CE"/>
    <w:rsid w:val="003009B7"/>
    <w:rsid w:val="00300E56"/>
    <w:rsid w:val="003030E0"/>
    <w:rsid w:val="0030425D"/>
    <w:rsid w:val="0030469C"/>
    <w:rsid w:val="00304D66"/>
    <w:rsid w:val="00305D3A"/>
    <w:rsid w:val="00321CA6"/>
    <w:rsid w:val="00323548"/>
    <w:rsid w:val="00323763"/>
    <w:rsid w:val="00334C09"/>
    <w:rsid w:val="003374C9"/>
    <w:rsid w:val="003431AB"/>
    <w:rsid w:val="00346735"/>
    <w:rsid w:val="00352DF0"/>
    <w:rsid w:val="003723D4"/>
    <w:rsid w:val="00381905"/>
    <w:rsid w:val="003845AB"/>
    <w:rsid w:val="00384CC8"/>
    <w:rsid w:val="003871FD"/>
    <w:rsid w:val="0039353E"/>
    <w:rsid w:val="00393C10"/>
    <w:rsid w:val="00393EB5"/>
    <w:rsid w:val="00395B02"/>
    <w:rsid w:val="003A1E30"/>
    <w:rsid w:val="003A2829"/>
    <w:rsid w:val="003A4FC0"/>
    <w:rsid w:val="003A7D1C"/>
    <w:rsid w:val="003B304B"/>
    <w:rsid w:val="003B3146"/>
    <w:rsid w:val="003C3C5F"/>
    <w:rsid w:val="003C71EF"/>
    <w:rsid w:val="003D0FF3"/>
    <w:rsid w:val="003D733B"/>
    <w:rsid w:val="003F015E"/>
    <w:rsid w:val="003F6F5E"/>
    <w:rsid w:val="00400414"/>
    <w:rsid w:val="00401CBE"/>
    <w:rsid w:val="0040249E"/>
    <w:rsid w:val="004044CF"/>
    <w:rsid w:val="00406DF7"/>
    <w:rsid w:val="0041446B"/>
    <w:rsid w:val="00430406"/>
    <w:rsid w:val="00436156"/>
    <w:rsid w:val="0044071E"/>
    <w:rsid w:val="0044166C"/>
    <w:rsid w:val="00441EB5"/>
    <w:rsid w:val="0044329C"/>
    <w:rsid w:val="004514F2"/>
    <w:rsid w:val="00453E24"/>
    <w:rsid w:val="0045488A"/>
    <w:rsid w:val="004558F2"/>
    <w:rsid w:val="00457456"/>
    <w:rsid w:val="004577FE"/>
    <w:rsid w:val="00457B9C"/>
    <w:rsid w:val="0046164A"/>
    <w:rsid w:val="004628D2"/>
    <w:rsid w:val="00462DCD"/>
    <w:rsid w:val="00463EC1"/>
    <w:rsid w:val="004648AD"/>
    <w:rsid w:val="00464C6E"/>
    <w:rsid w:val="004703A9"/>
    <w:rsid w:val="00472166"/>
    <w:rsid w:val="00475DE0"/>
    <w:rsid w:val="004760DE"/>
    <w:rsid w:val="004763D7"/>
    <w:rsid w:val="00476AE2"/>
    <w:rsid w:val="00477143"/>
    <w:rsid w:val="00481E7C"/>
    <w:rsid w:val="004847EC"/>
    <w:rsid w:val="00486608"/>
    <w:rsid w:val="00490ABF"/>
    <w:rsid w:val="00497D3E"/>
    <w:rsid w:val="004A004E"/>
    <w:rsid w:val="004A243E"/>
    <w:rsid w:val="004A24CF"/>
    <w:rsid w:val="004A4A28"/>
    <w:rsid w:val="004A6A42"/>
    <w:rsid w:val="004B0DA0"/>
    <w:rsid w:val="004C2EF4"/>
    <w:rsid w:val="004C3D1D"/>
    <w:rsid w:val="004C7913"/>
    <w:rsid w:val="004D0DED"/>
    <w:rsid w:val="004D1124"/>
    <w:rsid w:val="004D2AE7"/>
    <w:rsid w:val="004D3431"/>
    <w:rsid w:val="004D63CA"/>
    <w:rsid w:val="004D6754"/>
    <w:rsid w:val="004E0B3A"/>
    <w:rsid w:val="004E48EC"/>
    <w:rsid w:val="004E4DD6"/>
    <w:rsid w:val="004E721D"/>
    <w:rsid w:val="004F5E36"/>
    <w:rsid w:val="00503DF9"/>
    <w:rsid w:val="00507B47"/>
    <w:rsid w:val="00507BEF"/>
    <w:rsid w:val="00507CC9"/>
    <w:rsid w:val="00510DAC"/>
    <w:rsid w:val="005119A5"/>
    <w:rsid w:val="005125EF"/>
    <w:rsid w:val="005157F3"/>
    <w:rsid w:val="005278B7"/>
    <w:rsid w:val="00531788"/>
    <w:rsid w:val="00531B64"/>
    <w:rsid w:val="00532016"/>
    <w:rsid w:val="005346C8"/>
    <w:rsid w:val="0053487C"/>
    <w:rsid w:val="00543E7D"/>
    <w:rsid w:val="00547A68"/>
    <w:rsid w:val="005531C9"/>
    <w:rsid w:val="005532D8"/>
    <w:rsid w:val="00563496"/>
    <w:rsid w:val="0056425E"/>
    <w:rsid w:val="00566858"/>
    <w:rsid w:val="00566CDC"/>
    <w:rsid w:val="00570C43"/>
    <w:rsid w:val="0057149B"/>
    <w:rsid w:val="00575E65"/>
    <w:rsid w:val="005806EE"/>
    <w:rsid w:val="0058258C"/>
    <w:rsid w:val="0058353A"/>
    <w:rsid w:val="005853CD"/>
    <w:rsid w:val="00587924"/>
    <w:rsid w:val="00590B6A"/>
    <w:rsid w:val="00593995"/>
    <w:rsid w:val="00593D1A"/>
    <w:rsid w:val="0059658A"/>
    <w:rsid w:val="00597979"/>
    <w:rsid w:val="005A137E"/>
    <w:rsid w:val="005A261E"/>
    <w:rsid w:val="005A4B7C"/>
    <w:rsid w:val="005A65D6"/>
    <w:rsid w:val="005A7EB0"/>
    <w:rsid w:val="005B2110"/>
    <w:rsid w:val="005B47F1"/>
    <w:rsid w:val="005B61E6"/>
    <w:rsid w:val="005C0FC5"/>
    <w:rsid w:val="005C33CE"/>
    <w:rsid w:val="005C59EB"/>
    <w:rsid w:val="005C6F14"/>
    <w:rsid w:val="005C77E1"/>
    <w:rsid w:val="005D05ED"/>
    <w:rsid w:val="005D0ABB"/>
    <w:rsid w:val="005D668A"/>
    <w:rsid w:val="005D6A2F"/>
    <w:rsid w:val="005D71CA"/>
    <w:rsid w:val="005E10D6"/>
    <w:rsid w:val="005E1A82"/>
    <w:rsid w:val="005E32CF"/>
    <w:rsid w:val="005E794C"/>
    <w:rsid w:val="005F0A28"/>
    <w:rsid w:val="005F0E5E"/>
    <w:rsid w:val="00600535"/>
    <w:rsid w:val="00610CD6"/>
    <w:rsid w:val="00620DEE"/>
    <w:rsid w:val="00620FEF"/>
    <w:rsid w:val="006214DB"/>
    <w:rsid w:val="00621F92"/>
    <w:rsid w:val="0062280A"/>
    <w:rsid w:val="00625639"/>
    <w:rsid w:val="00627941"/>
    <w:rsid w:val="00631B33"/>
    <w:rsid w:val="00633B9B"/>
    <w:rsid w:val="00636CFA"/>
    <w:rsid w:val="00637127"/>
    <w:rsid w:val="0064184D"/>
    <w:rsid w:val="006422CC"/>
    <w:rsid w:val="006453C3"/>
    <w:rsid w:val="006506A8"/>
    <w:rsid w:val="00652BFB"/>
    <w:rsid w:val="00660845"/>
    <w:rsid w:val="00660E3E"/>
    <w:rsid w:val="00662E74"/>
    <w:rsid w:val="00666663"/>
    <w:rsid w:val="00677FD2"/>
    <w:rsid w:val="00680C23"/>
    <w:rsid w:val="00681775"/>
    <w:rsid w:val="006841D4"/>
    <w:rsid w:val="00686A3D"/>
    <w:rsid w:val="00693766"/>
    <w:rsid w:val="006A3281"/>
    <w:rsid w:val="006A4A42"/>
    <w:rsid w:val="006B3050"/>
    <w:rsid w:val="006B4888"/>
    <w:rsid w:val="006B576F"/>
    <w:rsid w:val="006B7CC6"/>
    <w:rsid w:val="006C0812"/>
    <w:rsid w:val="006C2E45"/>
    <w:rsid w:val="006C359C"/>
    <w:rsid w:val="006C5579"/>
    <w:rsid w:val="006D16FD"/>
    <w:rsid w:val="006D6E8B"/>
    <w:rsid w:val="006E163E"/>
    <w:rsid w:val="006E5011"/>
    <w:rsid w:val="006E5AB2"/>
    <w:rsid w:val="006E737D"/>
    <w:rsid w:val="006F5546"/>
    <w:rsid w:val="007015DA"/>
    <w:rsid w:val="00707211"/>
    <w:rsid w:val="00707AEA"/>
    <w:rsid w:val="007110EF"/>
    <w:rsid w:val="007122CB"/>
    <w:rsid w:val="00713973"/>
    <w:rsid w:val="00716366"/>
    <w:rsid w:val="00720A24"/>
    <w:rsid w:val="00721B56"/>
    <w:rsid w:val="007227E8"/>
    <w:rsid w:val="007236A2"/>
    <w:rsid w:val="007278C9"/>
    <w:rsid w:val="00727930"/>
    <w:rsid w:val="007279A8"/>
    <w:rsid w:val="00732386"/>
    <w:rsid w:val="0073514D"/>
    <w:rsid w:val="00741B1D"/>
    <w:rsid w:val="00742F07"/>
    <w:rsid w:val="007430E0"/>
    <w:rsid w:val="007447F3"/>
    <w:rsid w:val="00746F0B"/>
    <w:rsid w:val="00747B2C"/>
    <w:rsid w:val="0075233E"/>
    <w:rsid w:val="0075499F"/>
    <w:rsid w:val="00755409"/>
    <w:rsid w:val="00756A22"/>
    <w:rsid w:val="007661C8"/>
    <w:rsid w:val="0077098D"/>
    <w:rsid w:val="00772604"/>
    <w:rsid w:val="00784A37"/>
    <w:rsid w:val="007923DC"/>
    <w:rsid w:val="007931FA"/>
    <w:rsid w:val="00794CDF"/>
    <w:rsid w:val="007A0CFC"/>
    <w:rsid w:val="007A2229"/>
    <w:rsid w:val="007A28C7"/>
    <w:rsid w:val="007A4861"/>
    <w:rsid w:val="007A7BBA"/>
    <w:rsid w:val="007B0C50"/>
    <w:rsid w:val="007B1778"/>
    <w:rsid w:val="007B2442"/>
    <w:rsid w:val="007B48F9"/>
    <w:rsid w:val="007B7594"/>
    <w:rsid w:val="007C1A43"/>
    <w:rsid w:val="007C5EDF"/>
    <w:rsid w:val="007C69E1"/>
    <w:rsid w:val="007D4548"/>
    <w:rsid w:val="007D78F3"/>
    <w:rsid w:val="007E048B"/>
    <w:rsid w:val="007E226A"/>
    <w:rsid w:val="007E2B33"/>
    <w:rsid w:val="007E5D86"/>
    <w:rsid w:val="007F0574"/>
    <w:rsid w:val="007F2B33"/>
    <w:rsid w:val="007F6F8F"/>
    <w:rsid w:val="007F75ED"/>
    <w:rsid w:val="0080013E"/>
    <w:rsid w:val="00804019"/>
    <w:rsid w:val="008066D6"/>
    <w:rsid w:val="00810EBE"/>
    <w:rsid w:val="00813288"/>
    <w:rsid w:val="00813516"/>
    <w:rsid w:val="0081569B"/>
    <w:rsid w:val="00815CD5"/>
    <w:rsid w:val="008168FC"/>
    <w:rsid w:val="008172C5"/>
    <w:rsid w:val="0082320F"/>
    <w:rsid w:val="00830682"/>
    <w:rsid w:val="00830996"/>
    <w:rsid w:val="00831C79"/>
    <w:rsid w:val="00833439"/>
    <w:rsid w:val="008345F1"/>
    <w:rsid w:val="00844BA6"/>
    <w:rsid w:val="00844BF7"/>
    <w:rsid w:val="00846777"/>
    <w:rsid w:val="00851BD2"/>
    <w:rsid w:val="00852B5B"/>
    <w:rsid w:val="008550FA"/>
    <w:rsid w:val="0085596B"/>
    <w:rsid w:val="00856B39"/>
    <w:rsid w:val="0085749D"/>
    <w:rsid w:val="008611DF"/>
    <w:rsid w:val="00861537"/>
    <w:rsid w:val="008626AF"/>
    <w:rsid w:val="00865B07"/>
    <w:rsid w:val="008667EA"/>
    <w:rsid w:val="00871C3A"/>
    <w:rsid w:val="008724B2"/>
    <w:rsid w:val="00872CA5"/>
    <w:rsid w:val="0087637F"/>
    <w:rsid w:val="00876E88"/>
    <w:rsid w:val="008801C6"/>
    <w:rsid w:val="00892AD5"/>
    <w:rsid w:val="008944D0"/>
    <w:rsid w:val="008A1512"/>
    <w:rsid w:val="008A7762"/>
    <w:rsid w:val="008B77E1"/>
    <w:rsid w:val="008C08B8"/>
    <w:rsid w:val="008C2E69"/>
    <w:rsid w:val="008C6ED2"/>
    <w:rsid w:val="008D2589"/>
    <w:rsid w:val="008D2C8C"/>
    <w:rsid w:val="008D32B9"/>
    <w:rsid w:val="008D433B"/>
    <w:rsid w:val="008D456E"/>
    <w:rsid w:val="008D6AC3"/>
    <w:rsid w:val="008E566E"/>
    <w:rsid w:val="008F1FB0"/>
    <w:rsid w:val="0090161A"/>
    <w:rsid w:val="00901EB6"/>
    <w:rsid w:val="00902523"/>
    <w:rsid w:val="00903CAD"/>
    <w:rsid w:val="00904C62"/>
    <w:rsid w:val="009067D9"/>
    <w:rsid w:val="0091635F"/>
    <w:rsid w:val="00916EA4"/>
    <w:rsid w:val="009211C8"/>
    <w:rsid w:val="00922BA8"/>
    <w:rsid w:val="00922FEC"/>
    <w:rsid w:val="00924C7F"/>
    <w:rsid w:val="00924DAC"/>
    <w:rsid w:val="00927058"/>
    <w:rsid w:val="00927E2B"/>
    <w:rsid w:val="009327C0"/>
    <w:rsid w:val="009345CA"/>
    <w:rsid w:val="00935CE1"/>
    <w:rsid w:val="00942750"/>
    <w:rsid w:val="009436CB"/>
    <w:rsid w:val="00944326"/>
    <w:rsid w:val="009450CE"/>
    <w:rsid w:val="009454C5"/>
    <w:rsid w:val="00947179"/>
    <w:rsid w:val="00947471"/>
    <w:rsid w:val="009510BC"/>
    <w:rsid w:val="0095164B"/>
    <w:rsid w:val="00954090"/>
    <w:rsid w:val="00954095"/>
    <w:rsid w:val="009573E7"/>
    <w:rsid w:val="009575DE"/>
    <w:rsid w:val="00960861"/>
    <w:rsid w:val="0096273B"/>
    <w:rsid w:val="00963496"/>
    <w:rsid w:val="00963E05"/>
    <w:rsid w:val="00964A45"/>
    <w:rsid w:val="00965D01"/>
    <w:rsid w:val="00967843"/>
    <w:rsid w:val="00967D54"/>
    <w:rsid w:val="00970BEB"/>
    <w:rsid w:val="00971028"/>
    <w:rsid w:val="0097147B"/>
    <w:rsid w:val="00972457"/>
    <w:rsid w:val="00975122"/>
    <w:rsid w:val="00976AC0"/>
    <w:rsid w:val="009775C4"/>
    <w:rsid w:val="009933D8"/>
    <w:rsid w:val="00993B84"/>
    <w:rsid w:val="00994ABD"/>
    <w:rsid w:val="009956AE"/>
    <w:rsid w:val="00996483"/>
    <w:rsid w:val="00996F5A"/>
    <w:rsid w:val="009976D7"/>
    <w:rsid w:val="009A11D4"/>
    <w:rsid w:val="009A645C"/>
    <w:rsid w:val="009A72A0"/>
    <w:rsid w:val="009B041A"/>
    <w:rsid w:val="009B299B"/>
    <w:rsid w:val="009B2A70"/>
    <w:rsid w:val="009B4458"/>
    <w:rsid w:val="009C37C3"/>
    <w:rsid w:val="009C60E0"/>
    <w:rsid w:val="009C6481"/>
    <w:rsid w:val="009C7C86"/>
    <w:rsid w:val="009D24C5"/>
    <w:rsid w:val="009D2FF7"/>
    <w:rsid w:val="009E1746"/>
    <w:rsid w:val="009E7884"/>
    <w:rsid w:val="009E788A"/>
    <w:rsid w:val="009F0E08"/>
    <w:rsid w:val="009F3D76"/>
    <w:rsid w:val="009F5157"/>
    <w:rsid w:val="00A03434"/>
    <w:rsid w:val="00A072C5"/>
    <w:rsid w:val="00A1763D"/>
    <w:rsid w:val="00A17CEC"/>
    <w:rsid w:val="00A22B63"/>
    <w:rsid w:val="00A27EF0"/>
    <w:rsid w:val="00A31157"/>
    <w:rsid w:val="00A36817"/>
    <w:rsid w:val="00A377BC"/>
    <w:rsid w:val="00A42361"/>
    <w:rsid w:val="00A42A19"/>
    <w:rsid w:val="00A44A4B"/>
    <w:rsid w:val="00A50B20"/>
    <w:rsid w:val="00A50B98"/>
    <w:rsid w:val="00A51390"/>
    <w:rsid w:val="00A53D51"/>
    <w:rsid w:val="00A53D60"/>
    <w:rsid w:val="00A567EB"/>
    <w:rsid w:val="00A60D13"/>
    <w:rsid w:val="00A649BC"/>
    <w:rsid w:val="00A72745"/>
    <w:rsid w:val="00A76EFC"/>
    <w:rsid w:val="00A90507"/>
    <w:rsid w:val="00A91010"/>
    <w:rsid w:val="00A97F29"/>
    <w:rsid w:val="00AA702E"/>
    <w:rsid w:val="00AB0964"/>
    <w:rsid w:val="00AB2BD4"/>
    <w:rsid w:val="00AB5011"/>
    <w:rsid w:val="00AB638C"/>
    <w:rsid w:val="00AC377E"/>
    <w:rsid w:val="00AC7368"/>
    <w:rsid w:val="00AD001D"/>
    <w:rsid w:val="00AD0B01"/>
    <w:rsid w:val="00AD16B9"/>
    <w:rsid w:val="00AD44BB"/>
    <w:rsid w:val="00AE0B65"/>
    <w:rsid w:val="00AE377D"/>
    <w:rsid w:val="00AE4EAA"/>
    <w:rsid w:val="00AE51D0"/>
    <w:rsid w:val="00AE7249"/>
    <w:rsid w:val="00AE76E9"/>
    <w:rsid w:val="00AF0E45"/>
    <w:rsid w:val="00AF0EBA"/>
    <w:rsid w:val="00AF5F20"/>
    <w:rsid w:val="00B01664"/>
    <w:rsid w:val="00B02C8A"/>
    <w:rsid w:val="00B03497"/>
    <w:rsid w:val="00B0531C"/>
    <w:rsid w:val="00B06BC8"/>
    <w:rsid w:val="00B14192"/>
    <w:rsid w:val="00B17FBD"/>
    <w:rsid w:val="00B21388"/>
    <w:rsid w:val="00B234B0"/>
    <w:rsid w:val="00B30917"/>
    <w:rsid w:val="00B315A6"/>
    <w:rsid w:val="00B31813"/>
    <w:rsid w:val="00B33365"/>
    <w:rsid w:val="00B343E3"/>
    <w:rsid w:val="00B40A46"/>
    <w:rsid w:val="00B43344"/>
    <w:rsid w:val="00B47CFA"/>
    <w:rsid w:val="00B517B9"/>
    <w:rsid w:val="00B54BAA"/>
    <w:rsid w:val="00B57B36"/>
    <w:rsid w:val="00B57E6F"/>
    <w:rsid w:val="00B67778"/>
    <w:rsid w:val="00B67BE9"/>
    <w:rsid w:val="00B71746"/>
    <w:rsid w:val="00B77B01"/>
    <w:rsid w:val="00B8686D"/>
    <w:rsid w:val="00B93F69"/>
    <w:rsid w:val="00BA4AEC"/>
    <w:rsid w:val="00BB1DDC"/>
    <w:rsid w:val="00BB444B"/>
    <w:rsid w:val="00BC043C"/>
    <w:rsid w:val="00BC23E4"/>
    <w:rsid w:val="00BC30C9"/>
    <w:rsid w:val="00BC660C"/>
    <w:rsid w:val="00BD077D"/>
    <w:rsid w:val="00BE0864"/>
    <w:rsid w:val="00BE2347"/>
    <w:rsid w:val="00BE3E58"/>
    <w:rsid w:val="00BF4966"/>
    <w:rsid w:val="00BF53B6"/>
    <w:rsid w:val="00BF6135"/>
    <w:rsid w:val="00C0096D"/>
    <w:rsid w:val="00C01616"/>
    <w:rsid w:val="00C0162B"/>
    <w:rsid w:val="00C068ED"/>
    <w:rsid w:val="00C114F9"/>
    <w:rsid w:val="00C22E0C"/>
    <w:rsid w:val="00C257A0"/>
    <w:rsid w:val="00C32755"/>
    <w:rsid w:val="00C345B1"/>
    <w:rsid w:val="00C3676A"/>
    <w:rsid w:val="00C40142"/>
    <w:rsid w:val="00C5100B"/>
    <w:rsid w:val="00C52C3C"/>
    <w:rsid w:val="00C55E6F"/>
    <w:rsid w:val="00C57182"/>
    <w:rsid w:val="00C57863"/>
    <w:rsid w:val="00C655FD"/>
    <w:rsid w:val="00C65E34"/>
    <w:rsid w:val="00C71539"/>
    <w:rsid w:val="00C724F3"/>
    <w:rsid w:val="00C75407"/>
    <w:rsid w:val="00C870A8"/>
    <w:rsid w:val="00C94434"/>
    <w:rsid w:val="00C962FE"/>
    <w:rsid w:val="00CA0D75"/>
    <w:rsid w:val="00CA1C95"/>
    <w:rsid w:val="00CA29DC"/>
    <w:rsid w:val="00CA5A9C"/>
    <w:rsid w:val="00CB0071"/>
    <w:rsid w:val="00CB480B"/>
    <w:rsid w:val="00CB5DE6"/>
    <w:rsid w:val="00CC2887"/>
    <w:rsid w:val="00CC441F"/>
    <w:rsid w:val="00CC4C20"/>
    <w:rsid w:val="00CD3517"/>
    <w:rsid w:val="00CD4435"/>
    <w:rsid w:val="00CD5FE2"/>
    <w:rsid w:val="00CD7867"/>
    <w:rsid w:val="00CE1C5B"/>
    <w:rsid w:val="00CE6057"/>
    <w:rsid w:val="00CE7C68"/>
    <w:rsid w:val="00CF013F"/>
    <w:rsid w:val="00CF39A8"/>
    <w:rsid w:val="00D02B4C"/>
    <w:rsid w:val="00D03E76"/>
    <w:rsid w:val="00D040C4"/>
    <w:rsid w:val="00D046A3"/>
    <w:rsid w:val="00D06388"/>
    <w:rsid w:val="00D066FF"/>
    <w:rsid w:val="00D07ECD"/>
    <w:rsid w:val="00D146F0"/>
    <w:rsid w:val="00D20DC3"/>
    <w:rsid w:val="00D33F0C"/>
    <w:rsid w:val="00D4017F"/>
    <w:rsid w:val="00D46B7E"/>
    <w:rsid w:val="00D55CDB"/>
    <w:rsid w:val="00D5689C"/>
    <w:rsid w:val="00D57C84"/>
    <w:rsid w:val="00D6057D"/>
    <w:rsid w:val="00D61D5C"/>
    <w:rsid w:val="00D63438"/>
    <w:rsid w:val="00D71640"/>
    <w:rsid w:val="00D71C40"/>
    <w:rsid w:val="00D836C5"/>
    <w:rsid w:val="00D83AEB"/>
    <w:rsid w:val="00D84576"/>
    <w:rsid w:val="00D85A6F"/>
    <w:rsid w:val="00D865C8"/>
    <w:rsid w:val="00D93D74"/>
    <w:rsid w:val="00D9612A"/>
    <w:rsid w:val="00DA03FE"/>
    <w:rsid w:val="00DA1399"/>
    <w:rsid w:val="00DA24C6"/>
    <w:rsid w:val="00DA4D7B"/>
    <w:rsid w:val="00DB023F"/>
    <w:rsid w:val="00DB546A"/>
    <w:rsid w:val="00DB6AAB"/>
    <w:rsid w:val="00DC71F4"/>
    <w:rsid w:val="00DC7879"/>
    <w:rsid w:val="00DD462B"/>
    <w:rsid w:val="00DE11E7"/>
    <w:rsid w:val="00DE264A"/>
    <w:rsid w:val="00DE2E66"/>
    <w:rsid w:val="00DE588A"/>
    <w:rsid w:val="00DF1F57"/>
    <w:rsid w:val="00DF1F64"/>
    <w:rsid w:val="00DF28D5"/>
    <w:rsid w:val="00DF339A"/>
    <w:rsid w:val="00DF4736"/>
    <w:rsid w:val="00DF5072"/>
    <w:rsid w:val="00DF673E"/>
    <w:rsid w:val="00E02D18"/>
    <w:rsid w:val="00E03CF3"/>
    <w:rsid w:val="00E040BC"/>
    <w:rsid w:val="00E041E7"/>
    <w:rsid w:val="00E12C32"/>
    <w:rsid w:val="00E148AF"/>
    <w:rsid w:val="00E16AB9"/>
    <w:rsid w:val="00E2215B"/>
    <w:rsid w:val="00E23CA1"/>
    <w:rsid w:val="00E3162C"/>
    <w:rsid w:val="00E40021"/>
    <w:rsid w:val="00E409A8"/>
    <w:rsid w:val="00E4211A"/>
    <w:rsid w:val="00E437A1"/>
    <w:rsid w:val="00E437E6"/>
    <w:rsid w:val="00E50C12"/>
    <w:rsid w:val="00E552E6"/>
    <w:rsid w:val="00E57BA9"/>
    <w:rsid w:val="00E641F9"/>
    <w:rsid w:val="00E64E76"/>
    <w:rsid w:val="00E65B91"/>
    <w:rsid w:val="00E67026"/>
    <w:rsid w:val="00E7209D"/>
    <w:rsid w:val="00E72EAD"/>
    <w:rsid w:val="00E73C75"/>
    <w:rsid w:val="00E73D93"/>
    <w:rsid w:val="00E767D2"/>
    <w:rsid w:val="00E77223"/>
    <w:rsid w:val="00E83E18"/>
    <w:rsid w:val="00E8528B"/>
    <w:rsid w:val="00E85B94"/>
    <w:rsid w:val="00E9384F"/>
    <w:rsid w:val="00E96E0C"/>
    <w:rsid w:val="00E978D0"/>
    <w:rsid w:val="00EA3DB9"/>
    <w:rsid w:val="00EA4613"/>
    <w:rsid w:val="00EA7200"/>
    <w:rsid w:val="00EA7F91"/>
    <w:rsid w:val="00EB0375"/>
    <w:rsid w:val="00EB1523"/>
    <w:rsid w:val="00EB1EE1"/>
    <w:rsid w:val="00EC0E49"/>
    <w:rsid w:val="00EC101F"/>
    <w:rsid w:val="00EC1D9F"/>
    <w:rsid w:val="00EC3752"/>
    <w:rsid w:val="00EC64AF"/>
    <w:rsid w:val="00EC786E"/>
    <w:rsid w:val="00EC7AC3"/>
    <w:rsid w:val="00ED6C61"/>
    <w:rsid w:val="00ED758B"/>
    <w:rsid w:val="00EE0131"/>
    <w:rsid w:val="00EE17B0"/>
    <w:rsid w:val="00EF06D9"/>
    <w:rsid w:val="00EF1C3A"/>
    <w:rsid w:val="00EF37F0"/>
    <w:rsid w:val="00EF5902"/>
    <w:rsid w:val="00F035E8"/>
    <w:rsid w:val="00F077F6"/>
    <w:rsid w:val="00F12B67"/>
    <w:rsid w:val="00F14695"/>
    <w:rsid w:val="00F15E13"/>
    <w:rsid w:val="00F225E7"/>
    <w:rsid w:val="00F257CD"/>
    <w:rsid w:val="00F30C64"/>
    <w:rsid w:val="00F31882"/>
    <w:rsid w:val="00F32BA2"/>
    <w:rsid w:val="00F32CDB"/>
    <w:rsid w:val="00F355E5"/>
    <w:rsid w:val="00F4255A"/>
    <w:rsid w:val="00F45D04"/>
    <w:rsid w:val="00F508F8"/>
    <w:rsid w:val="00F54927"/>
    <w:rsid w:val="00F557AA"/>
    <w:rsid w:val="00F565FE"/>
    <w:rsid w:val="00F6399E"/>
    <w:rsid w:val="00F63A70"/>
    <w:rsid w:val="00F66381"/>
    <w:rsid w:val="00F71A52"/>
    <w:rsid w:val="00F7534E"/>
    <w:rsid w:val="00F75FF8"/>
    <w:rsid w:val="00F81BE7"/>
    <w:rsid w:val="00F850DC"/>
    <w:rsid w:val="00F95430"/>
    <w:rsid w:val="00F95853"/>
    <w:rsid w:val="00F95F3F"/>
    <w:rsid w:val="00F97BB0"/>
    <w:rsid w:val="00FA12B9"/>
    <w:rsid w:val="00FA1802"/>
    <w:rsid w:val="00FA21D0"/>
    <w:rsid w:val="00FA340C"/>
    <w:rsid w:val="00FA5F5F"/>
    <w:rsid w:val="00FA6DAF"/>
    <w:rsid w:val="00FB53B8"/>
    <w:rsid w:val="00FB730C"/>
    <w:rsid w:val="00FB7B22"/>
    <w:rsid w:val="00FC0BB7"/>
    <w:rsid w:val="00FC2695"/>
    <w:rsid w:val="00FC3E03"/>
    <w:rsid w:val="00FC3FC1"/>
    <w:rsid w:val="00FC631B"/>
    <w:rsid w:val="00FC7734"/>
    <w:rsid w:val="00FD495B"/>
    <w:rsid w:val="00FE33DE"/>
    <w:rsid w:val="00FE5275"/>
    <w:rsid w:val="00FE5390"/>
    <w:rsid w:val="00FF4CC0"/>
    <w:rsid w:val="00FF655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52BFB"/>
    <w:pPr>
      <w:keepNext/>
      <w:suppressAutoHyphens/>
      <w:spacing w:before="120" w:after="120" w:line="240" w:lineRule="auto"/>
      <w:jc w:val="both"/>
    </w:pPr>
    <w:rPr>
      <w:rFonts w:ascii="Arial" w:eastAsia="Times New Roman" w:hAnsi="Arial" w:cs="Arial"/>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52BFB"/>
    <w:rPr>
      <w:rFonts w:ascii="Arial" w:eastAsia="Times New Roman" w:hAnsi="Arial" w:cs="Arial"/>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ListParagraph">
    <w:name w:val="List Paragraph"/>
    <w:basedOn w:val="Normal"/>
    <w:uiPriority w:val="34"/>
    <w:rsid w:val="00280FAF"/>
    <w:pPr>
      <w:ind w:left="720"/>
      <w:contextualSpacing/>
    </w:pPr>
  </w:style>
  <w:style w:type="table" w:styleId="TableGridLight">
    <w:name w:val="Grid Table Light"/>
    <w:basedOn w:val="TableNormal"/>
    <w:uiPriority w:val="40"/>
    <w:rsid w:val="00071F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15ECE"/>
    <w:rPr>
      <w:color w:val="808080"/>
    </w:rPr>
  </w:style>
  <w:style w:type="paragraph" w:styleId="Revision">
    <w:name w:val="Revision"/>
    <w:hidden/>
    <w:uiPriority w:val="99"/>
    <w:semiHidden/>
    <w:rsid w:val="00393EB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2771">
      <w:bodyDiv w:val="1"/>
      <w:marLeft w:val="0"/>
      <w:marRight w:val="0"/>
      <w:marTop w:val="0"/>
      <w:marBottom w:val="0"/>
      <w:divBdr>
        <w:top w:val="none" w:sz="0" w:space="0" w:color="auto"/>
        <w:left w:val="none" w:sz="0" w:space="0" w:color="auto"/>
        <w:bottom w:val="none" w:sz="0" w:space="0" w:color="auto"/>
        <w:right w:val="none" w:sz="0" w:space="0" w:color="auto"/>
      </w:divBdr>
      <w:divsChild>
        <w:div w:id="1343554782">
          <w:marLeft w:val="0"/>
          <w:marRight w:val="0"/>
          <w:marTop w:val="0"/>
          <w:marBottom w:val="0"/>
          <w:divBdr>
            <w:top w:val="none" w:sz="0" w:space="0" w:color="auto"/>
            <w:left w:val="none" w:sz="0" w:space="0" w:color="auto"/>
            <w:bottom w:val="none" w:sz="0" w:space="0" w:color="auto"/>
            <w:right w:val="none" w:sz="0" w:space="0" w:color="auto"/>
          </w:divBdr>
        </w:div>
      </w:divsChild>
    </w:div>
    <w:div w:id="41301454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3005">
      <w:bodyDiv w:val="1"/>
      <w:marLeft w:val="0"/>
      <w:marRight w:val="0"/>
      <w:marTop w:val="0"/>
      <w:marBottom w:val="0"/>
      <w:divBdr>
        <w:top w:val="none" w:sz="0" w:space="0" w:color="auto"/>
        <w:left w:val="none" w:sz="0" w:space="0" w:color="auto"/>
        <w:bottom w:val="none" w:sz="0" w:space="0" w:color="auto"/>
        <w:right w:val="none" w:sz="0" w:space="0" w:color="auto"/>
      </w:divBdr>
      <w:divsChild>
        <w:div w:id="1527214624">
          <w:marLeft w:val="360"/>
          <w:marRight w:val="0"/>
          <w:marTop w:val="20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4272256">
      <w:bodyDiv w:val="1"/>
      <w:marLeft w:val="0"/>
      <w:marRight w:val="0"/>
      <w:marTop w:val="0"/>
      <w:marBottom w:val="0"/>
      <w:divBdr>
        <w:top w:val="none" w:sz="0" w:space="0" w:color="auto"/>
        <w:left w:val="none" w:sz="0" w:space="0" w:color="auto"/>
        <w:bottom w:val="none" w:sz="0" w:space="0" w:color="auto"/>
        <w:right w:val="none" w:sz="0" w:space="0" w:color="auto"/>
      </w:divBdr>
      <w:divsChild>
        <w:div w:id="1434126954">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4569</Words>
  <Characters>26044</Characters>
  <Application>Microsoft Office Word</Application>
  <DocSecurity>0</DocSecurity>
  <Lines>217</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Massimiliano Errico</cp:lastModifiedBy>
  <cp:revision>38</cp:revision>
  <cp:lastPrinted>2022-03-16T12:15:00Z</cp:lastPrinted>
  <dcterms:created xsi:type="dcterms:W3CDTF">2022-03-17T10:41:00Z</dcterms:created>
  <dcterms:modified xsi:type="dcterms:W3CDTF">2022-04-06T14:29:00Z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