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3A740E">
          <w:headerReference w:type="first" r:id="rId10"/>
          <w:type w:val="continuous"/>
          <w:pgSz w:w="11906" w:h="16838" w:code="9"/>
          <w:pgMar w:top="1701" w:right="1418" w:bottom="1701" w:left="1701" w:header="1701" w:footer="170" w:gutter="0"/>
          <w:cols w:space="708"/>
          <w:titlePg/>
          <w:docGrid w:linePitch="360"/>
        </w:sectPr>
      </w:pPr>
    </w:p>
    <w:p w14:paraId="32DC95CC" w14:textId="77777777" w:rsidR="00930193" w:rsidRDefault="00930193" w:rsidP="00B57E6F">
      <w:pPr>
        <w:pStyle w:val="CETAuthors"/>
        <w:rPr>
          <w:noProof w:val="0"/>
          <w:sz w:val="32"/>
        </w:rPr>
      </w:pPr>
      <w:r w:rsidRPr="00930193">
        <w:rPr>
          <w:noProof w:val="0"/>
          <w:sz w:val="32"/>
        </w:rPr>
        <w:t>Conceptual Design of Digital Twin for Bio-Methanol Production from Microalgae</w:t>
      </w:r>
    </w:p>
    <w:p w14:paraId="0488FED2" w14:textId="4E925E90" w:rsidR="00B57E6F" w:rsidRPr="008E5050" w:rsidRDefault="006E7814" w:rsidP="00B57E6F">
      <w:pPr>
        <w:pStyle w:val="CETAuthors"/>
        <w:rPr>
          <w:vertAlign w:val="superscript"/>
          <w:lang w:val="it-IT"/>
        </w:rPr>
      </w:pPr>
      <w:r w:rsidRPr="008E5050">
        <w:rPr>
          <w:lang w:val="it-IT"/>
        </w:rPr>
        <w:t>Federico Moretta</w:t>
      </w:r>
      <w:r w:rsidR="00B57E6F" w:rsidRPr="008E5050">
        <w:rPr>
          <w:lang w:val="it-IT"/>
        </w:rPr>
        <w:t xml:space="preserve">, </w:t>
      </w:r>
      <w:r w:rsidRPr="008E5050">
        <w:rPr>
          <w:lang w:val="it-IT"/>
        </w:rPr>
        <w:t xml:space="preserve">Matteo Fedeli </w:t>
      </w:r>
      <w:r w:rsidR="00B57E6F" w:rsidRPr="008E5050">
        <w:rPr>
          <w:lang w:val="it-IT"/>
        </w:rPr>
        <w:t>,</w:t>
      </w:r>
      <w:r w:rsidR="000247BC" w:rsidRPr="008E5050">
        <w:rPr>
          <w:lang w:val="it-IT"/>
        </w:rPr>
        <w:t xml:space="preserve"> Flavio Manenti, Giulia Luisa Bozzano</w:t>
      </w:r>
      <w:r w:rsidR="004332BE" w:rsidRPr="008E5050">
        <w:rPr>
          <w:vertAlign w:val="superscript"/>
          <w:lang w:val="it-IT"/>
        </w:rPr>
        <w:t>*</w:t>
      </w:r>
    </w:p>
    <w:p w14:paraId="3F8A92E3" w14:textId="4BD92694" w:rsidR="00D73B57" w:rsidRPr="008E5050" w:rsidRDefault="00D73B57" w:rsidP="032C999E">
      <w:pPr>
        <w:pStyle w:val="CETemail"/>
        <w:rPr>
          <w:lang w:val="it-IT"/>
        </w:rPr>
      </w:pPr>
      <w:r w:rsidRPr="008E5050">
        <w:rPr>
          <w:rStyle w:val="CETAddressCarattere"/>
          <w:lang w:val="it-IT"/>
        </w:rPr>
        <w:t>Politecnico di Milano, Dipartimento di Chimica, Materiali ed Ingegneria Chimica “Giulio Natta”, Piazza Leonardo da Vinci 32, 20133 Milano, Italy</w:t>
      </w:r>
      <w:r w:rsidR="00B57E6F" w:rsidRPr="008E5050">
        <w:rPr>
          <w:lang w:val="it-IT"/>
        </w:rPr>
        <w:t xml:space="preserve"> </w:t>
      </w:r>
    </w:p>
    <w:p w14:paraId="73F1267A" w14:textId="2607E5A5" w:rsidR="00B57E6F" w:rsidRDefault="007D5DD2" w:rsidP="00B57E6F">
      <w:pPr>
        <w:pStyle w:val="CETemail"/>
      </w:pPr>
      <w:hyperlink r:id="rId11" w:history="1">
        <w:r w:rsidR="004332BE" w:rsidRPr="00AC47B4">
          <w:rPr>
            <w:rStyle w:val="Collegamentoipertestuale"/>
          </w:rPr>
          <w:t>giulia.bozzano@polimi.it</w:t>
        </w:r>
      </w:hyperlink>
    </w:p>
    <w:p w14:paraId="494D0141" w14:textId="6FAC8570" w:rsidR="004332BE" w:rsidRPr="004332BE" w:rsidRDefault="00FD2E30" w:rsidP="004332BE">
      <w:pPr>
        <w:pStyle w:val="CETBodytext"/>
        <w:rPr>
          <w:lang w:val="en-GB"/>
        </w:rPr>
      </w:pPr>
      <w:r w:rsidRPr="00FD2E30">
        <w:rPr>
          <w:lang w:val="en-GB"/>
        </w:rPr>
        <w:t>In the last decades, microalgae have gained a lot of interest in the energy and chemical industry thanks to their higher biofuel productivity potential rather than other land plants. To better exploit their green nature and renewable power, anaerobic digestion (AD) fits perfectly for the scope. AD is a metabolic process that generates a methane-rich gas, the biogas, which can then be used for clean electricity and chemicals production. High interest has arisen in the field of AD in industrial practice, and a lot of experiments were done to produce biogas from different types of feedstocks. In this manner, microalgae represent a promising opportunity to produce biogas from renewable and self-sustainable organisms. Biogas is mostly used to produce electrical energy and heat through cogeneration cycles or is upgraded to biomethane through the removal of CO</w:t>
      </w:r>
      <w:r>
        <w:rPr>
          <w:vertAlign w:val="subscript"/>
          <w:lang w:val="en-GB"/>
        </w:rPr>
        <w:t>2</w:t>
      </w:r>
      <w:r w:rsidRPr="00FD2E30">
        <w:rPr>
          <w:lang w:val="en-GB"/>
        </w:rPr>
        <w:t xml:space="preserve"> and impurities, reaching a CH</w:t>
      </w:r>
      <w:r>
        <w:rPr>
          <w:vertAlign w:val="subscript"/>
          <w:lang w:val="en-GB"/>
        </w:rPr>
        <w:t>4</w:t>
      </w:r>
      <w:r w:rsidRPr="00FD2E30">
        <w:rPr>
          <w:lang w:val="en-GB"/>
        </w:rPr>
        <w:t xml:space="preserve"> purity above 95-97% vol. On the other hand, an interesting perspective of biogas exploitation is its conversion in biofuels such as methanol or dimethyl-ether. This new concept of bio-refining lays the ground for two aspects: The economical valorisation of the biomass with a more valuable product as bio-methanol and the conversion of biogas to </w:t>
      </w:r>
      <w:r w:rsidR="00496544" w:rsidRPr="00FD2E30">
        <w:rPr>
          <w:lang w:val="en-GB"/>
        </w:rPr>
        <w:t>biofuel</w:t>
      </w:r>
      <w:r w:rsidRPr="00FD2E30">
        <w:rPr>
          <w:lang w:val="en-GB"/>
        </w:rPr>
        <w:t xml:space="preserve"> to fix part of the carbon in a chemical molecule, avoiding the re-emission in the atmosphere of CO</w:t>
      </w:r>
      <w:r>
        <w:rPr>
          <w:vertAlign w:val="subscript"/>
          <w:lang w:val="en-GB"/>
        </w:rPr>
        <w:t>2</w:t>
      </w:r>
      <w:r w:rsidRPr="00FD2E30">
        <w:rPr>
          <w:lang w:val="en-GB"/>
        </w:rPr>
        <w:t>. The scope of this work is to present and technically analyse a conceptual design of a circular bio-refinery based on microalgae biomass feedstock with the final output of methanol production. Biogas production from microalgae is modelled with Python</w:t>
      </w:r>
      <w:r w:rsidRPr="00F15E65">
        <w:rPr>
          <w:vertAlign w:val="superscript"/>
          <w:lang w:val="en-GB"/>
        </w:rPr>
        <w:t>TM</w:t>
      </w:r>
      <w:r w:rsidRPr="00FD2E30">
        <w:rPr>
          <w:lang w:val="en-GB"/>
        </w:rPr>
        <w:t xml:space="preserve"> (v3.</w:t>
      </w:r>
      <w:r w:rsidR="00F15E65">
        <w:rPr>
          <w:lang w:val="en-GB"/>
        </w:rPr>
        <w:t>9</w:t>
      </w:r>
      <w:r w:rsidRPr="00FD2E30">
        <w:rPr>
          <w:lang w:val="en-GB"/>
        </w:rPr>
        <w:t>) while process simulations are computed using state of the art industrial simulation packages like Aspen HYSIS</w:t>
      </w:r>
      <w:r>
        <w:rPr>
          <w:rFonts w:cs="Arial"/>
          <w:vertAlign w:val="superscript"/>
          <w:lang w:val="en-GB"/>
        </w:rPr>
        <w:t>®</w:t>
      </w:r>
      <w:r w:rsidRPr="00FD2E30">
        <w:rPr>
          <w:lang w:val="en-GB"/>
        </w:rPr>
        <w:t xml:space="preserve"> v11. Interesting factors to analyse are carbon emission, the field of use for functional production, the global process yield and preliminary feasibility analysis.</w:t>
      </w:r>
    </w:p>
    <w:p w14:paraId="476B2F2E" w14:textId="0A16CA24" w:rsidR="00600535" w:rsidRPr="00B57B36" w:rsidRDefault="00600535" w:rsidP="00600535">
      <w:pPr>
        <w:pStyle w:val="CETHeading1"/>
        <w:rPr>
          <w:lang w:val="en-GB"/>
        </w:rPr>
      </w:pPr>
      <w:r w:rsidRPr="00B57B36">
        <w:rPr>
          <w:lang w:val="en-GB"/>
        </w:rPr>
        <w:t>Introduction</w:t>
      </w:r>
    </w:p>
    <w:p w14:paraId="6A5167CF" w14:textId="5C27F2D4" w:rsidR="00600535" w:rsidRPr="00284A8C" w:rsidRDefault="008E5050" w:rsidP="00B82904">
      <w:pPr>
        <w:pStyle w:val="Paragrafoelenco"/>
        <w:tabs>
          <w:tab w:val="clear" w:pos="7100"/>
        </w:tabs>
        <w:spacing w:line="240" w:lineRule="auto"/>
        <w:ind w:left="0"/>
        <w:rPr>
          <w:rFonts w:ascii="Times New Roman" w:hAnsi="Times New Roman"/>
          <w:sz w:val="24"/>
          <w:szCs w:val="24"/>
          <w:lang w:val="en-US" w:eastAsia="it-IT"/>
        </w:rPr>
      </w:pPr>
      <w:r w:rsidRPr="008E5050">
        <w:rPr>
          <w:rFonts w:cs="Arial"/>
          <w:color w:val="000000"/>
          <w:szCs w:val="18"/>
          <w:shd w:val="clear" w:color="auto" w:fill="FFFFFF"/>
          <w:lang w:val="en-US" w:eastAsia="it-IT"/>
        </w:rPr>
        <w:t xml:space="preserve">Because of the continued impoverishment of fossil resources for combustibles production, a huge effort is put to find renewables and affordable alternatives for the next future. </w:t>
      </w:r>
      <w:r w:rsidRPr="00B82904">
        <w:rPr>
          <w:rFonts w:cs="Arial"/>
          <w:color w:val="000000"/>
          <w:szCs w:val="18"/>
          <w:shd w:val="clear" w:color="auto" w:fill="FFFFFF"/>
          <w:lang w:val="en-US" w:eastAsia="it-IT"/>
        </w:rPr>
        <w:t>Microalgae, thanks to their high productivity and biofuel yield</w:t>
      </w:r>
      <w:r w:rsidR="00B82904">
        <w:rPr>
          <w:rFonts w:cs="Arial"/>
          <w:color w:val="000000"/>
          <w:szCs w:val="18"/>
          <w:shd w:val="clear" w:color="auto" w:fill="FFFFFF"/>
          <w:lang w:val="en-US" w:eastAsia="it-IT"/>
        </w:rPr>
        <w:t xml:space="preserve"> </w:t>
      </w:r>
      <w:r w:rsidR="00C81C6D">
        <w:rPr>
          <w:rFonts w:cs="Arial"/>
          <w:color w:val="000000"/>
          <w:szCs w:val="18"/>
          <w:shd w:val="clear" w:color="auto" w:fill="FFFFFF"/>
          <w:lang w:val="en-US" w:eastAsia="it-IT"/>
        </w:rPr>
        <w:fldChar w:fldCharType="begin" w:fldLock="1"/>
      </w:r>
      <w:r w:rsidR="001C407A">
        <w:rPr>
          <w:rFonts w:cs="Arial"/>
          <w:color w:val="000000"/>
          <w:szCs w:val="18"/>
          <w:shd w:val="clear" w:color="auto" w:fill="FFFFFF"/>
          <w:lang w:val="en-US" w:eastAsia="it-IT"/>
        </w:rPr>
        <w:instrText>ADDIN CSL_CITATION {"citationItems":[{"id":"ITEM-1","itemData":{"DOI":"10.1016/j.biortech.2013.05.096","ISSN":"18732976","abstract":"The study investigated the growth characteristics of environmental algal strain, Chlorella, in the modified Zarrouk medium and its anaerobic co-digestion with waste activated sludge (WAS). Analysis of extracellular polymeric substances (EPS) in algal culture and WAS indicated that Chlorella secreted more EPS into the surrounding liquid than formed floc-associated EPS as in activated sludge. Mesophilic anaerobic digestion of algae alone required extended digestion period to produce methane, with biogas yield at 262mL/gVSfed after 45days of digestion. When algae was co-digested with varying amounts of WAS, 59-96% in mass, not only biogas yield of microalgae improved but the gas phase was reached more quickly. The dewaterability of co-digestion products were also better than two controls digesting WAS or algae only. These results suggest that anaerobic co-digestion of algae and sludge improves the digestibility of microalgae and could also bring synergistic effects on the dewaterability of digested products for existing anaerobic digesters. © 2013 Elsevier Ltd.","author":[{"dropping-particle":"","family":"Wang","given":"Meng","non-dropping-particle":"","parse-names":false,"suffix":""},{"dropping-particle":"","family":"Sahu","given":"Ashish K.","non-dropping-particle":"","parse-names":false,"suffix":""},{"dropping-particle":"","family":"Rusten","given":"Bjørn","non-dropping-particle":"","parse-names":false,"suffix":""},{"dropping-particle":"","family":"Park","given":"Chul","non-dropping-particle":"","parse-names":false,"suffix":""}],"container-title":"Bioresource Technology","id":"ITEM-1","issued":{"date-parts":[["2013"]]},"page":"585-590","publisher":"Elsevier Ltd","title":"Anaerobic co-digestion of microalgae Chlorella sp. and waste activated sludge","type":"article-journal","volume":"142"},"uris":["http://www.mendeley.com/documents/?uuid=9ef4e048-7674-3d00-b45f-4ee9e9244d20","http://www.mendeley.com/documents/?uuid=9c5c7708-d4ae-4a41-8392-58168fae83d1"]}],"mendeley":{"formattedCitation":"(Wang et al., 2013)","plainTextFormattedCitation":"(Wang et al., 2013)","previouslyFormattedCitation":"(Wang et al., 2013)"},"properties":{"noteIndex":0},"schema":"https://github.com/citation-style-language/schema/raw/master/csl-citation.json"}</w:instrText>
      </w:r>
      <w:r w:rsidR="00C81C6D">
        <w:rPr>
          <w:rFonts w:cs="Arial"/>
          <w:color w:val="000000"/>
          <w:szCs w:val="18"/>
          <w:shd w:val="clear" w:color="auto" w:fill="FFFFFF"/>
          <w:lang w:val="en-US" w:eastAsia="it-IT"/>
        </w:rPr>
        <w:fldChar w:fldCharType="separate"/>
      </w:r>
      <w:r w:rsidR="00C81C6D" w:rsidRPr="00C81C6D">
        <w:rPr>
          <w:rFonts w:cs="Arial"/>
          <w:noProof/>
          <w:color w:val="000000"/>
          <w:szCs w:val="18"/>
          <w:shd w:val="clear" w:color="auto" w:fill="FFFFFF"/>
          <w:lang w:val="en-US" w:eastAsia="it-IT"/>
        </w:rPr>
        <w:t>(Wang et al., 2013)</w:t>
      </w:r>
      <w:r w:rsidR="00C81C6D">
        <w:rPr>
          <w:rFonts w:cs="Arial"/>
          <w:color w:val="000000"/>
          <w:szCs w:val="18"/>
          <w:shd w:val="clear" w:color="auto" w:fill="FFFFFF"/>
          <w:lang w:val="en-US" w:eastAsia="it-IT"/>
        </w:rPr>
        <w:fldChar w:fldCharType="end"/>
      </w:r>
      <w:r w:rsidR="00B82904">
        <w:rPr>
          <w:rFonts w:cs="Arial"/>
          <w:color w:val="000000"/>
          <w:szCs w:val="18"/>
          <w:shd w:val="clear" w:color="auto" w:fill="FFFFFF"/>
          <w:lang w:val="en-US" w:eastAsia="it-IT"/>
        </w:rPr>
        <w:t>,</w:t>
      </w:r>
      <w:r w:rsidR="00C81C6D">
        <w:rPr>
          <w:rFonts w:cs="Arial"/>
          <w:color w:val="000000"/>
          <w:szCs w:val="18"/>
          <w:shd w:val="clear" w:color="auto" w:fill="FFFFFF"/>
          <w:lang w:val="en-US" w:eastAsia="it-IT"/>
        </w:rPr>
        <w:t xml:space="preserve"> </w:t>
      </w:r>
      <w:r w:rsidRPr="00B82904">
        <w:rPr>
          <w:rFonts w:cs="Arial"/>
          <w:color w:val="000000"/>
          <w:szCs w:val="18"/>
          <w:shd w:val="clear" w:color="auto" w:fill="FFFFFF"/>
          <w:lang w:val="en-US" w:eastAsia="it-IT"/>
        </w:rPr>
        <w:t xml:space="preserve">have gained a lot of attention. They are photosynthetic prokaryotic or eukaryotic microorganisms capable of growing rapidly and living in harsh conditions thanks to their simple single-cell or multicellular structure and can be found in both marine and freshwater environments. To optimally exploit these characteristics anaerobic digestion (AD) as the first step for biofuel production represents a good alternative </w:t>
      </w:r>
      <w:r w:rsidR="00C81C6D">
        <w:rPr>
          <w:rFonts w:cs="Arial"/>
          <w:color w:val="000000"/>
          <w:szCs w:val="18"/>
          <w:shd w:val="clear" w:color="auto" w:fill="FFFFFF"/>
          <w:lang w:val="en-US" w:eastAsia="it-IT"/>
        </w:rPr>
        <w:fldChar w:fldCharType="begin" w:fldLock="1"/>
      </w:r>
      <w:r w:rsidR="001C407A">
        <w:rPr>
          <w:rFonts w:cs="Arial"/>
          <w:color w:val="000000"/>
          <w:szCs w:val="18"/>
          <w:shd w:val="clear" w:color="auto" w:fill="FFFFFF"/>
          <w:lang w:val="en-US" w:eastAsia="it-IT"/>
        </w:rPr>
        <w:instrText>ADDIN CSL_CITATION {"citationItems":[{"id":"ITEM-1","itemData":{"author":[{"dropping-particle":"","family":"Bruno Sialve; Nicolas Bernet; Olivier Bernard","given":"","non-dropping-particle":"","parse-names":false,"suffix":""}],"container-title":"Biotechnology Advances","id":"ITEM-1","issued":{"date-parts":[["2009","3"]]},"page":"490-416","title":"Anaerobic digestion of microalgae as a necessary step to make microalgal biodiesel sustainable","type":"article-journal","volume":"27"},"uris":["http://www.mendeley.com/documents/?uuid=a1ff7902-9aa7-3b59-b7ef-5d09b509ec83","http://www.mendeley.com/documents/?uuid=d653b64a-5817-4d39-b5e6-39a55286dd1e"]}],"mendeley":{"formattedCitation":"(Bruno Sialve; Nicolas Bernet; Olivier Bernard, 2009)","manualFormatting":"(Sialve et al., 2009)","plainTextFormattedCitation":"(Bruno Sialve; Nicolas Bernet; Olivier Bernard, 2009)","previouslyFormattedCitation":"(Bruno Sialve; Nicolas Bernet; Olivier Bernard, 2009)"},"properties":{"noteIndex":0},"schema":"https://github.com/citation-style-language/schema/raw/master/csl-citation.json"}</w:instrText>
      </w:r>
      <w:r w:rsidR="00C81C6D">
        <w:rPr>
          <w:rFonts w:cs="Arial"/>
          <w:color w:val="000000"/>
          <w:szCs w:val="18"/>
          <w:shd w:val="clear" w:color="auto" w:fill="FFFFFF"/>
          <w:lang w:val="en-US" w:eastAsia="it-IT"/>
        </w:rPr>
        <w:fldChar w:fldCharType="separate"/>
      </w:r>
      <w:r w:rsidR="00C81C6D" w:rsidRPr="00C81C6D">
        <w:rPr>
          <w:rFonts w:cs="Arial"/>
          <w:noProof/>
          <w:color w:val="000000"/>
          <w:szCs w:val="18"/>
          <w:shd w:val="clear" w:color="auto" w:fill="FFFFFF"/>
          <w:lang w:val="en-US" w:eastAsia="it-IT"/>
        </w:rPr>
        <w:t>(Sialve</w:t>
      </w:r>
      <w:r w:rsidR="00C81C6D">
        <w:rPr>
          <w:rFonts w:cs="Arial"/>
          <w:noProof/>
          <w:color w:val="000000"/>
          <w:szCs w:val="18"/>
          <w:shd w:val="clear" w:color="auto" w:fill="FFFFFF"/>
          <w:lang w:val="en-US" w:eastAsia="it-IT"/>
        </w:rPr>
        <w:t xml:space="preserve"> et al.,</w:t>
      </w:r>
      <w:r w:rsidR="00C81C6D" w:rsidRPr="00C81C6D">
        <w:rPr>
          <w:rFonts w:cs="Arial"/>
          <w:noProof/>
          <w:color w:val="000000"/>
          <w:szCs w:val="18"/>
          <w:shd w:val="clear" w:color="auto" w:fill="FFFFFF"/>
          <w:lang w:val="en-US" w:eastAsia="it-IT"/>
        </w:rPr>
        <w:t xml:space="preserve"> 2009)</w:t>
      </w:r>
      <w:r w:rsidR="00C81C6D">
        <w:rPr>
          <w:rFonts w:cs="Arial"/>
          <w:color w:val="000000"/>
          <w:szCs w:val="18"/>
          <w:shd w:val="clear" w:color="auto" w:fill="FFFFFF"/>
          <w:lang w:val="en-US" w:eastAsia="it-IT"/>
        </w:rPr>
        <w:fldChar w:fldCharType="end"/>
      </w:r>
      <w:r w:rsidRPr="00B82904">
        <w:rPr>
          <w:rFonts w:cs="Arial"/>
          <w:color w:val="000000"/>
          <w:szCs w:val="18"/>
          <w:shd w:val="clear" w:color="auto" w:fill="FFFFFF"/>
          <w:lang w:val="en-US" w:eastAsia="it-IT"/>
        </w:rPr>
        <w:t>, since the direct extrapolation of methane from microalgae allows the use of standard and more efficient processes for fuel production and, together with the incentives earnable from the exploitation of green energy production processes as AD, it drastically reducing the total cost of the plant</w:t>
      </w:r>
      <w:r w:rsidR="00A8568C" w:rsidRPr="008E5050">
        <w:rPr>
          <w:iCs/>
        </w:rPr>
        <w:t>.</w:t>
      </w:r>
      <w:r w:rsidR="00DE2312" w:rsidRPr="008E5050">
        <w:rPr>
          <w:iCs/>
        </w:rPr>
        <w:t xml:space="preserve"> A prospective way to </w:t>
      </w:r>
      <w:r w:rsidR="008D661A" w:rsidRPr="008E5050">
        <w:rPr>
          <w:iCs/>
        </w:rPr>
        <w:t>valorise</w:t>
      </w:r>
      <w:r w:rsidR="00DE2312" w:rsidRPr="008E5050">
        <w:rPr>
          <w:iCs/>
        </w:rPr>
        <w:t xml:space="preserve"> the biomass</w:t>
      </w:r>
      <w:r w:rsidR="008D661A" w:rsidRPr="008E5050">
        <w:rPr>
          <w:iCs/>
        </w:rPr>
        <w:t>es as biogas feedstock is the chemical conversion in high-added valuable chemicals</w:t>
      </w:r>
      <w:r w:rsidR="00A53CD1" w:rsidRPr="008E5050">
        <w:rPr>
          <w:iCs/>
        </w:rPr>
        <w:t xml:space="preserve"> as bio-methanol</w:t>
      </w:r>
      <w:r w:rsidR="00EF29D7" w:rsidRPr="008E5050">
        <w:rPr>
          <w:iCs/>
        </w:rPr>
        <w:t>.</w:t>
      </w:r>
      <w:r w:rsidR="00A53CD1" w:rsidRPr="008E5050">
        <w:rPr>
          <w:iCs/>
        </w:rPr>
        <w:t xml:space="preserve"> </w:t>
      </w:r>
      <w:r w:rsidR="008526E5" w:rsidRPr="008E5050">
        <w:rPr>
          <w:iCs/>
        </w:rPr>
        <w:t xml:space="preserve">Methanol is the raw chemical to produce formaldehyde, methyl-tert-butyl ether (MTBE), acetic acid and dimethyl-ether (DME) </w:t>
      </w:r>
      <w:r w:rsidR="00594A8E" w:rsidRPr="008E5050">
        <w:rPr>
          <w:iCs/>
        </w:rPr>
        <w:fldChar w:fldCharType="begin" w:fldLock="1"/>
      </w:r>
      <w:r w:rsidR="00650007">
        <w:rPr>
          <w:iCs/>
        </w:rPr>
        <w:instrText>ADDIN CSL_CITATION {"citationItems":[{"id":"ITEM-1","itemData":{"DOI":"10.1002/anie.200462121","ISSN":"14337851","PMID":"15800867","abstract":"(Chemical Equation Presented) Methanol, a convenient liquid fuel and raw material for synthetic hydrocarbons, offers an alternative to depleting sources of fossil fuels and can be produced, for example, by reacting H2 with CO2 from industrial effluents or the atmosphere - good news with regards to global-warming concerns. This Essay discusses various aspects of current and alternative energy sources, with a particular focus on the \"methanol economy\" (see scheme). © 2005 Wiley-VCH Verlag GmbH &amp; Co. KGaA.","author":[{"dropping-particle":"","family":"Olah","given":"George A.","non-dropping-particle":"","parse-names":false,"suffix":""}],"container-title":"Angewandte Chemie - International Edition","id":"ITEM-1","issue":"18","issued":{"date-parts":[["2005"]]},"page":"2636-2639","title":"Beyond oil and gas: The methanol economy","type":"article-journal","volume":"44"},"uris":["http://www.mendeley.com/documents/?uuid=cde2ef79-7ab1-4434-b8e1-26eec4d73b70","http://www.mendeley.com/documents/?uuid=ad6a5afe-ea73-403e-89c7-9b16eb37b061"]}],"mendeley":{"formattedCitation":"(Olah, 2005)","plainTextFormattedCitation":"(Olah, 2005)","previouslyFormattedCitation":"(Olah, 2005)"},"properties":{"noteIndex":0},"schema":"https://github.com/citation-style-language/schema/raw/master/csl-citation.json"}</w:instrText>
      </w:r>
      <w:r w:rsidR="00594A8E" w:rsidRPr="008E5050">
        <w:rPr>
          <w:iCs/>
        </w:rPr>
        <w:fldChar w:fldCharType="separate"/>
      </w:r>
      <w:r w:rsidR="00C81C6D" w:rsidRPr="00C81C6D">
        <w:rPr>
          <w:iCs/>
          <w:noProof/>
        </w:rPr>
        <w:t>(Olah, 2005)</w:t>
      </w:r>
      <w:r w:rsidR="00594A8E" w:rsidRPr="008E5050">
        <w:rPr>
          <w:iCs/>
        </w:rPr>
        <w:fldChar w:fldCharType="end"/>
      </w:r>
      <w:r w:rsidR="008526E5" w:rsidRPr="008E5050">
        <w:rPr>
          <w:iCs/>
        </w:rPr>
        <w:t xml:space="preserve">. Furthermore, in the last years, this molecule is increasingly </w:t>
      </w:r>
      <w:r w:rsidR="00C50A31" w:rsidRPr="008E5050">
        <w:rPr>
          <w:iCs/>
        </w:rPr>
        <w:t>considered</w:t>
      </w:r>
      <w:r w:rsidR="008526E5" w:rsidRPr="008E5050">
        <w:rPr>
          <w:iCs/>
        </w:rPr>
        <w:t xml:space="preserve"> as H</w:t>
      </w:r>
      <w:r w:rsidR="00594A8E" w:rsidRPr="008E5050">
        <w:rPr>
          <w:iCs/>
          <w:vertAlign w:val="subscript"/>
        </w:rPr>
        <w:t>2</w:t>
      </w:r>
      <w:r w:rsidR="008526E5" w:rsidRPr="008E5050">
        <w:rPr>
          <w:iCs/>
        </w:rPr>
        <w:t xml:space="preserve"> storage: CH</w:t>
      </w:r>
      <w:r w:rsidR="00594A8E" w:rsidRPr="008E5050">
        <w:rPr>
          <w:iCs/>
          <w:vertAlign w:val="subscript"/>
        </w:rPr>
        <w:t>3</w:t>
      </w:r>
      <w:r w:rsidR="008526E5" w:rsidRPr="008E5050">
        <w:rPr>
          <w:iCs/>
        </w:rPr>
        <w:t>OH-H</w:t>
      </w:r>
      <w:r w:rsidR="00594A8E" w:rsidRPr="008E5050">
        <w:rPr>
          <w:iCs/>
          <w:vertAlign w:val="subscript"/>
        </w:rPr>
        <w:t>2</w:t>
      </w:r>
      <w:r w:rsidR="008526E5" w:rsidRPr="008E5050">
        <w:rPr>
          <w:iCs/>
        </w:rPr>
        <w:t>O mixtures can be converted back to H</w:t>
      </w:r>
      <w:r w:rsidR="00594A8E" w:rsidRPr="008E5050">
        <w:rPr>
          <w:iCs/>
          <w:vertAlign w:val="subscript"/>
        </w:rPr>
        <w:t>2</w:t>
      </w:r>
      <w:r w:rsidR="008526E5" w:rsidRPr="008E5050">
        <w:rPr>
          <w:iCs/>
        </w:rPr>
        <w:t xml:space="preserve"> with a reforming process</w:t>
      </w:r>
      <w:r w:rsidR="00CB18EC" w:rsidRPr="008E5050">
        <w:rPr>
          <w:iCs/>
        </w:rPr>
        <w:t xml:space="preserve"> </w:t>
      </w:r>
      <w:r w:rsidR="00594A8E" w:rsidRPr="008E5050">
        <w:rPr>
          <w:iCs/>
        </w:rPr>
        <w:fldChar w:fldCharType="begin" w:fldLock="1"/>
      </w:r>
      <w:r w:rsidR="00650007">
        <w:rPr>
          <w:iCs/>
        </w:rPr>
        <w:instrText>ADDIN CSL_CITATION {"citationItems":[{"id":"ITEM-1","itemData":{"DOI":"10.1016/j.ecmx.2020.100051","ISSN":"25901745","abstract":"Steelmaking is responsible for around 7% of the global emissions of carbon dioxide and new steelmaking processes are necessary to reach international climate targets. As a response to this, steelmaking processes based on the direct reduction of iron ore by hydrogen produced via water electrolysis powered by renewable electricity have been suggested. Here we present a novel variant of hydrogen-based steelmaking incorporating methanol as a hydrogen and carbon carrier together with high-temperature co-electrolysis of water and carbon dioxide and biomass oxy-fuel combustion. The energy and mass balances of the process are analyzed. It is found that this methanol-based direct reduction process may potentially offer a number of process-related advantages over a process based on pure hydrogen, featuring several process integration options. Notably, the electricity and total energy use of the steelmaking process could be reduced by up to 25% and 8% compared to a reference pure-hydrogen process, respectively. The amount of high-temperature (&gt;200 °C) heat that must be supplied to the process could also be reduced by up to approximately 34%, although the demand for medium-temperature heat is substantially increased. Furthermore, the suggested process could allow for the production of high-quality direct reduced iron with appropriate carburization to alleviate downstream processing in an electric arc furnace, which is not the case for a process based on pure hydrogen.","author":[{"dropping-particle":"","family":"Andersson","given":"Joakim","non-dropping-particle":"","parse-names":false,"suffix":""},{"dropping-particle":"","family":"Krüger","given":"Andries","non-dropping-particle":"","parse-names":false,"suffix":""},{"dropping-particle":"","family":"Grönkvist","given":"Stefan","non-dropping-particle":"","parse-names":false,"suffix":""}],"container-title":"Energy Conversion and Management: X","id":"ITEM-1","issue":"April","issued":{"date-parts":[["2020"]]},"page":"100051","publisher":"Elsevier","title":"Methanol as a carrier of hydrogen and carbon in fossil-free production of direct reduced iron","type":"article-journal","volume":"7"},"uris":["http://www.mendeley.com/documents/?uuid=275f73ee-51b3-45cf-9886-0ffef13aa4f7","http://www.mendeley.com/documents/?uuid=fcda82ef-591c-4208-9881-7b4461ced800"]}],"mendeley":{"formattedCitation":"(Andersson et al., 2020)","plainTextFormattedCitation":"(Andersson et al., 2020)","previouslyFormattedCitation":"(Andersson et al., 2020)"},"properties":{"noteIndex":0},"schema":"https://github.com/citation-style-language/schema/raw/master/csl-citation.json"}</w:instrText>
      </w:r>
      <w:r w:rsidR="00594A8E" w:rsidRPr="008E5050">
        <w:rPr>
          <w:iCs/>
        </w:rPr>
        <w:fldChar w:fldCharType="separate"/>
      </w:r>
      <w:r w:rsidR="00C81C6D" w:rsidRPr="00C81C6D">
        <w:rPr>
          <w:iCs/>
          <w:noProof/>
        </w:rPr>
        <w:t>(Andersson et al., 2020)</w:t>
      </w:r>
      <w:r w:rsidR="00594A8E" w:rsidRPr="008E5050">
        <w:rPr>
          <w:iCs/>
        </w:rPr>
        <w:fldChar w:fldCharType="end"/>
      </w:r>
      <w:r w:rsidR="00594A8E" w:rsidRPr="008E5050">
        <w:rPr>
          <w:iCs/>
        </w:rPr>
        <w:t>.</w:t>
      </w:r>
      <w:r w:rsidR="00284A8C">
        <w:rPr>
          <w:iCs/>
        </w:rPr>
        <w:t xml:space="preserve"> </w:t>
      </w:r>
      <w:r w:rsidR="008526E5" w:rsidRPr="008E5050">
        <w:rPr>
          <w:iCs/>
        </w:rPr>
        <w:t>Methanol fuel is potentially important but today is negligible, about 2%</w:t>
      </w:r>
      <w:r w:rsidR="00100DBA" w:rsidRPr="008E5050">
        <w:rPr>
          <w:iCs/>
        </w:rPr>
        <w:t xml:space="preserve"> </w:t>
      </w:r>
      <w:r w:rsidR="0073283A" w:rsidRPr="008E5050">
        <w:rPr>
          <w:iCs/>
        </w:rPr>
        <w:fldChar w:fldCharType="begin" w:fldLock="1"/>
      </w:r>
      <w:r w:rsidR="00C81C6D">
        <w:rPr>
          <w:iCs/>
        </w:rPr>
        <w:instrText>ADDIN CSL_CITATION {"citationItems":[{"id":"ITEM-1","itemData":{"abstract":"EMPA Dübendorf","author":[{"dropping-particle":"","family":"Althaus","given":"Hj","non-dropping-particle":"","parse-names":false,"suffix":""},{"dropping-particle":"","family":"Chudacoff","given":"Mike","non-dropping-particle":"","parse-names":false,"suffix":""},{"dropping-particle":"","family":"Hischier","given":"Roland","non-dropping-particle":"","parse-names":false,"suffix":""},{"dropping-particle":"","family":"Jungbluth","given":"Niels","non-dropping-particle":"","parse-names":false,"suffix":""},{"dropping-particle":"","family":"Osses","given":"Maggie","non-dropping-particle":"","parse-names":false,"suffix":""},{"dropping-particle":"","family":"Primas","given":"Alex","non-dropping-particle":"","parse-names":false,"suffix":""},{"dropping-particle":"","family":"Hellweg","given":"Stefanie","non-dropping-particle":"","parse-names":false,"suffix":""}],"container-title":"Final report ecoinvent data …","id":"ITEM-1","issue":"8","issued":{"date-parts":[["2007"]]},"page":"1-957","title":"Life cycle inventories of chemicals. ecoinvent report No.8, v2.0.","type":"article-journal"},"uris":["http://www.mendeley.com/documents/?uuid=a312d88d-669a-4755-856c-58a312b35018","http://www.mendeley.com/documents/?uuid=5eb75939-18a6-4282-bbec-6ed320d26c16"]}],"mendeley":{"formattedCitation":"(Althaus et al., 2007)","plainTextFormattedCitation":"(Althaus et al., 2007)","previouslyFormattedCitation":"(Althaus et al., 2007)"},"properties":{"noteIndex":0},"schema":"https://github.com/citation-style-language/schema/raw/master/csl-citation.json"}</w:instrText>
      </w:r>
      <w:r w:rsidR="0073283A" w:rsidRPr="008E5050">
        <w:rPr>
          <w:iCs/>
        </w:rPr>
        <w:fldChar w:fldCharType="separate"/>
      </w:r>
      <w:r w:rsidR="00C81C6D" w:rsidRPr="00C81C6D">
        <w:rPr>
          <w:iCs/>
          <w:noProof/>
        </w:rPr>
        <w:t>(Althaus et al., 2007)</w:t>
      </w:r>
      <w:r w:rsidR="0073283A" w:rsidRPr="008E5050">
        <w:rPr>
          <w:iCs/>
        </w:rPr>
        <w:fldChar w:fldCharType="end"/>
      </w:r>
      <w:r w:rsidR="00CB18EC" w:rsidRPr="008E5050">
        <w:rPr>
          <w:iCs/>
        </w:rPr>
        <w:t>.</w:t>
      </w:r>
      <w:r w:rsidR="008526E5" w:rsidRPr="008E5050">
        <w:rPr>
          <w:iCs/>
        </w:rPr>
        <w:t>According to Zhen et al., the use of methanol as fuels with an adaptive engine with a compression ratio of 10:1; CO, CO</w:t>
      </w:r>
      <w:r w:rsidR="008526E5">
        <w:rPr>
          <w:vertAlign w:val="subscript"/>
        </w:rPr>
        <w:t>2</w:t>
      </w:r>
      <w:r w:rsidR="008526E5" w:rsidRPr="008E5050">
        <w:rPr>
          <w:iCs/>
        </w:rPr>
        <w:t>, and NO</w:t>
      </w:r>
      <w:r w:rsidR="008526E5">
        <w:rPr>
          <w:vertAlign w:val="subscript"/>
        </w:rPr>
        <w:t>x</w:t>
      </w:r>
      <w:r w:rsidR="008526E5" w:rsidRPr="008E5050">
        <w:rPr>
          <w:iCs/>
        </w:rPr>
        <w:t xml:space="preserve"> emissions were reduced by about 37%, 30%, and 22% respectively compared to standard fuel </w:t>
      </w:r>
      <w:r w:rsidR="00CB18EC" w:rsidRPr="008E5050">
        <w:rPr>
          <w:iCs/>
        </w:rPr>
        <w:fldChar w:fldCharType="begin" w:fldLock="1"/>
      </w:r>
      <w:r w:rsidR="00C81C6D">
        <w:rPr>
          <w:iCs/>
        </w:rPr>
        <w:instrText>ADDIN CSL_CITATION {"citationItems":[{"id":"ITEM-1","itemData":{"DOI":"10.1016/j.rser.2015.07.083","ISSN":"18790690","abstract":"Abstract Methanol is an alternative, renewable, environmentally and economically attractive fuel; it is considered to be one of the most favorable fuels for conventional fossil-based fuels. Methanol has been recently used as an alternative to conventional fuels for internal combustion (IC) engines in order to satisfy some environmental and economical concerns. Because of a number of relatively large research projects that have been ongoing recently, much progress has been made that is worth reporting. This paper systematically describes the methanol productions, including the productions from coal, natural gas, coke-oven gas, hydrogen, biomass etc. It introduces the potentials of methanol as a renewable resource taking into account the world supply and demand, economic benefits and the effects on human health and the environment. Thirteen methods of application such as methanol/gasoline, methanol/diesel blends which can be used on the IC engines are summarized. Finally, this paper puts forward some new suggestions on the weakness in the researches of methanol engine.","author":[{"dropping-particle":"","family":"Zhen","given":"Xudong","non-dropping-particle":"","parse-names":false,"suffix":""},{"dropping-particle":"","family":"Wang","given":"Yang","non-dropping-particle":"","parse-names":false,"suffix":""}],"container-title":"Renewable and Sustainable Energy Reviews","id":"ITEM-1","issued":{"date-parts":[["2015"]]},"page":"477-493","publisher":"Elsevier","title":"An overview of methanol as an internal combustion engine fuel","type":"article-journal","volume":"52"},"uris":["http://www.mendeley.com/documents/?uuid=522cbc2d-96fd-4203-a9f0-94eaad811594","http://www.mendeley.com/documents/?uuid=00ee910f-3a5b-4337-bdfe-01702209eddc"]}],"mendeley":{"formattedCitation":"(Zhen and Wang, 2015)","plainTextFormattedCitation":"(Zhen and Wang, 2015)","previouslyFormattedCitation":"(Zhen and Wang, 2015)"},"properties":{"noteIndex":0},"schema":"https://github.com/citation-style-language/schema/raw/master/csl-citation.json"}</w:instrText>
      </w:r>
      <w:r w:rsidR="00CB18EC" w:rsidRPr="008E5050">
        <w:rPr>
          <w:iCs/>
        </w:rPr>
        <w:fldChar w:fldCharType="separate"/>
      </w:r>
      <w:r w:rsidR="00C81C6D" w:rsidRPr="00C81C6D">
        <w:rPr>
          <w:iCs/>
          <w:noProof/>
        </w:rPr>
        <w:t>(Zhen and Wang, 2015)</w:t>
      </w:r>
      <w:r w:rsidR="00CB18EC" w:rsidRPr="008E5050">
        <w:rPr>
          <w:iCs/>
        </w:rPr>
        <w:fldChar w:fldCharType="end"/>
      </w:r>
      <w:r w:rsidR="00CB18EC" w:rsidRPr="008E5050">
        <w:rPr>
          <w:iCs/>
        </w:rPr>
        <w:t>.</w:t>
      </w:r>
      <w:r w:rsidR="00284A8C">
        <w:rPr>
          <w:iCs/>
        </w:rPr>
        <w:t xml:space="preserve"> </w:t>
      </w:r>
      <w:r w:rsidR="009A6D74" w:rsidRPr="009A6D74">
        <w:rPr>
          <w:iCs/>
        </w:rPr>
        <w:t xml:space="preserve">Plants that produce methanol from microalgae do not exist today. </w:t>
      </w:r>
      <w:r w:rsidR="009A6D74" w:rsidRPr="009A6D74">
        <w:rPr>
          <w:iCs/>
        </w:rPr>
        <w:lastRenderedPageBreak/>
        <w:t>However, because this technology is always evolving, the goal of this work is to give a conceptual examination of this process that demonstrates its potential and trustworthiness on an industrial scale</w:t>
      </w:r>
      <w:r w:rsidR="009A6D74">
        <w:rPr>
          <w:iCs/>
        </w:rPr>
        <w:t xml:space="preserve">. </w:t>
      </w:r>
    </w:p>
    <w:p w14:paraId="68D26B83" w14:textId="2937C139" w:rsidR="00600535" w:rsidRDefault="00E6555C" w:rsidP="00600535">
      <w:pPr>
        <w:pStyle w:val="CETHeading1"/>
        <w:rPr>
          <w:lang w:val="en-GB"/>
        </w:rPr>
      </w:pPr>
      <w:r>
        <w:rPr>
          <w:lang w:val="en-GB"/>
        </w:rPr>
        <w:t>Materials and methods</w:t>
      </w:r>
    </w:p>
    <w:p w14:paraId="5AFC7BDA" w14:textId="66FEE0C1" w:rsidR="00CA097D" w:rsidRPr="00CA097D" w:rsidRDefault="00226563" w:rsidP="00226563">
      <w:pPr>
        <w:pStyle w:val="CETheadingx"/>
      </w:pPr>
      <w:r>
        <w:t>Biogas production model</w:t>
      </w:r>
    </w:p>
    <w:p w14:paraId="28BA8FBD" w14:textId="0EFE4DFA" w:rsidR="00CA097D" w:rsidRDefault="00CA097D" w:rsidP="00D87A69">
      <w:pPr>
        <w:pStyle w:val="CETReferencetext"/>
        <w:ind w:left="0" w:firstLine="0"/>
      </w:pPr>
      <w:r>
        <w:t xml:space="preserve">The anaerobic digestion of microalgae involves their degradation by microorganisms in the absence of molecular oxygen to give a wide range of products, </w:t>
      </w:r>
      <w:r w:rsidR="00EE31BF">
        <w:t>by-products,</w:t>
      </w:r>
      <w:r>
        <w:t xml:space="preserve"> and reaction intermediates. The process is divided into four reactive stages</w:t>
      </w:r>
      <w:r w:rsidR="00650007">
        <w:t xml:space="preserve"> (Hydrolysis, Acidogenesis, Acetogenesis and Methanogenesis) through which the </w:t>
      </w:r>
      <w:r w:rsidR="005635BA">
        <w:t xml:space="preserve">raw material undergoes </w:t>
      </w:r>
      <w:r w:rsidR="00CB1BD0">
        <w:t>breakdown producing liquid intermediates (e.g., ammonia, potassium and phosphorous) and the biogas.</w:t>
      </w:r>
    </w:p>
    <w:p w14:paraId="3E1BF3F0" w14:textId="5D3589CA" w:rsidR="00CA097D" w:rsidRDefault="00CA097D" w:rsidP="00D87A69">
      <w:pPr>
        <w:pStyle w:val="CETReferencetext"/>
        <w:ind w:left="0" w:firstLine="0"/>
      </w:pPr>
      <w:r>
        <w:t xml:space="preserve">From a global point of view, </w:t>
      </w:r>
      <w:r w:rsidR="00CB1BD0">
        <w:t>biogas is mainly</w:t>
      </w:r>
      <w:r>
        <w:t xml:space="preserve"> composed of methane (</w:t>
      </w:r>
      <w:r w:rsidR="00CB1BD0">
        <w:t>45</w:t>
      </w:r>
      <w:r>
        <w:t>-70%</w:t>
      </w:r>
      <w:r w:rsidR="00F15E65">
        <w:t>v/v</w:t>
      </w:r>
      <w:r>
        <w:t>), carbon dioxide (</w:t>
      </w:r>
      <w:r w:rsidR="00CB1BD0">
        <w:t>25</w:t>
      </w:r>
      <w:r>
        <w:t>-45%</w:t>
      </w:r>
      <w:r w:rsidR="00F15E65">
        <w:t>v/v</w:t>
      </w:r>
      <w:r>
        <w:t>),</w:t>
      </w:r>
      <w:r w:rsidR="00D87A69">
        <w:t xml:space="preserve"> </w:t>
      </w:r>
      <w:r>
        <w:t>hydrogen (&lt;2%</w:t>
      </w:r>
      <w:r w:rsidR="00F15E65">
        <w:t>v/v</w:t>
      </w:r>
      <w:r>
        <w:t>) and hydrogen sulphide (&lt;3.5%</w:t>
      </w:r>
      <w:r w:rsidR="00F15E65">
        <w:t>v/v</w:t>
      </w:r>
      <w:r>
        <w:t xml:space="preserve">). The </w:t>
      </w:r>
      <w:r w:rsidR="00CB1BD0">
        <w:t xml:space="preserve">semi-liquid product, known as </w:t>
      </w:r>
      <w:r>
        <w:t>digestate</w:t>
      </w:r>
      <w:r w:rsidR="00CB1BD0">
        <w:t xml:space="preserve">, </w:t>
      </w:r>
      <w:r>
        <w:t>is obtained at the end of digestion</w:t>
      </w:r>
      <w:r w:rsidR="00CB1BD0">
        <w:t xml:space="preserve"> and,</w:t>
      </w:r>
      <w:r>
        <w:t xml:space="preserve"> after separation from digestive sludge and various </w:t>
      </w:r>
      <w:r w:rsidR="00CB1BD0">
        <w:t xml:space="preserve">bacterial </w:t>
      </w:r>
      <w:r>
        <w:t>residues</w:t>
      </w:r>
      <w:r w:rsidR="00CB1BD0">
        <w:t xml:space="preserve">, </w:t>
      </w:r>
      <w:r>
        <w:t>is ideal for the cultivation of microalgal species, as it is rich in nutrients and micronutrients. The biomethane potential of microalgae is much higher than terrestrial plants, reaching values of 360 mL CH</w:t>
      </w:r>
      <w:r w:rsidR="00C96BEA">
        <w:rPr>
          <w:vertAlign w:val="subscript"/>
        </w:rPr>
        <w:t>4</w:t>
      </w:r>
      <w:r>
        <w:t xml:space="preserve"> g</w:t>
      </w:r>
      <w:r w:rsidR="00112164">
        <w:rPr>
          <w:vertAlign w:val="superscript"/>
        </w:rPr>
        <w:t>-1</w:t>
      </w:r>
      <w:r>
        <w:t xml:space="preserve"> VS </w:t>
      </w:r>
      <w:r w:rsidR="00CB1BD0">
        <w:fldChar w:fldCharType="begin" w:fldLock="1"/>
      </w:r>
      <w:r w:rsidR="001C407A">
        <w:instrText>ADDIN CSL_CITATION {"citationItems":[{"id":"ITEM-1","itemData":{"DOI":"10.1016/j.renene.2017.02.085","ISSN":"18790682","abstract":"Microalgae are gaining popularity as a source of biodiesel. Recycling fertilizer nutrients is critical to sustain large-scale biodiesel production because the global supply of surplus fertilizer is limited. This study demonstrates that anaerobic digestion of residual algal biomass from biodiesel production can provide additional nutrients and energy. Anaerobic digestion of Chlorella sorokiniana 1412 whole cell algae (WCA), sonicated algae (SA), and SA subjected to lipid extraction (LEA) in bench-scale batch reactors operated at 30 ± 2 °C for 42 days released a considerable amount of the nitrogen and phosphorus in the algal cells. Digestion of WCA, SA, LEA released 48.1, 77.4, and 61.5% of the total algal nitrogen as NH4+-N, and 87.7, 99.4, and 93.6% of the total algal P as soluble P, respectively. The energy recovery from algae biomass was quantified through the methane yield. The biochemical methane potential of WCA, SA and LEA was 0.298, 0.388 and 0.253 L methane per gram algal volatile solids, respectively. The conversion of LEA and WCA biomass to methane was very similar (38 and 41% on a COD basis, respectively), indicating that the energy yield was not significantly lowered by extraction of the lipid fraction (which accounted for 9% of algal dry weight). Sonication improved the access of hydrolytic enzymes to algal biopolymers (compensating in part for the energy lost due to lipid extraction). The results taken as a whole indicate that anaerobic digestion of LEA can provide considerable yields of methane and soluble nutrients.","author":[{"dropping-particle":"","family":"Ayala-Parra","given":"Pedro","non-dropping-particle":"","parse-names":false,"suffix":""},{"dropping-particle":"","family":"Liu","given":"Yuanzhe","non-dropping-particle":"","parse-names":false,"suffix":""},{"dropping-particle":"","family":"Field","given":"Jim A.","non-dropping-particle":"","parse-names":false,"suffix":""},{"dropping-particle":"","family":"Sierra-Alvarez","given":"Reyes","non-dropping-particle":"","parse-names":false,"suffix":""}],"container-title":"Renewable Energy","id":"ITEM-1","issued":{"date-parts":[["2017"]]},"page":"410-416","publisher":"Elsevier Ltd","title":"Nutrient recovery and biogas generation from the anaerobic digestion of waste biomass from algal biofuel production","type":"article-journal","volume":"108"},"uris":["http://www.mendeley.com/documents/?uuid=2f5d561e-b441-39e9-8136-f03b5488757d","http://www.mendeley.com/documents/?uuid=6773d187-9d26-480a-874a-0b705a074a35"]}],"mendeley":{"formattedCitation":"(Ayala-Parra et al., 2017)","plainTextFormattedCitation":"(Ayala-Parra et al., 2017)","previouslyFormattedCitation":"(Ayala-Parra et al., 2017)"},"properties":{"noteIndex":0},"schema":"https://github.com/citation-style-language/schema/raw/master/csl-citation.json"}</w:instrText>
      </w:r>
      <w:r w:rsidR="00CB1BD0">
        <w:fldChar w:fldCharType="separate"/>
      </w:r>
      <w:r w:rsidR="00CB1BD0" w:rsidRPr="00CB1BD0">
        <w:rPr>
          <w:noProof/>
        </w:rPr>
        <w:t>(Ayala-Parra et al., 2017)</w:t>
      </w:r>
      <w:r w:rsidR="00CB1BD0">
        <w:fldChar w:fldCharType="end"/>
      </w:r>
      <w:r>
        <w:t>, and the total methane yield oscillates between 200 mL CH</w:t>
      </w:r>
      <w:r w:rsidR="00C96BEA">
        <w:rPr>
          <w:vertAlign w:val="subscript"/>
        </w:rPr>
        <w:t>4</w:t>
      </w:r>
      <w:r>
        <w:t xml:space="preserve"> g</w:t>
      </w:r>
      <w:r>
        <w:rPr>
          <w:vertAlign w:val="superscript"/>
        </w:rPr>
        <w:t>-1</w:t>
      </w:r>
      <w:r>
        <w:t xml:space="preserve">  COD to over 500 mL</w:t>
      </w:r>
      <w:r w:rsidR="00090EBC">
        <w:t xml:space="preserve"> </w:t>
      </w:r>
      <w:r>
        <w:t>CH</w:t>
      </w:r>
      <w:r w:rsidR="00090EBC">
        <w:rPr>
          <w:vertAlign w:val="subscript"/>
        </w:rPr>
        <w:t>4</w:t>
      </w:r>
      <w:r>
        <w:t xml:space="preserve"> g</w:t>
      </w:r>
      <w:r w:rsidR="00F1513D">
        <w:rPr>
          <w:vertAlign w:val="superscript"/>
        </w:rPr>
        <w:t>-1</w:t>
      </w:r>
      <w:r w:rsidR="00D87A69">
        <w:t xml:space="preserve"> </w:t>
      </w:r>
      <w:r>
        <w:t xml:space="preserve">COD </w:t>
      </w:r>
      <w:r w:rsidR="00CB1BD0">
        <w:fldChar w:fldCharType="begin" w:fldLock="1"/>
      </w:r>
      <w:r w:rsidR="001C407A">
        <w:instrText>ADDIN CSL_CITATION {"citationItems":[{"id":"ITEM-1","itemData":{"DOI":"10.1016/j.algal.2014.02.001","ISSN":"22119264","abstract":"The anaerobic digestion of microalgae is a prospective environmentally feasible option for creating a renewable source of energy for industrial and domestic needs. Microalgae anaerobic digestion is a key unit process that integrates efficiency and beneficially into the production of microalgae derived biofuels. Anaerobic digestion culminating in methane fermentation improves the economic viability of microalgae liquid biofuel production and presents an opportunity for power generation from wastewater derived microalgae. However the anaerobic digestion of microalgae biomass is not straight forward due to several technical restraints including low concentration of digestible biodegradable substrate, recalcitrant substrate constituents, cell wall degradability, low carbon to nitrogen ratio, ammonia toxicity and effects from salinity and associated metal ions.Current production methods for liquid biofuel production from microalgae produce approximately 60-70% residual biomass that is currently a byproduct. Anaerobic digestion provides biogas, but it can also provide essential nutrient recovery from lipid extracted microalgae biomass. The biogas produced from the anaerobic digestion process can be used to generate onsite electrical power or thermal heat to offset biomass processing and extraction processes. When both of these processes are integrated and operated simultaneously, the benefits to microalgae biofuel production and wastewater treatment derived energy production are increased significantly. To consider the integration of anaerobic digestion into a commercial-scale integrated microalgae production and biofuel refinery facility or wastewater treatment plant we present a review of the literature, the current state of the art and future directions for research.","author":[{"dropping-particle":"","family":"Ward","given":"A. J.","non-dropping-particle":"","parse-names":false,"suffix":""},{"dropping-particle":"","family":"Lewis","given":"D. M.","non-dropping-particle":"","parse-names":false,"suffix":""},{"dropping-particle":"","family":"Green","given":"F. B.","non-dropping-particle":"","parse-names":false,"suffix":""}],"container-title":"Algal Research","id":"ITEM-1","issue":"1","issued":{"date-parts":[["2014"]]},"page":"204-214","publisher":"Elsevier","title":"Anaerobic digestion of algae biomass: A review","type":"article","volume":"5"},"uris":["http://www.mendeley.com/documents/?uuid=a9d7e468-ba88-3bb8-9e02-fd20e4adaa2d","http://www.mendeley.com/documents/?uuid=9361d535-85e7-45f8-b46d-b83711cd9bac"]}],"mendeley":{"formattedCitation":"(Ward et al., 2014)","plainTextFormattedCitation":"(Ward et al., 2014)","previouslyFormattedCitation":"(Ward et al., 2014)"},"properties":{"noteIndex":0},"schema":"https://github.com/citation-style-language/schema/raw/master/csl-citation.json"}</w:instrText>
      </w:r>
      <w:r w:rsidR="00CB1BD0">
        <w:fldChar w:fldCharType="separate"/>
      </w:r>
      <w:r w:rsidR="00CB1BD0" w:rsidRPr="00CB1BD0">
        <w:rPr>
          <w:noProof/>
        </w:rPr>
        <w:t>(Ward et al., 2014)</w:t>
      </w:r>
      <w:r w:rsidR="00CB1BD0">
        <w:fldChar w:fldCharType="end"/>
      </w:r>
      <w:r w:rsidR="00CB1BD0">
        <w:t>.</w:t>
      </w:r>
    </w:p>
    <w:p w14:paraId="41ED67A6" w14:textId="520DDE09" w:rsidR="002068DF" w:rsidRDefault="00CA097D" w:rsidP="00E84620">
      <w:pPr>
        <w:pStyle w:val="CETReferencetext"/>
        <w:ind w:left="0" w:firstLine="0"/>
      </w:pPr>
      <w:r>
        <w:t>To understand the potential and feasibility of the process under study, a first numerical analysis is done to properly simulate microalgae AD. Nowadays, to decrease expenditures for biogas upgrading processes (i.e., H</w:t>
      </w:r>
      <w:r w:rsidR="00C96BEA">
        <w:rPr>
          <w:vertAlign w:val="subscript"/>
        </w:rPr>
        <w:t>2</w:t>
      </w:r>
      <w:r>
        <w:t xml:space="preserve">S removal), in-situ biological treatments are used, exploiting sulfur oxidant bacteria, known as SOB, which reduce the acid gas rising the reactor headspace with a little amount of oxygen. To correctly simulate all the reactive environments in the system, the ADE model is used, which includes both hydrogen sulfide production and breakdown </w:t>
      </w:r>
      <w:r w:rsidR="00E46510">
        <w:fldChar w:fldCharType="begin" w:fldLock="1"/>
      </w:r>
      <w:r w:rsidR="001C407A">
        <w:instrText>ADDIN CSL_CITATION {"citationItems":[{"id":"ITEM-1","itemData":{"DOI":"10.1016/j.biortech.2021.125845","ISSN":"18732976","PMID":"34467892","abstract":"An upgraded digital twin of the Anaerobic Digestion Model 1 is proposed to enhance its industrial applicability and range of use. Through the optimization and generalization of kinetic coefficients toward co-digestion reactors simulation and insertion of new equations for the complete biokinetics modeling of H2S, the proposed model can predict more precisely the exiting biogas fractions comprehensive of H2S and O2 without any parametric adjustment. Moreover, it is proposed a new function representing the oxygen-methanogens. The model has been validated through the comparison with other literature models and with experimental data coming both from the literature and from an industrial plant. The comparisons show its flexibility and industrial applicability. Finally, an optimization of the methane content through oxygen rate adjustment is proposed, increasing CH4 content of 4%vol. The mathematical model has been built using Python™, which makes it easily spreadable and usable.","author":[{"dropping-particle":"","family":"Moretta","given":"Federico","non-dropping-particle":"","parse-names":false,"suffix":""},{"dropping-particle":"","family":"Rizzo","given":"Eleonora","non-dropping-particle":"","parse-names":false,"suffix":""},{"dropping-particle":"","family":"Manenti","given":"Flavio","non-dropping-particle":"","parse-names":false,"suffix":""},{"dropping-particle":"","family":"Bozzano","given":"Giulia","non-dropping-particle":"","parse-names":false,"suffix":""}],"container-title":"Bioresource Technology","id":"ITEM-1","issued":{"date-parts":[["2021","12"]]},"publisher":"Elsevier Ltd","title":"Enhancement of anaerobic digestion digital twin through aerobic simulation and kinetic optimization for co-digestion scenarios","type":"article-journal","volume":"341"},"uris":["http://www.mendeley.com/documents/?uuid=070ed8b0-3023-3ff7-891d-5e67385d23a3","http://www.mendeley.com/documents/?uuid=b990b0b5-ae28-4359-a051-660815f2452f"]}],"mendeley":{"formattedCitation":"(Moretta et al., 2021)","plainTextFormattedCitation":"(Moretta et al., 2021)","previouslyFormattedCitation":"(Moretta et al., 2021)"},"properties":{"noteIndex":0},"schema":"https://github.com/citation-style-language/schema/raw/master/csl-citation.json"}</w:instrText>
      </w:r>
      <w:r w:rsidR="00E46510">
        <w:fldChar w:fldCharType="separate"/>
      </w:r>
      <w:r w:rsidR="00E46510" w:rsidRPr="00E46510">
        <w:rPr>
          <w:noProof/>
        </w:rPr>
        <w:t>(Moretta et al., 2021)</w:t>
      </w:r>
      <w:r w:rsidR="00E46510">
        <w:fldChar w:fldCharType="end"/>
      </w:r>
      <w:r>
        <w:t xml:space="preserve">. Influent substrate characterization was taken from the work of </w:t>
      </w:r>
      <w:r w:rsidR="00C86B57">
        <w:fldChar w:fldCharType="begin" w:fldLock="1"/>
      </w:r>
      <w:r w:rsidR="001C407A">
        <w:instrText>ADDIN CSL_CITATION {"citationItems":[{"id":"ITEM-1","itemData":{"DOI":"10.1016/j.biortech.2011.04.015","ISSN":"09608524","PMID":"21536430","abstract":"The coupling between a microalgal pond and an anaerobic digester is a promising alternative for sustainable energy production by transforming carbon dioxide into methane using solar energy. In this paper, we demonstrate the ability of the original ADM1 model and a modified version (based on Contois kinetics for the hydrolysis steps) to represent microalgae anaerobic digestion. Simulations were compared to experimental data of an anaerobic digester fed with Chlorella vulgaris. The modified ADM1 fits adequately the data for the considered 140 day experiment encompassing a variety of influent load and flow rates. It turns out to be a reliable predictive tool for optimising the coupling of microalgae with anaerobic digestion processes. © 2011 Elsevier Ltd.","author":[{"dropping-particle":"","family":"Mairet","given":"Francis","non-dropping-particle":"","parse-names":false,"suffix":""},{"dropping-particle":"","family":"Bernard","given":"Olivier","non-dropping-particle":"","parse-names":false,"suffix":""},{"dropping-particle":"","family":"Ras","given":"Monique","non-dropping-particle":"","parse-names":false,"suffix":""},{"dropping-particle":"","family":"Lardon","given":"Laurent","non-dropping-particle":"","parse-names":false,"suffix":""},{"dropping-particle":"","family":"Steyer","given":"Jean Philippe","non-dropping-particle":"","parse-names":false,"suffix":""}],"container-title":"Bioresource Technology","id":"ITEM-1","issue":"13","issued":{"date-parts":[["2011","7"]]},"page":"6823-6829","title":"Modeling anaerobic digestion of microalgae using ADM1","type":"article-journal","volume":"102"},"uris":["http://www.mendeley.com/documents/?uuid=f98a974e-1793-328b-aae9-efe59882f2c7","http://www.mendeley.com/documents/?uuid=6941ee48-467a-4e37-8d8c-46a5170c3913"]}],"mendeley":{"formattedCitation":"(Mairet et al., 2011)","manualFormatting":"Mairet et al. (2011)","plainTextFormattedCitation":"(Mairet et al., 2011)","previouslyFormattedCitation":"(Mairet et al., 2011)"},"properties":{"noteIndex":0},"schema":"https://github.com/citation-style-language/schema/raw/master/csl-citation.json"}</w:instrText>
      </w:r>
      <w:r w:rsidR="00C86B57">
        <w:fldChar w:fldCharType="separate"/>
      </w:r>
      <w:r w:rsidR="00C86B57" w:rsidRPr="00C86B57">
        <w:rPr>
          <w:noProof/>
        </w:rPr>
        <w:t xml:space="preserve">Mairet et al. </w:t>
      </w:r>
      <w:r w:rsidR="00C86B57">
        <w:rPr>
          <w:noProof/>
        </w:rPr>
        <w:t>(</w:t>
      </w:r>
      <w:r w:rsidR="00C86B57" w:rsidRPr="00C86B57">
        <w:rPr>
          <w:noProof/>
        </w:rPr>
        <w:t>2011)</w:t>
      </w:r>
      <w:r w:rsidR="00C86B57">
        <w:fldChar w:fldCharType="end"/>
      </w:r>
      <w:r>
        <w:t xml:space="preserve">, and information about the sulfur content is taken from the work of </w:t>
      </w:r>
      <w:r w:rsidR="00B31E7D">
        <w:fldChar w:fldCharType="begin" w:fldLock="1"/>
      </w:r>
      <w:r w:rsidR="001C407A">
        <w:instrText>ADDIN CSL_CITATION {"citationItems":[{"id":"ITEM-1","itemData":{"ISSN":"2151-0032","abstract":"It is now widely accepted that microalgae are promising candidate feedstocks for biofuel production, especially for biodiesel. Microalgae consist of a vast number of species that contain complex chemical constituents and physical structures. The purpose of this study is to understand the physical and chemical properties of selected microalgae, which is critical to the design of appropriate processes for commercial biofuel production. ASTM standard methods were implemented to examine the microalgae properties, including proximate and ultimate analyses. Among the microalgae studied, green microalgae have more volatile matter than brown microalgae, while the latter contain much higher ash content (as high as 43.4%wt ±0.20%wt dry basis). The lowest ash content was found in the samples of green microalgae (14.3%wt ±0.10%wt dry basis). Ultimate analysis showed that brown microalgae have less carbon content (approx. 25%wt dry basis) as compared to green microalgae (49%wt to 58%wt dry basis). All samples of microalgae were high in sulfur content (0.4%wt to 1.0%wt dry basis). Mineral contents of all microalgal samples were similar to those commonly present in other biomass. Brown microalgae contain significantly higher amounts of carbohydrates (72.9%wt to 75.5%wt dry basis) than green microalgae. On the other hand, green microalgae contain more crude fat (17.1%wt to 27.8%wt dry basis) than brown microalgae. The fatty acid profiles show that the primary fatty acids in microalgal lipids are similar to those of vegetable oils such as soybean oil. However, there are also many odd-numbered fatty acids, such as C15:0, C17:0, and C19:0, which are not typically seen in other seed oils.","author":[{"dropping-particle":"","family":"Bi","given":"Z","non-dropping-particle":"","parse-names":false,"suffix":""},{"dropping-particle":"","family":"He","given":"B B","non-dropping-particle":"","parse-names":false,"suffix":""}],"container-title":"Transactions of the ASABE","id":"ITEM-1","issue":"4","issued":{"date-parts":[["2013"]]},"page":"1529-1539","title":"CHARACTERIZATION OF MICROALGAE FOR THE PURPOSE OF BIOFUEL PRODUCTION","type":"article-journal","volume":"56"},"uris":["http://www.mendeley.com/documents/?uuid=df4573de-0074-38a2-8c4c-d78c339416b1","http://www.mendeley.com/documents/?uuid=be99428e-9af7-45e4-8018-7aa250ea2c5e"]}],"mendeley":{"formattedCitation":"(Bi and He, 2013)","manualFormatting":"Bi and He (2013)","plainTextFormattedCitation":"(Bi and He, 2013)","previouslyFormattedCitation":"(Bi and He, 2013)"},"properties":{"noteIndex":0},"schema":"https://github.com/citation-style-language/schema/raw/master/csl-citation.json"}</w:instrText>
      </w:r>
      <w:r w:rsidR="00B31E7D">
        <w:fldChar w:fldCharType="separate"/>
      </w:r>
      <w:r w:rsidR="00B31E7D" w:rsidRPr="00B31E7D">
        <w:rPr>
          <w:noProof/>
        </w:rPr>
        <w:t xml:space="preserve">Bi and He </w:t>
      </w:r>
      <w:r w:rsidR="00B31E7D">
        <w:rPr>
          <w:noProof/>
        </w:rPr>
        <w:t>(</w:t>
      </w:r>
      <w:r w:rsidR="00B31E7D" w:rsidRPr="00B31E7D">
        <w:rPr>
          <w:noProof/>
        </w:rPr>
        <w:t>2013)</w:t>
      </w:r>
      <w:r w:rsidR="00B31E7D">
        <w:fldChar w:fldCharType="end"/>
      </w:r>
      <w:r>
        <w:t xml:space="preserve">, which have estimated that microalgae contain </w:t>
      </w:r>
      <w:r w:rsidR="00624616">
        <w:t>about</w:t>
      </w:r>
      <w:r>
        <w:t xml:space="preserve"> 1% (dry basis) of sulfur compounds. So, to treat H</w:t>
      </w:r>
      <w:r w:rsidR="00C96BEA">
        <w:rPr>
          <w:vertAlign w:val="subscript"/>
        </w:rPr>
        <w:t>2</w:t>
      </w:r>
      <w:r>
        <w:t>S properly</w:t>
      </w:r>
      <w:r w:rsidR="00D25ABD">
        <w:t xml:space="preserve">, with the aim to lowering its content as much as possible without </w:t>
      </w:r>
      <w:r w:rsidR="00F15E65">
        <w:t>inhibition the methane production</w:t>
      </w:r>
      <w:r>
        <w:t xml:space="preserve">, </w:t>
      </w:r>
      <w:r w:rsidR="00F15E65">
        <w:t>about</w:t>
      </w:r>
      <w:r>
        <w:t xml:space="preserve"> 0.</w:t>
      </w:r>
      <w:r w:rsidR="00BE0EB2">
        <w:t>0</w:t>
      </w:r>
      <w:r>
        <w:t>2</w:t>
      </w:r>
      <w:r w:rsidR="00BE0EB2">
        <w:t>7</w:t>
      </w:r>
      <w:r>
        <w:t xml:space="preserve"> kg/m</w:t>
      </w:r>
      <w:r w:rsidRPr="00F15E65">
        <w:rPr>
          <w:vertAlign w:val="superscript"/>
        </w:rPr>
        <w:t>3</w:t>
      </w:r>
      <w:r>
        <w:t xml:space="preserve"> of O</w:t>
      </w:r>
      <w:r w:rsidR="00C96BEA">
        <w:rPr>
          <w:vertAlign w:val="subscript"/>
        </w:rPr>
        <w:t>2</w:t>
      </w:r>
      <w:r>
        <w:t xml:space="preserve"> were inserted in the headspace it should be mentioned that pure oxygen is considered for the simulation since the micro aeration procedure which concern this treatment makes it rather affordable from an economical point of view. </w:t>
      </w:r>
      <w:r w:rsidR="00FC3ED1">
        <w:t>Influent</w:t>
      </w:r>
      <w:r>
        <w:t xml:space="preserve"> characteristics are reported in </w:t>
      </w:r>
      <w:r w:rsidR="00E9642B">
        <w:fldChar w:fldCharType="begin"/>
      </w:r>
      <w:r w:rsidR="00E9642B">
        <w:instrText xml:space="preserve"> REF _Ref93408825 \h </w:instrText>
      </w:r>
      <w:r w:rsidR="00E9642B">
        <w:fldChar w:fldCharType="separate"/>
      </w:r>
      <w:r w:rsidR="00E9642B">
        <w:t xml:space="preserve">Table </w:t>
      </w:r>
      <w:r w:rsidR="00E9642B">
        <w:rPr>
          <w:noProof/>
        </w:rPr>
        <w:t>1</w:t>
      </w:r>
      <w:r w:rsidR="00E9642B">
        <w:fldChar w:fldCharType="end"/>
      </w:r>
      <w:r w:rsidR="00FC3ED1">
        <w:t>.</w:t>
      </w:r>
    </w:p>
    <w:p w14:paraId="30271F7C" w14:textId="446C4208" w:rsidR="00BC2BD1" w:rsidRDefault="00BC2BD1" w:rsidP="00FC3ED1">
      <w:pPr>
        <w:pStyle w:val="CETTabletitle"/>
        <w:jc w:val="both"/>
      </w:pPr>
      <w:bookmarkStart w:id="0" w:name="_Ref93408825"/>
      <w:r>
        <w:t xml:space="preserve">Table </w:t>
      </w:r>
      <w:r>
        <w:fldChar w:fldCharType="begin"/>
      </w:r>
      <w:r>
        <w:instrText xml:space="preserve"> SEQ Table \* ARABIC </w:instrText>
      </w:r>
      <w:r>
        <w:fldChar w:fldCharType="separate"/>
      </w:r>
      <w:r w:rsidR="000E16A0">
        <w:rPr>
          <w:noProof/>
        </w:rPr>
        <w:t>1</w:t>
      </w:r>
      <w:r>
        <w:fldChar w:fldCharType="end"/>
      </w:r>
      <w:bookmarkEnd w:id="0"/>
      <w:r w:rsidR="004B4887">
        <w:t>:</w:t>
      </w:r>
      <w:r w:rsidR="00DA11A8">
        <w:t xml:space="preserve"> Influent </w:t>
      </w:r>
      <w:r w:rsidR="000A48AD">
        <w:t>values used in the model for the simulation</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39"/>
        <w:gridCol w:w="995"/>
        <w:gridCol w:w="608"/>
        <w:gridCol w:w="6545"/>
      </w:tblGrid>
      <w:tr w:rsidR="00CC0D1D" w:rsidRPr="002068DF" w14:paraId="1322B8FE" w14:textId="31BA46FE" w:rsidTr="0028212D">
        <w:tc>
          <w:tcPr>
            <w:tcW w:w="364" w:type="pct"/>
            <w:tcBorders>
              <w:top w:val="single" w:sz="12" w:space="0" w:color="008000"/>
              <w:bottom w:val="single" w:sz="6" w:space="0" w:color="008000"/>
            </w:tcBorders>
            <w:shd w:val="clear" w:color="auto" w:fill="FFFFFF"/>
          </w:tcPr>
          <w:p w14:paraId="2A6D4C77" w14:textId="0A563A20" w:rsidR="00CC0D1D" w:rsidRPr="00AC3622" w:rsidRDefault="00CC0D1D" w:rsidP="00D87A69">
            <w:pPr>
              <w:jc w:val="center"/>
            </w:pPr>
            <w:r w:rsidRPr="00AC3622">
              <w:t>Name</w:t>
            </w:r>
          </w:p>
        </w:tc>
        <w:tc>
          <w:tcPr>
            <w:tcW w:w="566" w:type="pct"/>
            <w:tcBorders>
              <w:top w:val="single" w:sz="12" w:space="0" w:color="008000"/>
              <w:bottom w:val="single" w:sz="6" w:space="0" w:color="008000"/>
            </w:tcBorders>
            <w:shd w:val="clear" w:color="auto" w:fill="FFFFFF"/>
          </w:tcPr>
          <w:p w14:paraId="3E1B38B6" w14:textId="7B4D971A" w:rsidR="00CC0D1D" w:rsidRPr="00AC3622" w:rsidRDefault="00CC0D1D" w:rsidP="00D87A69">
            <w:pPr>
              <w:jc w:val="center"/>
            </w:pPr>
            <w:r w:rsidRPr="00AC3622">
              <w:t>Value</w:t>
            </w:r>
          </w:p>
        </w:tc>
        <w:tc>
          <w:tcPr>
            <w:tcW w:w="346" w:type="pct"/>
            <w:tcBorders>
              <w:top w:val="single" w:sz="12" w:space="0" w:color="008000"/>
              <w:bottom w:val="single" w:sz="6" w:space="0" w:color="008000"/>
            </w:tcBorders>
            <w:shd w:val="clear" w:color="auto" w:fill="FFFFFF"/>
          </w:tcPr>
          <w:p w14:paraId="5E8C11A5" w14:textId="3BD4F7F2" w:rsidR="00447C12" w:rsidRPr="00AC3622" w:rsidRDefault="00D15520" w:rsidP="00D87A69">
            <w:pPr>
              <w:jc w:val="center"/>
            </w:pPr>
            <w:r>
              <w:t>UOM</w:t>
            </w:r>
          </w:p>
        </w:tc>
        <w:tc>
          <w:tcPr>
            <w:tcW w:w="3724" w:type="pct"/>
            <w:tcBorders>
              <w:top w:val="single" w:sz="12" w:space="0" w:color="008000"/>
              <w:bottom w:val="single" w:sz="6" w:space="0" w:color="008000"/>
            </w:tcBorders>
            <w:shd w:val="clear" w:color="auto" w:fill="FFFFFF"/>
          </w:tcPr>
          <w:p w14:paraId="524247DA" w14:textId="599259CE" w:rsidR="00CC0D1D" w:rsidRPr="00AC3622" w:rsidRDefault="00CC0D1D" w:rsidP="00D87A69">
            <w:pPr>
              <w:jc w:val="center"/>
            </w:pPr>
            <w:r w:rsidRPr="00AC3622">
              <w:t>Meaning</w:t>
            </w:r>
          </w:p>
        </w:tc>
      </w:tr>
      <w:tr w:rsidR="00CC0D1D" w:rsidRPr="002068DF" w14:paraId="29B5EC6C" w14:textId="7686A02A" w:rsidTr="00F15E65">
        <w:trPr>
          <w:trHeight w:val="282"/>
        </w:trPr>
        <w:tc>
          <w:tcPr>
            <w:tcW w:w="364" w:type="pct"/>
            <w:shd w:val="clear" w:color="auto" w:fill="FFFFFF"/>
            <w:vAlign w:val="center"/>
          </w:tcPr>
          <w:p w14:paraId="361FA4BE" w14:textId="1C3E1293" w:rsidR="00CC0D1D" w:rsidRPr="00AC3622" w:rsidRDefault="007D5DD2" w:rsidP="00F15E65">
            <w:pPr>
              <w:jc w:val="center"/>
              <w:rPr>
                <w:iCs/>
              </w:rPr>
            </w:pPr>
            <m:oMathPara>
              <m:oMath>
                <m:sSubSup>
                  <m:sSubSupPr>
                    <m:ctrlPr>
                      <w:rPr>
                        <w:rFonts w:ascii="Cambria Math" w:hAnsi="Cambria Math"/>
                        <w:iCs/>
                      </w:rPr>
                    </m:ctrlPr>
                  </m:sSubSupPr>
                  <m:e>
                    <m:r>
                      <m:rPr>
                        <m:sty m:val="p"/>
                      </m:rPr>
                      <w:rPr>
                        <w:rFonts w:ascii="Cambria Math" w:hAnsi="Cambria Math"/>
                      </w:rPr>
                      <m:t>W</m:t>
                    </m:r>
                  </m:e>
                  <m:sub>
                    <m:r>
                      <m:rPr>
                        <m:sty m:val="p"/>
                      </m:rPr>
                      <w:rPr>
                        <w:rFonts w:ascii="Cambria Math" w:hAnsi="Cambria Math"/>
                      </w:rPr>
                      <m:t>ch</m:t>
                    </m:r>
                  </m:sub>
                  <m:sup>
                    <m:r>
                      <m:rPr>
                        <m:sty m:val="p"/>
                      </m:rPr>
                      <w:rPr>
                        <w:rFonts w:ascii="Cambria Math" w:hAnsi="Cambria Math"/>
                      </w:rPr>
                      <m:t>in</m:t>
                    </m:r>
                  </m:sup>
                </m:sSubSup>
              </m:oMath>
            </m:oMathPara>
          </w:p>
        </w:tc>
        <w:tc>
          <w:tcPr>
            <w:tcW w:w="566" w:type="pct"/>
            <w:shd w:val="clear" w:color="auto" w:fill="FFFFFF"/>
            <w:vAlign w:val="center"/>
          </w:tcPr>
          <w:p w14:paraId="76FFD6E6" w14:textId="00F3D404" w:rsidR="00CC0D1D" w:rsidRPr="002068DF" w:rsidRDefault="00CC0D1D" w:rsidP="00F15E65">
            <w:pPr>
              <w:jc w:val="center"/>
            </w:pPr>
            <w:r>
              <w:t>3</w:t>
            </w:r>
            <w:r w:rsidR="00255689">
              <w:t>.0</w:t>
            </w:r>
          </w:p>
        </w:tc>
        <w:tc>
          <w:tcPr>
            <w:tcW w:w="346" w:type="pct"/>
            <w:shd w:val="clear" w:color="auto" w:fill="FFFFFF"/>
            <w:vAlign w:val="center"/>
          </w:tcPr>
          <w:p w14:paraId="4D98AA7E" w14:textId="10B306C6" w:rsidR="00447C12" w:rsidRDefault="0056101D" w:rsidP="00F15E65">
            <w:pPr>
              <w:jc w:val="center"/>
            </w:pPr>
            <w:r>
              <w:t>kg/m</w:t>
            </w:r>
            <w:r>
              <w:rPr>
                <w:vertAlign w:val="superscript"/>
              </w:rPr>
              <w:t>3</w:t>
            </w:r>
          </w:p>
        </w:tc>
        <w:tc>
          <w:tcPr>
            <w:tcW w:w="3724" w:type="pct"/>
            <w:vAlign w:val="center"/>
          </w:tcPr>
          <w:p w14:paraId="25BB5A4E" w14:textId="56040112" w:rsidR="00CC0D1D" w:rsidRDefault="00142A8E" w:rsidP="00F15E65">
            <w:pPr>
              <w:jc w:val="left"/>
            </w:pPr>
            <w:r>
              <w:t xml:space="preserve">Influent </w:t>
            </w:r>
            <w:r w:rsidR="00C43035">
              <w:t>concentration</w:t>
            </w:r>
            <w:r>
              <w:t xml:space="preserve"> of c</w:t>
            </w:r>
            <w:r w:rsidR="00CC0D1D">
              <w:t>arbohydrates</w:t>
            </w:r>
          </w:p>
        </w:tc>
      </w:tr>
      <w:tr w:rsidR="00CC0D1D" w:rsidRPr="002068DF" w14:paraId="728327EE" w14:textId="02559A42" w:rsidTr="00F15E65">
        <w:trPr>
          <w:trHeight w:val="315"/>
        </w:trPr>
        <w:tc>
          <w:tcPr>
            <w:tcW w:w="364" w:type="pct"/>
            <w:shd w:val="clear" w:color="auto" w:fill="FFFFFF"/>
            <w:vAlign w:val="center"/>
          </w:tcPr>
          <w:p w14:paraId="433BAC59" w14:textId="71900CA1" w:rsidR="00CC0D1D" w:rsidRPr="00AC3622" w:rsidRDefault="007D5DD2" w:rsidP="00F15E65">
            <w:pPr>
              <w:ind w:right="-1"/>
              <w:jc w:val="center"/>
              <w:rPr>
                <w:rFonts w:cs="Arial"/>
                <w:iCs/>
                <w:szCs w:val="18"/>
              </w:rPr>
            </w:pPr>
            <m:oMathPara>
              <m:oMath>
                <m:sSubSup>
                  <m:sSubSupPr>
                    <m:ctrlPr>
                      <w:rPr>
                        <w:rFonts w:ascii="Cambria Math" w:hAnsi="Cambria Math"/>
                        <w:iCs/>
                      </w:rPr>
                    </m:ctrlPr>
                  </m:sSubSupPr>
                  <m:e>
                    <m:r>
                      <m:rPr>
                        <m:sty m:val="p"/>
                      </m:rPr>
                      <w:rPr>
                        <w:rFonts w:ascii="Cambria Math" w:hAnsi="Cambria Math"/>
                      </w:rPr>
                      <m:t>W</m:t>
                    </m:r>
                  </m:e>
                  <m:sub>
                    <m:r>
                      <m:rPr>
                        <m:sty m:val="p"/>
                      </m:rPr>
                      <w:rPr>
                        <w:rFonts w:ascii="Cambria Math" w:hAnsi="Cambria Math"/>
                      </w:rPr>
                      <m:t>xc</m:t>
                    </m:r>
                  </m:sub>
                  <m:sup>
                    <m:r>
                      <m:rPr>
                        <m:sty m:val="p"/>
                      </m:rPr>
                      <w:rPr>
                        <w:rFonts w:ascii="Cambria Math" w:hAnsi="Cambria Math"/>
                      </w:rPr>
                      <m:t>in</m:t>
                    </m:r>
                  </m:sup>
                </m:sSubSup>
              </m:oMath>
            </m:oMathPara>
          </w:p>
        </w:tc>
        <w:tc>
          <w:tcPr>
            <w:tcW w:w="566" w:type="pct"/>
            <w:shd w:val="clear" w:color="auto" w:fill="FFFFFF"/>
            <w:vAlign w:val="center"/>
          </w:tcPr>
          <w:p w14:paraId="634FA640" w14:textId="25194252" w:rsidR="00CC0D1D" w:rsidRPr="002068DF" w:rsidRDefault="00D119EE" w:rsidP="00F15E65">
            <w:pPr>
              <w:ind w:right="-1"/>
              <w:jc w:val="center"/>
              <w:rPr>
                <w:rFonts w:cs="Arial"/>
                <w:szCs w:val="18"/>
              </w:rPr>
            </w:pPr>
            <w:r>
              <w:rPr>
                <w:rFonts w:cs="Arial"/>
                <w:szCs w:val="18"/>
              </w:rPr>
              <w:t>27</w:t>
            </w:r>
            <w:r w:rsidR="00255689">
              <w:rPr>
                <w:rFonts w:cs="Arial"/>
                <w:szCs w:val="18"/>
              </w:rPr>
              <w:t>.0</w:t>
            </w:r>
          </w:p>
        </w:tc>
        <w:tc>
          <w:tcPr>
            <w:tcW w:w="346" w:type="pct"/>
            <w:shd w:val="clear" w:color="auto" w:fill="FFFFFF"/>
            <w:vAlign w:val="center"/>
          </w:tcPr>
          <w:p w14:paraId="4F0FA940" w14:textId="76923F75" w:rsidR="00447C12" w:rsidRDefault="0056101D" w:rsidP="00F15E65">
            <w:pPr>
              <w:ind w:right="-1"/>
              <w:jc w:val="center"/>
              <w:rPr>
                <w:rFonts w:cs="Arial"/>
                <w:szCs w:val="18"/>
              </w:rPr>
            </w:pPr>
            <w:r>
              <w:t>kg/m</w:t>
            </w:r>
            <w:r>
              <w:rPr>
                <w:vertAlign w:val="superscript"/>
              </w:rPr>
              <w:t>3</w:t>
            </w:r>
          </w:p>
        </w:tc>
        <w:tc>
          <w:tcPr>
            <w:tcW w:w="3724" w:type="pct"/>
            <w:vAlign w:val="center"/>
          </w:tcPr>
          <w:p w14:paraId="290B7CF1" w14:textId="72A9EB79" w:rsidR="00CC0D1D" w:rsidRPr="002068DF" w:rsidRDefault="00142A8E" w:rsidP="00F15E65">
            <w:pPr>
              <w:ind w:right="-1"/>
              <w:jc w:val="left"/>
              <w:rPr>
                <w:rFonts w:cs="Arial"/>
                <w:szCs w:val="18"/>
              </w:rPr>
            </w:pPr>
            <w:r>
              <w:rPr>
                <w:rFonts w:cs="Arial"/>
                <w:szCs w:val="18"/>
              </w:rPr>
              <w:t xml:space="preserve">Influent </w:t>
            </w:r>
            <w:r w:rsidR="00C43035">
              <w:t xml:space="preserve">concentration </w:t>
            </w:r>
            <w:r>
              <w:rPr>
                <w:rFonts w:cs="Arial"/>
                <w:szCs w:val="18"/>
              </w:rPr>
              <w:t>of particulate matter</w:t>
            </w:r>
          </w:p>
        </w:tc>
      </w:tr>
      <w:tr w:rsidR="00142A8E" w:rsidRPr="002068DF" w14:paraId="234AC749" w14:textId="77777777" w:rsidTr="00F15E65">
        <w:trPr>
          <w:trHeight w:val="361"/>
        </w:trPr>
        <w:tc>
          <w:tcPr>
            <w:tcW w:w="364" w:type="pct"/>
            <w:shd w:val="clear" w:color="auto" w:fill="FFFFFF"/>
            <w:vAlign w:val="center"/>
          </w:tcPr>
          <w:p w14:paraId="6E266EB8" w14:textId="5B812A40" w:rsidR="00142A8E" w:rsidRPr="00AC3622" w:rsidRDefault="007D5DD2" w:rsidP="00F15E65">
            <w:pPr>
              <w:ind w:right="-1"/>
              <w:jc w:val="center"/>
              <w:rPr>
                <w:iCs/>
              </w:rPr>
            </w:pPr>
            <m:oMathPara>
              <m:oMath>
                <m:sSubSup>
                  <m:sSubSupPr>
                    <m:ctrlPr>
                      <w:rPr>
                        <w:rFonts w:ascii="Cambria Math" w:hAnsi="Cambria Math"/>
                        <w:iCs/>
                      </w:rPr>
                    </m:ctrlPr>
                  </m:sSubSupPr>
                  <m:e>
                    <m:r>
                      <m:rPr>
                        <m:sty m:val="p"/>
                      </m:rPr>
                      <w:rPr>
                        <w:rFonts w:ascii="Cambria Math" w:hAnsi="Cambria Math"/>
                      </w:rPr>
                      <m:t>S</m:t>
                    </m:r>
                  </m:e>
                  <m:sub>
                    <m:r>
                      <m:rPr>
                        <m:sty m:val="p"/>
                      </m:rPr>
                      <w:rPr>
                        <w:rFonts w:ascii="Cambria Math" w:hAnsi="Cambria Math"/>
                      </w:rPr>
                      <m:t>S</m:t>
                    </m:r>
                    <m:sSubSup>
                      <m:sSubSupPr>
                        <m:ctrlPr>
                          <w:rPr>
                            <w:rFonts w:ascii="Cambria Math" w:hAnsi="Cambria Math"/>
                            <w:iCs/>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 xml:space="preserve"> </m:t>
                    </m:r>
                  </m:sub>
                  <m:sup>
                    <m:r>
                      <m:rPr>
                        <m:sty m:val="p"/>
                      </m:rPr>
                      <w:rPr>
                        <w:rFonts w:ascii="Cambria Math" w:hAnsi="Cambria Math"/>
                      </w:rPr>
                      <m:t>in</m:t>
                    </m:r>
                  </m:sup>
                </m:sSubSup>
              </m:oMath>
            </m:oMathPara>
          </w:p>
        </w:tc>
        <w:tc>
          <w:tcPr>
            <w:tcW w:w="566" w:type="pct"/>
            <w:shd w:val="clear" w:color="auto" w:fill="FFFFFF"/>
            <w:vAlign w:val="center"/>
          </w:tcPr>
          <w:p w14:paraId="53727B42" w14:textId="5512055A" w:rsidR="00142A8E" w:rsidRPr="00C43035" w:rsidRDefault="00624616" w:rsidP="00F15E65">
            <w:pPr>
              <w:ind w:right="-1"/>
              <w:jc w:val="center"/>
              <w:rPr>
                <w:rFonts w:cs="Arial"/>
                <w:szCs w:val="18"/>
              </w:rPr>
            </w:pPr>
            <w:r>
              <w:rPr>
                <w:rFonts w:cs="Arial"/>
                <w:szCs w:val="18"/>
              </w:rPr>
              <w:t>2.7</w:t>
            </w:r>
            <w:r w:rsidR="00D119EE">
              <w:rPr>
                <w:rFonts w:cs="Arial"/>
                <w:szCs w:val="18"/>
              </w:rPr>
              <w:t xml:space="preserve"> x 10</w:t>
            </w:r>
            <w:r w:rsidR="00D119EE">
              <w:rPr>
                <w:rFonts w:cs="Arial"/>
                <w:szCs w:val="18"/>
                <w:vertAlign w:val="superscript"/>
              </w:rPr>
              <w:t>-</w:t>
            </w:r>
            <w:r w:rsidR="00C43035">
              <w:rPr>
                <w:rFonts w:cs="Arial"/>
                <w:szCs w:val="18"/>
                <w:vertAlign w:val="superscript"/>
              </w:rPr>
              <w:t>3</w:t>
            </w:r>
          </w:p>
        </w:tc>
        <w:tc>
          <w:tcPr>
            <w:tcW w:w="346" w:type="pct"/>
            <w:shd w:val="clear" w:color="auto" w:fill="FFFFFF"/>
            <w:vAlign w:val="center"/>
          </w:tcPr>
          <w:p w14:paraId="6692E555" w14:textId="63996C3B" w:rsidR="00447C12" w:rsidRDefault="0056101D" w:rsidP="00F15E65">
            <w:pPr>
              <w:ind w:right="-1"/>
              <w:jc w:val="center"/>
              <w:rPr>
                <w:rFonts w:cs="Arial"/>
                <w:szCs w:val="18"/>
              </w:rPr>
            </w:pPr>
            <w:r>
              <w:t>kg/m</w:t>
            </w:r>
            <w:r>
              <w:rPr>
                <w:vertAlign w:val="superscript"/>
              </w:rPr>
              <w:t>3</w:t>
            </w:r>
          </w:p>
        </w:tc>
        <w:tc>
          <w:tcPr>
            <w:tcW w:w="3724" w:type="pct"/>
            <w:vAlign w:val="center"/>
          </w:tcPr>
          <w:p w14:paraId="69EF7AE6" w14:textId="7BBB7C49" w:rsidR="00142A8E" w:rsidRDefault="00C43035" w:rsidP="00F15E65">
            <w:pPr>
              <w:ind w:right="-1"/>
              <w:jc w:val="left"/>
              <w:rPr>
                <w:rFonts w:cs="Arial"/>
                <w:szCs w:val="18"/>
              </w:rPr>
            </w:pPr>
            <w:r>
              <w:rPr>
                <w:rFonts w:cs="Arial"/>
                <w:szCs w:val="18"/>
              </w:rPr>
              <w:t xml:space="preserve">Initial </w:t>
            </w:r>
            <w:r>
              <w:t>concentration of sulfur in the feedstock</w:t>
            </w:r>
          </w:p>
        </w:tc>
      </w:tr>
      <w:tr w:rsidR="00C43035" w:rsidRPr="002068DF" w14:paraId="3C09C7CD" w14:textId="77777777" w:rsidTr="00F15E65">
        <w:tc>
          <w:tcPr>
            <w:tcW w:w="364" w:type="pct"/>
            <w:shd w:val="clear" w:color="auto" w:fill="FFFFFF"/>
            <w:vAlign w:val="center"/>
          </w:tcPr>
          <w:p w14:paraId="4013BFF2" w14:textId="222F6903" w:rsidR="00C43035" w:rsidRPr="00AC3622" w:rsidRDefault="007D5DD2" w:rsidP="00F15E65">
            <w:pPr>
              <w:ind w:right="-1"/>
              <w:jc w:val="center"/>
              <w:rPr>
                <w:iCs/>
              </w:rPr>
            </w:pPr>
            <m:oMathPara>
              <m:oMath>
                <m:sSubSup>
                  <m:sSubSupPr>
                    <m:ctrlPr>
                      <w:rPr>
                        <w:rFonts w:ascii="Cambria Math" w:hAnsi="Cambria Math"/>
                        <w:iCs/>
                      </w:rPr>
                    </m:ctrlPr>
                  </m:sSubSupPr>
                  <m:e>
                    <m:r>
                      <m:rPr>
                        <m:sty m:val="p"/>
                      </m:rPr>
                      <w:rPr>
                        <w:rFonts w:ascii="Cambria Math" w:hAnsi="Cambria Math"/>
                      </w:rPr>
                      <m:t>S</m:t>
                    </m:r>
                  </m:e>
                  <m:sub>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sub>
                  <m:sup>
                    <m:r>
                      <m:rPr>
                        <m:sty m:val="p"/>
                      </m:rPr>
                      <w:rPr>
                        <w:rFonts w:ascii="Cambria Math" w:hAnsi="Cambria Math"/>
                      </w:rPr>
                      <m:t>in</m:t>
                    </m:r>
                  </m:sup>
                </m:sSubSup>
              </m:oMath>
            </m:oMathPara>
          </w:p>
        </w:tc>
        <w:tc>
          <w:tcPr>
            <w:tcW w:w="566" w:type="pct"/>
            <w:shd w:val="clear" w:color="auto" w:fill="FFFFFF"/>
            <w:vAlign w:val="center"/>
          </w:tcPr>
          <w:p w14:paraId="50B7833A" w14:textId="2F643091" w:rsidR="00C43035" w:rsidRPr="00C43035" w:rsidRDefault="00C43035" w:rsidP="00F15E65">
            <w:pPr>
              <w:ind w:right="-1"/>
              <w:jc w:val="center"/>
              <w:rPr>
                <w:rFonts w:cs="Arial"/>
                <w:szCs w:val="18"/>
                <w:vertAlign w:val="superscript"/>
              </w:rPr>
            </w:pPr>
            <w:r>
              <w:rPr>
                <w:rFonts w:cs="Arial"/>
                <w:szCs w:val="18"/>
              </w:rPr>
              <w:t>0.027</w:t>
            </w:r>
          </w:p>
        </w:tc>
        <w:tc>
          <w:tcPr>
            <w:tcW w:w="346" w:type="pct"/>
            <w:shd w:val="clear" w:color="auto" w:fill="FFFFFF"/>
            <w:vAlign w:val="center"/>
          </w:tcPr>
          <w:p w14:paraId="6A069B6D" w14:textId="0FD9EFAC" w:rsidR="00447C12" w:rsidRDefault="0056101D" w:rsidP="00F15E65">
            <w:pPr>
              <w:ind w:right="-1"/>
              <w:jc w:val="center"/>
              <w:rPr>
                <w:rFonts w:cs="Arial"/>
                <w:szCs w:val="18"/>
              </w:rPr>
            </w:pPr>
            <w:r>
              <w:t>kg/m</w:t>
            </w:r>
            <w:r>
              <w:rPr>
                <w:vertAlign w:val="superscript"/>
              </w:rPr>
              <w:t>3</w:t>
            </w:r>
          </w:p>
        </w:tc>
        <w:tc>
          <w:tcPr>
            <w:tcW w:w="3724" w:type="pct"/>
            <w:vAlign w:val="center"/>
          </w:tcPr>
          <w:p w14:paraId="2B321985" w14:textId="629BFC1F" w:rsidR="00C43035" w:rsidRDefault="001A4C81" w:rsidP="00F15E65">
            <w:pPr>
              <w:ind w:right="-1"/>
              <w:jc w:val="left"/>
              <w:rPr>
                <w:rFonts w:cs="Arial"/>
                <w:szCs w:val="18"/>
              </w:rPr>
            </w:pPr>
            <w:r>
              <w:rPr>
                <w:rFonts w:cs="Arial"/>
                <w:szCs w:val="18"/>
              </w:rPr>
              <w:t>Initial concentration of oxygen in</w:t>
            </w:r>
            <w:r w:rsidR="00FC3ED1">
              <w:rPr>
                <w:rFonts w:cs="Arial"/>
                <w:szCs w:val="18"/>
              </w:rPr>
              <w:t>jected injected in the reactor.</w:t>
            </w:r>
          </w:p>
        </w:tc>
      </w:tr>
    </w:tbl>
    <w:p w14:paraId="740A4025" w14:textId="69F2EC35" w:rsidR="002068DF" w:rsidRDefault="002068DF" w:rsidP="00CA097D">
      <w:pPr>
        <w:pStyle w:val="CETReferencetext"/>
      </w:pPr>
    </w:p>
    <w:p w14:paraId="06061D2E" w14:textId="72FE0576" w:rsidR="005E2952" w:rsidRDefault="005E2952" w:rsidP="005E2952">
      <w:pPr>
        <w:pStyle w:val="CETBodytext"/>
      </w:pPr>
      <w:r w:rsidRPr="005E2952">
        <w:t xml:space="preserve">From the results obtained (reported in </w:t>
      </w:r>
      <w:r w:rsidR="00E9642B">
        <w:fldChar w:fldCharType="begin"/>
      </w:r>
      <w:r w:rsidR="00E9642B">
        <w:instrText xml:space="preserve"> REF _Ref93408849 \h </w:instrText>
      </w:r>
      <w:r w:rsidR="00E9642B">
        <w:fldChar w:fldCharType="separate"/>
      </w:r>
      <w:r w:rsidR="00E9642B">
        <w:t xml:space="preserve">Table </w:t>
      </w:r>
      <w:r w:rsidR="00E9642B">
        <w:rPr>
          <w:noProof/>
        </w:rPr>
        <w:t>2</w:t>
      </w:r>
      <w:r w:rsidR="00E9642B">
        <w:fldChar w:fldCharType="end"/>
      </w:r>
      <w:r w:rsidRPr="005E2952">
        <w:t>) it is possible to see that, for a medium-large plant of 7000 m</w:t>
      </w:r>
      <w:r w:rsidRPr="008D2597">
        <w:rPr>
          <w:vertAlign w:val="superscript"/>
        </w:rPr>
        <w:t>3</w:t>
      </w:r>
      <w:r w:rsidRPr="005E2952">
        <w:t xml:space="preserve">, the rate of production of methane is quite high, </w:t>
      </w:r>
      <w:r w:rsidR="005F7147">
        <w:t xml:space="preserve">with a total methane flowrate of </w:t>
      </w:r>
      <w:r w:rsidR="008D2597">
        <w:t>26.11 m</w:t>
      </w:r>
      <w:r w:rsidR="008D2597" w:rsidRPr="008D2597">
        <w:rPr>
          <w:vertAlign w:val="superscript"/>
        </w:rPr>
        <w:t>3</w:t>
      </w:r>
      <w:r w:rsidR="008D2597">
        <w:t>/d (Biogas flowrate equal to 37.06 m</w:t>
      </w:r>
      <w:r w:rsidR="008D2597" w:rsidRPr="008D2597">
        <w:rPr>
          <w:vertAlign w:val="superscript"/>
        </w:rPr>
        <w:t>3</w:t>
      </w:r>
      <w:r w:rsidR="008D2597">
        <w:t xml:space="preserve">/d) </w:t>
      </w:r>
      <w:r w:rsidRPr="005E2952">
        <w:t xml:space="preserve">reaching a total methane yield of 1840 mL </w:t>
      </w:r>
      <w:r w:rsidR="00F77F2C">
        <w:t>CH</w:t>
      </w:r>
      <w:r w:rsidR="00F77F2C">
        <w:rPr>
          <w:vertAlign w:val="subscript"/>
        </w:rPr>
        <w:t>4</w:t>
      </w:r>
      <w:r w:rsidRPr="005E2952">
        <w:t xml:space="preserve"> g</w:t>
      </w:r>
      <w:r w:rsidRPr="008D2597">
        <w:rPr>
          <w:vertAlign w:val="superscript"/>
        </w:rPr>
        <w:t>-1</w:t>
      </w:r>
      <w:r w:rsidRPr="008D2597">
        <w:rPr>
          <w:vertAlign w:val="subscript"/>
        </w:rPr>
        <w:t>COD</w:t>
      </w:r>
      <w:r w:rsidRPr="005E2952">
        <w:t xml:space="preserve"> (</w:t>
      </w:r>
      <w:r w:rsidR="00E84620">
        <w:t xml:space="preserve">the </w:t>
      </w:r>
      <w:r w:rsidRPr="005E2952">
        <w:t xml:space="preserve">dilution rate of the process </w:t>
      </w:r>
      <w:r w:rsidR="00E84620">
        <w:t xml:space="preserve">is </w:t>
      </w:r>
      <w:r w:rsidRPr="005E2952">
        <w:t>equal to 0.06)</w:t>
      </w:r>
      <w:r>
        <w:t>.</w:t>
      </w:r>
    </w:p>
    <w:p w14:paraId="076B6E18" w14:textId="385030E8" w:rsidR="00890559" w:rsidRDefault="004B4887" w:rsidP="0028212D">
      <w:pPr>
        <w:pStyle w:val="CETTabletitle"/>
      </w:pPr>
      <w:bookmarkStart w:id="1" w:name="_Ref93408849"/>
      <w:r>
        <w:t xml:space="preserve">Table </w:t>
      </w:r>
      <w:r>
        <w:fldChar w:fldCharType="begin"/>
      </w:r>
      <w:r>
        <w:instrText xml:space="preserve"> SEQ Table \* ARABIC </w:instrText>
      </w:r>
      <w:r>
        <w:fldChar w:fldCharType="separate"/>
      </w:r>
      <w:r w:rsidR="000E16A0">
        <w:rPr>
          <w:noProof/>
        </w:rPr>
        <w:t>2</w:t>
      </w:r>
      <w:r>
        <w:fldChar w:fldCharType="end"/>
      </w:r>
      <w:bookmarkEnd w:id="1"/>
      <w:r w:rsidR="00FC3ED1">
        <w:t>:</w:t>
      </w:r>
      <w:r w:rsidR="0028212D">
        <w:t xml:space="preserve"> Gas composition from s</w:t>
      </w:r>
      <w:r w:rsidR="005F7147">
        <w:t>imulation results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90"/>
        <w:gridCol w:w="1014"/>
        <w:gridCol w:w="1691"/>
        <w:gridCol w:w="1014"/>
        <w:gridCol w:w="2028"/>
        <w:gridCol w:w="1350"/>
      </w:tblGrid>
      <w:tr w:rsidR="006C52D4" w:rsidRPr="002068DF" w14:paraId="3582E5D1" w14:textId="4BBB77FF" w:rsidTr="0028212D">
        <w:tc>
          <w:tcPr>
            <w:tcW w:w="962" w:type="pct"/>
            <w:tcBorders>
              <w:top w:val="single" w:sz="12" w:space="0" w:color="008000"/>
              <w:bottom w:val="single" w:sz="6" w:space="0" w:color="008000"/>
            </w:tcBorders>
            <w:shd w:val="clear" w:color="auto" w:fill="FFFFFF"/>
          </w:tcPr>
          <w:p w14:paraId="2F99F9A3" w14:textId="77777777" w:rsidR="006C52D4" w:rsidRPr="00AC3622" w:rsidRDefault="006C52D4" w:rsidP="00626A87">
            <w:pPr>
              <w:jc w:val="center"/>
            </w:pPr>
            <w:r w:rsidRPr="00AC3622">
              <w:t>Species</w:t>
            </w:r>
          </w:p>
        </w:tc>
        <w:tc>
          <w:tcPr>
            <w:tcW w:w="577" w:type="pct"/>
            <w:tcBorders>
              <w:top w:val="single" w:sz="12" w:space="0" w:color="008000"/>
              <w:bottom w:val="single" w:sz="6" w:space="0" w:color="008000"/>
            </w:tcBorders>
            <w:shd w:val="clear" w:color="auto" w:fill="FFFFFF"/>
          </w:tcPr>
          <w:p w14:paraId="410AB53C" w14:textId="0BE44D16" w:rsidR="006C52D4" w:rsidRPr="00AC3622" w:rsidRDefault="006C52D4" w:rsidP="00626A87">
            <w:pPr>
              <w:jc w:val="center"/>
            </w:pPr>
            <w:r>
              <w:t>Methane</w:t>
            </w:r>
          </w:p>
        </w:tc>
        <w:tc>
          <w:tcPr>
            <w:tcW w:w="962" w:type="pct"/>
            <w:tcBorders>
              <w:top w:val="single" w:sz="12" w:space="0" w:color="008000"/>
              <w:bottom w:val="single" w:sz="6" w:space="0" w:color="008000"/>
            </w:tcBorders>
            <w:shd w:val="clear" w:color="auto" w:fill="FFFFFF"/>
          </w:tcPr>
          <w:p w14:paraId="52D7A287" w14:textId="5FCF49E0" w:rsidR="006C52D4" w:rsidRDefault="006C52D4" w:rsidP="00626A87">
            <w:pPr>
              <w:jc w:val="center"/>
            </w:pPr>
            <w:r>
              <w:t>Carbon Dioxide</w:t>
            </w:r>
          </w:p>
        </w:tc>
        <w:tc>
          <w:tcPr>
            <w:tcW w:w="577" w:type="pct"/>
            <w:tcBorders>
              <w:top w:val="single" w:sz="12" w:space="0" w:color="008000"/>
              <w:bottom w:val="single" w:sz="6" w:space="0" w:color="008000"/>
            </w:tcBorders>
            <w:shd w:val="clear" w:color="auto" w:fill="FFFFFF"/>
          </w:tcPr>
          <w:p w14:paraId="0C843492" w14:textId="5921BAF5" w:rsidR="006C52D4" w:rsidRDefault="006C52D4" w:rsidP="00626A87">
            <w:pPr>
              <w:jc w:val="center"/>
            </w:pPr>
            <w:r>
              <w:t>Oxygen</w:t>
            </w:r>
          </w:p>
        </w:tc>
        <w:tc>
          <w:tcPr>
            <w:tcW w:w="1154" w:type="pct"/>
            <w:tcBorders>
              <w:top w:val="single" w:sz="12" w:space="0" w:color="008000"/>
              <w:bottom w:val="single" w:sz="6" w:space="0" w:color="008000"/>
            </w:tcBorders>
            <w:shd w:val="clear" w:color="auto" w:fill="FFFFFF"/>
          </w:tcPr>
          <w:p w14:paraId="3F656617" w14:textId="3D26431E" w:rsidR="006C52D4" w:rsidRDefault="006C52D4" w:rsidP="00626A87">
            <w:pPr>
              <w:jc w:val="center"/>
            </w:pPr>
            <w:r>
              <w:t>Hydrogen Sulfide</w:t>
            </w:r>
          </w:p>
        </w:tc>
        <w:tc>
          <w:tcPr>
            <w:tcW w:w="769" w:type="pct"/>
            <w:tcBorders>
              <w:top w:val="single" w:sz="12" w:space="0" w:color="008000"/>
              <w:bottom w:val="single" w:sz="6" w:space="0" w:color="008000"/>
            </w:tcBorders>
            <w:shd w:val="clear" w:color="auto" w:fill="FFFFFF"/>
          </w:tcPr>
          <w:p w14:paraId="71F74A0D" w14:textId="58795189" w:rsidR="006C52D4" w:rsidRDefault="004E3E60" w:rsidP="00626A87">
            <w:pPr>
              <w:jc w:val="center"/>
            </w:pPr>
            <w:r>
              <w:t>Hydrogen</w:t>
            </w:r>
          </w:p>
        </w:tc>
      </w:tr>
      <w:tr w:rsidR="006C52D4" w:rsidRPr="002068DF" w14:paraId="5990778E" w14:textId="71DFF100" w:rsidTr="0028212D">
        <w:tc>
          <w:tcPr>
            <w:tcW w:w="962" w:type="pct"/>
            <w:shd w:val="clear" w:color="auto" w:fill="FFFFFF"/>
          </w:tcPr>
          <w:p w14:paraId="79B7556B" w14:textId="52A985E8" w:rsidR="006C52D4" w:rsidRPr="002068DF" w:rsidRDefault="0028212D" w:rsidP="00626A87">
            <w:pPr>
              <w:jc w:val="center"/>
            </w:pPr>
            <w:r>
              <w:t>Gas Composition</w:t>
            </w:r>
          </w:p>
        </w:tc>
        <w:tc>
          <w:tcPr>
            <w:tcW w:w="577" w:type="pct"/>
            <w:shd w:val="clear" w:color="auto" w:fill="FFFFFF"/>
          </w:tcPr>
          <w:p w14:paraId="0954E98D" w14:textId="77777777" w:rsidR="006C52D4" w:rsidRPr="002068DF" w:rsidRDefault="006C52D4" w:rsidP="00626A87">
            <w:pPr>
              <w:jc w:val="center"/>
            </w:pPr>
            <w:r>
              <w:t xml:space="preserve">70 </w:t>
            </w:r>
          </w:p>
        </w:tc>
        <w:tc>
          <w:tcPr>
            <w:tcW w:w="962" w:type="pct"/>
            <w:shd w:val="clear" w:color="auto" w:fill="FFFFFF"/>
          </w:tcPr>
          <w:p w14:paraId="19908D7B" w14:textId="394BD2D0" w:rsidR="006C52D4" w:rsidRDefault="004E3E60" w:rsidP="00626A87">
            <w:pPr>
              <w:jc w:val="center"/>
            </w:pPr>
            <w:r>
              <w:t>25</w:t>
            </w:r>
          </w:p>
        </w:tc>
        <w:tc>
          <w:tcPr>
            <w:tcW w:w="577" w:type="pct"/>
            <w:shd w:val="clear" w:color="auto" w:fill="FFFFFF"/>
          </w:tcPr>
          <w:p w14:paraId="5F9B2E11" w14:textId="02BF3460" w:rsidR="006C52D4" w:rsidRDefault="0028212D" w:rsidP="00626A87">
            <w:pPr>
              <w:jc w:val="center"/>
            </w:pPr>
            <w:r>
              <w:t>4</w:t>
            </w:r>
          </w:p>
        </w:tc>
        <w:tc>
          <w:tcPr>
            <w:tcW w:w="1154" w:type="pct"/>
            <w:shd w:val="clear" w:color="auto" w:fill="FFFFFF"/>
          </w:tcPr>
          <w:p w14:paraId="1C16A059" w14:textId="7C4908F5" w:rsidR="006C52D4" w:rsidRDefault="0028212D" w:rsidP="00626A87">
            <w:pPr>
              <w:jc w:val="center"/>
            </w:pPr>
            <w:r>
              <w:t>1</w:t>
            </w:r>
          </w:p>
        </w:tc>
        <w:tc>
          <w:tcPr>
            <w:tcW w:w="769" w:type="pct"/>
            <w:shd w:val="clear" w:color="auto" w:fill="FFFFFF"/>
          </w:tcPr>
          <w:p w14:paraId="372D712E" w14:textId="27D7F190" w:rsidR="006C52D4" w:rsidRDefault="0028212D" w:rsidP="00626A87">
            <w:pPr>
              <w:jc w:val="center"/>
            </w:pPr>
            <w:r>
              <w:t>~1.5</w:t>
            </w:r>
          </w:p>
        </w:tc>
      </w:tr>
      <w:tr w:rsidR="006C52D4" w:rsidRPr="002068DF" w14:paraId="61327EC9" w14:textId="20F080B7" w:rsidTr="0028212D">
        <w:tc>
          <w:tcPr>
            <w:tcW w:w="962" w:type="pct"/>
            <w:shd w:val="clear" w:color="auto" w:fill="FFFFFF"/>
          </w:tcPr>
          <w:p w14:paraId="0F974B46" w14:textId="7A2995A4" w:rsidR="006C52D4" w:rsidRDefault="006C52D4" w:rsidP="00626A87">
            <w:pPr>
              <w:ind w:right="-1"/>
              <w:jc w:val="center"/>
              <w:rPr>
                <w:rFonts w:cs="Arial"/>
                <w:szCs w:val="18"/>
              </w:rPr>
            </w:pPr>
            <w:r>
              <w:rPr>
                <w:rFonts w:cs="Arial"/>
                <w:szCs w:val="18"/>
              </w:rPr>
              <w:t>UOM</w:t>
            </w:r>
          </w:p>
        </w:tc>
        <w:tc>
          <w:tcPr>
            <w:tcW w:w="577" w:type="pct"/>
            <w:shd w:val="clear" w:color="auto" w:fill="FFFFFF"/>
          </w:tcPr>
          <w:p w14:paraId="3A2F7D18" w14:textId="4C5BA698" w:rsidR="006C52D4" w:rsidRDefault="006C52D4" w:rsidP="00626A87">
            <w:pPr>
              <w:ind w:right="-1"/>
              <w:jc w:val="center"/>
              <w:rPr>
                <w:rFonts w:cs="Arial"/>
                <w:szCs w:val="18"/>
              </w:rPr>
            </w:pPr>
            <w:r>
              <w:rPr>
                <w:rFonts w:cs="Arial"/>
                <w:szCs w:val="18"/>
              </w:rPr>
              <w:t>%v/v</w:t>
            </w:r>
          </w:p>
        </w:tc>
        <w:tc>
          <w:tcPr>
            <w:tcW w:w="962" w:type="pct"/>
            <w:shd w:val="clear" w:color="auto" w:fill="FFFFFF"/>
          </w:tcPr>
          <w:p w14:paraId="4ADED231" w14:textId="721CAFBF" w:rsidR="006C52D4" w:rsidRDefault="006C52D4" w:rsidP="00626A87">
            <w:pPr>
              <w:ind w:right="-1"/>
              <w:jc w:val="center"/>
              <w:rPr>
                <w:rFonts w:cs="Arial"/>
                <w:szCs w:val="18"/>
              </w:rPr>
            </w:pPr>
            <w:r>
              <w:rPr>
                <w:rFonts w:cs="Arial"/>
                <w:szCs w:val="18"/>
              </w:rPr>
              <w:t>%v/v</w:t>
            </w:r>
          </w:p>
        </w:tc>
        <w:tc>
          <w:tcPr>
            <w:tcW w:w="577" w:type="pct"/>
            <w:shd w:val="clear" w:color="auto" w:fill="FFFFFF"/>
          </w:tcPr>
          <w:p w14:paraId="69ACE9E4" w14:textId="4D59AAA1" w:rsidR="006C52D4" w:rsidRDefault="004E3E60" w:rsidP="00626A87">
            <w:pPr>
              <w:ind w:right="-1"/>
              <w:jc w:val="center"/>
              <w:rPr>
                <w:rFonts w:cs="Arial"/>
                <w:szCs w:val="18"/>
              </w:rPr>
            </w:pPr>
            <w:r>
              <w:t>%v/v</w:t>
            </w:r>
          </w:p>
        </w:tc>
        <w:tc>
          <w:tcPr>
            <w:tcW w:w="1154" w:type="pct"/>
            <w:shd w:val="clear" w:color="auto" w:fill="FFFFFF"/>
            <w:vAlign w:val="center"/>
          </w:tcPr>
          <w:p w14:paraId="1C6F6D8B" w14:textId="03F3C2B3" w:rsidR="006C52D4" w:rsidRDefault="004E3E60" w:rsidP="004E3E60">
            <w:pPr>
              <w:ind w:right="-1"/>
              <w:jc w:val="center"/>
              <w:rPr>
                <w:rFonts w:cs="Arial"/>
                <w:szCs w:val="18"/>
              </w:rPr>
            </w:pPr>
            <w:r>
              <w:t>%v/v</w:t>
            </w:r>
          </w:p>
        </w:tc>
        <w:tc>
          <w:tcPr>
            <w:tcW w:w="769" w:type="pct"/>
            <w:shd w:val="clear" w:color="auto" w:fill="FFFFFF"/>
            <w:vAlign w:val="center"/>
          </w:tcPr>
          <w:p w14:paraId="4586A846" w14:textId="4D476211" w:rsidR="006C52D4" w:rsidRDefault="004E3E60" w:rsidP="004E3E60">
            <w:pPr>
              <w:ind w:right="-1"/>
              <w:jc w:val="center"/>
              <w:rPr>
                <w:rFonts w:cs="Arial"/>
                <w:szCs w:val="18"/>
              </w:rPr>
            </w:pPr>
            <w:r>
              <w:t>ppm</w:t>
            </w:r>
          </w:p>
        </w:tc>
      </w:tr>
    </w:tbl>
    <w:p w14:paraId="4D649778" w14:textId="77777777" w:rsidR="0028212D" w:rsidRDefault="0028212D" w:rsidP="005E2952">
      <w:pPr>
        <w:pStyle w:val="CETBodytext"/>
        <w:rPr>
          <w:lang w:val="en-GB"/>
        </w:rPr>
      </w:pPr>
    </w:p>
    <w:p w14:paraId="64AA992F" w14:textId="65ECED9D" w:rsidR="009720D0" w:rsidRDefault="00A31B59" w:rsidP="005E2952">
      <w:pPr>
        <w:pStyle w:val="CETBodytext"/>
      </w:pPr>
      <w:r w:rsidRPr="00A31B59">
        <w:t>The methane composition in the gas flow is confirmed in the literature and represent a key factor for the feasibility of the process. On the other hand, the total amount of acid gases (H</w:t>
      </w:r>
      <w:r>
        <w:rPr>
          <w:vertAlign w:val="subscript"/>
        </w:rPr>
        <w:t>2</w:t>
      </w:r>
      <w:r w:rsidRPr="00A31B59">
        <w:t>S and CO</w:t>
      </w:r>
      <w:r>
        <w:rPr>
          <w:vertAlign w:val="subscript"/>
        </w:rPr>
        <w:t>2</w:t>
      </w:r>
      <w:r w:rsidRPr="00A31B59">
        <w:t>) in the stream forces the insertion of a guard before entering the next units to avoid structural damages and corrosion problems. The amount of oxygen and hydrogen present in the stream can be considered negligible, being in the order of ppm</w:t>
      </w:r>
      <w:r w:rsidR="00674CEE">
        <w:t>.</w:t>
      </w:r>
    </w:p>
    <w:p w14:paraId="428900D0" w14:textId="7195794C" w:rsidR="00226563" w:rsidRDefault="00226563" w:rsidP="00226563">
      <w:pPr>
        <w:pStyle w:val="CETheadingx"/>
      </w:pPr>
      <w:r>
        <w:t xml:space="preserve">Biogas </w:t>
      </w:r>
      <w:r w:rsidR="004F352F">
        <w:t xml:space="preserve">to </w:t>
      </w:r>
      <w:r w:rsidR="00821588">
        <w:t>Bio-</w:t>
      </w:r>
      <w:r w:rsidR="004F352F">
        <w:t>methanol</w:t>
      </w:r>
      <w:r>
        <w:t xml:space="preserve"> </w:t>
      </w:r>
    </w:p>
    <w:p w14:paraId="5597ADD1" w14:textId="77777777" w:rsidR="003E7203" w:rsidRDefault="009720D0" w:rsidP="005E2952">
      <w:pPr>
        <w:pStyle w:val="CETBodytext"/>
      </w:pPr>
      <w:r>
        <w:t>Once biogas production is modelled</w:t>
      </w:r>
      <w:r w:rsidR="00226563">
        <w:t xml:space="preserve">, </w:t>
      </w:r>
      <w:r w:rsidR="003E24E6">
        <w:t>there is the implementation of the biorefinery section, from biogas feedstock to the conversion in methanol</w:t>
      </w:r>
      <w:r w:rsidR="00821DC7">
        <w:t>.</w:t>
      </w:r>
      <w:r w:rsidR="003B1AAE">
        <w:t xml:space="preserve"> </w:t>
      </w:r>
    </w:p>
    <w:p w14:paraId="13B2EDA0" w14:textId="77777777" w:rsidR="00943C0D" w:rsidRDefault="00FE1FC0" w:rsidP="00FE1FC0">
      <w:pPr>
        <w:rPr>
          <w:lang w:val="en-US"/>
        </w:rPr>
      </w:pPr>
      <w:r w:rsidRPr="00FE1FC0">
        <w:rPr>
          <w:lang w:val="en-US"/>
        </w:rPr>
        <w:lastRenderedPageBreak/>
        <w:t>The entire process simulation is computed with Aspen HYSIS</w:t>
      </w:r>
      <w:r w:rsidR="00F2117C">
        <w:rPr>
          <w:rFonts w:cs="Arial"/>
          <w:vertAlign w:val="superscript"/>
          <w:lang w:val="en-US"/>
        </w:rPr>
        <w:t>®</w:t>
      </w:r>
      <w:r w:rsidRPr="00FE1FC0">
        <w:rPr>
          <w:lang w:val="en-US"/>
        </w:rPr>
        <w:t xml:space="preserve"> v1</w:t>
      </w:r>
      <w:r w:rsidR="00CB2BEF">
        <w:rPr>
          <w:lang w:val="en-US"/>
        </w:rPr>
        <w:t>1</w:t>
      </w:r>
      <w:r w:rsidRPr="00FE1FC0">
        <w:rPr>
          <w:lang w:val="en-US"/>
        </w:rPr>
        <w:t xml:space="preserve"> implementing SRK thermodynamic model.</w:t>
      </w:r>
    </w:p>
    <w:p w14:paraId="5BD9C51F" w14:textId="591FDD82" w:rsidR="0059166F" w:rsidRDefault="00943C0D" w:rsidP="00FE1FC0">
      <w:pPr>
        <w:rPr>
          <w:lang w:val="en-US"/>
        </w:rPr>
      </w:pPr>
      <w:r w:rsidRPr="00943C0D">
        <w:rPr>
          <w:lang w:val="en-US"/>
        </w:rPr>
        <w:t>The Soave–Redlich–</w:t>
      </w:r>
      <w:proofErr w:type="spellStart"/>
      <w:r w:rsidRPr="00943C0D">
        <w:rPr>
          <w:lang w:val="en-US"/>
        </w:rPr>
        <w:t>Kwong</w:t>
      </w:r>
      <w:proofErr w:type="spellEnd"/>
      <w:r w:rsidRPr="00943C0D">
        <w:rPr>
          <w:lang w:val="en-US"/>
        </w:rPr>
        <w:t xml:space="preserve"> (SRK) equation-of-state is implemented to improve phase equilibrium calculations in water–hydrocarbon systems and equation based calculations by using composition independent fugacity</w:t>
      </w:r>
      <w:r w:rsidR="00DD7A03">
        <w:rPr>
          <w:lang w:val="en-US"/>
        </w:rPr>
        <w:t xml:space="preserve"> </w:t>
      </w:r>
      <w:r w:rsidR="00DD7A03">
        <w:rPr>
          <w:lang w:val="en-US"/>
        </w:rPr>
        <w:fldChar w:fldCharType="begin" w:fldLock="1"/>
      </w:r>
      <w:r w:rsidR="00DD7A03">
        <w:rPr>
          <w:lang w:val="en-US"/>
        </w:rPr>
        <w:instrText>ADDIN CSL_CITATION {"citationItems":[{"id":"ITEM-1","itemData":{"DOI":"10.1002/9780470747537","ISBN":"9780470747537","abstract":"Using an applications perspective Thermodynamic Models for Industrial Applications provides a unified framework for the development of various thermodynamic models, ranging from the classical models to some of the most advanced ones. Among these are the Cubic Plus Association Equation of State (CPA EoS) and the Perturbed Chain Statistical Association Fluid Theory (PC-SAFT). These two advanced models are already in widespread use in industry and academia, especially within the oil and gas, chemical and polymer industries. Presenting both classical models such as the Cubic Equations of State and more advanced models such as the CPA, this book provides the critical starting point for choosing the most appropriate calculation method for accurate process simulations. Written by two of the developers of these models, Thermodynamic Models for Industrial Applications emphasizes model selection and model development and includes a useful \"which model for which application\" guide. It also covers industrial requirements as well as discusses the challenges of thermodynamics in the 21st Century.","author":[{"dropping-particle":"","family":"Kontogeorgis","given":"Georgios M.","non-dropping-particle":"","parse-names":false,"suffix":""},{"dropping-particle":"","family":"Folas","given":"Georgios K.","non-dropping-particle":"","parse-names":false,"suffix":""}],"container-title":"Thermodynamic Models for Industrial Applications: From Classical and Advanced Mixing Rules to Association Theories","id":"ITEM-1","issued":{"date-parts":[["2009"]]},"number-of-pages":"1-692","title":"Thermodynamic Models for Industrial Applications: From Classical and Advanced Mixing Rules to Association Theories","type":"book"},"uris":["http://www.mendeley.com/documents/?uuid=6e4103f2-df25-4924-a187-94d7180f6aa5"]}],"mendeley":{"formattedCitation":"(Kontogeorgis and Folas, 2009)","plainTextFormattedCitation":"(Kontogeorgis and Folas, 2009)"},"properties":{"noteIndex":0},"schema":"https://github.com/citation-style-language/schema/raw/master/csl-citation.json"}</w:instrText>
      </w:r>
      <w:r w:rsidR="00DD7A03">
        <w:rPr>
          <w:lang w:val="en-US"/>
        </w:rPr>
        <w:fldChar w:fldCharType="separate"/>
      </w:r>
      <w:r w:rsidR="00DD7A03" w:rsidRPr="00DD7A03">
        <w:rPr>
          <w:noProof/>
          <w:lang w:val="en-US"/>
        </w:rPr>
        <w:t>(Kontogeorgis and Folas, 2009)</w:t>
      </w:r>
      <w:r w:rsidR="00DD7A03">
        <w:rPr>
          <w:lang w:val="en-US"/>
        </w:rPr>
        <w:fldChar w:fldCharType="end"/>
      </w:r>
      <w:r w:rsidRPr="00943C0D">
        <w:rPr>
          <w:lang w:val="en-US"/>
        </w:rPr>
        <w:t>.</w:t>
      </w:r>
      <w:r w:rsidR="00FE1FC0" w:rsidRPr="00FE1FC0">
        <w:rPr>
          <w:lang w:val="en-US"/>
        </w:rPr>
        <w:t xml:space="preserve"> </w:t>
      </w:r>
      <w:r w:rsidR="00B24588">
        <w:rPr>
          <w:lang w:val="en-US"/>
        </w:rPr>
        <w:t>Methane r</w:t>
      </w:r>
      <w:r w:rsidR="00CB2BEF">
        <w:rPr>
          <w:lang w:val="en-US"/>
        </w:rPr>
        <w:t>eforming</w:t>
      </w:r>
      <w:r w:rsidR="00B24588">
        <w:rPr>
          <w:lang w:val="en-US"/>
        </w:rPr>
        <w:t xml:space="preserve"> (MR)</w:t>
      </w:r>
      <w:r w:rsidR="00FE1FC0" w:rsidRPr="00FE1FC0">
        <w:rPr>
          <w:lang w:val="en-US"/>
        </w:rPr>
        <w:t xml:space="preserve"> reactor and furnace models are simulated with a Gibbs Reactor avoiding the implementation of complete kinetic schemes and PFR reactors. This simplification is possible because the simulation concerns the steady-state case and in this condition, both reactions are close to the thermodynamic equilibrium </w:t>
      </w:r>
      <w:r w:rsidR="00E709B8">
        <w:rPr>
          <w:lang w:val="en-US"/>
        </w:rPr>
        <w:fldChar w:fldCharType="begin" w:fldLock="1"/>
      </w:r>
      <w:r w:rsidR="00C81C6D">
        <w:rPr>
          <w:lang w:val="en-US"/>
        </w:rPr>
        <w:instrText>ADDIN CSL_CITATION {"citationItems":[{"id":"ITEM-1","itemData":{"DOI":"10.1021/acs.iecr.0c00755","ISSN":"15205045","abstract":"Biogas is considered a renewable source of carbon for methanol production. For this, biogas, containing mainly CH4 and CO2, is first reformed into syngas (a CO/H2 mixture) followed by conversion to methanol. Conventional reformers, however, require additional upgrading steps to adjust the H2:CO ratio in syngas to 2:1; ideal for methanol synthesis. We formerly introduced the concept of bi-reforming that provides the ideal H2:CO ratio by combining dry and steam reforming in one stage without the need for additional syngas ratio adjustments. Based on these experimental bi-reforming findings, we have now developed a thermodynamic model to determine the optimal conditions for the highest possible carbon conversion and minimum coke formation. The proposed process based on bi-reforming was found to be an efficient alternative, delivering the ideal H2:CO ratio of 2 for methanol synthesis with no coke formation (a common challenge in conventional reformers) and complete carbon conversion at atmospheric pressure and temperatures of around 900 °C.","author":[{"dropping-particle":"","family":"Entesari","given":"Nazanin","non-dropping-particle":"","parse-names":false,"suffix":""},{"dropping-particle":"","family":"Goeppert","given":"Alain","non-dropping-particle":"","parse-names":false,"suffix":""},{"dropping-particle":"","family":"Prakash","given":"G. K.Surya","non-dropping-particle":"","parse-names":false,"suffix":""}],"container-title":"Industrial and Engineering Chemistry Research","id":"ITEM-1","issue":"22","issued":{"date-parts":[["2020"]]},"page":"10542-10551","title":"Renewable Methanol Synthesis through Single Step Bi-reforming of Biogas","type":"article-journal","volume":"59"},"uris":["http://www.mendeley.com/documents/?uuid=71c4adf6-bf3f-4840-9644-58442a5937e0","http://www.mendeley.com/documents/?uuid=6f78230e-b53c-4e03-8145-955fa737ea02"]}],"mendeley":{"formattedCitation":"(Entesari et al., 2020)","plainTextFormattedCitation":"(Entesari et al., 2020)","previouslyFormattedCitation":"(Entesari et al., 2020)"},"properties":{"noteIndex":0},"schema":"https://github.com/citation-style-language/schema/raw/master/csl-citation.json"}</w:instrText>
      </w:r>
      <w:r w:rsidR="00E709B8">
        <w:rPr>
          <w:lang w:val="en-US"/>
        </w:rPr>
        <w:fldChar w:fldCharType="separate"/>
      </w:r>
      <w:r w:rsidR="00C81C6D" w:rsidRPr="00C81C6D">
        <w:rPr>
          <w:noProof/>
          <w:lang w:val="en-US"/>
        </w:rPr>
        <w:t>(Entesari et al., 2020)</w:t>
      </w:r>
      <w:r w:rsidR="00E709B8">
        <w:rPr>
          <w:lang w:val="en-US"/>
        </w:rPr>
        <w:fldChar w:fldCharType="end"/>
      </w:r>
      <w:r w:rsidR="00E709B8">
        <w:rPr>
          <w:lang w:val="en-US"/>
        </w:rPr>
        <w:t>.</w:t>
      </w:r>
    </w:p>
    <w:p w14:paraId="25547ECA" w14:textId="74E38EFA" w:rsidR="00B329BE" w:rsidRDefault="00173DB2" w:rsidP="00FE1FC0">
      <w:pPr>
        <w:rPr>
          <w:lang w:val="en-US"/>
        </w:rPr>
      </w:pPr>
      <w:r>
        <w:rPr>
          <w:lang w:val="en-US"/>
        </w:rPr>
        <w:t xml:space="preserve">The reactions involved in </w:t>
      </w:r>
      <w:r w:rsidR="000C223B">
        <w:rPr>
          <w:lang w:val="en-US"/>
        </w:rPr>
        <w:t>reforming sections are:</w:t>
      </w:r>
    </w:p>
    <w:p w14:paraId="58F0F0A0" w14:textId="77777777" w:rsidR="00F54169" w:rsidRDefault="00F54169" w:rsidP="00FE1FC0">
      <w:pPr>
        <w:rPr>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6"/>
        <w:gridCol w:w="2926"/>
      </w:tblGrid>
      <w:tr w:rsidR="00F54169" w14:paraId="74B52AE0" w14:textId="77777777" w:rsidTr="00850B45">
        <w:tc>
          <w:tcPr>
            <w:tcW w:w="2925" w:type="dxa"/>
          </w:tcPr>
          <w:p w14:paraId="00EBBD18" w14:textId="3B8721A0" w:rsidR="00F54169" w:rsidRDefault="00B8420C" w:rsidP="00FE1FC0">
            <w:pPr>
              <w:rPr>
                <w:lang w:val="en-US"/>
              </w:rPr>
            </w:pPr>
            <w:r>
              <w:rPr>
                <w:lang w:val="en-US"/>
              </w:rPr>
              <w:t>Steam Reforming</w:t>
            </w:r>
          </w:p>
        </w:tc>
        <w:tc>
          <w:tcPr>
            <w:tcW w:w="2926" w:type="dxa"/>
          </w:tcPr>
          <w:p w14:paraId="6EC1E349" w14:textId="2AF027CB" w:rsidR="00F54169" w:rsidRDefault="001862B5" w:rsidP="00B8420C">
            <w:pPr>
              <w:jc w:val="center"/>
              <w:rPr>
                <w:lang w:val="en-US"/>
              </w:rPr>
            </w:pPr>
            <w:r w:rsidRPr="00C733A0">
              <w:rPr>
                <w:rFonts w:cs="Arial"/>
              </w:rPr>
              <w:t>CH</w:t>
            </w:r>
            <w:r w:rsidRPr="00C733A0">
              <w:rPr>
                <w:rFonts w:cs="Arial"/>
                <w:vertAlign w:val="subscript"/>
              </w:rPr>
              <w:t>4</w:t>
            </w:r>
            <w:r w:rsidRPr="00C733A0">
              <w:rPr>
                <w:rFonts w:cs="Arial"/>
              </w:rPr>
              <w:t xml:space="preserve"> + H</w:t>
            </w:r>
            <w:r w:rsidRPr="00C733A0">
              <w:rPr>
                <w:rFonts w:cs="Arial"/>
                <w:vertAlign w:val="subscript"/>
              </w:rPr>
              <w:t>2</w:t>
            </w:r>
            <w:r w:rsidRPr="00C733A0">
              <w:rPr>
                <w:rFonts w:cs="Arial"/>
              </w:rPr>
              <w:t>O ↔ CO + 3H</w:t>
            </w:r>
            <w:r w:rsidRPr="00C733A0">
              <w:rPr>
                <w:rFonts w:cs="Arial"/>
                <w:vertAlign w:val="subscript"/>
              </w:rPr>
              <w:t>2</w:t>
            </w:r>
          </w:p>
        </w:tc>
        <w:tc>
          <w:tcPr>
            <w:tcW w:w="2926" w:type="dxa"/>
          </w:tcPr>
          <w:p w14:paraId="1F394FC0" w14:textId="651C2208" w:rsidR="00F54169" w:rsidRDefault="00B8420C" w:rsidP="00B8420C">
            <w:pPr>
              <w:jc w:val="right"/>
              <w:rPr>
                <w:lang w:val="en-US"/>
              </w:rPr>
            </w:pPr>
            <w:r>
              <w:rPr>
                <w:lang w:val="en-US"/>
              </w:rPr>
              <w:t>(1)</w:t>
            </w:r>
          </w:p>
        </w:tc>
      </w:tr>
      <w:tr w:rsidR="00F54169" w14:paraId="69F99B68" w14:textId="77777777" w:rsidTr="00850B45">
        <w:tc>
          <w:tcPr>
            <w:tcW w:w="2925" w:type="dxa"/>
          </w:tcPr>
          <w:p w14:paraId="653AC111" w14:textId="6658B98B" w:rsidR="00F54169" w:rsidRDefault="00B8420C" w:rsidP="00FE1FC0">
            <w:pPr>
              <w:rPr>
                <w:lang w:val="en-US"/>
              </w:rPr>
            </w:pPr>
            <w:r>
              <w:rPr>
                <w:lang w:val="en-US"/>
              </w:rPr>
              <w:t>Dry Reforming</w:t>
            </w:r>
          </w:p>
        </w:tc>
        <w:tc>
          <w:tcPr>
            <w:tcW w:w="2926" w:type="dxa"/>
          </w:tcPr>
          <w:p w14:paraId="1A0DA662" w14:textId="7EC03AAB" w:rsidR="00F54169" w:rsidRDefault="00B311C9" w:rsidP="00B8420C">
            <w:pPr>
              <w:jc w:val="center"/>
              <w:rPr>
                <w:lang w:val="en-US"/>
              </w:rPr>
            </w:pPr>
            <w:r w:rsidRPr="0028000E">
              <w:rPr>
                <w:rFonts w:cs="Arial"/>
              </w:rPr>
              <w:t>CH</w:t>
            </w:r>
            <w:r w:rsidRPr="0028000E">
              <w:rPr>
                <w:rFonts w:cs="Arial"/>
                <w:vertAlign w:val="subscript"/>
              </w:rPr>
              <w:t>4</w:t>
            </w:r>
            <w:r w:rsidRPr="0028000E">
              <w:rPr>
                <w:rFonts w:cs="Arial"/>
              </w:rPr>
              <w:t xml:space="preserve"> + CO</w:t>
            </w:r>
            <w:r w:rsidRPr="0028000E">
              <w:rPr>
                <w:rFonts w:cs="Arial"/>
                <w:vertAlign w:val="subscript"/>
              </w:rPr>
              <w:t>2</w:t>
            </w:r>
            <w:r w:rsidRPr="0028000E">
              <w:rPr>
                <w:rFonts w:cs="Arial"/>
              </w:rPr>
              <w:t xml:space="preserve"> ↔ 2CO + 2H</w:t>
            </w:r>
            <w:r w:rsidRPr="0028000E">
              <w:rPr>
                <w:rFonts w:cs="Arial"/>
                <w:vertAlign w:val="subscript"/>
              </w:rPr>
              <w:t>2</w:t>
            </w:r>
          </w:p>
        </w:tc>
        <w:tc>
          <w:tcPr>
            <w:tcW w:w="2926" w:type="dxa"/>
          </w:tcPr>
          <w:p w14:paraId="18B4C516" w14:textId="3E29FDF3" w:rsidR="00F54169" w:rsidRDefault="00FA0D41" w:rsidP="00B8420C">
            <w:pPr>
              <w:jc w:val="right"/>
              <w:rPr>
                <w:lang w:val="en-US"/>
              </w:rPr>
            </w:pPr>
            <w:r>
              <w:rPr>
                <w:lang w:val="en-US"/>
              </w:rPr>
              <w:t>(2)</w:t>
            </w:r>
          </w:p>
        </w:tc>
      </w:tr>
      <w:tr w:rsidR="00F54169" w14:paraId="60EE5C8A" w14:textId="77777777" w:rsidTr="00850B45">
        <w:tc>
          <w:tcPr>
            <w:tcW w:w="2925" w:type="dxa"/>
          </w:tcPr>
          <w:p w14:paraId="27CBCA63" w14:textId="1F6E7230" w:rsidR="00F54169" w:rsidRDefault="00B8420C" w:rsidP="00FE1FC0">
            <w:pPr>
              <w:rPr>
                <w:lang w:val="en-US"/>
              </w:rPr>
            </w:pPr>
            <w:r>
              <w:rPr>
                <w:lang w:val="en-US"/>
              </w:rPr>
              <w:t>WGS</w:t>
            </w:r>
          </w:p>
        </w:tc>
        <w:tc>
          <w:tcPr>
            <w:tcW w:w="2926" w:type="dxa"/>
          </w:tcPr>
          <w:p w14:paraId="501FF721" w14:textId="616F81B7" w:rsidR="00F54169" w:rsidRDefault="00B8420C" w:rsidP="00B8420C">
            <w:pPr>
              <w:jc w:val="center"/>
              <w:rPr>
                <w:lang w:val="en-US"/>
              </w:rPr>
            </w:pPr>
            <w:r w:rsidRPr="00146BC6">
              <w:t>CO + H</w:t>
            </w:r>
            <w:r w:rsidRPr="00146BC6">
              <w:rPr>
                <w:vertAlign w:val="subscript"/>
              </w:rPr>
              <w:t>2</w:t>
            </w:r>
            <w:r w:rsidRPr="00146BC6">
              <w:t xml:space="preserve">O </w:t>
            </w:r>
            <w:r w:rsidRPr="00146BC6">
              <w:rPr>
                <w:rFonts w:cs="Arial"/>
              </w:rPr>
              <w:t>↔</w:t>
            </w:r>
            <w:r w:rsidRPr="00146BC6">
              <w:t xml:space="preserve"> CO</w:t>
            </w:r>
            <w:r w:rsidRPr="00146BC6">
              <w:rPr>
                <w:vertAlign w:val="subscript"/>
              </w:rPr>
              <w:t>2</w:t>
            </w:r>
            <w:r w:rsidRPr="00146BC6">
              <w:t xml:space="preserve"> + H</w:t>
            </w:r>
            <w:r w:rsidRPr="00146BC6">
              <w:rPr>
                <w:vertAlign w:val="subscript"/>
              </w:rPr>
              <w:t>2</w:t>
            </w:r>
          </w:p>
        </w:tc>
        <w:tc>
          <w:tcPr>
            <w:tcW w:w="2926" w:type="dxa"/>
          </w:tcPr>
          <w:p w14:paraId="75588B8B" w14:textId="184F9AC6" w:rsidR="00F54169" w:rsidRDefault="00FA0D41" w:rsidP="00FA0D41">
            <w:pPr>
              <w:jc w:val="right"/>
              <w:rPr>
                <w:lang w:val="en-US"/>
              </w:rPr>
            </w:pPr>
            <w:r>
              <w:rPr>
                <w:lang w:val="en-US"/>
              </w:rPr>
              <w:t>(3)</w:t>
            </w:r>
          </w:p>
        </w:tc>
      </w:tr>
    </w:tbl>
    <w:p w14:paraId="41E4C021" w14:textId="77777777" w:rsidR="000C223B" w:rsidRDefault="000C223B" w:rsidP="00FE1FC0">
      <w:pPr>
        <w:rPr>
          <w:lang w:val="en-US"/>
        </w:rPr>
      </w:pPr>
    </w:p>
    <w:p w14:paraId="55CB563B" w14:textId="7F76B20E" w:rsidR="004D617C" w:rsidRDefault="000D11EB" w:rsidP="00FE1FC0">
      <w:pPr>
        <w:rPr>
          <w:lang w:val="en-US"/>
        </w:rPr>
      </w:pPr>
      <w:r>
        <w:rPr>
          <w:lang w:val="en-US"/>
        </w:rPr>
        <w:t xml:space="preserve">Due to </w:t>
      </w:r>
      <w:r w:rsidR="00292EB5">
        <w:rPr>
          <w:lang w:val="en-US"/>
        </w:rPr>
        <w:t>diversity of operating conditions between industrial production and biorefinery, the model for methanol reactor is computed with refitted Graaf kinetic</w:t>
      </w:r>
      <w:r w:rsidR="003D54A8">
        <w:rPr>
          <w:lang w:val="en-US"/>
        </w:rPr>
        <w:t>s</w:t>
      </w:r>
      <w:r w:rsidR="00925993">
        <w:rPr>
          <w:lang w:val="en-US"/>
        </w:rPr>
        <w:t xml:space="preserve"> </w:t>
      </w:r>
      <w:r w:rsidR="00925993">
        <w:rPr>
          <w:lang w:val="en-US"/>
        </w:rPr>
        <w:fldChar w:fldCharType="begin" w:fldLock="1"/>
      </w:r>
      <w:r w:rsidR="00C81C6D">
        <w:rPr>
          <w:lang w:val="en-US"/>
        </w:rPr>
        <w:instrText>ADDIN CSL_CITATION {"citationItems":[{"id":"ITEM-1","itemData":{"DOI":"10.1016/0009-2509(88)85127-3","ISSN":"00092509","abstract":"The kinetics of low-pressure methanol synthesis, starting from CO, CO2 and hydrogen over a commercial CuZnAl catalyst, were studied in a spinning basket reactor at p = 15-50 bar and T = 210-245°C. The results show that methanol can be formed from both CO and CO2. Besides these two reactions the water-gas-shift reaction takes place. Based on these three reactions and a dual-site adsorption mechanism, 48 kinetic rate models are derived. Hydrogen is believed to adsorb dissociatively. The experimental results support this assumption. Based on χ2-statistics and consistency tests a final kinetic rate model is selected. This kinetic model gives a significantly better agreement with the experimental results than kinetic models taken from recent literature. © 1988.","author":[{"dropping-particle":"","family":"Graaf","given":"G. H.","non-dropping-particle":"","parse-names":false,"suffix":""},{"dropping-particle":"","family":"Stamhuis","given":"E. J.","non-dropping-particle":"","parse-names":false,"suffix":""},{"dropping-particle":"","family":"Beenackers","given":"A. A.C.M.","non-dropping-particle":"","parse-names":false,"suffix":""}],"container-title":"Chemical Engineering Science","id":"ITEM-1","issue":"12","issued":{"date-parts":[["1988"]]},"page":"3185-3195","title":"Kinetics of low-pressure methanol synthesis","type":"article-journal","volume":"43"},"uris":["http://www.mendeley.com/documents/?uuid=ac3311c9-fbec-472e-8194-590ee74a1ce2","http://www.mendeley.com/documents/?uuid=835790e2-6fee-44be-9f8b-dcaa19f478f3"]}],"mendeley":{"formattedCitation":"(Graaf et al., 1988)","plainTextFormattedCitation":"(Graaf et al., 1988)","previouslyFormattedCitation":"(Graaf et al., 1988)"},"properties":{"noteIndex":0},"schema":"https://github.com/citation-style-language/schema/raw/master/csl-citation.json"}</w:instrText>
      </w:r>
      <w:r w:rsidR="00925993">
        <w:rPr>
          <w:lang w:val="en-US"/>
        </w:rPr>
        <w:fldChar w:fldCharType="separate"/>
      </w:r>
      <w:r w:rsidR="00C81C6D" w:rsidRPr="00C81C6D">
        <w:rPr>
          <w:noProof/>
          <w:lang w:val="en-US"/>
        </w:rPr>
        <w:t>(Graaf et al., 1988)</w:t>
      </w:r>
      <w:r w:rsidR="00925993">
        <w:rPr>
          <w:lang w:val="en-US"/>
        </w:rPr>
        <w:fldChar w:fldCharType="end"/>
      </w:r>
      <w:r w:rsidR="00F3301E">
        <w:rPr>
          <w:lang w:val="en-US"/>
        </w:rPr>
        <w:t xml:space="preserve"> which are more suitable in mild conditions, typical of biogas plants</w:t>
      </w:r>
      <w:r w:rsidR="00925993">
        <w:rPr>
          <w:lang w:val="en-US"/>
        </w:rPr>
        <w:t xml:space="preserve"> </w:t>
      </w:r>
      <w:r w:rsidR="00925993">
        <w:rPr>
          <w:lang w:val="en-US"/>
        </w:rPr>
        <w:fldChar w:fldCharType="begin" w:fldLock="1"/>
      </w:r>
      <w:r w:rsidR="00C81C6D">
        <w:rPr>
          <w:lang w:val="en-US"/>
        </w:rPr>
        <w:instrText>ADDIN CSL_CITATION {"citationItems":[{"id":"ITEM-1","itemData":{"DOI":"10.1021/acs.iecr.1c02877","ISSN":"15205045","abstract":"Recently, methanol has gained increasing attention thanks to the variety of feedstocks suitable for its production and its low environmental impact granting the molecule a key role in future economic roadmaps as in Olah’s development model. Nowadays, fossil sources are not the exclusive sources to produce syngas: biogas is a promising alternative, leading to less severe operating conditions and smaller plant scales. The most widespread kinetic models for methanol synthesis, namely, the Graaf and the Vanden Bussche-Froment models, will be proven not to be fully adequate in characterizing these conditions. A robust refit is shown to outperform predictions from conventional models and follow recent trends in process operations. The refitted Graaf model is more flexible on the operating conditions and feed compositions, removing also some infeasible discontinuities present in conventional models. The final result is a more generalized and accurate Graaf’s model for methanol synthesis on CZA catalysts.","author":[{"dropping-particle":"","family":"Bisotti","given":"Filippo","non-dropping-particle":"","parse-names":false,"suffix":""},{"dropping-particle":"","family":"Fedeli","given":"Matteo","non-dropping-particle":"","parse-names":false,"suffix":""},{"dropping-particle":"","family":"Prifti","given":"Kristiano","non-dropping-particle":"","parse-names":false,"suffix":""},{"dropping-particle":"","family":"Galeazzi","given":"Andrea","non-dropping-particle":"","parse-names":false,"suffix":""},{"dropping-particle":"","family":"Dell’Angelo","given":"Anna","non-dropping-particle":"","parse-names":false,"suffix":""},{"dropping-particle":"","family":"Barbieri","given":"Massimo","non-dropping-particle":"","parse-names":false,"suffix":""},{"dropping-particle":"","family":"Pirola","given":"Carlo","non-dropping-particle":"","parse-names":false,"suffix":""},{"dropping-particle":"","family":"Bozzano","given":"Giulia","non-dropping-particle":"","parse-names":false,"suffix":""},{"dropping-particle":"","family":"Manenti","given":"Flavio","non-dropping-particle":"","parse-names":false,"suffix":""}],"container-title":"Industrial and Engineering Chemistry Research","id":"ITEM-1","issue":"44","issued":{"date-parts":[["2021"]]},"page":"16032-16053","title":"Century of Technology Trends in Methanol Synthesis: Any Need for Kinetics Refitting?","type":"article-journal","volume":"60"},"uris":["http://www.mendeley.com/documents/?uuid=d0c8a8bf-8e5f-4b0a-aab5-991e83c7347d","http://www.mendeley.com/documents/?uuid=fa443ed0-cf7a-4144-889b-74513596ab33"]}],"mendeley":{"formattedCitation":"(Bisotti et al., 2021)","plainTextFormattedCitation":"(Bisotti et al., 2021)","previouslyFormattedCitation":"(Bisotti et al., 2021)"},"properties":{"noteIndex":0},"schema":"https://github.com/citation-style-language/schema/raw/master/csl-citation.json"}</w:instrText>
      </w:r>
      <w:r w:rsidR="00925993">
        <w:rPr>
          <w:lang w:val="en-US"/>
        </w:rPr>
        <w:fldChar w:fldCharType="separate"/>
      </w:r>
      <w:r w:rsidR="00C81C6D" w:rsidRPr="00C81C6D">
        <w:rPr>
          <w:noProof/>
          <w:lang w:val="en-US"/>
        </w:rPr>
        <w:t>(Bisotti et al., 2021)</w:t>
      </w:r>
      <w:r w:rsidR="00925993">
        <w:rPr>
          <w:lang w:val="en-US"/>
        </w:rPr>
        <w:fldChar w:fldCharType="end"/>
      </w:r>
      <w:r w:rsidR="00925993">
        <w:rPr>
          <w:lang w:val="en-US"/>
        </w:rPr>
        <w:t>.</w:t>
      </w:r>
      <w:r w:rsidR="00F3301E">
        <w:rPr>
          <w:lang w:val="en-US"/>
        </w:rPr>
        <w:t>This kinetic model is added in Aspen HYSYS</w:t>
      </w:r>
      <w:r w:rsidR="00F2117C">
        <w:rPr>
          <w:rFonts w:cs="Arial"/>
          <w:vertAlign w:val="superscript"/>
          <w:lang w:val="en-US"/>
        </w:rPr>
        <w:t>®</w:t>
      </w:r>
      <w:r w:rsidR="00F3301E">
        <w:rPr>
          <w:lang w:val="en-US"/>
        </w:rPr>
        <w:t xml:space="preserve"> v11 plug flow reactor.</w:t>
      </w:r>
      <w:r w:rsidR="00FE1FC0" w:rsidRPr="00FE1FC0">
        <w:rPr>
          <w:lang w:val="en-US"/>
        </w:rPr>
        <w:t xml:space="preserve"> Side-reaction involved in the formation of higher alcohols and side-products are not investigated. The focus is the study of the chemical </w:t>
      </w:r>
      <w:r w:rsidR="00EB14FA" w:rsidRPr="00FE1FC0">
        <w:rPr>
          <w:lang w:val="en-US"/>
        </w:rPr>
        <w:t>behavior</w:t>
      </w:r>
      <w:r w:rsidR="00FE1FC0" w:rsidRPr="00FE1FC0">
        <w:rPr>
          <w:lang w:val="en-US"/>
        </w:rPr>
        <w:t xml:space="preserve"> of the process and the evaluation of the sensible parameters, the final purification of chemicals is not involved. </w:t>
      </w:r>
      <w:r w:rsidR="0060596C">
        <w:rPr>
          <w:lang w:val="en-US"/>
        </w:rPr>
        <w:t xml:space="preserve">Methanol synthesis passes through </w:t>
      </w:r>
      <w:r w:rsidR="004D617C">
        <w:rPr>
          <w:lang w:val="en-US"/>
        </w:rPr>
        <w:t>these reactions:</w:t>
      </w:r>
    </w:p>
    <w:p w14:paraId="50E170E7" w14:textId="77777777" w:rsidR="004D617C" w:rsidRDefault="004D617C" w:rsidP="00FE1FC0">
      <w:pPr>
        <w:rPr>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6"/>
        <w:gridCol w:w="2926"/>
      </w:tblGrid>
      <w:tr w:rsidR="004D617C" w14:paraId="79DB454E" w14:textId="77777777" w:rsidTr="00850B45">
        <w:tc>
          <w:tcPr>
            <w:tcW w:w="2925" w:type="dxa"/>
          </w:tcPr>
          <w:p w14:paraId="65F86533" w14:textId="0FEA7AD3" w:rsidR="004D617C" w:rsidRDefault="004D617C" w:rsidP="00B17B77">
            <w:pPr>
              <w:rPr>
                <w:lang w:val="en-US"/>
              </w:rPr>
            </w:pPr>
            <w:r>
              <w:rPr>
                <w:lang w:val="en-US"/>
              </w:rPr>
              <w:t>CO hydrogenation</w:t>
            </w:r>
          </w:p>
        </w:tc>
        <w:tc>
          <w:tcPr>
            <w:tcW w:w="2926" w:type="dxa"/>
          </w:tcPr>
          <w:p w14:paraId="054F5343" w14:textId="393FEBBE" w:rsidR="004D617C" w:rsidRDefault="00AB3EC0" w:rsidP="00B17B77">
            <w:pPr>
              <w:jc w:val="center"/>
              <w:rPr>
                <w:lang w:val="en-US"/>
              </w:rPr>
            </w:pPr>
            <w:r w:rsidRPr="00146BC6">
              <w:t>CO + 2H</w:t>
            </w:r>
            <w:r w:rsidRPr="00146BC6">
              <w:rPr>
                <w:vertAlign w:val="subscript"/>
              </w:rPr>
              <w:t>2</w:t>
            </w:r>
            <w:r w:rsidRPr="00146BC6">
              <w:t xml:space="preserve"> </w:t>
            </w:r>
            <w:r w:rsidRPr="00146BC6">
              <w:rPr>
                <w:rFonts w:cs="Arial"/>
              </w:rPr>
              <w:t>↔</w:t>
            </w:r>
            <w:r w:rsidRPr="00146BC6">
              <w:t xml:space="preserve"> CH</w:t>
            </w:r>
            <w:r w:rsidRPr="00146BC6">
              <w:rPr>
                <w:vertAlign w:val="subscript"/>
              </w:rPr>
              <w:t>3</w:t>
            </w:r>
            <w:r w:rsidRPr="00146BC6">
              <w:t>OH</w:t>
            </w:r>
          </w:p>
        </w:tc>
        <w:tc>
          <w:tcPr>
            <w:tcW w:w="2926" w:type="dxa"/>
          </w:tcPr>
          <w:p w14:paraId="4F39DCDF" w14:textId="10CB083D" w:rsidR="004D617C" w:rsidRDefault="004D617C" w:rsidP="00B17B77">
            <w:pPr>
              <w:jc w:val="right"/>
              <w:rPr>
                <w:lang w:val="en-US"/>
              </w:rPr>
            </w:pPr>
            <w:r>
              <w:rPr>
                <w:lang w:val="en-US"/>
              </w:rPr>
              <w:t>(</w:t>
            </w:r>
            <w:r w:rsidR="00BF0EAC">
              <w:rPr>
                <w:lang w:val="en-US"/>
              </w:rPr>
              <w:t>4</w:t>
            </w:r>
            <w:r>
              <w:rPr>
                <w:lang w:val="en-US"/>
              </w:rPr>
              <w:t>)</w:t>
            </w:r>
          </w:p>
        </w:tc>
      </w:tr>
      <w:tr w:rsidR="004D617C" w14:paraId="44FDDC2C" w14:textId="77777777" w:rsidTr="00850B45">
        <w:tc>
          <w:tcPr>
            <w:tcW w:w="2925" w:type="dxa"/>
          </w:tcPr>
          <w:p w14:paraId="6BFEA98F" w14:textId="13D7F3CE" w:rsidR="004D617C" w:rsidRPr="004D617C" w:rsidRDefault="004D617C" w:rsidP="00B17B77">
            <w:pPr>
              <w:rPr>
                <w:lang w:val="en-US"/>
              </w:rPr>
            </w:pPr>
            <w:r>
              <w:rPr>
                <w:lang w:val="en-US"/>
              </w:rPr>
              <w:t>CO</w:t>
            </w:r>
            <w:r>
              <w:rPr>
                <w:vertAlign w:val="subscript"/>
                <w:lang w:val="en-US"/>
              </w:rPr>
              <w:t>2</w:t>
            </w:r>
            <w:r>
              <w:rPr>
                <w:lang w:val="en-US"/>
              </w:rPr>
              <w:t xml:space="preserve"> hydrogenation</w:t>
            </w:r>
          </w:p>
        </w:tc>
        <w:tc>
          <w:tcPr>
            <w:tcW w:w="2926" w:type="dxa"/>
          </w:tcPr>
          <w:p w14:paraId="23BBC644" w14:textId="29121DB3" w:rsidR="004D617C" w:rsidRDefault="00BF0EAC" w:rsidP="00B17B77">
            <w:pPr>
              <w:jc w:val="center"/>
              <w:rPr>
                <w:lang w:val="en-US"/>
              </w:rPr>
            </w:pPr>
            <w:r w:rsidRPr="00146BC6">
              <w:t>CO</w:t>
            </w:r>
            <w:r w:rsidRPr="00146BC6">
              <w:rPr>
                <w:vertAlign w:val="subscript"/>
              </w:rPr>
              <w:t>2</w:t>
            </w:r>
            <w:r w:rsidRPr="00146BC6">
              <w:t xml:space="preserve"> + 3H</w:t>
            </w:r>
            <w:r w:rsidRPr="00146BC6">
              <w:rPr>
                <w:vertAlign w:val="subscript"/>
              </w:rPr>
              <w:t>2</w:t>
            </w:r>
            <w:r w:rsidRPr="00146BC6">
              <w:t xml:space="preserve"> </w:t>
            </w:r>
            <w:r w:rsidRPr="00146BC6">
              <w:rPr>
                <w:rFonts w:cs="Arial"/>
              </w:rPr>
              <w:t>↔</w:t>
            </w:r>
            <w:r w:rsidRPr="00146BC6">
              <w:t xml:space="preserve"> CH</w:t>
            </w:r>
            <w:r w:rsidRPr="00146BC6">
              <w:rPr>
                <w:vertAlign w:val="subscript"/>
              </w:rPr>
              <w:t>3</w:t>
            </w:r>
            <w:r w:rsidRPr="00146BC6">
              <w:t>OH + H</w:t>
            </w:r>
            <w:r w:rsidRPr="00146BC6">
              <w:rPr>
                <w:vertAlign w:val="subscript"/>
              </w:rPr>
              <w:t>2</w:t>
            </w:r>
            <w:r w:rsidRPr="00146BC6">
              <w:t>O</w:t>
            </w:r>
          </w:p>
        </w:tc>
        <w:tc>
          <w:tcPr>
            <w:tcW w:w="2926" w:type="dxa"/>
          </w:tcPr>
          <w:p w14:paraId="75B1E728" w14:textId="3D46D6C4" w:rsidR="004D617C" w:rsidRDefault="004D617C" w:rsidP="00B17B77">
            <w:pPr>
              <w:jc w:val="right"/>
              <w:rPr>
                <w:lang w:val="en-US"/>
              </w:rPr>
            </w:pPr>
            <w:r>
              <w:rPr>
                <w:lang w:val="en-US"/>
              </w:rPr>
              <w:t>(</w:t>
            </w:r>
            <w:r w:rsidR="00BF0EAC">
              <w:rPr>
                <w:lang w:val="en-US"/>
              </w:rPr>
              <w:t>5</w:t>
            </w:r>
            <w:r>
              <w:rPr>
                <w:lang w:val="en-US"/>
              </w:rPr>
              <w:t>)</w:t>
            </w:r>
          </w:p>
        </w:tc>
      </w:tr>
      <w:tr w:rsidR="004D617C" w14:paraId="290B1FCD" w14:textId="77777777" w:rsidTr="00850B45">
        <w:tc>
          <w:tcPr>
            <w:tcW w:w="2925" w:type="dxa"/>
          </w:tcPr>
          <w:p w14:paraId="59F45A86" w14:textId="77777777" w:rsidR="004D617C" w:rsidRDefault="004D617C" w:rsidP="00B17B77">
            <w:pPr>
              <w:rPr>
                <w:lang w:val="en-US"/>
              </w:rPr>
            </w:pPr>
            <w:r>
              <w:rPr>
                <w:lang w:val="en-US"/>
              </w:rPr>
              <w:t>WGS</w:t>
            </w:r>
          </w:p>
        </w:tc>
        <w:tc>
          <w:tcPr>
            <w:tcW w:w="2926" w:type="dxa"/>
          </w:tcPr>
          <w:p w14:paraId="0E41BF05" w14:textId="51C506AA" w:rsidR="004D617C" w:rsidRDefault="004E7064" w:rsidP="00B17B77">
            <w:pPr>
              <w:jc w:val="center"/>
              <w:rPr>
                <w:lang w:val="en-US"/>
              </w:rPr>
            </w:pPr>
            <w:r w:rsidRPr="00146BC6">
              <w:t>CO + H</w:t>
            </w:r>
            <w:r w:rsidRPr="00146BC6">
              <w:rPr>
                <w:vertAlign w:val="subscript"/>
              </w:rPr>
              <w:t>2</w:t>
            </w:r>
            <w:r w:rsidRPr="00146BC6">
              <w:t xml:space="preserve">O </w:t>
            </w:r>
            <w:r w:rsidRPr="00146BC6">
              <w:rPr>
                <w:rFonts w:cs="Arial"/>
              </w:rPr>
              <w:t>↔</w:t>
            </w:r>
            <w:r w:rsidRPr="00146BC6">
              <w:t xml:space="preserve"> CO</w:t>
            </w:r>
            <w:r w:rsidRPr="00146BC6">
              <w:rPr>
                <w:vertAlign w:val="subscript"/>
              </w:rPr>
              <w:t>2</w:t>
            </w:r>
            <w:r w:rsidRPr="00146BC6">
              <w:t xml:space="preserve"> + H</w:t>
            </w:r>
            <w:r w:rsidRPr="00146BC6">
              <w:rPr>
                <w:vertAlign w:val="subscript"/>
              </w:rPr>
              <w:t>2</w:t>
            </w:r>
          </w:p>
        </w:tc>
        <w:tc>
          <w:tcPr>
            <w:tcW w:w="2926" w:type="dxa"/>
          </w:tcPr>
          <w:p w14:paraId="0B49CB5B" w14:textId="4F074339" w:rsidR="004D617C" w:rsidRDefault="004D617C" w:rsidP="00B17B77">
            <w:pPr>
              <w:jc w:val="right"/>
              <w:rPr>
                <w:lang w:val="en-US"/>
              </w:rPr>
            </w:pPr>
            <w:r>
              <w:rPr>
                <w:lang w:val="en-US"/>
              </w:rPr>
              <w:t>(</w:t>
            </w:r>
            <w:r w:rsidR="00BF0EAC">
              <w:rPr>
                <w:lang w:val="en-US"/>
              </w:rPr>
              <w:t>6</w:t>
            </w:r>
            <w:r>
              <w:rPr>
                <w:lang w:val="en-US"/>
              </w:rPr>
              <w:t>)</w:t>
            </w:r>
          </w:p>
        </w:tc>
      </w:tr>
    </w:tbl>
    <w:p w14:paraId="46D610B1" w14:textId="77777777" w:rsidR="00A51409" w:rsidRDefault="00A51409" w:rsidP="00FE1FC0">
      <w:pPr>
        <w:rPr>
          <w:lang w:val="en-US"/>
        </w:rPr>
      </w:pPr>
    </w:p>
    <w:p w14:paraId="3416E02A" w14:textId="1E41368A" w:rsidR="0028212D" w:rsidRDefault="00592E0F" w:rsidP="00FE1FC0">
      <w:pPr>
        <w:rPr>
          <w:lang w:val="en-US"/>
        </w:rPr>
      </w:pPr>
      <w:r w:rsidRPr="00592E0F">
        <w:rPr>
          <w:lang w:val="en-US"/>
        </w:rPr>
        <w:t xml:space="preserve">For the sake of simplicity and clarity, </w:t>
      </w:r>
      <w:r w:rsidR="005B0C3D">
        <w:rPr>
          <w:lang w:val="en-US"/>
        </w:rPr>
        <w:fldChar w:fldCharType="begin"/>
      </w:r>
      <w:r w:rsidR="005B0C3D">
        <w:rPr>
          <w:lang w:val="en-US"/>
        </w:rPr>
        <w:instrText xml:space="preserve"> REF _Ref93409052 \h </w:instrText>
      </w:r>
      <w:r w:rsidR="005B0C3D">
        <w:rPr>
          <w:lang w:val="en-US"/>
        </w:rPr>
      </w:r>
      <w:r w:rsidR="005B0C3D">
        <w:rPr>
          <w:lang w:val="en-US"/>
        </w:rPr>
        <w:fldChar w:fldCharType="separate"/>
      </w:r>
      <w:r w:rsidR="005B0C3D">
        <w:t xml:space="preserve">Figure </w:t>
      </w:r>
      <w:r w:rsidR="005B0C3D">
        <w:rPr>
          <w:noProof/>
        </w:rPr>
        <w:t>1</w:t>
      </w:r>
      <w:r w:rsidR="005B0C3D">
        <w:rPr>
          <w:lang w:val="en-US"/>
        </w:rPr>
        <w:fldChar w:fldCharType="end"/>
      </w:r>
      <w:r w:rsidRPr="00592E0F">
        <w:rPr>
          <w:lang w:val="en-US"/>
        </w:rPr>
        <w:t xml:space="preserve"> is shown the basic flowsheet of the process instead of Aspen HYSIS</w:t>
      </w:r>
      <w:r w:rsidR="00192E5D">
        <w:rPr>
          <w:rFonts w:cs="Arial"/>
          <w:vertAlign w:val="superscript"/>
          <w:lang w:val="en-US"/>
        </w:rPr>
        <w:t>®</w:t>
      </w:r>
      <w:r w:rsidRPr="00592E0F">
        <w:rPr>
          <w:lang w:val="en-US"/>
        </w:rPr>
        <w:t xml:space="preserve"> layout.</w:t>
      </w:r>
      <w:r w:rsidR="00E26CF6">
        <w:rPr>
          <w:lang w:val="en-US"/>
        </w:rPr>
        <w:t xml:space="preserve"> </w:t>
      </w:r>
    </w:p>
    <w:p w14:paraId="4B718BDB" w14:textId="77777777" w:rsidR="0028212D" w:rsidRDefault="0028212D" w:rsidP="00FE1FC0">
      <w:pPr>
        <w:rPr>
          <w:lang w:val="en-US"/>
        </w:rPr>
      </w:pPr>
    </w:p>
    <w:p w14:paraId="108BAD10" w14:textId="77777777" w:rsidR="0028212D" w:rsidRDefault="0028212D" w:rsidP="0028212D">
      <w:pPr>
        <w:keepNext/>
        <w:jc w:val="left"/>
      </w:pPr>
      <w:r>
        <w:rPr>
          <w:noProof/>
          <w:lang w:val="en-US"/>
        </w:rPr>
        <w:drawing>
          <wp:inline distT="0" distB="0" distL="0" distR="0" wp14:anchorId="5DEFC412" wp14:editId="5241BEBB">
            <wp:extent cx="5483885" cy="2869569"/>
            <wp:effectExtent l="0" t="0" r="254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2"/>
                    <a:stretch>
                      <a:fillRect/>
                    </a:stretch>
                  </pic:blipFill>
                  <pic:spPr>
                    <a:xfrm>
                      <a:off x="0" y="0"/>
                      <a:ext cx="5483885" cy="2869569"/>
                    </a:xfrm>
                    <a:prstGeom prst="rect">
                      <a:avLst/>
                    </a:prstGeom>
                  </pic:spPr>
                </pic:pic>
              </a:graphicData>
            </a:graphic>
          </wp:inline>
        </w:drawing>
      </w:r>
    </w:p>
    <w:p w14:paraId="05049069" w14:textId="3FD0EDC6" w:rsidR="0028212D" w:rsidRDefault="0028212D" w:rsidP="0028212D">
      <w:pPr>
        <w:pStyle w:val="CETCaption"/>
        <w:rPr>
          <w:lang w:val="en-US"/>
        </w:rPr>
      </w:pPr>
      <w:bookmarkStart w:id="2" w:name="_Ref93409052"/>
      <w:r>
        <w:t xml:space="preserve">Figure </w:t>
      </w:r>
      <w:r>
        <w:fldChar w:fldCharType="begin"/>
      </w:r>
      <w:r>
        <w:instrText xml:space="preserve"> SEQ Figure \* ARABIC </w:instrText>
      </w:r>
      <w:r>
        <w:fldChar w:fldCharType="separate"/>
      </w:r>
      <w:r>
        <w:rPr>
          <w:noProof/>
        </w:rPr>
        <w:t>1</w:t>
      </w:r>
      <w:r>
        <w:fldChar w:fldCharType="end"/>
      </w:r>
      <w:bookmarkEnd w:id="2"/>
      <w:r w:rsidR="003A298F">
        <w:t>:</w:t>
      </w:r>
      <w:r>
        <w:t xml:space="preserve"> </w:t>
      </w:r>
      <w:r w:rsidRPr="00DA5B3C">
        <w:t>Conceptual flowsheet of DME synthesis plant</w:t>
      </w:r>
    </w:p>
    <w:p w14:paraId="4AFA3E47" w14:textId="72243606" w:rsidR="003E7203" w:rsidRDefault="00592E0F" w:rsidP="0028212D">
      <w:r w:rsidRPr="00592E0F">
        <w:rPr>
          <w:lang w:val="en-US"/>
        </w:rPr>
        <w:t>Biogas feedstock rich in H</w:t>
      </w:r>
      <w:r w:rsidR="005C5EAC">
        <w:rPr>
          <w:vertAlign w:val="subscript"/>
          <w:lang w:val="en-US"/>
        </w:rPr>
        <w:t>2</w:t>
      </w:r>
      <w:r w:rsidRPr="00592E0F">
        <w:rPr>
          <w:lang w:val="en-US"/>
        </w:rPr>
        <w:t xml:space="preserve">S requires the abatement in Biogas Filters to avoid corrosion of unit and degradation of catalyst </w:t>
      </w:r>
      <w:r w:rsidR="00572BC3">
        <w:rPr>
          <w:lang w:val="en-US"/>
        </w:rPr>
        <w:fldChar w:fldCharType="begin" w:fldLock="1"/>
      </w:r>
      <w:r w:rsidR="00C81C6D">
        <w:rPr>
          <w:lang w:val="en-US"/>
        </w:rPr>
        <w:instrText>ADDIN CSL_CITATION {"citationItems":[{"id":"ITEM-1","itemData":{"DOI":"10.1016/j.jcou.2019.05.033","ISSN":"22129820","abstract":"Minimizing CO2 emission into the atmosphere to prevent climate change has required immense efforts from us. Flue gases from fossil fuel-based power plants and many heavy industries are considered main anthropogenic sources of releasing CO2. Although there is a popular solution to mitigate CO2 through CO2 capture and storage, its cost is still quite significant, and this prevents broad application. A newly proposed process to convert flue gases into methanol has grabbed a headline because it offers an opportunity to alleviate CO2 emissions and delivers a way to produce methanol (MeOH) from recycling feedstock. In this work, three approaches for mitigating CO2 including hydrogenation, bi- and tri-reforming are investigated for methanol production at three different capacities (300, 1500, and 3500 ton/day). The environmental and economic consequences are evaluated as a primary implementation for green process design. These evaluations pointed out that the processes based on reforming are the most appropriate direction for employment during the transition step of producing methanol from a carbon-based- to carbon-free program whereas the hydrogenation-based processes with hydrogen from renewable sources could be the proper implementation scenarios for a long-term plan to obtain near-zero emissions.","author":[{"dropping-particle":"","family":"Nguyen","given":"Tuan B.H.","non-dropping-particle":"","parse-names":false,"suffix":""},{"dropping-particle":"","family":"Zondervan","given":"Edwin","non-dropping-particle":"","parse-names":false,"suffix":""}],"container-title":"Journal of CO2 Utilization","id":"ITEM-1","issue":"January","issued":{"date-parts":[["2019"]]},"page":"1-11","publisher":"Elsevier","title":"Methanol production from captured CO2 using hydrogenation and reforming technologies- environmental and economic evaluation","type":"article-journal","volume":"34"},"uris":["http://www.mendeley.com/documents/?uuid=c608b757-22d2-40fa-a67f-4166613179c6","http://www.mendeley.com/documents/?uuid=8ecbb490-fe9c-482a-bbc1-822934848f6e"]}],"mendeley":{"formattedCitation":"(Nguyen and Zondervan, 2019)","plainTextFormattedCitation":"(Nguyen and Zondervan, 2019)","previouslyFormattedCitation":"(Nguyen and Zondervan, 2019)"},"properties":{"noteIndex":0},"schema":"https://github.com/citation-style-language/schema/raw/master/csl-citation.json"}</w:instrText>
      </w:r>
      <w:r w:rsidR="00572BC3">
        <w:rPr>
          <w:lang w:val="en-US"/>
        </w:rPr>
        <w:fldChar w:fldCharType="separate"/>
      </w:r>
      <w:r w:rsidR="00C81C6D" w:rsidRPr="00C81C6D">
        <w:rPr>
          <w:noProof/>
          <w:lang w:val="en-US"/>
        </w:rPr>
        <w:t>(Nguyen and Zondervan, 2019)</w:t>
      </w:r>
      <w:r w:rsidR="00572BC3">
        <w:rPr>
          <w:lang w:val="en-US"/>
        </w:rPr>
        <w:fldChar w:fldCharType="end"/>
      </w:r>
      <w:r w:rsidR="00572BC3">
        <w:rPr>
          <w:lang w:val="en-US"/>
        </w:rPr>
        <w:t xml:space="preserve"> </w:t>
      </w:r>
      <w:r w:rsidRPr="00592E0F">
        <w:rPr>
          <w:lang w:val="en-US"/>
        </w:rPr>
        <w:t>and enters in the compressor K1 with outlet pressure of 1</w:t>
      </w:r>
      <w:r w:rsidR="005C5EAC">
        <w:rPr>
          <w:lang w:val="en-US"/>
        </w:rPr>
        <w:t>3</w:t>
      </w:r>
      <w:r w:rsidRPr="00592E0F">
        <w:rPr>
          <w:lang w:val="en-US"/>
        </w:rPr>
        <w:t xml:space="preserve"> bara. It passes in a feed-effluent heat exchanger (E1) which allows the heating of the reagents with the enthalpy of the hot syngas exiting the reforming </w:t>
      </w:r>
      <w:r w:rsidR="005C5EAC">
        <w:rPr>
          <w:lang w:val="en-US"/>
        </w:rPr>
        <w:t>unit</w:t>
      </w:r>
      <w:r w:rsidRPr="00592E0F">
        <w:rPr>
          <w:lang w:val="en-US"/>
        </w:rPr>
        <w:t>. Pressurized water (@1</w:t>
      </w:r>
      <w:r w:rsidR="005C5EAC">
        <w:rPr>
          <w:lang w:val="en-US"/>
        </w:rPr>
        <w:t>3</w:t>
      </w:r>
      <w:r w:rsidRPr="00592E0F">
        <w:rPr>
          <w:lang w:val="en-US"/>
        </w:rPr>
        <w:t xml:space="preserve"> bara) contacts the hot biogas in the mixer before the reactions. The MR chemical conversion happens at 850-950 °C and pressure of 1</w:t>
      </w:r>
      <w:r w:rsidR="00F51696">
        <w:rPr>
          <w:lang w:val="en-US"/>
        </w:rPr>
        <w:t>3</w:t>
      </w:r>
      <w:r w:rsidRPr="00592E0F">
        <w:rPr>
          <w:lang w:val="en-US"/>
        </w:rPr>
        <w:t xml:space="preserve"> bara, the outlet products (humid syngas and traces of unconverted CH</w:t>
      </w:r>
      <w:r w:rsidR="00F51696">
        <w:rPr>
          <w:vertAlign w:val="subscript"/>
          <w:lang w:val="en-US"/>
        </w:rPr>
        <w:t>4</w:t>
      </w:r>
      <w:r w:rsidRPr="00592E0F">
        <w:rPr>
          <w:lang w:val="en-US"/>
        </w:rPr>
        <w:t xml:space="preserve"> and CO</w:t>
      </w:r>
      <w:r w:rsidR="00F51696">
        <w:rPr>
          <w:vertAlign w:val="subscript"/>
          <w:lang w:val="en-US"/>
        </w:rPr>
        <w:t>2</w:t>
      </w:r>
      <w:r w:rsidRPr="00592E0F">
        <w:rPr>
          <w:lang w:val="en-US"/>
        </w:rPr>
        <w:t>) pass through E1 unit to preheat the compressed biogas. Despite heat recovery, hot syngas needs to be further cooled in E2 before entering in dewatering separator V1. This condensing unit recovers water sending back in the recycle loop of the MR reagents, since parts of it are converted through reactions (</w:t>
      </w:r>
      <w:r w:rsidR="00154310">
        <w:rPr>
          <w:lang w:val="en-US"/>
        </w:rPr>
        <w:t>1</w:t>
      </w:r>
      <w:r w:rsidRPr="00592E0F">
        <w:rPr>
          <w:lang w:val="en-US"/>
        </w:rPr>
        <w:t xml:space="preserve">) an external integration is mandatory to ensure the optimal C/steam ratio. The </w:t>
      </w:r>
      <w:r w:rsidRPr="00592E0F">
        <w:rPr>
          <w:lang w:val="en-US"/>
        </w:rPr>
        <w:lastRenderedPageBreak/>
        <w:t xml:space="preserve">gas-phase exiting V1 is anhydrous syngas, it passes in compressor two-stages compressor to reach the desired pressure of </w:t>
      </w:r>
      <w:r w:rsidR="00A267DE">
        <w:rPr>
          <w:lang w:val="en-US"/>
        </w:rPr>
        <w:t>6</w:t>
      </w:r>
      <w:r w:rsidRPr="00592E0F">
        <w:rPr>
          <w:lang w:val="en-US"/>
        </w:rPr>
        <w:t>0 bara. After this operation, hot syngas is heated up in E3 to 2</w:t>
      </w:r>
      <w:r w:rsidR="00A267DE">
        <w:rPr>
          <w:lang w:val="en-US"/>
        </w:rPr>
        <w:t>5</w:t>
      </w:r>
      <w:r w:rsidRPr="00592E0F">
        <w:rPr>
          <w:lang w:val="en-US"/>
        </w:rPr>
        <w:t>0 °C before entering the</w:t>
      </w:r>
      <w:r w:rsidR="00A267DE">
        <w:rPr>
          <w:lang w:val="en-US"/>
        </w:rPr>
        <w:t xml:space="preserve"> Methanol </w:t>
      </w:r>
      <w:r w:rsidRPr="00592E0F">
        <w:rPr>
          <w:lang w:val="en-US"/>
        </w:rPr>
        <w:t>Reactor, modelled with kinetic equations, where take place the</w:t>
      </w:r>
      <w:r w:rsidR="00A267DE">
        <w:rPr>
          <w:lang w:val="en-US"/>
        </w:rPr>
        <w:t xml:space="preserve"> methanol</w:t>
      </w:r>
      <w:r w:rsidRPr="00592E0F">
        <w:rPr>
          <w:lang w:val="en-US"/>
        </w:rPr>
        <w:t xml:space="preserve"> </w:t>
      </w:r>
      <w:r w:rsidR="00A267DE">
        <w:rPr>
          <w:lang w:val="en-US"/>
        </w:rPr>
        <w:t>conversion</w:t>
      </w:r>
      <w:r w:rsidRPr="00592E0F">
        <w:rPr>
          <w:lang w:val="en-US"/>
        </w:rPr>
        <w:t xml:space="preserve">. The Gas Hourly Space Velocity (GHSV) has values between </w:t>
      </w:r>
      <w:r w:rsidR="003C686D">
        <w:rPr>
          <w:lang w:val="en-US"/>
        </w:rPr>
        <w:t>10,000</w:t>
      </w:r>
      <w:r w:rsidRPr="00592E0F">
        <w:rPr>
          <w:lang w:val="en-US"/>
        </w:rPr>
        <w:t>-</w:t>
      </w:r>
      <w:r w:rsidR="003C686D">
        <w:rPr>
          <w:lang w:val="en-US"/>
        </w:rPr>
        <w:t>2</w:t>
      </w:r>
      <w:r w:rsidRPr="00592E0F">
        <w:rPr>
          <w:lang w:val="en-US"/>
        </w:rPr>
        <w:t>0,000 h</w:t>
      </w:r>
      <w:r w:rsidR="00B24588">
        <w:rPr>
          <w:vertAlign w:val="superscript"/>
          <w:lang w:val="en-US"/>
        </w:rPr>
        <w:t>-1</w:t>
      </w:r>
      <w:r w:rsidR="0067580B">
        <w:rPr>
          <w:lang w:val="en-US"/>
        </w:rPr>
        <w:t xml:space="preserve"> acc</w:t>
      </w:r>
      <w:r w:rsidR="00616B1F">
        <w:rPr>
          <w:lang w:val="en-US"/>
        </w:rPr>
        <w:t xml:space="preserve">ording to typical space velocity of methanol converter as Lurgi, ICI, Haldor-Topsoe </w:t>
      </w:r>
      <w:r w:rsidR="00E249FC">
        <w:rPr>
          <w:lang w:val="en-US"/>
        </w:rPr>
        <w:t xml:space="preserve">configurations </w:t>
      </w:r>
      <w:r w:rsidR="001C407A">
        <w:rPr>
          <w:lang w:val="en-US"/>
        </w:rPr>
        <w:fldChar w:fldCharType="begin" w:fldLock="1"/>
      </w:r>
      <w:r w:rsidR="009C210C">
        <w:rPr>
          <w:lang w:val="en-US"/>
        </w:rPr>
        <w:instrText>ADDIN CSL_CITATION {"citationItems":[{"id":"ITEM-1","itemData":{"ISBN":"205651317X","author":[{"dropping-particle":"","family":"Matthey","given":"Johnson","non-dropping-particle":"","parse-names":false,"suffix":""},{"dropping-particle":"","family":"Box","given":"P O","non-dropping-particle":"","parse-names":false,"suffix":""},{"dropping-particle":"","family":"Avenue","given":"Belasis","non-dropping-particle":"","parse-names":false,"suffix":""}],"id":"ITEM-1","issue":"3","issued":{"date-parts":[["2017"]]},"page":"172-182","title":"Methanol Production – A Technical History","type":"article-journal"},"uris":["http://www.mendeley.com/documents/?uuid=5404fdb5-edfe-49f2-b51c-901c1f5a9047"]}],"mendeley":{"formattedCitation":"(Matthey et al., 2017)","plainTextFormattedCitation":"(Matthey et al., 2017)","previouslyFormattedCitation":"(Matthey et al., 2017)"},"properties":{"noteIndex":0},"schema":"https://github.com/citation-style-language/schema/raw/master/csl-citation.json"}</w:instrText>
      </w:r>
      <w:r w:rsidR="001C407A">
        <w:rPr>
          <w:lang w:val="en-US"/>
        </w:rPr>
        <w:fldChar w:fldCharType="separate"/>
      </w:r>
      <w:r w:rsidR="001C407A" w:rsidRPr="001C407A">
        <w:rPr>
          <w:noProof/>
          <w:lang w:val="en-US"/>
        </w:rPr>
        <w:t>(Matthey et al., 2017)</w:t>
      </w:r>
      <w:r w:rsidR="001C407A">
        <w:rPr>
          <w:lang w:val="en-US"/>
        </w:rPr>
        <w:fldChar w:fldCharType="end"/>
      </w:r>
      <w:r w:rsidR="00483896">
        <w:rPr>
          <w:lang w:val="en-US"/>
        </w:rPr>
        <w:t xml:space="preserve"> and</w:t>
      </w:r>
      <w:r w:rsidRPr="00592E0F">
        <w:rPr>
          <w:lang w:val="en-US"/>
        </w:rPr>
        <w:t xml:space="preserve"> depending on the recycle ratio implemented in the mixer of the recycling loop. Exiting the isothermal fixed bed reactors, the mix of products (</w:t>
      </w:r>
      <w:r w:rsidR="003C686D">
        <w:rPr>
          <w:lang w:val="en-US"/>
        </w:rPr>
        <w:t>methanol</w:t>
      </w:r>
      <w:r w:rsidRPr="00592E0F">
        <w:rPr>
          <w:lang w:val="en-US"/>
        </w:rPr>
        <w:t xml:space="preserve">, </w:t>
      </w:r>
      <w:r w:rsidR="003C686D">
        <w:rPr>
          <w:lang w:val="en-US"/>
        </w:rPr>
        <w:t>water</w:t>
      </w:r>
      <w:r w:rsidRPr="00592E0F">
        <w:rPr>
          <w:lang w:val="en-US"/>
        </w:rPr>
        <w:t>, and unconverted syngas) contact the cooler E4 before the raw separation in the separator V2 which allows the separation of light gases from the liquid phase rich in MeOH and H</w:t>
      </w:r>
      <w:r w:rsidR="003C686D">
        <w:rPr>
          <w:vertAlign w:val="subscript"/>
          <w:lang w:val="en-US"/>
        </w:rPr>
        <w:t>2</w:t>
      </w:r>
      <w:r w:rsidRPr="00592E0F">
        <w:rPr>
          <w:lang w:val="en-US"/>
        </w:rPr>
        <w:t>O. The incondensable are recycled back to the reactor after heating and compression in K3 and E5 units, parts of them depending on the chosen ratio will be purged and sent to the furnace. The heat generated by the furnace from the combustion, partly satisfies the required duty for the reforming reactor, the difference of heat will be provided by the combustion of raw biogas or natural gas. This partial heat recovery, depicted in Figure 1 as a red dashed line, allows lowering the net CO</w:t>
      </w:r>
      <w:r w:rsidR="003C686D">
        <w:rPr>
          <w:vertAlign w:val="subscript"/>
          <w:lang w:val="en-US"/>
        </w:rPr>
        <w:t>2</w:t>
      </w:r>
      <w:r w:rsidRPr="00592E0F">
        <w:rPr>
          <w:lang w:val="en-US"/>
        </w:rPr>
        <w:t xml:space="preserve"> emissions making the process self-sustaining since combustion of external utilities will increase the carbon footprint of the plant. </w:t>
      </w:r>
      <w:r w:rsidR="00E9642B">
        <w:fldChar w:fldCharType="begin"/>
      </w:r>
      <w:r w:rsidR="00E9642B">
        <w:instrText xml:space="preserve"> REF _Ref93408872 \h </w:instrText>
      </w:r>
      <w:r w:rsidR="00E9642B">
        <w:fldChar w:fldCharType="separate"/>
      </w:r>
      <w:r w:rsidR="00E9642B">
        <w:t xml:space="preserve">Table </w:t>
      </w:r>
      <w:r w:rsidR="00E9642B">
        <w:rPr>
          <w:noProof/>
        </w:rPr>
        <w:t>3</w:t>
      </w:r>
      <w:r w:rsidR="00E9642B">
        <w:fldChar w:fldCharType="end"/>
      </w:r>
      <w:r w:rsidR="004B4887">
        <w:t xml:space="preserve"> </w:t>
      </w:r>
      <w:r w:rsidR="004E76C5">
        <w:t>highlight the main operating conditions and parameters of the process.</w:t>
      </w:r>
    </w:p>
    <w:p w14:paraId="2016A006" w14:textId="762DD2B2" w:rsidR="002340C2" w:rsidRDefault="002340C2" w:rsidP="002340C2">
      <w:pPr>
        <w:pStyle w:val="CETTabletitle"/>
      </w:pPr>
      <w:bookmarkStart w:id="3" w:name="_Ref93408872"/>
      <w:r>
        <w:t xml:space="preserve">Table </w:t>
      </w:r>
      <w:r>
        <w:fldChar w:fldCharType="begin"/>
      </w:r>
      <w:r>
        <w:instrText xml:space="preserve"> SEQ Table \* ARABIC </w:instrText>
      </w:r>
      <w:r>
        <w:fldChar w:fldCharType="separate"/>
      </w:r>
      <w:r w:rsidR="000E16A0">
        <w:rPr>
          <w:noProof/>
        </w:rPr>
        <w:t>3</w:t>
      </w:r>
      <w:r>
        <w:fldChar w:fldCharType="end"/>
      </w:r>
      <w:bookmarkEnd w:id="3"/>
      <w:r w:rsidR="005574C2">
        <w:t>:</w:t>
      </w:r>
      <w:r>
        <w:t xml:space="preserve"> </w:t>
      </w:r>
      <w:r w:rsidR="005E7F32">
        <w:t xml:space="preserve">Operating conditions of biogas to </w:t>
      </w:r>
      <w:proofErr w:type="spellStart"/>
      <w:r w:rsidR="005E7F32">
        <w:t>biomethanol</w:t>
      </w:r>
      <w:proofErr w:type="spellEnd"/>
      <w:r w:rsidR="005E7F32">
        <w:t xml:space="preserve"> process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52"/>
        <w:gridCol w:w="1524"/>
        <w:gridCol w:w="1065"/>
        <w:gridCol w:w="1141"/>
        <w:gridCol w:w="1554"/>
        <w:gridCol w:w="1172"/>
        <w:gridCol w:w="879"/>
      </w:tblGrid>
      <w:tr w:rsidR="006205A9" w:rsidRPr="002068DF" w14:paraId="57E6FED1" w14:textId="53ED63C0" w:rsidTr="001E4879">
        <w:tc>
          <w:tcPr>
            <w:tcW w:w="827" w:type="pct"/>
            <w:tcBorders>
              <w:top w:val="single" w:sz="12" w:space="0" w:color="008000"/>
              <w:bottom w:val="single" w:sz="6" w:space="0" w:color="008000"/>
            </w:tcBorders>
            <w:shd w:val="clear" w:color="auto" w:fill="FFFFFF"/>
          </w:tcPr>
          <w:p w14:paraId="123A6FF9" w14:textId="30F66DE7" w:rsidR="006205A9" w:rsidRPr="00911B7A" w:rsidRDefault="003F0678" w:rsidP="002340C2">
            <w:pPr>
              <w:jc w:val="center"/>
            </w:pPr>
            <w:r w:rsidRPr="00911B7A">
              <w:t>Parameters</w:t>
            </w:r>
          </w:p>
        </w:tc>
        <w:tc>
          <w:tcPr>
            <w:tcW w:w="867" w:type="pct"/>
            <w:tcBorders>
              <w:top w:val="single" w:sz="12" w:space="0" w:color="008000"/>
              <w:bottom w:val="single" w:sz="6" w:space="0" w:color="008000"/>
            </w:tcBorders>
            <w:shd w:val="clear" w:color="auto" w:fill="FFFFFF"/>
          </w:tcPr>
          <w:p w14:paraId="5F469861" w14:textId="1E6B376F" w:rsidR="006205A9" w:rsidRPr="00911B7A" w:rsidRDefault="006205A9" w:rsidP="002340C2">
            <w:pPr>
              <w:jc w:val="center"/>
            </w:pPr>
            <w:r w:rsidRPr="00911B7A">
              <w:t>Biogas Flowrate</w:t>
            </w:r>
          </w:p>
        </w:tc>
        <w:tc>
          <w:tcPr>
            <w:tcW w:w="606" w:type="pct"/>
            <w:tcBorders>
              <w:top w:val="single" w:sz="12" w:space="0" w:color="008000"/>
              <w:bottom w:val="single" w:sz="6" w:space="0" w:color="008000"/>
            </w:tcBorders>
            <w:shd w:val="clear" w:color="auto" w:fill="FFFFFF"/>
          </w:tcPr>
          <w:p w14:paraId="3250A665" w14:textId="71708048" w:rsidR="006205A9" w:rsidRPr="00911B7A" w:rsidRDefault="006205A9" w:rsidP="002340C2">
            <w:pPr>
              <w:jc w:val="center"/>
            </w:pPr>
            <w:r w:rsidRPr="00911B7A">
              <w:t>Reforming Temperature</w:t>
            </w:r>
          </w:p>
        </w:tc>
        <w:tc>
          <w:tcPr>
            <w:tcW w:w="649" w:type="pct"/>
            <w:tcBorders>
              <w:top w:val="single" w:sz="12" w:space="0" w:color="008000"/>
              <w:bottom w:val="single" w:sz="6" w:space="0" w:color="008000"/>
            </w:tcBorders>
            <w:shd w:val="clear" w:color="auto" w:fill="FFFFFF"/>
          </w:tcPr>
          <w:p w14:paraId="5B0C2C68" w14:textId="33BD4EAC" w:rsidR="006205A9" w:rsidRPr="00911B7A" w:rsidRDefault="006205A9" w:rsidP="002340C2">
            <w:pPr>
              <w:jc w:val="center"/>
            </w:pPr>
            <w:r w:rsidRPr="00911B7A">
              <w:t>Reforming Pressure</w:t>
            </w:r>
          </w:p>
        </w:tc>
        <w:tc>
          <w:tcPr>
            <w:tcW w:w="884" w:type="pct"/>
            <w:tcBorders>
              <w:top w:val="single" w:sz="12" w:space="0" w:color="008000"/>
              <w:bottom w:val="single" w:sz="6" w:space="0" w:color="008000"/>
            </w:tcBorders>
            <w:shd w:val="clear" w:color="auto" w:fill="FFFFFF"/>
          </w:tcPr>
          <w:p w14:paraId="7D108910" w14:textId="356AA10C" w:rsidR="006205A9" w:rsidRPr="00911B7A" w:rsidRDefault="006205A9" w:rsidP="002340C2">
            <w:pPr>
              <w:ind w:right="-1"/>
              <w:jc w:val="center"/>
              <w:rPr>
                <w:rFonts w:cs="Arial"/>
                <w:szCs w:val="18"/>
              </w:rPr>
            </w:pPr>
            <w:r w:rsidRPr="00911B7A">
              <w:rPr>
                <w:rFonts w:cs="Arial"/>
                <w:szCs w:val="18"/>
              </w:rPr>
              <w:t>Methanol Temperature</w:t>
            </w:r>
          </w:p>
        </w:tc>
        <w:tc>
          <w:tcPr>
            <w:tcW w:w="667" w:type="pct"/>
            <w:tcBorders>
              <w:top w:val="single" w:sz="12" w:space="0" w:color="008000"/>
              <w:bottom w:val="single" w:sz="6" w:space="0" w:color="008000"/>
            </w:tcBorders>
            <w:shd w:val="clear" w:color="auto" w:fill="FFFFFF"/>
          </w:tcPr>
          <w:p w14:paraId="7E67319B" w14:textId="15B311B5" w:rsidR="006205A9" w:rsidRPr="00911B7A" w:rsidRDefault="006205A9" w:rsidP="002340C2">
            <w:pPr>
              <w:ind w:right="-1"/>
              <w:jc w:val="center"/>
              <w:rPr>
                <w:rFonts w:cs="Arial"/>
                <w:szCs w:val="18"/>
              </w:rPr>
            </w:pPr>
            <w:r w:rsidRPr="00911B7A">
              <w:rPr>
                <w:rFonts w:cs="Arial"/>
                <w:szCs w:val="18"/>
              </w:rPr>
              <w:t>Methanol Pressure</w:t>
            </w:r>
          </w:p>
        </w:tc>
        <w:tc>
          <w:tcPr>
            <w:tcW w:w="500" w:type="pct"/>
            <w:tcBorders>
              <w:top w:val="single" w:sz="12" w:space="0" w:color="008000"/>
              <w:bottom w:val="single" w:sz="6" w:space="0" w:color="008000"/>
            </w:tcBorders>
            <w:shd w:val="clear" w:color="auto" w:fill="FFFFFF"/>
          </w:tcPr>
          <w:p w14:paraId="635D4CDA" w14:textId="77777777" w:rsidR="006205A9" w:rsidRDefault="006205A9" w:rsidP="002340C2">
            <w:pPr>
              <w:ind w:right="-1"/>
              <w:jc w:val="center"/>
              <w:rPr>
                <w:rFonts w:cs="Arial"/>
                <w:szCs w:val="18"/>
              </w:rPr>
            </w:pPr>
            <w:r w:rsidRPr="00911B7A">
              <w:rPr>
                <w:rFonts w:cs="Arial"/>
                <w:szCs w:val="18"/>
              </w:rPr>
              <w:t>GHSV</w:t>
            </w:r>
          </w:p>
          <w:p w14:paraId="55189191" w14:textId="0AFF1A15" w:rsidR="003F31E2" w:rsidRPr="00911B7A" w:rsidRDefault="003F31E2" w:rsidP="002340C2">
            <w:pPr>
              <w:ind w:right="-1"/>
              <w:jc w:val="center"/>
              <w:rPr>
                <w:rFonts w:cs="Arial"/>
                <w:szCs w:val="18"/>
              </w:rPr>
            </w:pPr>
            <w:r>
              <w:rPr>
                <w:rFonts w:cs="Arial"/>
                <w:szCs w:val="18"/>
              </w:rPr>
              <w:t>Methanol Reactor</w:t>
            </w:r>
          </w:p>
        </w:tc>
      </w:tr>
      <w:tr w:rsidR="006205A9" w:rsidRPr="002068DF" w14:paraId="458B6507" w14:textId="0ACA26F8" w:rsidTr="001E4879">
        <w:tc>
          <w:tcPr>
            <w:tcW w:w="827" w:type="pct"/>
            <w:shd w:val="clear" w:color="auto" w:fill="FFFFFF"/>
          </w:tcPr>
          <w:p w14:paraId="75F0BA8F" w14:textId="7563D112" w:rsidR="006205A9" w:rsidRPr="00911B7A" w:rsidRDefault="002340C2" w:rsidP="002340C2">
            <w:pPr>
              <w:jc w:val="center"/>
            </w:pPr>
            <w:r w:rsidRPr="00911B7A">
              <w:t>Value</w:t>
            </w:r>
          </w:p>
        </w:tc>
        <w:tc>
          <w:tcPr>
            <w:tcW w:w="867" w:type="pct"/>
            <w:shd w:val="clear" w:color="auto" w:fill="FFFFFF"/>
          </w:tcPr>
          <w:p w14:paraId="53CA8D56" w14:textId="516A4BF4" w:rsidR="006205A9" w:rsidRPr="002068DF" w:rsidRDefault="006205A9" w:rsidP="002340C2">
            <w:pPr>
              <w:jc w:val="center"/>
            </w:pPr>
            <w:r>
              <w:t>40</w:t>
            </w:r>
          </w:p>
        </w:tc>
        <w:tc>
          <w:tcPr>
            <w:tcW w:w="606" w:type="pct"/>
            <w:shd w:val="clear" w:color="auto" w:fill="FFFFFF"/>
          </w:tcPr>
          <w:p w14:paraId="1C9D0E49" w14:textId="5169758B" w:rsidR="006205A9" w:rsidRPr="002068DF" w:rsidRDefault="00A245AA" w:rsidP="002340C2">
            <w:pPr>
              <w:jc w:val="center"/>
            </w:pPr>
            <w:r>
              <w:t>850</w:t>
            </w:r>
          </w:p>
        </w:tc>
        <w:tc>
          <w:tcPr>
            <w:tcW w:w="649" w:type="pct"/>
            <w:shd w:val="clear" w:color="auto" w:fill="FFFFFF"/>
          </w:tcPr>
          <w:p w14:paraId="5039CB87" w14:textId="069A3BF7" w:rsidR="006205A9" w:rsidRPr="002068DF" w:rsidRDefault="00A245AA" w:rsidP="002340C2">
            <w:pPr>
              <w:jc w:val="center"/>
            </w:pPr>
            <w:r>
              <w:t>13</w:t>
            </w:r>
          </w:p>
        </w:tc>
        <w:tc>
          <w:tcPr>
            <w:tcW w:w="884" w:type="pct"/>
            <w:shd w:val="clear" w:color="auto" w:fill="FFFFFF"/>
          </w:tcPr>
          <w:p w14:paraId="5441DF0C" w14:textId="35BE91C7" w:rsidR="006205A9" w:rsidRPr="002068DF" w:rsidRDefault="00004455" w:rsidP="002340C2">
            <w:pPr>
              <w:ind w:right="-1"/>
              <w:jc w:val="center"/>
              <w:rPr>
                <w:rFonts w:cs="Arial"/>
                <w:szCs w:val="18"/>
              </w:rPr>
            </w:pPr>
            <w:r>
              <w:rPr>
                <w:rFonts w:cs="Arial"/>
                <w:szCs w:val="18"/>
              </w:rPr>
              <w:t>250</w:t>
            </w:r>
          </w:p>
        </w:tc>
        <w:tc>
          <w:tcPr>
            <w:tcW w:w="667" w:type="pct"/>
            <w:shd w:val="clear" w:color="auto" w:fill="FFFFFF"/>
          </w:tcPr>
          <w:p w14:paraId="7E16A380" w14:textId="7155EAFE" w:rsidR="006205A9" w:rsidRPr="002068DF" w:rsidRDefault="00004455" w:rsidP="002340C2">
            <w:pPr>
              <w:ind w:right="-1"/>
              <w:jc w:val="center"/>
              <w:rPr>
                <w:rFonts w:cs="Arial"/>
                <w:szCs w:val="18"/>
              </w:rPr>
            </w:pPr>
            <w:r>
              <w:rPr>
                <w:rFonts w:cs="Arial"/>
                <w:szCs w:val="18"/>
              </w:rPr>
              <w:t>60</w:t>
            </w:r>
          </w:p>
        </w:tc>
        <w:tc>
          <w:tcPr>
            <w:tcW w:w="500" w:type="pct"/>
            <w:shd w:val="clear" w:color="auto" w:fill="FFFFFF"/>
          </w:tcPr>
          <w:p w14:paraId="0845A342" w14:textId="12C52015" w:rsidR="006205A9" w:rsidRPr="002068DF" w:rsidRDefault="002340C2" w:rsidP="002340C2">
            <w:pPr>
              <w:ind w:right="-1"/>
              <w:jc w:val="center"/>
              <w:rPr>
                <w:rFonts w:cs="Arial"/>
                <w:szCs w:val="18"/>
              </w:rPr>
            </w:pPr>
            <w:r>
              <w:rPr>
                <w:rFonts w:cs="Arial"/>
                <w:szCs w:val="18"/>
              </w:rPr>
              <w:t>16,000</w:t>
            </w:r>
          </w:p>
        </w:tc>
      </w:tr>
      <w:tr w:rsidR="006205A9" w:rsidRPr="002068DF" w14:paraId="3CA7FB3F" w14:textId="40D2DF18" w:rsidTr="001E4879">
        <w:tc>
          <w:tcPr>
            <w:tcW w:w="827" w:type="pct"/>
            <w:shd w:val="clear" w:color="auto" w:fill="FFFFFF"/>
          </w:tcPr>
          <w:p w14:paraId="76ABCD06" w14:textId="0FC04E61" w:rsidR="006205A9" w:rsidRPr="00911B7A" w:rsidRDefault="00B03AFE" w:rsidP="002340C2">
            <w:pPr>
              <w:ind w:right="-1"/>
              <w:jc w:val="center"/>
              <w:rPr>
                <w:rFonts w:cs="Arial"/>
                <w:szCs w:val="18"/>
              </w:rPr>
            </w:pPr>
            <w:r w:rsidRPr="00911B7A">
              <w:rPr>
                <w:rFonts w:cs="Arial"/>
                <w:szCs w:val="18"/>
              </w:rPr>
              <w:t>UOM</w:t>
            </w:r>
          </w:p>
        </w:tc>
        <w:tc>
          <w:tcPr>
            <w:tcW w:w="867" w:type="pct"/>
            <w:shd w:val="clear" w:color="auto" w:fill="FFFFFF"/>
          </w:tcPr>
          <w:p w14:paraId="0FAF9D61" w14:textId="0CA6D0FA" w:rsidR="006205A9" w:rsidRPr="002068DF" w:rsidRDefault="006205A9" w:rsidP="002340C2">
            <w:pPr>
              <w:ind w:right="-1"/>
              <w:jc w:val="center"/>
              <w:rPr>
                <w:rFonts w:cs="Arial"/>
                <w:szCs w:val="18"/>
              </w:rPr>
            </w:pPr>
            <w:r>
              <w:rPr>
                <w:rFonts w:cs="Arial"/>
                <w:szCs w:val="18"/>
              </w:rPr>
              <w:t>Nm</w:t>
            </w:r>
            <w:r>
              <w:rPr>
                <w:rFonts w:cs="Arial"/>
                <w:szCs w:val="18"/>
                <w:vertAlign w:val="superscript"/>
              </w:rPr>
              <w:t>3</w:t>
            </w:r>
            <w:r>
              <w:rPr>
                <w:rFonts w:cs="Arial"/>
                <w:szCs w:val="18"/>
              </w:rPr>
              <w:t>/h</w:t>
            </w:r>
          </w:p>
        </w:tc>
        <w:tc>
          <w:tcPr>
            <w:tcW w:w="606" w:type="pct"/>
            <w:shd w:val="clear" w:color="auto" w:fill="FFFFFF"/>
          </w:tcPr>
          <w:p w14:paraId="5F3551ED" w14:textId="520CE661" w:rsidR="006205A9" w:rsidRPr="002068DF" w:rsidRDefault="00A245AA" w:rsidP="002340C2">
            <w:pPr>
              <w:ind w:right="-1"/>
              <w:jc w:val="center"/>
              <w:rPr>
                <w:rFonts w:cs="Arial"/>
                <w:szCs w:val="18"/>
              </w:rPr>
            </w:pPr>
            <w:r>
              <w:rPr>
                <w:rFonts w:ascii="Calibri" w:hAnsi="Calibri" w:cs="Calibri"/>
                <w:szCs w:val="18"/>
              </w:rPr>
              <w:t>˚</w:t>
            </w:r>
            <w:r>
              <w:rPr>
                <w:rFonts w:cs="Arial"/>
                <w:szCs w:val="18"/>
              </w:rPr>
              <w:t>C</w:t>
            </w:r>
          </w:p>
        </w:tc>
        <w:tc>
          <w:tcPr>
            <w:tcW w:w="649" w:type="pct"/>
            <w:shd w:val="clear" w:color="auto" w:fill="FFFFFF"/>
          </w:tcPr>
          <w:p w14:paraId="1B94DA13" w14:textId="21776D20" w:rsidR="006205A9" w:rsidRPr="002068DF" w:rsidRDefault="00A245AA" w:rsidP="002340C2">
            <w:pPr>
              <w:ind w:right="-1"/>
              <w:jc w:val="center"/>
              <w:rPr>
                <w:rFonts w:cs="Arial"/>
                <w:szCs w:val="18"/>
              </w:rPr>
            </w:pPr>
            <w:r>
              <w:rPr>
                <w:rFonts w:cs="Arial"/>
                <w:szCs w:val="18"/>
              </w:rPr>
              <w:t>bara</w:t>
            </w:r>
          </w:p>
        </w:tc>
        <w:tc>
          <w:tcPr>
            <w:tcW w:w="884" w:type="pct"/>
            <w:shd w:val="clear" w:color="auto" w:fill="FFFFFF"/>
          </w:tcPr>
          <w:p w14:paraId="387ED0BC" w14:textId="601DD229" w:rsidR="006205A9" w:rsidRPr="002068DF" w:rsidRDefault="00004455" w:rsidP="002340C2">
            <w:pPr>
              <w:ind w:right="-1"/>
              <w:jc w:val="center"/>
              <w:rPr>
                <w:rFonts w:cs="Arial"/>
                <w:szCs w:val="18"/>
              </w:rPr>
            </w:pPr>
            <w:r>
              <w:rPr>
                <w:rFonts w:ascii="Calibri" w:hAnsi="Calibri" w:cs="Calibri"/>
                <w:szCs w:val="18"/>
              </w:rPr>
              <w:t>˚</w:t>
            </w:r>
            <w:r>
              <w:rPr>
                <w:rFonts w:cs="Arial"/>
                <w:szCs w:val="18"/>
              </w:rPr>
              <w:t>C</w:t>
            </w:r>
          </w:p>
        </w:tc>
        <w:tc>
          <w:tcPr>
            <w:tcW w:w="667" w:type="pct"/>
            <w:shd w:val="clear" w:color="auto" w:fill="FFFFFF"/>
          </w:tcPr>
          <w:p w14:paraId="741AA139" w14:textId="635B92AF" w:rsidR="006205A9" w:rsidRPr="002068DF" w:rsidRDefault="00004455" w:rsidP="002340C2">
            <w:pPr>
              <w:ind w:right="-1"/>
              <w:jc w:val="center"/>
              <w:rPr>
                <w:rFonts w:cs="Arial"/>
                <w:szCs w:val="18"/>
              </w:rPr>
            </w:pPr>
            <w:r>
              <w:rPr>
                <w:rFonts w:cs="Arial"/>
                <w:szCs w:val="18"/>
              </w:rPr>
              <w:t>bara</w:t>
            </w:r>
          </w:p>
        </w:tc>
        <w:tc>
          <w:tcPr>
            <w:tcW w:w="500" w:type="pct"/>
            <w:shd w:val="clear" w:color="auto" w:fill="FFFFFF"/>
          </w:tcPr>
          <w:p w14:paraId="74C57CAC" w14:textId="619A8801" w:rsidR="006205A9" w:rsidRPr="002340C2" w:rsidRDefault="002340C2" w:rsidP="002340C2">
            <w:pPr>
              <w:ind w:right="-1"/>
              <w:jc w:val="center"/>
              <w:rPr>
                <w:rFonts w:cs="Arial"/>
                <w:szCs w:val="18"/>
                <w:vertAlign w:val="superscript"/>
              </w:rPr>
            </w:pPr>
            <w:r>
              <w:rPr>
                <w:rFonts w:cs="Arial"/>
                <w:szCs w:val="18"/>
              </w:rPr>
              <w:t>h</w:t>
            </w:r>
            <w:r>
              <w:rPr>
                <w:rFonts w:cs="Arial"/>
                <w:szCs w:val="18"/>
                <w:vertAlign w:val="superscript"/>
              </w:rPr>
              <w:t>-1</w:t>
            </w:r>
          </w:p>
        </w:tc>
      </w:tr>
    </w:tbl>
    <w:p w14:paraId="5E5E828E" w14:textId="77777777" w:rsidR="003E7203" w:rsidRDefault="003E7203" w:rsidP="005E2952">
      <w:pPr>
        <w:pStyle w:val="CETBodytext"/>
      </w:pPr>
    </w:p>
    <w:p w14:paraId="3F89BD99" w14:textId="2AE1C4E2" w:rsidR="003B1AAE" w:rsidRPr="00E84620" w:rsidRDefault="00B24588" w:rsidP="00E84620">
      <w:pPr>
        <w:rPr>
          <w:lang w:val="en-US"/>
        </w:rPr>
      </w:pPr>
      <w:r w:rsidRPr="00FE1FC0">
        <w:rPr>
          <w:lang w:val="en-US"/>
        </w:rPr>
        <w:t xml:space="preserve">Relating to the economic feasibility of the process, the analysis was approached with Guthrie’s formula </w:t>
      </w:r>
      <w:r w:rsidR="009E1E65">
        <w:rPr>
          <w:lang w:val="en-US"/>
        </w:rPr>
        <w:fldChar w:fldCharType="begin" w:fldLock="1"/>
      </w:r>
      <w:r w:rsidR="00C81C6D">
        <w:rPr>
          <w:lang w:val="en-US"/>
        </w:rPr>
        <w:instrText>ADDIN CSL_CITATION {"citationItems":[{"id":"ITEM-1","itemData":{"abstract":"A principal objective of this textbook is to describe and model modern strategies for the design of chemical products and processes, with an emphasis on a systematic approach. This third edition expands upon the strategies for product design, beginning with the need for a project charter, followed by the creation of an innovation map in which potential new technologies are linked to consumer needs. Then, it focuses on the Stage-GateTM Product-Development Process (SGPDP) for the design of basic, industrial, and configured consumer chemical products. Six new case studies have been added to illustrate these product design strategies.","author":[{"dropping-particle":"","family":"Seider","given":"Warren D.","non-dropping-particle":"","parse-names":false,"suffix":""},{"dropping-particle":"","family":"Seader","given":"J. D.","non-dropping-particle":"","parse-names":false,"suffix":""},{"dropping-particle":"","family":"Lewin","given":"Daniel R.","non-dropping-particle":"","parse-names":false,"suffix":""}],"container-title":"Product and Process Design Principles: Synthesis, Analysis and Design","id":"ITEM-1","issued":{"date-parts":[["2018"]]},"page":"472-558","title":"Product and Process Design Principles: Synthesis, Analysis and Design","type":"article"},"uris":["http://www.mendeley.com/documents/?uuid=9b68bf52-26f4-4814-ac47-cf98a2f87d4d","http://www.mendeley.com/documents/?uuid=542663e8-8ee9-4b7b-805d-d364eba92360"]}],"mendeley":{"formattedCitation":"(Seider et al., 2018)","plainTextFormattedCitation":"(Seider et al., 2018)","previouslyFormattedCitation":"(Seider et al., 2018)"},"properties":{"noteIndex":0},"schema":"https://github.com/citation-style-language/schema/raw/master/csl-citation.json"}</w:instrText>
      </w:r>
      <w:r w:rsidR="009E1E65">
        <w:rPr>
          <w:lang w:val="en-US"/>
        </w:rPr>
        <w:fldChar w:fldCharType="separate"/>
      </w:r>
      <w:r w:rsidR="00C81C6D" w:rsidRPr="00C81C6D">
        <w:rPr>
          <w:noProof/>
          <w:lang w:val="en-US"/>
        </w:rPr>
        <w:t>(Seider et al., 2018)</w:t>
      </w:r>
      <w:r w:rsidR="009E1E65">
        <w:rPr>
          <w:lang w:val="en-US"/>
        </w:rPr>
        <w:fldChar w:fldCharType="end"/>
      </w:r>
      <w:r w:rsidR="009E1E65">
        <w:rPr>
          <w:lang w:val="en-US"/>
        </w:rPr>
        <w:t xml:space="preserve"> </w:t>
      </w:r>
      <w:r w:rsidRPr="00FE1FC0">
        <w:rPr>
          <w:lang w:val="en-US"/>
        </w:rPr>
        <w:t xml:space="preserve">with the evaluation of fixed cost, operative cost, </w:t>
      </w:r>
      <w:r w:rsidR="00B0205B" w:rsidRPr="00FE1FC0">
        <w:rPr>
          <w:lang w:val="en-US"/>
        </w:rPr>
        <w:t>revenues,</w:t>
      </w:r>
      <w:r w:rsidRPr="00FE1FC0">
        <w:rPr>
          <w:lang w:val="en-US"/>
        </w:rPr>
        <w:t xml:space="preserve"> and raw materials. The result will be shown in the next section.</w:t>
      </w:r>
    </w:p>
    <w:p w14:paraId="4B69B343" w14:textId="048E18FA" w:rsidR="00E6555C" w:rsidRDefault="00E6555C" w:rsidP="00821588">
      <w:pPr>
        <w:pStyle w:val="CETHeading1"/>
      </w:pPr>
      <w:r>
        <w:t>Results and discussions</w:t>
      </w:r>
    </w:p>
    <w:p w14:paraId="3C1A1BBA" w14:textId="03E5B073" w:rsidR="00053CAB" w:rsidRDefault="00053CAB" w:rsidP="00053CAB">
      <w:pPr>
        <w:pStyle w:val="CETheadingx"/>
      </w:pPr>
      <w:r>
        <w:t>Technical analysis</w:t>
      </w:r>
    </w:p>
    <w:p w14:paraId="1D537441" w14:textId="5329B5BB" w:rsidR="006776E2" w:rsidRDefault="00496544" w:rsidP="00821588">
      <w:pPr>
        <w:pStyle w:val="CETBodytext"/>
      </w:pPr>
      <w:r>
        <w:t>Regarding</w:t>
      </w:r>
      <w:r w:rsidR="00D966C0">
        <w:t xml:space="preserve"> technical analysis, some important parameters are analysed and reported in </w:t>
      </w:r>
      <w:r w:rsidR="005B0C3D">
        <w:fldChar w:fldCharType="begin"/>
      </w:r>
      <w:r w:rsidR="005B0C3D">
        <w:instrText xml:space="preserve"> REF _Ref93409011 \h </w:instrText>
      </w:r>
      <w:r w:rsidR="005B0C3D">
        <w:fldChar w:fldCharType="separate"/>
      </w:r>
      <w:r w:rsidR="005B0C3D">
        <w:t xml:space="preserve">Table </w:t>
      </w:r>
      <w:r w:rsidR="005B0C3D">
        <w:rPr>
          <w:noProof/>
        </w:rPr>
        <w:t>4</w:t>
      </w:r>
      <w:r w:rsidR="005B0C3D">
        <w:fldChar w:fldCharType="end"/>
      </w:r>
      <w:r w:rsidR="00967396">
        <w:t xml:space="preserve"> </w:t>
      </w:r>
      <w:r w:rsidR="00C73469">
        <w:t>to</w:t>
      </w:r>
      <w:r w:rsidR="00967396">
        <w:t xml:space="preserve"> highlight the performance of the process. </w:t>
      </w:r>
    </w:p>
    <w:p w14:paraId="5BEAA7DB" w14:textId="701E6365" w:rsidR="006217AF" w:rsidRDefault="006217AF" w:rsidP="006217AF">
      <w:pPr>
        <w:pStyle w:val="CETTabletitle"/>
      </w:pPr>
      <w:bookmarkStart w:id="4" w:name="_Ref93409011"/>
      <w:r>
        <w:t xml:space="preserve">Table </w:t>
      </w:r>
      <w:r>
        <w:fldChar w:fldCharType="begin"/>
      </w:r>
      <w:r>
        <w:instrText xml:space="preserve"> SEQ Table \* ARABIC </w:instrText>
      </w:r>
      <w:r>
        <w:fldChar w:fldCharType="separate"/>
      </w:r>
      <w:r w:rsidR="000E16A0">
        <w:rPr>
          <w:noProof/>
        </w:rPr>
        <w:t>4</w:t>
      </w:r>
      <w:r>
        <w:fldChar w:fldCharType="end"/>
      </w:r>
      <w:bookmarkEnd w:id="4"/>
      <w:r w:rsidR="005574C2">
        <w:t>:</w:t>
      </w:r>
      <w:r>
        <w:t xml:space="preserve"> Key indicators of the process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611"/>
        <w:gridCol w:w="1689"/>
        <w:gridCol w:w="1569"/>
        <w:gridCol w:w="1299"/>
        <w:gridCol w:w="1299"/>
        <w:gridCol w:w="1320"/>
      </w:tblGrid>
      <w:tr w:rsidR="00FD67FC" w:rsidRPr="002068DF" w14:paraId="574459A9" w14:textId="77777777" w:rsidTr="0028212D">
        <w:tc>
          <w:tcPr>
            <w:tcW w:w="1611" w:type="dxa"/>
            <w:tcBorders>
              <w:top w:val="single" w:sz="12" w:space="0" w:color="008000"/>
              <w:bottom w:val="single" w:sz="6" w:space="0" w:color="008000"/>
            </w:tcBorders>
            <w:shd w:val="clear" w:color="auto" w:fill="FFFFFF"/>
          </w:tcPr>
          <w:p w14:paraId="1CECBD7E" w14:textId="77777777" w:rsidR="00FD67FC" w:rsidRPr="00447C12" w:rsidRDefault="00FD67FC" w:rsidP="00E6034C">
            <w:pPr>
              <w:jc w:val="center"/>
            </w:pPr>
            <w:r w:rsidRPr="00447C12">
              <w:t>Parameters</w:t>
            </w:r>
          </w:p>
        </w:tc>
        <w:tc>
          <w:tcPr>
            <w:tcW w:w="1689" w:type="dxa"/>
            <w:tcBorders>
              <w:top w:val="single" w:sz="12" w:space="0" w:color="008000"/>
              <w:bottom w:val="single" w:sz="6" w:space="0" w:color="008000"/>
            </w:tcBorders>
            <w:shd w:val="clear" w:color="auto" w:fill="FFFFFF"/>
          </w:tcPr>
          <w:p w14:paraId="412E5BEC" w14:textId="208FAC90" w:rsidR="00FD67FC" w:rsidRPr="00447C12" w:rsidRDefault="00FD67FC" w:rsidP="00E6034C">
            <w:pPr>
              <w:jc w:val="center"/>
            </w:pPr>
            <w:r w:rsidRPr="00447C12">
              <w:t>Methane Conversion</w:t>
            </w:r>
          </w:p>
        </w:tc>
        <w:tc>
          <w:tcPr>
            <w:tcW w:w="1569" w:type="dxa"/>
            <w:tcBorders>
              <w:top w:val="single" w:sz="12" w:space="0" w:color="008000"/>
              <w:bottom w:val="single" w:sz="6" w:space="0" w:color="008000"/>
            </w:tcBorders>
            <w:shd w:val="clear" w:color="auto" w:fill="FFFFFF"/>
          </w:tcPr>
          <w:p w14:paraId="0EFD5CDA" w14:textId="4169062F" w:rsidR="00FD67FC" w:rsidRPr="00447C12" w:rsidRDefault="00FD67FC" w:rsidP="00E6034C">
            <w:pPr>
              <w:jc w:val="center"/>
            </w:pPr>
            <w:r w:rsidRPr="00447C12">
              <w:t xml:space="preserve">Stoichiometric </w:t>
            </w:r>
          </w:p>
          <w:p w14:paraId="58C31BD6" w14:textId="023B75B4" w:rsidR="00FD67FC" w:rsidRPr="00447C12" w:rsidRDefault="00FD67FC" w:rsidP="00E6034C">
            <w:pPr>
              <w:jc w:val="center"/>
            </w:pPr>
            <w:r w:rsidRPr="00447C12">
              <w:t>Number</w:t>
            </w:r>
          </w:p>
        </w:tc>
        <w:tc>
          <w:tcPr>
            <w:tcW w:w="1299" w:type="dxa"/>
            <w:tcBorders>
              <w:top w:val="single" w:sz="12" w:space="0" w:color="008000"/>
              <w:bottom w:val="single" w:sz="6" w:space="0" w:color="008000"/>
            </w:tcBorders>
            <w:shd w:val="clear" w:color="auto" w:fill="FFFFFF"/>
          </w:tcPr>
          <w:p w14:paraId="2A893BB6" w14:textId="307377AE" w:rsidR="00FD67FC" w:rsidRPr="00447C12" w:rsidRDefault="00FD67FC" w:rsidP="00E6034C">
            <w:pPr>
              <w:jc w:val="center"/>
            </w:pPr>
            <w:r w:rsidRPr="00447C12">
              <w:t>Global CO</w:t>
            </w:r>
            <w:r w:rsidRPr="00447C12">
              <w:rPr>
                <w:vertAlign w:val="subscript"/>
              </w:rPr>
              <w:t>2</w:t>
            </w:r>
            <w:r w:rsidRPr="00447C12">
              <w:t xml:space="preserve"> Conversion</w:t>
            </w:r>
          </w:p>
        </w:tc>
        <w:tc>
          <w:tcPr>
            <w:tcW w:w="1299" w:type="dxa"/>
            <w:tcBorders>
              <w:top w:val="single" w:sz="12" w:space="0" w:color="008000"/>
              <w:bottom w:val="single" w:sz="6" w:space="0" w:color="008000"/>
            </w:tcBorders>
            <w:shd w:val="clear" w:color="auto" w:fill="FFFFFF"/>
          </w:tcPr>
          <w:p w14:paraId="6DC479D3" w14:textId="2D6E25BB" w:rsidR="00FD67FC" w:rsidRPr="00447C12" w:rsidRDefault="00FD67FC" w:rsidP="00E6034C">
            <w:pPr>
              <w:jc w:val="center"/>
            </w:pPr>
            <w:r w:rsidRPr="00447C12">
              <w:t>Methanol Production</w:t>
            </w:r>
          </w:p>
        </w:tc>
        <w:tc>
          <w:tcPr>
            <w:tcW w:w="1320" w:type="dxa"/>
            <w:tcBorders>
              <w:top w:val="single" w:sz="12" w:space="0" w:color="008000"/>
              <w:bottom w:val="single" w:sz="6" w:space="0" w:color="008000"/>
            </w:tcBorders>
            <w:shd w:val="clear" w:color="auto" w:fill="FFFFFF"/>
          </w:tcPr>
          <w:p w14:paraId="25828326" w14:textId="62973BF8" w:rsidR="00FD67FC" w:rsidRPr="00447C12" w:rsidRDefault="00FD67FC" w:rsidP="00E6034C">
            <w:pPr>
              <w:ind w:right="-1"/>
              <w:jc w:val="center"/>
              <w:rPr>
                <w:rFonts w:cs="Arial"/>
                <w:szCs w:val="18"/>
              </w:rPr>
            </w:pPr>
            <w:r w:rsidRPr="00447C12">
              <w:rPr>
                <w:rFonts w:cs="Arial"/>
                <w:szCs w:val="18"/>
              </w:rPr>
              <w:t>Global Massive Yield</w:t>
            </w:r>
          </w:p>
        </w:tc>
      </w:tr>
      <w:tr w:rsidR="00FD67FC" w:rsidRPr="002068DF" w14:paraId="66C07028" w14:textId="77777777" w:rsidTr="0028212D">
        <w:tc>
          <w:tcPr>
            <w:tcW w:w="1611" w:type="dxa"/>
            <w:shd w:val="clear" w:color="auto" w:fill="FFFFFF"/>
          </w:tcPr>
          <w:p w14:paraId="74308634" w14:textId="77777777" w:rsidR="00FD67FC" w:rsidRPr="00447C12" w:rsidRDefault="00FD67FC" w:rsidP="00E6034C">
            <w:pPr>
              <w:jc w:val="center"/>
            </w:pPr>
            <w:r w:rsidRPr="00447C12">
              <w:t>Value</w:t>
            </w:r>
          </w:p>
        </w:tc>
        <w:tc>
          <w:tcPr>
            <w:tcW w:w="1689" w:type="dxa"/>
            <w:shd w:val="clear" w:color="auto" w:fill="FFFFFF"/>
          </w:tcPr>
          <w:p w14:paraId="0499629E" w14:textId="1E676541" w:rsidR="00FD67FC" w:rsidRPr="002068DF" w:rsidRDefault="007B5511" w:rsidP="00E6034C">
            <w:pPr>
              <w:jc w:val="center"/>
            </w:pPr>
            <w:r>
              <w:t>95</w:t>
            </w:r>
          </w:p>
        </w:tc>
        <w:tc>
          <w:tcPr>
            <w:tcW w:w="1569" w:type="dxa"/>
            <w:shd w:val="clear" w:color="auto" w:fill="FFFFFF"/>
          </w:tcPr>
          <w:p w14:paraId="247C1B2B" w14:textId="798F5827" w:rsidR="00FD67FC" w:rsidRDefault="007B5511" w:rsidP="00E6034C">
            <w:pPr>
              <w:jc w:val="center"/>
            </w:pPr>
            <w:r>
              <w:t>1.85</w:t>
            </w:r>
          </w:p>
        </w:tc>
        <w:tc>
          <w:tcPr>
            <w:tcW w:w="1299" w:type="dxa"/>
            <w:shd w:val="clear" w:color="auto" w:fill="FFFFFF"/>
          </w:tcPr>
          <w:p w14:paraId="0B690644" w14:textId="09EC8B6F" w:rsidR="00FD67FC" w:rsidRPr="002068DF" w:rsidRDefault="007B5511" w:rsidP="007B5511">
            <w:pPr>
              <w:jc w:val="center"/>
            </w:pPr>
            <w:r>
              <w:t>43.4</w:t>
            </w:r>
            <w:r w:rsidR="00F77D59">
              <w:t>1</w:t>
            </w:r>
          </w:p>
        </w:tc>
        <w:tc>
          <w:tcPr>
            <w:tcW w:w="1299" w:type="dxa"/>
            <w:shd w:val="clear" w:color="auto" w:fill="FFFFFF"/>
          </w:tcPr>
          <w:p w14:paraId="57222163" w14:textId="000F36E0" w:rsidR="00FD67FC" w:rsidRPr="002068DF" w:rsidRDefault="00F77D59" w:rsidP="00E6034C">
            <w:pPr>
              <w:jc w:val="center"/>
            </w:pPr>
            <w:r>
              <w:t>42.88</w:t>
            </w:r>
          </w:p>
        </w:tc>
        <w:tc>
          <w:tcPr>
            <w:tcW w:w="1320" w:type="dxa"/>
            <w:shd w:val="clear" w:color="auto" w:fill="FFFFFF"/>
          </w:tcPr>
          <w:p w14:paraId="5367C621" w14:textId="4FBE693F" w:rsidR="00FD67FC" w:rsidRPr="002068DF" w:rsidRDefault="00F77D59" w:rsidP="00E6034C">
            <w:pPr>
              <w:ind w:right="-1"/>
              <w:jc w:val="center"/>
              <w:rPr>
                <w:rFonts w:cs="Arial"/>
                <w:szCs w:val="18"/>
              </w:rPr>
            </w:pPr>
            <w:r>
              <w:rPr>
                <w:rFonts w:cs="Arial"/>
                <w:szCs w:val="18"/>
              </w:rPr>
              <w:t>99.5</w:t>
            </w:r>
          </w:p>
        </w:tc>
      </w:tr>
      <w:tr w:rsidR="00FD67FC" w:rsidRPr="002068DF" w14:paraId="22DBB4C5" w14:textId="77777777" w:rsidTr="0028212D">
        <w:tc>
          <w:tcPr>
            <w:tcW w:w="1611" w:type="dxa"/>
            <w:shd w:val="clear" w:color="auto" w:fill="FFFFFF"/>
          </w:tcPr>
          <w:p w14:paraId="7F9B9F98" w14:textId="77777777" w:rsidR="00FD67FC" w:rsidRPr="00447C12" w:rsidRDefault="00FD67FC" w:rsidP="00E6034C">
            <w:pPr>
              <w:ind w:right="-1"/>
              <w:jc w:val="center"/>
              <w:rPr>
                <w:rFonts w:cs="Arial"/>
                <w:szCs w:val="18"/>
              </w:rPr>
            </w:pPr>
            <w:r w:rsidRPr="00447C12">
              <w:rPr>
                <w:rFonts w:cs="Arial"/>
                <w:szCs w:val="18"/>
              </w:rPr>
              <w:t>UOM</w:t>
            </w:r>
          </w:p>
        </w:tc>
        <w:tc>
          <w:tcPr>
            <w:tcW w:w="1689" w:type="dxa"/>
            <w:shd w:val="clear" w:color="auto" w:fill="FFFFFF"/>
          </w:tcPr>
          <w:p w14:paraId="10468E19" w14:textId="12CE6F6F" w:rsidR="00FD67FC" w:rsidRPr="002068DF" w:rsidRDefault="007B5511" w:rsidP="00E6034C">
            <w:pPr>
              <w:ind w:right="-1"/>
              <w:jc w:val="center"/>
              <w:rPr>
                <w:rFonts w:cs="Arial"/>
                <w:szCs w:val="18"/>
              </w:rPr>
            </w:pPr>
            <w:r>
              <w:rPr>
                <w:rFonts w:cs="Arial"/>
                <w:szCs w:val="18"/>
              </w:rPr>
              <w:t>%</w:t>
            </w:r>
          </w:p>
        </w:tc>
        <w:tc>
          <w:tcPr>
            <w:tcW w:w="1569" w:type="dxa"/>
            <w:shd w:val="clear" w:color="auto" w:fill="FFFFFF"/>
          </w:tcPr>
          <w:p w14:paraId="66F09B8D" w14:textId="0B35DADD" w:rsidR="00FD67FC" w:rsidRDefault="007B5511" w:rsidP="00E6034C">
            <w:pPr>
              <w:ind w:right="-1"/>
              <w:jc w:val="center"/>
              <w:rPr>
                <w:rFonts w:ascii="Calibri" w:hAnsi="Calibri" w:cs="Calibri"/>
                <w:szCs w:val="18"/>
              </w:rPr>
            </w:pPr>
            <w:r>
              <w:rPr>
                <w:rFonts w:ascii="Calibri" w:hAnsi="Calibri" w:cs="Calibri"/>
                <w:szCs w:val="18"/>
              </w:rPr>
              <w:t>-</w:t>
            </w:r>
          </w:p>
        </w:tc>
        <w:tc>
          <w:tcPr>
            <w:tcW w:w="1299" w:type="dxa"/>
            <w:shd w:val="clear" w:color="auto" w:fill="FFFFFF"/>
          </w:tcPr>
          <w:p w14:paraId="7DC5FC91" w14:textId="44DE6064" w:rsidR="00FD67FC" w:rsidRPr="002068DF" w:rsidRDefault="007B5511" w:rsidP="007B5511">
            <w:pPr>
              <w:ind w:right="-1"/>
              <w:jc w:val="center"/>
              <w:rPr>
                <w:rFonts w:cs="Arial"/>
                <w:szCs w:val="18"/>
              </w:rPr>
            </w:pPr>
            <w:r>
              <w:rPr>
                <w:rFonts w:cs="Arial"/>
                <w:szCs w:val="18"/>
              </w:rPr>
              <w:t>%</w:t>
            </w:r>
          </w:p>
        </w:tc>
        <w:tc>
          <w:tcPr>
            <w:tcW w:w="1299" w:type="dxa"/>
            <w:shd w:val="clear" w:color="auto" w:fill="FFFFFF"/>
          </w:tcPr>
          <w:p w14:paraId="2F773C51" w14:textId="2872BBDC" w:rsidR="00FD67FC" w:rsidRPr="002068DF" w:rsidRDefault="00F77D59" w:rsidP="00E6034C">
            <w:pPr>
              <w:ind w:right="-1"/>
              <w:jc w:val="center"/>
              <w:rPr>
                <w:rFonts w:cs="Arial"/>
                <w:szCs w:val="18"/>
              </w:rPr>
            </w:pPr>
            <w:r>
              <w:rPr>
                <w:rFonts w:cs="Arial"/>
                <w:szCs w:val="18"/>
              </w:rPr>
              <w:t>kg/h</w:t>
            </w:r>
          </w:p>
        </w:tc>
        <w:tc>
          <w:tcPr>
            <w:tcW w:w="1320" w:type="dxa"/>
            <w:shd w:val="clear" w:color="auto" w:fill="FFFFFF"/>
          </w:tcPr>
          <w:p w14:paraId="0C51A9CC" w14:textId="6589D0B6" w:rsidR="00FD67FC" w:rsidRPr="002068DF" w:rsidRDefault="00F77D59" w:rsidP="00E6034C">
            <w:pPr>
              <w:ind w:right="-1"/>
              <w:jc w:val="center"/>
              <w:rPr>
                <w:rFonts w:cs="Arial"/>
                <w:szCs w:val="18"/>
              </w:rPr>
            </w:pPr>
            <w:r>
              <w:rPr>
                <w:rFonts w:cs="Arial"/>
                <w:szCs w:val="18"/>
              </w:rPr>
              <w:t>%</w:t>
            </w:r>
          </w:p>
        </w:tc>
      </w:tr>
    </w:tbl>
    <w:p w14:paraId="4B115ECC" w14:textId="0C68DE2E" w:rsidR="00AA3689" w:rsidRDefault="00AA3689" w:rsidP="00C73469">
      <w:pPr>
        <w:pStyle w:val="CETBodytext"/>
      </w:pPr>
      <w:r>
        <w:t xml:space="preserve">Due to reactions of steam methane reforming and dry reforming, </w:t>
      </w:r>
      <w:r w:rsidR="009C1EE5">
        <w:t>result of CH</w:t>
      </w:r>
      <w:r w:rsidR="009C1EE5">
        <w:rPr>
          <w:vertAlign w:val="subscript"/>
        </w:rPr>
        <w:t>4</w:t>
      </w:r>
      <w:r w:rsidR="009C1EE5">
        <w:t xml:space="preserve"> conversion is about 95%, this led to low value of methane slip </w:t>
      </w:r>
      <w:r w:rsidR="008D7735">
        <w:t>which avoid bigger dimension of the methanol converted in design p</w:t>
      </w:r>
      <w:r w:rsidR="00FE2EAA">
        <w:t xml:space="preserve">hase. This is a </w:t>
      </w:r>
      <w:r w:rsidR="009064D2">
        <w:t xml:space="preserve">beneficial key point for the recycle </w:t>
      </w:r>
      <w:r w:rsidR="00B03F80">
        <w:t>loop. Stoichiometric number (SN)</w:t>
      </w:r>
      <w:r w:rsidR="00305023">
        <w:t xml:space="preserve">, represents the quality of </w:t>
      </w:r>
      <w:r w:rsidR="00A1204D">
        <w:t xml:space="preserve">produced </w:t>
      </w:r>
      <w:r w:rsidR="00305023">
        <w:t>syngas</w:t>
      </w:r>
      <w:r w:rsidR="00B03F80">
        <w:t xml:space="preserve"> is defined as:</w:t>
      </w:r>
    </w:p>
    <w:p w14:paraId="4C1C8270" w14:textId="77777777" w:rsidR="00D603A5" w:rsidRDefault="00D603A5" w:rsidP="00C73469">
      <w:pPr>
        <w:pStyle w:val="CETBodytext"/>
      </w:pPr>
    </w:p>
    <w:tbl>
      <w:tblPr>
        <w:tblStyle w:val="Grigliatabella"/>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5889"/>
      </w:tblGrid>
      <w:tr w:rsidR="00D603A5" w14:paraId="4CB0B69E" w14:textId="77777777" w:rsidTr="00D603A5">
        <w:tc>
          <w:tcPr>
            <w:tcW w:w="2926" w:type="dxa"/>
          </w:tcPr>
          <w:p w14:paraId="389D7587" w14:textId="2797B00A" w:rsidR="00D603A5" w:rsidRPr="00D603A5" w:rsidRDefault="00D603A5" w:rsidP="00D603A5">
            <w:pPr>
              <w:pStyle w:val="CETBodytext"/>
            </w:pPr>
            <m:oMathPara>
              <m:oMathParaPr>
                <m:jc m:val="left"/>
              </m:oMathParaPr>
              <m:oMath>
                <m:r>
                  <w:rPr>
                    <w:rFonts w:ascii="Cambria Math" w:hAnsi="Cambria Math"/>
                  </w:rPr>
                  <m:t>SN=</m:t>
                </m:r>
                <m:f>
                  <m:fPr>
                    <m:ctrlPr>
                      <w:rPr>
                        <w:rFonts w:ascii="Cambria Math" w:hAnsi="Cambria Math"/>
                        <w:i/>
                      </w:rPr>
                    </m:ctrlPr>
                  </m:fPr>
                  <m:num>
                    <m:sSub>
                      <m:sSubPr>
                        <m:ctrlPr>
                          <w:rPr>
                            <w:rFonts w:ascii="Cambria Math" w:hAnsi="Cambria Math"/>
                            <w:i/>
                          </w:rPr>
                        </m:ctrlPr>
                      </m:sSubPr>
                      <m:e>
                        <m:r>
                          <w:rPr>
                            <w:rFonts w:ascii="Cambria Math" w:hAnsi="Cambria Math"/>
                          </w:rPr>
                          <m:t>Mole</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Mole</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num>
                  <m:den>
                    <m:sSub>
                      <m:sSubPr>
                        <m:ctrlPr>
                          <w:rPr>
                            <w:rFonts w:ascii="Cambria Math" w:hAnsi="Cambria Math"/>
                            <w:i/>
                          </w:rPr>
                        </m:ctrlPr>
                      </m:sSubPr>
                      <m:e>
                        <m:r>
                          <w:rPr>
                            <w:rFonts w:ascii="Cambria Math" w:hAnsi="Cambria Math"/>
                          </w:rPr>
                          <m:t>Mole</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Mole</m:t>
                        </m:r>
                      </m:e>
                      <m:sub>
                        <m:r>
                          <w:rPr>
                            <w:rFonts w:ascii="Cambria Math" w:hAnsi="Cambria Math"/>
                          </w:rPr>
                          <m:t>CO</m:t>
                        </m:r>
                      </m:sub>
                    </m:sSub>
                  </m:den>
                </m:f>
              </m:oMath>
            </m:oMathPara>
          </w:p>
          <w:p w14:paraId="5E2BC615" w14:textId="77777777" w:rsidR="00D603A5" w:rsidRDefault="00D603A5" w:rsidP="00C73469">
            <w:pPr>
              <w:pStyle w:val="CETBodytext"/>
            </w:pPr>
          </w:p>
        </w:tc>
        <w:tc>
          <w:tcPr>
            <w:tcW w:w="5889" w:type="dxa"/>
          </w:tcPr>
          <w:p w14:paraId="505AF689" w14:textId="68F36E7A" w:rsidR="00D603A5" w:rsidRDefault="00D603A5" w:rsidP="00D603A5">
            <w:pPr>
              <w:pStyle w:val="CETBodytext"/>
              <w:jc w:val="right"/>
            </w:pPr>
            <w:r>
              <w:t>Eq</w:t>
            </w:r>
            <w:r w:rsidR="00130743">
              <w:t>(</w:t>
            </w:r>
            <w:r>
              <w:t>1</w:t>
            </w:r>
            <w:r w:rsidR="00130743">
              <w:t>)</w:t>
            </w:r>
          </w:p>
        </w:tc>
      </w:tr>
    </w:tbl>
    <w:p w14:paraId="7328DCCF" w14:textId="1B6B56AA" w:rsidR="00D603A5" w:rsidRDefault="00990E22" w:rsidP="00990E22">
      <w:pPr>
        <w:pStyle w:val="CETBodytext"/>
      </w:pPr>
      <w:r>
        <w:t xml:space="preserve">For methanol production, </w:t>
      </w:r>
      <w:r w:rsidR="00A1204D">
        <w:t xml:space="preserve">SN </w:t>
      </w:r>
      <w:r w:rsidR="00A1204D" w:rsidRPr="00A1204D">
        <w:t>of</w:t>
      </w:r>
      <w:r w:rsidR="00A1204D">
        <w:t xml:space="preserve"> value near</w:t>
      </w:r>
      <w:r w:rsidR="00A1204D" w:rsidRPr="00A1204D">
        <w:t xml:space="preserve"> 2 corresponds to ideal conditions, values lower than 2 indicate H</w:t>
      </w:r>
      <w:r w:rsidR="00A1204D">
        <w:rPr>
          <w:vertAlign w:val="subscript"/>
        </w:rPr>
        <w:t>2</w:t>
      </w:r>
      <w:r w:rsidR="00A1204D" w:rsidRPr="00A1204D">
        <w:t xml:space="preserve"> deficiency while values larger than 2 mean an excess of it </w:t>
      </w:r>
      <w:r w:rsidR="0007768C">
        <w:fldChar w:fldCharType="begin" w:fldLock="1"/>
      </w:r>
      <w:r w:rsidR="00C81C6D">
        <w:instrText>ADDIN CSL_CITATION {"citationItems":[{"id":"ITEM-1","itemData":{"author":[{"dropping-particle":"","family":"Ott","given":"Jörg","non-dropping-particle":"","parse-names":false,"suffix":""},{"dropping-particle":"","family":"Gronemann","given":"Veronika","non-dropping-particle":"","parse-names":false,"suffix":""},{"dropping-particle":"","family":"Pontzen","given":"Florian","non-dropping-particle":"","parse-names":false,"suffix":""},{"dropping-particle":"","family":"Fiedler","given":"Eckhard","non-dropping-particle":"","parse-names":false,"suffix":""},{"dropping-particle":"","family":"Grossman","given":"Georg","non-dropping-particle":"","parse-names":false,"suffix":""},{"dropping-particle":"","family":"Burkhard Kersebohm","given":"K.","non-dropping-particle":"","parse-names":false,"suffix":""},{"dropping-particle":"","family":"Weiss","given":"Günther","non-dropping-particle":"","parse-names":false,"suffix":""},{"dropping-particle":"","family":"Witte","given":"Claus","non-dropping-particle":"","parse-names":false,"suffix":""}],"container-title":"Ullmann's Encyclopedia of Industrial Chemistry","id":"ITEM-1","issued":{"date-parts":[["2012"]]},"title":"Methanol - An Industrial Review by Lurgi GmbH, Air Liquide GmbH and BASF AG","type":"article-journal"},"uris":["http://www.mendeley.com/documents/?uuid=c9668ad3-5d5e-4748-8482-38ff8b020b6d","http://www.mendeley.com/documents/?uuid=3fe9f155-51fe-43a0-9837-7b5222fc2f48"]}],"mendeley":{"formattedCitation":"(Ott et al., 2012)","plainTextFormattedCitation":"(Ott et al., 2012)","previouslyFormattedCitation":"(Ott et al., 2012)"},"properties":{"noteIndex":0},"schema":"https://github.com/citation-style-language/schema/raw/master/csl-citation.json"}</w:instrText>
      </w:r>
      <w:r w:rsidR="0007768C">
        <w:fldChar w:fldCharType="separate"/>
      </w:r>
      <w:r w:rsidR="00C81C6D" w:rsidRPr="00C81C6D">
        <w:rPr>
          <w:noProof/>
        </w:rPr>
        <w:t>(Ott et al., 2012)</w:t>
      </w:r>
      <w:r w:rsidR="0007768C">
        <w:fldChar w:fldCharType="end"/>
      </w:r>
      <w:r w:rsidR="00A1204D" w:rsidRPr="00A1204D">
        <w:t>.</w:t>
      </w:r>
      <w:r w:rsidR="00A1204D">
        <w:t xml:space="preserve"> In this case, the value is lower than ideal </w:t>
      </w:r>
      <w:r w:rsidR="00496544">
        <w:t>conditions,</w:t>
      </w:r>
      <w:r w:rsidR="00A1204D">
        <w:t xml:space="preserve"> but this is acceptable considering as feedstock biogas</w:t>
      </w:r>
      <w:r w:rsidR="00750274">
        <w:t xml:space="preserve"> which has lower methane content than conventional natural gas.</w:t>
      </w:r>
      <w:r w:rsidR="00F92863">
        <w:t xml:space="preserve"> An optimal key performance indicator of the process is represented by CO</w:t>
      </w:r>
      <w:r w:rsidR="00F92863">
        <w:rPr>
          <w:vertAlign w:val="subscript"/>
        </w:rPr>
        <w:t>2</w:t>
      </w:r>
      <w:r w:rsidR="00F92863">
        <w:t xml:space="preserve"> global conversion which takes in account the </w:t>
      </w:r>
      <w:r w:rsidR="00E445E0">
        <w:t xml:space="preserve">inlet and outlet value of carbon dioxide in system boundaries; 43.41% </w:t>
      </w:r>
      <w:r w:rsidR="00090E8B">
        <w:t xml:space="preserve">highlights that </w:t>
      </w:r>
      <w:r w:rsidR="00BF2DB9">
        <w:t xml:space="preserve">nearly half of this </w:t>
      </w:r>
      <w:r w:rsidR="00EB14FA">
        <w:t>greenhouse</w:t>
      </w:r>
      <w:r w:rsidR="00BF2DB9">
        <w:t xml:space="preserve"> gas (GHG) is </w:t>
      </w:r>
      <w:r w:rsidR="001420FF">
        <w:t xml:space="preserve">chemically </w:t>
      </w:r>
      <w:r w:rsidR="00BF2DB9">
        <w:t xml:space="preserve">converted in </w:t>
      </w:r>
      <w:r w:rsidR="00744994">
        <w:t>the process to high added valuable chemicals as methanol.</w:t>
      </w:r>
    </w:p>
    <w:p w14:paraId="5A8D6859" w14:textId="14B77DC3" w:rsidR="00E24542" w:rsidRDefault="00E24542" w:rsidP="00990E22">
      <w:pPr>
        <w:pStyle w:val="CETBodytext"/>
      </w:pPr>
      <w:r>
        <w:t>Regarding chemical production, the</w:t>
      </w:r>
      <w:r w:rsidR="003E3047">
        <w:t xml:space="preserve"> simulation results show 42.88 kg/h of</w:t>
      </w:r>
      <w:r>
        <w:t xml:space="preserve"> massive methanol production</w:t>
      </w:r>
      <w:r w:rsidR="003E3047">
        <w:t xml:space="preserve">, assessing a global massive yield, computed as </w:t>
      </w:r>
      <w:r w:rsidR="00342AF0">
        <w:t>ratio of methanol production and biogas utilization, near to the unit.</w:t>
      </w:r>
    </w:p>
    <w:p w14:paraId="5E605A56" w14:textId="6137CA88" w:rsidR="006217AF" w:rsidRDefault="00053CAB" w:rsidP="002A1186">
      <w:pPr>
        <w:pStyle w:val="CETheadingx"/>
      </w:pPr>
      <w:r>
        <w:lastRenderedPageBreak/>
        <w:t>Preliminary economic analysis</w:t>
      </w:r>
    </w:p>
    <w:p w14:paraId="6B2154B5" w14:textId="69C7E8C3" w:rsidR="009D2ED4" w:rsidRDefault="006217AF" w:rsidP="00990E22">
      <w:pPr>
        <w:pStyle w:val="CETBodytext"/>
      </w:pPr>
      <w:r w:rsidRPr="006217AF">
        <w:t>A</w:t>
      </w:r>
      <w:r>
        <w:t xml:space="preserve"> preliminar</w:t>
      </w:r>
      <w:r w:rsidR="00053CAB">
        <w:t>y</w:t>
      </w:r>
      <w:r w:rsidRPr="006217AF">
        <w:t xml:space="preserve"> economic analysis is carried to evaluate the effort of investment to produce bio-</w:t>
      </w:r>
      <w:r>
        <w:t>methanol</w:t>
      </w:r>
      <w:r w:rsidRPr="006217AF">
        <w:t xml:space="preserve"> via </w:t>
      </w:r>
      <w:r>
        <w:t xml:space="preserve">micro-algae </w:t>
      </w:r>
      <w:r w:rsidRPr="006217AF">
        <w:t xml:space="preserve">biogas. </w:t>
      </w:r>
      <w:r w:rsidR="005B0C3D">
        <w:fldChar w:fldCharType="begin"/>
      </w:r>
      <w:r w:rsidR="005B0C3D">
        <w:instrText xml:space="preserve"> REF _Ref93409032 \h </w:instrText>
      </w:r>
      <w:r w:rsidR="005B0C3D">
        <w:fldChar w:fldCharType="separate"/>
      </w:r>
      <w:r w:rsidR="005B0C3D">
        <w:t xml:space="preserve">Table </w:t>
      </w:r>
      <w:r w:rsidR="005B0C3D">
        <w:rPr>
          <w:noProof/>
        </w:rPr>
        <w:t>5</w:t>
      </w:r>
      <w:r w:rsidR="005B0C3D">
        <w:fldChar w:fldCharType="end"/>
      </w:r>
      <w:r w:rsidRPr="006217AF">
        <w:t xml:space="preserve"> shows the main economics as CAPEX, OPEX, evaluated with Guthrie’s formula </w:t>
      </w:r>
      <w:r w:rsidR="0007768C">
        <w:fldChar w:fldCharType="begin" w:fldLock="1"/>
      </w:r>
      <w:r w:rsidR="00C81C6D">
        <w:instrText>ADDIN CSL_CITATION {"citationItems":[{"id":"ITEM-1","itemData":{"DOI":"10.5860/choice.36-0974","ISBN":"9780132618120","ISSN":"0009-4978","abstract":"applicability for this approach.","author":[{"dropping-particle":"","family":"Bailie","given":"Richard C","non-dropping-particle":"","parse-names":false,"suffix":""},{"dropping-particle":"","family":"Whiting","given":"Wallace B","non-dropping-particle":"","parse-names":false,"suffix":""}],"container-title":"Choice Reviews Online","id":"ITEM-1","issue":"02","issued":{"date-parts":[["1998"]]},"number-of-pages":"36-0974-36-0974","title":"Analysis, synthesis, and design of chemical processes","type":"book","volume":"36"},"uris":["http://www.mendeley.com/documents/?uuid=c2b82663-740c-4f36-86c1-6661f25daa7e","http://www.mendeley.com/documents/?uuid=54f0bb05-0ebf-4bd6-81df-a4a8273e0381"]}],"mendeley":{"formattedCitation":"(Bailie and Whiting, 1998)","plainTextFormattedCitation":"(Bailie and Whiting, 1998)","previouslyFormattedCitation":"(Bailie and Whiting, 1998)"},"properties":{"noteIndex":0},"schema":"https://github.com/citation-style-language/schema/raw/master/csl-citation.json"}</w:instrText>
      </w:r>
      <w:r w:rsidR="0007768C">
        <w:fldChar w:fldCharType="separate"/>
      </w:r>
      <w:r w:rsidR="00C81C6D" w:rsidRPr="00C81C6D">
        <w:rPr>
          <w:noProof/>
        </w:rPr>
        <w:t>(Bailie and Whiting, 1998)</w:t>
      </w:r>
      <w:r w:rsidR="0007768C">
        <w:fldChar w:fldCharType="end"/>
      </w:r>
      <w:r w:rsidRPr="006217AF">
        <w:t xml:space="preserve">and expected revenues coinciding with the selling of the dimethyl ether. In the analysis is not included the human resource voice of cost, the CAPEX/OPEX associated with final product purification, and the government incentives. Analyst data for the price of </w:t>
      </w:r>
      <w:r>
        <w:t>methanol</w:t>
      </w:r>
      <w:r w:rsidRPr="006217AF">
        <w:t xml:space="preserve"> is taken from a specific website </w:t>
      </w:r>
      <w:r w:rsidR="00EC35D2">
        <w:fldChar w:fldCharType="begin" w:fldLock="1"/>
      </w:r>
      <w:r w:rsidR="001C407A">
        <w:instrText>ADDIN CSL_CITATION {"citationItems":[{"id":"ITEM-1","itemData":{"URL":"https://www.methanex.com/news/methanex-reports-stronger-fourth-quarter-2019-results-and-full-year-record-production-volume","id":"ITEM-1","issued":{"date-parts":[["2019"]]},"title":"Methanex","type":"webpage"},"uris":["http://www.mendeley.com/documents/?uuid=4771e3ed-1f58-4635-b16c-41cf31f4bc9b","http://www.mendeley.com/documents/?uuid=032c8366-3f43-4554-92fa-6ebd3c4ea635"]}],"mendeley":{"formattedCitation":"(“Methanex,” 2019)","plainTextFormattedCitation":"(“Methanex,” 2019)","previouslyFormattedCitation":"(“Methanex,” 2019)"},"properties":{"noteIndex":0},"schema":"https://github.com/citation-style-language/schema/raw/master/csl-citation.json"}</w:instrText>
      </w:r>
      <w:r w:rsidR="00EC35D2">
        <w:fldChar w:fldCharType="separate"/>
      </w:r>
      <w:r w:rsidR="00C81C6D" w:rsidRPr="00C81C6D">
        <w:rPr>
          <w:noProof/>
        </w:rPr>
        <w:t>(“Methanex,” 2019)</w:t>
      </w:r>
      <w:r w:rsidR="00EC35D2">
        <w:fldChar w:fldCharType="end"/>
      </w:r>
      <w:r w:rsidRPr="006217AF">
        <w:t xml:space="preserve">. Raw materials include the cost of the catalysts, coolants, and natural gas. Revenues are computed with the actual price of </w:t>
      </w:r>
      <w:r>
        <w:t>methanol</w:t>
      </w:r>
      <w:r w:rsidRPr="006217AF">
        <w:t xml:space="preserve"> based on the relative production.</w:t>
      </w:r>
    </w:p>
    <w:p w14:paraId="2BC148F8" w14:textId="12DA9AA5" w:rsidR="00AF3266" w:rsidRDefault="00C42444" w:rsidP="00990E22">
      <w:pPr>
        <w:pStyle w:val="CETBodytext"/>
      </w:pPr>
      <w:r w:rsidRPr="00C42444">
        <w:t xml:space="preserve">The performance </w:t>
      </w:r>
      <w:r>
        <w:t xml:space="preserve">feasibility </w:t>
      </w:r>
      <w:r w:rsidRPr="00C42444">
        <w:t>indicator used to assess the profitability of the plant is payback time (PBT), it correlates OPEX and CAPEX according with the following equation</w:t>
      </w:r>
      <w:r>
        <w:t xml:space="preserve"> (Eq.2):</w:t>
      </w:r>
    </w:p>
    <w:p w14:paraId="521E8219" w14:textId="77777777" w:rsidR="0061456A" w:rsidRDefault="0061456A" w:rsidP="00990E22">
      <w:pPr>
        <w:pStyle w:val="CET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975"/>
        <w:gridCol w:w="1843"/>
      </w:tblGrid>
      <w:tr w:rsidR="00AF3266" w:rsidRPr="007A226B" w14:paraId="3BC77833" w14:textId="77777777" w:rsidTr="00AF3266">
        <w:trPr>
          <w:trHeight w:val="615"/>
        </w:trPr>
        <w:tc>
          <w:tcPr>
            <w:tcW w:w="3969" w:type="dxa"/>
          </w:tcPr>
          <w:p w14:paraId="754A64AF" w14:textId="5FDBD0AA" w:rsidR="00AF3266" w:rsidRPr="00AF3266" w:rsidRDefault="00AF3266" w:rsidP="00E6034C">
            <w:pPr>
              <w:spacing w:after="160" w:line="259" w:lineRule="auto"/>
              <w:contextualSpacing/>
              <w:rPr>
                <w:lang w:val="en-US"/>
              </w:rPr>
            </w:pPr>
            <m:oMathPara>
              <m:oMathParaPr>
                <m:jc m:val="left"/>
              </m:oMathParaPr>
              <m:oMath>
                <m:r>
                  <w:rPr>
                    <w:rFonts w:ascii="Cambria Math" w:hAnsi="Cambria Math" w:cs="Courier New"/>
                    <w:lang w:val="en-US"/>
                  </w:rPr>
                  <m:t>Payback Time=</m:t>
                </m:r>
                <m:f>
                  <m:fPr>
                    <m:ctrlPr>
                      <w:rPr>
                        <w:rFonts w:ascii="Cambria Math" w:hAnsi="Cambria Math" w:cs="Courier New"/>
                        <w:i/>
                        <w:lang w:val="en-US"/>
                      </w:rPr>
                    </m:ctrlPr>
                  </m:fPr>
                  <m:num>
                    <m:r>
                      <w:rPr>
                        <w:rFonts w:ascii="Cambria Math" w:hAnsi="Cambria Math" w:cs="Courier New"/>
                        <w:lang w:val="en-US"/>
                      </w:rPr>
                      <m:t>CAPEX</m:t>
                    </m:r>
                  </m:num>
                  <m:den>
                    <m:r>
                      <w:rPr>
                        <w:rFonts w:ascii="Cambria Math" w:hAnsi="Cambria Math" w:cs="Courier New"/>
                        <w:lang w:val="en-US"/>
                      </w:rPr>
                      <m:t>REVENUES-OPEX</m:t>
                    </m:r>
                  </m:den>
                </m:f>
              </m:oMath>
            </m:oMathPara>
          </w:p>
        </w:tc>
        <w:tc>
          <w:tcPr>
            <w:tcW w:w="2975" w:type="dxa"/>
          </w:tcPr>
          <w:p w14:paraId="420575A6" w14:textId="2C269982" w:rsidR="00AF3266" w:rsidRPr="005728C0" w:rsidRDefault="00AF3266" w:rsidP="00E6034C">
            <w:pPr>
              <w:spacing w:after="160" w:line="259" w:lineRule="auto"/>
              <w:contextualSpacing/>
              <w:rPr>
                <w:rFonts w:cs="Courier New"/>
                <w:lang w:val="en-US"/>
              </w:rPr>
            </w:pPr>
          </w:p>
        </w:tc>
        <w:tc>
          <w:tcPr>
            <w:tcW w:w="1843" w:type="dxa"/>
          </w:tcPr>
          <w:p w14:paraId="667F46AE" w14:textId="27F64687" w:rsidR="00AF3266" w:rsidRPr="007A226B" w:rsidRDefault="00AF3266" w:rsidP="00E6034C">
            <w:pPr>
              <w:spacing w:after="160" w:line="259" w:lineRule="auto"/>
              <w:contextualSpacing/>
              <w:jc w:val="right"/>
              <w:rPr>
                <w:lang w:val="en-US"/>
              </w:rPr>
            </w:pPr>
            <w:r>
              <w:rPr>
                <w:lang w:val="en-US"/>
              </w:rPr>
              <w:t>Eq</w:t>
            </w:r>
            <w:r w:rsidR="00130743">
              <w:rPr>
                <w:lang w:val="en-US"/>
              </w:rPr>
              <w:t>(</w:t>
            </w:r>
            <w:r>
              <w:rPr>
                <w:lang w:val="en-US"/>
              </w:rPr>
              <w:t>2</w:t>
            </w:r>
            <w:r w:rsidR="00130743">
              <w:rPr>
                <w:lang w:val="en-US"/>
              </w:rPr>
              <w:t>)</w:t>
            </w:r>
          </w:p>
        </w:tc>
      </w:tr>
    </w:tbl>
    <w:p w14:paraId="7C6CCEE7" w14:textId="1D6353FA" w:rsidR="00AF3266" w:rsidRDefault="00D2343D" w:rsidP="00990E22">
      <w:pPr>
        <w:pStyle w:val="CETBodytext"/>
      </w:pPr>
      <w:r w:rsidRPr="00D2343D">
        <w:t>PBT (Payback time) is defined as the time required after the plant start-up to recover the fixed capital investment costs. Short PBTs is reflected in more profitable project.</w:t>
      </w:r>
    </w:p>
    <w:p w14:paraId="06997172" w14:textId="4BB50BBA" w:rsidR="00053CAB" w:rsidRDefault="00053CAB" w:rsidP="00990E22">
      <w:pPr>
        <w:pStyle w:val="CETBodytext"/>
      </w:pPr>
      <w:r w:rsidRPr="00053CAB">
        <w:t xml:space="preserve">From the economic assessment of Table </w:t>
      </w:r>
      <w:r>
        <w:t>5</w:t>
      </w:r>
      <w:r w:rsidRPr="00053CAB">
        <w:t>,</w:t>
      </w:r>
      <w:r>
        <w:t xml:space="preserve"> </w:t>
      </w:r>
      <w:r w:rsidRPr="00053CAB">
        <w:t>the payback time computed is 5.</w:t>
      </w:r>
      <w:r>
        <w:t>82</w:t>
      </w:r>
      <w:r w:rsidRPr="00053CAB">
        <w:t xml:space="preserve"> years. This value is aligned with other literature sources proving that </w:t>
      </w:r>
      <w:r>
        <w:t xml:space="preserve">microalgae-based </w:t>
      </w:r>
      <w:r w:rsidRPr="00053CAB">
        <w:t xml:space="preserve">biogas chemical conversion is generally economically feasible with payback period in the range of 4-8 years </w:t>
      </w:r>
      <w:r w:rsidR="00EC35D2">
        <w:fldChar w:fldCharType="begin" w:fldLock="1"/>
      </w:r>
      <w:r w:rsidR="00C81C6D">
        <w:instrText>ADDIN CSL_CITATION {"citationItems":[{"id":"ITEM-1","itemData":{"DOI":"10.1016/j.isci.2020.101082","ISSN":"25890042","abstract":"Energy Resources; Biocatalysis; Energy Storage","author":[{"dropping-particle":"","family":"Zhao","given":"Xianhui","non-dropping-particle":"","parse-names":false,"suffix":""},{"dropping-particle":"","family":"Joseph","given":"Babu","non-dropping-particle":"","parse-names":false,"suffix":""},{"dropping-particle":"","family":"Kuhn","given":"John","non-dropping-particle":"","parse-names":false,"suffix":""},{"dropping-particle":"","family":"Ozcan","given":"Soydan","non-dropping-particle":"","parse-names":false,"suffix":""}],"container-title":"iScience","id":"ITEM-1","issue":"5","issued":{"date-parts":[["2020"]]},"page":"101082","publisher":"Elsevier Inc.","title":"Biogas Reforming to Syngas: A Review","type":"article-journal","volume":"23"},"uris":["http://www.mendeley.com/documents/?uuid=52ef529c-1a3a-4cca-8ca3-e52069b740df","http://www.mendeley.com/documents/?uuid=9a784b94-bb24-417e-ab05-482b02c0db3b"]}],"mendeley":{"formattedCitation":"(Zhao et al., 2020)","plainTextFormattedCitation":"(Zhao et al., 2020)","previouslyFormattedCitation":"(Zhao et al., 2020)"},"properties":{"noteIndex":0},"schema":"https://github.com/citation-style-language/schema/raw/master/csl-citation.json"}</w:instrText>
      </w:r>
      <w:r w:rsidR="00EC35D2">
        <w:fldChar w:fldCharType="separate"/>
      </w:r>
      <w:r w:rsidR="00C81C6D" w:rsidRPr="00C81C6D">
        <w:rPr>
          <w:noProof/>
        </w:rPr>
        <w:t>(Zhao et al., 2020)</w:t>
      </w:r>
      <w:r w:rsidR="00EC35D2">
        <w:fldChar w:fldCharType="end"/>
      </w:r>
      <w:r w:rsidR="00EC35D2">
        <w:t>.</w:t>
      </w:r>
    </w:p>
    <w:p w14:paraId="7D754FC4" w14:textId="37C92943" w:rsidR="006217AF" w:rsidRDefault="006217AF" w:rsidP="006217AF">
      <w:pPr>
        <w:pStyle w:val="CETTabletitle"/>
      </w:pPr>
      <w:bookmarkStart w:id="5" w:name="_Ref93409032"/>
      <w:r>
        <w:t xml:space="preserve">Table </w:t>
      </w:r>
      <w:r>
        <w:fldChar w:fldCharType="begin"/>
      </w:r>
      <w:r>
        <w:instrText xml:space="preserve"> SEQ Table \* ARABIC </w:instrText>
      </w:r>
      <w:r>
        <w:fldChar w:fldCharType="separate"/>
      </w:r>
      <w:r w:rsidR="000E16A0">
        <w:rPr>
          <w:noProof/>
        </w:rPr>
        <w:t>5</w:t>
      </w:r>
      <w:r>
        <w:fldChar w:fldCharType="end"/>
      </w:r>
      <w:bookmarkEnd w:id="5"/>
      <w:r w:rsidR="00934A77">
        <w:t>:</w:t>
      </w:r>
      <w:r>
        <w:t xml:space="preserve"> Results of </w:t>
      </w:r>
      <w:r w:rsidR="00BA28E1">
        <w:t>preliminary</w:t>
      </w:r>
      <w:r>
        <w:t xml:space="preserve"> economic analysis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56"/>
        <w:gridCol w:w="1438"/>
        <w:gridCol w:w="1701"/>
        <w:gridCol w:w="1559"/>
        <w:gridCol w:w="1559"/>
        <w:gridCol w:w="1274"/>
      </w:tblGrid>
      <w:tr w:rsidR="00111037" w:rsidRPr="009D2ED4" w14:paraId="6FB68491" w14:textId="77777777" w:rsidTr="00DC18FD">
        <w:trPr>
          <w:trHeight w:val="194"/>
        </w:trPr>
        <w:tc>
          <w:tcPr>
            <w:tcW w:w="715" w:type="pct"/>
            <w:tcBorders>
              <w:top w:val="single" w:sz="12" w:space="0" w:color="008000"/>
              <w:bottom w:val="single" w:sz="6" w:space="0" w:color="008000"/>
            </w:tcBorders>
            <w:shd w:val="clear" w:color="auto" w:fill="FFFFFF"/>
          </w:tcPr>
          <w:p w14:paraId="1D23EFC2" w14:textId="3A4FBBFD" w:rsidR="00111037" w:rsidRPr="009D2ED4" w:rsidRDefault="00111037" w:rsidP="009D2ED4">
            <w:pPr>
              <w:jc w:val="center"/>
              <w:rPr>
                <w:lang w:val="en-US"/>
              </w:rPr>
            </w:pPr>
            <w:r>
              <w:rPr>
                <w:lang w:val="en-US"/>
              </w:rPr>
              <w:t>Parameters</w:t>
            </w:r>
          </w:p>
        </w:tc>
        <w:tc>
          <w:tcPr>
            <w:tcW w:w="818" w:type="pct"/>
            <w:tcBorders>
              <w:top w:val="single" w:sz="12" w:space="0" w:color="008000"/>
              <w:bottom w:val="single" w:sz="6" w:space="0" w:color="008000"/>
            </w:tcBorders>
            <w:shd w:val="clear" w:color="auto" w:fill="FFFFFF"/>
            <w:vAlign w:val="center"/>
          </w:tcPr>
          <w:p w14:paraId="2CEDFCE7" w14:textId="389DE9ED" w:rsidR="00111037" w:rsidRPr="009D2ED4" w:rsidRDefault="00111037" w:rsidP="009D2ED4">
            <w:pPr>
              <w:jc w:val="center"/>
              <w:rPr>
                <w:lang w:val="en-US"/>
              </w:rPr>
            </w:pPr>
            <w:r w:rsidRPr="009D2ED4">
              <w:rPr>
                <w:lang w:val="en-US"/>
              </w:rPr>
              <w:t>CAPEX</w:t>
            </w:r>
          </w:p>
        </w:tc>
        <w:tc>
          <w:tcPr>
            <w:tcW w:w="968" w:type="pct"/>
            <w:tcBorders>
              <w:top w:val="single" w:sz="12" w:space="0" w:color="008000"/>
              <w:bottom w:val="single" w:sz="6" w:space="0" w:color="008000"/>
            </w:tcBorders>
            <w:shd w:val="clear" w:color="auto" w:fill="FFFFFF"/>
            <w:vAlign w:val="center"/>
          </w:tcPr>
          <w:p w14:paraId="04F61B48" w14:textId="3507C4DA" w:rsidR="00111037" w:rsidRPr="009D2ED4" w:rsidRDefault="00111037" w:rsidP="009D2ED4">
            <w:pPr>
              <w:jc w:val="center"/>
              <w:rPr>
                <w:lang w:val="en-US"/>
              </w:rPr>
            </w:pPr>
            <w:r w:rsidRPr="009D2ED4">
              <w:rPr>
                <w:lang w:val="en-US"/>
              </w:rPr>
              <w:t>OPEX</w:t>
            </w:r>
          </w:p>
        </w:tc>
        <w:tc>
          <w:tcPr>
            <w:tcW w:w="887" w:type="pct"/>
            <w:tcBorders>
              <w:top w:val="single" w:sz="12" w:space="0" w:color="008000"/>
              <w:bottom w:val="single" w:sz="6" w:space="0" w:color="008000"/>
            </w:tcBorders>
            <w:shd w:val="clear" w:color="auto" w:fill="FFFFFF"/>
            <w:vAlign w:val="center"/>
          </w:tcPr>
          <w:p w14:paraId="7081504D" w14:textId="176A914F" w:rsidR="00111037" w:rsidRPr="009D2ED4" w:rsidRDefault="00111037" w:rsidP="009D2ED4">
            <w:pPr>
              <w:jc w:val="center"/>
              <w:rPr>
                <w:lang w:val="en-US"/>
              </w:rPr>
            </w:pPr>
            <w:r w:rsidRPr="009D2ED4">
              <w:rPr>
                <w:lang w:val="en-US"/>
              </w:rPr>
              <w:t>R</w:t>
            </w:r>
            <w:r>
              <w:rPr>
                <w:lang w:val="en-US"/>
              </w:rPr>
              <w:t>aw Materials</w:t>
            </w:r>
          </w:p>
        </w:tc>
        <w:tc>
          <w:tcPr>
            <w:tcW w:w="887" w:type="pct"/>
            <w:tcBorders>
              <w:top w:val="single" w:sz="12" w:space="0" w:color="008000"/>
              <w:bottom w:val="single" w:sz="6" w:space="0" w:color="008000"/>
            </w:tcBorders>
            <w:shd w:val="clear" w:color="auto" w:fill="FFFFFF"/>
            <w:vAlign w:val="center"/>
          </w:tcPr>
          <w:p w14:paraId="2BF28E30" w14:textId="133490FF" w:rsidR="00111037" w:rsidRPr="009D2ED4" w:rsidRDefault="00111037" w:rsidP="0030471E">
            <w:pPr>
              <w:jc w:val="center"/>
              <w:rPr>
                <w:lang w:val="en-US"/>
              </w:rPr>
            </w:pPr>
            <w:r w:rsidRPr="009D2ED4">
              <w:rPr>
                <w:lang w:val="en-US"/>
              </w:rPr>
              <w:t>R</w:t>
            </w:r>
            <w:r>
              <w:rPr>
                <w:lang w:val="en-US"/>
              </w:rPr>
              <w:t>evenues</w:t>
            </w:r>
          </w:p>
        </w:tc>
        <w:tc>
          <w:tcPr>
            <w:tcW w:w="725" w:type="pct"/>
            <w:tcBorders>
              <w:top w:val="single" w:sz="12" w:space="0" w:color="008000"/>
              <w:bottom w:val="single" w:sz="6" w:space="0" w:color="008000"/>
            </w:tcBorders>
            <w:shd w:val="clear" w:color="auto" w:fill="FFFFFF"/>
            <w:vAlign w:val="center"/>
          </w:tcPr>
          <w:p w14:paraId="134596CA" w14:textId="29CFDB2D" w:rsidR="00111037" w:rsidRPr="009D2ED4" w:rsidRDefault="00111037" w:rsidP="009D2ED4">
            <w:pPr>
              <w:jc w:val="center"/>
              <w:rPr>
                <w:lang w:val="en-US"/>
              </w:rPr>
            </w:pPr>
            <w:r w:rsidRPr="009D2ED4">
              <w:rPr>
                <w:lang w:val="en-US"/>
              </w:rPr>
              <w:t>PBT</w:t>
            </w:r>
          </w:p>
        </w:tc>
      </w:tr>
      <w:tr w:rsidR="00111037" w:rsidRPr="009D2ED4" w14:paraId="67F9975D" w14:textId="77777777" w:rsidTr="00DC18FD">
        <w:trPr>
          <w:trHeight w:val="241"/>
        </w:trPr>
        <w:tc>
          <w:tcPr>
            <w:tcW w:w="715" w:type="pct"/>
            <w:shd w:val="clear" w:color="auto" w:fill="FFFFFF"/>
          </w:tcPr>
          <w:p w14:paraId="1D11E62D" w14:textId="36D4A07F" w:rsidR="00111037" w:rsidRDefault="00111037" w:rsidP="009D2ED4">
            <w:pPr>
              <w:jc w:val="center"/>
              <w:rPr>
                <w:lang w:val="en-US"/>
              </w:rPr>
            </w:pPr>
            <w:r>
              <w:rPr>
                <w:lang w:val="en-US"/>
              </w:rPr>
              <w:t>Value</w:t>
            </w:r>
          </w:p>
        </w:tc>
        <w:tc>
          <w:tcPr>
            <w:tcW w:w="818" w:type="pct"/>
            <w:shd w:val="clear" w:color="auto" w:fill="FFFFFF"/>
            <w:vAlign w:val="center"/>
          </w:tcPr>
          <w:p w14:paraId="4808AFED" w14:textId="69AC9661" w:rsidR="00111037" w:rsidRPr="009D2ED4" w:rsidRDefault="00111037" w:rsidP="009D2ED4">
            <w:pPr>
              <w:jc w:val="center"/>
              <w:rPr>
                <w:lang w:val="en-US"/>
              </w:rPr>
            </w:pPr>
            <w:r>
              <w:rPr>
                <w:lang w:val="en-US"/>
              </w:rPr>
              <w:t>900.000</w:t>
            </w:r>
          </w:p>
        </w:tc>
        <w:tc>
          <w:tcPr>
            <w:tcW w:w="968" w:type="pct"/>
            <w:shd w:val="clear" w:color="auto" w:fill="FFFFFF"/>
            <w:vAlign w:val="center"/>
          </w:tcPr>
          <w:p w14:paraId="1051FDAD" w14:textId="2CEF8281" w:rsidR="00111037" w:rsidRPr="009D2ED4" w:rsidRDefault="00111037" w:rsidP="009D2ED4">
            <w:pPr>
              <w:jc w:val="center"/>
              <w:rPr>
                <w:lang w:val="en-US"/>
              </w:rPr>
            </w:pPr>
            <w:r>
              <w:rPr>
                <w:lang w:val="en-US"/>
              </w:rPr>
              <w:t>51.320</w:t>
            </w:r>
          </w:p>
        </w:tc>
        <w:tc>
          <w:tcPr>
            <w:tcW w:w="887" w:type="pct"/>
            <w:shd w:val="clear" w:color="auto" w:fill="FFFFFF"/>
            <w:vAlign w:val="center"/>
          </w:tcPr>
          <w:p w14:paraId="347DA2E0" w14:textId="66A261BB" w:rsidR="00111037" w:rsidRPr="009D2ED4" w:rsidRDefault="00111037" w:rsidP="009D2ED4">
            <w:pPr>
              <w:jc w:val="center"/>
              <w:rPr>
                <w:lang w:val="en-US"/>
              </w:rPr>
            </w:pPr>
            <w:r>
              <w:rPr>
                <w:lang w:val="en-US"/>
              </w:rPr>
              <w:t>23.27</w:t>
            </w:r>
          </w:p>
        </w:tc>
        <w:tc>
          <w:tcPr>
            <w:tcW w:w="887" w:type="pct"/>
            <w:shd w:val="clear" w:color="auto" w:fill="FFFFFF"/>
            <w:vAlign w:val="center"/>
          </w:tcPr>
          <w:p w14:paraId="52DE3AB9" w14:textId="488E879B" w:rsidR="00111037" w:rsidRPr="009D2ED4" w:rsidRDefault="00111037" w:rsidP="009D2ED4">
            <w:pPr>
              <w:jc w:val="center"/>
              <w:rPr>
                <w:lang w:val="en-US"/>
              </w:rPr>
            </w:pPr>
            <w:r>
              <w:rPr>
                <w:lang w:val="en-US"/>
              </w:rPr>
              <w:t>206.052</w:t>
            </w:r>
          </w:p>
        </w:tc>
        <w:tc>
          <w:tcPr>
            <w:tcW w:w="725" w:type="pct"/>
            <w:shd w:val="clear" w:color="auto" w:fill="FFFFFF"/>
            <w:vAlign w:val="center"/>
          </w:tcPr>
          <w:p w14:paraId="327FB2C2" w14:textId="003318B5" w:rsidR="00111037" w:rsidRPr="009D2ED4" w:rsidRDefault="00111037" w:rsidP="009D2ED4">
            <w:pPr>
              <w:jc w:val="center"/>
              <w:rPr>
                <w:lang w:val="en-US"/>
              </w:rPr>
            </w:pPr>
            <w:r>
              <w:rPr>
                <w:lang w:val="en-US"/>
              </w:rPr>
              <w:t>5.82</w:t>
            </w:r>
          </w:p>
        </w:tc>
      </w:tr>
      <w:tr w:rsidR="00111037" w:rsidRPr="009D2ED4" w14:paraId="7D4B6C38" w14:textId="77777777" w:rsidTr="00DC18FD">
        <w:trPr>
          <w:trHeight w:val="132"/>
        </w:trPr>
        <w:tc>
          <w:tcPr>
            <w:tcW w:w="715" w:type="pct"/>
            <w:shd w:val="clear" w:color="auto" w:fill="FFFFFF"/>
          </w:tcPr>
          <w:p w14:paraId="5CB5511E" w14:textId="3C529292" w:rsidR="00111037" w:rsidRDefault="00111037" w:rsidP="009D2ED4">
            <w:pPr>
              <w:jc w:val="center"/>
              <w:rPr>
                <w:lang w:val="en-US"/>
              </w:rPr>
            </w:pPr>
            <w:r>
              <w:rPr>
                <w:lang w:val="en-US"/>
              </w:rPr>
              <w:t>UOM</w:t>
            </w:r>
          </w:p>
        </w:tc>
        <w:tc>
          <w:tcPr>
            <w:tcW w:w="818" w:type="pct"/>
            <w:shd w:val="clear" w:color="auto" w:fill="FFFFFF"/>
            <w:vAlign w:val="center"/>
          </w:tcPr>
          <w:p w14:paraId="152D4F26" w14:textId="331F8EC8" w:rsidR="00111037" w:rsidRDefault="00111037" w:rsidP="009D2ED4">
            <w:pPr>
              <w:jc w:val="center"/>
              <w:rPr>
                <w:lang w:val="en-US"/>
              </w:rPr>
            </w:pPr>
            <w:r>
              <w:rPr>
                <w:lang w:val="en-US"/>
              </w:rPr>
              <w:t>kUSD</w:t>
            </w:r>
          </w:p>
        </w:tc>
        <w:tc>
          <w:tcPr>
            <w:tcW w:w="968" w:type="pct"/>
            <w:shd w:val="clear" w:color="auto" w:fill="FFFFFF"/>
            <w:vAlign w:val="center"/>
          </w:tcPr>
          <w:p w14:paraId="06423475" w14:textId="4ED0890C" w:rsidR="00111037" w:rsidRDefault="00111037" w:rsidP="009D2ED4">
            <w:pPr>
              <w:jc w:val="center"/>
              <w:rPr>
                <w:lang w:val="en-US"/>
              </w:rPr>
            </w:pPr>
            <w:r>
              <w:rPr>
                <w:lang w:val="en-US"/>
              </w:rPr>
              <w:t>kUSD/years</w:t>
            </w:r>
          </w:p>
        </w:tc>
        <w:tc>
          <w:tcPr>
            <w:tcW w:w="887" w:type="pct"/>
            <w:shd w:val="clear" w:color="auto" w:fill="FFFFFF"/>
            <w:vAlign w:val="center"/>
          </w:tcPr>
          <w:p w14:paraId="34E32334" w14:textId="5177E039" w:rsidR="00111037" w:rsidRDefault="00111037" w:rsidP="009D2ED4">
            <w:pPr>
              <w:jc w:val="center"/>
              <w:rPr>
                <w:lang w:val="en-US"/>
              </w:rPr>
            </w:pPr>
            <w:r>
              <w:rPr>
                <w:lang w:val="en-US"/>
              </w:rPr>
              <w:t>kUSD</w:t>
            </w:r>
          </w:p>
        </w:tc>
        <w:tc>
          <w:tcPr>
            <w:tcW w:w="887" w:type="pct"/>
            <w:shd w:val="clear" w:color="auto" w:fill="FFFFFF"/>
            <w:vAlign w:val="center"/>
          </w:tcPr>
          <w:p w14:paraId="08CA4C4C" w14:textId="59EF3361" w:rsidR="00111037" w:rsidRDefault="00111037" w:rsidP="009D2ED4">
            <w:pPr>
              <w:jc w:val="center"/>
              <w:rPr>
                <w:lang w:val="en-US"/>
              </w:rPr>
            </w:pPr>
            <w:r>
              <w:rPr>
                <w:lang w:val="en-US"/>
              </w:rPr>
              <w:t>kUSD/years</w:t>
            </w:r>
          </w:p>
        </w:tc>
        <w:tc>
          <w:tcPr>
            <w:tcW w:w="725" w:type="pct"/>
            <w:vAlign w:val="center"/>
          </w:tcPr>
          <w:p w14:paraId="53DDC13F" w14:textId="600083C3" w:rsidR="00111037" w:rsidRDefault="00111037" w:rsidP="009D2ED4">
            <w:pPr>
              <w:jc w:val="center"/>
              <w:rPr>
                <w:lang w:val="en-US"/>
              </w:rPr>
            </w:pPr>
            <w:r>
              <w:rPr>
                <w:lang w:val="en-US"/>
              </w:rPr>
              <w:t>Years</w:t>
            </w:r>
          </w:p>
        </w:tc>
      </w:tr>
    </w:tbl>
    <w:p w14:paraId="44D090C0" w14:textId="77777777" w:rsidR="004C261F" w:rsidRDefault="004C261F" w:rsidP="002A1186">
      <w:pPr>
        <w:pStyle w:val="CETHeading1"/>
        <w:numPr>
          <w:ilvl w:val="0"/>
          <w:numId w:val="0"/>
        </w:numPr>
        <w:spacing w:before="120"/>
      </w:pPr>
    </w:p>
    <w:p w14:paraId="28E8379D" w14:textId="29E8033A" w:rsidR="00C52C3C" w:rsidRDefault="00E6555C" w:rsidP="002A1186">
      <w:pPr>
        <w:pStyle w:val="CETHeading1"/>
        <w:numPr>
          <w:ilvl w:val="0"/>
          <w:numId w:val="0"/>
        </w:numPr>
        <w:spacing w:before="120"/>
      </w:pPr>
      <w:r>
        <w:t>Conclusions</w:t>
      </w:r>
    </w:p>
    <w:p w14:paraId="3A0CE798" w14:textId="5BD6D9A3" w:rsidR="0066352F" w:rsidRDefault="00353D6B" w:rsidP="005A6C86">
      <w:pPr>
        <w:pStyle w:val="CETReferencetext"/>
        <w:ind w:left="0" w:firstLine="0"/>
      </w:pPr>
      <w:r>
        <w:t xml:space="preserve">Microalgae can </w:t>
      </w:r>
      <w:r w:rsidR="00AF6721">
        <w:t xml:space="preserve">represent a potential </w:t>
      </w:r>
      <w:r w:rsidR="0005207F">
        <w:t xml:space="preserve">raw material </w:t>
      </w:r>
      <w:r w:rsidR="00BD35A9">
        <w:t>to produce</w:t>
      </w:r>
      <w:r w:rsidR="0005207F">
        <w:t xml:space="preserve"> methanol</w:t>
      </w:r>
      <w:r w:rsidR="00BD35A9">
        <w:t>.</w:t>
      </w:r>
      <w:r w:rsidR="007F713A">
        <w:t xml:space="preserve"> The algae digestion </w:t>
      </w:r>
      <w:r w:rsidR="00937C82">
        <w:t>shows</w:t>
      </w:r>
      <w:r w:rsidR="007F713A">
        <w:t xml:space="preserve"> a </w:t>
      </w:r>
      <w:r w:rsidR="00937C82">
        <w:t>promising</w:t>
      </w:r>
      <w:r w:rsidR="007F713A">
        <w:t xml:space="preserve"> CH</w:t>
      </w:r>
      <w:r w:rsidR="007F713A" w:rsidRPr="007F713A">
        <w:rPr>
          <w:vertAlign w:val="subscript"/>
        </w:rPr>
        <w:t>4</w:t>
      </w:r>
      <w:r w:rsidR="007F713A">
        <w:t>/CO</w:t>
      </w:r>
      <w:r w:rsidR="007F713A" w:rsidRPr="007F713A">
        <w:rPr>
          <w:vertAlign w:val="subscript"/>
        </w:rPr>
        <w:t>2</w:t>
      </w:r>
      <w:r w:rsidR="007F713A">
        <w:t xml:space="preserve"> ratio of </w:t>
      </w:r>
      <w:r w:rsidR="00282805">
        <w:t>3</w:t>
      </w:r>
      <w:r w:rsidR="0056342F">
        <w:t xml:space="preserve">, which is higher than many sludge-based AD, and the </w:t>
      </w:r>
      <w:r w:rsidR="00674508">
        <w:t>H</w:t>
      </w:r>
      <w:r w:rsidR="00674508" w:rsidRPr="00674508">
        <w:rPr>
          <w:vertAlign w:val="subscript"/>
        </w:rPr>
        <w:t>2</w:t>
      </w:r>
      <w:r w:rsidR="00674508">
        <w:t>S</w:t>
      </w:r>
      <w:r w:rsidR="00D916C8">
        <w:t xml:space="preserve"> </w:t>
      </w:r>
      <w:r w:rsidR="00674508">
        <w:t xml:space="preserve">impact in the system is </w:t>
      </w:r>
      <w:r w:rsidR="00DF679E">
        <w:t xml:space="preserve">rather low and </w:t>
      </w:r>
      <w:r w:rsidR="00E856E0">
        <w:t xml:space="preserve">treatable from a simple dedicated and green guard unit, based. Finally, the </w:t>
      </w:r>
      <w:r w:rsidR="00E84620">
        <w:t>methanol production</w:t>
      </w:r>
      <w:r w:rsidR="00E856E0">
        <w:t xml:space="preserve"> </w:t>
      </w:r>
      <w:r w:rsidR="00BD35A9">
        <w:t xml:space="preserve">process showed </w:t>
      </w:r>
      <w:r w:rsidR="00E84620">
        <w:t xml:space="preserve">to </w:t>
      </w:r>
      <w:r w:rsidR="00ED0007">
        <w:t>ha</w:t>
      </w:r>
      <w:r w:rsidR="00E84620">
        <w:t>ve</w:t>
      </w:r>
      <w:r w:rsidR="00ED0007">
        <w:t xml:space="preserve"> a </w:t>
      </w:r>
      <w:r w:rsidR="000674DF">
        <w:t>great</w:t>
      </w:r>
      <w:r w:rsidR="00ED0007">
        <w:t xml:space="preserve"> environmental footprint, and the feasibility of the plant is rather </w:t>
      </w:r>
      <w:r w:rsidR="00BC156D">
        <w:t xml:space="preserve">high thanks to </w:t>
      </w:r>
      <w:r w:rsidR="009C44FF">
        <w:t xml:space="preserve">both </w:t>
      </w:r>
      <w:r w:rsidR="00BC156D">
        <w:t xml:space="preserve">the high revenues from the </w:t>
      </w:r>
      <w:r w:rsidR="008633DD">
        <w:t>methanol selling in the market</w:t>
      </w:r>
      <w:r w:rsidR="009C44FF">
        <w:t xml:space="preserve">, which </w:t>
      </w:r>
      <w:r w:rsidR="00E06758">
        <w:t>makes a lower PBT with respect to other similar plants, and t</w:t>
      </w:r>
      <w:r w:rsidR="00BA42CB">
        <w:t xml:space="preserve">he statal incentives earnable from the green processes involved in the system. In fact, both AD and </w:t>
      </w:r>
      <w:r w:rsidR="005871C6">
        <w:t xml:space="preserve">methanol production process </w:t>
      </w:r>
      <w:r w:rsidR="00BA42CB">
        <w:t>from bio-sources are</w:t>
      </w:r>
      <w:r w:rsidR="00550F7A">
        <w:t xml:space="preserve"> </w:t>
      </w:r>
      <w:r w:rsidR="00937C82">
        <w:t>new</w:t>
      </w:r>
      <w:r w:rsidR="00550F7A">
        <w:t xml:space="preserve"> and attractive technologies in the energy and chemical market, and have </w:t>
      </w:r>
      <w:r w:rsidR="00E42F3E">
        <w:t xml:space="preserve">the potential, put together, to </w:t>
      </w:r>
      <w:r w:rsidR="005871C6">
        <w:t xml:space="preserve">heavily </w:t>
      </w:r>
      <w:r w:rsidR="004F53A6">
        <w:t>influence positively the biorefinery feasibility</w:t>
      </w:r>
      <w:r w:rsidR="00210F95">
        <w:t>.</w:t>
      </w:r>
      <w:r w:rsidR="00C17033">
        <w:t xml:space="preserve"> </w:t>
      </w:r>
      <w:r w:rsidR="0066352F">
        <w:t xml:space="preserve">The global carbon dioxide emission balance is negative </w:t>
      </w:r>
      <w:r w:rsidR="00517BAB">
        <w:t xml:space="preserve">with </w:t>
      </w:r>
      <w:r w:rsidR="00D9593E">
        <w:t xml:space="preserve">partial chemical conversion in high added valuable </w:t>
      </w:r>
      <w:r w:rsidR="005E20C4">
        <w:t>chemicals and</w:t>
      </w:r>
      <w:r w:rsidR="005D2401">
        <w:t xml:space="preserve"> </w:t>
      </w:r>
      <w:r w:rsidR="00ED24BB">
        <w:t>has</w:t>
      </w:r>
      <w:r w:rsidR="005D2401">
        <w:t xml:space="preserve"> a synergic effect with the </w:t>
      </w:r>
      <w:r w:rsidR="005E20C4">
        <w:t xml:space="preserve">metabolic </w:t>
      </w:r>
      <w:r w:rsidR="00BE0BCC">
        <w:t>activity of microalgae</w:t>
      </w:r>
      <w:r w:rsidR="005E20C4">
        <w:t>,</w:t>
      </w:r>
      <w:r w:rsidR="00BE0BCC">
        <w:t xml:space="preserve"> which grows </w:t>
      </w:r>
      <w:r w:rsidR="007A0078">
        <w:t xml:space="preserve">also in </w:t>
      </w:r>
      <w:r w:rsidR="005E20C4">
        <w:t>water</w:t>
      </w:r>
      <w:r w:rsidR="007A0078">
        <w:t xml:space="preserve"> environment adsorbing </w:t>
      </w:r>
      <w:r w:rsidR="005E20C4">
        <w:t>CO</w:t>
      </w:r>
      <w:r w:rsidR="005E20C4" w:rsidRPr="005E20C4">
        <w:rPr>
          <w:vertAlign w:val="subscript"/>
        </w:rPr>
        <w:t>2</w:t>
      </w:r>
      <w:r w:rsidR="005E20C4">
        <w:t xml:space="preserve"> as principal nutrient, so hugely reducing </w:t>
      </w:r>
      <w:r w:rsidR="00ED24BB">
        <w:t>potential emission</w:t>
      </w:r>
      <w:r w:rsidR="005E20C4">
        <w:t>s</w:t>
      </w:r>
      <w:r w:rsidR="00ED24BB">
        <w:t xml:space="preserve"> for the planet.</w:t>
      </w:r>
    </w:p>
    <w:p w14:paraId="11AE618A" w14:textId="11E516DE" w:rsidR="0024512D" w:rsidRDefault="00C17033" w:rsidP="004C261F">
      <w:pPr>
        <w:pStyle w:val="CETReferencetext"/>
        <w:ind w:left="0" w:firstLine="0"/>
      </w:pPr>
      <w:r>
        <w:t xml:space="preserve">The analysis of the process is still at preliminary level, no optimization is done </w:t>
      </w:r>
      <w:r w:rsidR="0033651B">
        <w:t>based on</w:t>
      </w:r>
      <w:r>
        <w:t xml:space="preserve"> the micro-algae cultivation and the </w:t>
      </w:r>
      <w:r w:rsidR="00AA2534">
        <w:t xml:space="preserve">following digestion for biogas production. </w:t>
      </w:r>
      <w:r w:rsidR="0033651B">
        <w:t>Also</w:t>
      </w:r>
      <w:r w:rsidR="00C91E7F">
        <w:t>,</w:t>
      </w:r>
      <w:r w:rsidR="0033651B">
        <w:t xml:space="preserve"> m</w:t>
      </w:r>
      <w:r w:rsidR="00FE479B">
        <w:t>ethanol synthes</w:t>
      </w:r>
      <w:r w:rsidR="0033651B">
        <w:t xml:space="preserve">is </w:t>
      </w:r>
      <w:r w:rsidR="00674BE9">
        <w:t xml:space="preserve">from biogas feedstock is currently </w:t>
      </w:r>
      <w:r w:rsidR="00F2441D">
        <w:t>on experimental level</w:t>
      </w:r>
      <w:r w:rsidR="00F32510">
        <w:t xml:space="preserve">, </w:t>
      </w:r>
      <w:r w:rsidR="00614BB3">
        <w:t>however with promising results</w:t>
      </w:r>
      <w:r w:rsidR="00076400">
        <w:t>.</w:t>
      </w:r>
      <w:r w:rsidR="000F7B20">
        <w:t xml:space="preserve"> Future works will be focused on </w:t>
      </w:r>
      <w:r w:rsidR="00E36BAF">
        <w:t>more detailed engineering analysis and optimization for the process</w:t>
      </w:r>
      <w:r w:rsidR="008A0577">
        <w:t>.</w:t>
      </w:r>
      <w:r w:rsidR="00A12BDB">
        <w:t xml:space="preserve"> </w:t>
      </w:r>
    </w:p>
    <w:p w14:paraId="6CCA4572" w14:textId="25CF4A0F" w:rsidR="00674CEE" w:rsidRDefault="006F3C34" w:rsidP="006F3C34">
      <w:pPr>
        <w:pStyle w:val="CETReference"/>
      </w:pPr>
      <w:r>
        <w:t>References</w:t>
      </w:r>
    </w:p>
    <w:p w14:paraId="4043376E" w14:textId="15901047" w:rsidR="00DD7A03" w:rsidRPr="00DD7A03" w:rsidRDefault="001C40F8" w:rsidP="00DD7A03">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DD7A03" w:rsidRPr="00DD7A03">
        <w:rPr>
          <w:rFonts w:cs="Arial"/>
          <w:noProof/>
          <w:szCs w:val="24"/>
        </w:rPr>
        <w:t>Althaus, H., Chudacoff, M., Hischier, R., Jungbluth, N., Osses, M., Primas, A., Hellweg, S., 2007. Life cycle inventories of chemicals. ecoinvent report No.8, v2.0. Final Rep. ecoinvent data … 1–957.</w:t>
      </w:r>
    </w:p>
    <w:p w14:paraId="6DB2463C"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Andersson, J., Krüger, A., Grönkvist, S., 2020. Methanol as a carrier of hydrogen and carbon in fossil-free production of direct reduced iron. Energy Convers. Manag. X 7, 100051. https://doi.org/10.1016/j.ecmx.2020.100051</w:t>
      </w:r>
    </w:p>
    <w:p w14:paraId="6B3D4C61"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Ayala-Parra, P., Liu, Y., Field, J.A., Sierra-Alvarez, R., 2017. Nutrient recovery and biogas generation from the anaerobic digestion of waste biomass from algal biofuel production. Renew. Energy 108, 410–416. https://doi.org/10.1016/j.renene.2017.02.085</w:t>
      </w:r>
    </w:p>
    <w:p w14:paraId="29A80453"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Bailie, R.C., Whiting, W.B., 1998. Analysis, synthesis, and design of chemical processes, Choice Reviews Online. https://doi.org/10.5860/choice.36-0974</w:t>
      </w:r>
    </w:p>
    <w:p w14:paraId="2DBAAAF6" w14:textId="77777777" w:rsidR="00DD7A03" w:rsidRPr="00284A8C" w:rsidRDefault="00DD7A03" w:rsidP="00DD7A03">
      <w:pPr>
        <w:widowControl w:val="0"/>
        <w:autoSpaceDE w:val="0"/>
        <w:autoSpaceDN w:val="0"/>
        <w:adjustRightInd w:val="0"/>
        <w:spacing w:line="240" w:lineRule="auto"/>
        <w:ind w:left="480" w:hanging="480"/>
        <w:rPr>
          <w:rFonts w:cs="Arial"/>
          <w:noProof/>
          <w:szCs w:val="24"/>
          <w:lang w:val="it-IT"/>
        </w:rPr>
      </w:pPr>
      <w:r w:rsidRPr="00DD7A03">
        <w:rPr>
          <w:rFonts w:cs="Arial"/>
          <w:noProof/>
          <w:szCs w:val="24"/>
        </w:rPr>
        <w:t xml:space="preserve">Bi, Z., He, B.B., 2013. CHARACTERIZATION OF MICROALGAE FOR THE PURPOSE OF BIOFUEL PRODUCTION. </w:t>
      </w:r>
      <w:r w:rsidRPr="00284A8C">
        <w:rPr>
          <w:rFonts w:cs="Arial"/>
          <w:noProof/>
          <w:szCs w:val="24"/>
          <w:lang w:val="it-IT"/>
        </w:rPr>
        <w:t>Trans. ASABE 56, 1529–1539.</w:t>
      </w:r>
    </w:p>
    <w:p w14:paraId="6D3D6BCB"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284A8C">
        <w:rPr>
          <w:rFonts w:cs="Arial"/>
          <w:noProof/>
          <w:szCs w:val="24"/>
          <w:lang w:val="it-IT"/>
        </w:rPr>
        <w:t xml:space="preserve">Bisotti, F., Fedeli, M., Prifti, K., Galeazzi, A., Dell’Angelo, A., Barbieri, M., Pirola, C., Bozzano, G., Manenti, F., 2021. </w:t>
      </w:r>
      <w:r w:rsidRPr="00DD7A03">
        <w:rPr>
          <w:rFonts w:cs="Arial"/>
          <w:noProof/>
          <w:szCs w:val="24"/>
        </w:rPr>
        <w:t xml:space="preserve">Century of Technology Trends in Methanol Synthesis: Any Need for Kinetics Refitting? Ind. Eng. </w:t>
      </w:r>
      <w:r w:rsidRPr="00DD7A03">
        <w:rPr>
          <w:rFonts w:cs="Arial"/>
          <w:noProof/>
          <w:szCs w:val="24"/>
        </w:rPr>
        <w:lastRenderedPageBreak/>
        <w:t>Chem. Res. 60, 16032–16053. https://doi.org/10.1021/acs.iecr.1c02877</w:t>
      </w:r>
    </w:p>
    <w:p w14:paraId="685D2F13"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Bruno Sialve; Nicolas Bernet; Olivier Bernard, 2009. Anaerobic digestion of microalgae as a necessary step to make microalgal biodiesel sustainable. Biotechnol. Adv. 27, 490–416.</w:t>
      </w:r>
    </w:p>
    <w:p w14:paraId="59E3CE22"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Entesari, N., Goeppert, A., Prakash, G.K.S., 2020. Renewable Methanol Synthesis through Single Step Bi-reforming of Biogas. Ind. Eng. Chem. Res. 59, 10542–10551. https://doi.org/10.1021/acs.iecr.0c00755</w:t>
      </w:r>
    </w:p>
    <w:p w14:paraId="1367CD37"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Graaf, G.H., Stamhuis, E.J., Beenackers, A.A.C.M., 1988. Kinetics of low-pressure methanol synthesis. Chem. Eng. Sci. 43, 3185–3195. https://doi.org/10.1016/0009-2509(88)85127-3</w:t>
      </w:r>
    </w:p>
    <w:p w14:paraId="103868D0"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Kontogeorgis, G.M., Folas, G.K., 2009. Thermodynamic Models for Industrial Applications: From Classical and Advanced Mixing Rules to Association Theories, Thermodynamic Models for Industrial Applications: From Classical and Advanced Mixing Rules to Association Theories. https://doi.org/10.1002/9780470747537</w:t>
      </w:r>
    </w:p>
    <w:p w14:paraId="5F199F05"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Mairet, F., Bernard, O., Ras, M., Lardon, L., Steyer, J.P., 2011. Modeling anaerobic digestion of microalgae using ADM1. Bioresour. Technol. 102, 6823–6829. https://doi.org/10.1016/j.biortech.2011.04.015</w:t>
      </w:r>
    </w:p>
    <w:p w14:paraId="74F66A24"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Matthey, J., Box, P.O., Avenue, B., 2017. Methanol Production – A Technical History 172–182.</w:t>
      </w:r>
    </w:p>
    <w:p w14:paraId="2C52D36D"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Methanex [WWW Document], 2019. URL https://www.methanex.com/news/methanex-reports-stronger-fourth-quarter-2019-results-and-full-year-record-production-volume</w:t>
      </w:r>
    </w:p>
    <w:p w14:paraId="0085C941"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284A8C">
        <w:rPr>
          <w:rFonts w:cs="Arial"/>
          <w:noProof/>
          <w:szCs w:val="24"/>
          <w:lang w:val="it-IT"/>
        </w:rPr>
        <w:t xml:space="preserve">Moretta, F., Rizzo, E., Manenti, F., Bozzano, G., 2021. </w:t>
      </w:r>
      <w:r w:rsidRPr="00DD7A03">
        <w:rPr>
          <w:rFonts w:cs="Arial"/>
          <w:noProof/>
          <w:szCs w:val="24"/>
        </w:rPr>
        <w:t>Enhancement of anaerobic digestion digital twin through aerobic simulation and kinetic optimization for co-digestion scenarios. Bioresour. Technol. 341. https://doi.org/10.1016/j.biortech.2021.125845</w:t>
      </w:r>
    </w:p>
    <w:p w14:paraId="27866F1F"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Nguyen, T.B.H., Zondervan, E., 2019. Methanol production from captured CO2 using hydrogenation and reforming technologies- environmental and economic evaluation. J. CO2 Util. 34, 1–11. https://doi.org/10.1016/j.jcou.2019.05.033</w:t>
      </w:r>
    </w:p>
    <w:p w14:paraId="6B61CE0E"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Olah, G.A., 2005. Beyond oil and gas: The methanol economy. Angew. Chemie - Int. Ed. 44, 2636–2639. https://doi.org/10.1002/anie.200462121</w:t>
      </w:r>
    </w:p>
    <w:p w14:paraId="222AD39B"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Ott, J., Gronemann, V., Pontzen, F., Fiedler, E., Grossman, G., Burkhard Kersebohm, K., Weiss, G., Witte, C., 2012. Methanol - An Industrial Review by Lurgi GmbH, Air Liquide GmbH and BASF AG. Ullmann’s Encycl. Ind. Chem.</w:t>
      </w:r>
    </w:p>
    <w:p w14:paraId="60049B60"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Seider, W.D., Seader, J.D., Lewin, D.R., 2018. Product and Process Design Principles: Synthesis, Analysis and Design. Prod. Process Des. Princ. Synth. Anal. Des.</w:t>
      </w:r>
    </w:p>
    <w:p w14:paraId="2BC9A950"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Wang, M., Sahu, A.K., Rusten, B., Park, C., 2013. Anaerobic co-digestion of microalgae Chlorella sp. and waste activated sludge. Bioresour. Technol. 142, 585–590. https://doi.org/10.1016/j.biortech.2013.05.096</w:t>
      </w:r>
    </w:p>
    <w:p w14:paraId="72712A11"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Ward, A.J., Lewis, D.M., Green, F.B., 2014. Anaerobic digestion of algae biomass: A review. Algal Res. https://doi.org/10.1016/j.algal.2014.02.001</w:t>
      </w:r>
    </w:p>
    <w:p w14:paraId="7A67BD5E" w14:textId="77777777" w:rsidR="00DD7A03" w:rsidRPr="00DD7A03" w:rsidRDefault="00DD7A03" w:rsidP="00DD7A03">
      <w:pPr>
        <w:widowControl w:val="0"/>
        <w:autoSpaceDE w:val="0"/>
        <w:autoSpaceDN w:val="0"/>
        <w:adjustRightInd w:val="0"/>
        <w:spacing w:line="240" w:lineRule="auto"/>
        <w:ind w:left="480" w:hanging="480"/>
        <w:rPr>
          <w:rFonts w:cs="Arial"/>
          <w:noProof/>
          <w:szCs w:val="24"/>
        </w:rPr>
      </w:pPr>
      <w:r w:rsidRPr="00DD7A03">
        <w:rPr>
          <w:rFonts w:cs="Arial"/>
          <w:noProof/>
          <w:szCs w:val="24"/>
        </w:rPr>
        <w:t>Zhao, X., Joseph, B., Kuhn, J., Ozcan, S., 2020. Biogas Reforming to Syngas: A Review. iScience 23, 101082. https://doi.org/10.1016/j.isci.2020.101082</w:t>
      </w:r>
    </w:p>
    <w:p w14:paraId="78D8AE44" w14:textId="77777777" w:rsidR="00DD7A03" w:rsidRPr="00DD7A03" w:rsidRDefault="00DD7A03" w:rsidP="00DD7A03">
      <w:pPr>
        <w:widowControl w:val="0"/>
        <w:autoSpaceDE w:val="0"/>
        <w:autoSpaceDN w:val="0"/>
        <w:adjustRightInd w:val="0"/>
        <w:spacing w:line="240" w:lineRule="auto"/>
        <w:ind w:left="480" w:hanging="480"/>
        <w:rPr>
          <w:rFonts w:cs="Arial"/>
          <w:noProof/>
        </w:rPr>
      </w:pPr>
      <w:r w:rsidRPr="00DD7A03">
        <w:rPr>
          <w:rFonts w:cs="Arial"/>
          <w:noProof/>
          <w:szCs w:val="24"/>
        </w:rPr>
        <w:t>Zhen, X., Wang, Y., 2015. An overview of methanol as an internal combustion engine fuel. Renew. Sustain. Energy Rev. 52, 477–493. https://doi.org/10.1016/j.rser.2015.07.083</w:t>
      </w:r>
    </w:p>
    <w:p w14:paraId="7ECA2A22" w14:textId="7D0A2702" w:rsidR="001C40F8" w:rsidRDefault="001C40F8" w:rsidP="00674CEE">
      <w:pPr>
        <w:widowControl w:val="0"/>
        <w:autoSpaceDE w:val="0"/>
        <w:autoSpaceDN w:val="0"/>
        <w:adjustRightInd w:val="0"/>
        <w:spacing w:line="240" w:lineRule="auto"/>
        <w:ind w:left="480" w:hanging="480"/>
      </w:pPr>
      <w:r>
        <w:fldChar w:fldCharType="end"/>
      </w:r>
    </w:p>
    <w:p w14:paraId="09876128" w14:textId="46097C0D" w:rsidR="00345F9B" w:rsidRDefault="00345F9B" w:rsidP="00674CEE">
      <w:pPr>
        <w:widowControl w:val="0"/>
        <w:autoSpaceDE w:val="0"/>
        <w:autoSpaceDN w:val="0"/>
        <w:adjustRightInd w:val="0"/>
        <w:spacing w:line="240" w:lineRule="auto"/>
        <w:ind w:left="480" w:hanging="480"/>
      </w:pPr>
    </w:p>
    <w:p w14:paraId="74E8E885" w14:textId="4C868135" w:rsidR="00345F9B" w:rsidRDefault="00345F9B" w:rsidP="00674CEE">
      <w:pPr>
        <w:widowControl w:val="0"/>
        <w:autoSpaceDE w:val="0"/>
        <w:autoSpaceDN w:val="0"/>
        <w:adjustRightInd w:val="0"/>
        <w:spacing w:line="240" w:lineRule="auto"/>
        <w:ind w:left="480" w:hanging="480"/>
      </w:pPr>
    </w:p>
    <w:p w14:paraId="5F179DE7" w14:textId="4C80E3A0" w:rsidR="00345F9B" w:rsidRPr="00FC34A6" w:rsidRDefault="003C2FA8" w:rsidP="00674CEE">
      <w:pPr>
        <w:widowControl w:val="0"/>
        <w:autoSpaceDE w:val="0"/>
        <w:autoSpaceDN w:val="0"/>
        <w:adjustRightInd w:val="0"/>
        <w:spacing w:line="240" w:lineRule="auto"/>
        <w:ind w:left="480" w:hanging="480"/>
        <w:rPr>
          <w:b/>
          <w:bCs/>
        </w:rPr>
      </w:pPr>
      <w:r w:rsidRPr="00FC34A6">
        <w:rPr>
          <w:b/>
          <w:bCs/>
        </w:rPr>
        <w:t xml:space="preserve">APPENDIX </w:t>
      </w:r>
    </w:p>
    <w:p w14:paraId="07A94B6B" w14:textId="1A51D8E4" w:rsidR="003C2FA8" w:rsidRDefault="003C2FA8" w:rsidP="00674CEE">
      <w:pPr>
        <w:widowControl w:val="0"/>
        <w:autoSpaceDE w:val="0"/>
        <w:autoSpaceDN w:val="0"/>
        <w:adjustRightInd w:val="0"/>
        <w:spacing w:line="240" w:lineRule="auto"/>
        <w:ind w:left="480" w:hanging="480"/>
      </w:pPr>
    </w:p>
    <w:p w14:paraId="16D4DE7E" w14:textId="005032F5" w:rsidR="000E16A0" w:rsidRPr="0081543E" w:rsidRDefault="000E16A0" w:rsidP="0081543E">
      <w:pPr>
        <w:pStyle w:val="CETReferencetext"/>
        <w:rPr>
          <w:i/>
          <w:iCs/>
        </w:rPr>
      </w:pPr>
      <w:r w:rsidRPr="0081543E">
        <w:rPr>
          <w:i/>
          <w:iCs/>
        </w:rPr>
        <w:t xml:space="preserve">Table </w:t>
      </w:r>
      <w:r w:rsidRPr="0081543E">
        <w:rPr>
          <w:i/>
          <w:iCs/>
        </w:rPr>
        <w:fldChar w:fldCharType="begin"/>
      </w:r>
      <w:r w:rsidRPr="0081543E">
        <w:rPr>
          <w:i/>
          <w:iCs/>
        </w:rPr>
        <w:instrText xml:space="preserve"> SEQ Table \* ARABIC </w:instrText>
      </w:r>
      <w:r w:rsidRPr="0081543E">
        <w:rPr>
          <w:i/>
          <w:iCs/>
        </w:rPr>
        <w:fldChar w:fldCharType="separate"/>
      </w:r>
      <w:r w:rsidRPr="0081543E">
        <w:rPr>
          <w:i/>
          <w:iCs/>
          <w:noProof/>
        </w:rPr>
        <w:t>6</w:t>
      </w:r>
      <w:r w:rsidRPr="0081543E">
        <w:rPr>
          <w:i/>
          <w:iCs/>
        </w:rPr>
        <w:fldChar w:fldCharType="end"/>
      </w:r>
      <w:r w:rsidR="00FC34A6">
        <w:rPr>
          <w:i/>
          <w:iCs/>
        </w:rPr>
        <w:t>.</w:t>
      </w:r>
      <w:r w:rsidRPr="0081543E">
        <w:rPr>
          <w:i/>
          <w:iCs/>
        </w:rPr>
        <w:t xml:space="preserve"> Graaf's kinetic parameters for low pressure methanol synthesis</w:t>
      </w:r>
    </w:p>
    <w:tbl>
      <w:tblPr>
        <w:tblW w:w="8742" w:type="dxa"/>
        <w:jc w:val="center"/>
        <w:tblLook w:val="04A0" w:firstRow="1" w:lastRow="0" w:firstColumn="1" w:lastColumn="0" w:noHBand="0" w:noVBand="1"/>
      </w:tblPr>
      <w:tblGrid>
        <w:gridCol w:w="2502"/>
        <w:gridCol w:w="3863"/>
        <w:gridCol w:w="2377"/>
      </w:tblGrid>
      <w:tr w:rsidR="003C2FA8" w:rsidRPr="00517FEA" w14:paraId="7F6A36CF" w14:textId="77777777" w:rsidTr="00885869">
        <w:trPr>
          <w:trHeight w:val="386"/>
          <w:jc w:val="center"/>
        </w:trPr>
        <w:tc>
          <w:tcPr>
            <w:tcW w:w="2502" w:type="dxa"/>
            <w:tcBorders>
              <w:top w:val="single" w:sz="6" w:space="0" w:color="000000"/>
              <w:bottom w:val="single" w:sz="8" w:space="0" w:color="000000"/>
            </w:tcBorders>
            <w:shd w:val="clear" w:color="auto" w:fill="auto"/>
            <w:vAlign w:val="center"/>
          </w:tcPr>
          <w:p w14:paraId="0D8BFF1B" w14:textId="77777777" w:rsidR="003C2FA8" w:rsidRPr="000F302E" w:rsidRDefault="003C2FA8" w:rsidP="00885869">
            <w:pPr>
              <w:spacing w:line="360" w:lineRule="auto"/>
              <w:jc w:val="center"/>
              <w:rPr>
                <w:b/>
                <w:bCs/>
                <w:iCs/>
                <w:sz w:val="19"/>
                <w:szCs w:val="19"/>
              </w:rPr>
            </w:pPr>
            <m:oMathPara>
              <m:oMath>
                <m:r>
                  <m:rPr>
                    <m:sty m:val="b"/>
                  </m:rPr>
                  <w:rPr>
                    <w:rFonts w:ascii="Cambria Math" w:hAnsi="Cambria Math"/>
                    <w:sz w:val="19"/>
                    <w:szCs w:val="19"/>
                  </w:rPr>
                  <m:t>Reactions</m:t>
                </m:r>
              </m:oMath>
            </m:oMathPara>
          </w:p>
        </w:tc>
        <w:tc>
          <w:tcPr>
            <w:tcW w:w="3863" w:type="dxa"/>
            <w:tcBorders>
              <w:top w:val="single" w:sz="6" w:space="0" w:color="000000"/>
              <w:bottom w:val="single" w:sz="8" w:space="0" w:color="000000"/>
            </w:tcBorders>
            <w:shd w:val="clear" w:color="auto" w:fill="auto"/>
            <w:vAlign w:val="center"/>
          </w:tcPr>
          <w:p w14:paraId="4EC65BB1" w14:textId="77777777" w:rsidR="003C2FA8" w:rsidRPr="000F302E" w:rsidRDefault="003C2FA8" w:rsidP="00885869">
            <w:pPr>
              <w:spacing w:line="360" w:lineRule="auto"/>
              <w:jc w:val="center"/>
              <w:rPr>
                <w:b/>
                <w:bCs/>
                <w:iCs/>
                <w:sz w:val="19"/>
                <w:szCs w:val="19"/>
              </w:rPr>
            </w:pPr>
            <m:oMathPara>
              <m:oMath>
                <m:r>
                  <m:rPr>
                    <m:sty m:val="b"/>
                  </m:rPr>
                  <w:rPr>
                    <w:rFonts w:ascii="Cambria Math" w:hAnsi="Cambria Math"/>
                    <w:sz w:val="19"/>
                    <w:szCs w:val="19"/>
                  </w:rPr>
                  <m:t>Rates of Reactions</m:t>
                </m:r>
              </m:oMath>
            </m:oMathPara>
          </w:p>
        </w:tc>
        <w:tc>
          <w:tcPr>
            <w:tcW w:w="2377" w:type="dxa"/>
            <w:tcBorders>
              <w:top w:val="single" w:sz="6" w:space="0" w:color="000000"/>
              <w:bottom w:val="single" w:sz="8" w:space="0" w:color="000000"/>
            </w:tcBorders>
            <w:shd w:val="clear" w:color="auto" w:fill="auto"/>
            <w:vAlign w:val="center"/>
          </w:tcPr>
          <w:p w14:paraId="2AB86793" w14:textId="77777777" w:rsidR="003C2FA8" w:rsidRPr="000F302E" w:rsidRDefault="003C2FA8" w:rsidP="00885869">
            <w:pPr>
              <w:spacing w:line="360" w:lineRule="auto"/>
              <w:jc w:val="center"/>
              <w:rPr>
                <w:b/>
                <w:bCs/>
                <w:iCs/>
                <w:sz w:val="19"/>
                <w:szCs w:val="19"/>
              </w:rPr>
            </w:pPr>
            <m:oMathPara>
              <m:oMath>
                <m:r>
                  <m:rPr>
                    <m:sty m:val="b"/>
                  </m:rPr>
                  <w:rPr>
                    <w:rFonts w:ascii="Cambria Math" w:hAnsi="Cambria Math"/>
                    <w:sz w:val="19"/>
                    <w:szCs w:val="19"/>
                  </w:rPr>
                  <m:t>Kinetic Parameters</m:t>
                </m:r>
              </m:oMath>
            </m:oMathPara>
          </w:p>
        </w:tc>
      </w:tr>
      <w:tr w:rsidR="003C2FA8" w:rsidRPr="00517FEA" w14:paraId="10A7533D" w14:textId="77777777" w:rsidTr="00885869">
        <w:trPr>
          <w:trHeight w:val="347"/>
          <w:jc w:val="center"/>
        </w:trPr>
        <w:tc>
          <w:tcPr>
            <w:tcW w:w="2502" w:type="dxa"/>
            <w:tcBorders>
              <w:top w:val="single" w:sz="8" w:space="0" w:color="000000"/>
            </w:tcBorders>
            <w:shd w:val="clear" w:color="auto" w:fill="auto"/>
            <w:vAlign w:val="center"/>
          </w:tcPr>
          <w:p w14:paraId="28C59D2F" w14:textId="77777777" w:rsidR="003C2FA8" w:rsidRPr="000F302E" w:rsidRDefault="003C2FA8" w:rsidP="00885869">
            <w:pPr>
              <w:spacing w:line="360" w:lineRule="auto"/>
              <w:jc w:val="center"/>
              <w:rPr>
                <w:sz w:val="19"/>
                <w:szCs w:val="19"/>
              </w:rPr>
            </w:pPr>
            <m:oMathPara>
              <m:oMath>
                <m:r>
                  <w:rPr>
                    <w:rFonts w:ascii="Cambria Math" w:hAnsi="Cambria Math"/>
                    <w:sz w:val="19"/>
                    <w:szCs w:val="19"/>
                  </w:rPr>
                  <m:t>C</m:t>
                </m:r>
                <m:sSub>
                  <m:sSubPr>
                    <m:ctrlPr>
                      <w:rPr>
                        <w:rFonts w:ascii="Cambria Math" w:hAnsi="Cambria Math"/>
                        <w:i/>
                        <w:sz w:val="19"/>
                        <w:szCs w:val="19"/>
                      </w:rPr>
                    </m:ctrlPr>
                  </m:sSubPr>
                  <m:e>
                    <m:r>
                      <w:rPr>
                        <w:rFonts w:ascii="Cambria Math" w:hAnsi="Cambria Math"/>
                        <w:sz w:val="19"/>
                        <w:szCs w:val="19"/>
                      </w:rPr>
                      <m:t>O</m:t>
                    </m:r>
                  </m:e>
                  <m:sub>
                    <m:r>
                      <w:rPr>
                        <w:rFonts w:ascii="Cambria Math" w:hAnsi="Cambria Math"/>
                        <w:sz w:val="19"/>
                        <w:szCs w:val="19"/>
                      </w:rPr>
                      <m:t>2</m:t>
                    </m:r>
                  </m:sub>
                </m:sSub>
                <m:r>
                  <w:rPr>
                    <w:rFonts w:ascii="Cambria Math" w:hAnsi="Cambria Math"/>
                    <w:sz w:val="19"/>
                    <w:szCs w:val="19"/>
                  </w:rPr>
                  <m:t>+3</m:t>
                </m:r>
                <m:sSub>
                  <m:sSubPr>
                    <m:ctrlPr>
                      <w:rPr>
                        <w:rFonts w:ascii="Cambria Math" w:hAnsi="Cambria Math"/>
                        <w:i/>
                        <w:sz w:val="19"/>
                        <w:szCs w:val="19"/>
                      </w:rPr>
                    </m:ctrlPr>
                  </m:sSubPr>
                  <m:e>
                    <m:r>
                      <w:rPr>
                        <w:rFonts w:ascii="Cambria Math" w:hAnsi="Cambria Math"/>
                        <w:sz w:val="19"/>
                        <w:szCs w:val="19"/>
                      </w:rPr>
                      <m:t>H</m:t>
                    </m:r>
                  </m:e>
                  <m:sub>
                    <m:r>
                      <w:rPr>
                        <w:rFonts w:ascii="Cambria Math" w:hAnsi="Cambria Math"/>
                        <w:sz w:val="19"/>
                        <w:szCs w:val="19"/>
                      </w:rPr>
                      <m:t>2</m:t>
                    </m:r>
                  </m:sub>
                </m:sSub>
                <m:r>
                  <w:rPr>
                    <w:rFonts w:ascii="Cambria Math" w:hAnsi="Cambria Math"/>
                    <w:sz w:val="19"/>
                    <w:szCs w:val="19"/>
                  </w:rPr>
                  <m:t>→C</m:t>
                </m:r>
                <m:sSub>
                  <m:sSubPr>
                    <m:ctrlPr>
                      <w:rPr>
                        <w:rFonts w:ascii="Cambria Math" w:hAnsi="Cambria Math"/>
                        <w:i/>
                        <w:sz w:val="19"/>
                        <w:szCs w:val="19"/>
                      </w:rPr>
                    </m:ctrlPr>
                  </m:sSubPr>
                  <m:e>
                    <m:r>
                      <w:rPr>
                        <w:rFonts w:ascii="Cambria Math" w:hAnsi="Cambria Math"/>
                        <w:sz w:val="19"/>
                        <w:szCs w:val="19"/>
                      </w:rPr>
                      <m:t>H</m:t>
                    </m:r>
                  </m:e>
                  <m:sub>
                    <m:r>
                      <w:rPr>
                        <w:rFonts w:ascii="Cambria Math" w:hAnsi="Cambria Math"/>
                        <w:sz w:val="19"/>
                        <w:szCs w:val="19"/>
                      </w:rPr>
                      <m:t>3</m:t>
                    </m:r>
                  </m:sub>
                </m:sSub>
                <m:r>
                  <w:rPr>
                    <w:rFonts w:ascii="Cambria Math" w:hAnsi="Cambria Math"/>
                    <w:sz w:val="19"/>
                    <w:szCs w:val="19"/>
                  </w:rPr>
                  <m:t>OH+</m:t>
                </m:r>
                <m:sSub>
                  <m:sSubPr>
                    <m:ctrlPr>
                      <w:rPr>
                        <w:rFonts w:ascii="Cambria Math" w:hAnsi="Cambria Math"/>
                        <w:i/>
                        <w:sz w:val="19"/>
                        <w:szCs w:val="19"/>
                      </w:rPr>
                    </m:ctrlPr>
                  </m:sSubPr>
                  <m:e>
                    <m:r>
                      <w:rPr>
                        <w:rFonts w:ascii="Cambria Math" w:hAnsi="Cambria Math"/>
                        <w:sz w:val="19"/>
                        <w:szCs w:val="19"/>
                      </w:rPr>
                      <m:t>H</m:t>
                    </m:r>
                  </m:e>
                  <m:sub>
                    <m:r>
                      <w:rPr>
                        <w:rFonts w:ascii="Cambria Math" w:hAnsi="Cambria Math"/>
                        <w:sz w:val="19"/>
                        <w:szCs w:val="19"/>
                      </w:rPr>
                      <m:t>2</m:t>
                    </m:r>
                  </m:sub>
                </m:sSub>
                <m:r>
                  <w:rPr>
                    <w:rFonts w:ascii="Cambria Math" w:hAnsi="Cambria Math"/>
                    <w:sz w:val="19"/>
                    <w:szCs w:val="19"/>
                  </w:rPr>
                  <m:t>O</m:t>
                </m:r>
              </m:oMath>
            </m:oMathPara>
          </w:p>
        </w:tc>
        <w:tc>
          <w:tcPr>
            <w:tcW w:w="3863" w:type="dxa"/>
            <w:tcBorders>
              <w:top w:val="single" w:sz="8" w:space="0" w:color="000000"/>
            </w:tcBorders>
            <w:shd w:val="clear" w:color="auto" w:fill="auto"/>
            <w:vAlign w:val="center"/>
          </w:tcPr>
          <w:p w14:paraId="402BE2D3" w14:textId="77777777" w:rsidR="003C2FA8" w:rsidRPr="000F302E" w:rsidRDefault="007D5DD2" w:rsidP="00885869">
            <w:pPr>
              <w:spacing w:line="360" w:lineRule="auto"/>
              <w:jc w:val="center"/>
              <w:rPr>
                <w:rFonts w:eastAsia="Cambria Math"/>
                <w:sz w:val="19"/>
                <w:szCs w:val="19"/>
              </w:rPr>
            </w:pPr>
            <m:oMathPara>
              <m:oMath>
                <m:sSub>
                  <m:sSubPr>
                    <m:ctrlPr>
                      <w:rPr>
                        <w:rFonts w:ascii="Cambria Math" w:eastAsia="Cambria Math" w:hAnsi="Cambria Math"/>
                        <w:sz w:val="19"/>
                        <w:szCs w:val="19"/>
                      </w:rPr>
                    </m:ctrlPr>
                  </m:sSubPr>
                  <m:e>
                    <m:r>
                      <w:rPr>
                        <w:rFonts w:ascii="Cambria Math" w:eastAsia="Cambria Math" w:hAnsi="Cambria Math"/>
                        <w:sz w:val="19"/>
                        <w:szCs w:val="19"/>
                      </w:rPr>
                      <m:t>r</m:t>
                    </m:r>
                  </m:e>
                  <m:sub>
                    <m:r>
                      <w:rPr>
                        <w:rFonts w:ascii="Cambria Math" w:eastAsia="Cambria Math" w:hAnsi="Cambria Math"/>
                        <w:sz w:val="19"/>
                        <w:szCs w:val="19"/>
                      </w:rPr>
                      <m:t>C</m:t>
                    </m:r>
                    <m:sSub>
                      <m:sSubPr>
                        <m:ctrlPr>
                          <w:rPr>
                            <w:rFonts w:ascii="Cambria Math" w:eastAsia="Cambria Math" w:hAnsi="Cambria Math"/>
                            <w:sz w:val="19"/>
                            <w:szCs w:val="19"/>
                          </w:rPr>
                        </m:ctrlPr>
                      </m:sSubPr>
                      <m:e>
                        <m:r>
                          <w:rPr>
                            <w:rFonts w:ascii="Cambria Math" w:eastAsia="Cambria Math" w:hAnsi="Cambria Math"/>
                            <w:sz w:val="19"/>
                            <w:szCs w:val="19"/>
                          </w:rPr>
                          <m:t>O</m:t>
                        </m:r>
                      </m:e>
                      <m:sub>
                        <m:r>
                          <w:rPr>
                            <w:rFonts w:ascii="Cambria Math" w:eastAsia="Cambria Math" w:hAnsi="Cambria Math"/>
                            <w:sz w:val="19"/>
                            <w:szCs w:val="19"/>
                          </w:rPr>
                          <m:t>2</m:t>
                        </m:r>
                      </m:sub>
                    </m:sSub>
                    <m:r>
                      <w:rPr>
                        <w:rFonts w:ascii="Cambria Math" w:eastAsia="Cambria Math" w:hAnsi="Cambria Math"/>
                        <w:sz w:val="19"/>
                        <w:szCs w:val="19"/>
                      </w:rPr>
                      <m:t xml:space="preserve">/MeOH </m:t>
                    </m:r>
                  </m:sub>
                </m:sSub>
                <m:r>
                  <w:rPr>
                    <w:rFonts w:ascii="Cambria Math" w:eastAsia="Cambria Math" w:hAnsi="Cambria Math"/>
                    <w:sz w:val="19"/>
                    <w:szCs w:val="19"/>
                  </w:rPr>
                  <m:t xml:space="preserve">= </m:t>
                </m:r>
                <m:f>
                  <m:fPr>
                    <m:ctrlPr>
                      <w:rPr>
                        <w:rFonts w:ascii="Cambria Math" w:eastAsia="Cambria Math" w:hAnsi="Cambria Math"/>
                        <w:sz w:val="19"/>
                        <w:szCs w:val="19"/>
                      </w:rPr>
                    </m:ctrlPr>
                  </m:fPr>
                  <m:num>
                    <m:sSub>
                      <m:sSubPr>
                        <m:ctrlPr>
                          <w:rPr>
                            <w:rFonts w:ascii="Cambria Math" w:eastAsia="Cambria Math" w:hAnsi="Cambria Math"/>
                            <w:sz w:val="19"/>
                            <w:szCs w:val="19"/>
                          </w:rPr>
                        </m:ctrlPr>
                      </m:sSubPr>
                      <m:e>
                        <m:r>
                          <w:rPr>
                            <w:rFonts w:ascii="Cambria Math" w:eastAsia="Cambria Math" w:hAnsi="Cambria Math"/>
                            <w:sz w:val="19"/>
                            <w:szCs w:val="19"/>
                          </w:rPr>
                          <m:t>k</m:t>
                        </m:r>
                      </m:e>
                      <m:sub>
                        <m:r>
                          <w:rPr>
                            <w:rFonts w:ascii="Cambria Math" w:eastAsia="Cambria Math" w:hAnsi="Cambria Math"/>
                            <w:sz w:val="19"/>
                            <w:szCs w:val="19"/>
                          </w:rPr>
                          <m:t>1</m:t>
                        </m:r>
                      </m:sub>
                    </m:sSub>
                    <m:sSub>
                      <m:sSubPr>
                        <m:ctrlPr>
                          <w:rPr>
                            <w:rFonts w:ascii="Cambria Math" w:eastAsia="Cambria Math" w:hAnsi="Cambria Math"/>
                            <w:sz w:val="19"/>
                            <w:szCs w:val="19"/>
                          </w:rPr>
                        </m:ctrlPr>
                      </m:sSubPr>
                      <m:e>
                        <m:r>
                          <w:rPr>
                            <w:rFonts w:ascii="Cambria Math" w:eastAsia="Cambria Math" w:hAnsi="Cambria Math"/>
                            <w:sz w:val="19"/>
                            <w:szCs w:val="19"/>
                          </w:rPr>
                          <m:t>K</m:t>
                        </m:r>
                      </m:e>
                      <m:sub>
                        <m:r>
                          <w:rPr>
                            <w:rFonts w:ascii="Cambria Math" w:eastAsia="Cambria Math" w:hAnsi="Cambria Math"/>
                            <w:sz w:val="19"/>
                            <w:szCs w:val="19"/>
                          </w:rPr>
                          <m:t>C</m:t>
                        </m:r>
                        <m:sSub>
                          <m:sSubPr>
                            <m:ctrlPr>
                              <w:rPr>
                                <w:rFonts w:ascii="Cambria Math" w:eastAsia="Cambria Math" w:hAnsi="Cambria Math"/>
                                <w:sz w:val="19"/>
                                <w:szCs w:val="19"/>
                              </w:rPr>
                            </m:ctrlPr>
                          </m:sSubPr>
                          <m:e>
                            <m:r>
                              <w:rPr>
                                <w:rFonts w:ascii="Cambria Math" w:eastAsia="Cambria Math" w:hAnsi="Cambria Math"/>
                                <w:sz w:val="19"/>
                                <w:szCs w:val="19"/>
                              </w:rPr>
                              <m:t>O</m:t>
                            </m:r>
                          </m:e>
                          <m:sub>
                            <m:r>
                              <w:rPr>
                                <w:rFonts w:ascii="Cambria Math" w:eastAsia="Cambria Math" w:hAnsi="Cambria Math"/>
                                <w:sz w:val="19"/>
                                <w:szCs w:val="19"/>
                              </w:rPr>
                              <m:t>2</m:t>
                            </m:r>
                          </m:sub>
                        </m:sSub>
                      </m:sub>
                    </m:sSub>
                    <m:d>
                      <m:dPr>
                        <m:ctrlPr>
                          <w:rPr>
                            <w:rFonts w:ascii="Cambria Math" w:eastAsia="Cambria Math" w:hAnsi="Cambria Math"/>
                            <w:i/>
                            <w:sz w:val="19"/>
                            <w:szCs w:val="19"/>
                          </w:rPr>
                        </m:ctrlPr>
                      </m:dPr>
                      <m:e>
                        <m:sSub>
                          <m:sSubPr>
                            <m:ctrlPr>
                              <w:rPr>
                                <w:rFonts w:ascii="Cambria Math" w:eastAsia="Cambria Math" w:hAnsi="Cambria Math"/>
                                <w:sz w:val="19"/>
                                <w:szCs w:val="19"/>
                              </w:rPr>
                            </m:ctrlPr>
                          </m:sSubPr>
                          <m:e>
                            <m:r>
                              <w:rPr>
                                <w:rFonts w:ascii="Cambria Math" w:eastAsia="Cambria Math" w:hAnsi="Cambria Math"/>
                                <w:sz w:val="19"/>
                                <w:szCs w:val="19"/>
                              </w:rPr>
                              <m:t>f</m:t>
                            </m:r>
                          </m:e>
                          <m:sub>
                            <m:r>
                              <w:rPr>
                                <w:rFonts w:ascii="Cambria Math" w:eastAsia="Cambria Math" w:hAnsi="Cambria Math"/>
                                <w:sz w:val="19"/>
                                <w:szCs w:val="19"/>
                              </w:rPr>
                              <m:t>C</m:t>
                            </m:r>
                            <m:sSub>
                              <m:sSubPr>
                                <m:ctrlPr>
                                  <w:rPr>
                                    <w:rFonts w:ascii="Cambria Math" w:eastAsia="Cambria Math" w:hAnsi="Cambria Math"/>
                                    <w:i/>
                                    <w:sz w:val="19"/>
                                    <w:szCs w:val="19"/>
                                  </w:rPr>
                                </m:ctrlPr>
                              </m:sSubPr>
                              <m:e>
                                <m:r>
                                  <w:rPr>
                                    <w:rFonts w:ascii="Cambria Math" w:eastAsia="Cambria Math" w:hAnsi="Cambria Math"/>
                                    <w:sz w:val="19"/>
                                    <w:szCs w:val="19"/>
                                  </w:rPr>
                                  <m:t>O</m:t>
                                </m:r>
                              </m:e>
                              <m:sub>
                                <m:r>
                                  <w:rPr>
                                    <w:rFonts w:ascii="Cambria Math" w:eastAsia="Cambria Math" w:hAnsi="Cambria Math"/>
                                    <w:sz w:val="19"/>
                                    <w:szCs w:val="19"/>
                                  </w:rPr>
                                  <m:t>2</m:t>
                                </m:r>
                              </m:sub>
                            </m:sSub>
                          </m:sub>
                        </m:sSub>
                        <m:sSup>
                          <m:sSupPr>
                            <m:ctrlPr>
                              <w:rPr>
                                <w:rFonts w:ascii="Cambria Math" w:eastAsia="Cambria Math" w:hAnsi="Cambria Math"/>
                                <w:sz w:val="19"/>
                                <w:szCs w:val="19"/>
                              </w:rPr>
                            </m:ctrlPr>
                          </m:sSupPr>
                          <m:e>
                            <m:sSub>
                              <m:sSubPr>
                                <m:ctrlPr>
                                  <w:rPr>
                                    <w:rFonts w:ascii="Cambria Math" w:eastAsia="Cambria Math" w:hAnsi="Cambria Math"/>
                                    <w:sz w:val="19"/>
                                    <w:szCs w:val="19"/>
                                  </w:rPr>
                                </m:ctrlPr>
                              </m:sSubPr>
                              <m:e>
                                <m:r>
                                  <w:rPr>
                                    <w:rFonts w:ascii="Cambria Math" w:eastAsia="Cambria Math" w:hAnsi="Cambria Math"/>
                                    <w:sz w:val="19"/>
                                    <w:szCs w:val="19"/>
                                  </w:rPr>
                                  <m:t>f</m:t>
                                </m:r>
                              </m:e>
                              <m:sub>
                                <m:sSub>
                                  <m:sSubPr>
                                    <m:ctrlPr>
                                      <w:rPr>
                                        <w:rFonts w:ascii="Cambria Math" w:eastAsia="Cambria Math" w:hAnsi="Cambria Math"/>
                                        <w:sz w:val="19"/>
                                        <w:szCs w:val="19"/>
                                      </w:rPr>
                                    </m:ctrlPr>
                                  </m:sSubPr>
                                  <m:e>
                                    <m:r>
                                      <w:rPr>
                                        <w:rFonts w:ascii="Cambria Math" w:eastAsia="Cambria Math" w:hAnsi="Cambria Math"/>
                                        <w:sz w:val="19"/>
                                        <w:szCs w:val="19"/>
                                      </w:rPr>
                                      <m:t>H</m:t>
                                    </m:r>
                                    <m:ctrlPr>
                                      <w:rPr>
                                        <w:rFonts w:ascii="Cambria Math" w:eastAsia="Cambria Math" w:hAnsi="Cambria Math"/>
                                        <w:i/>
                                        <w:sz w:val="19"/>
                                        <w:szCs w:val="19"/>
                                      </w:rPr>
                                    </m:ctrlPr>
                                  </m:e>
                                  <m:sub>
                                    <m:r>
                                      <m:rPr>
                                        <m:sty m:val="p"/>
                                      </m:rPr>
                                      <w:rPr>
                                        <w:rFonts w:ascii="Cambria Math" w:eastAsia="Cambria Math" w:hAnsi="Cambria Math"/>
                                        <w:sz w:val="19"/>
                                        <w:szCs w:val="19"/>
                                      </w:rPr>
                                      <m:t>2</m:t>
                                    </m:r>
                                  </m:sub>
                                </m:sSub>
                              </m:sub>
                            </m:sSub>
                          </m:e>
                          <m:sup>
                            <m:f>
                              <m:fPr>
                                <m:ctrlPr>
                                  <w:rPr>
                                    <w:rFonts w:ascii="Cambria Math" w:eastAsia="Cambria Math" w:hAnsi="Cambria Math"/>
                                    <w:i/>
                                    <w:sz w:val="19"/>
                                    <w:szCs w:val="19"/>
                                  </w:rPr>
                                </m:ctrlPr>
                              </m:fPr>
                              <m:num>
                                <m:r>
                                  <w:rPr>
                                    <w:rFonts w:ascii="Cambria Math" w:eastAsia="Cambria Math" w:hAnsi="Cambria Math"/>
                                    <w:sz w:val="19"/>
                                    <w:szCs w:val="19"/>
                                  </w:rPr>
                                  <m:t>3</m:t>
                                </m:r>
                              </m:num>
                              <m:den>
                                <m:r>
                                  <w:rPr>
                                    <w:rFonts w:ascii="Cambria Math" w:eastAsia="Cambria Math" w:hAnsi="Cambria Math"/>
                                    <w:sz w:val="19"/>
                                    <w:szCs w:val="19"/>
                                  </w:rPr>
                                  <m:t>2</m:t>
                                </m:r>
                              </m:den>
                            </m:f>
                          </m:sup>
                        </m:sSup>
                        <m:r>
                          <w:rPr>
                            <w:rFonts w:ascii="Cambria Math" w:eastAsia="Cambria Math" w:hAnsi="Cambria Math"/>
                            <w:sz w:val="19"/>
                            <w:szCs w:val="19"/>
                          </w:rPr>
                          <m:t xml:space="preserve"> -</m:t>
                        </m:r>
                        <m:f>
                          <m:fPr>
                            <m:ctrlPr>
                              <w:rPr>
                                <w:rFonts w:ascii="Cambria Math" w:eastAsia="Cambria Math" w:hAnsi="Cambria Math"/>
                                <w:i/>
                                <w:sz w:val="19"/>
                                <w:szCs w:val="19"/>
                              </w:rPr>
                            </m:ctrlPr>
                          </m:fPr>
                          <m:num>
                            <m:sSub>
                              <m:sSubPr>
                                <m:ctrlPr>
                                  <w:rPr>
                                    <w:rFonts w:ascii="Cambria Math" w:eastAsia="Cambria Math" w:hAnsi="Cambria Math"/>
                                    <w:sz w:val="19"/>
                                    <w:szCs w:val="19"/>
                                  </w:rPr>
                                </m:ctrlPr>
                              </m:sSubPr>
                              <m:e>
                                <m:r>
                                  <w:rPr>
                                    <w:rFonts w:ascii="Cambria Math" w:eastAsia="Cambria Math" w:hAnsi="Cambria Math"/>
                                    <w:sz w:val="19"/>
                                    <w:szCs w:val="19"/>
                                  </w:rPr>
                                  <m:t>f</m:t>
                                </m:r>
                              </m:e>
                              <m:sub>
                                <m:r>
                                  <w:rPr>
                                    <w:rFonts w:ascii="Cambria Math" w:eastAsia="Cambria Math" w:hAnsi="Cambria Math"/>
                                    <w:sz w:val="19"/>
                                    <w:szCs w:val="19"/>
                                  </w:rPr>
                                  <m:t xml:space="preserve">MeOH </m:t>
                                </m:r>
                              </m:sub>
                            </m:sSub>
                            <m:sSub>
                              <m:sSubPr>
                                <m:ctrlPr>
                                  <w:rPr>
                                    <w:rFonts w:ascii="Cambria Math" w:eastAsia="Cambria Math" w:hAnsi="Cambria Math"/>
                                    <w:sz w:val="19"/>
                                    <w:szCs w:val="19"/>
                                  </w:rPr>
                                </m:ctrlPr>
                              </m:sSubPr>
                              <m:e>
                                <m:r>
                                  <w:rPr>
                                    <w:rFonts w:ascii="Cambria Math" w:eastAsia="Cambria Math" w:hAnsi="Cambria Math"/>
                                    <w:sz w:val="19"/>
                                    <w:szCs w:val="19"/>
                                  </w:rPr>
                                  <m:t>f</m:t>
                                </m:r>
                              </m:e>
                              <m:sub>
                                <m:sSub>
                                  <m:sSubPr>
                                    <m:ctrlPr>
                                      <w:rPr>
                                        <w:rFonts w:ascii="Cambria Math" w:eastAsia="Cambria Math" w:hAnsi="Cambria Math"/>
                                        <w:i/>
                                        <w:sz w:val="19"/>
                                        <w:szCs w:val="19"/>
                                      </w:rPr>
                                    </m:ctrlPr>
                                  </m:sSubPr>
                                  <m:e>
                                    <m:r>
                                      <w:rPr>
                                        <w:rFonts w:ascii="Cambria Math" w:eastAsia="Cambria Math" w:hAnsi="Cambria Math"/>
                                        <w:sz w:val="19"/>
                                        <w:szCs w:val="19"/>
                                      </w:rPr>
                                      <m:t>H</m:t>
                                    </m:r>
                                  </m:e>
                                  <m:sub>
                                    <m:r>
                                      <w:rPr>
                                        <w:rFonts w:ascii="Cambria Math" w:eastAsia="Cambria Math" w:hAnsi="Cambria Math"/>
                                        <w:sz w:val="19"/>
                                        <w:szCs w:val="19"/>
                                      </w:rPr>
                                      <m:t>2</m:t>
                                    </m:r>
                                  </m:sub>
                                </m:sSub>
                                <m:r>
                                  <w:rPr>
                                    <w:rFonts w:ascii="Cambria Math" w:eastAsia="Cambria Math" w:hAnsi="Cambria Math"/>
                                    <w:sz w:val="19"/>
                                    <w:szCs w:val="19"/>
                                  </w:rPr>
                                  <m:t>O</m:t>
                                </m:r>
                              </m:sub>
                            </m:sSub>
                          </m:num>
                          <m:den>
                            <m:sSup>
                              <m:sSupPr>
                                <m:ctrlPr>
                                  <w:rPr>
                                    <w:rFonts w:ascii="Cambria Math" w:eastAsia="Cambria Math" w:hAnsi="Cambria Math"/>
                                    <w:sz w:val="19"/>
                                    <w:szCs w:val="19"/>
                                  </w:rPr>
                                </m:ctrlPr>
                              </m:sSupPr>
                              <m:e>
                                <m:sSub>
                                  <m:sSubPr>
                                    <m:ctrlPr>
                                      <w:rPr>
                                        <w:rFonts w:ascii="Cambria Math" w:eastAsia="Cambria Math" w:hAnsi="Cambria Math"/>
                                        <w:sz w:val="19"/>
                                        <w:szCs w:val="19"/>
                                      </w:rPr>
                                    </m:ctrlPr>
                                  </m:sSubPr>
                                  <m:e>
                                    <m:r>
                                      <w:rPr>
                                        <w:rFonts w:ascii="Cambria Math" w:eastAsia="Cambria Math" w:hAnsi="Cambria Math"/>
                                        <w:sz w:val="19"/>
                                        <w:szCs w:val="19"/>
                                      </w:rPr>
                                      <m:t>f</m:t>
                                    </m:r>
                                  </m:e>
                                  <m:sub>
                                    <m:sSub>
                                      <m:sSubPr>
                                        <m:ctrlPr>
                                          <w:rPr>
                                            <w:rFonts w:ascii="Cambria Math" w:eastAsia="Cambria Math" w:hAnsi="Cambria Math"/>
                                            <w:i/>
                                            <w:sz w:val="19"/>
                                            <w:szCs w:val="19"/>
                                          </w:rPr>
                                        </m:ctrlPr>
                                      </m:sSubPr>
                                      <m:e>
                                        <m:r>
                                          <w:rPr>
                                            <w:rFonts w:ascii="Cambria Math" w:eastAsia="Cambria Math" w:hAnsi="Cambria Math"/>
                                            <w:sz w:val="19"/>
                                            <w:szCs w:val="19"/>
                                          </w:rPr>
                                          <m:t>H</m:t>
                                        </m:r>
                                      </m:e>
                                      <m:sub>
                                        <m:r>
                                          <w:rPr>
                                            <w:rFonts w:ascii="Cambria Math" w:eastAsia="Cambria Math" w:hAnsi="Cambria Math"/>
                                            <w:sz w:val="19"/>
                                            <w:szCs w:val="19"/>
                                          </w:rPr>
                                          <m:t>2</m:t>
                                        </m:r>
                                      </m:sub>
                                    </m:sSub>
                                  </m:sub>
                                </m:sSub>
                              </m:e>
                              <m:sup>
                                <m:f>
                                  <m:fPr>
                                    <m:ctrlPr>
                                      <w:rPr>
                                        <w:rFonts w:ascii="Cambria Math" w:eastAsia="Cambria Math" w:hAnsi="Cambria Math"/>
                                        <w:i/>
                                        <w:sz w:val="19"/>
                                        <w:szCs w:val="19"/>
                                      </w:rPr>
                                    </m:ctrlPr>
                                  </m:fPr>
                                  <m:num>
                                    <m:r>
                                      <w:rPr>
                                        <w:rFonts w:ascii="Cambria Math" w:eastAsia="Cambria Math" w:hAnsi="Cambria Math"/>
                                        <w:sz w:val="19"/>
                                        <w:szCs w:val="19"/>
                                      </w:rPr>
                                      <m:t>3</m:t>
                                    </m:r>
                                  </m:num>
                                  <m:den>
                                    <m:r>
                                      <w:rPr>
                                        <w:rFonts w:ascii="Cambria Math" w:eastAsia="Cambria Math" w:hAnsi="Cambria Math"/>
                                        <w:sz w:val="19"/>
                                        <w:szCs w:val="19"/>
                                      </w:rPr>
                                      <m:t>2</m:t>
                                    </m:r>
                                  </m:den>
                                </m:f>
                              </m:sup>
                            </m:sSup>
                            <m:sSub>
                              <m:sSubPr>
                                <m:ctrlPr>
                                  <w:rPr>
                                    <w:rFonts w:ascii="Cambria Math" w:eastAsia="Cambria Math" w:hAnsi="Cambria Math"/>
                                    <w:sz w:val="19"/>
                                    <w:szCs w:val="19"/>
                                  </w:rPr>
                                </m:ctrlPr>
                              </m:sSubPr>
                              <m:e>
                                <m:r>
                                  <w:rPr>
                                    <w:rFonts w:ascii="Cambria Math" w:eastAsia="Cambria Math" w:hAnsi="Cambria Math"/>
                                    <w:sz w:val="19"/>
                                    <w:szCs w:val="19"/>
                                  </w:rPr>
                                  <m:t>K</m:t>
                                </m:r>
                              </m:e>
                              <m:sub>
                                <m:r>
                                  <w:rPr>
                                    <w:rFonts w:ascii="Cambria Math" w:eastAsia="Cambria Math" w:hAnsi="Cambria Math"/>
                                    <w:sz w:val="19"/>
                                    <w:szCs w:val="19"/>
                                  </w:rPr>
                                  <m:t>eqC</m:t>
                                </m:r>
                                <m:sSub>
                                  <m:sSubPr>
                                    <m:ctrlPr>
                                      <w:rPr>
                                        <w:rFonts w:ascii="Cambria Math" w:eastAsia="Cambria Math" w:hAnsi="Cambria Math"/>
                                        <w:sz w:val="19"/>
                                        <w:szCs w:val="19"/>
                                      </w:rPr>
                                    </m:ctrlPr>
                                  </m:sSubPr>
                                  <m:e>
                                    <m:r>
                                      <w:rPr>
                                        <w:rFonts w:ascii="Cambria Math" w:eastAsia="Cambria Math" w:hAnsi="Cambria Math"/>
                                        <w:sz w:val="19"/>
                                        <w:szCs w:val="19"/>
                                      </w:rPr>
                                      <m:t>O</m:t>
                                    </m:r>
                                  </m:e>
                                  <m:sub>
                                    <m:r>
                                      <w:rPr>
                                        <w:rFonts w:ascii="Cambria Math" w:eastAsia="Cambria Math" w:hAnsi="Cambria Math"/>
                                        <w:sz w:val="19"/>
                                        <w:szCs w:val="19"/>
                                      </w:rPr>
                                      <m:t>2</m:t>
                                    </m:r>
                                  </m:sub>
                                </m:sSub>
                              </m:sub>
                            </m:sSub>
                          </m:den>
                        </m:f>
                      </m:e>
                    </m:d>
                  </m:num>
                  <m:den>
                    <m:r>
                      <w:rPr>
                        <w:rFonts w:ascii="Cambria Math" w:eastAsia="Cambria Math" w:hAnsi="Cambria Math"/>
                        <w:sz w:val="19"/>
                        <w:szCs w:val="19"/>
                      </w:rPr>
                      <m:t>DEN</m:t>
                    </m:r>
                  </m:den>
                </m:f>
              </m:oMath>
            </m:oMathPara>
          </w:p>
          <w:p w14:paraId="6EA98ED1" w14:textId="77777777" w:rsidR="003C2FA8" w:rsidRPr="000F302E" w:rsidRDefault="003C2FA8" w:rsidP="00885869">
            <w:pPr>
              <w:spacing w:line="360" w:lineRule="auto"/>
              <w:jc w:val="center"/>
              <w:rPr>
                <w:sz w:val="19"/>
                <w:szCs w:val="19"/>
              </w:rPr>
            </w:pPr>
          </w:p>
        </w:tc>
        <w:tc>
          <w:tcPr>
            <w:tcW w:w="2377" w:type="dxa"/>
            <w:tcBorders>
              <w:top w:val="single" w:sz="8" w:space="0" w:color="000000"/>
            </w:tcBorders>
            <w:shd w:val="clear" w:color="auto" w:fill="auto"/>
            <w:vAlign w:val="center"/>
          </w:tcPr>
          <w:p w14:paraId="79D8E3C7" w14:textId="77777777" w:rsidR="003C2FA8" w:rsidRPr="000F302E" w:rsidRDefault="007D5DD2" w:rsidP="00885869">
            <w:pPr>
              <w:spacing w:line="360" w:lineRule="auto"/>
              <w:jc w:val="center"/>
              <w:rPr>
                <w:sz w:val="19"/>
                <w:szCs w:val="19"/>
              </w:rPr>
            </w:pPr>
            <m:oMathPara>
              <m:oMath>
                <m:sSub>
                  <m:sSubPr>
                    <m:ctrlPr>
                      <w:rPr>
                        <w:rFonts w:ascii="Cambria Math" w:eastAsia="Cambria Math" w:hAnsi="Cambria Math"/>
                        <w:sz w:val="19"/>
                        <w:szCs w:val="19"/>
                      </w:rPr>
                    </m:ctrlPr>
                  </m:sSubPr>
                  <m:e>
                    <m:r>
                      <w:rPr>
                        <w:rFonts w:ascii="Cambria Math" w:eastAsia="Cambria Math" w:hAnsi="Cambria Math"/>
                        <w:sz w:val="19"/>
                        <w:szCs w:val="19"/>
                      </w:rPr>
                      <m:t>k</m:t>
                    </m:r>
                  </m:e>
                  <m:sub>
                    <m:r>
                      <w:rPr>
                        <w:rFonts w:ascii="Cambria Math" w:eastAsia="Cambria Math" w:hAnsi="Cambria Math"/>
                        <w:sz w:val="19"/>
                        <w:szCs w:val="19"/>
                      </w:rPr>
                      <m:t>1</m:t>
                    </m:r>
                  </m:sub>
                </m:sSub>
                <m:r>
                  <w:rPr>
                    <w:rFonts w:ascii="Cambria Math" w:eastAsia="Cambria Math" w:hAnsi="Cambria Math"/>
                    <w:sz w:val="19"/>
                    <w:szCs w:val="19"/>
                  </w:rPr>
                  <m:t>=1.09∙</m:t>
                </m:r>
                <m:sSup>
                  <m:sSupPr>
                    <m:ctrlPr>
                      <w:rPr>
                        <w:rFonts w:ascii="Cambria Math" w:eastAsia="Cambria Math" w:hAnsi="Cambria Math"/>
                        <w:i/>
                        <w:sz w:val="19"/>
                        <w:szCs w:val="19"/>
                      </w:rPr>
                    </m:ctrlPr>
                  </m:sSupPr>
                  <m:e>
                    <m:r>
                      <w:rPr>
                        <w:rFonts w:ascii="Cambria Math" w:eastAsia="Cambria Math" w:hAnsi="Cambria Math"/>
                        <w:sz w:val="19"/>
                        <w:szCs w:val="19"/>
                      </w:rPr>
                      <m:t>10</m:t>
                    </m:r>
                  </m:e>
                  <m:sup>
                    <m:r>
                      <w:rPr>
                        <w:rFonts w:ascii="Cambria Math" w:eastAsia="Cambria Math" w:hAnsi="Cambria Math"/>
                        <w:sz w:val="19"/>
                        <w:szCs w:val="19"/>
                      </w:rPr>
                      <m:t>5</m:t>
                    </m:r>
                  </m:sup>
                </m:sSup>
                <m:r>
                  <w:rPr>
                    <w:rFonts w:ascii="Cambria Math" w:eastAsia="Cambria Math" w:hAnsi="Cambria Math"/>
                    <w:sz w:val="19"/>
                    <w:szCs w:val="19"/>
                  </w:rPr>
                  <m:t xml:space="preserve"> </m:t>
                </m:r>
                <m:sSup>
                  <m:sSupPr>
                    <m:ctrlPr>
                      <w:rPr>
                        <w:rFonts w:ascii="Cambria Math" w:eastAsia="Cambria Math" w:hAnsi="Cambria Math"/>
                        <w:i/>
                        <w:sz w:val="19"/>
                        <w:szCs w:val="19"/>
                      </w:rPr>
                    </m:ctrlPr>
                  </m:sSupPr>
                  <m:e>
                    <m:r>
                      <w:rPr>
                        <w:rFonts w:ascii="Cambria Math" w:eastAsia="Cambria Math" w:hAnsi="Cambria Math"/>
                        <w:sz w:val="19"/>
                        <w:szCs w:val="19"/>
                      </w:rPr>
                      <m:t>e</m:t>
                    </m:r>
                  </m:e>
                  <m:sup>
                    <m:r>
                      <w:rPr>
                        <w:rFonts w:ascii="Cambria Math" w:eastAsia="Cambria Math" w:hAnsi="Cambria Math"/>
                        <w:sz w:val="19"/>
                        <w:szCs w:val="19"/>
                      </w:rPr>
                      <m:t xml:space="preserve">- </m:t>
                    </m:r>
                    <m:f>
                      <m:fPr>
                        <m:ctrlPr>
                          <w:rPr>
                            <w:rFonts w:ascii="Cambria Math" w:eastAsia="Cambria Math" w:hAnsi="Cambria Math"/>
                            <w:i/>
                            <w:sz w:val="19"/>
                            <w:szCs w:val="19"/>
                          </w:rPr>
                        </m:ctrlPr>
                      </m:fPr>
                      <m:num>
                        <m:r>
                          <w:rPr>
                            <w:rFonts w:ascii="Cambria Math" w:eastAsia="Cambria Math" w:hAnsi="Cambria Math"/>
                            <w:sz w:val="19"/>
                            <w:szCs w:val="19"/>
                          </w:rPr>
                          <m:t>87500</m:t>
                        </m:r>
                      </m:num>
                      <m:den>
                        <m:r>
                          <w:rPr>
                            <w:rFonts w:ascii="Cambria Math" w:eastAsia="Cambria Math" w:hAnsi="Cambria Math"/>
                            <w:sz w:val="19"/>
                            <w:szCs w:val="19"/>
                          </w:rPr>
                          <m:t>RT</m:t>
                        </m:r>
                      </m:den>
                    </m:f>
                  </m:sup>
                </m:sSup>
              </m:oMath>
            </m:oMathPara>
          </w:p>
        </w:tc>
      </w:tr>
      <w:tr w:rsidR="003C2FA8" w:rsidRPr="00517FEA" w14:paraId="3FD3168E" w14:textId="77777777" w:rsidTr="00885869">
        <w:trPr>
          <w:trHeight w:val="775"/>
          <w:jc w:val="center"/>
        </w:trPr>
        <w:tc>
          <w:tcPr>
            <w:tcW w:w="2502" w:type="dxa"/>
            <w:shd w:val="clear" w:color="auto" w:fill="auto"/>
            <w:vAlign w:val="center"/>
          </w:tcPr>
          <w:p w14:paraId="7E310E11" w14:textId="77777777" w:rsidR="003C2FA8" w:rsidRPr="000F302E" w:rsidRDefault="003C2FA8" w:rsidP="00885869">
            <w:pPr>
              <w:spacing w:line="360" w:lineRule="auto"/>
              <w:jc w:val="center"/>
              <w:rPr>
                <w:sz w:val="19"/>
                <w:szCs w:val="19"/>
              </w:rPr>
            </w:pPr>
            <m:oMathPara>
              <m:oMath>
                <m:r>
                  <w:rPr>
                    <w:rFonts w:ascii="Cambria Math" w:hAnsi="Cambria Math"/>
                    <w:sz w:val="19"/>
                    <w:szCs w:val="19"/>
                  </w:rPr>
                  <m:t>C</m:t>
                </m:r>
                <m:sSub>
                  <m:sSubPr>
                    <m:ctrlPr>
                      <w:rPr>
                        <w:rFonts w:ascii="Cambria Math" w:hAnsi="Cambria Math"/>
                        <w:i/>
                        <w:sz w:val="19"/>
                        <w:szCs w:val="19"/>
                      </w:rPr>
                    </m:ctrlPr>
                  </m:sSubPr>
                  <m:e>
                    <m:r>
                      <w:rPr>
                        <w:rFonts w:ascii="Cambria Math" w:hAnsi="Cambria Math"/>
                        <w:sz w:val="19"/>
                        <w:szCs w:val="19"/>
                      </w:rPr>
                      <m:t>O</m:t>
                    </m:r>
                  </m:e>
                  <m:sub>
                    <m:r>
                      <w:rPr>
                        <w:rFonts w:ascii="Cambria Math" w:hAnsi="Cambria Math"/>
                        <w:sz w:val="19"/>
                        <w:szCs w:val="19"/>
                      </w:rPr>
                      <m:t>2</m:t>
                    </m:r>
                  </m:sub>
                </m:sSub>
                <m:r>
                  <w:rPr>
                    <w:rFonts w:ascii="Cambria Math" w:hAnsi="Cambria Math"/>
                    <w:sz w:val="19"/>
                    <w:szCs w:val="19"/>
                  </w:rPr>
                  <m:t>+</m:t>
                </m:r>
                <m:sSub>
                  <m:sSubPr>
                    <m:ctrlPr>
                      <w:rPr>
                        <w:rFonts w:ascii="Cambria Math" w:hAnsi="Cambria Math"/>
                        <w:i/>
                        <w:sz w:val="19"/>
                        <w:szCs w:val="19"/>
                      </w:rPr>
                    </m:ctrlPr>
                  </m:sSubPr>
                  <m:e>
                    <m:r>
                      <w:rPr>
                        <w:rFonts w:ascii="Cambria Math" w:hAnsi="Cambria Math"/>
                        <w:sz w:val="19"/>
                        <w:szCs w:val="19"/>
                      </w:rPr>
                      <m:t>H</m:t>
                    </m:r>
                  </m:e>
                  <m:sub>
                    <m:r>
                      <w:rPr>
                        <w:rFonts w:ascii="Cambria Math" w:hAnsi="Cambria Math"/>
                        <w:sz w:val="19"/>
                        <w:szCs w:val="19"/>
                      </w:rPr>
                      <m:t>2</m:t>
                    </m:r>
                  </m:sub>
                </m:sSub>
                <m:r>
                  <w:rPr>
                    <w:rFonts w:ascii="Cambria Math" w:hAnsi="Cambria Math"/>
                    <w:sz w:val="19"/>
                    <w:szCs w:val="19"/>
                  </w:rPr>
                  <m:t>→CO+</m:t>
                </m:r>
                <m:sSub>
                  <m:sSubPr>
                    <m:ctrlPr>
                      <w:rPr>
                        <w:rFonts w:ascii="Cambria Math" w:hAnsi="Cambria Math"/>
                        <w:i/>
                        <w:sz w:val="19"/>
                        <w:szCs w:val="19"/>
                      </w:rPr>
                    </m:ctrlPr>
                  </m:sSubPr>
                  <m:e>
                    <m:r>
                      <w:rPr>
                        <w:rFonts w:ascii="Cambria Math" w:hAnsi="Cambria Math"/>
                        <w:sz w:val="19"/>
                        <w:szCs w:val="19"/>
                      </w:rPr>
                      <m:t>H</m:t>
                    </m:r>
                  </m:e>
                  <m:sub>
                    <m:r>
                      <w:rPr>
                        <w:rFonts w:ascii="Cambria Math" w:hAnsi="Cambria Math"/>
                        <w:sz w:val="19"/>
                        <w:szCs w:val="19"/>
                      </w:rPr>
                      <m:t>2</m:t>
                    </m:r>
                  </m:sub>
                </m:sSub>
                <m:r>
                  <w:rPr>
                    <w:rFonts w:ascii="Cambria Math" w:hAnsi="Cambria Math"/>
                    <w:sz w:val="19"/>
                    <w:szCs w:val="19"/>
                  </w:rPr>
                  <m:t>O</m:t>
                </m:r>
              </m:oMath>
            </m:oMathPara>
          </w:p>
        </w:tc>
        <w:tc>
          <w:tcPr>
            <w:tcW w:w="3863" w:type="dxa"/>
            <w:shd w:val="clear" w:color="auto" w:fill="auto"/>
            <w:vAlign w:val="center"/>
          </w:tcPr>
          <w:p w14:paraId="3AF5AA3F" w14:textId="77777777" w:rsidR="003C2FA8" w:rsidRPr="000F302E" w:rsidRDefault="007D5DD2" w:rsidP="00885869">
            <w:pPr>
              <w:spacing w:line="360" w:lineRule="auto"/>
              <w:jc w:val="center"/>
              <w:rPr>
                <w:sz w:val="19"/>
                <w:szCs w:val="19"/>
              </w:rPr>
            </w:pPr>
            <m:oMathPara>
              <m:oMath>
                <m:sSub>
                  <m:sSubPr>
                    <m:ctrlPr>
                      <w:rPr>
                        <w:rFonts w:ascii="Cambria Math" w:eastAsia="Cambria Math" w:hAnsi="Cambria Math"/>
                        <w:sz w:val="19"/>
                        <w:szCs w:val="19"/>
                      </w:rPr>
                    </m:ctrlPr>
                  </m:sSubPr>
                  <m:e>
                    <m:r>
                      <w:rPr>
                        <w:rFonts w:ascii="Cambria Math" w:eastAsia="Cambria Math" w:hAnsi="Cambria Math"/>
                        <w:sz w:val="19"/>
                        <w:szCs w:val="19"/>
                      </w:rPr>
                      <m:t>r</m:t>
                    </m:r>
                  </m:e>
                  <m:sub>
                    <m:r>
                      <w:rPr>
                        <w:rFonts w:ascii="Cambria Math" w:eastAsia="Cambria Math" w:hAnsi="Cambria Math"/>
                        <w:sz w:val="19"/>
                        <w:szCs w:val="19"/>
                      </w:rPr>
                      <m:t xml:space="preserve">RWGS </m:t>
                    </m:r>
                  </m:sub>
                </m:sSub>
                <m:r>
                  <w:rPr>
                    <w:rFonts w:ascii="Cambria Math" w:eastAsia="Cambria Math" w:hAnsi="Cambria Math"/>
                    <w:sz w:val="19"/>
                    <w:szCs w:val="19"/>
                  </w:rPr>
                  <m:t>=</m:t>
                </m:r>
                <m:f>
                  <m:fPr>
                    <m:ctrlPr>
                      <w:rPr>
                        <w:rFonts w:ascii="Cambria Math" w:eastAsia="Cambria Math" w:hAnsi="Cambria Math"/>
                        <w:i/>
                        <w:sz w:val="19"/>
                        <w:szCs w:val="19"/>
                      </w:rPr>
                    </m:ctrlPr>
                  </m:fPr>
                  <m:num>
                    <m:sSub>
                      <m:sSubPr>
                        <m:ctrlPr>
                          <w:rPr>
                            <w:rFonts w:ascii="Cambria Math" w:eastAsia="Cambria Math" w:hAnsi="Cambria Math"/>
                            <w:sz w:val="19"/>
                            <w:szCs w:val="19"/>
                          </w:rPr>
                        </m:ctrlPr>
                      </m:sSubPr>
                      <m:e>
                        <m:r>
                          <w:rPr>
                            <w:rFonts w:ascii="Cambria Math" w:eastAsia="Cambria Math" w:hAnsi="Cambria Math"/>
                            <w:sz w:val="19"/>
                            <w:szCs w:val="19"/>
                          </w:rPr>
                          <m:t>k</m:t>
                        </m:r>
                      </m:e>
                      <m:sub>
                        <m:r>
                          <w:rPr>
                            <w:rFonts w:ascii="Cambria Math" w:eastAsia="Cambria Math" w:hAnsi="Cambria Math"/>
                            <w:sz w:val="19"/>
                            <w:szCs w:val="19"/>
                          </w:rPr>
                          <m:t>2</m:t>
                        </m:r>
                      </m:sub>
                    </m:sSub>
                    <m:sSub>
                      <m:sSubPr>
                        <m:ctrlPr>
                          <w:rPr>
                            <w:rFonts w:ascii="Cambria Math" w:eastAsia="Cambria Math" w:hAnsi="Cambria Math"/>
                            <w:sz w:val="19"/>
                            <w:szCs w:val="19"/>
                          </w:rPr>
                        </m:ctrlPr>
                      </m:sSubPr>
                      <m:e>
                        <m:r>
                          <w:rPr>
                            <w:rFonts w:ascii="Cambria Math" w:eastAsia="Cambria Math" w:hAnsi="Cambria Math"/>
                            <w:sz w:val="19"/>
                            <w:szCs w:val="19"/>
                          </w:rPr>
                          <m:t>K</m:t>
                        </m:r>
                      </m:e>
                      <m:sub>
                        <m:r>
                          <w:rPr>
                            <w:rFonts w:ascii="Cambria Math" w:eastAsia="Cambria Math" w:hAnsi="Cambria Math"/>
                            <w:sz w:val="19"/>
                            <w:szCs w:val="19"/>
                          </w:rPr>
                          <m:t>C</m:t>
                        </m:r>
                        <m:sSub>
                          <m:sSubPr>
                            <m:ctrlPr>
                              <w:rPr>
                                <w:rFonts w:ascii="Cambria Math" w:eastAsia="Cambria Math" w:hAnsi="Cambria Math"/>
                                <w:sz w:val="19"/>
                                <w:szCs w:val="19"/>
                              </w:rPr>
                            </m:ctrlPr>
                          </m:sSubPr>
                          <m:e>
                            <m:r>
                              <w:rPr>
                                <w:rFonts w:ascii="Cambria Math" w:eastAsia="Cambria Math" w:hAnsi="Cambria Math"/>
                                <w:sz w:val="19"/>
                                <w:szCs w:val="19"/>
                              </w:rPr>
                              <m:t>O</m:t>
                            </m:r>
                          </m:e>
                          <m:sub>
                            <m:r>
                              <w:rPr>
                                <w:rFonts w:ascii="Cambria Math" w:eastAsia="Cambria Math" w:hAnsi="Cambria Math"/>
                                <w:sz w:val="19"/>
                                <w:szCs w:val="19"/>
                              </w:rPr>
                              <m:t>2</m:t>
                            </m:r>
                          </m:sub>
                        </m:sSub>
                      </m:sub>
                    </m:sSub>
                    <m:d>
                      <m:dPr>
                        <m:ctrlPr>
                          <w:rPr>
                            <w:rFonts w:ascii="Cambria Math" w:eastAsia="Cambria Math" w:hAnsi="Cambria Math"/>
                            <w:i/>
                            <w:sz w:val="19"/>
                            <w:szCs w:val="19"/>
                          </w:rPr>
                        </m:ctrlPr>
                      </m:dPr>
                      <m:e>
                        <m:sSub>
                          <m:sSubPr>
                            <m:ctrlPr>
                              <w:rPr>
                                <w:rFonts w:ascii="Cambria Math" w:eastAsia="Cambria Math" w:hAnsi="Cambria Math"/>
                                <w:sz w:val="19"/>
                                <w:szCs w:val="19"/>
                              </w:rPr>
                            </m:ctrlPr>
                          </m:sSubPr>
                          <m:e>
                            <m:r>
                              <w:rPr>
                                <w:rFonts w:ascii="Cambria Math" w:eastAsia="Cambria Math" w:hAnsi="Cambria Math"/>
                                <w:sz w:val="19"/>
                                <w:szCs w:val="19"/>
                              </w:rPr>
                              <m:t>f</m:t>
                            </m:r>
                          </m:e>
                          <m:sub>
                            <m:r>
                              <w:rPr>
                                <w:rFonts w:ascii="Cambria Math" w:eastAsia="Cambria Math" w:hAnsi="Cambria Math"/>
                                <w:sz w:val="19"/>
                                <w:szCs w:val="19"/>
                              </w:rPr>
                              <m:t>C</m:t>
                            </m:r>
                            <m:sSub>
                              <m:sSubPr>
                                <m:ctrlPr>
                                  <w:rPr>
                                    <w:rFonts w:ascii="Cambria Math" w:eastAsia="Cambria Math" w:hAnsi="Cambria Math"/>
                                    <w:i/>
                                    <w:sz w:val="19"/>
                                    <w:szCs w:val="19"/>
                                  </w:rPr>
                                </m:ctrlPr>
                              </m:sSubPr>
                              <m:e>
                                <m:r>
                                  <w:rPr>
                                    <w:rFonts w:ascii="Cambria Math" w:eastAsia="Cambria Math" w:hAnsi="Cambria Math"/>
                                    <w:sz w:val="19"/>
                                    <w:szCs w:val="19"/>
                                  </w:rPr>
                                  <m:t>O</m:t>
                                </m:r>
                              </m:e>
                              <m:sub>
                                <m:r>
                                  <w:rPr>
                                    <w:rFonts w:ascii="Cambria Math" w:eastAsia="Cambria Math" w:hAnsi="Cambria Math"/>
                                    <w:sz w:val="19"/>
                                    <w:szCs w:val="19"/>
                                  </w:rPr>
                                  <m:t>2</m:t>
                                </m:r>
                              </m:sub>
                            </m:sSub>
                          </m:sub>
                        </m:sSub>
                        <m:sSub>
                          <m:sSubPr>
                            <m:ctrlPr>
                              <w:rPr>
                                <w:rFonts w:ascii="Cambria Math" w:eastAsia="Cambria Math" w:hAnsi="Cambria Math"/>
                                <w:sz w:val="19"/>
                                <w:szCs w:val="19"/>
                              </w:rPr>
                            </m:ctrlPr>
                          </m:sSubPr>
                          <m:e>
                            <m:r>
                              <w:rPr>
                                <w:rFonts w:ascii="Cambria Math" w:eastAsia="Cambria Math" w:hAnsi="Cambria Math"/>
                                <w:sz w:val="19"/>
                                <w:szCs w:val="19"/>
                              </w:rPr>
                              <m:t>f</m:t>
                            </m:r>
                          </m:e>
                          <m:sub>
                            <m:sSub>
                              <m:sSubPr>
                                <m:ctrlPr>
                                  <w:rPr>
                                    <w:rFonts w:ascii="Cambria Math" w:eastAsia="Cambria Math" w:hAnsi="Cambria Math"/>
                                    <w:i/>
                                    <w:sz w:val="19"/>
                                    <w:szCs w:val="19"/>
                                  </w:rPr>
                                </m:ctrlPr>
                              </m:sSubPr>
                              <m:e>
                                <m:r>
                                  <w:rPr>
                                    <w:rFonts w:ascii="Cambria Math" w:eastAsia="Cambria Math" w:hAnsi="Cambria Math"/>
                                    <w:sz w:val="19"/>
                                    <w:szCs w:val="19"/>
                                  </w:rPr>
                                  <m:t>H</m:t>
                                </m:r>
                              </m:e>
                              <m:sub>
                                <m:r>
                                  <w:rPr>
                                    <w:rFonts w:ascii="Cambria Math" w:eastAsia="Cambria Math" w:hAnsi="Cambria Math"/>
                                    <w:sz w:val="19"/>
                                    <w:szCs w:val="19"/>
                                  </w:rPr>
                                  <m:t>2</m:t>
                                </m:r>
                              </m:sub>
                            </m:sSub>
                          </m:sub>
                        </m:sSub>
                        <m:r>
                          <w:rPr>
                            <w:rFonts w:ascii="Cambria Math" w:eastAsia="Cambria Math" w:hAnsi="Cambria Math"/>
                            <w:sz w:val="19"/>
                            <w:szCs w:val="19"/>
                          </w:rPr>
                          <m:t xml:space="preserve"> -</m:t>
                        </m:r>
                        <m:f>
                          <m:fPr>
                            <m:ctrlPr>
                              <w:rPr>
                                <w:rFonts w:ascii="Cambria Math" w:eastAsia="Cambria Math" w:hAnsi="Cambria Math"/>
                                <w:i/>
                                <w:sz w:val="19"/>
                                <w:szCs w:val="19"/>
                              </w:rPr>
                            </m:ctrlPr>
                          </m:fPr>
                          <m:num>
                            <m:sSub>
                              <m:sSubPr>
                                <m:ctrlPr>
                                  <w:rPr>
                                    <w:rFonts w:ascii="Cambria Math" w:eastAsia="Cambria Math" w:hAnsi="Cambria Math"/>
                                    <w:sz w:val="19"/>
                                    <w:szCs w:val="19"/>
                                  </w:rPr>
                                </m:ctrlPr>
                              </m:sSubPr>
                              <m:e>
                                <m:r>
                                  <w:rPr>
                                    <w:rFonts w:ascii="Cambria Math" w:eastAsia="Cambria Math" w:hAnsi="Cambria Math"/>
                                    <w:sz w:val="19"/>
                                    <w:szCs w:val="19"/>
                                  </w:rPr>
                                  <m:t>f</m:t>
                                </m:r>
                              </m:e>
                              <m:sub>
                                <m:sSub>
                                  <m:sSubPr>
                                    <m:ctrlPr>
                                      <w:rPr>
                                        <w:rFonts w:ascii="Cambria Math" w:eastAsia="Cambria Math" w:hAnsi="Cambria Math"/>
                                        <w:i/>
                                        <w:sz w:val="19"/>
                                        <w:szCs w:val="19"/>
                                      </w:rPr>
                                    </m:ctrlPr>
                                  </m:sSubPr>
                                  <m:e>
                                    <m:r>
                                      <w:rPr>
                                        <w:rFonts w:ascii="Cambria Math" w:eastAsia="Cambria Math" w:hAnsi="Cambria Math"/>
                                        <w:sz w:val="19"/>
                                        <w:szCs w:val="19"/>
                                      </w:rPr>
                                      <m:t>H</m:t>
                                    </m:r>
                                  </m:e>
                                  <m:sub>
                                    <m:r>
                                      <w:rPr>
                                        <w:rFonts w:ascii="Cambria Math" w:eastAsia="Cambria Math" w:hAnsi="Cambria Math"/>
                                        <w:sz w:val="19"/>
                                        <w:szCs w:val="19"/>
                                      </w:rPr>
                                      <m:t>2</m:t>
                                    </m:r>
                                  </m:sub>
                                </m:sSub>
                                <m:r>
                                  <w:rPr>
                                    <w:rFonts w:ascii="Cambria Math" w:eastAsia="Cambria Math" w:hAnsi="Cambria Math"/>
                                    <w:sz w:val="19"/>
                                    <w:szCs w:val="19"/>
                                  </w:rPr>
                                  <m:t>O</m:t>
                                </m:r>
                              </m:sub>
                            </m:sSub>
                            <m:sSub>
                              <m:sSubPr>
                                <m:ctrlPr>
                                  <w:rPr>
                                    <w:rFonts w:ascii="Cambria Math" w:eastAsia="Cambria Math" w:hAnsi="Cambria Math"/>
                                    <w:sz w:val="19"/>
                                    <w:szCs w:val="19"/>
                                  </w:rPr>
                                </m:ctrlPr>
                              </m:sSubPr>
                              <m:e>
                                <m:r>
                                  <w:rPr>
                                    <w:rFonts w:ascii="Cambria Math" w:eastAsia="Cambria Math" w:hAnsi="Cambria Math"/>
                                    <w:sz w:val="19"/>
                                    <w:szCs w:val="19"/>
                                  </w:rPr>
                                  <m:t>f</m:t>
                                </m:r>
                              </m:e>
                              <m:sub>
                                <m:r>
                                  <w:rPr>
                                    <w:rFonts w:ascii="Cambria Math" w:eastAsia="Cambria Math" w:hAnsi="Cambria Math"/>
                                    <w:sz w:val="19"/>
                                    <w:szCs w:val="19"/>
                                  </w:rPr>
                                  <m:t>CO</m:t>
                                </m:r>
                              </m:sub>
                            </m:sSub>
                          </m:num>
                          <m:den>
                            <m:sSub>
                              <m:sSubPr>
                                <m:ctrlPr>
                                  <w:rPr>
                                    <w:rFonts w:ascii="Cambria Math" w:eastAsia="Cambria Math" w:hAnsi="Cambria Math"/>
                                    <w:sz w:val="19"/>
                                    <w:szCs w:val="19"/>
                                  </w:rPr>
                                </m:ctrlPr>
                              </m:sSubPr>
                              <m:e>
                                <m:r>
                                  <w:rPr>
                                    <w:rFonts w:ascii="Cambria Math" w:eastAsia="Cambria Math" w:hAnsi="Cambria Math"/>
                                    <w:sz w:val="19"/>
                                    <w:szCs w:val="19"/>
                                  </w:rPr>
                                  <m:t>K</m:t>
                                </m:r>
                              </m:e>
                              <m:sub>
                                <m:r>
                                  <w:rPr>
                                    <w:rFonts w:ascii="Cambria Math" w:eastAsia="Cambria Math" w:hAnsi="Cambria Math"/>
                                    <w:sz w:val="19"/>
                                    <w:szCs w:val="19"/>
                                  </w:rPr>
                                  <m:t>eqRWGS</m:t>
                                </m:r>
                              </m:sub>
                            </m:sSub>
                          </m:den>
                        </m:f>
                      </m:e>
                    </m:d>
                    <m:ctrlPr>
                      <w:rPr>
                        <w:rFonts w:ascii="Cambria Math" w:hAnsi="Cambria Math"/>
                        <w:i/>
                        <w:sz w:val="19"/>
                        <w:szCs w:val="19"/>
                      </w:rPr>
                    </m:ctrlPr>
                  </m:num>
                  <m:den>
                    <m:r>
                      <w:rPr>
                        <w:rFonts w:ascii="Cambria Math" w:hAnsi="Cambria Math"/>
                        <w:sz w:val="19"/>
                        <w:szCs w:val="19"/>
                      </w:rPr>
                      <m:t>DEN</m:t>
                    </m:r>
                  </m:den>
                </m:f>
              </m:oMath>
            </m:oMathPara>
          </w:p>
        </w:tc>
        <w:tc>
          <w:tcPr>
            <w:tcW w:w="2377" w:type="dxa"/>
            <w:shd w:val="clear" w:color="auto" w:fill="auto"/>
            <w:vAlign w:val="center"/>
          </w:tcPr>
          <w:p w14:paraId="7D910754" w14:textId="77777777" w:rsidR="003C2FA8" w:rsidRPr="000F302E" w:rsidRDefault="007D5DD2" w:rsidP="00885869">
            <w:pPr>
              <w:spacing w:line="360" w:lineRule="auto"/>
              <w:jc w:val="center"/>
              <w:rPr>
                <w:sz w:val="19"/>
                <w:szCs w:val="19"/>
              </w:rPr>
            </w:pPr>
            <m:oMathPara>
              <m:oMath>
                <m:sSub>
                  <m:sSubPr>
                    <m:ctrlPr>
                      <w:rPr>
                        <w:rFonts w:ascii="Cambria Math" w:eastAsia="Cambria Math" w:hAnsi="Cambria Math"/>
                        <w:sz w:val="19"/>
                        <w:szCs w:val="19"/>
                      </w:rPr>
                    </m:ctrlPr>
                  </m:sSubPr>
                  <m:e>
                    <m:r>
                      <w:rPr>
                        <w:rFonts w:ascii="Cambria Math" w:eastAsia="Cambria Math" w:hAnsi="Cambria Math"/>
                        <w:sz w:val="19"/>
                        <w:szCs w:val="19"/>
                      </w:rPr>
                      <m:t>k</m:t>
                    </m:r>
                  </m:e>
                  <m:sub>
                    <m:r>
                      <w:rPr>
                        <w:rFonts w:ascii="Cambria Math" w:eastAsia="Cambria Math" w:hAnsi="Cambria Math"/>
                        <w:sz w:val="19"/>
                        <w:szCs w:val="19"/>
                      </w:rPr>
                      <m:t>2</m:t>
                    </m:r>
                  </m:sub>
                </m:sSub>
                <m:r>
                  <w:rPr>
                    <w:rFonts w:ascii="Cambria Math" w:eastAsia="Cambria Math" w:hAnsi="Cambria Math"/>
                    <w:sz w:val="19"/>
                    <w:szCs w:val="19"/>
                  </w:rPr>
                  <m:t>=9.64∙</m:t>
                </m:r>
                <m:sSup>
                  <m:sSupPr>
                    <m:ctrlPr>
                      <w:rPr>
                        <w:rFonts w:ascii="Cambria Math" w:eastAsia="Cambria Math" w:hAnsi="Cambria Math"/>
                        <w:i/>
                        <w:sz w:val="19"/>
                        <w:szCs w:val="19"/>
                      </w:rPr>
                    </m:ctrlPr>
                  </m:sSupPr>
                  <m:e>
                    <m:r>
                      <w:rPr>
                        <w:rFonts w:ascii="Cambria Math" w:eastAsia="Cambria Math" w:hAnsi="Cambria Math"/>
                        <w:sz w:val="19"/>
                        <w:szCs w:val="19"/>
                      </w:rPr>
                      <m:t>10</m:t>
                    </m:r>
                  </m:e>
                  <m:sup>
                    <m:r>
                      <w:rPr>
                        <w:rFonts w:ascii="Cambria Math" w:eastAsia="Cambria Math" w:hAnsi="Cambria Math"/>
                        <w:sz w:val="19"/>
                        <w:szCs w:val="19"/>
                      </w:rPr>
                      <m:t>11</m:t>
                    </m:r>
                  </m:sup>
                </m:sSup>
                <m:r>
                  <w:rPr>
                    <w:rFonts w:ascii="Cambria Math" w:eastAsia="Cambria Math" w:hAnsi="Cambria Math"/>
                    <w:sz w:val="19"/>
                    <w:szCs w:val="19"/>
                  </w:rPr>
                  <m:t xml:space="preserve"> </m:t>
                </m:r>
                <m:sSup>
                  <m:sSupPr>
                    <m:ctrlPr>
                      <w:rPr>
                        <w:rFonts w:ascii="Cambria Math" w:eastAsia="Cambria Math" w:hAnsi="Cambria Math"/>
                        <w:i/>
                        <w:sz w:val="19"/>
                        <w:szCs w:val="19"/>
                      </w:rPr>
                    </m:ctrlPr>
                  </m:sSupPr>
                  <m:e>
                    <m:r>
                      <w:rPr>
                        <w:rFonts w:ascii="Cambria Math" w:eastAsia="Cambria Math" w:hAnsi="Cambria Math"/>
                        <w:sz w:val="19"/>
                        <w:szCs w:val="19"/>
                      </w:rPr>
                      <m:t>e</m:t>
                    </m:r>
                  </m:e>
                  <m:sup>
                    <m:r>
                      <w:rPr>
                        <w:rFonts w:ascii="Cambria Math" w:eastAsia="Cambria Math" w:hAnsi="Cambria Math"/>
                        <w:sz w:val="19"/>
                        <w:szCs w:val="19"/>
                      </w:rPr>
                      <m:t xml:space="preserve">- </m:t>
                    </m:r>
                    <m:f>
                      <m:fPr>
                        <m:ctrlPr>
                          <w:rPr>
                            <w:rFonts w:ascii="Cambria Math" w:eastAsia="Cambria Math" w:hAnsi="Cambria Math"/>
                            <w:i/>
                            <w:sz w:val="19"/>
                            <w:szCs w:val="19"/>
                          </w:rPr>
                        </m:ctrlPr>
                      </m:fPr>
                      <m:num>
                        <m:r>
                          <w:rPr>
                            <w:rFonts w:ascii="Cambria Math" w:eastAsia="Cambria Math" w:hAnsi="Cambria Math"/>
                            <w:sz w:val="19"/>
                            <w:szCs w:val="19"/>
                          </w:rPr>
                          <m:t>152900</m:t>
                        </m:r>
                      </m:num>
                      <m:den>
                        <m:r>
                          <w:rPr>
                            <w:rFonts w:ascii="Cambria Math" w:eastAsia="Cambria Math" w:hAnsi="Cambria Math"/>
                            <w:sz w:val="19"/>
                            <w:szCs w:val="19"/>
                          </w:rPr>
                          <m:t>RT</m:t>
                        </m:r>
                      </m:den>
                    </m:f>
                  </m:sup>
                </m:sSup>
              </m:oMath>
            </m:oMathPara>
          </w:p>
        </w:tc>
      </w:tr>
      <w:tr w:rsidR="003C2FA8" w:rsidRPr="00517FEA" w14:paraId="2C3F2458" w14:textId="77777777" w:rsidTr="00885869">
        <w:trPr>
          <w:trHeight w:val="1014"/>
          <w:jc w:val="center"/>
        </w:trPr>
        <w:tc>
          <w:tcPr>
            <w:tcW w:w="2502" w:type="dxa"/>
            <w:tcBorders>
              <w:bottom w:val="single" w:sz="8" w:space="0" w:color="000000"/>
            </w:tcBorders>
            <w:shd w:val="clear" w:color="auto" w:fill="auto"/>
            <w:vAlign w:val="center"/>
          </w:tcPr>
          <w:p w14:paraId="201514F0" w14:textId="77777777" w:rsidR="003C2FA8" w:rsidRPr="000F302E" w:rsidRDefault="003C2FA8" w:rsidP="00885869">
            <w:pPr>
              <w:spacing w:line="360" w:lineRule="auto"/>
              <w:jc w:val="center"/>
              <w:rPr>
                <w:sz w:val="19"/>
                <w:szCs w:val="19"/>
              </w:rPr>
            </w:pPr>
            <m:oMathPara>
              <m:oMath>
                <m:r>
                  <w:rPr>
                    <w:rFonts w:ascii="Cambria Math" w:hAnsi="Cambria Math"/>
                    <w:sz w:val="19"/>
                    <w:szCs w:val="19"/>
                  </w:rPr>
                  <m:t>CO+2</m:t>
                </m:r>
                <m:sSub>
                  <m:sSubPr>
                    <m:ctrlPr>
                      <w:rPr>
                        <w:rFonts w:ascii="Cambria Math" w:hAnsi="Cambria Math"/>
                        <w:i/>
                        <w:sz w:val="19"/>
                        <w:szCs w:val="19"/>
                      </w:rPr>
                    </m:ctrlPr>
                  </m:sSubPr>
                  <m:e>
                    <m:r>
                      <w:rPr>
                        <w:rFonts w:ascii="Cambria Math" w:hAnsi="Cambria Math"/>
                        <w:sz w:val="19"/>
                        <w:szCs w:val="19"/>
                      </w:rPr>
                      <m:t>H</m:t>
                    </m:r>
                  </m:e>
                  <m:sub>
                    <m:r>
                      <w:rPr>
                        <w:rFonts w:ascii="Cambria Math" w:hAnsi="Cambria Math"/>
                        <w:sz w:val="19"/>
                        <w:szCs w:val="19"/>
                      </w:rPr>
                      <m:t>2</m:t>
                    </m:r>
                  </m:sub>
                </m:sSub>
                <m:r>
                  <w:rPr>
                    <w:rFonts w:ascii="Cambria Math" w:hAnsi="Cambria Math"/>
                    <w:sz w:val="19"/>
                    <w:szCs w:val="19"/>
                  </w:rPr>
                  <m:t>→C</m:t>
                </m:r>
                <m:sSub>
                  <m:sSubPr>
                    <m:ctrlPr>
                      <w:rPr>
                        <w:rFonts w:ascii="Cambria Math" w:hAnsi="Cambria Math"/>
                        <w:i/>
                        <w:sz w:val="19"/>
                        <w:szCs w:val="19"/>
                      </w:rPr>
                    </m:ctrlPr>
                  </m:sSubPr>
                  <m:e>
                    <m:r>
                      <w:rPr>
                        <w:rFonts w:ascii="Cambria Math" w:hAnsi="Cambria Math"/>
                        <w:sz w:val="19"/>
                        <w:szCs w:val="19"/>
                      </w:rPr>
                      <m:t>H</m:t>
                    </m:r>
                  </m:e>
                  <m:sub>
                    <m:r>
                      <w:rPr>
                        <w:rFonts w:ascii="Cambria Math" w:hAnsi="Cambria Math"/>
                        <w:sz w:val="19"/>
                        <w:szCs w:val="19"/>
                      </w:rPr>
                      <m:t>3</m:t>
                    </m:r>
                  </m:sub>
                </m:sSub>
                <m:r>
                  <w:rPr>
                    <w:rFonts w:ascii="Cambria Math" w:hAnsi="Cambria Math"/>
                    <w:sz w:val="19"/>
                    <w:szCs w:val="19"/>
                  </w:rPr>
                  <m:t>OH</m:t>
                </m:r>
              </m:oMath>
            </m:oMathPara>
          </w:p>
        </w:tc>
        <w:tc>
          <w:tcPr>
            <w:tcW w:w="3863" w:type="dxa"/>
            <w:tcBorders>
              <w:bottom w:val="single" w:sz="8" w:space="0" w:color="000000"/>
            </w:tcBorders>
            <w:shd w:val="clear" w:color="auto" w:fill="auto"/>
            <w:vAlign w:val="center"/>
          </w:tcPr>
          <w:p w14:paraId="63D0FC60" w14:textId="77777777" w:rsidR="003C2FA8" w:rsidRPr="000F302E" w:rsidRDefault="007D5DD2" w:rsidP="00885869">
            <w:pPr>
              <w:spacing w:line="360" w:lineRule="auto"/>
              <w:jc w:val="center"/>
              <w:rPr>
                <w:sz w:val="19"/>
                <w:szCs w:val="19"/>
              </w:rPr>
            </w:pPr>
            <m:oMathPara>
              <m:oMath>
                <m:sSub>
                  <m:sSubPr>
                    <m:ctrlPr>
                      <w:rPr>
                        <w:rFonts w:ascii="Cambria Math" w:eastAsia="Cambria Math" w:hAnsi="Cambria Math"/>
                        <w:sz w:val="19"/>
                        <w:szCs w:val="19"/>
                      </w:rPr>
                    </m:ctrlPr>
                  </m:sSubPr>
                  <m:e>
                    <m:r>
                      <w:rPr>
                        <w:rFonts w:ascii="Cambria Math" w:eastAsia="Cambria Math" w:hAnsi="Cambria Math"/>
                        <w:sz w:val="19"/>
                        <w:szCs w:val="19"/>
                      </w:rPr>
                      <m:t>r</m:t>
                    </m:r>
                  </m:e>
                  <m:sub>
                    <m:r>
                      <w:rPr>
                        <w:rFonts w:ascii="Cambria Math" w:eastAsia="Cambria Math" w:hAnsi="Cambria Math"/>
                        <w:sz w:val="19"/>
                        <w:szCs w:val="19"/>
                      </w:rPr>
                      <m:t xml:space="preserve">CO/MeOH </m:t>
                    </m:r>
                  </m:sub>
                </m:sSub>
                <m:r>
                  <w:rPr>
                    <w:rFonts w:ascii="Cambria Math" w:eastAsia="Cambria Math" w:hAnsi="Cambria Math"/>
                    <w:sz w:val="19"/>
                    <w:szCs w:val="19"/>
                  </w:rPr>
                  <m:t>=</m:t>
                </m:r>
                <m:f>
                  <m:fPr>
                    <m:ctrlPr>
                      <w:rPr>
                        <w:rFonts w:ascii="Cambria Math" w:eastAsia="Cambria Math" w:hAnsi="Cambria Math"/>
                        <w:i/>
                        <w:sz w:val="19"/>
                        <w:szCs w:val="19"/>
                      </w:rPr>
                    </m:ctrlPr>
                  </m:fPr>
                  <m:num>
                    <m:sSub>
                      <m:sSubPr>
                        <m:ctrlPr>
                          <w:rPr>
                            <w:rFonts w:ascii="Cambria Math" w:eastAsia="Cambria Math" w:hAnsi="Cambria Math"/>
                            <w:sz w:val="19"/>
                            <w:szCs w:val="19"/>
                          </w:rPr>
                        </m:ctrlPr>
                      </m:sSubPr>
                      <m:e>
                        <m:r>
                          <w:rPr>
                            <w:rFonts w:ascii="Cambria Math" w:eastAsia="Cambria Math" w:hAnsi="Cambria Math"/>
                            <w:sz w:val="19"/>
                            <w:szCs w:val="19"/>
                          </w:rPr>
                          <m:t>k</m:t>
                        </m:r>
                      </m:e>
                      <m:sub>
                        <m:r>
                          <w:rPr>
                            <w:rFonts w:ascii="Cambria Math" w:eastAsia="Cambria Math" w:hAnsi="Cambria Math"/>
                            <w:sz w:val="19"/>
                            <w:szCs w:val="19"/>
                          </w:rPr>
                          <m:t>3</m:t>
                        </m:r>
                      </m:sub>
                    </m:sSub>
                    <m:sSub>
                      <m:sSubPr>
                        <m:ctrlPr>
                          <w:rPr>
                            <w:rFonts w:ascii="Cambria Math" w:eastAsia="Cambria Math" w:hAnsi="Cambria Math"/>
                            <w:sz w:val="19"/>
                            <w:szCs w:val="19"/>
                          </w:rPr>
                        </m:ctrlPr>
                      </m:sSubPr>
                      <m:e>
                        <m:r>
                          <w:rPr>
                            <w:rFonts w:ascii="Cambria Math" w:eastAsia="Cambria Math" w:hAnsi="Cambria Math"/>
                            <w:sz w:val="19"/>
                            <w:szCs w:val="19"/>
                          </w:rPr>
                          <m:t>K</m:t>
                        </m:r>
                      </m:e>
                      <m:sub>
                        <m:r>
                          <w:rPr>
                            <w:rFonts w:ascii="Cambria Math" w:eastAsia="Cambria Math" w:hAnsi="Cambria Math"/>
                            <w:sz w:val="19"/>
                            <w:szCs w:val="19"/>
                          </w:rPr>
                          <m:t>CO</m:t>
                        </m:r>
                      </m:sub>
                    </m:sSub>
                    <m:d>
                      <m:dPr>
                        <m:ctrlPr>
                          <w:rPr>
                            <w:rFonts w:ascii="Cambria Math" w:eastAsia="Cambria Math" w:hAnsi="Cambria Math"/>
                            <w:i/>
                            <w:sz w:val="19"/>
                            <w:szCs w:val="19"/>
                          </w:rPr>
                        </m:ctrlPr>
                      </m:dPr>
                      <m:e>
                        <m:sSub>
                          <m:sSubPr>
                            <m:ctrlPr>
                              <w:rPr>
                                <w:rFonts w:ascii="Cambria Math" w:eastAsia="Cambria Math" w:hAnsi="Cambria Math"/>
                                <w:sz w:val="19"/>
                                <w:szCs w:val="19"/>
                              </w:rPr>
                            </m:ctrlPr>
                          </m:sSubPr>
                          <m:e>
                            <m:r>
                              <w:rPr>
                                <w:rFonts w:ascii="Cambria Math" w:eastAsia="Cambria Math" w:hAnsi="Cambria Math"/>
                                <w:sz w:val="19"/>
                                <w:szCs w:val="19"/>
                              </w:rPr>
                              <m:t>f</m:t>
                            </m:r>
                          </m:e>
                          <m:sub>
                            <m:r>
                              <w:rPr>
                                <w:rFonts w:ascii="Cambria Math" w:eastAsia="Cambria Math" w:hAnsi="Cambria Math"/>
                                <w:sz w:val="19"/>
                                <w:szCs w:val="19"/>
                              </w:rPr>
                              <m:t>CO</m:t>
                            </m:r>
                          </m:sub>
                        </m:sSub>
                        <m:sSup>
                          <m:sSupPr>
                            <m:ctrlPr>
                              <w:rPr>
                                <w:rFonts w:ascii="Cambria Math" w:eastAsia="Cambria Math" w:hAnsi="Cambria Math"/>
                                <w:sz w:val="19"/>
                                <w:szCs w:val="19"/>
                              </w:rPr>
                            </m:ctrlPr>
                          </m:sSupPr>
                          <m:e>
                            <m:sSub>
                              <m:sSubPr>
                                <m:ctrlPr>
                                  <w:rPr>
                                    <w:rFonts w:ascii="Cambria Math" w:eastAsia="Cambria Math" w:hAnsi="Cambria Math"/>
                                    <w:sz w:val="19"/>
                                    <w:szCs w:val="19"/>
                                  </w:rPr>
                                </m:ctrlPr>
                              </m:sSubPr>
                              <m:e>
                                <m:r>
                                  <w:rPr>
                                    <w:rFonts w:ascii="Cambria Math" w:eastAsia="Cambria Math" w:hAnsi="Cambria Math"/>
                                    <w:sz w:val="19"/>
                                    <w:szCs w:val="19"/>
                                  </w:rPr>
                                  <m:t>f</m:t>
                                </m:r>
                              </m:e>
                              <m:sub>
                                <m:sSub>
                                  <m:sSubPr>
                                    <m:ctrlPr>
                                      <w:rPr>
                                        <w:rFonts w:ascii="Cambria Math" w:eastAsia="Cambria Math" w:hAnsi="Cambria Math"/>
                                        <w:i/>
                                        <w:sz w:val="19"/>
                                        <w:szCs w:val="19"/>
                                      </w:rPr>
                                    </m:ctrlPr>
                                  </m:sSubPr>
                                  <m:e>
                                    <m:r>
                                      <w:rPr>
                                        <w:rFonts w:ascii="Cambria Math" w:eastAsia="Cambria Math" w:hAnsi="Cambria Math"/>
                                        <w:sz w:val="19"/>
                                        <w:szCs w:val="19"/>
                                      </w:rPr>
                                      <m:t>H</m:t>
                                    </m:r>
                                  </m:e>
                                  <m:sub>
                                    <m:r>
                                      <w:rPr>
                                        <w:rFonts w:ascii="Cambria Math" w:eastAsia="Cambria Math" w:hAnsi="Cambria Math"/>
                                        <w:sz w:val="19"/>
                                        <w:szCs w:val="19"/>
                                      </w:rPr>
                                      <m:t>2</m:t>
                                    </m:r>
                                  </m:sub>
                                </m:sSub>
                              </m:sub>
                            </m:sSub>
                          </m:e>
                          <m:sup>
                            <m:f>
                              <m:fPr>
                                <m:ctrlPr>
                                  <w:rPr>
                                    <w:rFonts w:ascii="Cambria Math" w:eastAsia="Cambria Math" w:hAnsi="Cambria Math"/>
                                    <w:i/>
                                    <w:sz w:val="19"/>
                                    <w:szCs w:val="19"/>
                                  </w:rPr>
                                </m:ctrlPr>
                              </m:fPr>
                              <m:num>
                                <m:r>
                                  <w:rPr>
                                    <w:rFonts w:ascii="Cambria Math" w:eastAsia="Cambria Math" w:hAnsi="Cambria Math"/>
                                    <w:sz w:val="19"/>
                                    <w:szCs w:val="19"/>
                                  </w:rPr>
                                  <m:t>3</m:t>
                                </m:r>
                              </m:num>
                              <m:den>
                                <m:r>
                                  <w:rPr>
                                    <w:rFonts w:ascii="Cambria Math" w:eastAsia="Cambria Math" w:hAnsi="Cambria Math"/>
                                    <w:sz w:val="19"/>
                                    <w:szCs w:val="19"/>
                                  </w:rPr>
                                  <m:t>2</m:t>
                                </m:r>
                              </m:den>
                            </m:f>
                          </m:sup>
                        </m:sSup>
                        <m:r>
                          <w:rPr>
                            <w:rFonts w:ascii="Cambria Math" w:eastAsia="Cambria Math" w:hAnsi="Cambria Math"/>
                            <w:sz w:val="19"/>
                            <w:szCs w:val="19"/>
                          </w:rPr>
                          <m:t xml:space="preserve"> -</m:t>
                        </m:r>
                        <m:f>
                          <m:fPr>
                            <m:ctrlPr>
                              <w:rPr>
                                <w:rFonts w:ascii="Cambria Math" w:eastAsia="Cambria Math" w:hAnsi="Cambria Math"/>
                                <w:i/>
                                <w:sz w:val="19"/>
                                <w:szCs w:val="19"/>
                              </w:rPr>
                            </m:ctrlPr>
                          </m:fPr>
                          <m:num>
                            <m:sSub>
                              <m:sSubPr>
                                <m:ctrlPr>
                                  <w:rPr>
                                    <w:rFonts w:ascii="Cambria Math" w:eastAsia="Cambria Math" w:hAnsi="Cambria Math"/>
                                    <w:sz w:val="19"/>
                                    <w:szCs w:val="19"/>
                                  </w:rPr>
                                </m:ctrlPr>
                              </m:sSubPr>
                              <m:e>
                                <m:r>
                                  <w:rPr>
                                    <w:rFonts w:ascii="Cambria Math" w:eastAsia="Cambria Math" w:hAnsi="Cambria Math"/>
                                    <w:sz w:val="19"/>
                                    <w:szCs w:val="19"/>
                                  </w:rPr>
                                  <m:t>f</m:t>
                                </m:r>
                              </m:e>
                              <m:sub>
                                <m:r>
                                  <w:rPr>
                                    <w:rFonts w:ascii="Cambria Math" w:eastAsia="Cambria Math" w:hAnsi="Cambria Math"/>
                                    <w:sz w:val="19"/>
                                    <w:szCs w:val="19"/>
                                  </w:rPr>
                                  <m:t>MeOH</m:t>
                                </m:r>
                              </m:sub>
                            </m:sSub>
                          </m:num>
                          <m:den>
                            <m:sSup>
                              <m:sSupPr>
                                <m:ctrlPr>
                                  <w:rPr>
                                    <w:rFonts w:ascii="Cambria Math" w:eastAsia="Cambria Math" w:hAnsi="Cambria Math"/>
                                    <w:sz w:val="19"/>
                                    <w:szCs w:val="19"/>
                                  </w:rPr>
                                </m:ctrlPr>
                              </m:sSupPr>
                              <m:e>
                                <m:sSub>
                                  <m:sSubPr>
                                    <m:ctrlPr>
                                      <w:rPr>
                                        <w:rFonts w:ascii="Cambria Math" w:eastAsia="Cambria Math" w:hAnsi="Cambria Math"/>
                                        <w:sz w:val="19"/>
                                        <w:szCs w:val="19"/>
                                      </w:rPr>
                                    </m:ctrlPr>
                                  </m:sSubPr>
                                  <m:e>
                                    <m:r>
                                      <w:rPr>
                                        <w:rFonts w:ascii="Cambria Math" w:eastAsia="Cambria Math" w:hAnsi="Cambria Math"/>
                                        <w:sz w:val="19"/>
                                        <w:szCs w:val="19"/>
                                      </w:rPr>
                                      <m:t>f</m:t>
                                    </m:r>
                                  </m:e>
                                  <m:sub>
                                    <m:sSub>
                                      <m:sSubPr>
                                        <m:ctrlPr>
                                          <w:rPr>
                                            <w:rFonts w:ascii="Cambria Math" w:eastAsia="Cambria Math" w:hAnsi="Cambria Math"/>
                                            <w:i/>
                                            <w:sz w:val="19"/>
                                            <w:szCs w:val="19"/>
                                          </w:rPr>
                                        </m:ctrlPr>
                                      </m:sSubPr>
                                      <m:e>
                                        <m:r>
                                          <w:rPr>
                                            <w:rFonts w:ascii="Cambria Math" w:eastAsia="Cambria Math" w:hAnsi="Cambria Math"/>
                                            <w:sz w:val="19"/>
                                            <w:szCs w:val="19"/>
                                          </w:rPr>
                                          <m:t>H</m:t>
                                        </m:r>
                                      </m:e>
                                      <m:sub>
                                        <m:r>
                                          <w:rPr>
                                            <w:rFonts w:ascii="Cambria Math" w:eastAsia="Cambria Math" w:hAnsi="Cambria Math"/>
                                            <w:sz w:val="19"/>
                                            <w:szCs w:val="19"/>
                                          </w:rPr>
                                          <m:t>2</m:t>
                                        </m:r>
                                      </m:sub>
                                    </m:sSub>
                                  </m:sub>
                                </m:sSub>
                              </m:e>
                              <m:sup>
                                <m:f>
                                  <m:fPr>
                                    <m:ctrlPr>
                                      <w:rPr>
                                        <w:rFonts w:ascii="Cambria Math" w:eastAsia="Cambria Math" w:hAnsi="Cambria Math"/>
                                        <w:i/>
                                        <w:sz w:val="19"/>
                                        <w:szCs w:val="19"/>
                                      </w:rPr>
                                    </m:ctrlPr>
                                  </m:fPr>
                                  <m:num>
                                    <m:r>
                                      <w:rPr>
                                        <w:rFonts w:ascii="Cambria Math" w:eastAsia="Cambria Math" w:hAnsi="Cambria Math"/>
                                        <w:sz w:val="19"/>
                                        <w:szCs w:val="19"/>
                                      </w:rPr>
                                      <m:t>1</m:t>
                                    </m:r>
                                  </m:num>
                                  <m:den>
                                    <m:r>
                                      <w:rPr>
                                        <w:rFonts w:ascii="Cambria Math" w:eastAsia="Cambria Math" w:hAnsi="Cambria Math"/>
                                        <w:sz w:val="19"/>
                                        <w:szCs w:val="19"/>
                                      </w:rPr>
                                      <m:t>2</m:t>
                                    </m:r>
                                  </m:den>
                                </m:f>
                              </m:sup>
                            </m:sSup>
                            <m:sSub>
                              <m:sSubPr>
                                <m:ctrlPr>
                                  <w:rPr>
                                    <w:rFonts w:ascii="Cambria Math" w:eastAsia="Cambria Math" w:hAnsi="Cambria Math"/>
                                    <w:sz w:val="19"/>
                                    <w:szCs w:val="19"/>
                                  </w:rPr>
                                </m:ctrlPr>
                              </m:sSubPr>
                              <m:e>
                                <m:r>
                                  <w:rPr>
                                    <w:rFonts w:ascii="Cambria Math" w:eastAsia="Cambria Math" w:hAnsi="Cambria Math"/>
                                    <w:sz w:val="19"/>
                                    <w:szCs w:val="19"/>
                                  </w:rPr>
                                  <m:t>K</m:t>
                                </m:r>
                              </m:e>
                              <m:sub>
                                <m:r>
                                  <w:rPr>
                                    <w:rFonts w:ascii="Cambria Math" w:eastAsia="Cambria Math" w:hAnsi="Cambria Math"/>
                                    <w:sz w:val="19"/>
                                    <w:szCs w:val="19"/>
                                  </w:rPr>
                                  <m:t>eqCO</m:t>
                                </m:r>
                              </m:sub>
                            </m:sSub>
                          </m:den>
                        </m:f>
                      </m:e>
                    </m:d>
                    <m:ctrlPr>
                      <w:rPr>
                        <w:rFonts w:ascii="Cambria Math" w:hAnsi="Cambria Math"/>
                        <w:i/>
                        <w:sz w:val="19"/>
                        <w:szCs w:val="19"/>
                      </w:rPr>
                    </m:ctrlPr>
                  </m:num>
                  <m:den>
                    <m:r>
                      <w:rPr>
                        <w:rFonts w:ascii="Cambria Math" w:hAnsi="Cambria Math"/>
                        <w:sz w:val="19"/>
                        <w:szCs w:val="19"/>
                      </w:rPr>
                      <m:t>DEN</m:t>
                    </m:r>
                  </m:den>
                </m:f>
              </m:oMath>
            </m:oMathPara>
          </w:p>
        </w:tc>
        <w:tc>
          <w:tcPr>
            <w:tcW w:w="2377" w:type="dxa"/>
            <w:tcBorders>
              <w:bottom w:val="single" w:sz="8" w:space="0" w:color="000000"/>
            </w:tcBorders>
            <w:shd w:val="clear" w:color="auto" w:fill="auto"/>
            <w:vAlign w:val="center"/>
          </w:tcPr>
          <w:p w14:paraId="636EC9C3" w14:textId="77777777" w:rsidR="003C2FA8" w:rsidRPr="000F302E" w:rsidRDefault="007D5DD2" w:rsidP="00885869">
            <w:pPr>
              <w:spacing w:line="360" w:lineRule="auto"/>
              <w:jc w:val="center"/>
              <w:rPr>
                <w:sz w:val="19"/>
                <w:szCs w:val="19"/>
              </w:rPr>
            </w:pPr>
            <m:oMathPara>
              <m:oMath>
                <m:sSub>
                  <m:sSubPr>
                    <m:ctrlPr>
                      <w:rPr>
                        <w:rFonts w:ascii="Cambria Math" w:eastAsia="Cambria Math" w:hAnsi="Cambria Math"/>
                        <w:sz w:val="19"/>
                        <w:szCs w:val="19"/>
                      </w:rPr>
                    </m:ctrlPr>
                  </m:sSubPr>
                  <m:e>
                    <m:r>
                      <w:rPr>
                        <w:rFonts w:ascii="Cambria Math" w:eastAsia="Cambria Math" w:hAnsi="Cambria Math"/>
                        <w:sz w:val="19"/>
                        <w:szCs w:val="19"/>
                      </w:rPr>
                      <m:t>k</m:t>
                    </m:r>
                  </m:e>
                  <m:sub>
                    <m:r>
                      <w:rPr>
                        <w:rFonts w:ascii="Cambria Math" w:eastAsia="Cambria Math" w:hAnsi="Cambria Math"/>
                        <w:sz w:val="19"/>
                        <w:szCs w:val="19"/>
                      </w:rPr>
                      <m:t>3</m:t>
                    </m:r>
                  </m:sub>
                </m:sSub>
                <m:r>
                  <w:rPr>
                    <w:rFonts w:ascii="Cambria Math" w:eastAsia="Cambria Math" w:hAnsi="Cambria Math"/>
                    <w:sz w:val="19"/>
                    <w:szCs w:val="19"/>
                  </w:rPr>
                  <m:t>=4.89∙</m:t>
                </m:r>
                <m:sSup>
                  <m:sSupPr>
                    <m:ctrlPr>
                      <w:rPr>
                        <w:rFonts w:ascii="Cambria Math" w:eastAsia="Cambria Math" w:hAnsi="Cambria Math"/>
                        <w:i/>
                        <w:sz w:val="19"/>
                        <w:szCs w:val="19"/>
                      </w:rPr>
                    </m:ctrlPr>
                  </m:sSupPr>
                  <m:e>
                    <m:r>
                      <w:rPr>
                        <w:rFonts w:ascii="Cambria Math" w:eastAsia="Cambria Math" w:hAnsi="Cambria Math"/>
                        <w:sz w:val="19"/>
                        <w:szCs w:val="19"/>
                      </w:rPr>
                      <m:t>10</m:t>
                    </m:r>
                  </m:e>
                  <m:sup>
                    <m:r>
                      <w:rPr>
                        <w:rFonts w:ascii="Cambria Math" w:eastAsia="Cambria Math" w:hAnsi="Cambria Math"/>
                        <w:sz w:val="19"/>
                        <w:szCs w:val="19"/>
                      </w:rPr>
                      <m:t>7</m:t>
                    </m:r>
                  </m:sup>
                </m:sSup>
                <m:r>
                  <w:rPr>
                    <w:rFonts w:ascii="Cambria Math" w:eastAsia="Cambria Math" w:hAnsi="Cambria Math"/>
                    <w:sz w:val="19"/>
                    <w:szCs w:val="19"/>
                  </w:rPr>
                  <m:t xml:space="preserve"> </m:t>
                </m:r>
                <m:sSup>
                  <m:sSupPr>
                    <m:ctrlPr>
                      <w:rPr>
                        <w:rFonts w:ascii="Cambria Math" w:eastAsia="Cambria Math" w:hAnsi="Cambria Math"/>
                        <w:i/>
                        <w:sz w:val="19"/>
                        <w:szCs w:val="19"/>
                      </w:rPr>
                    </m:ctrlPr>
                  </m:sSupPr>
                  <m:e>
                    <m:r>
                      <w:rPr>
                        <w:rFonts w:ascii="Cambria Math" w:eastAsia="Cambria Math" w:hAnsi="Cambria Math"/>
                        <w:sz w:val="19"/>
                        <w:szCs w:val="19"/>
                      </w:rPr>
                      <m:t>e</m:t>
                    </m:r>
                  </m:e>
                  <m:sup>
                    <m:r>
                      <w:rPr>
                        <w:rFonts w:ascii="Cambria Math" w:eastAsia="Cambria Math" w:hAnsi="Cambria Math"/>
                        <w:sz w:val="19"/>
                        <w:szCs w:val="19"/>
                      </w:rPr>
                      <m:t xml:space="preserve">- </m:t>
                    </m:r>
                    <m:f>
                      <m:fPr>
                        <m:ctrlPr>
                          <w:rPr>
                            <w:rFonts w:ascii="Cambria Math" w:eastAsia="Cambria Math" w:hAnsi="Cambria Math"/>
                            <w:i/>
                            <w:sz w:val="19"/>
                            <w:szCs w:val="19"/>
                          </w:rPr>
                        </m:ctrlPr>
                      </m:fPr>
                      <m:num>
                        <m:r>
                          <w:rPr>
                            <w:rFonts w:ascii="Cambria Math" w:eastAsia="Cambria Math" w:hAnsi="Cambria Math"/>
                            <w:sz w:val="19"/>
                            <w:szCs w:val="19"/>
                          </w:rPr>
                          <m:t>113000</m:t>
                        </m:r>
                      </m:num>
                      <m:den>
                        <m:r>
                          <w:rPr>
                            <w:rFonts w:ascii="Cambria Math" w:eastAsia="Cambria Math" w:hAnsi="Cambria Math"/>
                            <w:sz w:val="19"/>
                            <w:szCs w:val="19"/>
                          </w:rPr>
                          <m:t>RT</m:t>
                        </m:r>
                      </m:den>
                    </m:f>
                  </m:sup>
                </m:sSup>
              </m:oMath>
            </m:oMathPara>
          </w:p>
        </w:tc>
      </w:tr>
    </w:tbl>
    <w:p w14:paraId="50FA6DFB" w14:textId="77777777" w:rsidR="003C2FA8" w:rsidRPr="006F3C34" w:rsidRDefault="003C2FA8" w:rsidP="00FC34A6">
      <w:pPr>
        <w:widowControl w:val="0"/>
        <w:autoSpaceDE w:val="0"/>
        <w:autoSpaceDN w:val="0"/>
        <w:adjustRightInd w:val="0"/>
        <w:spacing w:line="240" w:lineRule="auto"/>
      </w:pPr>
    </w:p>
    <w:sectPr w:rsidR="003C2FA8" w:rsidRPr="006F3C34" w:rsidSect="004A029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DBAE" w14:textId="77777777" w:rsidR="007D5DD2" w:rsidRDefault="007D5DD2" w:rsidP="004F5E36">
      <w:r>
        <w:separator/>
      </w:r>
    </w:p>
  </w:endnote>
  <w:endnote w:type="continuationSeparator" w:id="0">
    <w:p w14:paraId="03D65F58" w14:textId="77777777" w:rsidR="007D5DD2" w:rsidRDefault="007D5DD2" w:rsidP="004F5E36">
      <w:r>
        <w:continuationSeparator/>
      </w:r>
    </w:p>
  </w:endnote>
  <w:endnote w:type="continuationNotice" w:id="1">
    <w:p w14:paraId="7391163F" w14:textId="77777777" w:rsidR="007D5DD2" w:rsidRDefault="007D5D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F713" w14:textId="77777777" w:rsidR="007D5DD2" w:rsidRDefault="007D5DD2" w:rsidP="004F5E36">
      <w:r>
        <w:separator/>
      </w:r>
    </w:p>
  </w:footnote>
  <w:footnote w:type="continuationSeparator" w:id="0">
    <w:p w14:paraId="6B435DF2" w14:textId="77777777" w:rsidR="007D5DD2" w:rsidRDefault="007D5DD2" w:rsidP="004F5E36">
      <w:r>
        <w:continuationSeparator/>
      </w:r>
    </w:p>
  </w:footnote>
  <w:footnote w:type="continuationNotice" w:id="1">
    <w:p w14:paraId="216E374D" w14:textId="77777777" w:rsidR="007D5DD2" w:rsidRDefault="007D5D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ECB3" w14:textId="653CC388" w:rsidR="00667CB2" w:rsidRPr="00D916C8" w:rsidRDefault="007D5DD2">
    <w:pPr>
      <w:pStyle w:val="Intestazione"/>
      <w:rPr>
        <w:lang w:val="it-IT"/>
      </w:rPr>
    </w:pPr>
    <w:sdt>
      <w:sdtPr>
        <w:id w:val="1704979692"/>
        <w:placeholder>
          <w:docPart w:val="6BCAE58FE12DE6418F74A8F58CFB7176"/>
        </w:placeholder>
        <w:temporary/>
        <w:showingPlcHdr/>
        <w15:appearance w15:val="hidden"/>
      </w:sdtPr>
      <w:sdtEndPr/>
      <w:sdtContent>
        <w:r w:rsidR="00A850F3">
          <w:rPr>
            <w:lang w:val="it-IT"/>
          </w:rPr>
          <w:t>[Digitare qui]</w:t>
        </w:r>
      </w:sdtContent>
    </w:sdt>
    <w:r w:rsidR="00A850F3">
      <w:ptab w:relativeTo="margin" w:alignment="center" w:leader="none"/>
    </w:r>
    <w:sdt>
      <w:sdtPr>
        <w:id w:val="968859947"/>
        <w:placeholder>
          <w:docPart w:val="6BCAE58FE12DE6418F74A8F58CFB7176"/>
        </w:placeholder>
        <w:temporary/>
        <w:showingPlcHdr/>
        <w15:appearance w15:val="hidden"/>
      </w:sdtPr>
      <w:sdtEndPr/>
      <w:sdtContent>
        <w:r w:rsidR="00A850F3">
          <w:rPr>
            <w:lang w:val="it-IT"/>
          </w:rPr>
          <w:t>[Digitare qui]</w:t>
        </w:r>
      </w:sdtContent>
    </w:sdt>
    <w:r w:rsidR="00A850F3">
      <w:ptab w:relativeTo="margin" w:alignment="right" w:leader="none"/>
    </w:r>
    <w:sdt>
      <w:sdtPr>
        <w:id w:val="968859952"/>
        <w:placeholder>
          <w:docPart w:val="6BCAE58FE12DE6418F74A8F58CFB7176"/>
        </w:placeholder>
        <w:temporary/>
        <w:showingPlcHdr/>
        <w15:appearance w15:val="hidden"/>
      </w:sdtPr>
      <w:sdtEndPr/>
      <w:sdtContent>
        <w:r w:rsidR="00A850F3">
          <w:rPr>
            <w:lang w:val="it-IT"/>
          </w:rPr>
          <w:t>[Digitare qui]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4DE63BB"/>
    <w:multiLevelType w:val="hybridMultilevel"/>
    <w:tmpl w:val="86CCD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327B63"/>
    <w:multiLevelType w:val="hybridMultilevel"/>
    <w:tmpl w:val="471A20A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CAF7AAD"/>
    <w:multiLevelType w:val="hybridMultilevel"/>
    <w:tmpl w:val="DD269CF4"/>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7D1ABC"/>
    <w:multiLevelType w:val="hybridMultilevel"/>
    <w:tmpl w:val="BD1A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83E3150"/>
    <w:multiLevelType w:val="hybridMultilevel"/>
    <w:tmpl w:val="5B22887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625E92"/>
    <w:multiLevelType w:val="hybridMultilevel"/>
    <w:tmpl w:val="68D89A7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6"/>
  </w:num>
  <w:num w:numId="14">
    <w:abstractNumId w:val="24"/>
  </w:num>
  <w:num w:numId="15">
    <w:abstractNumId w:val="26"/>
  </w:num>
  <w:num w:numId="16">
    <w:abstractNumId w:val="25"/>
  </w:num>
  <w:num w:numId="17">
    <w:abstractNumId w:val="15"/>
  </w:num>
  <w:num w:numId="18">
    <w:abstractNumId w:val="16"/>
    <w:lvlOverride w:ilvl="0">
      <w:startOverride w:val="1"/>
    </w:lvlOverride>
  </w:num>
  <w:num w:numId="19">
    <w:abstractNumId w:val="22"/>
  </w:num>
  <w:num w:numId="20">
    <w:abstractNumId w:val="20"/>
  </w:num>
  <w:num w:numId="21">
    <w:abstractNumId w:val="18"/>
  </w:num>
  <w:num w:numId="22">
    <w:abstractNumId w:val="17"/>
  </w:num>
  <w:num w:numId="23">
    <w:abstractNumId w:val="10"/>
  </w:num>
  <w:num w:numId="24">
    <w:abstractNumId w:val="14"/>
  </w:num>
  <w:num w:numId="25">
    <w:abstractNumId w:val="11"/>
  </w:num>
  <w:num w:numId="26">
    <w:abstractNumId w:val="21"/>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sFAOzIv8otAAAA"/>
  </w:docVars>
  <w:rsids>
    <w:rsidRoot w:val="000E414A"/>
    <w:rsid w:val="0000041B"/>
    <w:rsid w:val="000027C0"/>
    <w:rsid w:val="00004455"/>
    <w:rsid w:val="000052FB"/>
    <w:rsid w:val="000117CB"/>
    <w:rsid w:val="0001182D"/>
    <w:rsid w:val="00012E4A"/>
    <w:rsid w:val="00016326"/>
    <w:rsid w:val="00016FD1"/>
    <w:rsid w:val="000247BC"/>
    <w:rsid w:val="000307CF"/>
    <w:rsid w:val="0003148D"/>
    <w:rsid w:val="00031ED0"/>
    <w:rsid w:val="00031EEC"/>
    <w:rsid w:val="00050510"/>
    <w:rsid w:val="00050892"/>
    <w:rsid w:val="00051566"/>
    <w:rsid w:val="0005207F"/>
    <w:rsid w:val="00053CAB"/>
    <w:rsid w:val="00055017"/>
    <w:rsid w:val="00055EF5"/>
    <w:rsid w:val="00061F36"/>
    <w:rsid w:val="00062553"/>
    <w:rsid w:val="00062A9A"/>
    <w:rsid w:val="00065058"/>
    <w:rsid w:val="000674DF"/>
    <w:rsid w:val="00074D74"/>
    <w:rsid w:val="00076400"/>
    <w:rsid w:val="0007768C"/>
    <w:rsid w:val="0008124D"/>
    <w:rsid w:val="00086C39"/>
    <w:rsid w:val="00090E8B"/>
    <w:rsid w:val="00090EBC"/>
    <w:rsid w:val="000A03B2"/>
    <w:rsid w:val="000A2266"/>
    <w:rsid w:val="000A48AD"/>
    <w:rsid w:val="000B2791"/>
    <w:rsid w:val="000C152E"/>
    <w:rsid w:val="000C223B"/>
    <w:rsid w:val="000C6B3B"/>
    <w:rsid w:val="000C7EB5"/>
    <w:rsid w:val="000D0268"/>
    <w:rsid w:val="000D11EB"/>
    <w:rsid w:val="000D34BE"/>
    <w:rsid w:val="000E102F"/>
    <w:rsid w:val="000E16A0"/>
    <w:rsid w:val="000E36F1"/>
    <w:rsid w:val="000E3A73"/>
    <w:rsid w:val="000E414A"/>
    <w:rsid w:val="000F093C"/>
    <w:rsid w:val="000F0E7E"/>
    <w:rsid w:val="000F26DB"/>
    <w:rsid w:val="000F787B"/>
    <w:rsid w:val="000F7B20"/>
    <w:rsid w:val="00100DBA"/>
    <w:rsid w:val="0010244D"/>
    <w:rsid w:val="001061C6"/>
    <w:rsid w:val="00110E67"/>
    <w:rsid w:val="00111037"/>
    <w:rsid w:val="00112164"/>
    <w:rsid w:val="001207C3"/>
    <w:rsid w:val="0012091F"/>
    <w:rsid w:val="00123B64"/>
    <w:rsid w:val="00126BC2"/>
    <w:rsid w:val="00127180"/>
    <w:rsid w:val="00130743"/>
    <w:rsid w:val="0013082D"/>
    <w:rsid w:val="001308B6"/>
    <w:rsid w:val="00131083"/>
    <w:rsid w:val="0013121F"/>
    <w:rsid w:val="00131FE6"/>
    <w:rsid w:val="0013263F"/>
    <w:rsid w:val="001331DF"/>
    <w:rsid w:val="00134DE4"/>
    <w:rsid w:val="0014034D"/>
    <w:rsid w:val="001420FF"/>
    <w:rsid w:val="00142A8E"/>
    <w:rsid w:val="00144D16"/>
    <w:rsid w:val="00144E79"/>
    <w:rsid w:val="00150E59"/>
    <w:rsid w:val="00152DE3"/>
    <w:rsid w:val="00154310"/>
    <w:rsid w:val="001603A3"/>
    <w:rsid w:val="0016386B"/>
    <w:rsid w:val="00164CF9"/>
    <w:rsid w:val="001667A6"/>
    <w:rsid w:val="00173DB2"/>
    <w:rsid w:val="0018454F"/>
    <w:rsid w:val="00184AD6"/>
    <w:rsid w:val="001862B5"/>
    <w:rsid w:val="00186FCC"/>
    <w:rsid w:val="00192E5D"/>
    <w:rsid w:val="001A4AF7"/>
    <w:rsid w:val="001A4C81"/>
    <w:rsid w:val="001B0349"/>
    <w:rsid w:val="001B1E93"/>
    <w:rsid w:val="001B4D06"/>
    <w:rsid w:val="001B65C1"/>
    <w:rsid w:val="001C407A"/>
    <w:rsid w:val="001C40F8"/>
    <w:rsid w:val="001C684B"/>
    <w:rsid w:val="001D0CFB"/>
    <w:rsid w:val="001D21AF"/>
    <w:rsid w:val="001D53FC"/>
    <w:rsid w:val="001E02A5"/>
    <w:rsid w:val="001E4879"/>
    <w:rsid w:val="001F42A5"/>
    <w:rsid w:val="001F7B9D"/>
    <w:rsid w:val="002010CD"/>
    <w:rsid w:val="00201C93"/>
    <w:rsid w:val="002068DF"/>
    <w:rsid w:val="00210F95"/>
    <w:rsid w:val="00216A3F"/>
    <w:rsid w:val="00216BFE"/>
    <w:rsid w:val="002214EB"/>
    <w:rsid w:val="002224B4"/>
    <w:rsid w:val="00226563"/>
    <w:rsid w:val="00233973"/>
    <w:rsid w:val="002340C2"/>
    <w:rsid w:val="00235E6E"/>
    <w:rsid w:val="002425C9"/>
    <w:rsid w:val="002435B6"/>
    <w:rsid w:val="002447EF"/>
    <w:rsid w:val="0024512D"/>
    <w:rsid w:val="00246F93"/>
    <w:rsid w:val="00250673"/>
    <w:rsid w:val="00251550"/>
    <w:rsid w:val="002529EC"/>
    <w:rsid w:val="00252BFA"/>
    <w:rsid w:val="00255689"/>
    <w:rsid w:val="00255695"/>
    <w:rsid w:val="002566FC"/>
    <w:rsid w:val="00263B05"/>
    <w:rsid w:val="0027221A"/>
    <w:rsid w:val="00275B61"/>
    <w:rsid w:val="00280FAF"/>
    <w:rsid w:val="0028212D"/>
    <w:rsid w:val="00282656"/>
    <w:rsid w:val="00282805"/>
    <w:rsid w:val="00284A8C"/>
    <w:rsid w:val="002926A0"/>
    <w:rsid w:val="00292DD7"/>
    <w:rsid w:val="00292EB5"/>
    <w:rsid w:val="00296B83"/>
    <w:rsid w:val="002A1186"/>
    <w:rsid w:val="002B027A"/>
    <w:rsid w:val="002B4015"/>
    <w:rsid w:val="002B78CE"/>
    <w:rsid w:val="002C2FB6"/>
    <w:rsid w:val="002C67C1"/>
    <w:rsid w:val="002C7039"/>
    <w:rsid w:val="002D6D8E"/>
    <w:rsid w:val="002E0BD4"/>
    <w:rsid w:val="002E16F1"/>
    <w:rsid w:val="002E53E0"/>
    <w:rsid w:val="002E5FA7"/>
    <w:rsid w:val="002F04A4"/>
    <w:rsid w:val="002F1F35"/>
    <w:rsid w:val="002F3309"/>
    <w:rsid w:val="002F37ED"/>
    <w:rsid w:val="003008CE"/>
    <w:rsid w:val="003009B7"/>
    <w:rsid w:val="00300E56"/>
    <w:rsid w:val="0030248C"/>
    <w:rsid w:val="0030469C"/>
    <w:rsid w:val="0030471E"/>
    <w:rsid w:val="00305023"/>
    <w:rsid w:val="003052CE"/>
    <w:rsid w:val="00315CCC"/>
    <w:rsid w:val="00321CA6"/>
    <w:rsid w:val="00321CBB"/>
    <w:rsid w:val="00323763"/>
    <w:rsid w:val="00334C09"/>
    <w:rsid w:val="0033651B"/>
    <w:rsid w:val="00342432"/>
    <w:rsid w:val="00342AF0"/>
    <w:rsid w:val="00343836"/>
    <w:rsid w:val="00345F9B"/>
    <w:rsid w:val="00351195"/>
    <w:rsid w:val="00353D6B"/>
    <w:rsid w:val="0036000F"/>
    <w:rsid w:val="003723D4"/>
    <w:rsid w:val="00381905"/>
    <w:rsid w:val="00381CCD"/>
    <w:rsid w:val="003840CA"/>
    <w:rsid w:val="00384CC8"/>
    <w:rsid w:val="003871FD"/>
    <w:rsid w:val="0039292F"/>
    <w:rsid w:val="00396367"/>
    <w:rsid w:val="003A1E30"/>
    <w:rsid w:val="003A2829"/>
    <w:rsid w:val="003A298F"/>
    <w:rsid w:val="003A42BA"/>
    <w:rsid w:val="003A6E15"/>
    <w:rsid w:val="003A740E"/>
    <w:rsid w:val="003A7D1C"/>
    <w:rsid w:val="003B1AAE"/>
    <w:rsid w:val="003B304B"/>
    <w:rsid w:val="003B3146"/>
    <w:rsid w:val="003B7FDE"/>
    <w:rsid w:val="003C2FA8"/>
    <w:rsid w:val="003C686D"/>
    <w:rsid w:val="003D176B"/>
    <w:rsid w:val="003D54A8"/>
    <w:rsid w:val="003D5F78"/>
    <w:rsid w:val="003E24E6"/>
    <w:rsid w:val="003E3047"/>
    <w:rsid w:val="003E7203"/>
    <w:rsid w:val="003F015E"/>
    <w:rsid w:val="003F0678"/>
    <w:rsid w:val="003F31E2"/>
    <w:rsid w:val="00400414"/>
    <w:rsid w:val="00406E13"/>
    <w:rsid w:val="0041446B"/>
    <w:rsid w:val="004332BE"/>
    <w:rsid w:val="00436F19"/>
    <w:rsid w:val="0044071E"/>
    <w:rsid w:val="00440926"/>
    <w:rsid w:val="0044329C"/>
    <w:rsid w:val="00443982"/>
    <w:rsid w:val="00444B7E"/>
    <w:rsid w:val="00445EA1"/>
    <w:rsid w:val="00447C12"/>
    <w:rsid w:val="00453E24"/>
    <w:rsid w:val="00456A9C"/>
    <w:rsid w:val="00457456"/>
    <w:rsid w:val="004577FE"/>
    <w:rsid w:val="00457B9C"/>
    <w:rsid w:val="0046107E"/>
    <w:rsid w:val="0046164A"/>
    <w:rsid w:val="004628D2"/>
    <w:rsid w:val="00462DCD"/>
    <w:rsid w:val="00463B2E"/>
    <w:rsid w:val="004648AD"/>
    <w:rsid w:val="00465F86"/>
    <w:rsid w:val="004703A9"/>
    <w:rsid w:val="004754C7"/>
    <w:rsid w:val="004760DE"/>
    <w:rsid w:val="004763D7"/>
    <w:rsid w:val="00483896"/>
    <w:rsid w:val="00490916"/>
    <w:rsid w:val="0049143E"/>
    <w:rsid w:val="00496544"/>
    <w:rsid w:val="00497879"/>
    <w:rsid w:val="004A004E"/>
    <w:rsid w:val="004A029D"/>
    <w:rsid w:val="004A24CF"/>
    <w:rsid w:val="004A5978"/>
    <w:rsid w:val="004B4887"/>
    <w:rsid w:val="004B5709"/>
    <w:rsid w:val="004B5DF5"/>
    <w:rsid w:val="004C261F"/>
    <w:rsid w:val="004C3D1D"/>
    <w:rsid w:val="004C5095"/>
    <w:rsid w:val="004C7913"/>
    <w:rsid w:val="004D4A58"/>
    <w:rsid w:val="004D4AFC"/>
    <w:rsid w:val="004D617C"/>
    <w:rsid w:val="004D6D0A"/>
    <w:rsid w:val="004E3E60"/>
    <w:rsid w:val="004E4DD6"/>
    <w:rsid w:val="004E54FD"/>
    <w:rsid w:val="004E7064"/>
    <w:rsid w:val="004E76C5"/>
    <w:rsid w:val="004F352F"/>
    <w:rsid w:val="004F3F7C"/>
    <w:rsid w:val="004F53A6"/>
    <w:rsid w:val="004F5E36"/>
    <w:rsid w:val="0050656B"/>
    <w:rsid w:val="00507B47"/>
    <w:rsid w:val="00507BEF"/>
    <w:rsid w:val="00507CC9"/>
    <w:rsid w:val="005119A5"/>
    <w:rsid w:val="00516A0C"/>
    <w:rsid w:val="00517BAB"/>
    <w:rsid w:val="00522E37"/>
    <w:rsid w:val="005278B7"/>
    <w:rsid w:val="00532016"/>
    <w:rsid w:val="005346C8"/>
    <w:rsid w:val="00543144"/>
    <w:rsid w:val="00543E7D"/>
    <w:rsid w:val="00547A68"/>
    <w:rsid w:val="00550F7A"/>
    <w:rsid w:val="0055221D"/>
    <w:rsid w:val="005531C9"/>
    <w:rsid w:val="005574C2"/>
    <w:rsid w:val="0056101D"/>
    <w:rsid w:val="0056342F"/>
    <w:rsid w:val="005635BA"/>
    <w:rsid w:val="00565EEF"/>
    <w:rsid w:val="00567F6E"/>
    <w:rsid w:val="00570C43"/>
    <w:rsid w:val="00572BC3"/>
    <w:rsid w:val="005767C3"/>
    <w:rsid w:val="00582833"/>
    <w:rsid w:val="005835D4"/>
    <w:rsid w:val="005871C6"/>
    <w:rsid w:val="0059166F"/>
    <w:rsid w:val="00592E0F"/>
    <w:rsid w:val="00594A8E"/>
    <w:rsid w:val="005A31F9"/>
    <w:rsid w:val="005A570B"/>
    <w:rsid w:val="005A6C86"/>
    <w:rsid w:val="005A7C0E"/>
    <w:rsid w:val="005B0C3D"/>
    <w:rsid w:val="005B1BCF"/>
    <w:rsid w:val="005B2110"/>
    <w:rsid w:val="005B26C4"/>
    <w:rsid w:val="005B61E6"/>
    <w:rsid w:val="005C07A8"/>
    <w:rsid w:val="005C5EAC"/>
    <w:rsid w:val="005C77E1"/>
    <w:rsid w:val="005D2401"/>
    <w:rsid w:val="005D668A"/>
    <w:rsid w:val="005D6A2F"/>
    <w:rsid w:val="005E1A82"/>
    <w:rsid w:val="005E20C4"/>
    <w:rsid w:val="005E2952"/>
    <w:rsid w:val="005E35F0"/>
    <w:rsid w:val="005E391E"/>
    <w:rsid w:val="005E794C"/>
    <w:rsid w:val="005E7F32"/>
    <w:rsid w:val="005F0A28"/>
    <w:rsid w:val="005F0E5E"/>
    <w:rsid w:val="005F5D6C"/>
    <w:rsid w:val="005F6265"/>
    <w:rsid w:val="005F7147"/>
    <w:rsid w:val="00600535"/>
    <w:rsid w:val="006029DD"/>
    <w:rsid w:val="0060596C"/>
    <w:rsid w:val="00610CD6"/>
    <w:rsid w:val="0061456A"/>
    <w:rsid w:val="00614BB3"/>
    <w:rsid w:val="00616B1F"/>
    <w:rsid w:val="006205A9"/>
    <w:rsid w:val="00620DEE"/>
    <w:rsid w:val="006217AF"/>
    <w:rsid w:val="006218F2"/>
    <w:rsid w:val="00621F92"/>
    <w:rsid w:val="0062280A"/>
    <w:rsid w:val="00624616"/>
    <w:rsid w:val="00625639"/>
    <w:rsid w:val="00631B33"/>
    <w:rsid w:val="00634CF9"/>
    <w:rsid w:val="0064184D"/>
    <w:rsid w:val="006422CC"/>
    <w:rsid w:val="00645620"/>
    <w:rsid w:val="006465F3"/>
    <w:rsid w:val="00650007"/>
    <w:rsid w:val="00660E3E"/>
    <w:rsid w:val="00661639"/>
    <w:rsid w:val="00662E74"/>
    <w:rsid w:val="0066352F"/>
    <w:rsid w:val="006650AB"/>
    <w:rsid w:val="00667CB2"/>
    <w:rsid w:val="0067200D"/>
    <w:rsid w:val="00674508"/>
    <w:rsid w:val="00674BE9"/>
    <w:rsid w:val="00674CEE"/>
    <w:rsid w:val="0067580B"/>
    <w:rsid w:val="006776E2"/>
    <w:rsid w:val="00680C23"/>
    <w:rsid w:val="00686346"/>
    <w:rsid w:val="00693766"/>
    <w:rsid w:val="006A3281"/>
    <w:rsid w:val="006A5533"/>
    <w:rsid w:val="006B4888"/>
    <w:rsid w:val="006C0223"/>
    <w:rsid w:val="006C24DE"/>
    <w:rsid w:val="006C2E45"/>
    <w:rsid w:val="006C359C"/>
    <w:rsid w:val="006C3EB2"/>
    <w:rsid w:val="006C52D4"/>
    <w:rsid w:val="006C5579"/>
    <w:rsid w:val="006D6E8B"/>
    <w:rsid w:val="006D7599"/>
    <w:rsid w:val="006E1E4C"/>
    <w:rsid w:val="006E737D"/>
    <w:rsid w:val="006E7814"/>
    <w:rsid w:val="006E78BF"/>
    <w:rsid w:val="006F05A5"/>
    <w:rsid w:val="006F3C34"/>
    <w:rsid w:val="00704E2B"/>
    <w:rsid w:val="007069F4"/>
    <w:rsid w:val="00706A22"/>
    <w:rsid w:val="00712164"/>
    <w:rsid w:val="00713973"/>
    <w:rsid w:val="00720A24"/>
    <w:rsid w:val="00724744"/>
    <w:rsid w:val="007263B8"/>
    <w:rsid w:val="00727637"/>
    <w:rsid w:val="00732386"/>
    <w:rsid w:val="0073283A"/>
    <w:rsid w:val="0073514D"/>
    <w:rsid w:val="0074113C"/>
    <w:rsid w:val="007447F3"/>
    <w:rsid w:val="00744994"/>
    <w:rsid w:val="00750274"/>
    <w:rsid w:val="0075499F"/>
    <w:rsid w:val="007661C8"/>
    <w:rsid w:val="0077098D"/>
    <w:rsid w:val="00771B9B"/>
    <w:rsid w:val="00772344"/>
    <w:rsid w:val="00774471"/>
    <w:rsid w:val="00784D74"/>
    <w:rsid w:val="0078707E"/>
    <w:rsid w:val="007931FA"/>
    <w:rsid w:val="00793981"/>
    <w:rsid w:val="007A0078"/>
    <w:rsid w:val="007A12C3"/>
    <w:rsid w:val="007A2293"/>
    <w:rsid w:val="007A4861"/>
    <w:rsid w:val="007A5B4E"/>
    <w:rsid w:val="007A7BBA"/>
    <w:rsid w:val="007B0C50"/>
    <w:rsid w:val="007B48F9"/>
    <w:rsid w:val="007B5511"/>
    <w:rsid w:val="007B6F51"/>
    <w:rsid w:val="007C1A20"/>
    <w:rsid w:val="007C1A43"/>
    <w:rsid w:val="007D5DD2"/>
    <w:rsid w:val="007E0F72"/>
    <w:rsid w:val="007E7417"/>
    <w:rsid w:val="007F2E8A"/>
    <w:rsid w:val="007F713A"/>
    <w:rsid w:val="0080013E"/>
    <w:rsid w:val="008005F1"/>
    <w:rsid w:val="008073A8"/>
    <w:rsid w:val="00807DE0"/>
    <w:rsid w:val="00810938"/>
    <w:rsid w:val="00813288"/>
    <w:rsid w:val="00813C97"/>
    <w:rsid w:val="0081543E"/>
    <w:rsid w:val="008168FC"/>
    <w:rsid w:val="00821588"/>
    <w:rsid w:val="00821DC7"/>
    <w:rsid w:val="00830996"/>
    <w:rsid w:val="00831AA7"/>
    <w:rsid w:val="008320A6"/>
    <w:rsid w:val="008345F1"/>
    <w:rsid w:val="008377FE"/>
    <w:rsid w:val="00840F1D"/>
    <w:rsid w:val="00842012"/>
    <w:rsid w:val="008439AC"/>
    <w:rsid w:val="0084691A"/>
    <w:rsid w:val="00850B45"/>
    <w:rsid w:val="008526E5"/>
    <w:rsid w:val="008633DD"/>
    <w:rsid w:val="00865B07"/>
    <w:rsid w:val="008667EA"/>
    <w:rsid w:val="008762F9"/>
    <w:rsid w:val="0087637F"/>
    <w:rsid w:val="00876BD7"/>
    <w:rsid w:val="0088031A"/>
    <w:rsid w:val="008820C5"/>
    <w:rsid w:val="00890559"/>
    <w:rsid w:val="00892AD5"/>
    <w:rsid w:val="008A0577"/>
    <w:rsid w:val="008A1512"/>
    <w:rsid w:val="008B21BF"/>
    <w:rsid w:val="008B7925"/>
    <w:rsid w:val="008B7DFD"/>
    <w:rsid w:val="008B7F90"/>
    <w:rsid w:val="008C7596"/>
    <w:rsid w:val="008D2597"/>
    <w:rsid w:val="008D2758"/>
    <w:rsid w:val="008D32B9"/>
    <w:rsid w:val="008D433B"/>
    <w:rsid w:val="008D661A"/>
    <w:rsid w:val="008D7735"/>
    <w:rsid w:val="008E2B5E"/>
    <w:rsid w:val="008E5050"/>
    <w:rsid w:val="008E5554"/>
    <w:rsid w:val="008E566E"/>
    <w:rsid w:val="008E6975"/>
    <w:rsid w:val="00900D7B"/>
    <w:rsid w:val="0090161A"/>
    <w:rsid w:val="00901EB6"/>
    <w:rsid w:val="00903F79"/>
    <w:rsid w:val="00904C62"/>
    <w:rsid w:val="009064D2"/>
    <w:rsid w:val="00911B7A"/>
    <w:rsid w:val="00911F2F"/>
    <w:rsid w:val="00913859"/>
    <w:rsid w:val="00916977"/>
    <w:rsid w:val="00922BA8"/>
    <w:rsid w:val="00924DAC"/>
    <w:rsid w:val="00925993"/>
    <w:rsid w:val="00927058"/>
    <w:rsid w:val="00930193"/>
    <w:rsid w:val="009317AC"/>
    <w:rsid w:val="00933BE4"/>
    <w:rsid w:val="00934A77"/>
    <w:rsid w:val="00936532"/>
    <w:rsid w:val="009372EE"/>
    <w:rsid w:val="00937C82"/>
    <w:rsid w:val="00942750"/>
    <w:rsid w:val="00943075"/>
    <w:rsid w:val="00943C0D"/>
    <w:rsid w:val="009450CE"/>
    <w:rsid w:val="00947179"/>
    <w:rsid w:val="0095164B"/>
    <w:rsid w:val="00953128"/>
    <w:rsid w:val="00954090"/>
    <w:rsid w:val="00956113"/>
    <w:rsid w:val="009573E7"/>
    <w:rsid w:val="00963E05"/>
    <w:rsid w:val="00964A45"/>
    <w:rsid w:val="009672B9"/>
    <w:rsid w:val="00967396"/>
    <w:rsid w:val="00967843"/>
    <w:rsid w:val="00967D54"/>
    <w:rsid w:val="00971028"/>
    <w:rsid w:val="009720D0"/>
    <w:rsid w:val="00990E22"/>
    <w:rsid w:val="00993B84"/>
    <w:rsid w:val="00996483"/>
    <w:rsid w:val="00996F5A"/>
    <w:rsid w:val="009A0DAF"/>
    <w:rsid w:val="009A0F2D"/>
    <w:rsid w:val="009A6D74"/>
    <w:rsid w:val="009B041A"/>
    <w:rsid w:val="009B2E57"/>
    <w:rsid w:val="009C1EE5"/>
    <w:rsid w:val="009C210C"/>
    <w:rsid w:val="009C37C3"/>
    <w:rsid w:val="009C44FF"/>
    <w:rsid w:val="009C7C86"/>
    <w:rsid w:val="009D2ED4"/>
    <w:rsid w:val="009D2FF7"/>
    <w:rsid w:val="009D420A"/>
    <w:rsid w:val="009D482E"/>
    <w:rsid w:val="009E1E65"/>
    <w:rsid w:val="009E7884"/>
    <w:rsid w:val="009E788A"/>
    <w:rsid w:val="009F0E08"/>
    <w:rsid w:val="009F28C6"/>
    <w:rsid w:val="009F362F"/>
    <w:rsid w:val="009F4D06"/>
    <w:rsid w:val="009F50DF"/>
    <w:rsid w:val="009F7AE0"/>
    <w:rsid w:val="00A07ECB"/>
    <w:rsid w:val="00A11442"/>
    <w:rsid w:val="00A1204D"/>
    <w:rsid w:val="00A12BDB"/>
    <w:rsid w:val="00A150C2"/>
    <w:rsid w:val="00A1763D"/>
    <w:rsid w:val="00A17CEC"/>
    <w:rsid w:val="00A233ED"/>
    <w:rsid w:val="00A23509"/>
    <w:rsid w:val="00A245AA"/>
    <w:rsid w:val="00A245C0"/>
    <w:rsid w:val="00A24934"/>
    <w:rsid w:val="00A25611"/>
    <w:rsid w:val="00A267DE"/>
    <w:rsid w:val="00A27EF0"/>
    <w:rsid w:val="00A31620"/>
    <w:rsid w:val="00A31B59"/>
    <w:rsid w:val="00A37A83"/>
    <w:rsid w:val="00A42361"/>
    <w:rsid w:val="00A4780D"/>
    <w:rsid w:val="00A50B20"/>
    <w:rsid w:val="00A51390"/>
    <w:rsid w:val="00A51409"/>
    <w:rsid w:val="00A53CD1"/>
    <w:rsid w:val="00A5445E"/>
    <w:rsid w:val="00A5541B"/>
    <w:rsid w:val="00A55605"/>
    <w:rsid w:val="00A60D13"/>
    <w:rsid w:val="00A62D59"/>
    <w:rsid w:val="00A72745"/>
    <w:rsid w:val="00A73A69"/>
    <w:rsid w:val="00A76EFC"/>
    <w:rsid w:val="00A850F3"/>
    <w:rsid w:val="00A8568C"/>
    <w:rsid w:val="00A90686"/>
    <w:rsid w:val="00A91010"/>
    <w:rsid w:val="00A937C7"/>
    <w:rsid w:val="00A97F29"/>
    <w:rsid w:val="00AA2534"/>
    <w:rsid w:val="00AA367F"/>
    <w:rsid w:val="00AA3689"/>
    <w:rsid w:val="00AA702E"/>
    <w:rsid w:val="00AB0964"/>
    <w:rsid w:val="00AB3EC0"/>
    <w:rsid w:val="00AB5011"/>
    <w:rsid w:val="00AB5E1C"/>
    <w:rsid w:val="00AB6C84"/>
    <w:rsid w:val="00AC3622"/>
    <w:rsid w:val="00AC7368"/>
    <w:rsid w:val="00AC73D4"/>
    <w:rsid w:val="00AD16B9"/>
    <w:rsid w:val="00AE0D6F"/>
    <w:rsid w:val="00AE377D"/>
    <w:rsid w:val="00AE47E0"/>
    <w:rsid w:val="00AF0AA6"/>
    <w:rsid w:val="00AF0EBA"/>
    <w:rsid w:val="00AF1663"/>
    <w:rsid w:val="00AF3266"/>
    <w:rsid w:val="00AF6721"/>
    <w:rsid w:val="00B0205B"/>
    <w:rsid w:val="00B02C8A"/>
    <w:rsid w:val="00B03AFE"/>
    <w:rsid w:val="00B03F80"/>
    <w:rsid w:val="00B06625"/>
    <w:rsid w:val="00B1209E"/>
    <w:rsid w:val="00B14E2E"/>
    <w:rsid w:val="00B17B77"/>
    <w:rsid w:val="00B17FBD"/>
    <w:rsid w:val="00B24588"/>
    <w:rsid w:val="00B26C50"/>
    <w:rsid w:val="00B311C9"/>
    <w:rsid w:val="00B315A6"/>
    <w:rsid w:val="00B31813"/>
    <w:rsid w:val="00B31E7D"/>
    <w:rsid w:val="00B329BE"/>
    <w:rsid w:val="00B33365"/>
    <w:rsid w:val="00B471FE"/>
    <w:rsid w:val="00B4762E"/>
    <w:rsid w:val="00B506D7"/>
    <w:rsid w:val="00B57B36"/>
    <w:rsid w:val="00B57E6F"/>
    <w:rsid w:val="00B668A9"/>
    <w:rsid w:val="00B727F7"/>
    <w:rsid w:val="00B82904"/>
    <w:rsid w:val="00B8420C"/>
    <w:rsid w:val="00B84E1B"/>
    <w:rsid w:val="00B8686D"/>
    <w:rsid w:val="00B87D27"/>
    <w:rsid w:val="00B93D8A"/>
    <w:rsid w:val="00B93F69"/>
    <w:rsid w:val="00B953A4"/>
    <w:rsid w:val="00B95414"/>
    <w:rsid w:val="00BA28E1"/>
    <w:rsid w:val="00BA42CB"/>
    <w:rsid w:val="00BA6D87"/>
    <w:rsid w:val="00BB0C71"/>
    <w:rsid w:val="00BB1DDC"/>
    <w:rsid w:val="00BC156D"/>
    <w:rsid w:val="00BC2BD1"/>
    <w:rsid w:val="00BC30C9"/>
    <w:rsid w:val="00BC56F6"/>
    <w:rsid w:val="00BD077D"/>
    <w:rsid w:val="00BD35A9"/>
    <w:rsid w:val="00BE0BCC"/>
    <w:rsid w:val="00BE0EB2"/>
    <w:rsid w:val="00BE3E58"/>
    <w:rsid w:val="00BE549C"/>
    <w:rsid w:val="00BE5A71"/>
    <w:rsid w:val="00BF0EAC"/>
    <w:rsid w:val="00BF2DB9"/>
    <w:rsid w:val="00BF571D"/>
    <w:rsid w:val="00C01616"/>
    <w:rsid w:val="00C0162B"/>
    <w:rsid w:val="00C02C64"/>
    <w:rsid w:val="00C068ED"/>
    <w:rsid w:val="00C07F80"/>
    <w:rsid w:val="00C17033"/>
    <w:rsid w:val="00C22E0C"/>
    <w:rsid w:val="00C31123"/>
    <w:rsid w:val="00C345B1"/>
    <w:rsid w:val="00C40142"/>
    <w:rsid w:val="00C42444"/>
    <w:rsid w:val="00C43035"/>
    <w:rsid w:val="00C50A31"/>
    <w:rsid w:val="00C52C3C"/>
    <w:rsid w:val="00C535EB"/>
    <w:rsid w:val="00C57182"/>
    <w:rsid w:val="00C57863"/>
    <w:rsid w:val="00C6015C"/>
    <w:rsid w:val="00C62FD0"/>
    <w:rsid w:val="00C646A3"/>
    <w:rsid w:val="00C655FD"/>
    <w:rsid w:val="00C659BB"/>
    <w:rsid w:val="00C72F7E"/>
    <w:rsid w:val="00C73265"/>
    <w:rsid w:val="00C73469"/>
    <w:rsid w:val="00C75407"/>
    <w:rsid w:val="00C81B9D"/>
    <w:rsid w:val="00C81C6D"/>
    <w:rsid w:val="00C82FBF"/>
    <w:rsid w:val="00C86B57"/>
    <w:rsid w:val="00C870A8"/>
    <w:rsid w:val="00C9125B"/>
    <w:rsid w:val="00C91E7F"/>
    <w:rsid w:val="00C92547"/>
    <w:rsid w:val="00C94434"/>
    <w:rsid w:val="00C96BEA"/>
    <w:rsid w:val="00CA097D"/>
    <w:rsid w:val="00CA0D75"/>
    <w:rsid w:val="00CA1C95"/>
    <w:rsid w:val="00CA5A9C"/>
    <w:rsid w:val="00CB18EC"/>
    <w:rsid w:val="00CB1BD0"/>
    <w:rsid w:val="00CB2BEF"/>
    <w:rsid w:val="00CB6094"/>
    <w:rsid w:val="00CB7C52"/>
    <w:rsid w:val="00CB7E42"/>
    <w:rsid w:val="00CC0D1D"/>
    <w:rsid w:val="00CC4C20"/>
    <w:rsid w:val="00CD3517"/>
    <w:rsid w:val="00CD5FE2"/>
    <w:rsid w:val="00CE194B"/>
    <w:rsid w:val="00CE3A8D"/>
    <w:rsid w:val="00CE7C68"/>
    <w:rsid w:val="00CF60CB"/>
    <w:rsid w:val="00D02B4C"/>
    <w:rsid w:val="00D040C4"/>
    <w:rsid w:val="00D11986"/>
    <w:rsid w:val="00D119EE"/>
    <w:rsid w:val="00D15520"/>
    <w:rsid w:val="00D15E3A"/>
    <w:rsid w:val="00D2343D"/>
    <w:rsid w:val="00D25ABD"/>
    <w:rsid w:val="00D36331"/>
    <w:rsid w:val="00D44169"/>
    <w:rsid w:val="00D444C1"/>
    <w:rsid w:val="00D46B7E"/>
    <w:rsid w:val="00D53DA1"/>
    <w:rsid w:val="00D57C84"/>
    <w:rsid w:val="00D603A5"/>
    <w:rsid w:val="00D6057D"/>
    <w:rsid w:val="00D6412D"/>
    <w:rsid w:val="00D647C1"/>
    <w:rsid w:val="00D65AD8"/>
    <w:rsid w:val="00D6792F"/>
    <w:rsid w:val="00D71640"/>
    <w:rsid w:val="00D73B57"/>
    <w:rsid w:val="00D73F66"/>
    <w:rsid w:val="00D77525"/>
    <w:rsid w:val="00D8050B"/>
    <w:rsid w:val="00D80A33"/>
    <w:rsid w:val="00D81D81"/>
    <w:rsid w:val="00D836C5"/>
    <w:rsid w:val="00D84576"/>
    <w:rsid w:val="00D87A69"/>
    <w:rsid w:val="00D916C8"/>
    <w:rsid w:val="00D94F93"/>
    <w:rsid w:val="00D9593E"/>
    <w:rsid w:val="00D966C0"/>
    <w:rsid w:val="00D9729D"/>
    <w:rsid w:val="00DA11A8"/>
    <w:rsid w:val="00DA1399"/>
    <w:rsid w:val="00DA24C6"/>
    <w:rsid w:val="00DA4D7B"/>
    <w:rsid w:val="00DC18FD"/>
    <w:rsid w:val="00DD6CA1"/>
    <w:rsid w:val="00DD7A03"/>
    <w:rsid w:val="00DE2312"/>
    <w:rsid w:val="00DE264A"/>
    <w:rsid w:val="00DE45E8"/>
    <w:rsid w:val="00DE51E2"/>
    <w:rsid w:val="00DF1B93"/>
    <w:rsid w:val="00DF2F70"/>
    <w:rsid w:val="00DF5072"/>
    <w:rsid w:val="00DF5DA6"/>
    <w:rsid w:val="00DF679E"/>
    <w:rsid w:val="00E02D18"/>
    <w:rsid w:val="00E041E7"/>
    <w:rsid w:val="00E0529D"/>
    <w:rsid w:val="00E056B0"/>
    <w:rsid w:val="00E06758"/>
    <w:rsid w:val="00E23CA1"/>
    <w:rsid w:val="00E24542"/>
    <w:rsid w:val="00E249FC"/>
    <w:rsid w:val="00E26CF6"/>
    <w:rsid w:val="00E359EC"/>
    <w:rsid w:val="00E36BAF"/>
    <w:rsid w:val="00E4052C"/>
    <w:rsid w:val="00E409A8"/>
    <w:rsid w:val="00E4297A"/>
    <w:rsid w:val="00E42F3E"/>
    <w:rsid w:val="00E445E0"/>
    <w:rsid w:val="00E46510"/>
    <w:rsid w:val="00E50C12"/>
    <w:rsid w:val="00E53CBA"/>
    <w:rsid w:val="00E561AA"/>
    <w:rsid w:val="00E60782"/>
    <w:rsid w:val="00E611F1"/>
    <w:rsid w:val="00E6555C"/>
    <w:rsid w:val="00E65B91"/>
    <w:rsid w:val="00E709B8"/>
    <w:rsid w:val="00E7209D"/>
    <w:rsid w:val="00E72EAD"/>
    <w:rsid w:val="00E742F6"/>
    <w:rsid w:val="00E77223"/>
    <w:rsid w:val="00E80506"/>
    <w:rsid w:val="00E82F88"/>
    <w:rsid w:val="00E84620"/>
    <w:rsid w:val="00E8528B"/>
    <w:rsid w:val="00E856E0"/>
    <w:rsid w:val="00E85B94"/>
    <w:rsid w:val="00E9642B"/>
    <w:rsid w:val="00E978D0"/>
    <w:rsid w:val="00EA31BD"/>
    <w:rsid w:val="00EA40EA"/>
    <w:rsid w:val="00EA4613"/>
    <w:rsid w:val="00EA4A3B"/>
    <w:rsid w:val="00EA7F91"/>
    <w:rsid w:val="00EB14FA"/>
    <w:rsid w:val="00EB1523"/>
    <w:rsid w:val="00EC0E49"/>
    <w:rsid w:val="00EC101F"/>
    <w:rsid w:val="00EC1D9F"/>
    <w:rsid w:val="00EC35D2"/>
    <w:rsid w:val="00EC3790"/>
    <w:rsid w:val="00ED0007"/>
    <w:rsid w:val="00ED24BB"/>
    <w:rsid w:val="00EE0131"/>
    <w:rsid w:val="00EE17B0"/>
    <w:rsid w:val="00EE31BF"/>
    <w:rsid w:val="00EE3975"/>
    <w:rsid w:val="00EE3D0B"/>
    <w:rsid w:val="00EE71CD"/>
    <w:rsid w:val="00EF06D9"/>
    <w:rsid w:val="00EF29D7"/>
    <w:rsid w:val="00F0688F"/>
    <w:rsid w:val="00F1513D"/>
    <w:rsid w:val="00F15E65"/>
    <w:rsid w:val="00F16DF4"/>
    <w:rsid w:val="00F2117C"/>
    <w:rsid w:val="00F24055"/>
    <w:rsid w:val="00F2441D"/>
    <w:rsid w:val="00F24C65"/>
    <w:rsid w:val="00F30C64"/>
    <w:rsid w:val="00F32510"/>
    <w:rsid w:val="00F32BA2"/>
    <w:rsid w:val="00F32CDB"/>
    <w:rsid w:val="00F3301E"/>
    <w:rsid w:val="00F51696"/>
    <w:rsid w:val="00F54169"/>
    <w:rsid w:val="00F565FE"/>
    <w:rsid w:val="00F577A8"/>
    <w:rsid w:val="00F63A70"/>
    <w:rsid w:val="00F64650"/>
    <w:rsid w:val="00F703C2"/>
    <w:rsid w:val="00F70ABC"/>
    <w:rsid w:val="00F7534E"/>
    <w:rsid w:val="00F77D59"/>
    <w:rsid w:val="00F77F2C"/>
    <w:rsid w:val="00F92863"/>
    <w:rsid w:val="00F93FA4"/>
    <w:rsid w:val="00FA0D41"/>
    <w:rsid w:val="00FA1802"/>
    <w:rsid w:val="00FA21D0"/>
    <w:rsid w:val="00FA5947"/>
    <w:rsid w:val="00FA5F5F"/>
    <w:rsid w:val="00FB730C"/>
    <w:rsid w:val="00FC208F"/>
    <w:rsid w:val="00FC2695"/>
    <w:rsid w:val="00FC34A6"/>
    <w:rsid w:val="00FC3E03"/>
    <w:rsid w:val="00FC3ED1"/>
    <w:rsid w:val="00FC3FC1"/>
    <w:rsid w:val="00FC5BB7"/>
    <w:rsid w:val="00FD2E30"/>
    <w:rsid w:val="00FD67FC"/>
    <w:rsid w:val="00FE03F9"/>
    <w:rsid w:val="00FE1FC0"/>
    <w:rsid w:val="00FE2EAA"/>
    <w:rsid w:val="00FE479B"/>
    <w:rsid w:val="00FF7277"/>
    <w:rsid w:val="032C999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EFC0437F-9D70-4C2D-B9D6-5C6F8093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3C2FA8"/>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2F37ED"/>
    <w:rPr>
      <w:color w:val="605E5C"/>
      <w:shd w:val="clear" w:color="auto" w:fill="E1DFDD"/>
    </w:rPr>
  </w:style>
  <w:style w:type="character" w:styleId="Testosegnaposto">
    <w:name w:val="Placeholder Text"/>
    <w:basedOn w:val="Carpredefinitoparagrafo"/>
    <w:uiPriority w:val="99"/>
    <w:semiHidden/>
    <w:rsid w:val="00B03F80"/>
    <w:rPr>
      <w:color w:val="808080"/>
    </w:rPr>
  </w:style>
  <w:style w:type="character" w:customStyle="1" w:styleId="normaltextrun">
    <w:name w:val="normaltextrun"/>
    <w:basedOn w:val="Carpredefinitoparagrafo"/>
    <w:rsid w:val="008E5050"/>
  </w:style>
  <w:style w:type="paragraph" w:styleId="Revisione">
    <w:name w:val="Revision"/>
    <w:hidden/>
    <w:uiPriority w:val="99"/>
    <w:semiHidden/>
    <w:rsid w:val="00943C0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038989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ulia.bozzano@polim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CAE58FE12DE6418F74A8F58CFB7176"/>
        <w:category>
          <w:name w:val="Generale"/>
          <w:gallery w:val="placeholder"/>
        </w:category>
        <w:types>
          <w:type w:val="bbPlcHdr"/>
        </w:types>
        <w:behaviors>
          <w:behavior w:val="content"/>
        </w:behaviors>
        <w:guid w:val="{CC08993D-CED0-C74F-81D2-28DBCC63E996}"/>
      </w:docPartPr>
      <w:docPartBody>
        <w:p w:rsidR="005C6C4B" w:rsidRDefault="005C6C4B">
          <w:pPr>
            <w:pStyle w:val="6BCAE58FE12DE6418F74A8F58CFB7176"/>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4B"/>
    <w:rsid w:val="000F0AE3"/>
    <w:rsid w:val="005C6C4B"/>
    <w:rsid w:val="00864C81"/>
    <w:rsid w:val="00A357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BCAE58FE12DE6418F74A8F58CFB7176">
    <w:name w:val="6BCAE58FE12DE6418F74A8F58CFB7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10190</Words>
  <Characters>58084</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68138</CharactersWithSpaces>
  <SharedDoc>false</SharedDoc>
  <HLinks>
    <vt:vector size="6" baseType="variant">
      <vt:variant>
        <vt:i4>655463</vt:i4>
      </vt:variant>
      <vt:variant>
        <vt:i4>0</vt:i4>
      </vt:variant>
      <vt:variant>
        <vt:i4>0</vt:i4>
      </vt:variant>
      <vt:variant>
        <vt:i4>5</vt:i4>
      </vt:variant>
      <vt:variant>
        <vt:lpwstr>mailto:giulia.bozzano@polimi.it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Federico Moretta</cp:lastModifiedBy>
  <cp:revision>4</cp:revision>
  <cp:lastPrinted>2015-05-12T18:31:00Z</cp:lastPrinted>
  <dcterms:created xsi:type="dcterms:W3CDTF">2022-03-14T14:38:00Z</dcterms:created>
  <dcterms:modified xsi:type="dcterms:W3CDTF">2022-03-19T10:03:00Z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http://www.zotero.org/styles/journal-of-cleaner-production</vt:lpwstr>
  </property>
  <property fmtid="{D5CDD505-2E9C-101B-9397-08002B2CF9AE}" pid="6" name="Mendeley Unique User Id_1">
    <vt:lpwstr>948c5819-ebbc-3eb2-aff2-9d631ae5e6fe</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http://www.zotero.org/styles/journal-of-cleaner-production</vt:lpwstr>
  </property>
  <property fmtid="{D5CDD505-2E9C-101B-9397-08002B2CF9AE}" pid="20" name="Mendeley Recent Style Name 6_1">
    <vt:lpwstr>Journal of Cleaner Production</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