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5AF3F9B7" w14:textId="77777777" w:rsidR="00796784" w:rsidRPr="00796784" w:rsidRDefault="00796784" w:rsidP="00796784">
      <w:pPr>
        <w:pStyle w:val="CETTitle"/>
        <w:rPr>
          <w:bCs/>
          <w:iCs/>
          <w:lang w:val="en-US"/>
        </w:rPr>
      </w:pPr>
      <w:r w:rsidRPr="00796784">
        <w:rPr>
          <w:bCs/>
          <w:iCs/>
          <w:lang w:val="en-US"/>
        </w:rPr>
        <w:t>Photothermal membrane of biochar from pruning residues for the reduction of seawater salinity</w:t>
      </w:r>
    </w:p>
    <w:p w14:paraId="43C7223F" w14:textId="2BD5D816" w:rsidR="00796784" w:rsidRPr="004B7B27" w:rsidRDefault="00796784" w:rsidP="00796784">
      <w:pPr>
        <w:pStyle w:val="CETAuthors"/>
        <w:rPr>
          <w:bCs/>
          <w:lang w:val="en-US"/>
        </w:rPr>
      </w:pPr>
      <w:r w:rsidRPr="004B7B27">
        <w:rPr>
          <w:bCs/>
          <w:lang w:val="en-US"/>
        </w:rPr>
        <w:t>Jasmin C. Salazar Rojas</w:t>
      </w:r>
      <w:r w:rsidR="005B4461" w:rsidRPr="005B4461">
        <w:rPr>
          <w:bCs/>
          <w:vertAlign w:val="superscript"/>
          <w:lang w:val="en-US"/>
        </w:rPr>
        <w:t>a</w:t>
      </w:r>
      <w:r w:rsidRPr="004B7B27">
        <w:rPr>
          <w:bCs/>
          <w:lang w:val="en-US"/>
        </w:rPr>
        <w:t>, Frances L. Rojas Ramos</w:t>
      </w:r>
      <w:r w:rsidR="005B4461" w:rsidRPr="005B4461">
        <w:rPr>
          <w:bCs/>
          <w:vertAlign w:val="superscript"/>
          <w:lang w:val="en-US"/>
        </w:rPr>
        <w:t>a</w:t>
      </w:r>
      <w:r w:rsidRPr="004B7B27">
        <w:rPr>
          <w:bCs/>
          <w:lang w:val="en-US"/>
        </w:rPr>
        <w:t>,</w:t>
      </w:r>
      <w:r w:rsidR="00890D08" w:rsidRPr="004B7B27">
        <w:rPr>
          <w:bCs/>
          <w:lang w:val="en-US"/>
        </w:rPr>
        <w:t xml:space="preserve"> Carlos A. Castañeda-</w:t>
      </w:r>
      <w:r w:rsidRPr="004B7B27">
        <w:rPr>
          <w:bCs/>
          <w:lang w:val="en-US"/>
        </w:rPr>
        <w:t>Olivera</w:t>
      </w:r>
      <w:r w:rsidR="005B4461" w:rsidRPr="005B4461">
        <w:rPr>
          <w:bCs/>
          <w:vertAlign w:val="superscript"/>
          <w:lang w:val="en-US"/>
        </w:rPr>
        <w:t>a</w:t>
      </w:r>
      <w:r w:rsidR="005B4461">
        <w:rPr>
          <w:bCs/>
          <w:vertAlign w:val="superscript"/>
          <w:lang w:val="en-US"/>
        </w:rPr>
        <w:t>,</w:t>
      </w:r>
      <w:r w:rsidR="00890D08" w:rsidRPr="004B7B27">
        <w:rPr>
          <w:bCs/>
          <w:lang w:val="en-US"/>
        </w:rPr>
        <w:t>*</w:t>
      </w:r>
      <w:r w:rsidRPr="004B7B27">
        <w:rPr>
          <w:bCs/>
          <w:lang w:val="en-US"/>
        </w:rPr>
        <w:t>, Elmer G. Benites Alfaro</w:t>
      </w:r>
      <w:r w:rsidR="005B4461" w:rsidRPr="005B4461">
        <w:rPr>
          <w:bCs/>
          <w:vertAlign w:val="superscript"/>
          <w:lang w:val="en-US"/>
        </w:rPr>
        <w:t>a</w:t>
      </w:r>
      <w:r w:rsidRPr="004B7B27">
        <w:rPr>
          <w:bCs/>
          <w:lang w:val="en-US"/>
        </w:rPr>
        <w:t>, Rita J. Cabello Torres</w:t>
      </w:r>
      <w:r w:rsidR="005B4461">
        <w:rPr>
          <w:bCs/>
          <w:vertAlign w:val="superscript"/>
          <w:lang w:val="en-US"/>
        </w:rPr>
        <w:t>b</w:t>
      </w:r>
      <w:r w:rsidR="004B7B27" w:rsidRPr="004B7B27">
        <w:rPr>
          <w:bCs/>
          <w:lang w:val="en-US"/>
        </w:rPr>
        <w:t xml:space="preserve">, Eduardo R. </w:t>
      </w:r>
      <w:r w:rsidR="004B7B27">
        <w:rPr>
          <w:bCs/>
          <w:lang w:val="en-US"/>
        </w:rPr>
        <w:t>Espinoza Farfan</w:t>
      </w:r>
      <w:r w:rsidR="005B4461">
        <w:rPr>
          <w:bCs/>
          <w:vertAlign w:val="superscript"/>
          <w:lang w:val="en-US"/>
        </w:rPr>
        <w:t>b</w:t>
      </w:r>
    </w:p>
    <w:p w14:paraId="3AE11478" w14:textId="1BD690AC" w:rsidR="00F84164" w:rsidRDefault="005B4461" w:rsidP="00F84164">
      <w:pPr>
        <w:pStyle w:val="CETAddress"/>
        <w:rPr>
          <w:lang w:val="es-PE"/>
        </w:rPr>
      </w:pPr>
      <w:r w:rsidRPr="005B4461">
        <w:rPr>
          <w:vertAlign w:val="superscript"/>
          <w:lang w:val="es-PE"/>
        </w:rPr>
        <w:t>a</w:t>
      </w:r>
      <w:r w:rsidR="00412957" w:rsidRPr="00796784">
        <w:rPr>
          <w:lang w:val="es-PE"/>
        </w:rPr>
        <w:t xml:space="preserve">Universidad </w:t>
      </w:r>
      <w:r w:rsidR="00F31BC5" w:rsidRPr="00796784">
        <w:rPr>
          <w:lang w:val="es-PE"/>
        </w:rPr>
        <w:t>César Vallejo</w:t>
      </w:r>
      <w:r w:rsidR="00412957" w:rsidRPr="00796784">
        <w:rPr>
          <w:lang w:val="es-PE"/>
        </w:rPr>
        <w:t xml:space="preserve">, </w:t>
      </w:r>
      <w:r w:rsidR="007705EF" w:rsidRPr="00796784">
        <w:rPr>
          <w:lang w:val="es-PE"/>
        </w:rPr>
        <w:t xml:space="preserve">Campus Los Olivos, </w:t>
      </w:r>
      <w:r w:rsidR="00412957" w:rsidRPr="00796784">
        <w:rPr>
          <w:lang w:val="es-PE"/>
        </w:rPr>
        <w:t>Lima</w:t>
      </w:r>
      <w:r w:rsidR="007F4033" w:rsidRPr="00796784">
        <w:rPr>
          <w:lang w:val="es-PE"/>
        </w:rPr>
        <w:t>, Perú</w:t>
      </w:r>
    </w:p>
    <w:p w14:paraId="6C0BBD1F" w14:textId="1178E4DD" w:rsidR="004B7B27" w:rsidRPr="00796784" w:rsidRDefault="005B4461" w:rsidP="004B7B27">
      <w:pPr>
        <w:pStyle w:val="CETAddress"/>
        <w:rPr>
          <w:lang w:val="es-PE"/>
        </w:rPr>
      </w:pPr>
      <w:r w:rsidRPr="005B4461">
        <w:rPr>
          <w:vertAlign w:val="superscript"/>
          <w:lang w:val="es-PE"/>
        </w:rPr>
        <w:t>b</w:t>
      </w:r>
      <w:r w:rsidR="004B7B27" w:rsidRPr="00796784">
        <w:rPr>
          <w:lang w:val="es-PE"/>
        </w:rPr>
        <w:t xml:space="preserve">Universidad César Vallejo, </w:t>
      </w:r>
      <w:r>
        <w:rPr>
          <w:lang w:val="es-PE"/>
        </w:rPr>
        <w:t>Campus San Juan de Lurigancho</w:t>
      </w:r>
      <w:r w:rsidR="004B7B27" w:rsidRPr="00796784">
        <w:rPr>
          <w:lang w:val="es-PE"/>
        </w:rPr>
        <w:t>, Lima, Perú</w:t>
      </w:r>
    </w:p>
    <w:p w14:paraId="0127A28D" w14:textId="18178732" w:rsidR="00E978D0" w:rsidRPr="00A42589" w:rsidRDefault="00412957" w:rsidP="00E978D0">
      <w:pPr>
        <w:pStyle w:val="CETemail"/>
        <w:rPr>
          <w:lang w:val="en-US"/>
        </w:rPr>
      </w:pPr>
      <w:r w:rsidRPr="00DE43DC">
        <w:rPr>
          <w:vertAlign w:val="superscript"/>
          <w:lang w:val="en-US"/>
        </w:rPr>
        <w:t>*</w:t>
      </w:r>
      <w:r w:rsidRPr="00DE43DC">
        <w:rPr>
          <w:lang w:val="en-US"/>
        </w:rPr>
        <w:t>caralcaso@gmail.com</w:t>
      </w:r>
      <w:bookmarkStart w:id="0" w:name="_GoBack"/>
      <w:bookmarkEnd w:id="0"/>
    </w:p>
    <w:p w14:paraId="701CFF32" w14:textId="2B019427" w:rsidR="007C46D3" w:rsidRPr="007C46D3" w:rsidRDefault="007C46D3" w:rsidP="007C46D3">
      <w:pPr>
        <w:pStyle w:val="CETBodytext"/>
      </w:pPr>
      <w:r w:rsidRPr="007C46D3">
        <w:t>Photothermal materials and adsorbents are the main components of solar-driven seawater desalination. This being so, the objective of the research was to determine the effectiveness of a photothermal membrane made of biochar from pruning residues for the reduction of seawater salinity. For the salinity reduction treatment, a stainless steel continuous cell evaporation system including photothermal membranes with 150 g of pruning biochar was constructed, and the physicochemical parameters of the seawater were measured both before and after the treatment. The desalination process was carried out for 6 h per day (10:00 a.m. to 4:00 p.m.) for 3 consecutive days. The results showed a reduction in the values of sulfates, phosphates, turbidity, total solids, dissolved solids and chlorides, with a salinity reduction efficiency of 91.</w:t>
      </w:r>
      <w:r w:rsidR="00D6283C">
        <w:t>08 %, with a radiation of 0.98 k</w:t>
      </w:r>
      <w:r w:rsidRPr="007C46D3">
        <w:t>W/m² and a relative humidity of 49</w:t>
      </w:r>
      <w:r w:rsidR="00BC5532">
        <w:t xml:space="preserve"> </w:t>
      </w:r>
      <w:r w:rsidRPr="007C46D3">
        <w:t>%. Finally, it was concluded that the evaporation system using pruning biocarbon membranes improved the values of the physicochemical parameters of seawater and could be used as an alternative solution to water scarcity in rural coastal populations.</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18B22C84" w14:textId="057FE9CD" w:rsidR="00AC726E" w:rsidRDefault="00A8773B" w:rsidP="00AC726E">
      <w:pPr>
        <w:pStyle w:val="CETBodytext"/>
      </w:pPr>
      <w:r w:rsidRPr="00A8773B">
        <w:t>The water resource is available in large quantities in the sea, which constitutes more than 97</w:t>
      </w:r>
      <w:r w:rsidR="00BC5532">
        <w:t xml:space="preserve"> </w:t>
      </w:r>
      <w:r w:rsidRPr="00A8773B">
        <w:t>% of the total amount of water. However, it cannot be directly used for drinking or irrigation because of its high salinity (Zheng, 2017). Thus, freshwater is critical for human survival and its direct per capita availability decreases as population, development, and climate variability increase (Chen et al., 2019; von Medeazza 2004; Giordano, Barron, and Ünver 2019). Globally, 663 million people do not have access to safe drinking water and in 18 countries, at least 5</w:t>
      </w:r>
      <w:r w:rsidR="00BC5532">
        <w:t xml:space="preserve"> </w:t>
      </w:r>
      <w:r w:rsidRPr="00A8773B">
        <w:t>% rely on water distributed by tankers (UNICEF 2017). This crisis is beginning to become evident in countries such as Brazil, China, India, and Iran, where the demand for drinking water increased relative to availability (Leroux, Martin, and Zheng 2018).</w:t>
      </w:r>
    </w:p>
    <w:p w14:paraId="47D23CC4" w14:textId="17391632" w:rsidR="00A8773B" w:rsidRDefault="00A8773B" w:rsidP="00A8773B">
      <w:pPr>
        <w:pStyle w:val="CETBodytext"/>
      </w:pPr>
      <w:r>
        <w:t>Peru is not exempt from this alarming situation due to the fact that 62.3</w:t>
      </w:r>
      <w:r w:rsidR="00BC5532">
        <w:t xml:space="preserve"> </w:t>
      </w:r>
      <w:r>
        <w:t xml:space="preserve">% of the Peruvian population is concentrated in the coastal region, where water availability is lower with respect to demand (Instituto de Promoción de la Gestión del Agua, 2017). </w:t>
      </w:r>
    </w:p>
    <w:p w14:paraId="73DC0308" w14:textId="3391ED4A" w:rsidR="00A8773B" w:rsidRDefault="00A8773B" w:rsidP="00A8773B">
      <w:pPr>
        <w:pStyle w:val="CETBodytext"/>
      </w:pPr>
      <w:r>
        <w:t>The water crisis encourages resorting to the use of seawater after treatment. Seawater is characterized by having a salinity of approximately 3.5</w:t>
      </w:r>
      <w:r w:rsidR="00BC5532">
        <w:t xml:space="preserve"> </w:t>
      </w:r>
      <w:r>
        <w:t>%. This means that each kilogram of seawater has approximately 35 g of dissolved salts, the most predominant being sodium (Na</w:t>
      </w:r>
      <w:r w:rsidRPr="00BC5532">
        <w:rPr>
          <w:vertAlign w:val="superscript"/>
        </w:rPr>
        <w:t>+</w:t>
      </w:r>
      <w:r>
        <w:t>) and chloride (Cl</w:t>
      </w:r>
      <w:r w:rsidRPr="00BC5532">
        <w:rPr>
          <w:vertAlign w:val="superscript"/>
        </w:rPr>
        <w:t>-</w:t>
      </w:r>
      <w:r>
        <w:t>). Ocean water is a homogeneous mixture containing 96.5</w:t>
      </w:r>
      <w:r w:rsidR="00BC5532">
        <w:t xml:space="preserve"> </w:t>
      </w:r>
      <w:r>
        <w:t>% water and 3.5</w:t>
      </w:r>
      <w:r w:rsidR="00BC5532">
        <w:t xml:space="preserve"> </w:t>
      </w:r>
      <w:r>
        <w:t>% salts in solution, such as sodium chloride (NaCl), which accounts for 80</w:t>
      </w:r>
      <w:r w:rsidR="00BC5532">
        <w:t xml:space="preserve"> </w:t>
      </w:r>
      <w:r>
        <w:t>% of the minerals contained in seawater. The most important characteristics of seawater are salinity, turbidity, hydrogen potential and electrical conductivity. At present, salinity is determined with reference to electrical conductivity. In the oceans, the range of variation is small since 75</w:t>
      </w:r>
      <w:r w:rsidR="00BC5532">
        <w:t xml:space="preserve"> </w:t>
      </w:r>
      <w:r>
        <w:t>% of ocean waters have salinity between</w:t>
      </w:r>
      <w:r w:rsidR="00B8367D">
        <w:t xml:space="preserve"> 34.5 and 35 g/L (Barreiro, n.d.</w:t>
      </w:r>
      <w:r>
        <w:t xml:space="preserve">), and present turbidity when there is </w:t>
      </w:r>
      <w:r w:rsidR="00D6283C">
        <w:t xml:space="preserve">the </w:t>
      </w:r>
      <w:r>
        <w:t>presence of suspended matter that produces light scattering (IMARPE, 2009).</w:t>
      </w:r>
    </w:p>
    <w:p w14:paraId="4C84B598" w14:textId="0BD05DD9" w:rsidR="006E18C4" w:rsidRDefault="006E18C4" w:rsidP="006E18C4">
      <w:pPr>
        <w:pStyle w:val="CETBodytext"/>
      </w:pPr>
      <w:r>
        <w:lastRenderedPageBreak/>
        <w:t>Desalination is a process that allows fresh water to be obtai</w:t>
      </w:r>
      <w:r w:rsidR="00D6283C">
        <w:t>ned from brackish, sea or waste</w:t>
      </w:r>
      <w:r>
        <w:t>water. This is achieved by separating salts and other substances contained in the water (Naranjo González, 2007). The methods used to reduce salinity can be thermal and non-thermal. Thermal methods require heat and are governed by the principle of evaporation. Non-thermal methods are performed through membranes and high pressures. Li et al. (2016) designed and tested a solar desalination system containing a graphene oxide-based photoabsorbent membrane, achieving an efficiency of 78</w:t>
      </w:r>
      <w:r w:rsidR="00BC5532">
        <w:t xml:space="preserve"> </w:t>
      </w:r>
      <w:r>
        <w:t xml:space="preserve">% with a reduction of sodium ions from 1.5228 mg/L to 0.99 mg/L. </w:t>
      </w:r>
    </w:p>
    <w:p w14:paraId="18C85BB3" w14:textId="327C2CB1" w:rsidR="00A8773B" w:rsidRPr="00AC726E" w:rsidRDefault="006E18C4" w:rsidP="006E18C4">
      <w:pPr>
        <w:pStyle w:val="CETBodytext"/>
      </w:pPr>
      <w:r>
        <w:t xml:space="preserve">The photothermal membrane of activated biochar from pruning is a sheet of resistant organic fabric, coated with a photoabsorbent material, whose function is to capture sunlight and then convert it into thermal energy. In addition, it is used for energy absorption due to the fact that it contains photoabsorbent material (Politano et al. 2017). Therefore, in the present research, a novel, eco-friendly and efficient system was proposed to reduce seawater salinity, using activated biochar, </w:t>
      </w:r>
      <w:r w:rsidR="00D6283C">
        <w:t xml:space="preserve">a </w:t>
      </w:r>
      <w:r>
        <w:t>product of the pyrolysis of pruning remains, as a photoabsorbent material in the elaboration of a photothermal membrane. The main objective of this research was to determine the efficiency of a photothermal membrane made of activated biochar from pruning to reduce the salinity of seawater at Playa Tortugas in Casma, Peru.</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3A4337D0" w:rsidR="0099418D" w:rsidRPr="00C14646" w:rsidRDefault="0099418D" w:rsidP="00C14646">
      <w:pPr>
        <w:pStyle w:val="CETheadingx"/>
        <w:rPr>
          <w:iCs/>
          <w:lang w:val="en-GB"/>
        </w:rPr>
      </w:pPr>
      <w:r w:rsidRPr="00C14646">
        <w:rPr>
          <w:iCs/>
          <w:lang w:val="en-GB"/>
        </w:rPr>
        <w:t xml:space="preserve">2.1 </w:t>
      </w:r>
      <w:r w:rsidR="00E439DE" w:rsidRPr="00E439DE">
        <w:rPr>
          <w:iCs/>
          <w:lang w:val="en-GB"/>
        </w:rPr>
        <w:t>Salinity reduction system design</w:t>
      </w:r>
    </w:p>
    <w:p w14:paraId="0405F2B8" w14:textId="77777777" w:rsidR="00E439DE" w:rsidRDefault="00E439DE" w:rsidP="00E439DE">
      <w:pPr>
        <w:pStyle w:val="CETBodytext"/>
      </w:pPr>
      <w:r>
        <w:t>The salinity reduction system (Figure 1) is composed of 6 parts including: (1) seawater inlet, (2) continuous evaporation cells, (3) photothermal membrane, (4) parabolic solar concentrator, (5) condenser, and (6) treated water collector.</w:t>
      </w:r>
    </w:p>
    <w:p w14:paraId="09546196" w14:textId="3E79FC63" w:rsidR="0099418D" w:rsidRDefault="00E439DE" w:rsidP="00E439DE">
      <w:pPr>
        <w:pStyle w:val="CETBodytext"/>
      </w:pPr>
      <w:r>
        <w:t xml:space="preserve">The photothermal membrane was composed of activated biocarbon made from dried </w:t>
      </w:r>
      <w:r w:rsidRPr="00E439DE">
        <w:t>Delonix regia</w:t>
      </w:r>
      <w:r>
        <w:t xml:space="preserve"> (Po</w:t>
      </w:r>
      <w:r w:rsidR="00D6283C">
        <w:t>i</w:t>
      </w:r>
      <w:r>
        <w:t>nciana) pruning biomass.</w:t>
      </w:r>
    </w:p>
    <w:p w14:paraId="17CB41E9" w14:textId="77777777" w:rsidR="00E439DE" w:rsidRDefault="00E439DE" w:rsidP="00E439DE">
      <w:pPr>
        <w:pStyle w:val="CETBodytext"/>
      </w:pPr>
    </w:p>
    <w:p w14:paraId="438F90B4" w14:textId="754EC516" w:rsidR="00E439DE" w:rsidRDefault="00E439DE" w:rsidP="00E439DE">
      <w:pPr>
        <w:pStyle w:val="CETBodytext"/>
      </w:pPr>
      <w:r>
        <w:rPr>
          <w:noProof/>
          <w:bdr w:val="none" w:sz="0" w:space="0" w:color="auto" w:frame="1"/>
          <w:lang w:val="es-PE" w:eastAsia="es-PE"/>
        </w:rPr>
        <w:drawing>
          <wp:inline distT="0" distB="0" distL="0" distR="0" wp14:anchorId="4AB0FEA2" wp14:editId="0F39AA87">
            <wp:extent cx="2842260" cy="2560320"/>
            <wp:effectExtent l="0" t="0" r="0" b="0"/>
            <wp:docPr id="1" name="Imagem 1" descr="https://lh5.googleusercontent.com/rNWnBPsIQPdfAE-elBZ61CK9V38PNuOWVe7Vc5xh8BOXyBRk9WDLPGDRMIuJhvkcQUFOdRrskzdUPsBKNimzLayrIvRiE_bzr_XOYg5Tw4HA8rm1L3jXD01jk4vgAfYmaqYF3n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NWnBPsIQPdfAE-elBZ61CK9V38PNuOWVe7Vc5xh8BOXyBRk9WDLPGDRMIuJhvkcQUFOdRrskzdUPsBKNimzLayrIvRiE_bzr_XOYg5Tw4HA8rm1L3jXD01jk4vgAfYmaqYF3nB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260" cy="2560320"/>
                    </a:xfrm>
                    <a:prstGeom prst="rect">
                      <a:avLst/>
                    </a:prstGeom>
                    <a:noFill/>
                    <a:ln>
                      <a:noFill/>
                    </a:ln>
                  </pic:spPr>
                </pic:pic>
              </a:graphicData>
            </a:graphic>
          </wp:inline>
        </w:drawing>
      </w:r>
    </w:p>
    <w:p w14:paraId="70DEDC05" w14:textId="24677FEE" w:rsidR="00E439DE" w:rsidRDefault="00E439DE" w:rsidP="00E439DE">
      <w:pPr>
        <w:pStyle w:val="CETCaption"/>
        <w:rPr>
          <w:rStyle w:val="CETCaptionCarattere"/>
          <w:i/>
        </w:rPr>
      </w:pPr>
      <w:r w:rsidRPr="00A14554">
        <w:rPr>
          <w:rStyle w:val="CETCaptionCarattere"/>
          <w:i/>
        </w:rPr>
        <w:t xml:space="preserve">Figure 1: </w:t>
      </w:r>
      <w:r w:rsidRPr="00E439DE">
        <w:rPr>
          <w:rStyle w:val="CETCaptionCarattere"/>
          <w:i/>
        </w:rPr>
        <w:t>Salinity reduction system</w:t>
      </w:r>
    </w:p>
    <w:p w14:paraId="2435619B" w14:textId="3D97CEE7" w:rsidR="0099418D" w:rsidRPr="00C14646" w:rsidRDefault="0099418D" w:rsidP="00C14646">
      <w:pPr>
        <w:pStyle w:val="CETheadingx"/>
        <w:rPr>
          <w:iCs/>
          <w:lang w:val="en-GB"/>
        </w:rPr>
      </w:pPr>
      <w:r w:rsidRPr="00C14646">
        <w:rPr>
          <w:iCs/>
          <w:lang w:val="en-GB"/>
        </w:rPr>
        <w:t xml:space="preserve">2.2 </w:t>
      </w:r>
      <w:r w:rsidR="00E439DE" w:rsidRPr="00E439DE">
        <w:rPr>
          <w:iCs/>
          <w:lang w:val="en-GB"/>
        </w:rPr>
        <w:t>Salinity reduction system installation area</w:t>
      </w:r>
    </w:p>
    <w:p w14:paraId="63DBD455" w14:textId="01D855E8" w:rsidR="0099418D" w:rsidRPr="00B07A08" w:rsidRDefault="00E439DE" w:rsidP="00AC756E">
      <w:pPr>
        <w:pStyle w:val="CETBodytext"/>
      </w:pPr>
      <w:r w:rsidRPr="00E439DE">
        <w:t xml:space="preserve">The salinity reduction system was installed at Tortugas Beach in the district of Casma in the province of Chimbote in Ancash, Peru. It was installed in this location because the area has good solar radiation, which allows </w:t>
      </w:r>
      <w:r>
        <w:t>the system to function properly</w:t>
      </w:r>
      <w:r w:rsidR="00D95FA1" w:rsidRPr="00D95FA1">
        <w:t>.</w:t>
      </w:r>
    </w:p>
    <w:p w14:paraId="320E3FF0" w14:textId="1AB31253" w:rsidR="00AB6233" w:rsidRPr="00C14646" w:rsidRDefault="00C14646" w:rsidP="00C14646">
      <w:pPr>
        <w:pStyle w:val="CETheadingx"/>
        <w:rPr>
          <w:iCs/>
          <w:lang w:val="en-GB"/>
        </w:rPr>
      </w:pPr>
      <w:r>
        <w:rPr>
          <w:iCs/>
          <w:lang w:val="en-GB"/>
        </w:rPr>
        <w:t>2.3</w:t>
      </w:r>
      <w:r w:rsidR="00AB6233" w:rsidRPr="00C14646">
        <w:rPr>
          <w:iCs/>
          <w:lang w:val="en-GB"/>
        </w:rPr>
        <w:t xml:space="preserve"> </w:t>
      </w:r>
      <w:r w:rsidR="00E439DE" w:rsidRPr="00E439DE">
        <w:rPr>
          <w:iCs/>
          <w:lang w:val="en-GB"/>
        </w:rPr>
        <w:t>Seawater treatment</w:t>
      </w:r>
    </w:p>
    <w:p w14:paraId="301F1591" w14:textId="2EE568C9" w:rsidR="00AB6233" w:rsidRPr="00B07A08" w:rsidRDefault="001D3CCF" w:rsidP="00AB6233">
      <w:pPr>
        <w:pStyle w:val="CETBodytext"/>
      </w:pPr>
      <w:r w:rsidRPr="001D3CCF">
        <w:t>The salinity reduction treatment was carried out in 3 days, with a time of 6 h/day.</w:t>
      </w:r>
      <w:r>
        <w:t xml:space="preserve"> </w:t>
      </w:r>
      <w:r w:rsidR="00E439DE" w:rsidRPr="00E439DE">
        <w:t>In the water treatment using the salinity reduction system, physical and chemical parameters were measured both before and after treatment. The parameters evaluated were temperature, pH, electrical conductivity, redox potential, turbidity, chlorides, sodium, alkalinity, phosphates, oxygen, COD, BOD, sulfates, to</w:t>
      </w:r>
      <w:r w:rsidR="00E439DE">
        <w:t>tal solids and dissolved solids</w:t>
      </w:r>
      <w:r w:rsidR="00AB6233" w:rsidRPr="00B07A08">
        <w:t>.</w:t>
      </w:r>
    </w:p>
    <w:p w14:paraId="38DCBA19" w14:textId="39244C20" w:rsidR="00D8620B" w:rsidRPr="00C14646" w:rsidRDefault="00C14646" w:rsidP="00C14646">
      <w:pPr>
        <w:pStyle w:val="CETHeading1"/>
        <w:rPr>
          <w:lang w:val="en-GB"/>
        </w:rPr>
      </w:pPr>
      <w:r>
        <w:rPr>
          <w:lang w:val="en-GB"/>
        </w:rPr>
        <w:lastRenderedPageBreak/>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68D43F19"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FF78CC" w:rsidRPr="00FF78CC">
        <w:rPr>
          <w:iCs/>
          <w:lang w:val="en-GB"/>
        </w:rPr>
        <w:t>Characteristics of activated biochar from Po</w:t>
      </w:r>
      <w:r w:rsidR="00D6283C">
        <w:rPr>
          <w:iCs/>
          <w:lang w:val="en-GB"/>
        </w:rPr>
        <w:t>i</w:t>
      </w:r>
      <w:r w:rsidR="00FF78CC" w:rsidRPr="00FF78CC">
        <w:rPr>
          <w:iCs/>
          <w:lang w:val="en-GB"/>
        </w:rPr>
        <w:t>nciana prunings</w:t>
      </w:r>
    </w:p>
    <w:p w14:paraId="3E8C6939" w14:textId="56717065" w:rsidR="00D8620B" w:rsidRDefault="006336BD" w:rsidP="00D8620B">
      <w:pPr>
        <w:pStyle w:val="CETBodytext"/>
      </w:pPr>
      <w:r w:rsidRPr="006336BD">
        <w:t>Figure 2 shows the process of making activated biochar from Po</w:t>
      </w:r>
      <w:r w:rsidR="00D6283C">
        <w:t>i</w:t>
      </w:r>
      <w:r w:rsidRPr="006336BD">
        <w:t>nciana prunings, which was carried out by slow pyrolysis between 500 and 600</w:t>
      </w:r>
      <w:r w:rsidR="001F5E64">
        <w:t xml:space="preserve"> </w:t>
      </w:r>
      <w:r w:rsidRPr="006336BD">
        <w:t xml:space="preserve">°C. </w:t>
      </w:r>
      <w:r w:rsidR="00FF78CC" w:rsidRPr="00FF78CC">
        <w:t>Table 1 presents the physical characteristics</w:t>
      </w:r>
      <w:r w:rsidR="00D6283C">
        <w:t xml:space="preserve"> of pruning activated biochar (P</w:t>
      </w:r>
      <w:r w:rsidR="00FF78CC" w:rsidRPr="00FF78CC">
        <w:t>o</w:t>
      </w:r>
      <w:r w:rsidR="00D6283C">
        <w:t>i</w:t>
      </w:r>
      <w:r w:rsidR="00FF78CC" w:rsidRPr="00FF78CC">
        <w:t>nciana). It is observed that of the total mass of biochar, 55.77</w:t>
      </w:r>
      <w:r w:rsidR="00BC5532">
        <w:t xml:space="preserve"> </w:t>
      </w:r>
      <w:r w:rsidR="00FF78CC" w:rsidRPr="00FF78CC">
        <w:t>% is converted to ash when raised to temperatures ˃ 700</w:t>
      </w:r>
      <w:r w:rsidR="00D80863">
        <w:t xml:space="preserve"> </w:t>
      </w:r>
      <w:r w:rsidR="00FF78CC" w:rsidRPr="00FF78CC">
        <w:t>°C. On the other hand, biochar has a lower fixed carbon content than other biomasses, represented by 30.81 % and has a calorific value of 902.</w:t>
      </w:r>
      <w:r w:rsidR="00D80863">
        <w:t>62 k</w:t>
      </w:r>
      <w:r w:rsidR="00FF78CC" w:rsidRPr="00FF78CC">
        <w:t>cal/kg. The particle size of the biochar was 44 µm, classifying it as a powdered activated biochar. Other researchers such as Zaw et al. (2018) made biochar from pruning resi</w:t>
      </w:r>
      <w:r w:rsidR="00D80863">
        <w:t>dues of Japanese pear trees, containing 9.7 % volatile material</w:t>
      </w:r>
      <w:r w:rsidR="00FF78CC" w:rsidRPr="00FF78CC">
        <w:t>,</w:t>
      </w:r>
      <w:r w:rsidR="00D80863">
        <w:t xml:space="preserve"> 80.5 %</w:t>
      </w:r>
      <w:r w:rsidR="00FF78CC" w:rsidRPr="00FF78CC">
        <w:t xml:space="preserve"> fixed carbon</w:t>
      </w:r>
      <w:r w:rsidR="001F5E64">
        <w:t xml:space="preserve"> and</w:t>
      </w:r>
      <w:r w:rsidR="00D80863">
        <w:t xml:space="preserve"> 9.8 % ash</w:t>
      </w:r>
      <w:r w:rsidR="001F5E64">
        <w:t>,</w:t>
      </w:r>
      <w:r w:rsidR="00FF78CC" w:rsidRPr="00FF78CC">
        <w:t xml:space="preserve"> </w:t>
      </w:r>
      <w:r w:rsidR="00D80863">
        <w:t xml:space="preserve">and </w:t>
      </w:r>
      <w:r w:rsidR="001F5E64">
        <w:t xml:space="preserve">which had </w:t>
      </w:r>
      <w:r w:rsidR="00D80863">
        <w:t>a processing time of 2 h</w:t>
      </w:r>
      <w:r w:rsidR="00FF78CC" w:rsidRPr="00FF78CC">
        <w:t>. Abenavoli et al. (2016) made biochar from olive and hazelnut pruning residues, and their physical characterization showed a fixed carbon content of 78.1</w:t>
      </w:r>
      <w:r w:rsidR="00BC5532">
        <w:t xml:space="preserve"> </w:t>
      </w:r>
      <w:r w:rsidR="00FF78CC" w:rsidRPr="00FF78CC">
        <w:t>% and 90.1</w:t>
      </w:r>
      <w:r w:rsidR="00BC5532">
        <w:t xml:space="preserve"> </w:t>
      </w:r>
      <w:r w:rsidR="00FF78CC" w:rsidRPr="00FF78CC">
        <w:t>%, respectively. Ash production was between 6.2 to 18.8</w:t>
      </w:r>
      <w:r w:rsidR="00BC5532">
        <w:t xml:space="preserve"> </w:t>
      </w:r>
      <w:r w:rsidR="00FF78CC" w:rsidRPr="00FF78CC">
        <w:t>%, w</w:t>
      </w:r>
      <w:r w:rsidR="00D80863">
        <w:t>ith a processing time of 3 h</w:t>
      </w:r>
      <w:r w:rsidR="00FF78CC" w:rsidRPr="00FF78CC">
        <w:t>.</w:t>
      </w:r>
    </w:p>
    <w:p w14:paraId="44EAB00E" w14:textId="7A70F308" w:rsidR="008E74A4" w:rsidRDefault="008E74A4" w:rsidP="00D8620B">
      <w:pPr>
        <w:pStyle w:val="CETBodytext"/>
      </w:pPr>
    </w:p>
    <w:p w14:paraId="5A2873F7" w14:textId="575853EF" w:rsidR="008E74A4" w:rsidRDefault="008E74A4" w:rsidP="00D8620B">
      <w:pPr>
        <w:pStyle w:val="CETBodytext"/>
      </w:pPr>
      <w:r>
        <w:rPr>
          <w:noProof/>
          <w:lang w:val="es-PE" w:eastAsia="es-PE"/>
        </w:rPr>
        <w:drawing>
          <wp:inline distT="0" distB="0" distL="0" distR="0" wp14:anchorId="7298D3D5" wp14:editId="07C4B2E9">
            <wp:extent cx="5593080" cy="1744980"/>
            <wp:effectExtent l="0" t="0" r="7620" b="762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983"/>
                    <a:stretch/>
                  </pic:blipFill>
                  <pic:spPr bwMode="auto">
                    <a:xfrm>
                      <a:off x="0" y="0"/>
                      <a:ext cx="5593080" cy="1744980"/>
                    </a:xfrm>
                    <a:prstGeom prst="rect">
                      <a:avLst/>
                    </a:prstGeom>
                    <a:noFill/>
                    <a:ln>
                      <a:noFill/>
                    </a:ln>
                    <a:extLst>
                      <a:ext uri="{53640926-AAD7-44D8-BBD7-CCE9431645EC}">
                        <a14:shadowObscured xmlns:a14="http://schemas.microsoft.com/office/drawing/2010/main"/>
                      </a:ext>
                    </a:extLst>
                  </pic:spPr>
                </pic:pic>
              </a:graphicData>
            </a:graphic>
          </wp:inline>
        </w:drawing>
      </w:r>
    </w:p>
    <w:p w14:paraId="561C0DB2" w14:textId="7030147D" w:rsidR="008E74A4" w:rsidRDefault="008E74A4" w:rsidP="008E74A4">
      <w:pPr>
        <w:pStyle w:val="CETCaption"/>
        <w:spacing w:before="0"/>
      </w:pPr>
      <w:r w:rsidRPr="00A14554">
        <w:rPr>
          <w:rStyle w:val="CETCaptionCarattere"/>
          <w:i/>
        </w:rPr>
        <w:t xml:space="preserve">Figure 1: </w:t>
      </w:r>
      <w:r w:rsidRPr="008E74A4">
        <w:rPr>
          <w:rStyle w:val="CETCaptionCarattere"/>
          <w:i/>
        </w:rPr>
        <w:t>Production of activated biochar from Po</w:t>
      </w:r>
      <w:r w:rsidR="00D6283C">
        <w:rPr>
          <w:rStyle w:val="CETCaptionCarattere"/>
          <w:i/>
        </w:rPr>
        <w:t>i</w:t>
      </w:r>
      <w:r w:rsidRPr="008E74A4">
        <w:rPr>
          <w:rStyle w:val="CETCaptionCarattere"/>
          <w:i/>
        </w:rPr>
        <w:t>nciana pruning. a) Filling of the pyrolyzing furnace, b) Sealing of the furnace, c) Extraction</w:t>
      </w:r>
      <w:r w:rsidR="00D80863">
        <w:rPr>
          <w:rStyle w:val="CETCaptionCarattere"/>
          <w:i/>
        </w:rPr>
        <w:t xml:space="preserve"> of the biochar made in 04 h</w:t>
      </w:r>
      <w:r w:rsidRPr="008E74A4">
        <w:rPr>
          <w:rStyle w:val="CETCaptionCarattere"/>
          <w:i/>
        </w:rPr>
        <w:t xml:space="preserve"> by slow pyrolysis at 500 </w:t>
      </w:r>
      <w:r w:rsidR="001F5E64">
        <w:rPr>
          <w:rStyle w:val="CETCaptionCarattere"/>
          <w:i/>
        </w:rPr>
        <w:t>–</w:t>
      </w:r>
      <w:r w:rsidRPr="008E74A4">
        <w:rPr>
          <w:rStyle w:val="CETCaptionCarattere"/>
          <w:i/>
        </w:rPr>
        <w:t xml:space="preserve"> 600</w:t>
      </w:r>
      <w:r w:rsidR="001F5E64">
        <w:rPr>
          <w:rStyle w:val="CETCaptionCarattere"/>
          <w:i/>
        </w:rPr>
        <w:t xml:space="preserve"> </w:t>
      </w:r>
      <w:r w:rsidRPr="008E74A4">
        <w:rPr>
          <w:rStyle w:val="CETCaptionCarattere"/>
          <w:i/>
        </w:rPr>
        <w:t>°C, d) Stabilization of the biochar before being activated, e) Activated biochar in the milling process, and f) Sample of fine biochar.</w:t>
      </w:r>
    </w:p>
    <w:p w14:paraId="6C5B5536" w14:textId="3D851FAA" w:rsidR="00FF78CC" w:rsidRPr="00A14554" w:rsidRDefault="00FF78CC" w:rsidP="00FF78CC">
      <w:pPr>
        <w:pStyle w:val="CETTabletitle"/>
        <w:rPr>
          <w:lang w:val="en-US"/>
        </w:rPr>
      </w:pPr>
      <w:r w:rsidRPr="00A14554">
        <w:rPr>
          <w:lang w:val="en-US"/>
        </w:rPr>
        <w:t xml:space="preserve">Table 1: </w:t>
      </w:r>
      <w:r w:rsidR="001D4298" w:rsidRPr="001D4298">
        <w:rPr>
          <w:lang w:val="en-US"/>
        </w:rPr>
        <w:t>Physical characteristics of activated biochar from Po</w:t>
      </w:r>
      <w:r w:rsidR="00D6283C">
        <w:rPr>
          <w:lang w:val="en-US"/>
        </w:rPr>
        <w:t>i</w:t>
      </w:r>
      <w:r w:rsidR="001D4298" w:rsidRPr="001D4298">
        <w:rPr>
          <w:lang w:val="en-US"/>
        </w:rPr>
        <w:t>nciana prunings</w:t>
      </w:r>
    </w:p>
    <w:tbl>
      <w:tblPr>
        <w:tblW w:w="5580" w:type="dxa"/>
        <w:tblBorders>
          <w:top w:val="single" w:sz="12" w:space="0" w:color="538135"/>
          <w:bottom w:val="single" w:sz="12" w:space="0" w:color="538135"/>
        </w:tblBorders>
        <w:tblLayout w:type="fixed"/>
        <w:tblLook w:val="04A0" w:firstRow="1" w:lastRow="0" w:firstColumn="1" w:lastColumn="0" w:noHBand="0" w:noVBand="1"/>
      </w:tblPr>
      <w:tblGrid>
        <w:gridCol w:w="3907"/>
        <w:gridCol w:w="1673"/>
      </w:tblGrid>
      <w:tr w:rsidR="001D4298" w:rsidRPr="001D4298" w14:paraId="36A45318" w14:textId="77777777" w:rsidTr="00FA1AF9">
        <w:trPr>
          <w:trHeight w:val="544"/>
        </w:trPr>
        <w:tc>
          <w:tcPr>
            <w:tcW w:w="3907" w:type="dxa"/>
            <w:tcBorders>
              <w:top w:val="single" w:sz="12" w:space="0" w:color="538135"/>
              <w:bottom w:val="single" w:sz="4" w:space="0" w:color="538135"/>
            </w:tcBorders>
            <w:vAlign w:val="center"/>
          </w:tcPr>
          <w:p w14:paraId="0E2ED870" w14:textId="77777777" w:rsidR="001D4298" w:rsidRPr="001D4298" w:rsidRDefault="001D4298" w:rsidP="008C4DEE">
            <w:pPr>
              <w:pBdr>
                <w:top w:val="nil"/>
                <w:left w:val="nil"/>
                <w:bottom w:val="nil"/>
                <w:right w:val="nil"/>
                <w:between w:val="nil"/>
              </w:pBdr>
              <w:jc w:val="center"/>
              <w:rPr>
                <w:rFonts w:eastAsia="Calibri" w:cs="Arial"/>
                <w:color w:val="000000"/>
                <w:szCs w:val="18"/>
              </w:rPr>
            </w:pPr>
            <w:r w:rsidRPr="001D4298">
              <w:rPr>
                <w:rFonts w:eastAsia="Calibri" w:cs="Arial"/>
                <w:szCs w:val="18"/>
              </w:rPr>
              <w:t>Physical parameters</w:t>
            </w:r>
          </w:p>
        </w:tc>
        <w:tc>
          <w:tcPr>
            <w:tcW w:w="1673" w:type="dxa"/>
            <w:tcBorders>
              <w:top w:val="single" w:sz="12" w:space="0" w:color="538135"/>
              <w:bottom w:val="single" w:sz="4" w:space="0" w:color="538135"/>
            </w:tcBorders>
            <w:vAlign w:val="center"/>
          </w:tcPr>
          <w:p w14:paraId="3631FC2E"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Value</w:t>
            </w:r>
          </w:p>
        </w:tc>
      </w:tr>
      <w:tr w:rsidR="001D4298" w:rsidRPr="001D4298" w14:paraId="47D38F78" w14:textId="77777777" w:rsidTr="00FA1AF9">
        <w:trPr>
          <w:trHeight w:val="315"/>
        </w:trPr>
        <w:tc>
          <w:tcPr>
            <w:tcW w:w="3907" w:type="dxa"/>
            <w:tcBorders>
              <w:top w:val="single" w:sz="4" w:space="0" w:color="538135"/>
            </w:tcBorders>
            <w:vAlign w:val="center"/>
          </w:tcPr>
          <w:p w14:paraId="59148626"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 xml:space="preserve"> Humidity (%)</w:t>
            </w:r>
          </w:p>
        </w:tc>
        <w:tc>
          <w:tcPr>
            <w:tcW w:w="1673" w:type="dxa"/>
            <w:tcBorders>
              <w:top w:val="single" w:sz="4" w:space="0" w:color="538135"/>
            </w:tcBorders>
            <w:vAlign w:val="center"/>
          </w:tcPr>
          <w:p w14:paraId="036B561F"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10.7</w:t>
            </w:r>
          </w:p>
        </w:tc>
      </w:tr>
      <w:tr w:rsidR="001D4298" w:rsidRPr="001D4298" w14:paraId="64EF719F" w14:textId="77777777" w:rsidTr="00FA1AF9">
        <w:trPr>
          <w:trHeight w:val="315"/>
        </w:trPr>
        <w:tc>
          <w:tcPr>
            <w:tcW w:w="3907" w:type="dxa"/>
            <w:vAlign w:val="center"/>
          </w:tcPr>
          <w:p w14:paraId="1A33CEE1"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Volatile material (%)</w:t>
            </w:r>
          </w:p>
        </w:tc>
        <w:tc>
          <w:tcPr>
            <w:tcW w:w="1673" w:type="dxa"/>
            <w:vAlign w:val="center"/>
          </w:tcPr>
          <w:p w14:paraId="509450E0"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13.78</w:t>
            </w:r>
          </w:p>
        </w:tc>
      </w:tr>
      <w:tr w:rsidR="001D4298" w:rsidRPr="001D4298" w14:paraId="634A81B8" w14:textId="77777777" w:rsidTr="00FA1AF9">
        <w:trPr>
          <w:trHeight w:val="300"/>
        </w:trPr>
        <w:tc>
          <w:tcPr>
            <w:tcW w:w="3907" w:type="dxa"/>
            <w:vAlign w:val="center"/>
          </w:tcPr>
          <w:p w14:paraId="50E6CF35"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Ash (%)</w:t>
            </w:r>
          </w:p>
        </w:tc>
        <w:tc>
          <w:tcPr>
            <w:tcW w:w="1673" w:type="dxa"/>
            <w:vAlign w:val="center"/>
          </w:tcPr>
          <w:p w14:paraId="41A7F40E"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55.77</w:t>
            </w:r>
          </w:p>
        </w:tc>
      </w:tr>
      <w:tr w:rsidR="001D4298" w:rsidRPr="001D4298" w14:paraId="6885ACD8" w14:textId="77777777" w:rsidTr="00FA1AF9">
        <w:trPr>
          <w:trHeight w:val="315"/>
        </w:trPr>
        <w:tc>
          <w:tcPr>
            <w:tcW w:w="3907" w:type="dxa"/>
            <w:vAlign w:val="center"/>
          </w:tcPr>
          <w:p w14:paraId="3C5F585F"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Fixed carbon (%)</w:t>
            </w:r>
          </w:p>
        </w:tc>
        <w:tc>
          <w:tcPr>
            <w:tcW w:w="1673" w:type="dxa"/>
            <w:vAlign w:val="center"/>
          </w:tcPr>
          <w:p w14:paraId="30CDF6E6"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30.45</w:t>
            </w:r>
          </w:p>
        </w:tc>
      </w:tr>
      <w:tr w:rsidR="001D4298" w:rsidRPr="001D4298" w14:paraId="2DECE9C1" w14:textId="77777777" w:rsidTr="00FA1AF9">
        <w:trPr>
          <w:trHeight w:val="315"/>
        </w:trPr>
        <w:tc>
          <w:tcPr>
            <w:tcW w:w="3907" w:type="dxa"/>
            <w:vAlign w:val="center"/>
          </w:tcPr>
          <w:p w14:paraId="6B44CBC2" w14:textId="05D09923" w:rsidR="001D4298" w:rsidRPr="001D4298" w:rsidRDefault="001F5E64" w:rsidP="008C4DEE">
            <w:pPr>
              <w:spacing w:line="276" w:lineRule="auto"/>
              <w:jc w:val="center"/>
              <w:rPr>
                <w:rFonts w:eastAsia="Calibri" w:cs="Arial"/>
                <w:szCs w:val="18"/>
              </w:rPr>
            </w:pPr>
            <w:r>
              <w:rPr>
                <w:rFonts w:eastAsia="Calibri" w:cs="Arial"/>
                <w:szCs w:val="18"/>
              </w:rPr>
              <w:t>Calorific value (kcal/k</w:t>
            </w:r>
            <w:r w:rsidR="001D4298" w:rsidRPr="001D4298">
              <w:rPr>
                <w:rFonts w:eastAsia="Calibri" w:cs="Arial"/>
                <w:szCs w:val="18"/>
              </w:rPr>
              <w:t>g)</w:t>
            </w:r>
          </w:p>
        </w:tc>
        <w:tc>
          <w:tcPr>
            <w:tcW w:w="1673" w:type="dxa"/>
            <w:vAlign w:val="center"/>
          </w:tcPr>
          <w:p w14:paraId="4949C3E4"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4150.5</w:t>
            </w:r>
          </w:p>
        </w:tc>
      </w:tr>
      <w:tr w:rsidR="001D4298" w:rsidRPr="001D4298" w14:paraId="45670423" w14:textId="77777777" w:rsidTr="00FA1AF9">
        <w:trPr>
          <w:trHeight w:val="315"/>
        </w:trPr>
        <w:tc>
          <w:tcPr>
            <w:tcW w:w="3907" w:type="dxa"/>
            <w:vAlign w:val="center"/>
          </w:tcPr>
          <w:p w14:paraId="74D0687A"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Particle size (µm)</w:t>
            </w:r>
          </w:p>
        </w:tc>
        <w:tc>
          <w:tcPr>
            <w:tcW w:w="1673" w:type="dxa"/>
            <w:vAlign w:val="center"/>
          </w:tcPr>
          <w:p w14:paraId="7A450894"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44</w:t>
            </w:r>
          </w:p>
        </w:tc>
      </w:tr>
      <w:tr w:rsidR="001D4298" w:rsidRPr="001D4298" w14:paraId="53164313" w14:textId="77777777" w:rsidTr="00FA1AF9">
        <w:trPr>
          <w:trHeight w:val="315"/>
        </w:trPr>
        <w:tc>
          <w:tcPr>
            <w:tcW w:w="3907" w:type="dxa"/>
            <w:vAlign w:val="center"/>
          </w:tcPr>
          <w:p w14:paraId="1C167B9F"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Processing time (h)</w:t>
            </w:r>
          </w:p>
        </w:tc>
        <w:tc>
          <w:tcPr>
            <w:tcW w:w="1673" w:type="dxa"/>
            <w:vAlign w:val="center"/>
          </w:tcPr>
          <w:p w14:paraId="2591527D"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3</w:t>
            </w:r>
          </w:p>
        </w:tc>
      </w:tr>
      <w:tr w:rsidR="001D4298" w:rsidRPr="001D4298" w14:paraId="19B14B9D" w14:textId="77777777" w:rsidTr="00FA1AF9">
        <w:trPr>
          <w:trHeight w:val="315"/>
        </w:trPr>
        <w:tc>
          <w:tcPr>
            <w:tcW w:w="3907" w:type="dxa"/>
            <w:vAlign w:val="center"/>
          </w:tcPr>
          <w:p w14:paraId="18181C8D"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 xml:space="preserve">Thermal conductivity </w:t>
            </w:r>
            <w:r w:rsidRPr="001D4298">
              <w:rPr>
                <w:rFonts w:cs="Arial"/>
                <w:szCs w:val="18"/>
              </w:rPr>
              <w:t>(W/mK)</w:t>
            </w:r>
          </w:p>
        </w:tc>
        <w:tc>
          <w:tcPr>
            <w:tcW w:w="1673" w:type="dxa"/>
            <w:vAlign w:val="center"/>
          </w:tcPr>
          <w:p w14:paraId="700C0F3B"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345.2</w:t>
            </w:r>
          </w:p>
        </w:tc>
      </w:tr>
      <w:tr w:rsidR="001D4298" w:rsidRPr="001D4298" w14:paraId="2C2C1B6C" w14:textId="77777777" w:rsidTr="00FA1AF9">
        <w:trPr>
          <w:trHeight w:val="300"/>
        </w:trPr>
        <w:tc>
          <w:tcPr>
            <w:tcW w:w="3907" w:type="dxa"/>
            <w:vAlign w:val="center"/>
          </w:tcPr>
          <w:p w14:paraId="41AE7F35" w14:textId="77777777" w:rsidR="001D4298" w:rsidRPr="001D4298" w:rsidRDefault="001D4298" w:rsidP="008C4DEE">
            <w:pPr>
              <w:spacing w:line="276" w:lineRule="auto"/>
              <w:jc w:val="center"/>
              <w:rPr>
                <w:rFonts w:eastAsia="Calibri" w:cs="Arial"/>
                <w:szCs w:val="18"/>
              </w:rPr>
            </w:pPr>
            <w:r w:rsidRPr="001D4298">
              <w:rPr>
                <w:rFonts w:eastAsia="Calibri" w:cs="Arial"/>
                <w:szCs w:val="18"/>
              </w:rPr>
              <w:t xml:space="preserve">Thermal resistance </w:t>
            </w:r>
            <w:r w:rsidRPr="001D4298">
              <w:rPr>
                <w:rFonts w:cs="Arial"/>
                <w:szCs w:val="18"/>
              </w:rPr>
              <w:t>(m</w:t>
            </w:r>
            <w:r w:rsidRPr="001D4298">
              <w:rPr>
                <w:rFonts w:cs="Arial"/>
                <w:szCs w:val="18"/>
                <w:vertAlign w:val="superscript"/>
              </w:rPr>
              <w:t>2</w:t>
            </w:r>
            <w:r w:rsidRPr="001D4298">
              <w:rPr>
                <w:rFonts w:cs="Arial"/>
                <w:szCs w:val="18"/>
              </w:rPr>
              <w:t>K/ W)</w:t>
            </w:r>
          </w:p>
        </w:tc>
        <w:tc>
          <w:tcPr>
            <w:tcW w:w="1673" w:type="dxa"/>
            <w:vAlign w:val="center"/>
          </w:tcPr>
          <w:p w14:paraId="5E52DE6E" w14:textId="77777777" w:rsidR="001D4298" w:rsidRPr="001D4298" w:rsidRDefault="001D4298" w:rsidP="008C4DEE">
            <w:pPr>
              <w:spacing w:line="276" w:lineRule="auto"/>
              <w:jc w:val="center"/>
              <w:rPr>
                <w:rFonts w:eastAsia="Calibri" w:cs="Arial"/>
                <w:szCs w:val="18"/>
              </w:rPr>
            </w:pPr>
            <w:r w:rsidRPr="001D4298">
              <w:rPr>
                <w:rFonts w:cs="Arial"/>
                <w:szCs w:val="18"/>
              </w:rPr>
              <w:t>0.00004</w:t>
            </w:r>
          </w:p>
        </w:tc>
      </w:tr>
    </w:tbl>
    <w:p w14:paraId="151FD304" w14:textId="25E8D923" w:rsidR="00942127" w:rsidRPr="00D8620B" w:rsidRDefault="00942127" w:rsidP="00FF78CC">
      <w:pPr>
        <w:pStyle w:val="CETBodytext"/>
        <w:jc w:val="left"/>
      </w:pPr>
    </w:p>
    <w:p w14:paraId="20550F09" w14:textId="24E9B39E" w:rsidR="001D4298" w:rsidRPr="001D4298" w:rsidRDefault="001D4298" w:rsidP="001D4298">
      <w:pPr>
        <w:pStyle w:val="CETCaption"/>
        <w:spacing w:before="0"/>
        <w:rPr>
          <w:rStyle w:val="CETCaptionCarattere"/>
        </w:rPr>
      </w:pPr>
      <w:r w:rsidRPr="001D4298">
        <w:rPr>
          <w:rStyle w:val="CETCaptionCarattere"/>
        </w:rPr>
        <w:t>The pruning activated biochar presented an electrical conductivity of 345.2 W/mK and a thermal resistance of 0.00004 m</w:t>
      </w:r>
      <w:r w:rsidRPr="001D4298">
        <w:rPr>
          <w:rStyle w:val="CETCaptionCarattere"/>
          <w:vertAlign w:val="superscript"/>
        </w:rPr>
        <w:t>2</w:t>
      </w:r>
      <w:r w:rsidRPr="001D4298">
        <w:rPr>
          <w:rStyle w:val="CETCaptionCarattere"/>
        </w:rPr>
        <w:t>K/W. Xu et al. (2017) obtained thermal conductivities of 0.28 and 0.45 W/mK for natural and carbonized mushrooms, respectively. Similarly, Gong et al (2019) fabricated a porous polyimelamine sponge that had a photothermal efficiency of 92</w:t>
      </w:r>
      <w:r w:rsidR="00BC5532">
        <w:rPr>
          <w:rStyle w:val="CETCaptionCarattere"/>
        </w:rPr>
        <w:t xml:space="preserve"> </w:t>
      </w:r>
      <w:r w:rsidRPr="001D4298">
        <w:rPr>
          <w:rStyle w:val="CETCaptionCarattere"/>
        </w:rPr>
        <w:t>% and an ultra-low thermal conductivity of 0.038 W/mK.</w:t>
      </w:r>
    </w:p>
    <w:p w14:paraId="7D318B31" w14:textId="44EF5F41" w:rsidR="0025375A" w:rsidRPr="00C14646" w:rsidRDefault="00C14646" w:rsidP="00C14646">
      <w:pPr>
        <w:pStyle w:val="CETheadingx"/>
        <w:rPr>
          <w:iCs/>
          <w:lang w:val="en-GB"/>
        </w:rPr>
      </w:pPr>
      <w:r>
        <w:rPr>
          <w:iCs/>
          <w:lang w:val="en-GB"/>
        </w:rPr>
        <w:t xml:space="preserve">3.2 </w:t>
      </w:r>
      <w:r w:rsidR="001D4298" w:rsidRPr="001D4298">
        <w:rPr>
          <w:iCs/>
          <w:lang w:val="en-GB"/>
        </w:rPr>
        <w:t>Sea water salinity reduction treatment</w:t>
      </w:r>
    </w:p>
    <w:p w14:paraId="5260E4BB" w14:textId="07456D3B" w:rsidR="00006CDD" w:rsidRPr="0000026C" w:rsidRDefault="001D4298" w:rsidP="00006CDD">
      <w:pPr>
        <w:pStyle w:val="CETTabletitle"/>
        <w:spacing w:before="0" w:after="0"/>
        <w:jc w:val="both"/>
        <w:rPr>
          <w:i w:val="0"/>
          <w:lang w:val="en-US"/>
        </w:rPr>
      </w:pPr>
      <w:r w:rsidRPr="001D4298">
        <w:rPr>
          <w:i w:val="0"/>
          <w:lang w:val="en-US"/>
        </w:rPr>
        <w:t>In the seawater salinity reduction treatment, 3.9</w:t>
      </w:r>
      <w:r w:rsidR="001F5E64">
        <w:rPr>
          <w:i w:val="0"/>
          <w:lang w:val="en-US"/>
        </w:rPr>
        <w:t xml:space="preserve"> </w:t>
      </w:r>
      <w:r w:rsidRPr="001D4298">
        <w:rPr>
          <w:i w:val="0"/>
          <w:lang w:val="en-US"/>
        </w:rPr>
        <w:t>L of treated water was obtained in 6</w:t>
      </w:r>
      <w:r w:rsidR="001F5E64">
        <w:rPr>
          <w:i w:val="0"/>
          <w:lang w:val="en-US"/>
        </w:rPr>
        <w:t xml:space="preserve"> </w:t>
      </w:r>
      <w:r w:rsidRPr="001D4298">
        <w:rPr>
          <w:i w:val="0"/>
          <w:lang w:val="en-US"/>
        </w:rPr>
        <w:t>h, with</w:t>
      </w:r>
      <w:r w:rsidR="001F5E64">
        <w:rPr>
          <w:i w:val="0"/>
          <w:lang w:val="en-US"/>
        </w:rPr>
        <w:t xml:space="preserve"> an incident radiation of 0.98 k</w:t>
      </w:r>
      <w:r w:rsidRPr="001D4298">
        <w:rPr>
          <w:i w:val="0"/>
          <w:lang w:val="en-US"/>
        </w:rPr>
        <w:t>W/m</w:t>
      </w:r>
      <w:r w:rsidRPr="001F5E64">
        <w:rPr>
          <w:i w:val="0"/>
          <w:vertAlign w:val="superscript"/>
          <w:lang w:val="en-US"/>
        </w:rPr>
        <w:t>2</w:t>
      </w:r>
      <w:r w:rsidRPr="001D4298">
        <w:rPr>
          <w:i w:val="0"/>
          <w:lang w:val="en-US"/>
        </w:rPr>
        <w:t xml:space="preserve"> at 12:00 noon, which increased the surface temperature of the photothermal membrane to 138</w:t>
      </w:r>
      <w:r w:rsidR="001F5E64">
        <w:rPr>
          <w:i w:val="0"/>
          <w:lang w:val="en-US"/>
        </w:rPr>
        <w:t xml:space="preserve"> </w:t>
      </w:r>
      <w:r w:rsidRPr="001D4298">
        <w:rPr>
          <w:i w:val="0"/>
          <w:lang w:val="en-US"/>
        </w:rPr>
        <w:t>°C</w:t>
      </w:r>
      <w:r w:rsidR="0018318B">
        <w:rPr>
          <w:i w:val="0"/>
          <w:lang w:val="en-US"/>
        </w:rPr>
        <w:t xml:space="preserve"> (see Figure 3)</w:t>
      </w:r>
      <w:r w:rsidRPr="001D4298">
        <w:rPr>
          <w:i w:val="0"/>
          <w:lang w:val="en-US"/>
        </w:rPr>
        <w:t xml:space="preserve">. </w:t>
      </w:r>
      <w:r w:rsidR="00006CDD" w:rsidRPr="001D4298">
        <w:rPr>
          <w:i w:val="0"/>
          <w:lang w:val="en-US"/>
        </w:rPr>
        <w:t xml:space="preserve">The physical and chemical parameters of the seawater before and after treatment are presented in Table 3. After treatment, on day 3 a reduction in salinity can be observed, where the amount of </w:t>
      </w:r>
      <w:r w:rsidR="008C152D">
        <w:rPr>
          <w:i w:val="0"/>
          <w:lang w:val="en-US"/>
        </w:rPr>
        <w:lastRenderedPageBreak/>
        <w:t>chlorides was reduced from 19,</w:t>
      </w:r>
      <w:r w:rsidR="00006CDD" w:rsidRPr="001D4298">
        <w:rPr>
          <w:i w:val="0"/>
          <w:lang w:val="en-US"/>
        </w:rPr>
        <w:t>505</w:t>
      </w:r>
      <w:r w:rsidR="008C152D">
        <w:rPr>
          <w:i w:val="0"/>
          <w:lang w:val="en-US"/>
        </w:rPr>
        <w:t>.</w:t>
      </w:r>
      <w:r w:rsidR="00006CDD" w:rsidRPr="001D4298">
        <w:rPr>
          <w:i w:val="0"/>
          <w:lang w:val="en-US"/>
        </w:rPr>
        <w:t>5</w:t>
      </w:r>
      <w:r w:rsidR="008C152D">
        <w:rPr>
          <w:i w:val="0"/>
          <w:lang w:val="en-US"/>
        </w:rPr>
        <w:t>0 mg/L to 28.6</w:t>
      </w:r>
      <w:r w:rsidR="00006CDD" w:rsidRPr="001D4298">
        <w:rPr>
          <w:i w:val="0"/>
          <w:lang w:val="en-US"/>
        </w:rPr>
        <w:t xml:space="preserve"> mg/L, with an efficiency of 99.85 %. The other parameters </w:t>
      </w:r>
      <w:r w:rsidR="00B9312E" w:rsidRPr="00B64B20">
        <w:rPr>
          <w:noProof/>
          <w:color w:val="000000"/>
          <w:lang w:val="es-PE" w:eastAsia="es-PE"/>
        </w:rPr>
        <w:drawing>
          <wp:anchor distT="0" distB="0" distL="114300" distR="114300" simplePos="0" relativeHeight="251658240" behindDoc="0" locked="0" layoutInCell="1" allowOverlap="1" wp14:anchorId="0629EA39" wp14:editId="07AED109">
            <wp:simplePos x="0" y="0"/>
            <wp:positionH relativeFrom="column">
              <wp:posOffset>706120</wp:posOffset>
            </wp:positionH>
            <wp:positionV relativeFrom="paragraph">
              <wp:posOffset>158115</wp:posOffset>
            </wp:positionV>
            <wp:extent cx="2696845" cy="4077335"/>
            <wp:effectExtent l="0" t="4445" r="3810" b="3810"/>
            <wp:wrapTopAndBottom/>
            <wp:docPr id="109" name="Imagen 109" descr="G:\DESARROLLO DE TESIS 2019-2\TESIS\TESIS FOTOS\IMG_20191031_09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ESARROLLO DE TESIS 2019-2\TESIS\TESIS FOTOS\IMG_20191031_09561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018" r="9574"/>
                    <a:stretch/>
                  </pic:blipFill>
                  <pic:spPr bwMode="auto">
                    <a:xfrm rot="5400000">
                      <a:off x="0" y="0"/>
                      <a:ext cx="2696845" cy="4077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6CDD" w:rsidRPr="001D4298">
        <w:rPr>
          <w:i w:val="0"/>
          <w:lang w:val="en-US"/>
        </w:rPr>
        <w:t>such as electrical conductivity, turbidity, sodium, alkalinity, phosphates, dissolved oxygen, sulfates, total solids and dissolved solids also had significant reductions in their values. While, BOD and COD had an increase in their values due to biological oxidation and chemical oxidation of the compounds present in the water, which increase in the exposure period during treatm</w:t>
      </w:r>
      <w:r w:rsidR="00006CDD">
        <w:rPr>
          <w:i w:val="0"/>
          <w:lang w:val="en-US"/>
        </w:rPr>
        <w:t>ent (Carrillo and Pulido, 2018)</w:t>
      </w:r>
      <w:r w:rsidR="00006CDD" w:rsidRPr="0000026C">
        <w:rPr>
          <w:i w:val="0"/>
          <w:lang w:val="en-US"/>
        </w:rPr>
        <w:t>.</w:t>
      </w:r>
    </w:p>
    <w:p w14:paraId="0E7BE4B8" w14:textId="74FA05AB" w:rsidR="00006CDD" w:rsidRPr="00006CDD" w:rsidRDefault="00006CDD" w:rsidP="00B9312E">
      <w:pPr>
        <w:pStyle w:val="CETCaption"/>
        <w:spacing w:before="0"/>
        <w:rPr>
          <w:rStyle w:val="CETCaptionCarattere"/>
          <w:i/>
        </w:rPr>
      </w:pPr>
      <w:r>
        <w:rPr>
          <w:rStyle w:val="CETCaptionCarattere"/>
          <w:i/>
        </w:rPr>
        <w:t>Figure 3</w:t>
      </w:r>
      <w:r w:rsidRPr="00A14554">
        <w:rPr>
          <w:rStyle w:val="CETCaptionCarattere"/>
          <w:i/>
        </w:rPr>
        <w:t xml:space="preserve">: </w:t>
      </w:r>
      <w:r w:rsidRPr="00006CDD">
        <w:rPr>
          <w:rStyle w:val="CETCaptionCarattere"/>
          <w:i/>
        </w:rPr>
        <w:t>In-situ salinity reduction treatment</w:t>
      </w:r>
    </w:p>
    <w:p w14:paraId="71310C3C" w14:textId="65B0897C" w:rsidR="008B156C" w:rsidRDefault="009D1AC8" w:rsidP="00C14646">
      <w:pPr>
        <w:pStyle w:val="CETTabletitle"/>
        <w:rPr>
          <w:lang w:val="en-US"/>
        </w:rPr>
      </w:pPr>
      <w:r w:rsidRPr="009D1AC8">
        <w:rPr>
          <w:lang w:val="en-US"/>
        </w:rPr>
        <w:t>Table 2</w:t>
      </w:r>
      <w:r w:rsidR="008B156C" w:rsidRPr="009D1AC8">
        <w:rPr>
          <w:lang w:val="en-US"/>
        </w:rPr>
        <w:t xml:space="preserve">: </w:t>
      </w:r>
      <w:r w:rsidR="001D4298" w:rsidRPr="001D4298">
        <w:rPr>
          <w:lang w:val="en-US"/>
        </w:rPr>
        <w:t>Results of physicochemical parameters</w:t>
      </w:r>
    </w:p>
    <w:tbl>
      <w:tblPr>
        <w:tblW w:w="7206" w:type="dxa"/>
        <w:tblBorders>
          <w:top w:val="single" w:sz="12" w:space="0" w:color="538135"/>
          <w:bottom w:val="single" w:sz="12" w:space="0" w:color="538135"/>
        </w:tblBorders>
        <w:tblLayout w:type="fixed"/>
        <w:tblLook w:val="0400" w:firstRow="0" w:lastRow="0" w:firstColumn="0" w:lastColumn="0" w:noHBand="0" w:noVBand="1"/>
      </w:tblPr>
      <w:tblGrid>
        <w:gridCol w:w="2882"/>
        <w:gridCol w:w="1087"/>
        <w:gridCol w:w="1276"/>
        <w:gridCol w:w="851"/>
        <w:gridCol w:w="1110"/>
      </w:tblGrid>
      <w:tr w:rsidR="009D546A" w:rsidRPr="00825260" w14:paraId="6F57BB4C" w14:textId="77777777" w:rsidTr="00D4748C">
        <w:trPr>
          <w:trHeight w:val="463"/>
        </w:trPr>
        <w:tc>
          <w:tcPr>
            <w:tcW w:w="2882" w:type="dxa"/>
            <w:tcBorders>
              <w:top w:val="single" w:sz="12" w:space="0" w:color="538135"/>
              <w:bottom w:val="single" w:sz="4" w:space="0" w:color="538135"/>
            </w:tcBorders>
            <w:shd w:val="clear" w:color="auto" w:fill="auto"/>
            <w:vAlign w:val="center"/>
          </w:tcPr>
          <w:p w14:paraId="55DB71DD" w14:textId="0694E29A" w:rsidR="00825260" w:rsidRPr="009D546A" w:rsidRDefault="00825260" w:rsidP="009D546A">
            <w:pPr>
              <w:spacing w:line="240" w:lineRule="auto"/>
              <w:jc w:val="center"/>
              <w:rPr>
                <w:rFonts w:eastAsia="Calibri" w:cs="Arial"/>
                <w:b/>
                <w:color w:val="000000"/>
                <w:szCs w:val="18"/>
              </w:rPr>
            </w:pPr>
            <w:r w:rsidRPr="009D546A">
              <w:rPr>
                <w:rFonts w:eastAsia="Calibri" w:cs="Arial"/>
                <w:b/>
                <w:color w:val="000000"/>
                <w:szCs w:val="18"/>
              </w:rPr>
              <w:t>Parameters</w:t>
            </w:r>
          </w:p>
        </w:tc>
        <w:tc>
          <w:tcPr>
            <w:tcW w:w="1087" w:type="dxa"/>
            <w:tcBorders>
              <w:top w:val="single" w:sz="12" w:space="0" w:color="538135"/>
              <w:bottom w:val="single" w:sz="4" w:space="0" w:color="538135"/>
            </w:tcBorders>
            <w:shd w:val="clear" w:color="auto" w:fill="auto"/>
            <w:vAlign w:val="center"/>
          </w:tcPr>
          <w:p w14:paraId="5EAC056C" w14:textId="3FB65255" w:rsidR="00825260" w:rsidRPr="009D546A" w:rsidRDefault="00825260" w:rsidP="009D546A">
            <w:pPr>
              <w:spacing w:line="240" w:lineRule="auto"/>
              <w:jc w:val="center"/>
              <w:rPr>
                <w:rFonts w:eastAsia="Calibri" w:cs="Arial"/>
                <w:b/>
                <w:color w:val="000000"/>
                <w:szCs w:val="18"/>
              </w:rPr>
            </w:pPr>
            <w:r w:rsidRPr="009D546A">
              <w:rPr>
                <w:rFonts w:eastAsia="Calibri" w:cs="Arial"/>
                <w:b/>
                <w:color w:val="000000"/>
                <w:szCs w:val="18"/>
              </w:rPr>
              <w:t>Initial</w:t>
            </w:r>
          </w:p>
        </w:tc>
        <w:tc>
          <w:tcPr>
            <w:tcW w:w="1276" w:type="dxa"/>
            <w:tcBorders>
              <w:top w:val="single" w:sz="12" w:space="0" w:color="538135"/>
              <w:bottom w:val="single" w:sz="4" w:space="0" w:color="538135"/>
            </w:tcBorders>
            <w:shd w:val="clear" w:color="auto" w:fill="auto"/>
            <w:vAlign w:val="center"/>
          </w:tcPr>
          <w:p w14:paraId="0858EDC9" w14:textId="089AFF67" w:rsidR="00825260" w:rsidRPr="009D546A" w:rsidRDefault="00825260" w:rsidP="009D546A">
            <w:pPr>
              <w:spacing w:line="240" w:lineRule="auto"/>
              <w:jc w:val="center"/>
              <w:rPr>
                <w:rFonts w:eastAsia="Calibri" w:cs="Arial"/>
                <w:b/>
                <w:color w:val="000000"/>
                <w:szCs w:val="18"/>
              </w:rPr>
            </w:pPr>
            <w:bookmarkStart w:id="1" w:name="_heading=h.2et92p0" w:colFirst="0" w:colLast="0"/>
            <w:bookmarkEnd w:id="1"/>
            <w:r w:rsidRPr="009D546A">
              <w:rPr>
                <w:rFonts w:eastAsia="Calibri" w:cs="Arial"/>
                <w:b/>
                <w:color w:val="000000"/>
                <w:szCs w:val="18"/>
              </w:rPr>
              <w:t>Day 1</w:t>
            </w:r>
          </w:p>
        </w:tc>
        <w:tc>
          <w:tcPr>
            <w:tcW w:w="851" w:type="dxa"/>
            <w:tcBorders>
              <w:top w:val="single" w:sz="12" w:space="0" w:color="538135"/>
              <w:bottom w:val="single" w:sz="4" w:space="0" w:color="538135"/>
            </w:tcBorders>
            <w:shd w:val="clear" w:color="auto" w:fill="auto"/>
            <w:vAlign w:val="center"/>
          </w:tcPr>
          <w:p w14:paraId="56A6DA8F" w14:textId="65B6CDD0" w:rsidR="00825260" w:rsidRPr="009D546A" w:rsidRDefault="00825260" w:rsidP="009D546A">
            <w:pPr>
              <w:spacing w:line="240" w:lineRule="auto"/>
              <w:jc w:val="center"/>
              <w:rPr>
                <w:rFonts w:eastAsia="Calibri" w:cs="Arial"/>
                <w:b/>
                <w:color w:val="000000"/>
                <w:szCs w:val="18"/>
              </w:rPr>
            </w:pPr>
            <w:r w:rsidRPr="009D546A">
              <w:rPr>
                <w:rFonts w:eastAsia="Calibri" w:cs="Arial"/>
                <w:b/>
                <w:color w:val="000000"/>
                <w:szCs w:val="18"/>
              </w:rPr>
              <w:t>Day 2</w:t>
            </w:r>
          </w:p>
        </w:tc>
        <w:tc>
          <w:tcPr>
            <w:tcW w:w="1110" w:type="dxa"/>
            <w:tcBorders>
              <w:top w:val="single" w:sz="12" w:space="0" w:color="538135"/>
              <w:bottom w:val="single" w:sz="4" w:space="0" w:color="538135"/>
            </w:tcBorders>
            <w:shd w:val="clear" w:color="auto" w:fill="auto"/>
            <w:vAlign w:val="center"/>
          </w:tcPr>
          <w:p w14:paraId="5A1B9609" w14:textId="3157F287" w:rsidR="00825260" w:rsidRPr="009D546A" w:rsidRDefault="00825260" w:rsidP="009D546A">
            <w:pPr>
              <w:spacing w:line="240" w:lineRule="auto"/>
              <w:jc w:val="center"/>
              <w:rPr>
                <w:rFonts w:eastAsia="Calibri" w:cs="Arial"/>
                <w:b/>
                <w:color w:val="000000"/>
                <w:szCs w:val="18"/>
              </w:rPr>
            </w:pPr>
            <w:r w:rsidRPr="009D546A">
              <w:rPr>
                <w:rFonts w:eastAsia="Calibri" w:cs="Arial"/>
                <w:b/>
                <w:color w:val="000000"/>
                <w:szCs w:val="18"/>
              </w:rPr>
              <w:t>Day 3</w:t>
            </w:r>
          </w:p>
        </w:tc>
      </w:tr>
      <w:tr w:rsidR="009D546A" w:rsidRPr="00825260" w14:paraId="0F1DD7BB" w14:textId="77777777" w:rsidTr="00D4748C">
        <w:trPr>
          <w:trHeight w:val="367"/>
        </w:trPr>
        <w:tc>
          <w:tcPr>
            <w:tcW w:w="2882" w:type="dxa"/>
            <w:tcBorders>
              <w:top w:val="single" w:sz="4" w:space="0" w:color="538135"/>
            </w:tcBorders>
            <w:shd w:val="clear" w:color="auto" w:fill="auto"/>
            <w:vAlign w:val="center"/>
          </w:tcPr>
          <w:p w14:paraId="13B93F42" w14:textId="2566920C"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Temperature (ºC)</w:t>
            </w:r>
          </w:p>
        </w:tc>
        <w:tc>
          <w:tcPr>
            <w:tcW w:w="1087" w:type="dxa"/>
            <w:tcBorders>
              <w:top w:val="single" w:sz="4" w:space="0" w:color="538135"/>
            </w:tcBorders>
            <w:shd w:val="clear" w:color="auto" w:fill="auto"/>
            <w:vAlign w:val="center"/>
          </w:tcPr>
          <w:p w14:paraId="44BC8923" w14:textId="1A3E9F4B" w:rsidR="00825260" w:rsidRPr="009D546A" w:rsidRDefault="00825260" w:rsidP="009D546A">
            <w:pPr>
              <w:spacing w:line="240" w:lineRule="auto"/>
              <w:jc w:val="center"/>
              <w:rPr>
                <w:rFonts w:cs="Arial"/>
                <w:color w:val="000000"/>
                <w:szCs w:val="18"/>
              </w:rPr>
            </w:pPr>
            <w:r w:rsidRPr="009D546A">
              <w:rPr>
                <w:rFonts w:cs="Arial"/>
                <w:color w:val="000000"/>
                <w:szCs w:val="18"/>
              </w:rPr>
              <w:t>17</w:t>
            </w:r>
            <w:r w:rsidRPr="009D546A">
              <w:rPr>
                <w:rFonts w:cs="Arial"/>
                <w:szCs w:val="18"/>
              </w:rPr>
              <w:t>.</w:t>
            </w:r>
            <w:r w:rsidR="009D546A" w:rsidRPr="009D546A">
              <w:rPr>
                <w:rFonts w:cs="Arial"/>
                <w:color w:val="000000"/>
                <w:szCs w:val="18"/>
              </w:rPr>
              <w:t>8</w:t>
            </w:r>
          </w:p>
        </w:tc>
        <w:tc>
          <w:tcPr>
            <w:tcW w:w="1276" w:type="dxa"/>
            <w:tcBorders>
              <w:top w:val="single" w:sz="4" w:space="0" w:color="538135"/>
            </w:tcBorders>
            <w:shd w:val="clear" w:color="auto" w:fill="auto"/>
            <w:vAlign w:val="center"/>
          </w:tcPr>
          <w:p w14:paraId="0FE5EC78" w14:textId="66C0F9AA" w:rsidR="00825260" w:rsidRPr="009D546A" w:rsidRDefault="00825260" w:rsidP="009D546A">
            <w:pPr>
              <w:spacing w:line="240" w:lineRule="auto"/>
              <w:jc w:val="center"/>
              <w:rPr>
                <w:rFonts w:cs="Arial"/>
                <w:color w:val="000000"/>
                <w:szCs w:val="18"/>
              </w:rPr>
            </w:pPr>
            <w:r w:rsidRPr="009D546A">
              <w:rPr>
                <w:rFonts w:cs="Arial"/>
                <w:color w:val="000000"/>
                <w:szCs w:val="18"/>
              </w:rPr>
              <w:t>17</w:t>
            </w:r>
            <w:r w:rsidRPr="009D546A">
              <w:rPr>
                <w:rFonts w:cs="Arial"/>
                <w:szCs w:val="18"/>
              </w:rPr>
              <w:t>.</w:t>
            </w:r>
            <w:r w:rsidR="009D546A" w:rsidRPr="009D546A">
              <w:rPr>
                <w:rFonts w:cs="Arial"/>
                <w:color w:val="000000"/>
                <w:szCs w:val="18"/>
              </w:rPr>
              <w:t>8</w:t>
            </w:r>
          </w:p>
        </w:tc>
        <w:tc>
          <w:tcPr>
            <w:tcW w:w="851" w:type="dxa"/>
            <w:tcBorders>
              <w:top w:val="single" w:sz="4" w:space="0" w:color="538135"/>
            </w:tcBorders>
            <w:shd w:val="clear" w:color="auto" w:fill="auto"/>
            <w:vAlign w:val="center"/>
          </w:tcPr>
          <w:p w14:paraId="02AD6887" w14:textId="537E958A" w:rsidR="00825260" w:rsidRPr="009D546A" w:rsidRDefault="00825260" w:rsidP="009D546A">
            <w:pPr>
              <w:spacing w:line="240" w:lineRule="auto"/>
              <w:jc w:val="center"/>
              <w:rPr>
                <w:rFonts w:cs="Arial"/>
                <w:color w:val="000000"/>
                <w:szCs w:val="18"/>
              </w:rPr>
            </w:pPr>
            <w:r w:rsidRPr="009D546A">
              <w:rPr>
                <w:rFonts w:cs="Arial"/>
                <w:color w:val="000000"/>
                <w:szCs w:val="18"/>
              </w:rPr>
              <w:t>18</w:t>
            </w:r>
            <w:r w:rsidRPr="009D546A">
              <w:rPr>
                <w:rFonts w:cs="Arial"/>
                <w:szCs w:val="18"/>
              </w:rPr>
              <w:t>.</w:t>
            </w:r>
            <w:r w:rsidR="009D546A" w:rsidRPr="009D546A">
              <w:rPr>
                <w:rFonts w:cs="Arial"/>
                <w:color w:val="000000"/>
                <w:szCs w:val="18"/>
              </w:rPr>
              <w:t>05</w:t>
            </w:r>
          </w:p>
        </w:tc>
        <w:tc>
          <w:tcPr>
            <w:tcW w:w="1110" w:type="dxa"/>
            <w:tcBorders>
              <w:top w:val="single" w:sz="4" w:space="0" w:color="538135"/>
            </w:tcBorders>
            <w:shd w:val="clear" w:color="auto" w:fill="auto"/>
            <w:vAlign w:val="center"/>
          </w:tcPr>
          <w:p w14:paraId="518FA79B" w14:textId="54F124C2" w:rsidR="00825260" w:rsidRPr="009D546A" w:rsidRDefault="00825260" w:rsidP="009D546A">
            <w:pPr>
              <w:spacing w:line="240" w:lineRule="auto"/>
              <w:jc w:val="center"/>
              <w:rPr>
                <w:rFonts w:cs="Arial"/>
                <w:color w:val="000000"/>
                <w:szCs w:val="18"/>
              </w:rPr>
            </w:pPr>
            <w:r w:rsidRPr="009D546A">
              <w:rPr>
                <w:rFonts w:cs="Arial"/>
                <w:color w:val="000000"/>
                <w:szCs w:val="18"/>
              </w:rPr>
              <w:t>18</w:t>
            </w:r>
            <w:r w:rsidRPr="009D546A">
              <w:rPr>
                <w:rFonts w:cs="Arial"/>
                <w:szCs w:val="18"/>
              </w:rPr>
              <w:t>.</w:t>
            </w:r>
            <w:r w:rsidR="009D546A" w:rsidRPr="009D546A">
              <w:rPr>
                <w:rFonts w:cs="Arial"/>
                <w:color w:val="000000"/>
                <w:szCs w:val="18"/>
              </w:rPr>
              <w:t>04</w:t>
            </w:r>
          </w:p>
        </w:tc>
      </w:tr>
      <w:tr w:rsidR="009D546A" w:rsidRPr="00825260" w14:paraId="6D0001E5" w14:textId="77777777" w:rsidTr="00D4748C">
        <w:trPr>
          <w:trHeight w:val="339"/>
        </w:trPr>
        <w:tc>
          <w:tcPr>
            <w:tcW w:w="2882" w:type="dxa"/>
            <w:shd w:val="clear" w:color="auto" w:fill="auto"/>
            <w:vAlign w:val="center"/>
          </w:tcPr>
          <w:p w14:paraId="06E9D310" w14:textId="6B9097D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pH</w:t>
            </w:r>
          </w:p>
        </w:tc>
        <w:tc>
          <w:tcPr>
            <w:tcW w:w="1087" w:type="dxa"/>
            <w:shd w:val="clear" w:color="auto" w:fill="auto"/>
            <w:vAlign w:val="center"/>
          </w:tcPr>
          <w:p w14:paraId="5352D425" w14:textId="7777777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8.1</w:t>
            </w:r>
          </w:p>
        </w:tc>
        <w:tc>
          <w:tcPr>
            <w:tcW w:w="1276" w:type="dxa"/>
            <w:shd w:val="clear" w:color="auto" w:fill="auto"/>
            <w:vAlign w:val="center"/>
          </w:tcPr>
          <w:p w14:paraId="2BA16649" w14:textId="7777777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6.65</w:t>
            </w:r>
          </w:p>
        </w:tc>
        <w:tc>
          <w:tcPr>
            <w:tcW w:w="851" w:type="dxa"/>
            <w:shd w:val="clear" w:color="auto" w:fill="auto"/>
            <w:vAlign w:val="center"/>
          </w:tcPr>
          <w:p w14:paraId="69DDC600" w14:textId="7777777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7</w:t>
            </w:r>
          </w:p>
        </w:tc>
        <w:tc>
          <w:tcPr>
            <w:tcW w:w="1110" w:type="dxa"/>
            <w:shd w:val="clear" w:color="auto" w:fill="auto"/>
            <w:vAlign w:val="center"/>
          </w:tcPr>
          <w:p w14:paraId="7C01D2C6" w14:textId="7777777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7</w:t>
            </w:r>
          </w:p>
        </w:tc>
      </w:tr>
      <w:tr w:rsidR="009D546A" w:rsidRPr="00825260" w14:paraId="42D5410E" w14:textId="77777777" w:rsidTr="00D4748C">
        <w:trPr>
          <w:trHeight w:val="367"/>
        </w:trPr>
        <w:tc>
          <w:tcPr>
            <w:tcW w:w="2882" w:type="dxa"/>
            <w:shd w:val="clear" w:color="auto" w:fill="auto"/>
            <w:vAlign w:val="center"/>
          </w:tcPr>
          <w:p w14:paraId="345593B8" w14:textId="68BBEEBA"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Electrical Conductivity (</w:t>
            </w:r>
            <w:r w:rsidRPr="009D546A">
              <w:rPr>
                <w:rFonts w:cs="Arial"/>
                <w:color w:val="000000"/>
                <w:szCs w:val="18"/>
              </w:rPr>
              <w:t>µS/cm)</w:t>
            </w:r>
          </w:p>
        </w:tc>
        <w:tc>
          <w:tcPr>
            <w:tcW w:w="1087" w:type="dxa"/>
            <w:shd w:val="clear" w:color="auto" w:fill="auto"/>
            <w:vAlign w:val="center"/>
          </w:tcPr>
          <w:p w14:paraId="5210D87A" w14:textId="6C17F8AE" w:rsidR="00825260" w:rsidRPr="009D546A" w:rsidRDefault="009D546A" w:rsidP="009D546A">
            <w:pPr>
              <w:spacing w:line="240" w:lineRule="auto"/>
              <w:jc w:val="center"/>
              <w:rPr>
                <w:rFonts w:cs="Arial"/>
                <w:color w:val="000000"/>
                <w:szCs w:val="18"/>
              </w:rPr>
            </w:pPr>
            <w:r w:rsidRPr="009D546A">
              <w:rPr>
                <w:rFonts w:cs="Arial"/>
                <w:color w:val="000000"/>
                <w:szCs w:val="18"/>
              </w:rPr>
              <w:t>50</w:t>
            </w:r>
            <w:r w:rsidR="00D4748C">
              <w:rPr>
                <w:rFonts w:cs="Arial"/>
                <w:color w:val="000000"/>
                <w:szCs w:val="18"/>
              </w:rPr>
              <w:t>,</w:t>
            </w:r>
            <w:r w:rsidRPr="009D546A">
              <w:rPr>
                <w:rFonts w:cs="Arial"/>
                <w:color w:val="000000"/>
                <w:szCs w:val="18"/>
              </w:rPr>
              <w:t>800</w:t>
            </w:r>
          </w:p>
        </w:tc>
        <w:tc>
          <w:tcPr>
            <w:tcW w:w="1276" w:type="dxa"/>
            <w:shd w:val="clear" w:color="auto" w:fill="auto"/>
            <w:vAlign w:val="center"/>
          </w:tcPr>
          <w:p w14:paraId="6B4DA9F8" w14:textId="0B015003" w:rsidR="00825260" w:rsidRPr="009D546A" w:rsidRDefault="009D546A" w:rsidP="009D546A">
            <w:pPr>
              <w:spacing w:line="240" w:lineRule="auto"/>
              <w:jc w:val="center"/>
              <w:rPr>
                <w:rFonts w:cs="Arial"/>
                <w:color w:val="000000"/>
                <w:szCs w:val="18"/>
              </w:rPr>
            </w:pPr>
            <w:r w:rsidRPr="009D546A">
              <w:rPr>
                <w:rFonts w:cs="Arial"/>
                <w:color w:val="000000"/>
                <w:szCs w:val="18"/>
              </w:rPr>
              <w:t>4</w:t>
            </w:r>
            <w:r w:rsidR="00B9312E">
              <w:rPr>
                <w:rFonts w:cs="Arial"/>
                <w:color w:val="000000"/>
                <w:szCs w:val="18"/>
              </w:rPr>
              <w:t>,</w:t>
            </w:r>
            <w:r w:rsidRPr="009D546A">
              <w:rPr>
                <w:rFonts w:cs="Arial"/>
                <w:color w:val="000000"/>
                <w:szCs w:val="18"/>
              </w:rPr>
              <w:t>53</w:t>
            </w:r>
            <w:r w:rsidR="00B9312E">
              <w:rPr>
                <w:rFonts w:cs="Arial"/>
                <w:color w:val="000000"/>
                <w:szCs w:val="18"/>
              </w:rPr>
              <w:t>0</w:t>
            </w:r>
          </w:p>
        </w:tc>
        <w:tc>
          <w:tcPr>
            <w:tcW w:w="851" w:type="dxa"/>
            <w:shd w:val="clear" w:color="auto" w:fill="auto"/>
            <w:vAlign w:val="center"/>
          </w:tcPr>
          <w:p w14:paraId="1D7E6D48" w14:textId="31462C23" w:rsidR="00825260" w:rsidRPr="009D546A" w:rsidRDefault="009D546A" w:rsidP="009D546A">
            <w:pPr>
              <w:spacing w:line="240" w:lineRule="auto"/>
              <w:jc w:val="center"/>
              <w:rPr>
                <w:rFonts w:cs="Arial"/>
                <w:color w:val="000000"/>
                <w:szCs w:val="18"/>
              </w:rPr>
            </w:pPr>
            <w:r w:rsidRPr="009D546A">
              <w:rPr>
                <w:rFonts w:cs="Arial"/>
                <w:color w:val="000000"/>
                <w:szCs w:val="18"/>
              </w:rPr>
              <w:t>4</w:t>
            </w:r>
            <w:r w:rsidR="00D4748C">
              <w:rPr>
                <w:rFonts w:cs="Arial"/>
                <w:color w:val="000000"/>
                <w:szCs w:val="18"/>
              </w:rPr>
              <w:t>,</w:t>
            </w:r>
            <w:r w:rsidRPr="009D546A">
              <w:rPr>
                <w:rFonts w:cs="Arial"/>
                <w:color w:val="000000"/>
                <w:szCs w:val="18"/>
              </w:rPr>
              <w:t>545</w:t>
            </w:r>
          </w:p>
        </w:tc>
        <w:tc>
          <w:tcPr>
            <w:tcW w:w="1110" w:type="dxa"/>
            <w:shd w:val="clear" w:color="auto" w:fill="auto"/>
            <w:vAlign w:val="center"/>
          </w:tcPr>
          <w:p w14:paraId="16332313" w14:textId="7672E849" w:rsidR="00825260" w:rsidRPr="009D546A" w:rsidRDefault="009D546A" w:rsidP="009D546A">
            <w:pPr>
              <w:spacing w:line="240" w:lineRule="auto"/>
              <w:jc w:val="center"/>
              <w:rPr>
                <w:rFonts w:cs="Arial"/>
                <w:color w:val="000000"/>
                <w:szCs w:val="18"/>
              </w:rPr>
            </w:pPr>
            <w:r w:rsidRPr="009D546A">
              <w:rPr>
                <w:rFonts w:cs="Arial"/>
                <w:color w:val="000000"/>
                <w:szCs w:val="18"/>
              </w:rPr>
              <w:t>4</w:t>
            </w:r>
            <w:r w:rsidR="00D4748C">
              <w:rPr>
                <w:rFonts w:cs="Arial"/>
                <w:color w:val="000000"/>
                <w:szCs w:val="18"/>
              </w:rPr>
              <w:t>,</w:t>
            </w:r>
            <w:r w:rsidRPr="009D546A">
              <w:rPr>
                <w:rFonts w:cs="Arial"/>
                <w:color w:val="000000"/>
                <w:szCs w:val="18"/>
              </w:rPr>
              <w:t>540</w:t>
            </w:r>
          </w:p>
        </w:tc>
      </w:tr>
      <w:tr w:rsidR="009D546A" w:rsidRPr="00825260" w14:paraId="5F4727EE" w14:textId="77777777" w:rsidTr="00D4748C">
        <w:trPr>
          <w:trHeight w:val="367"/>
        </w:trPr>
        <w:tc>
          <w:tcPr>
            <w:tcW w:w="2882" w:type="dxa"/>
            <w:shd w:val="clear" w:color="auto" w:fill="auto"/>
            <w:vAlign w:val="center"/>
          </w:tcPr>
          <w:p w14:paraId="0A2D95EC" w14:textId="474937B0"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Redox Potential (mV)</w:t>
            </w:r>
          </w:p>
        </w:tc>
        <w:tc>
          <w:tcPr>
            <w:tcW w:w="1087" w:type="dxa"/>
            <w:shd w:val="clear" w:color="auto" w:fill="auto"/>
            <w:vAlign w:val="center"/>
          </w:tcPr>
          <w:p w14:paraId="11DD3E6D" w14:textId="17B4435A" w:rsidR="00825260" w:rsidRPr="009D546A" w:rsidRDefault="009D546A" w:rsidP="009D546A">
            <w:pPr>
              <w:spacing w:line="240" w:lineRule="auto"/>
              <w:jc w:val="center"/>
              <w:rPr>
                <w:rFonts w:cs="Arial"/>
                <w:color w:val="000000"/>
                <w:szCs w:val="18"/>
              </w:rPr>
            </w:pPr>
            <w:r w:rsidRPr="009D546A">
              <w:rPr>
                <w:rFonts w:cs="Arial"/>
                <w:color w:val="000000"/>
                <w:szCs w:val="18"/>
              </w:rPr>
              <w:t>215</w:t>
            </w:r>
          </w:p>
        </w:tc>
        <w:tc>
          <w:tcPr>
            <w:tcW w:w="1276" w:type="dxa"/>
            <w:shd w:val="clear" w:color="auto" w:fill="auto"/>
            <w:vAlign w:val="center"/>
          </w:tcPr>
          <w:p w14:paraId="6FB09E35" w14:textId="08FDAF1F" w:rsidR="00825260" w:rsidRPr="009D546A" w:rsidRDefault="009D546A" w:rsidP="009D546A">
            <w:pPr>
              <w:spacing w:line="240" w:lineRule="auto"/>
              <w:jc w:val="center"/>
              <w:rPr>
                <w:rFonts w:cs="Arial"/>
                <w:color w:val="000000"/>
                <w:szCs w:val="18"/>
              </w:rPr>
            </w:pPr>
            <w:r w:rsidRPr="009D546A">
              <w:rPr>
                <w:rFonts w:cs="Arial"/>
                <w:color w:val="000000"/>
                <w:szCs w:val="18"/>
              </w:rPr>
              <w:t>180</w:t>
            </w:r>
          </w:p>
        </w:tc>
        <w:tc>
          <w:tcPr>
            <w:tcW w:w="851" w:type="dxa"/>
            <w:shd w:val="clear" w:color="auto" w:fill="auto"/>
            <w:vAlign w:val="center"/>
          </w:tcPr>
          <w:p w14:paraId="65B24373" w14:textId="7F21ADAC" w:rsidR="00825260" w:rsidRPr="009D546A" w:rsidRDefault="009D546A" w:rsidP="009D546A">
            <w:pPr>
              <w:spacing w:line="240" w:lineRule="auto"/>
              <w:jc w:val="center"/>
              <w:rPr>
                <w:rFonts w:cs="Arial"/>
                <w:color w:val="000000"/>
                <w:szCs w:val="18"/>
              </w:rPr>
            </w:pPr>
            <w:r w:rsidRPr="009D546A">
              <w:rPr>
                <w:rFonts w:cs="Arial"/>
                <w:color w:val="000000"/>
                <w:szCs w:val="18"/>
              </w:rPr>
              <w:t>18</w:t>
            </w:r>
          </w:p>
        </w:tc>
        <w:tc>
          <w:tcPr>
            <w:tcW w:w="1110" w:type="dxa"/>
            <w:shd w:val="clear" w:color="auto" w:fill="auto"/>
            <w:vAlign w:val="center"/>
          </w:tcPr>
          <w:p w14:paraId="02D277B6" w14:textId="286319F6" w:rsidR="00825260" w:rsidRPr="009D546A" w:rsidRDefault="009D546A" w:rsidP="009D546A">
            <w:pPr>
              <w:spacing w:line="240" w:lineRule="auto"/>
              <w:jc w:val="center"/>
              <w:rPr>
                <w:rFonts w:cs="Arial"/>
                <w:color w:val="000000"/>
                <w:szCs w:val="18"/>
              </w:rPr>
            </w:pPr>
            <w:r w:rsidRPr="009D546A">
              <w:rPr>
                <w:rFonts w:cs="Arial"/>
                <w:color w:val="000000"/>
                <w:szCs w:val="18"/>
              </w:rPr>
              <w:t>18</w:t>
            </w:r>
          </w:p>
        </w:tc>
      </w:tr>
      <w:tr w:rsidR="009D546A" w:rsidRPr="00825260" w14:paraId="79AA1744" w14:textId="77777777" w:rsidTr="00D4748C">
        <w:trPr>
          <w:trHeight w:val="367"/>
        </w:trPr>
        <w:tc>
          <w:tcPr>
            <w:tcW w:w="2882" w:type="dxa"/>
            <w:shd w:val="clear" w:color="auto" w:fill="auto"/>
            <w:vAlign w:val="center"/>
          </w:tcPr>
          <w:p w14:paraId="47D3B2C0" w14:textId="251DF5F0"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Turbidity (NTU)</w:t>
            </w:r>
          </w:p>
        </w:tc>
        <w:tc>
          <w:tcPr>
            <w:tcW w:w="1087" w:type="dxa"/>
            <w:shd w:val="clear" w:color="auto" w:fill="auto"/>
            <w:vAlign w:val="center"/>
          </w:tcPr>
          <w:p w14:paraId="1F7D3FB3" w14:textId="0970C225" w:rsidR="00825260" w:rsidRPr="009D546A" w:rsidRDefault="00825260" w:rsidP="009D546A">
            <w:pPr>
              <w:spacing w:line="240" w:lineRule="auto"/>
              <w:jc w:val="center"/>
              <w:rPr>
                <w:rFonts w:cs="Arial"/>
                <w:color w:val="000000"/>
                <w:szCs w:val="18"/>
              </w:rPr>
            </w:pPr>
            <w:r w:rsidRPr="009D546A">
              <w:rPr>
                <w:rFonts w:cs="Arial"/>
                <w:color w:val="000000"/>
                <w:szCs w:val="18"/>
              </w:rPr>
              <w:t>7</w:t>
            </w:r>
            <w:r w:rsidRPr="009D546A">
              <w:rPr>
                <w:rFonts w:cs="Arial"/>
                <w:szCs w:val="18"/>
              </w:rPr>
              <w:t>.</w:t>
            </w:r>
            <w:r w:rsidR="009D546A" w:rsidRPr="009D546A">
              <w:rPr>
                <w:rFonts w:cs="Arial"/>
                <w:color w:val="000000"/>
                <w:szCs w:val="18"/>
              </w:rPr>
              <w:t>5</w:t>
            </w:r>
          </w:p>
        </w:tc>
        <w:tc>
          <w:tcPr>
            <w:tcW w:w="1276" w:type="dxa"/>
            <w:shd w:val="clear" w:color="auto" w:fill="auto"/>
            <w:vAlign w:val="center"/>
          </w:tcPr>
          <w:p w14:paraId="2301889A" w14:textId="13F22371" w:rsidR="00825260" w:rsidRPr="009D546A" w:rsidRDefault="009D546A" w:rsidP="009D546A">
            <w:pPr>
              <w:spacing w:line="240" w:lineRule="auto"/>
              <w:jc w:val="center"/>
              <w:rPr>
                <w:rFonts w:cs="Arial"/>
                <w:color w:val="000000"/>
                <w:szCs w:val="18"/>
              </w:rPr>
            </w:pPr>
            <w:r w:rsidRPr="009D546A">
              <w:rPr>
                <w:rFonts w:cs="Arial"/>
                <w:color w:val="000000"/>
                <w:szCs w:val="18"/>
              </w:rPr>
              <w:t>7</w:t>
            </w:r>
          </w:p>
        </w:tc>
        <w:tc>
          <w:tcPr>
            <w:tcW w:w="851" w:type="dxa"/>
            <w:shd w:val="clear" w:color="auto" w:fill="auto"/>
            <w:vAlign w:val="center"/>
          </w:tcPr>
          <w:p w14:paraId="0CE235DE" w14:textId="3AEEFC0F" w:rsidR="00825260" w:rsidRPr="009D546A" w:rsidRDefault="00825260" w:rsidP="009D546A">
            <w:pPr>
              <w:spacing w:line="240" w:lineRule="auto"/>
              <w:jc w:val="center"/>
              <w:rPr>
                <w:rFonts w:cs="Arial"/>
                <w:color w:val="000000"/>
                <w:szCs w:val="18"/>
              </w:rPr>
            </w:pPr>
            <w:r w:rsidRPr="009D546A">
              <w:rPr>
                <w:rFonts w:cs="Arial"/>
                <w:color w:val="000000"/>
                <w:szCs w:val="18"/>
              </w:rPr>
              <w:t>6</w:t>
            </w:r>
            <w:r w:rsidRPr="009D546A">
              <w:rPr>
                <w:rFonts w:cs="Arial"/>
                <w:szCs w:val="18"/>
              </w:rPr>
              <w:t>.</w:t>
            </w:r>
            <w:r w:rsidR="009D546A" w:rsidRPr="009D546A">
              <w:rPr>
                <w:rFonts w:cs="Arial"/>
                <w:color w:val="000000"/>
                <w:szCs w:val="18"/>
              </w:rPr>
              <w:t>9</w:t>
            </w:r>
          </w:p>
        </w:tc>
        <w:tc>
          <w:tcPr>
            <w:tcW w:w="1110" w:type="dxa"/>
            <w:shd w:val="clear" w:color="auto" w:fill="auto"/>
            <w:vAlign w:val="center"/>
          </w:tcPr>
          <w:p w14:paraId="5D3948C8" w14:textId="6435BC9D" w:rsidR="00825260" w:rsidRPr="009D546A" w:rsidRDefault="00825260" w:rsidP="009D546A">
            <w:pPr>
              <w:spacing w:line="240" w:lineRule="auto"/>
              <w:jc w:val="center"/>
              <w:rPr>
                <w:rFonts w:cs="Arial"/>
                <w:color w:val="000000"/>
                <w:szCs w:val="18"/>
              </w:rPr>
            </w:pPr>
            <w:r w:rsidRPr="009D546A">
              <w:rPr>
                <w:rFonts w:cs="Arial"/>
                <w:color w:val="000000"/>
                <w:szCs w:val="18"/>
              </w:rPr>
              <w:t>6</w:t>
            </w:r>
            <w:r w:rsidRPr="009D546A">
              <w:rPr>
                <w:rFonts w:cs="Arial"/>
                <w:szCs w:val="18"/>
              </w:rPr>
              <w:t>.</w:t>
            </w:r>
            <w:r w:rsidR="009D546A" w:rsidRPr="009D546A">
              <w:rPr>
                <w:rFonts w:cs="Arial"/>
                <w:color w:val="000000"/>
                <w:szCs w:val="18"/>
              </w:rPr>
              <w:t>99</w:t>
            </w:r>
          </w:p>
        </w:tc>
      </w:tr>
      <w:tr w:rsidR="009D546A" w:rsidRPr="00825260" w14:paraId="2D5098B3" w14:textId="77777777" w:rsidTr="00D4748C">
        <w:trPr>
          <w:trHeight w:val="438"/>
        </w:trPr>
        <w:tc>
          <w:tcPr>
            <w:tcW w:w="2882" w:type="dxa"/>
            <w:shd w:val="clear" w:color="auto" w:fill="auto"/>
            <w:vAlign w:val="center"/>
          </w:tcPr>
          <w:p w14:paraId="0D4B7A27" w14:textId="337311BF"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Chlorides (</w:t>
            </w:r>
            <w:r w:rsidRPr="009D546A">
              <w:rPr>
                <w:rFonts w:cs="Arial"/>
                <w:color w:val="000000"/>
                <w:szCs w:val="18"/>
              </w:rPr>
              <w:t>mg Cl</w:t>
            </w:r>
            <w:r w:rsidRPr="009D546A">
              <w:rPr>
                <w:rFonts w:cs="Arial"/>
                <w:color w:val="000000"/>
                <w:szCs w:val="18"/>
                <w:vertAlign w:val="superscript"/>
              </w:rPr>
              <w:t>-</w:t>
            </w:r>
            <w:r w:rsidRPr="009D546A">
              <w:rPr>
                <w:rFonts w:cs="Arial"/>
                <w:color w:val="000000"/>
                <w:szCs w:val="18"/>
              </w:rPr>
              <w:t>/L)</w:t>
            </w:r>
          </w:p>
        </w:tc>
        <w:tc>
          <w:tcPr>
            <w:tcW w:w="1087" w:type="dxa"/>
            <w:shd w:val="clear" w:color="auto" w:fill="auto"/>
            <w:vAlign w:val="center"/>
          </w:tcPr>
          <w:p w14:paraId="2399D3C1" w14:textId="79E2A0CD" w:rsidR="00825260" w:rsidRPr="009D546A" w:rsidRDefault="00825260" w:rsidP="009D546A">
            <w:pPr>
              <w:spacing w:line="240" w:lineRule="auto"/>
              <w:jc w:val="center"/>
              <w:rPr>
                <w:rFonts w:cs="Arial"/>
                <w:color w:val="000000"/>
                <w:szCs w:val="18"/>
              </w:rPr>
            </w:pPr>
            <w:r w:rsidRPr="009D546A">
              <w:rPr>
                <w:rFonts w:cs="Arial"/>
                <w:color w:val="000000"/>
                <w:szCs w:val="18"/>
              </w:rPr>
              <w:t>19,505</w:t>
            </w:r>
            <w:r w:rsidRPr="009D546A">
              <w:rPr>
                <w:rFonts w:cs="Arial"/>
                <w:szCs w:val="18"/>
              </w:rPr>
              <w:t>.</w:t>
            </w:r>
            <w:r w:rsidR="009D546A" w:rsidRPr="009D546A">
              <w:rPr>
                <w:rFonts w:cs="Arial"/>
                <w:color w:val="000000"/>
                <w:szCs w:val="18"/>
              </w:rPr>
              <w:t>50</w:t>
            </w:r>
          </w:p>
        </w:tc>
        <w:tc>
          <w:tcPr>
            <w:tcW w:w="1276" w:type="dxa"/>
            <w:shd w:val="clear" w:color="auto" w:fill="auto"/>
            <w:vAlign w:val="center"/>
          </w:tcPr>
          <w:p w14:paraId="5F5D65AF" w14:textId="21B0E339" w:rsidR="00825260" w:rsidRPr="009D546A" w:rsidRDefault="00825260" w:rsidP="009D546A">
            <w:pPr>
              <w:spacing w:line="240" w:lineRule="auto"/>
              <w:jc w:val="center"/>
              <w:rPr>
                <w:rFonts w:cs="Arial"/>
                <w:color w:val="000000"/>
                <w:szCs w:val="18"/>
              </w:rPr>
            </w:pPr>
            <w:r w:rsidRPr="009D546A">
              <w:rPr>
                <w:rFonts w:cs="Arial"/>
                <w:color w:val="000000"/>
                <w:szCs w:val="18"/>
              </w:rPr>
              <w:t>28</w:t>
            </w:r>
            <w:r w:rsidRPr="009D546A">
              <w:rPr>
                <w:rFonts w:cs="Arial"/>
                <w:szCs w:val="18"/>
              </w:rPr>
              <w:t>.</w:t>
            </w:r>
            <w:r w:rsidR="009D546A" w:rsidRPr="009D546A">
              <w:rPr>
                <w:rFonts w:cs="Arial"/>
                <w:color w:val="000000"/>
                <w:szCs w:val="18"/>
              </w:rPr>
              <w:t>614</w:t>
            </w:r>
          </w:p>
        </w:tc>
        <w:tc>
          <w:tcPr>
            <w:tcW w:w="851" w:type="dxa"/>
            <w:shd w:val="clear" w:color="auto" w:fill="auto"/>
            <w:vAlign w:val="center"/>
          </w:tcPr>
          <w:p w14:paraId="1D12CADC" w14:textId="1C55DB88" w:rsidR="00825260" w:rsidRPr="009D546A" w:rsidRDefault="00825260" w:rsidP="009D546A">
            <w:pPr>
              <w:spacing w:line="240" w:lineRule="auto"/>
              <w:jc w:val="center"/>
              <w:rPr>
                <w:rFonts w:cs="Arial"/>
                <w:color w:val="000000"/>
                <w:szCs w:val="18"/>
              </w:rPr>
            </w:pPr>
            <w:r w:rsidRPr="009D546A">
              <w:rPr>
                <w:rFonts w:cs="Arial"/>
                <w:color w:val="000000"/>
                <w:szCs w:val="18"/>
              </w:rPr>
              <w:t>28</w:t>
            </w:r>
            <w:r w:rsidRPr="009D546A">
              <w:rPr>
                <w:rFonts w:cs="Arial"/>
                <w:szCs w:val="18"/>
              </w:rPr>
              <w:t>.</w:t>
            </w:r>
            <w:r w:rsidR="009D546A" w:rsidRPr="009D546A">
              <w:rPr>
                <w:rFonts w:cs="Arial"/>
                <w:color w:val="000000"/>
                <w:szCs w:val="18"/>
              </w:rPr>
              <w:t>601</w:t>
            </w:r>
          </w:p>
        </w:tc>
        <w:tc>
          <w:tcPr>
            <w:tcW w:w="1110" w:type="dxa"/>
            <w:shd w:val="clear" w:color="auto" w:fill="auto"/>
            <w:vAlign w:val="center"/>
          </w:tcPr>
          <w:p w14:paraId="74FD1D0E" w14:textId="3F06FA8C" w:rsidR="00825260" w:rsidRPr="009D546A" w:rsidRDefault="00825260" w:rsidP="009D546A">
            <w:pPr>
              <w:spacing w:line="240" w:lineRule="auto"/>
              <w:jc w:val="center"/>
              <w:rPr>
                <w:rFonts w:cs="Arial"/>
                <w:color w:val="000000"/>
                <w:szCs w:val="18"/>
              </w:rPr>
            </w:pPr>
            <w:r w:rsidRPr="009D546A">
              <w:rPr>
                <w:rFonts w:cs="Arial"/>
                <w:color w:val="000000"/>
                <w:szCs w:val="18"/>
              </w:rPr>
              <w:t>28</w:t>
            </w:r>
            <w:r w:rsidRPr="009D546A">
              <w:rPr>
                <w:rFonts w:cs="Arial"/>
                <w:szCs w:val="18"/>
              </w:rPr>
              <w:t>.</w:t>
            </w:r>
            <w:r w:rsidR="009D546A" w:rsidRPr="009D546A">
              <w:rPr>
                <w:rFonts w:cs="Arial"/>
                <w:color w:val="000000"/>
                <w:szCs w:val="18"/>
              </w:rPr>
              <w:t>6</w:t>
            </w:r>
          </w:p>
        </w:tc>
      </w:tr>
      <w:tr w:rsidR="009D546A" w:rsidRPr="00825260" w14:paraId="2307309C" w14:textId="77777777" w:rsidTr="00D4748C">
        <w:trPr>
          <w:trHeight w:val="367"/>
        </w:trPr>
        <w:tc>
          <w:tcPr>
            <w:tcW w:w="2882" w:type="dxa"/>
            <w:shd w:val="clear" w:color="auto" w:fill="auto"/>
            <w:vAlign w:val="center"/>
          </w:tcPr>
          <w:p w14:paraId="07FED330" w14:textId="14EE79C0"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Sodium (%)</w:t>
            </w:r>
          </w:p>
        </w:tc>
        <w:tc>
          <w:tcPr>
            <w:tcW w:w="1087" w:type="dxa"/>
            <w:shd w:val="clear" w:color="auto" w:fill="auto"/>
            <w:vAlign w:val="center"/>
          </w:tcPr>
          <w:p w14:paraId="55F888D7" w14:textId="36008DA8" w:rsidR="00825260" w:rsidRPr="009D546A" w:rsidRDefault="00825260" w:rsidP="009D546A">
            <w:pPr>
              <w:spacing w:line="240" w:lineRule="auto"/>
              <w:jc w:val="center"/>
              <w:rPr>
                <w:rFonts w:cs="Arial"/>
                <w:color w:val="000000"/>
                <w:szCs w:val="18"/>
              </w:rPr>
            </w:pPr>
            <w:r w:rsidRPr="009D546A">
              <w:rPr>
                <w:rFonts w:cs="Arial"/>
                <w:color w:val="000000"/>
                <w:szCs w:val="18"/>
              </w:rPr>
              <w:t>23</w:t>
            </w:r>
            <w:r w:rsidRPr="009D546A">
              <w:rPr>
                <w:rFonts w:cs="Arial"/>
                <w:szCs w:val="18"/>
              </w:rPr>
              <w:t>.</w:t>
            </w:r>
            <w:r w:rsidR="009D546A" w:rsidRPr="009D546A">
              <w:rPr>
                <w:rFonts w:cs="Arial"/>
                <w:color w:val="000000"/>
                <w:szCs w:val="18"/>
              </w:rPr>
              <w:t>40</w:t>
            </w:r>
          </w:p>
        </w:tc>
        <w:tc>
          <w:tcPr>
            <w:tcW w:w="1276" w:type="dxa"/>
            <w:shd w:val="clear" w:color="auto" w:fill="auto"/>
            <w:vAlign w:val="center"/>
          </w:tcPr>
          <w:p w14:paraId="3AA686FC" w14:textId="24D37441" w:rsidR="00825260" w:rsidRPr="009D546A" w:rsidRDefault="00825260" w:rsidP="009D546A">
            <w:pPr>
              <w:spacing w:line="240" w:lineRule="auto"/>
              <w:jc w:val="center"/>
              <w:rPr>
                <w:rFonts w:cs="Arial"/>
                <w:color w:val="000000"/>
                <w:szCs w:val="18"/>
              </w:rPr>
            </w:pPr>
            <w:r w:rsidRPr="009D546A">
              <w:rPr>
                <w:rFonts w:cs="Arial"/>
                <w:color w:val="000000"/>
                <w:szCs w:val="18"/>
              </w:rPr>
              <w:t>12</w:t>
            </w:r>
            <w:r w:rsidRPr="009D546A">
              <w:rPr>
                <w:rFonts w:cs="Arial"/>
                <w:szCs w:val="18"/>
              </w:rPr>
              <w:t>.</w:t>
            </w:r>
            <w:r w:rsidR="009D546A" w:rsidRPr="009D546A">
              <w:rPr>
                <w:rFonts w:cs="Arial"/>
                <w:color w:val="000000"/>
                <w:szCs w:val="18"/>
              </w:rPr>
              <w:t>30</w:t>
            </w:r>
          </w:p>
        </w:tc>
        <w:tc>
          <w:tcPr>
            <w:tcW w:w="851" w:type="dxa"/>
            <w:shd w:val="clear" w:color="auto" w:fill="auto"/>
            <w:vAlign w:val="center"/>
          </w:tcPr>
          <w:p w14:paraId="21953416" w14:textId="30EA5368" w:rsidR="00825260" w:rsidRPr="009D546A" w:rsidRDefault="00825260" w:rsidP="009D546A">
            <w:pPr>
              <w:spacing w:line="240" w:lineRule="auto"/>
              <w:jc w:val="center"/>
              <w:rPr>
                <w:rFonts w:cs="Arial"/>
                <w:color w:val="000000"/>
                <w:szCs w:val="18"/>
              </w:rPr>
            </w:pPr>
            <w:r w:rsidRPr="009D546A">
              <w:rPr>
                <w:rFonts w:cs="Arial"/>
                <w:color w:val="000000"/>
                <w:szCs w:val="18"/>
              </w:rPr>
              <w:t>12</w:t>
            </w:r>
            <w:r w:rsidRPr="009D546A">
              <w:rPr>
                <w:rFonts w:cs="Arial"/>
                <w:szCs w:val="18"/>
              </w:rPr>
              <w:t>.</w:t>
            </w:r>
            <w:r w:rsidR="009D546A" w:rsidRPr="009D546A">
              <w:rPr>
                <w:rFonts w:cs="Arial"/>
                <w:color w:val="000000"/>
                <w:szCs w:val="18"/>
              </w:rPr>
              <w:t>29</w:t>
            </w:r>
          </w:p>
        </w:tc>
        <w:tc>
          <w:tcPr>
            <w:tcW w:w="1110" w:type="dxa"/>
            <w:shd w:val="clear" w:color="auto" w:fill="auto"/>
            <w:vAlign w:val="center"/>
          </w:tcPr>
          <w:p w14:paraId="73FBEEDB" w14:textId="01B0BDE0" w:rsidR="00825260" w:rsidRPr="009D546A" w:rsidRDefault="00825260" w:rsidP="009D546A">
            <w:pPr>
              <w:spacing w:line="240" w:lineRule="auto"/>
              <w:jc w:val="center"/>
              <w:rPr>
                <w:rFonts w:cs="Arial"/>
                <w:color w:val="000000"/>
                <w:szCs w:val="18"/>
              </w:rPr>
            </w:pPr>
            <w:r w:rsidRPr="009D546A">
              <w:rPr>
                <w:rFonts w:cs="Arial"/>
                <w:color w:val="000000"/>
                <w:szCs w:val="18"/>
              </w:rPr>
              <w:t>12</w:t>
            </w:r>
            <w:r w:rsidRPr="009D546A">
              <w:rPr>
                <w:rFonts w:cs="Arial"/>
                <w:szCs w:val="18"/>
              </w:rPr>
              <w:t>.</w:t>
            </w:r>
            <w:r w:rsidR="009D546A" w:rsidRPr="009D546A">
              <w:rPr>
                <w:rFonts w:cs="Arial"/>
                <w:color w:val="000000"/>
                <w:szCs w:val="18"/>
              </w:rPr>
              <w:t>31</w:t>
            </w:r>
          </w:p>
        </w:tc>
      </w:tr>
      <w:tr w:rsidR="009D546A" w:rsidRPr="00825260" w14:paraId="1D2D7A44" w14:textId="77777777" w:rsidTr="00D4748C">
        <w:trPr>
          <w:trHeight w:val="424"/>
        </w:trPr>
        <w:tc>
          <w:tcPr>
            <w:tcW w:w="2882" w:type="dxa"/>
            <w:shd w:val="clear" w:color="auto" w:fill="auto"/>
            <w:vAlign w:val="center"/>
          </w:tcPr>
          <w:p w14:paraId="65E09D9F" w14:textId="5526D763"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Alkalinity (</w:t>
            </w:r>
            <w:r w:rsidRPr="009D546A">
              <w:rPr>
                <w:rFonts w:cs="Arial"/>
                <w:color w:val="000000"/>
                <w:szCs w:val="18"/>
              </w:rPr>
              <w:t>mgCaCO</w:t>
            </w:r>
            <w:r w:rsidRPr="009D546A">
              <w:rPr>
                <w:rFonts w:cs="Arial"/>
                <w:color w:val="000000"/>
                <w:szCs w:val="18"/>
                <w:vertAlign w:val="subscript"/>
              </w:rPr>
              <w:t>3</w:t>
            </w:r>
            <w:r w:rsidRPr="009D546A">
              <w:rPr>
                <w:rFonts w:cs="Arial"/>
                <w:color w:val="000000"/>
                <w:szCs w:val="18"/>
              </w:rPr>
              <w:t>/L)</w:t>
            </w:r>
          </w:p>
        </w:tc>
        <w:tc>
          <w:tcPr>
            <w:tcW w:w="1087" w:type="dxa"/>
            <w:shd w:val="clear" w:color="auto" w:fill="auto"/>
            <w:vAlign w:val="center"/>
          </w:tcPr>
          <w:p w14:paraId="750BCB81" w14:textId="06FE1B16" w:rsidR="00825260" w:rsidRPr="009D546A" w:rsidRDefault="00825260" w:rsidP="009D546A">
            <w:pPr>
              <w:spacing w:line="240" w:lineRule="auto"/>
              <w:jc w:val="center"/>
              <w:rPr>
                <w:rFonts w:cs="Arial"/>
                <w:color w:val="000000"/>
                <w:szCs w:val="18"/>
              </w:rPr>
            </w:pPr>
            <w:r w:rsidRPr="009D546A">
              <w:rPr>
                <w:rFonts w:cs="Arial"/>
                <w:color w:val="000000"/>
                <w:szCs w:val="18"/>
              </w:rPr>
              <w:t>11</w:t>
            </w:r>
            <w:r w:rsidRPr="009D546A">
              <w:rPr>
                <w:rFonts w:cs="Arial"/>
                <w:szCs w:val="18"/>
              </w:rPr>
              <w:t>.</w:t>
            </w:r>
            <w:r w:rsidR="009D546A" w:rsidRPr="009D546A">
              <w:rPr>
                <w:rFonts w:cs="Arial"/>
                <w:color w:val="000000"/>
                <w:szCs w:val="18"/>
              </w:rPr>
              <w:t>76</w:t>
            </w:r>
          </w:p>
        </w:tc>
        <w:tc>
          <w:tcPr>
            <w:tcW w:w="1276" w:type="dxa"/>
            <w:shd w:val="clear" w:color="auto" w:fill="auto"/>
            <w:vAlign w:val="center"/>
          </w:tcPr>
          <w:p w14:paraId="608AFF89" w14:textId="0A272CDA" w:rsidR="00825260" w:rsidRPr="009D546A" w:rsidRDefault="00825260" w:rsidP="009D546A">
            <w:pPr>
              <w:spacing w:line="240" w:lineRule="auto"/>
              <w:jc w:val="center"/>
              <w:rPr>
                <w:rFonts w:cs="Arial"/>
                <w:color w:val="000000"/>
                <w:szCs w:val="18"/>
              </w:rPr>
            </w:pPr>
            <w:r w:rsidRPr="009D546A">
              <w:rPr>
                <w:rFonts w:cs="Arial"/>
                <w:color w:val="000000"/>
                <w:szCs w:val="18"/>
              </w:rPr>
              <w:t>5</w:t>
            </w:r>
            <w:r w:rsidRPr="009D546A">
              <w:rPr>
                <w:rFonts w:cs="Arial"/>
                <w:szCs w:val="18"/>
              </w:rPr>
              <w:t>.</w:t>
            </w:r>
            <w:r w:rsidR="009D546A" w:rsidRPr="009D546A">
              <w:rPr>
                <w:rFonts w:cs="Arial"/>
                <w:color w:val="000000"/>
                <w:szCs w:val="18"/>
              </w:rPr>
              <w:t>8</w:t>
            </w:r>
            <w:r w:rsidR="00B9312E">
              <w:rPr>
                <w:rFonts w:cs="Arial"/>
                <w:color w:val="000000"/>
                <w:szCs w:val="18"/>
              </w:rPr>
              <w:t>8</w:t>
            </w:r>
          </w:p>
        </w:tc>
        <w:tc>
          <w:tcPr>
            <w:tcW w:w="851" w:type="dxa"/>
            <w:shd w:val="clear" w:color="auto" w:fill="auto"/>
            <w:vAlign w:val="center"/>
          </w:tcPr>
          <w:p w14:paraId="4F7A055B" w14:textId="49CA1B70" w:rsidR="00825260" w:rsidRPr="009D546A" w:rsidRDefault="00B9312E" w:rsidP="009D546A">
            <w:pPr>
              <w:spacing w:line="240" w:lineRule="auto"/>
              <w:jc w:val="center"/>
              <w:rPr>
                <w:rFonts w:cs="Arial"/>
                <w:color w:val="000000"/>
                <w:szCs w:val="18"/>
              </w:rPr>
            </w:pPr>
            <w:r>
              <w:rPr>
                <w:rFonts w:cs="Arial"/>
                <w:color w:val="000000"/>
                <w:szCs w:val="18"/>
              </w:rPr>
              <w:t>6</w:t>
            </w:r>
          </w:p>
        </w:tc>
        <w:tc>
          <w:tcPr>
            <w:tcW w:w="1110" w:type="dxa"/>
            <w:shd w:val="clear" w:color="auto" w:fill="auto"/>
            <w:vAlign w:val="center"/>
          </w:tcPr>
          <w:p w14:paraId="172C650E" w14:textId="378552B6" w:rsidR="00825260" w:rsidRPr="009D546A" w:rsidRDefault="00825260" w:rsidP="009D546A">
            <w:pPr>
              <w:spacing w:line="240" w:lineRule="auto"/>
              <w:jc w:val="center"/>
              <w:rPr>
                <w:rFonts w:cs="Arial"/>
                <w:color w:val="000000"/>
                <w:szCs w:val="18"/>
              </w:rPr>
            </w:pPr>
            <w:r w:rsidRPr="009D546A">
              <w:rPr>
                <w:rFonts w:cs="Arial"/>
                <w:color w:val="000000"/>
                <w:szCs w:val="18"/>
              </w:rPr>
              <w:t>6</w:t>
            </w:r>
            <w:r w:rsidRPr="009D546A">
              <w:rPr>
                <w:rFonts w:cs="Arial"/>
                <w:szCs w:val="18"/>
              </w:rPr>
              <w:t>.</w:t>
            </w:r>
            <w:r w:rsidR="009D546A" w:rsidRPr="009D546A">
              <w:rPr>
                <w:rFonts w:cs="Arial"/>
                <w:color w:val="000000"/>
                <w:szCs w:val="18"/>
              </w:rPr>
              <w:t>04</w:t>
            </w:r>
          </w:p>
        </w:tc>
      </w:tr>
      <w:tr w:rsidR="009D546A" w:rsidRPr="00825260" w14:paraId="52D494B7" w14:textId="77777777" w:rsidTr="00D4748C">
        <w:trPr>
          <w:trHeight w:val="367"/>
        </w:trPr>
        <w:tc>
          <w:tcPr>
            <w:tcW w:w="2882" w:type="dxa"/>
            <w:shd w:val="clear" w:color="auto" w:fill="auto"/>
            <w:vAlign w:val="center"/>
          </w:tcPr>
          <w:p w14:paraId="74B854AC" w14:textId="55C392BA"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Phosphates (</w:t>
            </w:r>
            <w:r w:rsidRPr="009D546A">
              <w:rPr>
                <w:rFonts w:cs="Arial"/>
                <w:color w:val="000000"/>
                <w:szCs w:val="18"/>
              </w:rPr>
              <w:t>mg/L)</w:t>
            </w:r>
          </w:p>
        </w:tc>
        <w:tc>
          <w:tcPr>
            <w:tcW w:w="1087" w:type="dxa"/>
            <w:shd w:val="clear" w:color="auto" w:fill="auto"/>
            <w:vAlign w:val="center"/>
          </w:tcPr>
          <w:p w14:paraId="5E953FBF" w14:textId="34E8E574" w:rsidR="00825260" w:rsidRPr="009D546A" w:rsidRDefault="00825260" w:rsidP="009D546A">
            <w:pPr>
              <w:spacing w:line="240" w:lineRule="auto"/>
              <w:jc w:val="center"/>
              <w:rPr>
                <w:rFonts w:cs="Arial"/>
                <w:color w:val="000000"/>
                <w:szCs w:val="18"/>
              </w:rPr>
            </w:pPr>
            <w:r w:rsidRPr="009D546A">
              <w:rPr>
                <w:rFonts w:cs="Arial"/>
                <w:color w:val="000000"/>
                <w:szCs w:val="18"/>
              </w:rPr>
              <w:t>123</w:t>
            </w:r>
            <w:r w:rsidRPr="009D546A">
              <w:rPr>
                <w:rFonts w:cs="Arial"/>
                <w:szCs w:val="18"/>
              </w:rPr>
              <w:t>.</w:t>
            </w:r>
            <w:r w:rsidR="009D546A" w:rsidRPr="009D546A">
              <w:rPr>
                <w:rFonts w:cs="Arial"/>
                <w:color w:val="000000"/>
                <w:szCs w:val="18"/>
              </w:rPr>
              <w:t>75</w:t>
            </w:r>
          </w:p>
        </w:tc>
        <w:tc>
          <w:tcPr>
            <w:tcW w:w="1276" w:type="dxa"/>
            <w:shd w:val="clear" w:color="auto" w:fill="auto"/>
            <w:vAlign w:val="center"/>
          </w:tcPr>
          <w:p w14:paraId="1EBB6691" w14:textId="0323CBC0" w:rsidR="00825260" w:rsidRPr="009D546A" w:rsidRDefault="00825260" w:rsidP="009D546A">
            <w:pPr>
              <w:spacing w:line="240" w:lineRule="auto"/>
              <w:jc w:val="center"/>
              <w:rPr>
                <w:rFonts w:cs="Arial"/>
                <w:color w:val="000000"/>
                <w:szCs w:val="18"/>
              </w:rPr>
            </w:pPr>
            <w:r w:rsidRPr="009D546A">
              <w:rPr>
                <w:rFonts w:cs="Arial"/>
                <w:color w:val="000000"/>
                <w:szCs w:val="18"/>
              </w:rPr>
              <w:t>67</w:t>
            </w:r>
            <w:r w:rsidRPr="009D546A">
              <w:rPr>
                <w:rFonts w:cs="Arial"/>
                <w:szCs w:val="18"/>
              </w:rPr>
              <w:t>.</w:t>
            </w:r>
            <w:r w:rsidR="009D546A" w:rsidRPr="009D546A">
              <w:rPr>
                <w:rFonts w:cs="Arial"/>
                <w:color w:val="000000"/>
                <w:szCs w:val="18"/>
              </w:rPr>
              <w:t>5</w:t>
            </w:r>
          </w:p>
        </w:tc>
        <w:tc>
          <w:tcPr>
            <w:tcW w:w="851" w:type="dxa"/>
            <w:shd w:val="clear" w:color="auto" w:fill="auto"/>
            <w:vAlign w:val="center"/>
          </w:tcPr>
          <w:p w14:paraId="165A9CE6" w14:textId="58188CF1" w:rsidR="00825260" w:rsidRPr="009D546A" w:rsidRDefault="00825260" w:rsidP="009D546A">
            <w:pPr>
              <w:spacing w:line="240" w:lineRule="auto"/>
              <w:jc w:val="center"/>
              <w:rPr>
                <w:rFonts w:cs="Arial"/>
                <w:color w:val="000000"/>
                <w:szCs w:val="18"/>
              </w:rPr>
            </w:pPr>
            <w:r w:rsidRPr="009D546A">
              <w:rPr>
                <w:rFonts w:cs="Arial"/>
                <w:color w:val="000000"/>
                <w:szCs w:val="18"/>
              </w:rPr>
              <w:t>67</w:t>
            </w:r>
            <w:r w:rsidRPr="009D546A">
              <w:rPr>
                <w:rFonts w:cs="Arial"/>
                <w:szCs w:val="18"/>
              </w:rPr>
              <w:t>.</w:t>
            </w:r>
            <w:r w:rsidR="009D546A" w:rsidRPr="009D546A">
              <w:rPr>
                <w:rFonts w:cs="Arial"/>
                <w:color w:val="000000"/>
                <w:szCs w:val="18"/>
              </w:rPr>
              <w:t>63</w:t>
            </w:r>
          </w:p>
        </w:tc>
        <w:tc>
          <w:tcPr>
            <w:tcW w:w="1110" w:type="dxa"/>
            <w:shd w:val="clear" w:color="auto" w:fill="auto"/>
            <w:vAlign w:val="center"/>
          </w:tcPr>
          <w:p w14:paraId="2D41DD53" w14:textId="519521BE" w:rsidR="00825260" w:rsidRPr="009D546A" w:rsidRDefault="00825260" w:rsidP="009D546A">
            <w:pPr>
              <w:spacing w:line="240" w:lineRule="auto"/>
              <w:jc w:val="center"/>
              <w:rPr>
                <w:rFonts w:cs="Arial"/>
                <w:color w:val="000000"/>
                <w:szCs w:val="18"/>
              </w:rPr>
            </w:pPr>
            <w:r w:rsidRPr="009D546A">
              <w:rPr>
                <w:rFonts w:cs="Arial"/>
                <w:color w:val="000000"/>
                <w:szCs w:val="18"/>
              </w:rPr>
              <w:t>67</w:t>
            </w:r>
            <w:r w:rsidRPr="009D546A">
              <w:rPr>
                <w:rFonts w:cs="Arial"/>
                <w:szCs w:val="18"/>
              </w:rPr>
              <w:t>.</w:t>
            </w:r>
            <w:r w:rsidR="009D546A" w:rsidRPr="009D546A">
              <w:rPr>
                <w:rFonts w:cs="Arial"/>
                <w:color w:val="000000"/>
                <w:szCs w:val="18"/>
              </w:rPr>
              <w:t>66</w:t>
            </w:r>
          </w:p>
        </w:tc>
      </w:tr>
      <w:tr w:rsidR="009D546A" w:rsidRPr="00825260" w14:paraId="4ED7069A" w14:textId="77777777" w:rsidTr="00D4748C">
        <w:trPr>
          <w:trHeight w:val="424"/>
        </w:trPr>
        <w:tc>
          <w:tcPr>
            <w:tcW w:w="2882" w:type="dxa"/>
            <w:shd w:val="clear" w:color="auto" w:fill="auto"/>
            <w:vAlign w:val="center"/>
          </w:tcPr>
          <w:p w14:paraId="405A08F9" w14:textId="4DAF6770"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Dissolved Oxygen (</w:t>
            </w:r>
            <w:r w:rsidRPr="009D546A">
              <w:rPr>
                <w:rFonts w:cs="Arial"/>
                <w:color w:val="000000"/>
                <w:szCs w:val="18"/>
              </w:rPr>
              <w:t>mgO</w:t>
            </w:r>
            <w:r w:rsidRPr="009D546A">
              <w:rPr>
                <w:rFonts w:cs="Arial"/>
                <w:color w:val="000000"/>
                <w:szCs w:val="18"/>
                <w:vertAlign w:val="subscript"/>
              </w:rPr>
              <w:t>2</w:t>
            </w:r>
            <w:r w:rsidRPr="009D546A">
              <w:rPr>
                <w:rFonts w:cs="Arial"/>
                <w:color w:val="000000"/>
                <w:szCs w:val="18"/>
              </w:rPr>
              <w:t>/L)</w:t>
            </w:r>
          </w:p>
        </w:tc>
        <w:tc>
          <w:tcPr>
            <w:tcW w:w="1087" w:type="dxa"/>
            <w:shd w:val="clear" w:color="auto" w:fill="auto"/>
            <w:vAlign w:val="center"/>
          </w:tcPr>
          <w:p w14:paraId="5916FFCA" w14:textId="2BC275D1" w:rsidR="00825260" w:rsidRPr="009D546A" w:rsidRDefault="00825260" w:rsidP="009D546A">
            <w:pPr>
              <w:spacing w:line="240" w:lineRule="auto"/>
              <w:jc w:val="center"/>
              <w:rPr>
                <w:rFonts w:cs="Arial"/>
                <w:color w:val="000000"/>
                <w:szCs w:val="18"/>
              </w:rPr>
            </w:pPr>
            <w:r w:rsidRPr="009D546A">
              <w:rPr>
                <w:rFonts w:cs="Arial"/>
                <w:color w:val="000000"/>
                <w:szCs w:val="18"/>
              </w:rPr>
              <w:t>5</w:t>
            </w:r>
            <w:r w:rsidRPr="009D546A">
              <w:rPr>
                <w:rFonts w:cs="Arial"/>
                <w:szCs w:val="18"/>
              </w:rPr>
              <w:t>.</w:t>
            </w:r>
            <w:r w:rsidR="009D546A" w:rsidRPr="009D546A">
              <w:rPr>
                <w:rFonts w:cs="Arial"/>
                <w:color w:val="000000"/>
                <w:szCs w:val="18"/>
              </w:rPr>
              <w:t>75</w:t>
            </w:r>
          </w:p>
        </w:tc>
        <w:tc>
          <w:tcPr>
            <w:tcW w:w="1276" w:type="dxa"/>
            <w:shd w:val="clear" w:color="auto" w:fill="auto"/>
            <w:vAlign w:val="center"/>
          </w:tcPr>
          <w:p w14:paraId="625FBF39" w14:textId="55B505EE" w:rsidR="00825260" w:rsidRPr="009D546A" w:rsidRDefault="00825260" w:rsidP="009D546A">
            <w:pPr>
              <w:spacing w:line="240" w:lineRule="auto"/>
              <w:jc w:val="center"/>
              <w:rPr>
                <w:rFonts w:cs="Arial"/>
                <w:color w:val="000000"/>
                <w:szCs w:val="18"/>
              </w:rPr>
            </w:pPr>
            <w:r w:rsidRPr="009D546A">
              <w:rPr>
                <w:rFonts w:cs="Arial"/>
                <w:color w:val="000000"/>
                <w:szCs w:val="18"/>
              </w:rPr>
              <w:t>5</w:t>
            </w:r>
            <w:r w:rsidRPr="009D546A">
              <w:rPr>
                <w:rFonts w:cs="Arial"/>
                <w:szCs w:val="18"/>
              </w:rPr>
              <w:t>.</w:t>
            </w:r>
            <w:r w:rsidR="009D546A" w:rsidRPr="009D546A">
              <w:rPr>
                <w:rFonts w:cs="Arial"/>
                <w:color w:val="000000"/>
                <w:szCs w:val="18"/>
              </w:rPr>
              <w:t>95</w:t>
            </w:r>
          </w:p>
        </w:tc>
        <w:tc>
          <w:tcPr>
            <w:tcW w:w="851" w:type="dxa"/>
            <w:shd w:val="clear" w:color="auto" w:fill="auto"/>
            <w:vAlign w:val="center"/>
          </w:tcPr>
          <w:p w14:paraId="0E37DB8E" w14:textId="426B0E32" w:rsidR="00825260" w:rsidRPr="009D546A" w:rsidRDefault="009D546A" w:rsidP="009D546A">
            <w:pPr>
              <w:spacing w:line="240" w:lineRule="auto"/>
              <w:jc w:val="center"/>
              <w:rPr>
                <w:rFonts w:cs="Arial"/>
                <w:color w:val="000000"/>
                <w:szCs w:val="18"/>
              </w:rPr>
            </w:pPr>
            <w:r w:rsidRPr="009D546A">
              <w:rPr>
                <w:rFonts w:cs="Arial"/>
                <w:color w:val="000000"/>
                <w:szCs w:val="18"/>
              </w:rPr>
              <w:t>6</w:t>
            </w:r>
          </w:p>
        </w:tc>
        <w:tc>
          <w:tcPr>
            <w:tcW w:w="1110" w:type="dxa"/>
            <w:shd w:val="clear" w:color="auto" w:fill="auto"/>
            <w:vAlign w:val="center"/>
          </w:tcPr>
          <w:p w14:paraId="0FEE9501" w14:textId="22324678" w:rsidR="00825260" w:rsidRPr="009D546A" w:rsidRDefault="00825260" w:rsidP="009D546A">
            <w:pPr>
              <w:spacing w:line="240" w:lineRule="auto"/>
              <w:jc w:val="center"/>
              <w:rPr>
                <w:rFonts w:cs="Arial"/>
                <w:color w:val="000000"/>
                <w:szCs w:val="18"/>
              </w:rPr>
            </w:pPr>
            <w:r w:rsidRPr="009D546A">
              <w:rPr>
                <w:rFonts w:cs="Arial"/>
                <w:color w:val="000000"/>
                <w:szCs w:val="18"/>
              </w:rPr>
              <w:t>6</w:t>
            </w:r>
            <w:r w:rsidRPr="009D546A">
              <w:rPr>
                <w:rFonts w:cs="Arial"/>
                <w:szCs w:val="18"/>
              </w:rPr>
              <w:t>.</w:t>
            </w:r>
            <w:r w:rsidR="009D546A" w:rsidRPr="009D546A">
              <w:rPr>
                <w:rFonts w:cs="Arial"/>
                <w:color w:val="000000"/>
                <w:szCs w:val="18"/>
              </w:rPr>
              <w:t>05</w:t>
            </w:r>
          </w:p>
        </w:tc>
      </w:tr>
      <w:tr w:rsidR="009D546A" w:rsidRPr="00825260" w14:paraId="1A537962" w14:textId="77777777" w:rsidTr="00D4748C">
        <w:trPr>
          <w:trHeight w:val="424"/>
        </w:trPr>
        <w:tc>
          <w:tcPr>
            <w:tcW w:w="2882" w:type="dxa"/>
            <w:shd w:val="clear" w:color="auto" w:fill="auto"/>
            <w:vAlign w:val="center"/>
          </w:tcPr>
          <w:p w14:paraId="2A25277A" w14:textId="1AE3A0B1"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DQO (</w:t>
            </w:r>
            <w:r w:rsidRPr="009D546A">
              <w:rPr>
                <w:rFonts w:cs="Arial"/>
                <w:color w:val="000000"/>
                <w:szCs w:val="18"/>
              </w:rPr>
              <w:t>mgO</w:t>
            </w:r>
            <w:r w:rsidRPr="009D546A">
              <w:rPr>
                <w:rFonts w:cs="Arial"/>
                <w:color w:val="000000"/>
                <w:szCs w:val="18"/>
                <w:vertAlign w:val="subscript"/>
              </w:rPr>
              <w:t>2</w:t>
            </w:r>
            <w:r w:rsidRPr="009D546A">
              <w:rPr>
                <w:rFonts w:cs="Arial"/>
                <w:color w:val="000000"/>
                <w:szCs w:val="18"/>
              </w:rPr>
              <w:t>/L)</w:t>
            </w:r>
          </w:p>
        </w:tc>
        <w:tc>
          <w:tcPr>
            <w:tcW w:w="1087" w:type="dxa"/>
            <w:shd w:val="clear" w:color="auto" w:fill="auto"/>
            <w:vAlign w:val="center"/>
          </w:tcPr>
          <w:p w14:paraId="6E682B84" w14:textId="63EFE57A" w:rsidR="00825260" w:rsidRPr="009D546A" w:rsidRDefault="00825260" w:rsidP="009D546A">
            <w:pPr>
              <w:spacing w:line="240" w:lineRule="auto"/>
              <w:jc w:val="center"/>
              <w:rPr>
                <w:rFonts w:cs="Arial"/>
                <w:color w:val="000000"/>
                <w:szCs w:val="18"/>
              </w:rPr>
            </w:pPr>
            <w:r w:rsidRPr="009D546A">
              <w:rPr>
                <w:rFonts w:cs="Arial"/>
                <w:color w:val="000000"/>
                <w:szCs w:val="18"/>
              </w:rPr>
              <w:t>51</w:t>
            </w:r>
            <w:r w:rsidRPr="009D546A">
              <w:rPr>
                <w:rFonts w:cs="Arial"/>
                <w:szCs w:val="18"/>
              </w:rPr>
              <w:t>.</w:t>
            </w:r>
            <w:r w:rsidR="009D546A" w:rsidRPr="009D546A">
              <w:rPr>
                <w:rFonts w:cs="Arial"/>
                <w:color w:val="000000"/>
                <w:szCs w:val="18"/>
              </w:rPr>
              <w:t>28</w:t>
            </w:r>
          </w:p>
        </w:tc>
        <w:tc>
          <w:tcPr>
            <w:tcW w:w="1276" w:type="dxa"/>
            <w:shd w:val="clear" w:color="auto" w:fill="auto"/>
            <w:vAlign w:val="center"/>
          </w:tcPr>
          <w:p w14:paraId="2D5A49A3" w14:textId="306F776E" w:rsidR="00825260" w:rsidRPr="009D546A" w:rsidRDefault="009D546A" w:rsidP="009D546A">
            <w:pPr>
              <w:spacing w:line="240" w:lineRule="auto"/>
              <w:jc w:val="center"/>
              <w:rPr>
                <w:rFonts w:cs="Arial"/>
                <w:color w:val="000000"/>
                <w:szCs w:val="18"/>
              </w:rPr>
            </w:pPr>
            <w:r w:rsidRPr="009D546A">
              <w:rPr>
                <w:rFonts w:cs="Arial"/>
                <w:color w:val="000000"/>
                <w:szCs w:val="18"/>
              </w:rPr>
              <w:t>102,56</w:t>
            </w:r>
          </w:p>
        </w:tc>
        <w:tc>
          <w:tcPr>
            <w:tcW w:w="851" w:type="dxa"/>
            <w:shd w:val="clear" w:color="auto" w:fill="auto"/>
            <w:vAlign w:val="center"/>
          </w:tcPr>
          <w:p w14:paraId="7BC7AE3B" w14:textId="537E7E20" w:rsidR="00825260" w:rsidRPr="009D546A" w:rsidRDefault="009D546A" w:rsidP="009D546A">
            <w:pPr>
              <w:spacing w:line="240" w:lineRule="auto"/>
              <w:jc w:val="center"/>
              <w:rPr>
                <w:rFonts w:cs="Arial"/>
                <w:color w:val="000000"/>
                <w:szCs w:val="18"/>
              </w:rPr>
            </w:pPr>
            <w:r w:rsidRPr="009D546A">
              <w:rPr>
                <w:rFonts w:cs="Arial"/>
                <w:color w:val="000000"/>
                <w:szCs w:val="18"/>
              </w:rPr>
              <w:t>100</w:t>
            </w:r>
          </w:p>
        </w:tc>
        <w:tc>
          <w:tcPr>
            <w:tcW w:w="1110" w:type="dxa"/>
            <w:shd w:val="clear" w:color="auto" w:fill="auto"/>
            <w:vAlign w:val="center"/>
          </w:tcPr>
          <w:p w14:paraId="3673FA3B" w14:textId="0B945EA2" w:rsidR="00825260" w:rsidRPr="009D546A" w:rsidRDefault="00825260" w:rsidP="009D546A">
            <w:pPr>
              <w:spacing w:line="240" w:lineRule="auto"/>
              <w:jc w:val="center"/>
              <w:rPr>
                <w:rFonts w:cs="Arial"/>
                <w:color w:val="000000"/>
                <w:szCs w:val="18"/>
              </w:rPr>
            </w:pPr>
            <w:r w:rsidRPr="009D546A">
              <w:rPr>
                <w:rFonts w:cs="Arial"/>
                <w:color w:val="000000"/>
                <w:szCs w:val="18"/>
              </w:rPr>
              <w:t>100</w:t>
            </w:r>
            <w:r w:rsidRPr="009D546A">
              <w:rPr>
                <w:rFonts w:cs="Arial"/>
                <w:szCs w:val="18"/>
              </w:rPr>
              <w:t>.</w:t>
            </w:r>
            <w:r w:rsidR="009D546A" w:rsidRPr="009D546A">
              <w:rPr>
                <w:rFonts w:cs="Arial"/>
                <w:color w:val="000000"/>
                <w:szCs w:val="18"/>
              </w:rPr>
              <w:t>09</w:t>
            </w:r>
          </w:p>
        </w:tc>
      </w:tr>
      <w:tr w:rsidR="009D546A" w:rsidRPr="00825260" w14:paraId="1D4EA5B2" w14:textId="77777777" w:rsidTr="00D4748C">
        <w:trPr>
          <w:trHeight w:val="424"/>
        </w:trPr>
        <w:tc>
          <w:tcPr>
            <w:tcW w:w="2882" w:type="dxa"/>
            <w:shd w:val="clear" w:color="auto" w:fill="auto"/>
            <w:vAlign w:val="center"/>
          </w:tcPr>
          <w:p w14:paraId="0F64772D" w14:textId="299858E1"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DBO (</w:t>
            </w:r>
            <w:r w:rsidRPr="009D546A">
              <w:rPr>
                <w:rFonts w:cs="Arial"/>
                <w:color w:val="000000"/>
                <w:szCs w:val="18"/>
              </w:rPr>
              <w:t>mgO</w:t>
            </w:r>
            <w:r w:rsidRPr="009D546A">
              <w:rPr>
                <w:rFonts w:cs="Arial"/>
                <w:color w:val="000000"/>
                <w:szCs w:val="18"/>
                <w:vertAlign w:val="subscript"/>
              </w:rPr>
              <w:t>2</w:t>
            </w:r>
            <w:r w:rsidRPr="009D546A">
              <w:rPr>
                <w:rFonts w:cs="Arial"/>
                <w:color w:val="000000"/>
                <w:szCs w:val="18"/>
              </w:rPr>
              <w:t>/L)</w:t>
            </w:r>
          </w:p>
        </w:tc>
        <w:tc>
          <w:tcPr>
            <w:tcW w:w="1087" w:type="dxa"/>
            <w:shd w:val="clear" w:color="auto" w:fill="auto"/>
            <w:vAlign w:val="center"/>
          </w:tcPr>
          <w:p w14:paraId="1C3CB345" w14:textId="4F51F6C7" w:rsidR="00825260" w:rsidRPr="009D546A" w:rsidRDefault="00825260" w:rsidP="009D546A">
            <w:pPr>
              <w:spacing w:line="240" w:lineRule="auto"/>
              <w:jc w:val="center"/>
              <w:rPr>
                <w:rFonts w:cs="Arial"/>
                <w:color w:val="000000"/>
                <w:szCs w:val="18"/>
              </w:rPr>
            </w:pPr>
            <w:r w:rsidRPr="009D546A">
              <w:rPr>
                <w:rFonts w:cs="Arial"/>
                <w:color w:val="000000"/>
                <w:szCs w:val="18"/>
              </w:rPr>
              <w:t>20</w:t>
            </w:r>
            <w:r w:rsidRPr="009D546A">
              <w:rPr>
                <w:rFonts w:cs="Arial"/>
                <w:szCs w:val="18"/>
              </w:rPr>
              <w:t>.</w:t>
            </w:r>
            <w:r w:rsidR="009D546A" w:rsidRPr="009D546A">
              <w:rPr>
                <w:rFonts w:cs="Arial"/>
                <w:color w:val="000000"/>
                <w:szCs w:val="18"/>
              </w:rPr>
              <w:t>5</w:t>
            </w:r>
          </w:p>
        </w:tc>
        <w:tc>
          <w:tcPr>
            <w:tcW w:w="1276" w:type="dxa"/>
            <w:shd w:val="clear" w:color="auto" w:fill="auto"/>
            <w:vAlign w:val="center"/>
          </w:tcPr>
          <w:p w14:paraId="5FB62133" w14:textId="270284F3" w:rsidR="00825260" w:rsidRPr="009D546A" w:rsidRDefault="00825260" w:rsidP="009D546A">
            <w:pPr>
              <w:spacing w:line="240" w:lineRule="auto"/>
              <w:jc w:val="center"/>
              <w:rPr>
                <w:rFonts w:cs="Arial"/>
                <w:color w:val="000000"/>
                <w:szCs w:val="18"/>
              </w:rPr>
            </w:pPr>
            <w:r w:rsidRPr="009D546A">
              <w:rPr>
                <w:rFonts w:cs="Arial"/>
                <w:color w:val="000000"/>
                <w:szCs w:val="18"/>
              </w:rPr>
              <w:t>42</w:t>
            </w:r>
            <w:r w:rsidRPr="009D546A">
              <w:rPr>
                <w:rFonts w:cs="Arial"/>
                <w:szCs w:val="18"/>
              </w:rPr>
              <w:t>.</w:t>
            </w:r>
            <w:r w:rsidR="009D546A" w:rsidRPr="009D546A">
              <w:rPr>
                <w:rFonts w:cs="Arial"/>
                <w:color w:val="000000"/>
                <w:szCs w:val="18"/>
              </w:rPr>
              <w:t>67</w:t>
            </w:r>
          </w:p>
        </w:tc>
        <w:tc>
          <w:tcPr>
            <w:tcW w:w="851" w:type="dxa"/>
            <w:shd w:val="clear" w:color="auto" w:fill="auto"/>
            <w:vAlign w:val="center"/>
          </w:tcPr>
          <w:p w14:paraId="69249823" w14:textId="39D7E99D" w:rsidR="00825260" w:rsidRPr="009D546A" w:rsidRDefault="00825260" w:rsidP="009D546A">
            <w:pPr>
              <w:spacing w:line="240" w:lineRule="auto"/>
              <w:jc w:val="center"/>
              <w:rPr>
                <w:rFonts w:cs="Arial"/>
                <w:color w:val="000000"/>
                <w:szCs w:val="18"/>
              </w:rPr>
            </w:pPr>
            <w:r w:rsidRPr="009D546A">
              <w:rPr>
                <w:rFonts w:cs="Arial"/>
                <w:color w:val="000000"/>
                <w:szCs w:val="18"/>
              </w:rPr>
              <w:t>40</w:t>
            </w:r>
            <w:r w:rsidRPr="009D546A">
              <w:rPr>
                <w:rFonts w:cs="Arial"/>
                <w:szCs w:val="18"/>
              </w:rPr>
              <w:t>.</w:t>
            </w:r>
            <w:r w:rsidR="009D546A" w:rsidRPr="009D546A">
              <w:rPr>
                <w:rFonts w:cs="Arial"/>
                <w:color w:val="000000"/>
                <w:szCs w:val="18"/>
              </w:rPr>
              <w:t>65</w:t>
            </w:r>
          </w:p>
        </w:tc>
        <w:tc>
          <w:tcPr>
            <w:tcW w:w="1110" w:type="dxa"/>
            <w:shd w:val="clear" w:color="auto" w:fill="auto"/>
            <w:vAlign w:val="center"/>
          </w:tcPr>
          <w:p w14:paraId="3BED6529" w14:textId="4F3167FC" w:rsidR="00825260" w:rsidRPr="009D546A" w:rsidRDefault="00825260" w:rsidP="009D546A">
            <w:pPr>
              <w:spacing w:line="240" w:lineRule="auto"/>
              <w:jc w:val="center"/>
              <w:rPr>
                <w:rFonts w:cs="Arial"/>
                <w:color w:val="000000"/>
                <w:szCs w:val="18"/>
              </w:rPr>
            </w:pPr>
            <w:r w:rsidRPr="009D546A">
              <w:rPr>
                <w:rFonts w:cs="Arial"/>
                <w:color w:val="000000"/>
                <w:szCs w:val="18"/>
              </w:rPr>
              <w:t>40</w:t>
            </w:r>
            <w:r w:rsidRPr="009D546A">
              <w:rPr>
                <w:rFonts w:cs="Arial"/>
                <w:szCs w:val="18"/>
              </w:rPr>
              <w:t>.</w:t>
            </w:r>
            <w:r w:rsidR="009D546A" w:rsidRPr="009D546A">
              <w:rPr>
                <w:rFonts w:cs="Arial"/>
                <w:color w:val="000000"/>
                <w:szCs w:val="18"/>
              </w:rPr>
              <w:t>7</w:t>
            </w:r>
          </w:p>
        </w:tc>
      </w:tr>
      <w:tr w:rsidR="009D546A" w:rsidRPr="00825260" w14:paraId="2C1E7953" w14:textId="77777777" w:rsidTr="00D4748C">
        <w:trPr>
          <w:trHeight w:val="466"/>
        </w:trPr>
        <w:tc>
          <w:tcPr>
            <w:tcW w:w="2882" w:type="dxa"/>
            <w:shd w:val="clear" w:color="auto" w:fill="auto"/>
            <w:vAlign w:val="center"/>
          </w:tcPr>
          <w:p w14:paraId="6D37624C" w14:textId="68CC135B"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lang w:val="en-US"/>
              </w:rPr>
              <w:t>Sulfates</w:t>
            </w:r>
            <w:r w:rsidRPr="009D546A">
              <w:rPr>
                <w:rFonts w:eastAsia="Calibri" w:cs="Arial"/>
                <w:color w:val="000000"/>
                <w:szCs w:val="18"/>
              </w:rPr>
              <w:t xml:space="preserve"> (</w:t>
            </w:r>
            <w:r w:rsidRPr="009D546A">
              <w:rPr>
                <w:rFonts w:cs="Arial"/>
                <w:color w:val="000000"/>
                <w:szCs w:val="18"/>
              </w:rPr>
              <w:t>mgSO4</w:t>
            </w:r>
            <w:r w:rsidRPr="009D546A">
              <w:rPr>
                <w:rFonts w:cs="Arial"/>
                <w:color w:val="000000"/>
                <w:szCs w:val="18"/>
                <w:vertAlign w:val="superscript"/>
              </w:rPr>
              <w:t>=</w:t>
            </w:r>
            <w:r w:rsidRPr="009D546A">
              <w:rPr>
                <w:rFonts w:cs="Arial"/>
                <w:color w:val="000000"/>
                <w:szCs w:val="18"/>
              </w:rPr>
              <w:t>/L)</w:t>
            </w:r>
          </w:p>
        </w:tc>
        <w:tc>
          <w:tcPr>
            <w:tcW w:w="1087" w:type="dxa"/>
            <w:shd w:val="clear" w:color="auto" w:fill="auto"/>
            <w:vAlign w:val="center"/>
          </w:tcPr>
          <w:p w14:paraId="00C2E623" w14:textId="6E01AC7A" w:rsidR="00825260" w:rsidRPr="009D546A" w:rsidRDefault="00825260" w:rsidP="009D546A">
            <w:pPr>
              <w:spacing w:line="240" w:lineRule="auto"/>
              <w:jc w:val="center"/>
              <w:rPr>
                <w:rFonts w:cs="Arial"/>
                <w:color w:val="000000"/>
                <w:szCs w:val="18"/>
              </w:rPr>
            </w:pPr>
            <w:r w:rsidRPr="009D546A">
              <w:rPr>
                <w:rFonts w:cs="Arial"/>
                <w:color w:val="000000"/>
                <w:szCs w:val="18"/>
              </w:rPr>
              <w:t>3,313</w:t>
            </w:r>
            <w:r w:rsidRPr="009D546A">
              <w:rPr>
                <w:rFonts w:cs="Arial"/>
                <w:szCs w:val="18"/>
              </w:rPr>
              <w:t>.</w:t>
            </w:r>
            <w:r w:rsidR="009D546A" w:rsidRPr="009D546A">
              <w:rPr>
                <w:rFonts w:cs="Arial"/>
                <w:color w:val="000000"/>
                <w:szCs w:val="18"/>
              </w:rPr>
              <w:t>48</w:t>
            </w:r>
          </w:p>
        </w:tc>
        <w:tc>
          <w:tcPr>
            <w:tcW w:w="1276" w:type="dxa"/>
            <w:shd w:val="clear" w:color="auto" w:fill="auto"/>
            <w:vAlign w:val="center"/>
          </w:tcPr>
          <w:p w14:paraId="50038F2D" w14:textId="602EE8B3" w:rsidR="00825260" w:rsidRPr="009D546A" w:rsidRDefault="00825260" w:rsidP="009D546A">
            <w:pPr>
              <w:spacing w:line="240" w:lineRule="auto"/>
              <w:jc w:val="center"/>
              <w:rPr>
                <w:rFonts w:cs="Arial"/>
                <w:color w:val="000000"/>
                <w:szCs w:val="18"/>
              </w:rPr>
            </w:pPr>
            <w:r w:rsidRPr="009D546A">
              <w:rPr>
                <w:rFonts w:cs="Arial"/>
                <w:color w:val="000000"/>
                <w:szCs w:val="18"/>
              </w:rPr>
              <w:t>11</w:t>
            </w:r>
            <w:r w:rsidRPr="009D546A">
              <w:rPr>
                <w:rFonts w:cs="Arial"/>
                <w:szCs w:val="18"/>
              </w:rPr>
              <w:t>.</w:t>
            </w:r>
            <w:r w:rsidR="009D546A" w:rsidRPr="009D546A">
              <w:rPr>
                <w:rFonts w:cs="Arial"/>
                <w:color w:val="000000"/>
                <w:szCs w:val="18"/>
              </w:rPr>
              <w:t>078</w:t>
            </w:r>
          </w:p>
        </w:tc>
        <w:tc>
          <w:tcPr>
            <w:tcW w:w="851" w:type="dxa"/>
            <w:shd w:val="clear" w:color="auto" w:fill="auto"/>
            <w:vAlign w:val="center"/>
          </w:tcPr>
          <w:p w14:paraId="33988F9C" w14:textId="237EBA0A" w:rsidR="00825260" w:rsidRPr="009D546A" w:rsidRDefault="00825260" w:rsidP="009D546A">
            <w:pPr>
              <w:spacing w:line="240" w:lineRule="auto"/>
              <w:jc w:val="center"/>
              <w:rPr>
                <w:rFonts w:cs="Arial"/>
                <w:color w:val="000000"/>
                <w:szCs w:val="18"/>
              </w:rPr>
            </w:pPr>
            <w:r w:rsidRPr="009D546A">
              <w:rPr>
                <w:rFonts w:cs="Arial"/>
                <w:color w:val="000000"/>
                <w:szCs w:val="18"/>
              </w:rPr>
              <w:t>11</w:t>
            </w:r>
            <w:r w:rsidRPr="009D546A">
              <w:rPr>
                <w:rFonts w:cs="Arial"/>
                <w:szCs w:val="18"/>
              </w:rPr>
              <w:t>.</w:t>
            </w:r>
            <w:r w:rsidR="009D546A" w:rsidRPr="009D546A">
              <w:rPr>
                <w:rFonts w:cs="Arial"/>
                <w:color w:val="000000"/>
                <w:szCs w:val="18"/>
              </w:rPr>
              <w:t>055</w:t>
            </w:r>
          </w:p>
        </w:tc>
        <w:tc>
          <w:tcPr>
            <w:tcW w:w="1110" w:type="dxa"/>
            <w:shd w:val="clear" w:color="auto" w:fill="auto"/>
            <w:vAlign w:val="center"/>
          </w:tcPr>
          <w:p w14:paraId="7ECA25F1" w14:textId="2B4B3461" w:rsidR="00825260" w:rsidRPr="009D546A" w:rsidRDefault="00825260" w:rsidP="009D546A">
            <w:pPr>
              <w:spacing w:line="240" w:lineRule="auto"/>
              <w:jc w:val="center"/>
              <w:rPr>
                <w:rFonts w:cs="Arial"/>
                <w:color w:val="000000"/>
                <w:szCs w:val="18"/>
              </w:rPr>
            </w:pPr>
            <w:r w:rsidRPr="009D546A">
              <w:rPr>
                <w:rFonts w:cs="Arial"/>
                <w:color w:val="000000"/>
                <w:szCs w:val="18"/>
              </w:rPr>
              <w:t>11</w:t>
            </w:r>
            <w:r w:rsidRPr="009D546A">
              <w:rPr>
                <w:rFonts w:cs="Arial"/>
                <w:szCs w:val="18"/>
              </w:rPr>
              <w:t>.</w:t>
            </w:r>
            <w:r w:rsidR="009D546A" w:rsidRPr="009D546A">
              <w:rPr>
                <w:rFonts w:cs="Arial"/>
                <w:color w:val="000000"/>
                <w:szCs w:val="18"/>
              </w:rPr>
              <w:t>045</w:t>
            </w:r>
          </w:p>
        </w:tc>
      </w:tr>
      <w:tr w:rsidR="009D546A" w:rsidRPr="00825260" w14:paraId="0C485FD4" w14:textId="77777777" w:rsidTr="00D4748C">
        <w:trPr>
          <w:trHeight w:val="367"/>
        </w:trPr>
        <w:tc>
          <w:tcPr>
            <w:tcW w:w="2882" w:type="dxa"/>
            <w:shd w:val="clear" w:color="auto" w:fill="auto"/>
            <w:vAlign w:val="center"/>
          </w:tcPr>
          <w:p w14:paraId="282138D9" w14:textId="1D44ACC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Total Solids</w:t>
            </w:r>
            <w:r w:rsidR="009D546A" w:rsidRPr="009D546A">
              <w:rPr>
                <w:rFonts w:eastAsia="Calibri" w:cs="Arial"/>
                <w:color w:val="000000"/>
                <w:szCs w:val="18"/>
              </w:rPr>
              <w:t xml:space="preserve"> (</w:t>
            </w:r>
            <w:r w:rsidR="009D546A" w:rsidRPr="009D546A">
              <w:rPr>
                <w:rFonts w:cs="Arial"/>
                <w:color w:val="000000"/>
                <w:szCs w:val="18"/>
              </w:rPr>
              <w:t>mg/L)</w:t>
            </w:r>
          </w:p>
        </w:tc>
        <w:tc>
          <w:tcPr>
            <w:tcW w:w="1087" w:type="dxa"/>
            <w:shd w:val="clear" w:color="auto" w:fill="auto"/>
            <w:vAlign w:val="center"/>
          </w:tcPr>
          <w:p w14:paraId="1D8EB28D" w14:textId="68417C71" w:rsidR="00825260" w:rsidRPr="009D546A" w:rsidRDefault="00825260" w:rsidP="009D546A">
            <w:pPr>
              <w:spacing w:line="240" w:lineRule="auto"/>
              <w:jc w:val="center"/>
              <w:rPr>
                <w:rFonts w:cs="Arial"/>
                <w:color w:val="000000"/>
                <w:szCs w:val="18"/>
              </w:rPr>
            </w:pPr>
            <w:r w:rsidRPr="009D546A">
              <w:rPr>
                <w:rFonts w:cs="Arial"/>
                <w:color w:val="000000"/>
                <w:szCs w:val="18"/>
              </w:rPr>
              <w:t>38</w:t>
            </w:r>
            <w:r w:rsidRPr="009D546A">
              <w:rPr>
                <w:rFonts w:cs="Arial"/>
                <w:szCs w:val="18"/>
              </w:rPr>
              <w:t>.</w:t>
            </w:r>
            <w:r w:rsidR="009D546A" w:rsidRPr="009D546A">
              <w:rPr>
                <w:rFonts w:cs="Arial"/>
                <w:color w:val="000000"/>
                <w:szCs w:val="18"/>
              </w:rPr>
              <w:t>46</w:t>
            </w:r>
          </w:p>
        </w:tc>
        <w:tc>
          <w:tcPr>
            <w:tcW w:w="1276" w:type="dxa"/>
            <w:shd w:val="clear" w:color="auto" w:fill="auto"/>
            <w:vAlign w:val="center"/>
          </w:tcPr>
          <w:p w14:paraId="06649D46" w14:textId="4BD75591" w:rsidR="00825260" w:rsidRPr="009D546A" w:rsidRDefault="00825260" w:rsidP="009D546A">
            <w:pPr>
              <w:spacing w:line="240" w:lineRule="auto"/>
              <w:jc w:val="center"/>
              <w:rPr>
                <w:rFonts w:cs="Arial"/>
                <w:color w:val="000000"/>
                <w:szCs w:val="18"/>
              </w:rPr>
            </w:pPr>
            <w:r w:rsidRPr="009D546A">
              <w:rPr>
                <w:rFonts w:cs="Arial"/>
                <w:color w:val="000000"/>
                <w:szCs w:val="18"/>
              </w:rPr>
              <w:t>14</w:t>
            </w:r>
            <w:r w:rsidRPr="009D546A">
              <w:rPr>
                <w:rFonts w:cs="Arial"/>
                <w:szCs w:val="18"/>
              </w:rPr>
              <w:t>.</w:t>
            </w:r>
            <w:r w:rsidR="009D546A" w:rsidRPr="009D546A">
              <w:rPr>
                <w:rFonts w:cs="Arial"/>
                <w:color w:val="000000"/>
                <w:szCs w:val="18"/>
              </w:rPr>
              <w:t>6</w:t>
            </w:r>
          </w:p>
        </w:tc>
        <w:tc>
          <w:tcPr>
            <w:tcW w:w="851" w:type="dxa"/>
            <w:shd w:val="clear" w:color="auto" w:fill="auto"/>
            <w:vAlign w:val="center"/>
          </w:tcPr>
          <w:p w14:paraId="5CF235EF" w14:textId="152021B7" w:rsidR="00825260" w:rsidRPr="009D546A" w:rsidRDefault="00825260" w:rsidP="009D546A">
            <w:pPr>
              <w:spacing w:line="240" w:lineRule="auto"/>
              <w:jc w:val="center"/>
              <w:rPr>
                <w:rFonts w:cs="Arial"/>
                <w:color w:val="000000"/>
                <w:szCs w:val="18"/>
              </w:rPr>
            </w:pPr>
            <w:r w:rsidRPr="009D546A">
              <w:rPr>
                <w:rFonts w:cs="Arial"/>
                <w:color w:val="000000"/>
                <w:szCs w:val="18"/>
              </w:rPr>
              <w:t>14</w:t>
            </w:r>
            <w:r w:rsidRPr="009D546A">
              <w:rPr>
                <w:rFonts w:cs="Arial"/>
                <w:szCs w:val="18"/>
              </w:rPr>
              <w:t>.</w:t>
            </w:r>
            <w:r w:rsidR="009D546A" w:rsidRPr="009D546A">
              <w:rPr>
                <w:rFonts w:cs="Arial"/>
                <w:color w:val="000000"/>
                <w:szCs w:val="18"/>
              </w:rPr>
              <w:t>59</w:t>
            </w:r>
          </w:p>
        </w:tc>
        <w:tc>
          <w:tcPr>
            <w:tcW w:w="1110" w:type="dxa"/>
            <w:shd w:val="clear" w:color="auto" w:fill="auto"/>
            <w:vAlign w:val="center"/>
          </w:tcPr>
          <w:p w14:paraId="530BF1CE" w14:textId="78A34DFC" w:rsidR="00825260" w:rsidRPr="009D546A" w:rsidRDefault="00825260" w:rsidP="009D546A">
            <w:pPr>
              <w:spacing w:line="240" w:lineRule="auto"/>
              <w:jc w:val="center"/>
              <w:rPr>
                <w:rFonts w:cs="Arial"/>
                <w:color w:val="000000"/>
                <w:szCs w:val="18"/>
              </w:rPr>
            </w:pPr>
            <w:r w:rsidRPr="009D546A">
              <w:rPr>
                <w:rFonts w:cs="Arial"/>
                <w:color w:val="000000"/>
                <w:szCs w:val="18"/>
              </w:rPr>
              <w:t>14</w:t>
            </w:r>
            <w:r w:rsidRPr="009D546A">
              <w:rPr>
                <w:rFonts w:cs="Arial"/>
                <w:szCs w:val="18"/>
              </w:rPr>
              <w:t>.</w:t>
            </w:r>
            <w:r w:rsidR="009D546A" w:rsidRPr="009D546A">
              <w:rPr>
                <w:rFonts w:cs="Arial"/>
                <w:color w:val="000000"/>
                <w:szCs w:val="18"/>
              </w:rPr>
              <w:t>57</w:t>
            </w:r>
          </w:p>
        </w:tc>
      </w:tr>
      <w:tr w:rsidR="009D546A" w:rsidRPr="00825260" w14:paraId="71A95C0B" w14:textId="77777777" w:rsidTr="00D4748C">
        <w:trPr>
          <w:trHeight w:val="367"/>
        </w:trPr>
        <w:tc>
          <w:tcPr>
            <w:tcW w:w="2882" w:type="dxa"/>
            <w:tcBorders>
              <w:bottom w:val="single" w:sz="4" w:space="0" w:color="538135"/>
            </w:tcBorders>
            <w:shd w:val="clear" w:color="auto" w:fill="auto"/>
            <w:vAlign w:val="center"/>
          </w:tcPr>
          <w:p w14:paraId="4F910262" w14:textId="0C022247" w:rsidR="00825260" w:rsidRPr="009D546A" w:rsidRDefault="00825260" w:rsidP="009D546A">
            <w:pPr>
              <w:spacing w:line="240" w:lineRule="auto"/>
              <w:jc w:val="center"/>
              <w:rPr>
                <w:rFonts w:eastAsia="Calibri" w:cs="Arial"/>
                <w:color w:val="000000"/>
                <w:szCs w:val="18"/>
              </w:rPr>
            </w:pPr>
            <w:r w:rsidRPr="009D546A">
              <w:rPr>
                <w:rFonts w:eastAsia="Calibri" w:cs="Arial"/>
                <w:color w:val="000000"/>
                <w:szCs w:val="18"/>
              </w:rPr>
              <w:t>Dissolved Solids</w:t>
            </w:r>
            <w:r w:rsidR="009D546A" w:rsidRPr="009D546A">
              <w:rPr>
                <w:rFonts w:eastAsia="Calibri" w:cs="Arial"/>
                <w:color w:val="000000"/>
                <w:szCs w:val="18"/>
              </w:rPr>
              <w:t xml:space="preserve"> (</w:t>
            </w:r>
            <w:r w:rsidR="009D546A" w:rsidRPr="009D546A">
              <w:rPr>
                <w:rFonts w:cs="Arial"/>
                <w:color w:val="000000"/>
                <w:szCs w:val="18"/>
              </w:rPr>
              <w:t>mg/L)</w:t>
            </w:r>
          </w:p>
        </w:tc>
        <w:tc>
          <w:tcPr>
            <w:tcW w:w="1087" w:type="dxa"/>
            <w:tcBorders>
              <w:bottom w:val="single" w:sz="4" w:space="0" w:color="538135"/>
            </w:tcBorders>
            <w:shd w:val="clear" w:color="auto" w:fill="auto"/>
            <w:vAlign w:val="center"/>
          </w:tcPr>
          <w:p w14:paraId="0915568D" w14:textId="103A66CF" w:rsidR="00825260" w:rsidRPr="009D546A" w:rsidRDefault="00825260" w:rsidP="009D546A">
            <w:pPr>
              <w:spacing w:line="240" w:lineRule="auto"/>
              <w:jc w:val="center"/>
              <w:rPr>
                <w:rFonts w:cs="Arial"/>
                <w:color w:val="000000"/>
                <w:szCs w:val="18"/>
              </w:rPr>
            </w:pPr>
            <w:r w:rsidRPr="009D546A">
              <w:rPr>
                <w:rFonts w:cs="Arial"/>
                <w:color w:val="000000"/>
                <w:szCs w:val="18"/>
              </w:rPr>
              <w:t>36</w:t>
            </w:r>
            <w:r w:rsidRPr="009D546A">
              <w:rPr>
                <w:rFonts w:cs="Arial"/>
                <w:szCs w:val="18"/>
              </w:rPr>
              <w:t>.</w:t>
            </w:r>
            <w:r w:rsidR="009D546A" w:rsidRPr="009D546A">
              <w:rPr>
                <w:rFonts w:cs="Arial"/>
                <w:color w:val="000000"/>
                <w:szCs w:val="18"/>
              </w:rPr>
              <w:t>79</w:t>
            </w:r>
          </w:p>
        </w:tc>
        <w:tc>
          <w:tcPr>
            <w:tcW w:w="1276" w:type="dxa"/>
            <w:tcBorders>
              <w:bottom w:val="single" w:sz="4" w:space="0" w:color="538135"/>
            </w:tcBorders>
            <w:shd w:val="clear" w:color="auto" w:fill="auto"/>
            <w:vAlign w:val="center"/>
          </w:tcPr>
          <w:p w14:paraId="12A616BF" w14:textId="513335C9" w:rsidR="00825260" w:rsidRPr="009D546A" w:rsidRDefault="009D546A" w:rsidP="009D546A">
            <w:pPr>
              <w:spacing w:line="240" w:lineRule="auto"/>
              <w:jc w:val="center"/>
              <w:rPr>
                <w:rFonts w:cs="Arial"/>
                <w:color w:val="000000"/>
                <w:szCs w:val="18"/>
              </w:rPr>
            </w:pPr>
            <w:r w:rsidRPr="009D546A">
              <w:rPr>
                <w:rFonts w:cs="Arial"/>
                <w:color w:val="000000"/>
                <w:szCs w:val="18"/>
              </w:rPr>
              <w:t>1.080</w:t>
            </w:r>
          </w:p>
        </w:tc>
        <w:tc>
          <w:tcPr>
            <w:tcW w:w="851" w:type="dxa"/>
            <w:tcBorders>
              <w:bottom w:val="single" w:sz="4" w:space="0" w:color="538135"/>
            </w:tcBorders>
            <w:shd w:val="clear" w:color="auto" w:fill="auto"/>
            <w:vAlign w:val="center"/>
          </w:tcPr>
          <w:p w14:paraId="08C367B8" w14:textId="1FE34E9E" w:rsidR="00825260" w:rsidRPr="009D546A" w:rsidRDefault="009D546A" w:rsidP="009D546A">
            <w:pPr>
              <w:spacing w:line="240" w:lineRule="auto"/>
              <w:jc w:val="center"/>
              <w:rPr>
                <w:rFonts w:cs="Arial"/>
                <w:color w:val="000000"/>
                <w:szCs w:val="18"/>
              </w:rPr>
            </w:pPr>
            <w:r w:rsidRPr="009D546A">
              <w:rPr>
                <w:rFonts w:cs="Arial"/>
                <w:color w:val="000000"/>
                <w:szCs w:val="18"/>
              </w:rPr>
              <w:t>1.076</w:t>
            </w:r>
          </w:p>
        </w:tc>
        <w:tc>
          <w:tcPr>
            <w:tcW w:w="1110" w:type="dxa"/>
            <w:tcBorders>
              <w:bottom w:val="single" w:sz="4" w:space="0" w:color="538135"/>
            </w:tcBorders>
            <w:shd w:val="clear" w:color="auto" w:fill="auto"/>
            <w:vAlign w:val="center"/>
          </w:tcPr>
          <w:p w14:paraId="4B6EB883" w14:textId="129B503B" w:rsidR="00825260" w:rsidRPr="009D546A" w:rsidRDefault="009D546A" w:rsidP="009D546A">
            <w:pPr>
              <w:spacing w:line="240" w:lineRule="auto"/>
              <w:jc w:val="center"/>
              <w:rPr>
                <w:rFonts w:cs="Arial"/>
                <w:color w:val="000000"/>
                <w:szCs w:val="18"/>
              </w:rPr>
            </w:pPr>
            <w:r w:rsidRPr="009D546A">
              <w:rPr>
                <w:rFonts w:cs="Arial"/>
                <w:color w:val="000000"/>
                <w:szCs w:val="18"/>
              </w:rPr>
              <w:t>1.075</w:t>
            </w:r>
          </w:p>
        </w:tc>
      </w:tr>
      <w:tr w:rsidR="00825260" w:rsidRPr="00825260" w14:paraId="3E9EB3F0" w14:textId="77777777" w:rsidTr="0018318B">
        <w:trPr>
          <w:trHeight w:val="339"/>
        </w:trPr>
        <w:tc>
          <w:tcPr>
            <w:tcW w:w="2882" w:type="dxa"/>
            <w:tcBorders>
              <w:top w:val="single" w:sz="4" w:space="0" w:color="538135"/>
              <w:bottom w:val="single" w:sz="12" w:space="0" w:color="538135"/>
            </w:tcBorders>
            <w:shd w:val="clear" w:color="auto" w:fill="auto"/>
            <w:vAlign w:val="center"/>
          </w:tcPr>
          <w:p w14:paraId="093D05C4" w14:textId="2C15CDE7" w:rsidR="00825260" w:rsidRPr="009D546A" w:rsidRDefault="00825260" w:rsidP="009D546A">
            <w:pPr>
              <w:spacing w:line="240" w:lineRule="auto"/>
              <w:jc w:val="center"/>
              <w:rPr>
                <w:rFonts w:eastAsia="Calibri" w:cs="Arial"/>
                <w:b/>
                <w:color w:val="000000"/>
                <w:szCs w:val="18"/>
              </w:rPr>
            </w:pPr>
            <w:r w:rsidRPr="009D546A">
              <w:rPr>
                <w:rFonts w:eastAsia="Calibri" w:cs="Arial"/>
                <w:b/>
                <w:color w:val="000000"/>
                <w:szCs w:val="18"/>
              </w:rPr>
              <w:t>Salinity Reduction</w:t>
            </w:r>
            <w:r w:rsidR="009D546A" w:rsidRPr="009D546A">
              <w:rPr>
                <w:rFonts w:eastAsia="Calibri" w:cs="Arial"/>
                <w:b/>
                <w:color w:val="000000"/>
                <w:szCs w:val="18"/>
              </w:rPr>
              <w:t xml:space="preserve"> (%)</w:t>
            </w:r>
          </w:p>
        </w:tc>
        <w:tc>
          <w:tcPr>
            <w:tcW w:w="4324" w:type="dxa"/>
            <w:gridSpan w:val="4"/>
            <w:tcBorders>
              <w:top w:val="single" w:sz="4" w:space="0" w:color="538135"/>
              <w:bottom w:val="single" w:sz="12" w:space="0" w:color="538135"/>
            </w:tcBorders>
            <w:shd w:val="clear" w:color="auto" w:fill="auto"/>
            <w:vAlign w:val="center"/>
          </w:tcPr>
          <w:p w14:paraId="0512D5BF" w14:textId="445A2A1F" w:rsidR="00825260" w:rsidRPr="009D546A" w:rsidRDefault="00825260" w:rsidP="009D546A">
            <w:pPr>
              <w:spacing w:line="240" w:lineRule="auto"/>
              <w:jc w:val="center"/>
              <w:rPr>
                <w:rFonts w:cs="Arial"/>
                <w:color w:val="000000"/>
                <w:szCs w:val="18"/>
              </w:rPr>
            </w:pPr>
            <w:r w:rsidRPr="009D546A">
              <w:rPr>
                <w:rFonts w:cs="Arial"/>
                <w:color w:val="000000"/>
                <w:szCs w:val="18"/>
              </w:rPr>
              <w:t>99</w:t>
            </w:r>
            <w:r w:rsidRPr="009D546A">
              <w:rPr>
                <w:rFonts w:cs="Arial"/>
                <w:szCs w:val="18"/>
              </w:rPr>
              <w:t>.</w:t>
            </w:r>
            <w:r w:rsidR="009D546A" w:rsidRPr="009D546A">
              <w:rPr>
                <w:rFonts w:cs="Arial"/>
                <w:color w:val="000000"/>
                <w:szCs w:val="18"/>
              </w:rPr>
              <w:t>85</w:t>
            </w:r>
          </w:p>
        </w:tc>
      </w:tr>
    </w:tbl>
    <w:p w14:paraId="6F6A235C" w14:textId="3AC43171" w:rsidR="00825260" w:rsidRPr="009D546A" w:rsidRDefault="009D546A" w:rsidP="009D546A">
      <w:pPr>
        <w:pStyle w:val="CETheadingx"/>
        <w:jc w:val="both"/>
        <w:rPr>
          <w:b w:val="0"/>
          <w:iCs/>
          <w:lang w:val="en-GB"/>
        </w:rPr>
      </w:pPr>
      <w:r w:rsidRPr="009D546A">
        <w:rPr>
          <w:b w:val="0"/>
          <w:iCs/>
          <w:lang w:val="en-GB"/>
        </w:rPr>
        <w:lastRenderedPageBreak/>
        <w:t>In other research, Wang, Zhu and Zheng (2018) worked on a treatment using a solar energy capture and seawater demineralization system using a floating porous film, reaching a water production of 1.19 kg/m</w:t>
      </w:r>
      <w:r w:rsidRPr="001F5E64">
        <w:rPr>
          <w:b w:val="0"/>
          <w:iCs/>
          <w:vertAlign w:val="superscript"/>
          <w:lang w:val="en-GB"/>
        </w:rPr>
        <w:t>2</w:t>
      </w:r>
      <w:r w:rsidRPr="009D546A">
        <w:rPr>
          <w:b w:val="0"/>
          <w:iCs/>
          <w:lang w:val="en-GB"/>
        </w:rPr>
        <w:t>.day and a daily solar-thermal conversion rate of 22.7</w:t>
      </w:r>
      <w:r w:rsidR="00BC5532">
        <w:rPr>
          <w:b w:val="0"/>
          <w:iCs/>
          <w:lang w:val="en-GB"/>
        </w:rPr>
        <w:t xml:space="preserve"> </w:t>
      </w:r>
      <w:r w:rsidRPr="009D546A">
        <w:rPr>
          <w:b w:val="0"/>
          <w:iCs/>
          <w:lang w:val="en-GB"/>
        </w:rPr>
        <w:t>%. Meanwhile, Rahaoui et al. (2017) performed direct contact membrane distillation (DCMD) and solar, reaching to produce 1.7</w:t>
      </w:r>
      <w:r w:rsidR="001F5E64">
        <w:rPr>
          <w:b w:val="0"/>
          <w:iCs/>
          <w:lang w:val="en-GB"/>
        </w:rPr>
        <w:t xml:space="preserve"> L of freshwater in 15 h</w:t>
      </w:r>
      <w:r w:rsidRPr="009D546A">
        <w:rPr>
          <w:b w:val="0"/>
          <w:iCs/>
          <w:lang w:val="en-GB"/>
        </w:rPr>
        <w:t xml:space="preserve"> of treatment. Yabroudi et al. (2011) and Safaei and Tavakoli (2017) also obtained salinity reductions of 99.8 and 50 % using a tubular solar distiller and graphene oxide nanosheets membranes, respectively. Unlike Ghahari et al. (2019) who worked with a metal-air desalination battery and achieved a salin</w:t>
      </w:r>
      <w:r w:rsidR="001F5E64">
        <w:rPr>
          <w:b w:val="0"/>
          <w:iCs/>
          <w:lang w:val="en-GB"/>
        </w:rPr>
        <w:t>ity reduction efficiency of 37.</w:t>
      </w:r>
      <w:r w:rsidRPr="009D546A">
        <w:rPr>
          <w:b w:val="0"/>
          <w:iCs/>
          <w:lang w:val="en-GB"/>
        </w:rPr>
        <w:t>8 %.</w:t>
      </w:r>
    </w:p>
    <w:p w14:paraId="7DCF67F9" w14:textId="443DEFAB" w:rsidR="00D82616" w:rsidRPr="00C14646" w:rsidRDefault="00C14646" w:rsidP="00C14646">
      <w:pPr>
        <w:pStyle w:val="CETHeading1"/>
        <w:tabs>
          <w:tab w:val="right" w:pos="7100"/>
        </w:tabs>
        <w:jc w:val="both"/>
      </w:pPr>
      <w:r w:rsidRPr="00C14646">
        <w:t xml:space="preserve">4. </w:t>
      </w:r>
      <w:r w:rsidR="00B911EE" w:rsidRPr="00C14646">
        <w:t>Conclusions</w:t>
      </w:r>
    </w:p>
    <w:p w14:paraId="281E3BE6" w14:textId="4677158D" w:rsidR="009D546A" w:rsidRDefault="009D546A" w:rsidP="009D546A">
      <w:pPr>
        <w:pStyle w:val="CETBodytext"/>
      </w:pPr>
      <w:r>
        <w:t>The use of the photothermal membrane of activated biochar from pruning reduced seawater salinity by 99.85</w:t>
      </w:r>
      <w:r w:rsidR="00BC5532">
        <w:t xml:space="preserve"> </w:t>
      </w:r>
      <w:r>
        <w:t xml:space="preserve">% by the third day of treatment, demonstrating a high reduction efficiency.  Likewise, the concentration of sulfates and phosphates was improved, whose values </w:t>
      </w:r>
      <w:r w:rsidR="00BC5532">
        <w:t>were reduced from 3313.48 to 11.</w:t>
      </w:r>
      <w:r>
        <w:t>045 mgSO</w:t>
      </w:r>
      <w:r w:rsidRPr="00D6283C">
        <w:rPr>
          <w:vertAlign w:val="subscript"/>
        </w:rPr>
        <w:t>4</w:t>
      </w:r>
      <w:r w:rsidRPr="009D546A">
        <w:rPr>
          <w:vertAlign w:val="superscript"/>
        </w:rPr>
        <w:t>=</w:t>
      </w:r>
      <w:r>
        <w:t>/L, and 123.75 to 67.66 mg/L, respectively. Chlorides were reduced from 19505.50 to 28.6 mgCl</w:t>
      </w:r>
      <w:r w:rsidRPr="009D546A">
        <w:rPr>
          <w:vertAlign w:val="superscript"/>
        </w:rPr>
        <w:t>-</w:t>
      </w:r>
      <w:r>
        <w:t>/L and the percentage of sodium from 23.40 to 12.31</w:t>
      </w:r>
      <w:r w:rsidR="00BC5532">
        <w:t xml:space="preserve"> </w:t>
      </w:r>
      <w:r>
        <w:t xml:space="preserve">%. </w:t>
      </w:r>
    </w:p>
    <w:p w14:paraId="774F58ED" w14:textId="0B3FDC84" w:rsidR="00F956B6" w:rsidRPr="00D82616" w:rsidRDefault="009D546A" w:rsidP="009D546A">
      <w:pPr>
        <w:pStyle w:val="CETBodytext"/>
      </w:pPr>
      <w:r>
        <w:t>3.9</w:t>
      </w:r>
      <w:r w:rsidR="00BC5532">
        <w:t xml:space="preserve"> </w:t>
      </w:r>
      <w:r>
        <w:t>L of treated water was obtained in 6h, with</w:t>
      </w:r>
      <w:r w:rsidR="00D6283C">
        <w:t xml:space="preserve"> an incident radiation of 0.98 k</w:t>
      </w:r>
      <w:r>
        <w:t>W/m</w:t>
      </w:r>
      <w:r w:rsidRPr="00D6283C">
        <w:rPr>
          <w:vertAlign w:val="superscript"/>
        </w:rPr>
        <w:t>2</w:t>
      </w:r>
      <w:r>
        <w:t xml:space="preserve"> at 12:00</w:t>
      </w:r>
      <w:r w:rsidR="00D6283C">
        <w:t xml:space="preserve"> </w:t>
      </w:r>
      <w:r>
        <w:t>pm, which increased the surface temperature of the photothermal membrane to 138</w:t>
      </w:r>
      <w:r w:rsidR="00D6283C">
        <w:t xml:space="preserve"> </w:t>
      </w:r>
      <w:r>
        <w:t>°C, reducing the values of turbidity, total solids and dissolved solids to 6.95 NTU, 14.57 mg/L, 1.075 mg/L, respectively</w:t>
      </w:r>
      <w:r w:rsidR="00D82616"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2C9F9A07" w14:textId="77777777" w:rsidR="00D303EC" w:rsidRDefault="00D303EC" w:rsidP="00D303EC">
      <w:pPr>
        <w:pStyle w:val="CETBodytext"/>
      </w:pPr>
      <w:r w:rsidRPr="0048329B">
        <w:t>The authors would like to thank "Investiga UCV" of the Universidad César Vallejo for financial support for t</w:t>
      </w:r>
      <w:r>
        <w:t>he publication of this research.</w:t>
      </w:r>
    </w:p>
    <w:p w14:paraId="4F1327F8" w14:textId="77777777" w:rsidR="00600535" w:rsidRPr="00D303EC" w:rsidRDefault="00600535" w:rsidP="00600535">
      <w:pPr>
        <w:pStyle w:val="CETReference"/>
        <w:rPr>
          <w:lang w:val="pt-BR"/>
        </w:rPr>
      </w:pPr>
      <w:r w:rsidRPr="00D303EC">
        <w:rPr>
          <w:lang w:val="pt-BR"/>
        </w:rPr>
        <w:t>References</w:t>
      </w:r>
    </w:p>
    <w:p w14:paraId="6F778803" w14:textId="776721FC" w:rsidR="00B8367D" w:rsidRPr="00B8367D" w:rsidRDefault="00B911EE" w:rsidP="00B8367D">
      <w:pPr>
        <w:pStyle w:val="NormalWeb"/>
        <w:ind w:left="284" w:hanging="284"/>
        <w:rPr>
          <w:rFonts w:cs="Arial"/>
          <w:color w:val="000000"/>
          <w:sz w:val="18"/>
          <w:szCs w:val="18"/>
          <w:lang w:val="pt-BR"/>
        </w:rPr>
      </w:pPr>
      <w:r w:rsidRPr="0096565E">
        <w:rPr>
          <w:sz w:val="18"/>
          <w:szCs w:val="18"/>
          <w:lang w:val="pt-BR"/>
        </w:rPr>
        <w:fldChar w:fldCharType="begin" w:fldLock="1"/>
      </w:r>
      <w:r w:rsidRPr="00B8367D">
        <w:rPr>
          <w:sz w:val="18"/>
          <w:szCs w:val="18"/>
          <w:lang w:val="pt-BR"/>
        </w:rPr>
        <w:instrText xml:space="preserve">ADDIN Mendeley Bibliography CSL_BIBLIOGRAPHY </w:instrText>
      </w:r>
      <w:r w:rsidRPr="0096565E">
        <w:rPr>
          <w:sz w:val="18"/>
          <w:szCs w:val="18"/>
          <w:lang w:val="pt-BR"/>
        </w:rPr>
        <w:fldChar w:fldCharType="separate"/>
      </w:r>
      <w:r w:rsidR="00B8367D" w:rsidRPr="00B8367D">
        <w:rPr>
          <w:rFonts w:cs="Arial"/>
          <w:color w:val="000000"/>
          <w:sz w:val="18"/>
          <w:szCs w:val="18"/>
          <w:lang w:val="pt-BR"/>
        </w:rPr>
        <w:t>Abenavoli, L., Longo, L., Proto, A., Gallucci, F., Ghignoli, A., Zimbalatti, G. y Russo, D., 2016, Procedia, 223, 698-705.</w:t>
      </w:r>
    </w:p>
    <w:p w14:paraId="57A9DEE3" w14:textId="3118D8D2" w:rsidR="00B8367D" w:rsidRPr="00B8367D" w:rsidRDefault="00B8367D" w:rsidP="00B8367D">
      <w:pPr>
        <w:pStyle w:val="NormalWeb"/>
        <w:ind w:left="284" w:hanging="284"/>
        <w:rPr>
          <w:rFonts w:cs="Arial"/>
          <w:color w:val="000000"/>
          <w:sz w:val="18"/>
          <w:szCs w:val="18"/>
          <w:lang w:val="pt-BR"/>
        </w:rPr>
      </w:pPr>
      <w:r w:rsidRPr="00B8367D">
        <w:rPr>
          <w:rFonts w:cs="Arial"/>
          <w:color w:val="000000"/>
          <w:sz w:val="18"/>
          <w:szCs w:val="18"/>
          <w:lang w:val="pt-BR"/>
        </w:rPr>
        <w:t>Bereiro M, s.f., Caracterí</w:t>
      </w:r>
      <w:r w:rsidR="003D0D3E">
        <w:rPr>
          <w:rFonts w:cs="Arial"/>
          <w:color w:val="000000"/>
          <w:sz w:val="18"/>
          <w:szCs w:val="18"/>
          <w:lang w:val="pt-BR"/>
        </w:rPr>
        <w:t>sticas generales de los océanos, O</w:t>
      </w:r>
      <w:r w:rsidRPr="00B8367D">
        <w:rPr>
          <w:rFonts w:cs="Arial"/>
          <w:color w:val="000000"/>
          <w:sz w:val="18"/>
          <w:szCs w:val="18"/>
          <w:lang w:val="pt-BR"/>
        </w:rPr>
        <w:t>ceanografía dinámica</w:t>
      </w:r>
      <w:r w:rsidR="003D0D3E">
        <w:rPr>
          <w:rFonts w:cs="Arial"/>
          <w:color w:val="000000"/>
          <w:sz w:val="18"/>
          <w:szCs w:val="18"/>
          <w:lang w:val="pt-BR"/>
        </w:rPr>
        <w:t>,</w:t>
      </w:r>
      <w:r w:rsidRPr="00B8367D">
        <w:rPr>
          <w:rFonts w:cs="Arial"/>
          <w:color w:val="000000"/>
          <w:sz w:val="18"/>
          <w:szCs w:val="18"/>
          <w:lang w:val="pt-BR"/>
        </w:rPr>
        <w:t xml:space="preserve"> 1-12, &lt;https://docplayer.es/14822569-1-caracteristicas-generales-de-los-oceanos.html&gt; </w:t>
      </w:r>
    </w:p>
    <w:p w14:paraId="2AD897C9" w14:textId="77777777"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Carrillo, Y. y Pulido A., 2018, Evaluación de un inóculo microbiano comercial para minimizar</w:t>
      </w:r>
    </w:p>
    <w:p w14:paraId="5243D462" w14:textId="36BA2F52"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la materia orgánica en aguas residuales de una planta Panificadora en Soledad – Atl</w:t>
      </w:r>
      <w:r w:rsidR="003D0D3E">
        <w:rPr>
          <w:rFonts w:cs="Arial"/>
          <w:color w:val="000000"/>
          <w:sz w:val="18"/>
          <w:szCs w:val="18"/>
          <w:lang w:val="es-PE"/>
        </w:rPr>
        <w:t>ántico,</w:t>
      </w:r>
      <w:r w:rsidRPr="00B8367D">
        <w:rPr>
          <w:rFonts w:cs="Arial"/>
          <w:color w:val="000000"/>
          <w:sz w:val="18"/>
          <w:szCs w:val="18"/>
          <w:lang w:val="es-PE"/>
        </w:rPr>
        <w:t xml:space="preserve"> Tesis de bachillerato. Universidad de San Buenaventura, Colombia.</w:t>
      </w:r>
    </w:p>
    <w:p w14:paraId="0F378FB1" w14:textId="273A8E6D" w:rsidR="00B8367D" w:rsidRPr="00B8367D" w:rsidRDefault="00B8367D" w:rsidP="00B8367D">
      <w:pPr>
        <w:pStyle w:val="NormalWeb"/>
        <w:ind w:left="284" w:hanging="284"/>
        <w:rPr>
          <w:rFonts w:cs="Arial"/>
          <w:color w:val="000000"/>
          <w:sz w:val="18"/>
          <w:szCs w:val="18"/>
          <w:lang w:val="en-US"/>
        </w:rPr>
      </w:pPr>
      <w:r w:rsidRPr="003D0D3E">
        <w:rPr>
          <w:rFonts w:cs="Arial"/>
          <w:color w:val="000000"/>
          <w:sz w:val="18"/>
          <w:szCs w:val="18"/>
          <w:lang w:val="en-US"/>
        </w:rPr>
        <w:t>Chen, C., Kuang, Y. y Hu, L., 2019, Challenges and Oppo</w:t>
      </w:r>
      <w:r w:rsidR="003D0D3E" w:rsidRPr="003D0D3E">
        <w:rPr>
          <w:rFonts w:cs="Arial"/>
          <w:color w:val="000000"/>
          <w:sz w:val="18"/>
          <w:szCs w:val="18"/>
          <w:lang w:val="en-US"/>
        </w:rPr>
        <w:t>rtunities for Solar Evaporation,</w:t>
      </w:r>
      <w:r w:rsidRPr="003D0D3E">
        <w:rPr>
          <w:rFonts w:cs="Arial"/>
          <w:color w:val="000000"/>
          <w:sz w:val="18"/>
          <w:szCs w:val="18"/>
          <w:lang w:val="en-US"/>
        </w:rPr>
        <w:t xml:space="preserve"> </w:t>
      </w:r>
      <w:r w:rsidRPr="00B8367D">
        <w:rPr>
          <w:rFonts w:cs="Arial"/>
          <w:color w:val="000000"/>
          <w:sz w:val="18"/>
          <w:szCs w:val="18"/>
          <w:lang w:val="en-US"/>
        </w:rPr>
        <w:t>Joule, 3, 683-718.</w:t>
      </w:r>
    </w:p>
    <w:p w14:paraId="619035D7" w14:textId="77777777"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 xml:space="preserve">Ghahari, M., Rashid-Nadimi, S. y Bemana, H., 2019, Metal-air desalination battery: Concurrent energy generation and water desalination. Journal of Power Sources, 197-203. </w:t>
      </w:r>
    </w:p>
    <w:p w14:paraId="746E7050" w14:textId="5C1393A1"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Giordano, M., Barron, J. y Ünver, O., 2019, Water Scarcity and Challenges for Smallh</w:t>
      </w:r>
      <w:r w:rsidR="003D0D3E">
        <w:rPr>
          <w:rFonts w:cs="Arial"/>
          <w:color w:val="000000"/>
          <w:sz w:val="18"/>
          <w:szCs w:val="18"/>
          <w:lang w:val="en-US"/>
        </w:rPr>
        <w:t>older Agriculture,</w:t>
      </w:r>
      <w:r w:rsidRPr="00B8367D">
        <w:rPr>
          <w:rFonts w:cs="Arial"/>
          <w:color w:val="000000"/>
          <w:sz w:val="18"/>
          <w:szCs w:val="18"/>
          <w:lang w:val="en-US"/>
        </w:rPr>
        <w:t xml:space="preserve"> Sustainable Food and </w:t>
      </w:r>
      <w:r w:rsidR="0018318B" w:rsidRPr="00B8367D">
        <w:rPr>
          <w:rFonts w:cs="Arial"/>
          <w:color w:val="000000"/>
          <w:sz w:val="18"/>
          <w:szCs w:val="18"/>
          <w:lang w:val="en-US"/>
        </w:rPr>
        <w:t>Agriculture, 75</w:t>
      </w:r>
      <w:r w:rsidRPr="00B8367D">
        <w:rPr>
          <w:rFonts w:cs="Arial"/>
          <w:color w:val="000000"/>
          <w:sz w:val="18"/>
          <w:szCs w:val="18"/>
          <w:lang w:val="en-US"/>
        </w:rPr>
        <w:t>-94.</w:t>
      </w:r>
    </w:p>
    <w:p w14:paraId="4BD7ACE4" w14:textId="0E3C60F7" w:rsidR="00B8367D" w:rsidRPr="003D0D3E"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 xml:space="preserve">Gong, </w:t>
      </w:r>
      <w:r w:rsidR="0018318B" w:rsidRPr="00B8367D">
        <w:rPr>
          <w:rFonts w:cs="Arial"/>
          <w:color w:val="000000"/>
          <w:sz w:val="18"/>
          <w:szCs w:val="18"/>
          <w:lang w:val="en-US"/>
        </w:rPr>
        <w:t>F.,</w:t>
      </w:r>
      <w:r w:rsidRPr="00B8367D">
        <w:rPr>
          <w:rFonts w:cs="Arial"/>
          <w:color w:val="000000"/>
          <w:sz w:val="18"/>
          <w:szCs w:val="18"/>
          <w:lang w:val="en-US"/>
        </w:rPr>
        <w:t xml:space="preserve"> Li, H., Wang, W., Huang, J., Xia, </w:t>
      </w:r>
      <w:r w:rsidR="0018318B" w:rsidRPr="00B8367D">
        <w:rPr>
          <w:rFonts w:cs="Arial"/>
          <w:color w:val="000000"/>
          <w:sz w:val="18"/>
          <w:szCs w:val="18"/>
          <w:lang w:val="en-US"/>
        </w:rPr>
        <w:t>D.,</w:t>
      </w:r>
      <w:r w:rsidRPr="00B8367D">
        <w:rPr>
          <w:rFonts w:cs="Arial"/>
          <w:color w:val="000000"/>
          <w:sz w:val="18"/>
          <w:szCs w:val="18"/>
          <w:lang w:val="en-US"/>
        </w:rPr>
        <w:t xml:space="preserve"> Liao, J., 2019, Scalable, eco-friendly and ultrafast solar steam generators based on one-step melamine-derived carbon sp</w:t>
      </w:r>
      <w:r w:rsidR="003D0D3E">
        <w:rPr>
          <w:rFonts w:cs="Arial"/>
          <w:color w:val="000000"/>
          <w:sz w:val="18"/>
          <w:szCs w:val="18"/>
          <w:lang w:val="en-US"/>
        </w:rPr>
        <w:t>onges toward water purification,</w:t>
      </w:r>
      <w:r w:rsidRPr="00B8367D">
        <w:rPr>
          <w:rFonts w:cs="Arial"/>
          <w:color w:val="000000"/>
          <w:sz w:val="18"/>
          <w:szCs w:val="18"/>
          <w:lang w:val="en-US"/>
        </w:rPr>
        <w:t xml:space="preserve"> </w:t>
      </w:r>
      <w:r w:rsidRPr="003D0D3E">
        <w:rPr>
          <w:rFonts w:cs="Arial"/>
          <w:color w:val="000000"/>
          <w:sz w:val="18"/>
          <w:szCs w:val="18"/>
          <w:lang w:val="en-US"/>
        </w:rPr>
        <w:t xml:space="preserve">Nano Energy, 58, 322-330. </w:t>
      </w:r>
    </w:p>
    <w:p w14:paraId="2C107C2C" w14:textId="17861252"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 xml:space="preserve">Imarpe. Calidad del ambiente marino y costero en la región Ancash 2012, Instituto del Mar del Perú, </w:t>
      </w:r>
      <w:r w:rsidR="0018318B" w:rsidRPr="00B8367D">
        <w:rPr>
          <w:rFonts w:cs="Arial"/>
          <w:color w:val="000000"/>
          <w:sz w:val="18"/>
          <w:szCs w:val="18"/>
          <w:lang w:val="es-PE"/>
        </w:rPr>
        <w:t>42, 436</w:t>
      </w:r>
      <w:r w:rsidRPr="00B8367D">
        <w:rPr>
          <w:rFonts w:cs="Arial"/>
          <w:color w:val="000000"/>
          <w:sz w:val="18"/>
          <w:szCs w:val="18"/>
          <w:lang w:val="es-PE"/>
        </w:rPr>
        <w:t>-459</w:t>
      </w:r>
    </w:p>
    <w:p w14:paraId="0F78798E" w14:textId="77777777"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Instituto De Promoción De La Gestión Del Agua, 2017, Agenda del Agua 2030: Contribuciones para el cumplimiento de los Objetivo de Desarrollo Sostenible: una propuesta desde la sociedad civil.</w:t>
      </w:r>
    </w:p>
    <w:p w14:paraId="1BDC00B3" w14:textId="0A20FEE3"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Leroux, A.D., Martin, V.L. y Zheng, H., 2018, Addressing wa</w:t>
      </w:r>
      <w:r w:rsidR="003D0D3E">
        <w:rPr>
          <w:rFonts w:cs="Arial"/>
          <w:color w:val="000000"/>
          <w:sz w:val="18"/>
          <w:szCs w:val="18"/>
          <w:lang w:val="en-US"/>
        </w:rPr>
        <w:t>ter shortages by force of habit,</w:t>
      </w:r>
      <w:r w:rsidRPr="00B8367D">
        <w:rPr>
          <w:rFonts w:cs="Arial"/>
          <w:color w:val="000000"/>
          <w:sz w:val="18"/>
          <w:szCs w:val="18"/>
          <w:lang w:val="en-US"/>
        </w:rPr>
        <w:t xml:space="preserve"> Resource and Energy Economics, 53, 42-61.</w:t>
      </w:r>
    </w:p>
    <w:p w14:paraId="62138AC6" w14:textId="027074AC"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Li, X., Xu, W., Tang, M., Zhou, L., Zhu, B., Zhu, S. y Zhu, J., 2016, Graphene oxide-based efficient and scalable solar desalination under one sun wi</w:t>
      </w:r>
      <w:r w:rsidR="003D0D3E">
        <w:rPr>
          <w:rFonts w:cs="Arial"/>
          <w:color w:val="000000"/>
          <w:sz w:val="18"/>
          <w:szCs w:val="18"/>
          <w:lang w:val="en-US"/>
        </w:rPr>
        <w:t>th a confined 2D water path,</w:t>
      </w:r>
      <w:r w:rsidRPr="00B8367D">
        <w:rPr>
          <w:rFonts w:cs="Arial"/>
          <w:color w:val="000000"/>
          <w:sz w:val="18"/>
          <w:szCs w:val="18"/>
          <w:lang w:val="en-US"/>
        </w:rPr>
        <w:t xml:space="preserve"> Proceedings of the National Academy of Sciences of the United States of America, 113, 13953-13958.</w:t>
      </w:r>
    </w:p>
    <w:p w14:paraId="22BFAD2A" w14:textId="6228F102"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Naranjo Gonzál</w:t>
      </w:r>
      <w:r w:rsidR="003D0D3E">
        <w:rPr>
          <w:rFonts w:cs="Arial"/>
          <w:color w:val="000000"/>
          <w:sz w:val="18"/>
          <w:szCs w:val="18"/>
          <w:lang w:val="es-PE"/>
        </w:rPr>
        <w:t>ez, M., 2007, La desalinización,</w:t>
      </w:r>
      <w:r w:rsidRPr="00B8367D">
        <w:rPr>
          <w:rFonts w:cs="Arial"/>
          <w:color w:val="000000"/>
          <w:sz w:val="18"/>
          <w:szCs w:val="18"/>
          <w:lang w:val="es-PE"/>
        </w:rPr>
        <w:t xml:space="preserve"> Agua y Ambiente, 20, 2.</w:t>
      </w:r>
    </w:p>
    <w:p w14:paraId="25F47FAE" w14:textId="4C5A5A98" w:rsidR="00B8367D" w:rsidRPr="003D0D3E"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 xml:space="preserve">Politano, A., Argurio, P., Di Profio, G., Sanna, V., Cupolillo, A., Chakraborty, S., </w:t>
      </w:r>
      <w:r w:rsidR="003D0D3E">
        <w:rPr>
          <w:rFonts w:cs="Arial"/>
          <w:color w:val="000000"/>
          <w:sz w:val="18"/>
          <w:szCs w:val="18"/>
          <w:lang w:val="es-PE"/>
        </w:rPr>
        <w:t xml:space="preserve">Arafat, H.A. y Curcio, E., 2017, </w:t>
      </w:r>
      <w:r w:rsidRPr="003D0D3E">
        <w:rPr>
          <w:rFonts w:cs="Arial"/>
          <w:color w:val="000000"/>
          <w:sz w:val="18"/>
          <w:szCs w:val="18"/>
          <w:lang w:val="es-PE"/>
        </w:rPr>
        <w:t>Photothermal Membrane Distill</w:t>
      </w:r>
      <w:r w:rsidR="003D0D3E">
        <w:rPr>
          <w:rFonts w:cs="Arial"/>
          <w:color w:val="000000"/>
          <w:sz w:val="18"/>
          <w:szCs w:val="18"/>
          <w:lang w:val="es-PE"/>
        </w:rPr>
        <w:t>ation for Seawater Desalination,</w:t>
      </w:r>
      <w:r w:rsidRPr="003D0D3E">
        <w:rPr>
          <w:rFonts w:cs="Arial"/>
          <w:color w:val="000000"/>
          <w:sz w:val="18"/>
          <w:szCs w:val="18"/>
          <w:lang w:val="es-PE"/>
        </w:rPr>
        <w:t xml:space="preserve"> Advanced Materials</w:t>
      </w:r>
      <w:r w:rsidR="003D0D3E">
        <w:rPr>
          <w:rFonts w:cs="Arial"/>
          <w:color w:val="000000"/>
          <w:sz w:val="18"/>
          <w:szCs w:val="18"/>
          <w:lang w:val="es-PE"/>
        </w:rPr>
        <w:t>,</w:t>
      </w:r>
      <w:r w:rsidRPr="003D0D3E">
        <w:rPr>
          <w:rFonts w:cs="Arial"/>
          <w:color w:val="000000"/>
          <w:sz w:val="18"/>
          <w:szCs w:val="18"/>
          <w:lang w:val="es-PE"/>
        </w:rPr>
        <w:t xml:space="preserve"> 29, 1603504.</w:t>
      </w:r>
    </w:p>
    <w:p w14:paraId="2FD2F90C" w14:textId="19B05C64"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Rahaoui, K., Ding, L., Tan, L., Mediouri, W., Mahmoudi, F., Nakoa, K. y Akbarzadeh, A., 2017, Sustainable Membrane Distillation Coupled with Solar Pond</w:t>
      </w:r>
      <w:r w:rsidR="003D0D3E">
        <w:rPr>
          <w:rFonts w:cs="Arial"/>
          <w:color w:val="000000"/>
          <w:sz w:val="18"/>
          <w:szCs w:val="18"/>
          <w:lang w:val="en-US"/>
        </w:rPr>
        <w:t>,</w:t>
      </w:r>
      <w:r w:rsidRPr="00B8367D">
        <w:rPr>
          <w:rFonts w:cs="Arial"/>
          <w:color w:val="000000"/>
          <w:sz w:val="18"/>
          <w:szCs w:val="18"/>
          <w:lang w:val="en-US"/>
        </w:rPr>
        <w:t xml:space="preserve"> Energy Procedia, 110, 414-419. </w:t>
      </w:r>
    </w:p>
    <w:p w14:paraId="4BA91C19" w14:textId="68080A36"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Safaei, S. y Tavakoli, R., 2017, On the design of graphene oxide nanosheets m</w:t>
      </w:r>
      <w:r w:rsidR="003D0D3E">
        <w:rPr>
          <w:rFonts w:cs="Arial"/>
          <w:color w:val="000000"/>
          <w:sz w:val="18"/>
          <w:szCs w:val="18"/>
          <w:lang w:val="en-US"/>
        </w:rPr>
        <w:t>embranes for water desalination,</w:t>
      </w:r>
      <w:r w:rsidRPr="00B8367D">
        <w:rPr>
          <w:rFonts w:cs="Arial"/>
          <w:color w:val="000000"/>
          <w:sz w:val="18"/>
          <w:szCs w:val="18"/>
          <w:lang w:val="en-US"/>
        </w:rPr>
        <w:t xml:space="preserve"> Desalination, 422, 83-90. </w:t>
      </w:r>
    </w:p>
    <w:p w14:paraId="31A7C3A6" w14:textId="09B1AFF8"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Von, G.M., 2004, Water desalination as a long-term sustainable solution to alleviate global freshwater s</w:t>
      </w:r>
      <w:r w:rsidR="003D0D3E">
        <w:rPr>
          <w:rFonts w:cs="Arial"/>
          <w:color w:val="000000"/>
          <w:sz w:val="18"/>
          <w:szCs w:val="18"/>
          <w:lang w:val="en-US"/>
        </w:rPr>
        <w:t>carcity? A North-South approach,</w:t>
      </w:r>
      <w:r w:rsidRPr="00B8367D">
        <w:rPr>
          <w:rFonts w:cs="Arial"/>
          <w:color w:val="000000"/>
          <w:sz w:val="18"/>
          <w:szCs w:val="18"/>
          <w:lang w:val="en-US"/>
        </w:rPr>
        <w:t xml:space="preserve"> Desalination, 165, 71-72.</w:t>
      </w:r>
    </w:p>
    <w:p w14:paraId="0C09859C" w14:textId="77777777"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UNICEF, 2017, Progress on drinking water, sanitation and hygiene: 2017 update and SDG baselines.</w:t>
      </w:r>
    </w:p>
    <w:p w14:paraId="64575E07" w14:textId="5ECA41A8" w:rsidR="00B8367D" w:rsidRPr="00B8367D"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lastRenderedPageBreak/>
        <w:t>Wang, Q., Zhu, Z. y Zheng, H., 2018, Investigation of a f</w:t>
      </w:r>
      <w:r w:rsidR="003D0D3E">
        <w:rPr>
          <w:rFonts w:cs="Arial"/>
          <w:color w:val="000000"/>
          <w:sz w:val="18"/>
          <w:szCs w:val="18"/>
          <w:lang w:val="en-US"/>
        </w:rPr>
        <w:t>loating solar desalination film,</w:t>
      </w:r>
      <w:r w:rsidRPr="00B8367D">
        <w:rPr>
          <w:rFonts w:cs="Arial"/>
          <w:color w:val="000000"/>
          <w:sz w:val="18"/>
          <w:szCs w:val="18"/>
          <w:lang w:val="en-US"/>
        </w:rPr>
        <w:t xml:space="preserve"> Desalination, 447, 43-54. </w:t>
      </w:r>
    </w:p>
    <w:p w14:paraId="06BF20C4" w14:textId="77777777" w:rsidR="00B8367D" w:rsidRPr="00B8367D" w:rsidRDefault="00B8367D" w:rsidP="00B8367D">
      <w:pPr>
        <w:pStyle w:val="NormalWeb"/>
        <w:ind w:left="284" w:hanging="284"/>
        <w:rPr>
          <w:rFonts w:cs="Arial"/>
          <w:color w:val="000000"/>
          <w:sz w:val="18"/>
          <w:szCs w:val="18"/>
          <w:lang w:val="es-PE"/>
        </w:rPr>
      </w:pPr>
      <w:r w:rsidRPr="00B8367D">
        <w:rPr>
          <w:rFonts w:cs="Arial"/>
          <w:color w:val="000000"/>
          <w:sz w:val="18"/>
          <w:szCs w:val="18"/>
          <w:lang w:val="en-US"/>
        </w:rPr>
        <w:t xml:space="preserve">Xu, N., Hu, X., Xu, W., Li, X., Zhou, L., Zhu, S. y Zhu, J., 2017, Mushrooms as Efficient Solar Steam-Generation Devices. </w:t>
      </w:r>
      <w:r w:rsidRPr="00B8367D">
        <w:rPr>
          <w:rFonts w:cs="Arial"/>
          <w:color w:val="000000"/>
          <w:sz w:val="18"/>
          <w:szCs w:val="18"/>
          <w:lang w:val="es-PE"/>
        </w:rPr>
        <w:t>Advanced Materials, 29, 28.</w:t>
      </w:r>
    </w:p>
    <w:p w14:paraId="6D58BA18" w14:textId="5B760BED" w:rsidR="00B8367D" w:rsidRPr="003D0D3E" w:rsidRDefault="00B8367D" w:rsidP="00B8367D">
      <w:pPr>
        <w:pStyle w:val="NormalWeb"/>
        <w:ind w:left="284" w:hanging="284"/>
        <w:rPr>
          <w:rFonts w:cs="Arial"/>
          <w:color w:val="000000"/>
          <w:sz w:val="18"/>
          <w:szCs w:val="18"/>
          <w:lang w:val="es-PE"/>
        </w:rPr>
      </w:pPr>
      <w:r w:rsidRPr="00B8367D">
        <w:rPr>
          <w:rFonts w:cs="Arial"/>
          <w:color w:val="000000"/>
          <w:sz w:val="18"/>
          <w:szCs w:val="18"/>
          <w:lang w:val="es-PE"/>
        </w:rPr>
        <w:t>Yabroudi, S, Cárdenas, C., Aldana, L., Núñez, J. Y Herrera, L., 2011, Desalinización de agua emplea</w:t>
      </w:r>
      <w:r w:rsidR="003D0D3E">
        <w:rPr>
          <w:rFonts w:cs="Arial"/>
          <w:color w:val="000000"/>
          <w:sz w:val="18"/>
          <w:szCs w:val="18"/>
          <w:lang w:val="es-PE"/>
        </w:rPr>
        <w:t>ndo un destilador solar tubular,</w:t>
      </w:r>
      <w:r w:rsidRPr="00B8367D">
        <w:rPr>
          <w:rFonts w:cs="Arial"/>
          <w:color w:val="000000"/>
          <w:sz w:val="18"/>
          <w:szCs w:val="18"/>
          <w:lang w:val="es-PE"/>
        </w:rPr>
        <w:t xml:space="preserve"> </w:t>
      </w:r>
      <w:r w:rsidRPr="003D0D3E">
        <w:rPr>
          <w:rFonts w:cs="Arial"/>
          <w:color w:val="000000"/>
          <w:sz w:val="18"/>
          <w:szCs w:val="18"/>
          <w:lang w:val="es-PE"/>
        </w:rPr>
        <w:t xml:space="preserve">Interciencia, 36, 731-737. </w:t>
      </w:r>
    </w:p>
    <w:p w14:paraId="7FE82213" w14:textId="6FC9020A" w:rsidR="00B8367D" w:rsidRPr="003D0D3E" w:rsidRDefault="00B8367D" w:rsidP="00B8367D">
      <w:pPr>
        <w:pStyle w:val="NormalWeb"/>
        <w:ind w:left="284" w:hanging="284"/>
        <w:rPr>
          <w:rFonts w:cs="Arial"/>
          <w:color w:val="000000"/>
          <w:sz w:val="18"/>
          <w:szCs w:val="18"/>
          <w:lang w:val="en-US"/>
        </w:rPr>
      </w:pPr>
      <w:r w:rsidRPr="00B8367D">
        <w:rPr>
          <w:rFonts w:cs="Arial"/>
          <w:color w:val="000000"/>
          <w:sz w:val="18"/>
          <w:szCs w:val="18"/>
          <w:lang w:val="en-US"/>
        </w:rPr>
        <w:t xml:space="preserve">Zaw, A., Sudo, S., Thuzar, K., Shibata, A. Y Gonai, T., 2018, Influence of pruning waste biochar and oyster shell on N2O and CO2 emissions </w:t>
      </w:r>
      <w:r w:rsidR="003D0D3E">
        <w:rPr>
          <w:rFonts w:cs="Arial"/>
          <w:color w:val="000000"/>
          <w:sz w:val="18"/>
          <w:szCs w:val="18"/>
          <w:lang w:val="en-US"/>
        </w:rPr>
        <w:t>from Japanese pear orchard soil,</w:t>
      </w:r>
      <w:r w:rsidRPr="00B8367D">
        <w:rPr>
          <w:rFonts w:cs="Arial"/>
          <w:color w:val="000000"/>
          <w:sz w:val="18"/>
          <w:szCs w:val="18"/>
          <w:lang w:val="en-US"/>
        </w:rPr>
        <w:t xml:space="preserve"> </w:t>
      </w:r>
      <w:r w:rsidRPr="003D0D3E">
        <w:rPr>
          <w:rFonts w:cs="Arial"/>
          <w:color w:val="000000"/>
          <w:sz w:val="18"/>
          <w:szCs w:val="18"/>
          <w:lang w:val="en-US"/>
        </w:rPr>
        <w:t>Heliyon, 4, 1-27.</w:t>
      </w:r>
    </w:p>
    <w:p w14:paraId="3657C47F" w14:textId="077040BF" w:rsidR="00B911EE" w:rsidRPr="0096565E" w:rsidRDefault="00B8367D" w:rsidP="00B8367D">
      <w:pPr>
        <w:pStyle w:val="NormalWeb"/>
        <w:ind w:left="284" w:hanging="284"/>
        <w:rPr>
          <w:sz w:val="18"/>
          <w:szCs w:val="18"/>
          <w:lang w:val="en-US"/>
        </w:rPr>
      </w:pPr>
      <w:r w:rsidRPr="00B8367D">
        <w:rPr>
          <w:rFonts w:cs="Arial"/>
          <w:color w:val="000000"/>
          <w:sz w:val="18"/>
          <w:szCs w:val="18"/>
          <w:lang w:val="en-US"/>
        </w:rPr>
        <w:t>Zheng, H., 2017, General Problems In Seawater Desalination. Solar Energy Desalination Technology. S.L.: Elsevier, 1-46.</w:t>
      </w:r>
      <w:r w:rsidR="0005578F" w:rsidRPr="0096565E">
        <w:rPr>
          <w:sz w:val="18"/>
          <w:szCs w:val="18"/>
        </w:rPr>
        <w:t xml:space="preserve"> </w:t>
      </w:r>
      <w:r w:rsidR="00B911EE" w:rsidRPr="0096565E">
        <w:rPr>
          <w:sz w:val="18"/>
          <w:szCs w:val="18"/>
        </w:rPr>
        <w:fldChar w:fldCharType="end"/>
      </w:r>
    </w:p>
    <w:p w14:paraId="35D5B018" w14:textId="77777777" w:rsidR="00B911EE" w:rsidRDefault="00B911EE" w:rsidP="00E65B91">
      <w:pPr>
        <w:pStyle w:val="CETReferencetext"/>
      </w:pPr>
    </w:p>
    <w:p w14:paraId="5E3140FA" w14:textId="77777777" w:rsidR="004628D2" w:rsidRPr="005D64B3" w:rsidRDefault="004628D2" w:rsidP="005D64B3">
      <w:pPr>
        <w:pStyle w:val="CETBodytext"/>
        <w:jc w:val="center"/>
      </w:pPr>
    </w:p>
    <w:sectPr w:rsidR="004628D2" w:rsidRPr="005D64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A50A" w14:textId="77777777" w:rsidR="00C05820" w:rsidRDefault="00C05820" w:rsidP="004F5E36">
      <w:r>
        <w:separator/>
      </w:r>
    </w:p>
  </w:endnote>
  <w:endnote w:type="continuationSeparator" w:id="0">
    <w:p w14:paraId="37F035E8" w14:textId="77777777" w:rsidR="00C05820" w:rsidRDefault="00C0582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082E" w14:textId="77777777" w:rsidR="00C05820" w:rsidRDefault="00C05820" w:rsidP="004F5E36">
      <w:r>
        <w:separator/>
      </w:r>
    </w:p>
  </w:footnote>
  <w:footnote w:type="continuationSeparator" w:id="0">
    <w:p w14:paraId="785A27E4" w14:textId="77777777" w:rsidR="00C05820" w:rsidRDefault="00C0582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06CDD"/>
    <w:rsid w:val="000117CB"/>
    <w:rsid w:val="0003148D"/>
    <w:rsid w:val="00051566"/>
    <w:rsid w:val="0005487D"/>
    <w:rsid w:val="0005578F"/>
    <w:rsid w:val="00062A9A"/>
    <w:rsid w:val="00065058"/>
    <w:rsid w:val="0007746B"/>
    <w:rsid w:val="00077999"/>
    <w:rsid w:val="00086C39"/>
    <w:rsid w:val="00086E6C"/>
    <w:rsid w:val="000A03B2"/>
    <w:rsid w:val="000A53A2"/>
    <w:rsid w:val="000D0268"/>
    <w:rsid w:val="000D34BE"/>
    <w:rsid w:val="000E102F"/>
    <w:rsid w:val="000E36F1"/>
    <w:rsid w:val="000E3A73"/>
    <w:rsid w:val="000E414A"/>
    <w:rsid w:val="000E4600"/>
    <w:rsid w:val="000F093C"/>
    <w:rsid w:val="000F787B"/>
    <w:rsid w:val="0011455D"/>
    <w:rsid w:val="0012091F"/>
    <w:rsid w:val="00126BC2"/>
    <w:rsid w:val="001308B6"/>
    <w:rsid w:val="0013121F"/>
    <w:rsid w:val="00131FE6"/>
    <w:rsid w:val="0013263F"/>
    <w:rsid w:val="00134095"/>
    <w:rsid w:val="00134DE4"/>
    <w:rsid w:val="0014034D"/>
    <w:rsid w:val="001411D2"/>
    <w:rsid w:val="00150E59"/>
    <w:rsid w:val="00152DE3"/>
    <w:rsid w:val="00156B3F"/>
    <w:rsid w:val="00164CF9"/>
    <w:rsid w:val="001667A6"/>
    <w:rsid w:val="0018318B"/>
    <w:rsid w:val="00184AD6"/>
    <w:rsid w:val="00192B8B"/>
    <w:rsid w:val="001A4AF7"/>
    <w:rsid w:val="001B0349"/>
    <w:rsid w:val="001B2860"/>
    <w:rsid w:val="001B65C1"/>
    <w:rsid w:val="001C684B"/>
    <w:rsid w:val="001C74E4"/>
    <w:rsid w:val="001D292B"/>
    <w:rsid w:val="001D3CCF"/>
    <w:rsid w:val="001D4298"/>
    <w:rsid w:val="001D53FC"/>
    <w:rsid w:val="001E5B19"/>
    <w:rsid w:val="001F2E24"/>
    <w:rsid w:val="001F30CD"/>
    <w:rsid w:val="001F42A5"/>
    <w:rsid w:val="001F54FE"/>
    <w:rsid w:val="001F5E64"/>
    <w:rsid w:val="001F67BF"/>
    <w:rsid w:val="001F7B9D"/>
    <w:rsid w:val="002057BA"/>
    <w:rsid w:val="00210A1D"/>
    <w:rsid w:val="00212627"/>
    <w:rsid w:val="002224B4"/>
    <w:rsid w:val="002447EF"/>
    <w:rsid w:val="00251550"/>
    <w:rsid w:val="0025375A"/>
    <w:rsid w:val="00263B05"/>
    <w:rsid w:val="00266A4B"/>
    <w:rsid w:val="0027221A"/>
    <w:rsid w:val="00275B61"/>
    <w:rsid w:val="00282656"/>
    <w:rsid w:val="00296B83"/>
    <w:rsid w:val="002A758F"/>
    <w:rsid w:val="002B2956"/>
    <w:rsid w:val="002B78CE"/>
    <w:rsid w:val="002C2FB6"/>
    <w:rsid w:val="002F3309"/>
    <w:rsid w:val="003009B7"/>
    <w:rsid w:val="00300E56"/>
    <w:rsid w:val="0030469C"/>
    <w:rsid w:val="00305BB2"/>
    <w:rsid w:val="00321CA6"/>
    <w:rsid w:val="00323763"/>
    <w:rsid w:val="003253BA"/>
    <w:rsid w:val="00333328"/>
    <w:rsid w:val="00334C09"/>
    <w:rsid w:val="003723D4"/>
    <w:rsid w:val="00381905"/>
    <w:rsid w:val="0038301E"/>
    <w:rsid w:val="00384CC8"/>
    <w:rsid w:val="003871FD"/>
    <w:rsid w:val="003A1E30"/>
    <w:rsid w:val="003A6561"/>
    <w:rsid w:val="003A7D1C"/>
    <w:rsid w:val="003B304B"/>
    <w:rsid w:val="003B3146"/>
    <w:rsid w:val="003D0D3E"/>
    <w:rsid w:val="003F015E"/>
    <w:rsid w:val="003F1137"/>
    <w:rsid w:val="003F5544"/>
    <w:rsid w:val="00400414"/>
    <w:rsid w:val="00403780"/>
    <w:rsid w:val="00412957"/>
    <w:rsid w:val="0041446B"/>
    <w:rsid w:val="004268B5"/>
    <w:rsid w:val="0044329C"/>
    <w:rsid w:val="00457780"/>
    <w:rsid w:val="004577FE"/>
    <w:rsid w:val="00457B9C"/>
    <w:rsid w:val="0046164A"/>
    <w:rsid w:val="004628D2"/>
    <w:rsid w:val="00462DCD"/>
    <w:rsid w:val="004648AD"/>
    <w:rsid w:val="004703A9"/>
    <w:rsid w:val="00475927"/>
    <w:rsid w:val="004760DE"/>
    <w:rsid w:val="004763D7"/>
    <w:rsid w:val="004A004E"/>
    <w:rsid w:val="004A24CF"/>
    <w:rsid w:val="004B38F8"/>
    <w:rsid w:val="004B7B27"/>
    <w:rsid w:val="004C0883"/>
    <w:rsid w:val="004C3D1D"/>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9481B"/>
    <w:rsid w:val="005B2110"/>
    <w:rsid w:val="005B4461"/>
    <w:rsid w:val="005B61E6"/>
    <w:rsid w:val="005C77E1"/>
    <w:rsid w:val="005D64B3"/>
    <w:rsid w:val="005D668A"/>
    <w:rsid w:val="005D6A2F"/>
    <w:rsid w:val="005E1A82"/>
    <w:rsid w:val="005E794C"/>
    <w:rsid w:val="005F0A28"/>
    <w:rsid w:val="005F0E5E"/>
    <w:rsid w:val="00600535"/>
    <w:rsid w:val="00610CD6"/>
    <w:rsid w:val="00620DEE"/>
    <w:rsid w:val="00621F92"/>
    <w:rsid w:val="0062280A"/>
    <w:rsid w:val="00625639"/>
    <w:rsid w:val="00631B33"/>
    <w:rsid w:val="006336BD"/>
    <w:rsid w:val="0064184D"/>
    <w:rsid w:val="006422CC"/>
    <w:rsid w:val="00645369"/>
    <w:rsid w:val="00660E3E"/>
    <w:rsid w:val="006610AF"/>
    <w:rsid w:val="00662E74"/>
    <w:rsid w:val="006644D6"/>
    <w:rsid w:val="00674B35"/>
    <w:rsid w:val="00680C23"/>
    <w:rsid w:val="00693766"/>
    <w:rsid w:val="006A3281"/>
    <w:rsid w:val="006B4888"/>
    <w:rsid w:val="006C2E45"/>
    <w:rsid w:val="006C359C"/>
    <w:rsid w:val="006C5579"/>
    <w:rsid w:val="006C79C9"/>
    <w:rsid w:val="006D108B"/>
    <w:rsid w:val="006D5AC5"/>
    <w:rsid w:val="006D6E8B"/>
    <w:rsid w:val="006E18C4"/>
    <w:rsid w:val="006E737D"/>
    <w:rsid w:val="00701C6C"/>
    <w:rsid w:val="00720A24"/>
    <w:rsid w:val="00732386"/>
    <w:rsid w:val="0073514D"/>
    <w:rsid w:val="007447F3"/>
    <w:rsid w:val="0075499F"/>
    <w:rsid w:val="007661C8"/>
    <w:rsid w:val="007705EF"/>
    <w:rsid w:val="0077098D"/>
    <w:rsid w:val="00775A55"/>
    <w:rsid w:val="007931FA"/>
    <w:rsid w:val="00796784"/>
    <w:rsid w:val="007A4861"/>
    <w:rsid w:val="007A7BBA"/>
    <w:rsid w:val="007B0C50"/>
    <w:rsid w:val="007B265D"/>
    <w:rsid w:val="007B34D1"/>
    <w:rsid w:val="007C1A43"/>
    <w:rsid w:val="007C46D3"/>
    <w:rsid w:val="007D4C19"/>
    <w:rsid w:val="007E0262"/>
    <w:rsid w:val="007E5687"/>
    <w:rsid w:val="007F4033"/>
    <w:rsid w:val="0080013E"/>
    <w:rsid w:val="00812658"/>
    <w:rsid w:val="00813288"/>
    <w:rsid w:val="00815A19"/>
    <w:rsid w:val="008168FC"/>
    <w:rsid w:val="00825260"/>
    <w:rsid w:val="00830996"/>
    <w:rsid w:val="008345F1"/>
    <w:rsid w:val="00865B07"/>
    <w:rsid w:val="008667EA"/>
    <w:rsid w:val="0087637F"/>
    <w:rsid w:val="00881CEC"/>
    <w:rsid w:val="00890D08"/>
    <w:rsid w:val="00892AD5"/>
    <w:rsid w:val="008A1512"/>
    <w:rsid w:val="008A46E5"/>
    <w:rsid w:val="008B156C"/>
    <w:rsid w:val="008C152D"/>
    <w:rsid w:val="008D32B9"/>
    <w:rsid w:val="008D433B"/>
    <w:rsid w:val="008E566E"/>
    <w:rsid w:val="008E74A4"/>
    <w:rsid w:val="0090161A"/>
    <w:rsid w:val="00901EB6"/>
    <w:rsid w:val="00904C62"/>
    <w:rsid w:val="00922BA8"/>
    <w:rsid w:val="00924DAC"/>
    <w:rsid w:val="00927058"/>
    <w:rsid w:val="00942127"/>
    <w:rsid w:val="00942750"/>
    <w:rsid w:val="009450CE"/>
    <w:rsid w:val="009454CD"/>
    <w:rsid w:val="00947179"/>
    <w:rsid w:val="0095164B"/>
    <w:rsid w:val="00954090"/>
    <w:rsid w:val="009573E7"/>
    <w:rsid w:val="00963E05"/>
    <w:rsid w:val="00964AE6"/>
    <w:rsid w:val="0096565E"/>
    <w:rsid w:val="00967843"/>
    <w:rsid w:val="00967D54"/>
    <w:rsid w:val="00971028"/>
    <w:rsid w:val="0099418D"/>
    <w:rsid w:val="00996483"/>
    <w:rsid w:val="00996F5A"/>
    <w:rsid w:val="009B041A"/>
    <w:rsid w:val="009C37C3"/>
    <w:rsid w:val="009C7C86"/>
    <w:rsid w:val="009D1AC8"/>
    <w:rsid w:val="009D2FF7"/>
    <w:rsid w:val="009D546A"/>
    <w:rsid w:val="009E7884"/>
    <w:rsid w:val="009E788A"/>
    <w:rsid w:val="009F0E08"/>
    <w:rsid w:val="009F1258"/>
    <w:rsid w:val="009F4ABF"/>
    <w:rsid w:val="00A14554"/>
    <w:rsid w:val="00A1763D"/>
    <w:rsid w:val="00A17CEC"/>
    <w:rsid w:val="00A278E9"/>
    <w:rsid w:val="00A27EF0"/>
    <w:rsid w:val="00A42361"/>
    <w:rsid w:val="00A42589"/>
    <w:rsid w:val="00A50B20"/>
    <w:rsid w:val="00A51390"/>
    <w:rsid w:val="00A5292A"/>
    <w:rsid w:val="00A60D13"/>
    <w:rsid w:val="00A72745"/>
    <w:rsid w:val="00A76EFC"/>
    <w:rsid w:val="00A8773B"/>
    <w:rsid w:val="00A91010"/>
    <w:rsid w:val="00A91531"/>
    <w:rsid w:val="00A956F0"/>
    <w:rsid w:val="00A9741F"/>
    <w:rsid w:val="00A97F29"/>
    <w:rsid w:val="00AA0D1E"/>
    <w:rsid w:val="00AA702E"/>
    <w:rsid w:val="00AB0964"/>
    <w:rsid w:val="00AB5011"/>
    <w:rsid w:val="00AB6233"/>
    <w:rsid w:val="00AB6B3C"/>
    <w:rsid w:val="00AC290F"/>
    <w:rsid w:val="00AC726E"/>
    <w:rsid w:val="00AC7368"/>
    <w:rsid w:val="00AC756E"/>
    <w:rsid w:val="00AD16B9"/>
    <w:rsid w:val="00AE377D"/>
    <w:rsid w:val="00AF0EBA"/>
    <w:rsid w:val="00B02C8A"/>
    <w:rsid w:val="00B07A08"/>
    <w:rsid w:val="00B17FBD"/>
    <w:rsid w:val="00B24754"/>
    <w:rsid w:val="00B315A6"/>
    <w:rsid w:val="00B31813"/>
    <w:rsid w:val="00B33365"/>
    <w:rsid w:val="00B5767D"/>
    <w:rsid w:val="00B57B36"/>
    <w:rsid w:val="00B671E5"/>
    <w:rsid w:val="00B70DD8"/>
    <w:rsid w:val="00B8367D"/>
    <w:rsid w:val="00B8686D"/>
    <w:rsid w:val="00B911EE"/>
    <w:rsid w:val="00B9312E"/>
    <w:rsid w:val="00B949DA"/>
    <w:rsid w:val="00BB1DDC"/>
    <w:rsid w:val="00BC30C9"/>
    <w:rsid w:val="00BC5532"/>
    <w:rsid w:val="00BE3E58"/>
    <w:rsid w:val="00BF123E"/>
    <w:rsid w:val="00C01616"/>
    <w:rsid w:val="00C0162B"/>
    <w:rsid w:val="00C05820"/>
    <w:rsid w:val="00C068ED"/>
    <w:rsid w:val="00C14646"/>
    <w:rsid w:val="00C345B1"/>
    <w:rsid w:val="00C40142"/>
    <w:rsid w:val="00C564EA"/>
    <w:rsid w:val="00C57182"/>
    <w:rsid w:val="00C57863"/>
    <w:rsid w:val="00C655FD"/>
    <w:rsid w:val="00C75407"/>
    <w:rsid w:val="00C81B13"/>
    <w:rsid w:val="00C870A8"/>
    <w:rsid w:val="00C94434"/>
    <w:rsid w:val="00CA0D75"/>
    <w:rsid w:val="00CA1C95"/>
    <w:rsid w:val="00CA5A9C"/>
    <w:rsid w:val="00CC4C20"/>
    <w:rsid w:val="00CC5B9E"/>
    <w:rsid w:val="00CD3517"/>
    <w:rsid w:val="00CD3E46"/>
    <w:rsid w:val="00CD5FE2"/>
    <w:rsid w:val="00CE7C68"/>
    <w:rsid w:val="00D02B4C"/>
    <w:rsid w:val="00D040C4"/>
    <w:rsid w:val="00D303EC"/>
    <w:rsid w:val="00D3452A"/>
    <w:rsid w:val="00D37CF9"/>
    <w:rsid w:val="00D4748C"/>
    <w:rsid w:val="00D57C84"/>
    <w:rsid w:val="00D6057D"/>
    <w:rsid w:val="00D6283C"/>
    <w:rsid w:val="00D80863"/>
    <w:rsid w:val="00D82616"/>
    <w:rsid w:val="00D836C5"/>
    <w:rsid w:val="00D84576"/>
    <w:rsid w:val="00D8620B"/>
    <w:rsid w:val="00D95FA1"/>
    <w:rsid w:val="00DA1399"/>
    <w:rsid w:val="00DA24C6"/>
    <w:rsid w:val="00DA4D7B"/>
    <w:rsid w:val="00DB580B"/>
    <w:rsid w:val="00DE264A"/>
    <w:rsid w:val="00DE43DC"/>
    <w:rsid w:val="00DF5072"/>
    <w:rsid w:val="00E02D18"/>
    <w:rsid w:val="00E041E7"/>
    <w:rsid w:val="00E23CA1"/>
    <w:rsid w:val="00E409A8"/>
    <w:rsid w:val="00E439DE"/>
    <w:rsid w:val="00E46B51"/>
    <w:rsid w:val="00E50C12"/>
    <w:rsid w:val="00E65B91"/>
    <w:rsid w:val="00E7209D"/>
    <w:rsid w:val="00E77223"/>
    <w:rsid w:val="00E8528B"/>
    <w:rsid w:val="00E85B94"/>
    <w:rsid w:val="00E86F4A"/>
    <w:rsid w:val="00E978D0"/>
    <w:rsid w:val="00EA4613"/>
    <w:rsid w:val="00EA7F91"/>
    <w:rsid w:val="00EB04A8"/>
    <w:rsid w:val="00EB1523"/>
    <w:rsid w:val="00EC0E49"/>
    <w:rsid w:val="00EC101F"/>
    <w:rsid w:val="00EC1D9F"/>
    <w:rsid w:val="00EE0131"/>
    <w:rsid w:val="00EE033E"/>
    <w:rsid w:val="00EE17B0"/>
    <w:rsid w:val="00EF06D9"/>
    <w:rsid w:val="00F27845"/>
    <w:rsid w:val="00F30C64"/>
    <w:rsid w:val="00F31BC5"/>
    <w:rsid w:val="00F32CDB"/>
    <w:rsid w:val="00F404BE"/>
    <w:rsid w:val="00F404DE"/>
    <w:rsid w:val="00F4385D"/>
    <w:rsid w:val="00F47338"/>
    <w:rsid w:val="00F565FE"/>
    <w:rsid w:val="00F63A70"/>
    <w:rsid w:val="00F84164"/>
    <w:rsid w:val="00F93DBB"/>
    <w:rsid w:val="00F956B6"/>
    <w:rsid w:val="00FA1AF9"/>
    <w:rsid w:val="00FA21D0"/>
    <w:rsid w:val="00FA5F5F"/>
    <w:rsid w:val="00FB730C"/>
    <w:rsid w:val="00FC2695"/>
    <w:rsid w:val="00FC34E1"/>
    <w:rsid w:val="00FC3E03"/>
    <w:rsid w:val="00FC3FC1"/>
    <w:rsid w:val="00FD387D"/>
    <w:rsid w:val="00FD3E85"/>
    <w:rsid w:val="00FF78C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418186183">
      <w:bodyDiv w:val="1"/>
      <w:marLeft w:val="0"/>
      <w:marRight w:val="0"/>
      <w:marTop w:val="0"/>
      <w:marBottom w:val="0"/>
      <w:divBdr>
        <w:top w:val="none" w:sz="0" w:space="0" w:color="auto"/>
        <w:left w:val="none" w:sz="0" w:space="0" w:color="auto"/>
        <w:bottom w:val="none" w:sz="0" w:space="0" w:color="auto"/>
        <w:right w:val="none" w:sz="0" w:space="0" w:color="auto"/>
      </w:divBdr>
    </w:div>
    <w:div w:id="7751015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0997">
      <w:bodyDiv w:val="1"/>
      <w:marLeft w:val="0"/>
      <w:marRight w:val="0"/>
      <w:marTop w:val="0"/>
      <w:marBottom w:val="0"/>
      <w:divBdr>
        <w:top w:val="none" w:sz="0" w:space="0" w:color="auto"/>
        <w:left w:val="none" w:sz="0" w:space="0" w:color="auto"/>
        <w:bottom w:val="none" w:sz="0" w:space="0" w:color="auto"/>
        <w:right w:val="none" w:sz="0" w:space="0" w:color="auto"/>
      </w:divBdr>
    </w:div>
    <w:div w:id="164654607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182068333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82DD-843B-4B15-A333-8136DAE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2435</Words>
  <Characters>13393</Characters>
  <Application>Microsoft Office Word</Application>
  <DocSecurity>0</DocSecurity>
  <Lines>111</Lines>
  <Paragraphs>31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18</cp:revision>
  <cp:lastPrinted>2015-05-12T18:31:00Z</cp:lastPrinted>
  <dcterms:created xsi:type="dcterms:W3CDTF">2022-01-20T04:02:00Z</dcterms:created>
  <dcterms:modified xsi:type="dcterms:W3CDTF">2022-03-11T02:26:00Z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