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26C4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826C46" w:rsidRDefault="000A03B2" w:rsidP="00DE264A">
            <w:pPr>
              <w:tabs>
                <w:tab w:val="left" w:pos="-108"/>
              </w:tabs>
              <w:ind w:left="-108"/>
              <w:jc w:val="left"/>
              <w:rPr>
                <w:rFonts w:cs="Arial"/>
                <w:b/>
                <w:bCs/>
                <w:i/>
                <w:iCs/>
                <w:color w:val="000066"/>
                <w:sz w:val="12"/>
                <w:szCs w:val="12"/>
                <w:lang w:val="en-US" w:eastAsia="it-IT"/>
              </w:rPr>
            </w:pPr>
            <w:r w:rsidRPr="00826C46">
              <w:rPr>
                <w:rFonts w:ascii="AdvP6960" w:hAnsi="AdvP6960" w:cs="AdvP6960"/>
                <w:noProof/>
                <w:color w:val="241F20"/>
                <w:szCs w:val="18"/>
                <w:lang w:val="en-US"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26C46">
              <w:rPr>
                <w:rFonts w:ascii="AdvP6960" w:hAnsi="AdvP6960" w:cs="AdvP6960"/>
                <w:color w:val="241F20"/>
                <w:szCs w:val="18"/>
                <w:lang w:val="en-US" w:eastAsia="it-IT"/>
              </w:rPr>
              <w:t xml:space="preserve"> </w:t>
            </w:r>
            <w:r w:rsidRPr="00826C46">
              <w:rPr>
                <w:rFonts w:cs="Arial"/>
                <w:b/>
                <w:bCs/>
                <w:i/>
                <w:iCs/>
                <w:color w:val="000066"/>
                <w:sz w:val="24"/>
                <w:szCs w:val="24"/>
                <w:lang w:val="en-US" w:eastAsia="it-IT"/>
              </w:rPr>
              <w:t>CHEMICAL ENGINEERING</w:t>
            </w:r>
            <w:r w:rsidRPr="00826C46">
              <w:rPr>
                <w:rFonts w:cs="Arial"/>
                <w:b/>
                <w:bCs/>
                <w:i/>
                <w:iCs/>
                <w:color w:val="0033FF"/>
                <w:sz w:val="24"/>
                <w:szCs w:val="24"/>
                <w:lang w:val="en-US" w:eastAsia="it-IT"/>
              </w:rPr>
              <w:t xml:space="preserve"> </w:t>
            </w:r>
            <w:r w:rsidRPr="00826C46">
              <w:rPr>
                <w:rFonts w:cs="Arial"/>
                <w:b/>
                <w:bCs/>
                <w:i/>
                <w:iCs/>
                <w:color w:val="666666"/>
                <w:sz w:val="24"/>
                <w:szCs w:val="24"/>
                <w:lang w:val="en-US" w:eastAsia="it-IT"/>
              </w:rPr>
              <w:t>TRANSACTIONS</w:t>
            </w:r>
            <w:r w:rsidRPr="00826C46">
              <w:rPr>
                <w:color w:val="333333"/>
                <w:sz w:val="24"/>
                <w:szCs w:val="24"/>
                <w:lang w:val="en-US" w:eastAsia="it-IT"/>
              </w:rPr>
              <w:t xml:space="preserve"> </w:t>
            </w:r>
            <w:r w:rsidRPr="00826C46">
              <w:rPr>
                <w:rFonts w:cs="Arial"/>
                <w:b/>
                <w:bCs/>
                <w:i/>
                <w:iCs/>
                <w:color w:val="000066"/>
                <w:sz w:val="27"/>
                <w:szCs w:val="27"/>
                <w:lang w:val="en-US" w:eastAsia="it-IT"/>
              </w:rPr>
              <w:br/>
            </w:r>
          </w:p>
          <w:p w14:paraId="4B780582" w14:textId="32E0C6F7" w:rsidR="000A03B2" w:rsidRPr="00826C46" w:rsidRDefault="00A76EFC" w:rsidP="007A4861">
            <w:pPr>
              <w:tabs>
                <w:tab w:val="left" w:pos="-108"/>
              </w:tabs>
              <w:ind w:left="-108"/>
              <w:rPr>
                <w:rFonts w:cs="Arial"/>
                <w:b/>
                <w:bCs/>
                <w:i/>
                <w:iCs/>
                <w:color w:val="000066"/>
                <w:sz w:val="22"/>
                <w:szCs w:val="22"/>
                <w:lang w:val="en-US" w:eastAsia="it-IT"/>
              </w:rPr>
            </w:pPr>
            <w:r w:rsidRPr="00826C46">
              <w:rPr>
                <w:rFonts w:cs="Arial"/>
                <w:b/>
                <w:bCs/>
                <w:i/>
                <w:iCs/>
                <w:color w:val="000066"/>
                <w:sz w:val="22"/>
                <w:szCs w:val="22"/>
                <w:lang w:val="en-US" w:eastAsia="it-IT"/>
              </w:rPr>
              <w:t xml:space="preserve">VOL. </w:t>
            </w:r>
          </w:p>
        </w:tc>
        <w:tc>
          <w:tcPr>
            <w:tcW w:w="1843" w:type="dxa"/>
            <w:tcBorders>
              <w:left w:val="single" w:sz="4" w:space="0" w:color="auto"/>
              <w:bottom w:val="nil"/>
              <w:right w:val="single" w:sz="4" w:space="0" w:color="auto"/>
            </w:tcBorders>
          </w:tcPr>
          <w:p w14:paraId="56782132" w14:textId="77777777" w:rsidR="000A03B2" w:rsidRPr="00826C46" w:rsidRDefault="000A03B2" w:rsidP="00CD5FE2">
            <w:pPr>
              <w:spacing w:line="140" w:lineRule="atLeast"/>
              <w:jc w:val="right"/>
              <w:rPr>
                <w:rFonts w:cs="Arial"/>
                <w:sz w:val="14"/>
                <w:szCs w:val="14"/>
                <w:lang w:val="en-US"/>
              </w:rPr>
            </w:pPr>
            <w:r w:rsidRPr="00826C46">
              <w:rPr>
                <w:rFonts w:cs="Arial"/>
                <w:sz w:val="14"/>
                <w:szCs w:val="14"/>
                <w:lang w:val="en-US"/>
              </w:rPr>
              <w:t>A publication of</w:t>
            </w:r>
          </w:p>
          <w:p w14:paraId="599E5441" w14:textId="77777777" w:rsidR="000A03B2" w:rsidRPr="00826C46" w:rsidRDefault="000A03B2" w:rsidP="00CD5FE2">
            <w:pPr>
              <w:jc w:val="right"/>
              <w:rPr>
                <w:lang w:val="en-US"/>
              </w:rPr>
            </w:pPr>
            <w:r w:rsidRPr="00826C46">
              <w:rPr>
                <w:noProof/>
                <w:lang w:val="en-US"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26C46" w14:paraId="380FA3CD" w14:textId="77777777" w:rsidTr="00DE264A">
        <w:trPr>
          <w:trHeight w:val="567"/>
          <w:jc w:val="center"/>
        </w:trPr>
        <w:tc>
          <w:tcPr>
            <w:tcW w:w="6946" w:type="dxa"/>
            <w:vMerge/>
            <w:tcBorders>
              <w:right w:val="single" w:sz="4" w:space="0" w:color="auto"/>
            </w:tcBorders>
          </w:tcPr>
          <w:p w14:paraId="39E5E4C1" w14:textId="77777777" w:rsidR="000A03B2" w:rsidRPr="00826C46"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826C46" w:rsidRDefault="000A03B2" w:rsidP="00CD5FE2">
            <w:pPr>
              <w:spacing w:line="140" w:lineRule="atLeast"/>
              <w:jc w:val="right"/>
              <w:rPr>
                <w:rFonts w:cs="Arial"/>
                <w:sz w:val="14"/>
                <w:szCs w:val="14"/>
                <w:lang w:val="en-US"/>
              </w:rPr>
            </w:pPr>
            <w:r w:rsidRPr="00826C46">
              <w:rPr>
                <w:rFonts w:cs="Arial"/>
                <w:sz w:val="14"/>
                <w:szCs w:val="14"/>
                <w:lang w:val="en-US"/>
              </w:rPr>
              <w:t>The Italian Association</w:t>
            </w:r>
          </w:p>
          <w:p w14:paraId="7522B1D2" w14:textId="77777777" w:rsidR="000A03B2" w:rsidRPr="00826C46" w:rsidRDefault="000A03B2" w:rsidP="00CD5FE2">
            <w:pPr>
              <w:spacing w:line="140" w:lineRule="atLeast"/>
              <w:jc w:val="right"/>
              <w:rPr>
                <w:rFonts w:cs="Arial"/>
                <w:sz w:val="14"/>
                <w:szCs w:val="14"/>
                <w:lang w:val="en-US"/>
              </w:rPr>
            </w:pPr>
            <w:r w:rsidRPr="00826C46">
              <w:rPr>
                <w:rFonts w:cs="Arial"/>
                <w:sz w:val="14"/>
                <w:szCs w:val="14"/>
                <w:lang w:val="en-US"/>
              </w:rPr>
              <w:t>of Chemical Engineering</w:t>
            </w:r>
          </w:p>
          <w:p w14:paraId="4F0CC5DE" w14:textId="47FDB2FC" w:rsidR="000A03B2" w:rsidRPr="00826C46" w:rsidRDefault="000D0268" w:rsidP="00CD5FE2">
            <w:pPr>
              <w:spacing w:line="140" w:lineRule="atLeast"/>
              <w:jc w:val="right"/>
              <w:rPr>
                <w:rFonts w:cs="Arial"/>
                <w:sz w:val="13"/>
                <w:szCs w:val="13"/>
                <w:lang w:val="en-US"/>
              </w:rPr>
            </w:pPr>
            <w:r w:rsidRPr="00826C46">
              <w:rPr>
                <w:rFonts w:cs="Arial"/>
                <w:sz w:val="13"/>
                <w:szCs w:val="13"/>
                <w:lang w:val="en-US"/>
              </w:rPr>
              <w:t>Online at www.cetjournal.it</w:t>
            </w:r>
          </w:p>
        </w:tc>
      </w:tr>
      <w:tr w:rsidR="000A03B2" w:rsidRPr="00826C46" w14:paraId="2D1B7169" w14:textId="77777777" w:rsidTr="00DE264A">
        <w:trPr>
          <w:trHeight w:val="68"/>
          <w:jc w:val="center"/>
        </w:trPr>
        <w:tc>
          <w:tcPr>
            <w:tcW w:w="8789" w:type="dxa"/>
            <w:gridSpan w:val="2"/>
          </w:tcPr>
          <w:p w14:paraId="4B0BB442" w14:textId="05748590" w:rsidR="00300E56" w:rsidRPr="00826C46" w:rsidRDefault="00300E56" w:rsidP="007931FA">
            <w:pPr>
              <w:ind w:left="-107"/>
              <w:rPr>
                <w:rFonts w:ascii="Times New Roman" w:hAnsi="Times New Roman"/>
                <w:sz w:val="24"/>
                <w:szCs w:val="24"/>
                <w:lang w:val="en-US" w:eastAsia="it-IT"/>
              </w:rPr>
            </w:pPr>
            <w:r w:rsidRPr="00826C46">
              <w:rPr>
                <w:rFonts w:ascii="Tahoma" w:hAnsi="Tahoma" w:cs="Tahoma"/>
                <w:iCs/>
                <w:color w:val="333333"/>
                <w:sz w:val="14"/>
                <w:szCs w:val="14"/>
                <w:lang w:val="en-US" w:eastAsia="it-IT"/>
              </w:rPr>
              <w:t>Guest Editors:</w:t>
            </w:r>
            <w:r w:rsidR="00904C62" w:rsidRPr="00826C46">
              <w:rPr>
                <w:rFonts w:ascii="Tahoma" w:hAnsi="Tahoma" w:cs="Tahoma"/>
                <w:iCs/>
                <w:color w:val="333333"/>
                <w:sz w:val="14"/>
                <w:szCs w:val="14"/>
                <w:lang w:val="en-US" w:eastAsia="it-IT"/>
              </w:rPr>
              <w:t xml:space="preserve"> </w:t>
            </w:r>
          </w:p>
          <w:p w14:paraId="1B0F1814" w14:textId="33E08922" w:rsidR="000A03B2" w:rsidRPr="00826C46" w:rsidRDefault="00FA5F5F" w:rsidP="00922BA8">
            <w:pPr>
              <w:tabs>
                <w:tab w:val="left" w:pos="-108"/>
              </w:tabs>
              <w:spacing w:line="140" w:lineRule="atLeast"/>
              <w:ind w:left="-107"/>
              <w:jc w:val="left"/>
              <w:rPr>
                <w:lang w:val="en-US"/>
              </w:rPr>
            </w:pPr>
            <w:r w:rsidRPr="00826C46">
              <w:rPr>
                <w:rFonts w:ascii="Tahoma" w:hAnsi="Tahoma" w:cs="Tahoma"/>
                <w:iCs/>
                <w:color w:val="333333"/>
                <w:sz w:val="14"/>
                <w:szCs w:val="14"/>
                <w:lang w:val="en-US" w:eastAsia="it-IT"/>
              </w:rPr>
              <w:t>Copyright © 20</w:t>
            </w:r>
            <w:r w:rsidR="00DF5072" w:rsidRPr="00826C46">
              <w:rPr>
                <w:rFonts w:ascii="Tahoma" w:hAnsi="Tahoma" w:cs="Tahoma"/>
                <w:iCs/>
                <w:color w:val="333333"/>
                <w:sz w:val="14"/>
                <w:szCs w:val="14"/>
                <w:lang w:val="en-US" w:eastAsia="it-IT"/>
              </w:rPr>
              <w:t>20</w:t>
            </w:r>
            <w:r w:rsidR="00904C62" w:rsidRPr="00826C46">
              <w:rPr>
                <w:rFonts w:ascii="Tahoma" w:hAnsi="Tahoma" w:cs="Tahoma"/>
                <w:iCs/>
                <w:color w:val="333333"/>
                <w:sz w:val="14"/>
                <w:szCs w:val="14"/>
                <w:lang w:val="en-US" w:eastAsia="it-IT"/>
              </w:rPr>
              <w:t>, AIDIC Servizi S.r.l.</w:t>
            </w:r>
            <w:r w:rsidR="00300E56" w:rsidRPr="00826C46">
              <w:rPr>
                <w:rFonts w:ascii="Tahoma" w:hAnsi="Tahoma" w:cs="Tahoma"/>
                <w:iCs/>
                <w:color w:val="333333"/>
                <w:sz w:val="14"/>
                <w:szCs w:val="14"/>
                <w:lang w:val="en-US" w:eastAsia="it-IT"/>
              </w:rPr>
              <w:br/>
            </w:r>
            <w:r w:rsidR="00300E56" w:rsidRPr="00826C46">
              <w:rPr>
                <w:rFonts w:ascii="Tahoma" w:hAnsi="Tahoma" w:cs="Tahoma"/>
                <w:b/>
                <w:iCs/>
                <w:color w:val="000000"/>
                <w:sz w:val="14"/>
                <w:szCs w:val="14"/>
                <w:lang w:val="en-US" w:eastAsia="it-IT"/>
              </w:rPr>
              <w:t>ISBN</w:t>
            </w:r>
            <w:r w:rsidR="00300E56" w:rsidRPr="00826C46">
              <w:rPr>
                <w:rFonts w:ascii="Tahoma" w:hAnsi="Tahoma" w:cs="Tahoma"/>
                <w:iCs/>
                <w:color w:val="000000"/>
                <w:sz w:val="14"/>
                <w:szCs w:val="14"/>
                <w:lang w:val="en-US" w:eastAsia="it-IT"/>
              </w:rPr>
              <w:t xml:space="preserve"> </w:t>
            </w:r>
            <w:r w:rsidR="008D32B9" w:rsidRPr="00D3495A">
              <w:rPr>
                <w:rFonts w:ascii="Tahoma" w:hAnsi="Tahoma" w:cs="Tahoma"/>
                <w:sz w:val="14"/>
                <w:szCs w:val="14"/>
                <w:highlight w:val="yellow"/>
                <w:lang w:val="en-US"/>
              </w:rPr>
              <w:t>978-88-95608-</w:t>
            </w:r>
            <w:r w:rsidR="00017D97">
              <w:rPr>
                <w:rFonts w:ascii="Tahoma" w:hAnsi="Tahoma" w:cs="Tahoma"/>
                <w:sz w:val="14"/>
                <w:szCs w:val="14"/>
                <w:highlight w:val="yellow"/>
                <w:lang w:val="en-US"/>
              </w:rPr>
              <w:t>xx</w:t>
            </w:r>
            <w:r w:rsidR="008D32B9" w:rsidRPr="00D3495A">
              <w:rPr>
                <w:rFonts w:ascii="Tahoma" w:hAnsi="Tahoma" w:cs="Tahoma"/>
                <w:sz w:val="14"/>
                <w:szCs w:val="14"/>
                <w:highlight w:val="yellow"/>
                <w:lang w:val="en-US"/>
              </w:rPr>
              <w:t>-</w:t>
            </w:r>
            <w:r w:rsidR="00017D97">
              <w:rPr>
                <w:rFonts w:ascii="Tahoma" w:hAnsi="Tahoma" w:cs="Tahoma"/>
                <w:sz w:val="14"/>
                <w:szCs w:val="14"/>
                <w:highlight w:val="yellow"/>
                <w:lang w:val="en-US"/>
              </w:rPr>
              <w:t>x</w:t>
            </w:r>
            <w:r w:rsidR="00300E56" w:rsidRPr="00D3495A">
              <w:rPr>
                <w:rFonts w:ascii="Tahoma" w:hAnsi="Tahoma" w:cs="Tahoma"/>
                <w:iCs/>
                <w:color w:val="333333"/>
                <w:sz w:val="14"/>
                <w:szCs w:val="14"/>
                <w:highlight w:val="yellow"/>
                <w:lang w:val="en-US" w:eastAsia="it-IT"/>
              </w:rPr>
              <w:t>;</w:t>
            </w:r>
            <w:r w:rsidR="00300E56" w:rsidRPr="00826C46">
              <w:rPr>
                <w:rFonts w:ascii="Tahoma" w:hAnsi="Tahoma" w:cs="Tahoma"/>
                <w:iCs/>
                <w:color w:val="333333"/>
                <w:sz w:val="14"/>
                <w:szCs w:val="14"/>
                <w:lang w:val="en-US" w:eastAsia="it-IT"/>
              </w:rPr>
              <w:t xml:space="preserve"> </w:t>
            </w:r>
            <w:r w:rsidR="00300E56" w:rsidRPr="00826C46">
              <w:rPr>
                <w:rFonts w:ascii="Tahoma" w:hAnsi="Tahoma" w:cs="Tahoma"/>
                <w:b/>
                <w:iCs/>
                <w:color w:val="333333"/>
                <w:sz w:val="14"/>
                <w:szCs w:val="14"/>
                <w:lang w:val="en-US" w:eastAsia="it-IT"/>
              </w:rPr>
              <w:t>ISSN</w:t>
            </w:r>
            <w:r w:rsidR="00300E56" w:rsidRPr="00826C46">
              <w:rPr>
                <w:rFonts w:ascii="Tahoma" w:hAnsi="Tahoma" w:cs="Tahoma"/>
                <w:iCs/>
                <w:color w:val="333333"/>
                <w:sz w:val="14"/>
                <w:szCs w:val="14"/>
                <w:lang w:val="en-US" w:eastAsia="it-IT"/>
              </w:rPr>
              <w:t xml:space="preserve"> 2283-9216</w:t>
            </w:r>
          </w:p>
        </w:tc>
      </w:tr>
    </w:tbl>
    <w:p w14:paraId="10DAA130" w14:textId="77777777" w:rsidR="000A03B2" w:rsidRPr="00826C46" w:rsidRDefault="000A03B2" w:rsidP="000A03B2">
      <w:pPr>
        <w:pStyle w:val="CETAuthors"/>
        <w:rPr>
          <w:lang w:val="en-US"/>
        </w:rPr>
        <w:sectPr w:rsidR="000A03B2" w:rsidRPr="00826C46" w:rsidSect="007A3F28">
          <w:type w:val="continuous"/>
          <w:pgSz w:w="11906" w:h="16838" w:code="9"/>
          <w:pgMar w:top="1560" w:right="1418" w:bottom="1701" w:left="1701" w:header="1701" w:footer="0" w:gutter="0"/>
          <w:cols w:space="708"/>
          <w:titlePg/>
          <w:docGrid w:linePitch="360"/>
        </w:sectPr>
      </w:pPr>
    </w:p>
    <w:p w14:paraId="220C5F0E" w14:textId="00E0FF96" w:rsidR="00960492" w:rsidRPr="00E33792" w:rsidRDefault="00007F2C" w:rsidP="00960492">
      <w:pPr>
        <w:pStyle w:val="CETTitle"/>
        <w:rPr>
          <w:rFonts w:cs="Arial"/>
          <w:color w:val="222222"/>
          <w:szCs w:val="32"/>
          <w:shd w:val="clear" w:color="auto" w:fill="FFFFFF"/>
          <w:lang w:val="en-US"/>
        </w:rPr>
      </w:pPr>
      <w:bookmarkStart w:id="0" w:name="_Hlk92630473"/>
      <w:r w:rsidRPr="00E33792">
        <w:rPr>
          <w:rFonts w:cs="Arial"/>
          <w:color w:val="222222"/>
          <w:szCs w:val="32"/>
          <w:shd w:val="clear" w:color="auto" w:fill="FFFFFF"/>
          <w:lang w:val="en-US"/>
        </w:rPr>
        <w:t xml:space="preserve">Biofuel </w:t>
      </w:r>
      <w:r w:rsidR="00275564">
        <w:rPr>
          <w:rFonts w:cs="Arial"/>
          <w:color w:val="222222"/>
          <w:szCs w:val="32"/>
          <w:shd w:val="clear" w:color="auto" w:fill="FFFFFF"/>
          <w:lang w:val="en-US"/>
        </w:rPr>
        <w:t>O</w:t>
      </w:r>
      <w:r w:rsidRPr="00E33792">
        <w:rPr>
          <w:rFonts w:cs="Arial"/>
          <w:color w:val="222222"/>
          <w:szCs w:val="32"/>
          <w:shd w:val="clear" w:color="auto" w:fill="FFFFFF"/>
          <w:lang w:val="en-US"/>
        </w:rPr>
        <w:t xml:space="preserve">btained from </w:t>
      </w:r>
      <w:r w:rsidR="00275564">
        <w:rPr>
          <w:rFonts w:cs="Arial"/>
          <w:color w:val="222222"/>
          <w:szCs w:val="32"/>
          <w:shd w:val="clear" w:color="auto" w:fill="FFFFFF"/>
          <w:lang w:val="en-US"/>
        </w:rPr>
        <w:t>B</w:t>
      </w:r>
      <w:r w:rsidRPr="00E33792">
        <w:rPr>
          <w:rFonts w:cs="Arial"/>
          <w:color w:val="222222"/>
          <w:szCs w:val="32"/>
          <w:shd w:val="clear" w:color="auto" w:fill="FFFFFF"/>
          <w:lang w:val="en-US"/>
        </w:rPr>
        <w:t xml:space="preserve">enthic </w:t>
      </w:r>
      <w:r w:rsidR="00275564">
        <w:rPr>
          <w:rFonts w:cs="Arial"/>
          <w:color w:val="222222"/>
          <w:szCs w:val="32"/>
          <w:shd w:val="clear" w:color="auto" w:fill="FFFFFF"/>
          <w:lang w:val="en-US"/>
        </w:rPr>
        <w:t>M</w:t>
      </w:r>
      <w:r w:rsidRPr="00E33792">
        <w:rPr>
          <w:rFonts w:cs="Arial"/>
          <w:color w:val="222222"/>
          <w:szCs w:val="32"/>
          <w:shd w:val="clear" w:color="auto" w:fill="FFFFFF"/>
          <w:lang w:val="en-US"/>
        </w:rPr>
        <w:t xml:space="preserve">arine </w:t>
      </w:r>
      <w:r w:rsidR="00275564">
        <w:rPr>
          <w:rFonts w:cs="Arial"/>
          <w:color w:val="222222"/>
          <w:szCs w:val="32"/>
          <w:shd w:val="clear" w:color="auto" w:fill="FFFFFF"/>
          <w:lang w:val="en-US"/>
        </w:rPr>
        <w:t>F</w:t>
      </w:r>
      <w:r w:rsidRPr="00E33792">
        <w:rPr>
          <w:rFonts w:cs="Arial"/>
          <w:color w:val="222222"/>
          <w:szCs w:val="32"/>
          <w:shd w:val="clear" w:color="auto" w:fill="FFFFFF"/>
          <w:lang w:val="en-US"/>
        </w:rPr>
        <w:t xml:space="preserve">lora </w:t>
      </w:r>
      <w:r w:rsidRPr="00E33792">
        <w:rPr>
          <w:rFonts w:cs="Arial"/>
          <w:i/>
          <w:iCs/>
          <w:color w:val="222222"/>
          <w:szCs w:val="32"/>
          <w:shd w:val="clear" w:color="auto" w:fill="FFFFFF"/>
          <w:lang w:val="en-US"/>
        </w:rPr>
        <w:t>Macrocystis pyrifera</w:t>
      </w:r>
      <w:r w:rsidRPr="00E33792">
        <w:rPr>
          <w:rFonts w:cs="Arial"/>
          <w:color w:val="222222"/>
          <w:szCs w:val="32"/>
          <w:shd w:val="clear" w:color="auto" w:fill="FFFFFF"/>
          <w:lang w:val="en-US"/>
        </w:rPr>
        <w:t xml:space="preserve"> and its </w:t>
      </w:r>
      <w:r w:rsidR="00275564">
        <w:rPr>
          <w:rFonts w:cs="Arial"/>
          <w:color w:val="222222"/>
          <w:szCs w:val="32"/>
          <w:shd w:val="clear" w:color="auto" w:fill="FFFFFF"/>
          <w:lang w:val="en-US"/>
        </w:rPr>
        <w:t>C</w:t>
      </w:r>
      <w:r w:rsidRPr="00E33792">
        <w:rPr>
          <w:rFonts w:cs="Arial"/>
          <w:color w:val="222222"/>
          <w:szCs w:val="32"/>
          <w:shd w:val="clear" w:color="auto" w:fill="FFFFFF"/>
          <w:lang w:val="en-US"/>
        </w:rPr>
        <w:t>haracterization</w:t>
      </w:r>
      <w:bookmarkEnd w:id="0"/>
    </w:p>
    <w:p w14:paraId="65A05F90" w14:textId="74EC876F" w:rsidR="00960492" w:rsidRPr="00092AC8" w:rsidRDefault="00960492" w:rsidP="00960492">
      <w:pPr>
        <w:pStyle w:val="CETAuthors"/>
        <w:jc w:val="center"/>
        <w:rPr>
          <w:lang w:val="es-PE"/>
        </w:rPr>
      </w:pPr>
      <w:bookmarkStart w:id="1" w:name="_Hlk92630528"/>
      <w:r w:rsidRPr="00092AC8">
        <w:rPr>
          <w:lang w:val="es-PE"/>
        </w:rPr>
        <w:t>Karen M</w:t>
      </w:r>
      <w:r w:rsidR="00275564">
        <w:rPr>
          <w:lang w:val="es-PE"/>
        </w:rPr>
        <w:t>.</w:t>
      </w:r>
      <w:r w:rsidRPr="00092AC8">
        <w:rPr>
          <w:lang w:val="es-PE"/>
        </w:rPr>
        <w:t xml:space="preserve"> Amaya Apaza, Carlos Castañeda</w:t>
      </w:r>
      <w:r w:rsidR="00AD22AB">
        <w:rPr>
          <w:lang w:val="es-PE"/>
        </w:rPr>
        <w:t>-</w:t>
      </w:r>
      <w:r w:rsidRPr="00092AC8">
        <w:rPr>
          <w:lang w:val="es-PE"/>
        </w:rPr>
        <w:t>Olivera, Eusterio Acosta Suasnabar, Rosario del Pilar López Padilla,</w:t>
      </w:r>
      <w:r w:rsidR="00275564" w:rsidRPr="00275564">
        <w:rPr>
          <w:lang w:val="es-PE"/>
        </w:rPr>
        <w:t xml:space="preserve"> Llerlin Chapa Tomanguilla</w:t>
      </w:r>
      <w:r w:rsidR="00275564">
        <w:rPr>
          <w:lang w:val="es-PE"/>
        </w:rPr>
        <w:t xml:space="preserve">, </w:t>
      </w:r>
      <w:r w:rsidRPr="00092AC8">
        <w:rPr>
          <w:lang w:val="es-PE"/>
        </w:rPr>
        <w:t>Elmer Benites-Alfaro</w:t>
      </w:r>
      <w:r w:rsidRPr="00092AC8">
        <w:rPr>
          <w:vertAlign w:val="superscript"/>
          <w:lang w:val="es-PE"/>
        </w:rPr>
        <w:t>*</w:t>
      </w:r>
    </w:p>
    <w:p w14:paraId="547EFC64" w14:textId="77777777" w:rsidR="00960492" w:rsidRPr="00092AC8" w:rsidRDefault="00960492" w:rsidP="00960492">
      <w:pPr>
        <w:pStyle w:val="CETAddress"/>
        <w:rPr>
          <w:lang w:val="es-PE"/>
        </w:rPr>
      </w:pPr>
      <w:bookmarkStart w:id="2" w:name="_Hlk92630774"/>
      <w:bookmarkEnd w:id="1"/>
      <w:r w:rsidRPr="00092AC8">
        <w:rPr>
          <w:lang w:val="es-PE"/>
        </w:rPr>
        <w:t>Universidad César Vallejo, Av. Alfredo Mendiola 6232 Los Olivos Lima Perú</w:t>
      </w:r>
      <w:bookmarkEnd w:id="2"/>
      <w:r w:rsidRPr="00092AC8">
        <w:rPr>
          <w:lang w:val="es-PE"/>
        </w:rPr>
        <w:t xml:space="preserve"> </w:t>
      </w:r>
    </w:p>
    <w:p w14:paraId="26A56371" w14:textId="77777777" w:rsidR="00960492" w:rsidRPr="00826C46" w:rsidRDefault="00960492" w:rsidP="00960492">
      <w:pPr>
        <w:pStyle w:val="CETemail"/>
        <w:rPr>
          <w:lang w:val="en-US"/>
        </w:rPr>
      </w:pPr>
      <w:bookmarkStart w:id="3" w:name="_Hlk92630823"/>
      <w:r w:rsidRPr="00826C46">
        <w:rPr>
          <w:lang w:val="en-US"/>
        </w:rPr>
        <w:t>*corresponding: ebenitesa@ucv.edu.pe</w:t>
      </w:r>
      <w:bookmarkEnd w:id="3"/>
    </w:p>
    <w:p w14:paraId="2B80B082" w14:textId="701E9D57" w:rsidR="0021193E" w:rsidRPr="00826C46" w:rsidRDefault="001A0D85" w:rsidP="00960492">
      <w:pPr>
        <w:pStyle w:val="CETBodytext"/>
        <w:spacing w:line="240" w:lineRule="auto"/>
      </w:pPr>
      <w:bookmarkStart w:id="4" w:name="_Hlk92631030"/>
      <w:r w:rsidRPr="00826C46">
        <w:t xml:space="preserve">The use of energy is fundamental in the main industrial, communications and other activities, it has become an essential resource in people's lives and in the development of peoples; However, some sources of its production have negative impacts on the environment, especially fossil and mineral sources that cause a greater negative impact. In Peru, in 2019, the energy sources were natural gas (including liquids) at 64.4%, mineral coal at 0.4%, crude oil at 10%; those from natural resources: hydropower 12.7%, firewood 8.8%, bagasse 2.1%, dung with yareta 0.5% and solar energy 0.4%. The objective of the research was to obtain biofuel and characterize it from benthic marine flora, specifically from the alga </w:t>
      </w:r>
      <w:r w:rsidRPr="00826C46">
        <w:rPr>
          <w:i/>
          <w:iCs/>
        </w:rPr>
        <w:t>Macrocystis pyrifera</w:t>
      </w:r>
      <w:r w:rsidRPr="00826C46">
        <w:t>. The method consisted of extracting the oil from three samples of 30 g of algae with three repetitions each, followed by a transesterification process and then separating it into phases with sodium methoxide, obtaining the biofuel. The results of the characterization of the product indicated a density of 0.8999 g/mL, kinematic viscosity 2.3314 cSt at 40 ° C, acid number of 0.344 mg KOH/g, carbon residue of 0.024% m/m, sulphated ash of 0.017%. m/m calorific value from 39.40 to 39.43 MJ/kg. These characteristics meet the specifications of EN 14214, ASTM D6751, ANP N ° 7/08 and NTP 321.125.2019 (an exception for kinematic viscosity that only met the first two named). In this way, it was shown that this natural resource turns out to be a viable alternative to be used as a source of bioenergy and with a low negative impact on the environment</w:t>
      </w:r>
      <w:bookmarkEnd w:id="4"/>
      <w:r w:rsidRPr="00826C46">
        <w:t>.</w:t>
      </w:r>
    </w:p>
    <w:p w14:paraId="19B80595" w14:textId="1F271766" w:rsidR="0021193E" w:rsidRPr="00826C46" w:rsidRDefault="0021193E" w:rsidP="0021193E">
      <w:pPr>
        <w:pStyle w:val="CETHeading1"/>
      </w:pPr>
      <w:r w:rsidRPr="00826C46">
        <w:t>Introduction</w:t>
      </w:r>
    </w:p>
    <w:p w14:paraId="063DF07F" w14:textId="698664ED" w:rsidR="00960492" w:rsidRPr="00826C46" w:rsidRDefault="0043489A" w:rsidP="00A83AFB">
      <w:pPr>
        <w:pStyle w:val="CETBodytext"/>
      </w:pPr>
      <w:bookmarkStart w:id="5" w:name="_Hlk92631917"/>
      <w:r w:rsidRPr="00826C46">
        <w:t>Seaweeds are used for multiple purposes, especially as food since ancient times in Asian peoples, and in more recent times as fertilizers, biofuels, in cosmetics and others due to their content of proteins, vitamins, lipids, polysaccharides, minerals, phenols, chlorophylls, etc.</w:t>
      </w:r>
      <w:r w:rsidR="00960492" w:rsidRPr="00826C46">
        <w:t xml:space="preserve"> </w:t>
      </w:r>
      <w:r w:rsidR="00960492" w:rsidRPr="00826C46">
        <w:fldChar w:fldCharType="begin"/>
      </w:r>
      <w:r w:rsidR="00960492" w:rsidRPr="00826C46">
        <w:instrText xml:space="preserve"> ADDIN ZOTERO_ITEM CSL_CITATION {"citationID":"2Nt6NpCQ","properties":{"formattedCitation":"(Cuesta et al., 2016)","plainCitation":"(Cuesta et al., 2016)","noteIndex":0},"citationItems":[{"id":233,"uris":["http://zotero.org/users/7860875/items/39MKA6AK"],"uri":["http://zotero.org/users/7860875/items/39MKA6AK"],"itemData":{"id":233,"type":"article-journal","abstract":"Las algas han sido utilizadas desde tiempos remotos como alimento principalmente por países asiáticos. Son usadas en la actualidad en muchos otros países como fertilizantes, biocombustibles, fuentes de hidrocoloides entre otras aplicaciones. Su alto contenido de proteínas, lípidos poliinsaturados, fibra dietética, vitaminas y minerales las hacen una fuente atractiva de alimentos funcionales. También poseen sustancias con valor nutracéutico, como los compuestos fenólicos y las clorofilas. En Cuba se evidencia la existencia de ellas en la plataforma insular incluidas las zonas costeras y las bahías. Sin embargo, hasta el presente no existen suplementos nutricionales ni productos farmacéuticos en el mercado nacional elaborados a partir de las macroalgas. La calidad nutritiva de algas marinas junto al alto contenido de compuestos bioactivos con propiedades beneficiosas para la salud, constituyen dos razones importantes para fundamentar su consumo. Además, las algas poseen en su composición, polisacáridos que permiten su incorporación en alimentos cárnicos y en pastas, manteniendo o mejorando su calidad sensorial, nutritiva y saludable. ABSTRACTSince ancient times, algae have been used as a food source fundamentally by Asian countries. They are employed in our times as fertilizer, biogas, in hydrocolloids’ industry and others. Its composition in high quality proteins, polyunsatured lipids, dietary fiber, vitamins and minerals are determinants to declare algae as an attractive functional food. Furthermore, algae have nutraceutical substances, including phenols and chlorophylls. In Cuba, they are present in all Cuban seashore and harbors. However, no macroalgae’s nutritional supplements or pharmaceutic products in the Cuban market exist. The nutritional quality of seaweed alongside the high content of bioactive compounds with beneficial health properties, constitute two important reasons to increase consumption. Moreover, algae have in their composition protein structures that allows its incorporation into of meat and pasta foods, maintaining or improving their sensory, nutritious and healthy quality.","container-title":"Biotecnia","DOI":"10.18633/biotecnia.v18i3.331","ISSN":"1665-1456","issue":"3","language":"es","note":"number: 3","page":"20-27","source":"biotecnia.unison.mx","title":"Algas marinas como fuente de compuestos bioactivos en beneficio de la salud humana: un artículo de revisión/ seaweeds as sources of bioactive compounds in the benefit of human health: a review","title-short":"ALGAS MARINAS COMO FUENTE DE COMPUESTOS BIOACTIVOS EN BENEFICIO DE LA SALUD HUMANA","volume":"18","author":[{"family":"Cuesta","given":"Richard Gutiérrez"},{"family":"García","given":"Kethia L. González"},{"family":"Iglesias","given":"Olga del R. Valdés"},{"family":"Yasnay Hernández Rivera","given":""},{"family":"Suárez","given":"Yulexi Acosta"}],"issued":{"date-parts":[["2016",12,29]]}}}],"schema":"https://github.com/citation-style-language/schema/raw/master/csl-citation.json"} </w:instrText>
      </w:r>
      <w:r w:rsidR="00960492" w:rsidRPr="00826C46">
        <w:fldChar w:fldCharType="separate"/>
      </w:r>
      <w:r w:rsidR="000B3830" w:rsidRPr="00826C46">
        <w:rPr>
          <w:rFonts w:cs="Arial"/>
        </w:rPr>
        <w:t>(Cuesta et al., 2016)</w:t>
      </w:r>
      <w:r w:rsidR="00960492" w:rsidRPr="00826C46">
        <w:fldChar w:fldCharType="end"/>
      </w:r>
      <w:r w:rsidR="00960492" w:rsidRPr="00826C46">
        <w:t xml:space="preserve">. </w:t>
      </w:r>
      <w:r w:rsidR="00A83AFB" w:rsidRPr="00826C46">
        <w:t xml:space="preserve">Algae are considered as third generation biofuel sources and have the advantage that their cultivation does not require agricultural land, they avoid pollution contrary to conventional fossil fuels; the component of interest for biofuel is the lipid content they contain, so recent research is aimed at identifying the type of algae with the highest content as well as the most efficient methods for extraction. </w:t>
      </w:r>
      <w:r w:rsidR="00960492" w:rsidRPr="00826C46">
        <w:fldChar w:fldCharType="begin"/>
      </w:r>
      <w:r w:rsidR="00960492" w:rsidRPr="00826C46">
        <w:instrText xml:space="preserve"> ADDIN ZOTERO_ITEM CSL_CITATION {"citationID":"tDpCZIXZ","properties":{"formattedCitation":"(Enamala et al., 2018)","plainCitation":"(Enamala et al., 2018)","noteIndex":0},"citationItems":[{"id":235,"uris":["http://zotero.org/users/7860875/items/I6AGB22M"],"uri":["http://zotero.org/users/7860875/items/I6AGB22M"],"itemData":{"id":235,"type":"article-journal","abstract":"The concern regarding alternate sources of energy is mounting day-by-day due to the effect of pollution that is damaging the environment. Algae are a diverse group of aquatic organisms have an efficiency and ability in mitigating carbon dioxide emissions and produce oil with a high productivity which has a lot of potential applications in producing biofuel, otherwise known as the third-generation biofuel. These third generation biofuels are the best alternative to the present situation since they have the perspective to eliminate most of the ecological problems created by the use of conventional fossil fuels. These organisms are responsible for closely 50% of the photosynthesis process taking place on the planet and are distributed predominantly in many of the aquatic systems. The huge interest in utilizing these organisms as a potential source of energy lies in converting the primary as well as secondary metabolites into useful products. Algae are considered to be the most prominent resource for the upcoming generations as the most suitable and sustainable feedstock. The key process limitations in microalgal biofuel production are inexpensive and effective harvesting of biomass and extraction of lipids. The major objective of this article is to provide a comprehensive review on various methods of both biomass harvesting and lipid extraction from microalgae available, so far, besides to discuss their advantages and disadvantages. This article also deals with various conditions that are favourable for lipid accumulation as well as the yield from different species.","container-title":"Renewable and Sustainable Energy Reviews","DOI":"10.1016/j.rser.2018.05.012","ISSN":"1364-0321","journalAbbreviation":"Renewable and Sustainable Energy Reviews","language":"en","page":"49-68","source":"ScienceDirect","title":"Production of biofuels from microalgae - A review on cultivation, harvesting, lipid extraction, and numerous applications of microalgae","volume":"94","author":[{"family":"Enamala","given":"Manoj Kumar"},{"family":"Enamala","given":"Swapnika"},{"family":"Chavali","given":"Murthy"},{"family":"Donepudi","given":"Jagadish"},{"family":"Yadavalli","given":"Rajasri"},{"family":"Kolapalli","given":"Bhulakshmi"},{"family":"Aradhyula","given":"Tirumala Vasu"},{"family":"Velpuri","given":"Jeevitha"},{"family":"Kuppam","given":"Chandrasekhar"}],"issued":{"date-parts":[["2018",10,1]]}}}],"schema":"https://github.com/citation-style-language/schema/raw/master/csl-citation.json"} </w:instrText>
      </w:r>
      <w:r w:rsidR="00960492" w:rsidRPr="00826C46">
        <w:fldChar w:fldCharType="separate"/>
      </w:r>
      <w:r w:rsidR="000B3830" w:rsidRPr="00826C46">
        <w:rPr>
          <w:rFonts w:cs="Arial"/>
        </w:rPr>
        <w:t>(Enamala et al., 2018)</w:t>
      </w:r>
      <w:r w:rsidR="00960492" w:rsidRPr="00826C46">
        <w:fldChar w:fldCharType="end"/>
      </w:r>
      <w:r w:rsidR="00960492" w:rsidRPr="00826C46">
        <w:t xml:space="preserve">. </w:t>
      </w:r>
      <w:r w:rsidR="00A83AFB" w:rsidRPr="00826C46">
        <w:t xml:space="preserve">In a European project, </w:t>
      </w:r>
      <w:r w:rsidR="00A83AFB" w:rsidRPr="0075128F">
        <w:rPr>
          <w:i/>
          <w:iCs/>
        </w:rPr>
        <w:t>Dunaliella salina</w:t>
      </w:r>
      <w:r w:rsidR="00A83AFB" w:rsidRPr="00826C46">
        <w:t xml:space="preserve"> was evaluated for extraction of 9-cis carotenoids, another important algal product.</w:t>
      </w:r>
      <w:r w:rsidR="00F075F8" w:rsidRPr="00826C46">
        <w:t xml:space="preserve"> </w:t>
      </w:r>
      <w:r w:rsidR="00960492" w:rsidRPr="00826C46">
        <w:fldChar w:fldCharType="begin"/>
      </w:r>
      <w:r w:rsidR="00960492" w:rsidRPr="00826C46">
        <w:instrText xml:space="preserve"> ADDIN ZOTERO_ITEM CSL_CITATION {"citationID":"HMT4x22r","properties":{"formattedCitation":"(Harvey and Ben-Amotz, 2020)","plainCitation":"(Harvey and Ben-Amotz, 2020)","noteIndex":0},"citationItems":[{"id":238,"uris":["http://zotero.org/users/7860875/items/7H4898RS"],"uri":["http://zotero.org/users/7860875/items/7H4898RS"],"itemData":{"id":238,"type":"article-journal","abstract":"Valorisation of the efficacy of 9-cis beta-carotene in treating atherosclerosis, psoriasis, and inhibiting atherogenesis and retinitis pigmentosa is becoming increasingly urgent, but supplies of 9-cis beta-carotene are scarce and this compound is difficult to synthesise chemically, unlike the much more common all-trans form. Innovative products, processes and services in an algal biorefinery that rely on renewable biological resources instead of fossil fuel alternatives offer the potential to lower the energy costs of traditional chemical processes and reduce carbon emissions, water usage and waste. In 2013, the European Commission supported development of 4 microalgal biorefinery projects to assess the potential for innovative approaches to tackle the major challenges intrinsic to the development of the algae biorefineries. One of these was the D-Factory (KBBE.2013.3.2-02) which sought to evaluate requirements for sustainable, industrial-scale production of Dunaliella salina and extraction of its carotenoids, especially 9-cis beta-carotene in a CO2 microalgae biorefinery. Here we present findings of the D-Factory project and propose a way forward for industrial-scale production of 9-cis beta-carotene using biotechnology based on Dunaliella salina biomass. Cultivation improvements are able to deliver more than double the current levels of productivity, with increased sustainability, whilst the use of natural hyper-accumulating carotenogenic strains combined with the use of red light to boost production of the beta-carotene pathway, will increase the relative concentration of 9-cis beta-carotene in extracts of carotenoids with consequent improvements in downstream processing. These developments pave the way for acquiring data for a Medicine Licence and prepare the market for entry of novel 9-cis beta-carotene products.","container-title":"Algal Research","DOI":"10.1016/j.algal.2020.102002","ISSN":"22119264","journalAbbreviation":"Algal Research","language":"en","page":"102002","source":"DOI.org (Crossref)","title":"Towards a sustainable Dunaliella salina microalgal biorefinery for 9-cis β-carotene production","volume":"50","author":[{"family":"Harvey","given":"Patricia J."},{"family":"Ben-Amotz","given":"Ami"}],"issued":{"date-parts":[["2020",9]]}}}],"schema":"https://github.com/citation-style-language/schema/raw/master/csl-citation.json"} </w:instrText>
      </w:r>
      <w:r w:rsidR="00960492" w:rsidRPr="00826C46">
        <w:fldChar w:fldCharType="separate"/>
      </w:r>
      <w:r w:rsidR="000B3830" w:rsidRPr="00826C46">
        <w:rPr>
          <w:rFonts w:cs="Arial"/>
        </w:rPr>
        <w:t>(Harvey and Ben-Amotz, 2020)</w:t>
      </w:r>
      <w:r w:rsidR="00960492" w:rsidRPr="00826C46">
        <w:fldChar w:fldCharType="end"/>
      </w:r>
      <w:r w:rsidR="00960492" w:rsidRPr="00826C46">
        <w:t xml:space="preserve">. </w:t>
      </w:r>
      <w:r w:rsidR="00A83AFB" w:rsidRPr="00826C46">
        <w:t>Obtaining energy from algae biomass is a future possibility within the sustainable bioeconomy, and there are already advances in "synthetic biology" technology or fourth generation energy, which consists of genetically producing algae for biofuels.</w:t>
      </w:r>
      <w:r w:rsidR="00960492" w:rsidRPr="00826C46">
        <w:fldChar w:fldCharType="begin"/>
      </w:r>
      <w:r w:rsidR="00960492" w:rsidRPr="00826C46">
        <w:instrText xml:space="preserve"> ADDIN ZOTERO_ITEM CSL_CITATION {"citationID":"ziv5fmQ6","properties":{"formattedCitation":"(Aro, 2016)","plainCitation":"(Aro, 2016)","noteIndex":0},"citationItems":[{"id":239,"uris":["http://zotero.org/users/7860875/items/3UHG6AG4"],"uri":["http://zotero.org/users/7860875/items/3UHG6AG4"],"itemData":{"id":239,"type":"article-journal","abstract":"Roadmaps towards sustainable bioeconomy, including the production of biofuels, in many EU countries mostly rely on biomass use. However, although biomass is renewable, the efficiency of biomass production is too low to be able to fully replace the fossil fuels. The use of land for fuel production also introduces ethical problems in increasing the food price. Harvesting solar energy by the photosynthetic machinery of plants and autotrophic microorganisms is the basis for all biomass production. This paper describes current challenges and possibilities to sustainably increase the biomass production and highlights future technologies to further enhance biofuel production directly from sunlight. The biggest scientific breakthroughs are expected to rely on a new technology called \"synthetic biology\", which makes engineering of biological systems possible. It will enable direct conversion of solar energy to a fuel from inexhaustible raw materials: sun light, water and CO2. In the future, such solar biofuels are expected to be produced in engineered photosynthetic microorganisms or in completely synthetic living factories.","container-title":"Ambio","DOI":"10.1007/s13280-015-0730-0","ISSN":"1654-7209","journalAbbreviation":"Ambio","language":"eng","note":"PMID: 26667057\nPMCID: PMC4678123","page":"S24-31","source":"PubMed","title":"From first generation biofuels to advanced solar biofuels","volume":"45 Suppl 1","author":[{"family":"Aro","given":"Eva-Mari"}],"issued":{"date-parts":[["2016",1]]}}}],"schema":"https://github.com/citation-style-language/schema/raw/master/csl-citation.json"} </w:instrText>
      </w:r>
      <w:r w:rsidR="00960492" w:rsidRPr="00826C46">
        <w:fldChar w:fldCharType="separate"/>
      </w:r>
      <w:r w:rsidR="000B3830" w:rsidRPr="00826C46">
        <w:rPr>
          <w:rFonts w:cs="Arial"/>
        </w:rPr>
        <w:t>(Aro, 2016)</w:t>
      </w:r>
      <w:r w:rsidR="00960492" w:rsidRPr="00826C46">
        <w:fldChar w:fldCharType="end"/>
      </w:r>
      <w:r w:rsidR="00960492" w:rsidRPr="00826C46">
        <w:t>.</w:t>
      </w:r>
    </w:p>
    <w:p w14:paraId="19124176" w14:textId="77777777" w:rsidR="00CF1A8B" w:rsidRPr="00826C46" w:rsidRDefault="00A04691" w:rsidP="00620B1B">
      <w:pPr>
        <w:pStyle w:val="CETBodytext"/>
      </w:pPr>
      <w:r w:rsidRPr="00826C46">
        <w:t>The mechanism of algae growth is photosynthesis, they use the energy of sunlight, have a great capacity to assimilate atmospheric CO</w:t>
      </w:r>
      <w:r w:rsidRPr="00826C46">
        <w:rPr>
          <w:vertAlign w:val="subscript"/>
        </w:rPr>
        <w:t>2</w:t>
      </w:r>
      <w:r w:rsidRPr="00826C46">
        <w:t xml:space="preserve"> and convert it to carbohydrates, lipids and bioactive metabolites.</w:t>
      </w:r>
      <w:r w:rsidR="00960492" w:rsidRPr="00826C46">
        <w:fldChar w:fldCharType="begin"/>
      </w:r>
      <w:r w:rsidR="00960492" w:rsidRPr="00826C46">
        <w:instrText xml:space="preserve"> ADDIN ZOTERO_ITEM CSL_CITATION {"citationID":"uRqU5r03","properties":{"formattedCitation":"(Ramos et al., 2021)","plainCitation":"(Ramos et al., 2021)","noteIndex":0},"citationItems":[{"id":267,"uris":["http://zotero.org/users/7860875/items/WNJNFVGZ"],"uri":["http://zotero.org/users/7860875/items/WNJNFVGZ"],"itemData":{"id":267,"type":"article-journal","abstract":"Currently, the use of clean technologies is being sought as a more natural and environmentally friendly strategy and alternative to reduce the concentration of carbon dioxide (CO2) in the environment in order to decrease the presence of this greenhouse gas that is harmful to the weakening of the ozone layer. One of these methods is the use of microalgae, which are photosynthetic microorganisms, capable of fixing this gas. The use of microalgae has advantages such as a minimum impact on the environment, it does not require a productive soil or clean water, from the microalgae is also generated biofuels and especially has the capacity to absorb CO2. The investigation had as purpose to determine the biocaptation of Carbon dioxide of the microalgae Scenedesmus sp. The method of test consisted of generating CO2 in the environment inside water with the alga in mention for a space of 12 days being able to reduce CO2, of an initial concentration of 0.002640 mg/L to 0.00556 mg/L, being corroborated that the microalgae Scenedesmus sp. is effective for biocaptation of Carbon dioxide. The cell density of the microalgae Scenedesmus sp. in the optimum treatment was of an initial number of cells of 1.200.000 cells/mL and ending with a total of 1.602.000 cells/mL with the temperature in the range of 22 °C to 27 °C, showing a stability and where there were no problems with the adaptation medium. © 2021 Italian Association of Chemical Engineering - AIDIC. All rights reserved.","archive":"Scopus","container-title":"Chemical Engineering Transactions","DOI":"10.3303/CET2186075","ISSN":"2283-9216","language":"English","page":"445-450","source":"Scopus","title":"Microalgae scenedesmus sp as a clean technology in reducing greenhouse gas carbon dioxide","volume":"86","author":[{"family":"Ramos","given":"B.F."},{"family":"Chávez","given":"R.C."},{"family":"Valverde Flores","given":"J.W."},{"family":"Castañeda Olivera","given":"C.A."},{"family":"Lopez Bulnes","given":"J."},{"family":"Benites-Alfaro","given":"E."}],"issued":{"date-parts":[["2021"]]}}}],"schema":"https://github.com/citation-style-language/schema/raw/master/csl-citation.json"} </w:instrText>
      </w:r>
      <w:r w:rsidR="00960492" w:rsidRPr="00826C46">
        <w:fldChar w:fldCharType="separate"/>
      </w:r>
      <w:r w:rsidR="000B3830" w:rsidRPr="00826C46">
        <w:rPr>
          <w:rFonts w:cs="Arial"/>
        </w:rPr>
        <w:t>(Ramos et al., 2021)</w:t>
      </w:r>
      <w:r w:rsidR="00960492" w:rsidRPr="00826C46">
        <w:fldChar w:fldCharType="end"/>
      </w:r>
      <w:r w:rsidR="00960492" w:rsidRPr="00826C46">
        <w:t xml:space="preserve">. </w:t>
      </w:r>
      <w:r w:rsidRPr="00826C46">
        <w:t xml:space="preserve">Microalgae tend to replace fossil fuels, even with limitations, they have the advantage of being renewable and of low environmental impact </w:t>
      </w:r>
      <w:r w:rsidR="00960492" w:rsidRPr="00826C46">
        <w:fldChar w:fldCharType="begin"/>
      </w:r>
      <w:r w:rsidR="00960492" w:rsidRPr="00826C46">
        <w:instrText xml:space="preserve"> ADDIN ZOTERO_ITEM CSL_CITATION {"citationID":"qQxJlrMG","properties":{"formattedCitation":"(Khan et al., 2018)","plainCitation":"(Khan et al., 2018)","noteIndex":0},"citationItems":[{"id":242,"uris":["http://zotero.org/users/7860875/items/VJ2B2QIR"],"uri":["http://zotero.org/users/7860875/items/VJ2B2QIR"],"itemData":{"id":242,"type":"article-journal","abstract":"Microalgae have recently attracted considerable interest worldwide, due to their extensive application potential in the renewable energy, biopharmaceutical, and nutraceutical industries. Microalgae are renewable, sustainable, and economical sources of biofuels, bioactive medicinal products, and food ingredients. Several microalgae species have been investigated for their potential as value-added products with remarkable pharmacological and biological qualities. As biofuels, they are a perfect substitute to liquid fossil fuels with respect to cost, renewability, and environmental concerns. Microalgae have a significant ability to convert atmospheric CO2 to useful products such as carbohydrates, lipids, and other bioactive metabolites. Although microalgae are feasible sources for bioenergy and biopharmaceuticals in general, some limitations and challenges remain, which must be overcome to upgrade the technology from pilot-phase to industrial level. The most challenging and crucial issues are enhancing microalgae growth rate and product synthesis, dewatering algae culture for biomass production, pretreating biomass, and optimizing the fermentation process in case of algal bioethanol production. The present review describes the advantages of microalgae for the production of biofuels and various bioactive compounds and discusses culturing parameters.","container-title":"Microbial Cell Factories","DOI":"10.1186/s12934-018-0879-x","ISSN":"1475-2859","issue":"1","journalAbbreviation":"Microbial Cell Factories","page":"36","source":"BioMed Central","title":"The promising future of microalgae: current status, challenges, and optimization of a sustainable and renewable industry for biofuels, feed, and other products","title-short":"The promising future of microalgae","volume":"17","author":[{"family":"Khan","given":"Muhammad Imran"},{"family":"Shin","given":"Jin Hyuk"},{"family":"Kim","given":"Jong Deog"}],"issued":{"date-parts":[["2018",3,5]]}}}],"schema":"https://github.com/citation-style-language/schema/raw/master/csl-citation.json"} </w:instrText>
      </w:r>
      <w:r w:rsidR="00960492" w:rsidRPr="00826C46">
        <w:fldChar w:fldCharType="separate"/>
      </w:r>
      <w:r w:rsidR="000B3830" w:rsidRPr="00826C46">
        <w:rPr>
          <w:rFonts w:cs="Arial"/>
        </w:rPr>
        <w:t>(Khan et al., 2018)</w:t>
      </w:r>
      <w:r w:rsidR="00960492" w:rsidRPr="00826C46">
        <w:fldChar w:fldCharType="end"/>
      </w:r>
      <w:r w:rsidR="00960492" w:rsidRPr="00826C46">
        <w:t xml:space="preserve">. </w:t>
      </w:r>
      <w:r w:rsidRPr="00826C46">
        <w:t>The types of biofuels obtained depend on the type of algae and the methodology, biodiesel is obtained from lipids (</w:t>
      </w:r>
      <w:r w:rsidRPr="00826C46">
        <w:rPr>
          <w:i/>
          <w:iCs/>
        </w:rPr>
        <w:t>Chorella vulgaris, anochloropsis sp</w:t>
      </w:r>
      <w:r w:rsidRPr="00826C46">
        <w:t xml:space="preserve"> and others) followed by a process of transesterification and purification, ethanol is obtained from the hydrolysis of sugars, fermentation and purification, also biogas from anaerobic digestion; but the remaining challenge is to obtain bioethanol from microalgae biomass. </w:t>
      </w:r>
      <w:r w:rsidR="00960492" w:rsidRPr="00826C46">
        <w:fldChar w:fldCharType="begin"/>
      </w:r>
      <w:r w:rsidR="00960492" w:rsidRPr="00826C46">
        <w:instrText xml:space="preserve"> ADDIN ZOTERO_ITEM CSL_CITATION {"citationID":"WXzlQ8bl","properties":{"formattedCitation":"(Escobedo et al., 2021)","plainCitation":"(Escobedo et al., 2021)","noteIndex":0},"citationItems":[{"id":245,"uris":["http://zotero.org/users/7860875/items/M3USF2ZL"],"uri":["http://zotero.org/users/7860875/items/M3USF2ZL"],"itemData":{"id":245,"type":"article-journal","abstract":"ResumenEl estudio de los biocombustibles sigue en constante desarrollo, desde hace cinco décadas. Este artículo resume el análisis de diversas publicaciones científicas recientes, relacionadas con biocombustibles de tercera generación utilizando microalgas. Se presenta una visión general de biocombustibles y su clasificación, las bases teóricas de microalgas, técnicas para su cultivo, cosecha y pretratamiento de su biomasa. También se describen brevemente tecnologías prometedoras para obtener biocombustibles de gran demanda potencial mundial, considerando las características técnicas del proceso, en función de las especies de microalgas que tienen los más altos rendimientos y productividades para cada tipo de biocombustible: Biodiesel (extracción de lípidos, transesterificación y purificación), etanol (hidrólisis de azúcares, fermentación y purificación) y biogás (digestión anaerobia). La mayoría de los estudios están enfocados en la producción de lípidos, siendo Chlorella vulgaris, Nanochloropsis sp. y Botryococcus braunii (A) las microalgas más utilizadas para obtener biodiesel. Sin embargo, existen pocos estudios centrados en la producción de biomasa microalgal para producir bioetanol, así, las microalgas Porphyridium cruentum y Spirogira sp. podrían utilizarse para producir bioetanol, con la ventaja de no contener lignina. El biogás se produce por biodigestión anaeróbica de los residuos de biomasa microalgal en biorrefinerías, pero su producción comercial está muy limitada por los altos costos productivos y porque existen otras biomasas muy competitivas económicamente. La necesidad de producir biocombustibles utilizando biomasa microalgal, está alcanzando un mayor auge, siendo la propuesta trascendental, poner en marcha una biorrefinería, principalmente enfocada en la producción optima de biomasa microalgal como la clave principal de todo el proceso.Palabras clave: microalgas; fotosíntesis; biocombustibles; pretratamiento; hidrólisis; bioetanol; biorrefinería","container-title":"Scientia Agropecuaria","DOI":"10.17268/sci.agropecu.2021.030","ISSN":"2077-9917","issue":"2","note":"publisher: Universidad Nacional de Trujillo. Facultad de Ciencias Agropecuarias","page":"265-282","source":"SciELO","title":"Biomasa microalgal con alto potencial para la producción de biocombustibles","volume":"12","author":[{"family":"Escobedo","given":"Manuel Jimenez"},{"family":"Calderón","given":"Augusto Castillo"},{"family":"Escobedo","given":"Manuel Jimenez"},{"family":"Calderón","given":"Augusto Castillo"}],"issued":{"date-parts":[["2021",4]]}}}],"schema":"https://github.com/citation-style-language/schema/raw/master/csl-citation.json"} </w:instrText>
      </w:r>
      <w:r w:rsidR="00960492" w:rsidRPr="00826C46">
        <w:fldChar w:fldCharType="separate"/>
      </w:r>
      <w:r w:rsidR="000B3830" w:rsidRPr="00826C46">
        <w:rPr>
          <w:rFonts w:cs="Arial"/>
        </w:rPr>
        <w:t>(Escobedo et al., 2021)</w:t>
      </w:r>
      <w:r w:rsidR="00960492" w:rsidRPr="00826C46">
        <w:fldChar w:fldCharType="end"/>
      </w:r>
      <w:r w:rsidR="00960492" w:rsidRPr="00826C46">
        <w:t xml:space="preserve">. </w:t>
      </w:r>
      <w:r w:rsidRPr="00826C46">
        <w:t xml:space="preserve">In these processes, many parameters must be controlled to improve efficiency, including algae cultivation. </w:t>
      </w:r>
      <w:r w:rsidR="00960492" w:rsidRPr="00826C46">
        <w:fldChar w:fldCharType="begin"/>
      </w:r>
      <w:r w:rsidR="00960492" w:rsidRPr="00826C46">
        <w:instrText xml:space="preserve"> ADDIN ZOTERO_ITEM CSL_CITATION {"citationID":"HiOlYwn9","properties":{"formattedCitation":"(Pe\\uc0\\u241{}aranda et al., 2013)","plainCitation":"(Peñaranda et al., 2013)","noteIndex":0},"citationItems":[{"id":248,"uris":["http://zotero.org/users/7860875/items/2LSU5ZBD"],"uri":["http://zotero.org/users/7860875/items/2LSU5ZBD"],"itemData":{"id":248,"type":"article-journal","abstract":"The microalgae have the capacity to mitigate CO2 emissions and to produce lipids, which are considered with potential to obtain third-generation biofuel. This review provides updated information of the influence of culture conditions on the lipids production with high productivity and profile suitable for the biodiesel production. This document presents a compilation of research conclusions over the last 13 years around the world. In the literature consulted, the authors conclude that although the behavior of microalgae at physiological stress conditions, varies between species; the nutrients limitation, especially nitrogen and phosphorus, associated with heterotrophic growth or high irradiances in phototrophy are considered the most efficient strategies to increase the lipid content in microalgae, particularly triglycerides (consisting of saturated and monounsaturated fatty acids), which are excellent for the production of biodiesel. Also, it is reported that the lipid content increase and the number of unsaturated fatty acids decrease with the addition of small amounts of CO2and harvesting the biomass it the stationary phase of growth.","container-title":"Acta Biológica Colombiana","ISSN":"1900-1649","issue":"1","language":"es","note":"number: 1","page":"43-68","source":"revistas.unal.edu.co","title":"Producción de biodiesel a partir de microalgas: Parámetros del cultivo que afectan la producción de lípidos.","title-short":"PRODUCCIÓN DE BIODIESEL A PARTIR DE MICROALGAS","volume":"18","author":[{"family":"Peñaranda","given":"Martha Trinidad Arias"},{"family":"Villanueva","given":"Rosa Olivia Cañizares"},{"family":"Roldán","given":"Alfredo de Jesús Martínez"}],"issued":{"date-parts":[["2013",1,1]]}}}],"schema":"https://github.com/citation-style-language/schema/raw/master/csl-citation.json"} </w:instrText>
      </w:r>
      <w:r w:rsidR="00960492" w:rsidRPr="00826C46">
        <w:fldChar w:fldCharType="separate"/>
      </w:r>
      <w:r w:rsidR="000B3830" w:rsidRPr="00826C46">
        <w:rPr>
          <w:rFonts w:cs="Arial"/>
          <w:szCs w:val="24"/>
        </w:rPr>
        <w:t>(Peñaranda et al., 2013)</w:t>
      </w:r>
      <w:r w:rsidR="00960492" w:rsidRPr="00826C46">
        <w:fldChar w:fldCharType="end"/>
      </w:r>
      <w:r w:rsidR="00960492" w:rsidRPr="00826C46">
        <w:t xml:space="preserve">, </w:t>
      </w:r>
      <w:r w:rsidRPr="00826C46">
        <w:t xml:space="preserve">or solvents for the extraction </w:t>
      </w:r>
      <w:r w:rsidR="00960492" w:rsidRPr="00826C46">
        <w:fldChar w:fldCharType="begin"/>
      </w:r>
      <w:r w:rsidR="00960492" w:rsidRPr="00826C46">
        <w:instrText xml:space="preserve"> ADDIN ZOTERO_ITEM CSL_CITATION {"citationID":"2vjxuCog","properties":{"formattedCitation":"(Molino A. et al., 2018)","plainCitation":"(Molino A. et al., 2018)","noteIndex":0},"citationItems":[{"id":232,"uris":["http://zotero.org/users/7860875/items/C7Z58J8B"],"uri":["http://zotero.org/users/7860875/items/C7Z58J8B"],"itemData":{"id":232,"type":"article-journal","container-title":"Chemical Engineering Transactions","DOI":"10.3303/CET1865140","language":"en","page":"835-840","source":"DOI.org (CSL JSON)","title":"Microalgae valorisation via accelerated solvent extraction: optimization of the operative conditions","title-short":"Microalgae valorisation via accelerated solvent extraction","volume":"65","author":[{"literal":"Molino A."},{"literal":"Rimauro J."},{"literal":"Casella P."},{"literal":"Cerbone A."},{"literal":"Larocca V."},{"literal":"Karatza D."},{"literal":"Hristoforou E."},{"literal":"Chianese S."},{"literal":"Musmarra D."}],"issued":{"date-parts":[["2018",6]]}}}],"schema":"https://github.com/citation-style-language/schema/raw/master/csl-citation.json"} </w:instrText>
      </w:r>
      <w:r w:rsidR="00960492" w:rsidRPr="00826C46">
        <w:fldChar w:fldCharType="separate"/>
      </w:r>
      <w:r w:rsidR="000B3830" w:rsidRPr="00826C46">
        <w:rPr>
          <w:rFonts w:cs="Arial"/>
        </w:rPr>
        <w:t>(Molino A. et al., 2018)</w:t>
      </w:r>
      <w:r w:rsidR="00960492" w:rsidRPr="00826C46">
        <w:fldChar w:fldCharType="end"/>
      </w:r>
      <w:r w:rsidR="00960492" w:rsidRPr="00826C46">
        <w:t>.</w:t>
      </w:r>
    </w:p>
    <w:p w14:paraId="037DF3E7" w14:textId="7A7096A9" w:rsidR="00960492" w:rsidRPr="00826C46" w:rsidRDefault="00620B1B" w:rsidP="00620B1B">
      <w:pPr>
        <w:pStyle w:val="CETBodytext"/>
      </w:pPr>
      <w:r w:rsidRPr="00826C46">
        <w:lastRenderedPageBreak/>
        <w:t xml:space="preserve">There are studies to obtain biofuel from microalgae, in this case the objective of the study was to obtain biofuel from benthic waste, specifically from the macroalgae </w:t>
      </w:r>
      <w:r w:rsidRPr="00826C46">
        <w:rPr>
          <w:i/>
          <w:iCs/>
        </w:rPr>
        <w:t>Macrocystis pyrifera</w:t>
      </w:r>
      <w:r w:rsidRPr="00826C46">
        <w:t xml:space="preserve"> (known as sargassum), and then it was characterized. The macroalgae was collected on the beaches of Marcona, where fishermen collect this species, which exists in large quantities and is expelled by the sea after it has completed its life cycle, detached from the seabed and deposited on the shores, as shown in Figure </w:t>
      </w:r>
      <w:r w:rsidR="00C86C96">
        <w:t>2</w:t>
      </w:r>
      <w:r w:rsidRPr="00826C46">
        <w:t xml:space="preserve">. It is known that on the shores of Yanyarina (Arequipa) and Marcona (Ica) beaches, 400 MT/month were deposited by the dynamics of sea waves in April 2008. </w:t>
      </w:r>
      <w:r w:rsidR="00960492" w:rsidRPr="00826C46">
        <w:fldChar w:fldCharType="begin"/>
      </w:r>
      <w:r w:rsidR="00960492" w:rsidRPr="00826C46">
        <w:instrText xml:space="preserve"> ADDIN ZOTERO_ITEM CSL_CITATION {"citationID":"9aAfnKza","properties":{"formattedCitation":"(ICON-INSTITUT, 2009)","plainCitation":"(ICON-INSTITUT, 2009)","noteIndex":0},"citationItems":[{"id":252,"uris":["http://zotero.org/users/7860875/items/UQDRI8UY"],"uri":["http://zotero.org/users/7860875/items/UQDRI8UY"],"itemData":{"id":252,"type":"report","event-place":"Lima Perú","genre":"Informe Final: Proyecto UE-PERÜ/PENX","page":"90","publisher":"IMARPE","publisher-place":"Lima Perú","title":"Estudio de investigación de poblaciones y de las condiciones de viailidad ecológioca de las actividades extractivas de algas pardas e invertebrados en la zona costera sur, en apotyo a la investigación y desarrollo del Instituto del mar del Perú (IMARPE)","URL":"https://www.mincetur.gob.pe/wp-content/uploads/documentos/comercio_exterior/Sites/ueperu/licitacion/pdfs/Informes/156.pdf","author":[{"family":"ICON-INSTITUT","given":""}],"issued":{"date-parts":[["2009"]]}}}],"schema":"https://github.com/citation-style-language/schema/raw/master/csl-citation.json"} </w:instrText>
      </w:r>
      <w:r w:rsidR="00960492" w:rsidRPr="00826C46">
        <w:fldChar w:fldCharType="separate"/>
      </w:r>
      <w:r w:rsidR="000B3830" w:rsidRPr="00826C46">
        <w:rPr>
          <w:rFonts w:cs="Arial"/>
        </w:rPr>
        <w:t>(ICON-INSTITUT, 2009)</w:t>
      </w:r>
      <w:r w:rsidR="00960492" w:rsidRPr="00826C46">
        <w:fldChar w:fldCharType="end"/>
      </w:r>
      <w:r w:rsidR="00960492" w:rsidRPr="00826C46">
        <w:t xml:space="preserve">, </w:t>
      </w:r>
      <w:r w:rsidR="00CF1A8B" w:rsidRPr="00826C46">
        <w:t xml:space="preserve">later in 2017 the Artisanal Fishing Landing Administration (DPA) of Punta San Juan de Marcona, through an audiovisual of the Artisanal Fishing Community of Marcona (COPMAR), indicated that the collection of dry benthic products was one thousand MT/month. It is indicated that the Ica-Marcona region is an area of evaluation and abundance of macroalgae. </w:t>
      </w:r>
      <w:r w:rsidR="00960492" w:rsidRPr="00826C46">
        <w:fldChar w:fldCharType="begin"/>
      </w:r>
      <w:r w:rsidR="00960492" w:rsidRPr="00826C46">
        <w:instrText xml:space="preserve"> ADDIN ZOTERO_ITEM CSL_CITATION {"citationID":"nTJZ94GM","properties":{"formattedCitation":"(IMARPE and APROSUR, 2012)","plainCitation":"(IMARPE and APROSUR, 2012)","noteIndex":0},"citationItems":[{"id":254,"uris":["http://zotero.org/users/7860875/items/PSLFF99X"],"uri":["http://zotero.org/users/7860875/items/PSLFF99X"],"itemData":{"id":254,"type":"report","event-place":"Lima, Perú","genre":"Informe","number":"Vol. extraordinario","page":"55","publisher-place":"Lima, Perú","title":"Estudios sobre macroalgas pardas en el sur del Perú, 2011-2015","URL":"https://repositorio.imarpe.gob.pe/bitstream/20.500.12958/2178/1/INF%20EXT.%20I.pdf","author":[{"family":"IMARPE","given":""},{"family":"APROSUR","given":""}],"issued":{"date-parts":[["2012"]]}}}],"schema":"https://github.com/citation-style-language/schema/raw/master/csl-citation.json"} </w:instrText>
      </w:r>
      <w:r w:rsidR="00960492" w:rsidRPr="00826C46">
        <w:fldChar w:fldCharType="separate"/>
      </w:r>
      <w:r w:rsidR="000B3830" w:rsidRPr="00826C46">
        <w:rPr>
          <w:rFonts w:cs="Arial"/>
        </w:rPr>
        <w:t>(IMARPE and APROSUR, 2012)</w:t>
      </w:r>
      <w:r w:rsidR="00960492" w:rsidRPr="00826C46">
        <w:fldChar w:fldCharType="end"/>
      </w:r>
      <w:r w:rsidR="00960492" w:rsidRPr="00826C46">
        <w:t>.</w:t>
      </w:r>
      <w:r w:rsidR="007A3F28" w:rsidRPr="00826C46">
        <w:t xml:space="preserve"> </w:t>
      </w:r>
      <w:r w:rsidR="00CF1A8B" w:rsidRPr="00826C46">
        <w:t>Therefore, there is a need for research to determine the viability of macroalgae in obtaining energy, identifying the optimal treatment for the transformation of biomass into energy.</w:t>
      </w:r>
      <w:r w:rsidR="00960492" w:rsidRPr="00826C46">
        <w:t xml:space="preserve"> </w:t>
      </w:r>
      <w:r w:rsidR="00960492" w:rsidRPr="00826C46">
        <w:fldChar w:fldCharType="begin"/>
      </w:r>
      <w:r w:rsidR="00960492" w:rsidRPr="00826C46">
        <w:instrText xml:space="preserve"> ADDIN ZOTERO_ITEM CSL_CITATION {"citationID":"xSRVJelR","properties":{"formattedCitation":"(Chojnacka et al., 2018)","plainCitation":"(Chojnacka et al., 2018)","noteIndex":0},"citationItems":[{"id":257,"uris":["http://zotero.org/users/7860875/items/W4JNQCVX"],"uri":["http://zotero.org/users/7860875/items/W4JNQCVX"],"itemData":{"id":257,"type":"book","abstract":"This book is a compendium of knowledge on the useful properties of algae in the context of application as a useful component of innovative natural products. It presents all aspects of industrial applications of macroalgae biomass derived from the natural environment. Despite many interesting characteristics, algae are still regarded as undervalued raw material, therefore, present in the following chapters are not only environmental benefits arising from the development of excessive algal biomass, but also the distribution and biology of algae in natural conditions in reservoirs, methods of obtaining extracts from biomass of algae for industrial purposes. Furthermore, it also includes topics such as the use of biomass and algae extracts for the industrial purposes, in animal breeding and for agricultural purposes, as well as the economic aspects of algae biomass harvesting for industrial purposes. The book is intended for a wide audience interested in new methods of obtaining the biomass from the natural environment for industrial purposes and the manufacture of products based on bioactive substances obtained from the environment.","ISBN":"978-3-319-74703-3","language":"en","note":"Google-Books-ID: 7IZjDwAAQBAJ","number-of-pages":"146","publisher":"Springer","source":"Google Books","title":"Algae Biomass: Characteristics and Applications: Towards Algae-based Products","title-short":"Algae Biomass","author":[{"family":"Chojnacka","given":"Katarzyna"},{"family":"Wieczorek","given":"Piotr Pawel"},{"family":"Schroeder","given":"Grzegorz"},{"family":"Michalak","given":"Izabela"}],"issued":{"date-parts":[["2018",7,9]]}}}],"schema":"https://github.com/citation-style-language/schema/raw/master/csl-citation.json"} </w:instrText>
      </w:r>
      <w:r w:rsidR="00960492" w:rsidRPr="00826C46">
        <w:fldChar w:fldCharType="separate"/>
      </w:r>
      <w:r w:rsidR="000B3830" w:rsidRPr="00826C46">
        <w:rPr>
          <w:rFonts w:cs="Arial"/>
        </w:rPr>
        <w:t>(Chojnacka et al., 2018)</w:t>
      </w:r>
      <w:r w:rsidR="00960492" w:rsidRPr="00826C46">
        <w:fldChar w:fldCharType="end"/>
      </w:r>
      <w:r w:rsidR="00960492" w:rsidRPr="00826C46">
        <w:t>.</w:t>
      </w:r>
    </w:p>
    <w:p w14:paraId="5E653FC6" w14:textId="305DC5B7" w:rsidR="006126C9" w:rsidRPr="00826C46" w:rsidRDefault="00CF1A8B" w:rsidP="006126C9">
      <w:pPr>
        <w:pStyle w:val="CETHeading1"/>
      </w:pPr>
      <w:r w:rsidRPr="00826C46">
        <w:t>Methodology</w:t>
      </w:r>
    </w:p>
    <w:p w14:paraId="7C2E2EAE" w14:textId="34928D61" w:rsidR="006126C9" w:rsidRDefault="00CF1A8B" w:rsidP="006126C9">
      <w:pPr>
        <w:pStyle w:val="CETBodytext"/>
      </w:pPr>
      <w:r w:rsidRPr="00826C46">
        <w:t xml:space="preserve">The research was carried out according to the scheme shown in Figure </w:t>
      </w:r>
      <w:r w:rsidR="00B55842">
        <w:t>1</w:t>
      </w:r>
      <w:r w:rsidRPr="00826C46">
        <w:t>.</w:t>
      </w:r>
    </w:p>
    <w:p w14:paraId="75468333" w14:textId="77777777" w:rsidR="004B3179" w:rsidRDefault="004B3179" w:rsidP="006126C9">
      <w:pPr>
        <w:pStyle w:val="CETBodytext"/>
      </w:pPr>
    </w:p>
    <w:tbl>
      <w:tblPr>
        <w:tblStyle w:val="Tablaconcuadrcula"/>
        <w:tblW w:w="8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gridCol w:w="3726"/>
      </w:tblGrid>
      <w:tr w:rsidR="00703CB7" w14:paraId="70D58791" w14:textId="77777777" w:rsidTr="004B3179">
        <w:trPr>
          <w:trHeight w:val="7501"/>
        </w:trPr>
        <w:tc>
          <w:tcPr>
            <w:tcW w:w="5287" w:type="dxa"/>
          </w:tcPr>
          <w:p w14:paraId="2ADFDBDC" w14:textId="690242CA" w:rsidR="004B3179" w:rsidRDefault="00703CB7" w:rsidP="006126C9">
            <w:pPr>
              <w:pStyle w:val="CETBodytext"/>
            </w:pPr>
            <w:r>
              <w:rPr>
                <w:noProof/>
              </w:rPr>
              <w:drawing>
                <wp:inline distT="0" distB="0" distL="0" distR="0" wp14:anchorId="0A7FDC6A" wp14:editId="2790438E">
                  <wp:extent cx="3260725" cy="4324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1803" cy="4339042"/>
                          </a:xfrm>
                          <a:prstGeom prst="rect">
                            <a:avLst/>
                          </a:prstGeom>
                          <a:noFill/>
                        </pic:spPr>
                      </pic:pic>
                    </a:graphicData>
                  </a:graphic>
                </wp:inline>
              </w:drawing>
            </w:r>
          </w:p>
          <w:p w14:paraId="3DB18A02" w14:textId="77777777" w:rsidR="00F325B5" w:rsidRPr="00826C46" w:rsidRDefault="00F325B5" w:rsidP="00F325B5">
            <w:pPr>
              <w:pStyle w:val="CETCaption"/>
              <w:rPr>
                <w:lang w:val="en-US"/>
              </w:rPr>
            </w:pPr>
            <w:r w:rsidRPr="00826C46">
              <w:rPr>
                <w:lang w:val="en-US"/>
              </w:rPr>
              <w:t xml:space="preserve">Figure </w:t>
            </w:r>
            <w:r>
              <w:rPr>
                <w:lang w:val="en-US"/>
              </w:rPr>
              <w:t>1:</w:t>
            </w:r>
            <w:r w:rsidRPr="00826C46">
              <w:rPr>
                <w:lang w:val="en-US"/>
              </w:rPr>
              <w:t xml:space="preserve"> Schematic of the research process</w:t>
            </w:r>
          </w:p>
          <w:p w14:paraId="0F274137" w14:textId="3F17B072" w:rsidR="00F325B5" w:rsidRDefault="00F325B5" w:rsidP="006126C9">
            <w:pPr>
              <w:pStyle w:val="CETBodytext"/>
            </w:pPr>
          </w:p>
        </w:tc>
        <w:tc>
          <w:tcPr>
            <w:tcW w:w="3684" w:type="dxa"/>
          </w:tcPr>
          <w:p w14:paraId="0F6B8A3F" w14:textId="77777777" w:rsidR="00703CB7" w:rsidRDefault="00703CB7" w:rsidP="006126C9">
            <w:pPr>
              <w:pStyle w:val="CETBodytext"/>
            </w:pPr>
            <w:r w:rsidRPr="00826C46">
              <w:rPr>
                <w:noProof/>
              </w:rPr>
              <w:drawing>
                <wp:inline distT="0" distB="0" distL="0" distR="0" wp14:anchorId="3199BCF0" wp14:editId="07304B89">
                  <wp:extent cx="2225040" cy="1924050"/>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9773" cy="1936790"/>
                          </a:xfrm>
                          <a:prstGeom prst="rect">
                            <a:avLst/>
                          </a:prstGeom>
                          <a:noFill/>
                        </pic:spPr>
                      </pic:pic>
                    </a:graphicData>
                  </a:graphic>
                </wp:inline>
              </w:drawing>
            </w:r>
          </w:p>
          <w:p w14:paraId="2BA3574C" w14:textId="77777777" w:rsidR="00F325B5" w:rsidRPr="004B3179" w:rsidRDefault="00F325B5" w:rsidP="001B2A1B">
            <w:pPr>
              <w:pStyle w:val="CETnumberingbullets"/>
              <w:numPr>
                <w:ilvl w:val="0"/>
                <w:numId w:val="0"/>
              </w:numPr>
              <w:spacing w:line="240" w:lineRule="auto"/>
              <w:rPr>
                <w:sz w:val="16"/>
                <w:szCs w:val="18"/>
                <w:lang w:val="en-US" w:eastAsia="es-PE"/>
              </w:rPr>
            </w:pPr>
            <w:r w:rsidRPr="004B3179">
              <w:rPr>
                <w:sz w:val="16"/>
                <w:szCs w:val="18"/>
                <w:lang w:val="en-US" w:eastAsia="es-PE"/>
              </w:rPr>
              <w:t xml:space="preserve">Source: </w:t>
            </w:r>
            <w:r w:rsidRPr="004B3179">
              <w:rPr>
                <w:sz w:val="16"/>
                <w:szCs w:val="18"/>
                <w:lang w:val="en-US" w:eastAsia="es-PE"/>
              </w:rPr>
              <w:fldChar w:fldCharType="begin"/>
            </w:r>
            <w:r w:rsidRPr="004B3179">
              <w:rPr>
                <w:sz w:val="16"/>
                <w:szCs w:val="18"/>
                <w:lang w:val="en-US" w:eastAsia="es-PE"/>
              </w:rPr>
              <w:instrText xml:space="preserve"> ADDIN ZOTERO_ITEM CSL_CITATION {"citationID":"ZVQvFBhU","properties":{"formattedCitation":"(PNUD Per\\uc0\\u250{}, 2017)","plainCitation":"(PNUD Perú, 2017)","noteIndex":0},"citationItems":[{"id":259,"uris":["http://zotero.org/users/7860875/items/UGKFXU8U"],"uri":["http://zotero.org/users/7860875/items/UGKFXU8U"],"itemData":{"id":259,"type":"webpage","abstract":"Desde hace casi una década, la comunidad pesquera de Marcona encontró que el mar varaba oportunidades en forma de algas. El sargazo, un recurso que antes era considerado como una plaga, fue convertido en una fuente de sustento y una nueva forma de trabajar y progresar. Ahora, cooperativamente, los pescadores de Marcona se han convertido en guardianes de la biodiversidad y agentes de cambio para su comunidad.Su costa tiene un atributo peculiar: es la principal zona de afloramiento en el mundo. Movimientos ascendentes de masas de agua fría traen consigo gran cantidad de nutrientes desde el fondo marino hacia la superficie. Gracias a esto, la producción biológica es muy rica y variada, pero también bastante frágil.","container-title":"Exposure","language":"es","title":"La revolución de las algas by PNUD Perú","URL":"https://pnudperu.exposure.co/la-revolucion-de-las-algas","author":[{"family":"PNUD Perú","given":""}],"accessed":{"date-parts":[["2022",1,3]]},"issued":{"date-parts":[["2017"]]}}}],"schema":"https://github.com/citation-style-language/schema/raw/master/csl-citation.json"} </w:instrText>
            </w:r>
            <w:r w:rsidRPr="004B3179">
              <w:rPr>
                <w:sz w:val="16"/>
                <w:szCs w:val="18"/>
                <w:lang w:val="en-US" w:eastAsia="es-PE"/>
              </w:rPr>
              <w:fldChar w:fldCharType="separate"/>
            </w:r>
            <w:r w:rsidRPr="004B3179">
              <w:rPr>
                <w:rFonts w:cs="Arial"/>
                <w:sz w:val="16"/>
                <w:szCs w:val="22"/>
                <w:lang w:val="en-US"/>
              </w:rPr>
              <w:t>(PNUD Perú, 2017)</w:t>
            </w:r>
            <w:r w:rsidRPr="004B3179">
              <w:rPr>
                <w:sz w:val="16"/>
                <w:szCs w:val="18"/>
                <w:lang w:val="en-US" w:eastAsia="es-PE"/>
              </w:rPr>
              <w:fldChar w:fldCharType="end"/>
            </w:r>
          </w:p>
          <w:p w14:paraId="035C113F" w14:textId="77777777" w:rsidR="00F325B5" w:rsidRDefault="00F325B5" w:rsidP="001B2A1B">
            <w:pPr>
              <w:pStyle w:val="CETCaption"/>
              <w:spacing w:line="240" w:lineRule="auto"/>
              <w:rPr>
                <w:lang w:eastAsia="es-PE"/>
              </w:rPr>
            </w:pPr>
            <w:r w:rsidRPr="00826C46">
              <w:rPr>
                <w:lang w:eastAsia="es-PE"/>
              </w:rPr>
              <w:t xml:space="preserve">Figure </w:t>
            </w:r>
            <w:r>
              <w:rPr>
                <w:lang w:eastAsia="es-PE"/>
              </w:rPr>
              <w:t>2:</w:t>
            </w:r>
            <w:r w:rsidRPr="00826C46">
              <w:rPr>
                <w:lang w:eastAsia="es-PE"/>
              </w:rPr>
              <w:t xml:space="preserve"> Macroalgae harvesting at Marcona</w:t>
            </w:r>
          </w:p>
          <w:p w14:paraId="05AD75F6" w14:textId="77777777" w:rsidR="00F325B5" w:rsidRDefault="00F325B5" w:rsidP="00F325B5">
            <w:pPr>
              <w:pStyle w:val="CETBodytext"/>
              <w:rPr>
                <w:lang w:eastAsia="es-PE"/>
              </w:rPr>
            </w:pPr>
          </w:p>
          <w:p w14:paraId="4574A96A" w14:textId="77777777" w:rsidR="00F325B5" w:rsidRDefault="00F325B5" w:rsidP="00F325B5">
            <w:pPr>
              <w:pStyle w:val="CETBodytext"/>
            </w:pPr>
            <w:r>
              <w:rPr>
                <w:noProof/>
              </w:rPr>
              <w:drawing>
                <wp:inline distT="0" distB="0" distL="0" distR="0" wp14:anchorId="50FB57A3" wp14:editId="47BC9652">
                  <wp:extent cx="2225040" cy="156210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5040" cy="1562100"/>
                          </a:xfrm>
                          <a:prstGeom prst="rect">
                            <a:avLst/>
                          </a:prstGeom>
                          <a:noFill/>
                        </pic:spPr>
                      </pic:pic>
                    </a:graphicData>
                  </a:graphic>
                </wp:inline>
              </w:drawing>
            </w:r>
          </w:p>
          <w:p w14:paraId="6FFDA5FB" w14:textId="27941848" w:rsidR="00F325B5" w:rsidRDefault="00F325B5" w:rsidP="00F325B5">
            <w:pPr>
              <w:pStyle w:val="CETCaption"/>
            </w:pPr>
            <w:r w:rsidRPr="00826C46">
              <w:t>Figure 3</w:t>
            </w:r>
            <w:r>
              <w:t>:</w:t>
            </w:r>
            <w:r w:rsidRPr="00826C46">
              <w:t xml:space="preserve"> Collection of benthic residues (Macrocystis pyrifera)</w:t>
            </w:r>
          </w:p>
        </w:tc>
      </w:tr>
    </w:tbl>
    <w:p w14:paraId="4B822AE0" w14:textId="233881D9" w:rsidR="00703CB7" w:rsidRPr="00826C46" w:rsidRDefault="00703CB7" w:rsidP="006126C9">
      <w:pPr>
        <w:pStyle w:val="CETBodytext"/>
      </w:pPr>
    </w:p>
    <w:p w14:paraId="5E67DEC6" w14:textId="7CAA1D38" w:rsidR="00D2628D" w:rsidRPr="00826C46" w:rsidRDefault="00F60867" w:rsidP="00D2628D">
      <w:pPr>
        <w:pStyle w:val="CETheadingx"/>
      </w:pPr>
      <w:r w:rsidRPr="00826C46">
        <w:t>Collection of the algae sample Macrocystis pyrifera</w:t>
      </w:r>
    </w:p>
    <w:p w14:paraId="51DA3E5A" w14:textId="5EE5792C" w:rsidR="00D2628D" w:rsidRPr="00826C46" w:rsidRDefault="00F60867" w:rsidP="00D2628D">
      <w:pPr>
        <w:pStyle w:val="CETBodytext"/>
      </w:pPr>
      <w:r w:rsidRPr="00826C46">
        <w:t xml:space="preserve">The algae were collected with the support of fishermen from the "El Arca de Noe" Sea Farmers Association at the "7 </w:t>
      </w:r>
      <w:r w:rsidR="0075128F">
        <w:t>H</w:t>
      </w:r>
      <w:r w:rsidRPr="00826C46">
        <w:t>uecos" beach in Marcona, at UTM coordinates: 15°24'29.32" S-75°0712.46" W, where benthic upwelling occurs near the shore and is washed ashore by the waves and tide. See Figure 3.</w:t>
      </w:r>
    </w:p>
    <w:p w14:paraId="46B4FB04" w14:textId="19014A8B" w:rsidR="00F60867" w:rsidRPr="00826C46" w:rsidRDefault="00F60867" w:rsidP="00D2628D">
      <w:pPr>
        <w:pStyle w:val="CETBodytext"/>
      </w:pPr>
    </w:p>
    <w:p w14:paraId="0C7A8D15" w14:textId="36E1192C" w:rsidR="006126C9" w:rsidRPr="00826C46" w:rsidRDefault="007F5EFA" w:rsidP="006126C9">
      <w:pPr>
        <w:pStyle w:val="CETBodytext"/>
      </w:pPr>
      <w:r>
        <w:t xml:space="preserve">                                                                                                                                     </w:t>
      </w:r>
    </w:p>
    <w:p w14:paraId="7172674E" w14:textId="77777777" w:rsidR="002A4B7C" w:rsidRPr="00826C46" w:rsidRDefault="002A4B7C" w:rsidP="00D2628D">
      <w:pPr>
        <w:pStyle w:val="CETBodytext"/>
        <w:rPr>
          <w:b/>
          <w:bCs/>
          <w:i/>
          <w:iCs/>
        </w:rPr>
      </w:pPr>
      <w:r w:rsidRPr="00826C46">
        <w:rPr>
          <w:b/>
          <w:bCs/>
          <w:i/>
          <w:iCs/>
        </w:rPr>
        <w:lastRenderedPageBreak/>
        <w:t>Characteristics of Macrocystis pyrifera algae:</w:t>
      </w:r>
    </w:p>
    <w:p w14:paraId="147E3967" w14:textId="6377803C" w:rsidR="00D2628D" w:rsidRPr="00826C46" w:rsidRDefault="002A4B7C" w:rsidP="00BE200F">
      <w:pPr>
        <w:pStyle w:val="CETBodytext"/>
      </w:pPr>
      <w:r w:rsidRPr="00826C46">
        <w:t xml:space="preserve">This algae species is a benthic organism considered the largest in the world, it can grow up to 30 meters (Peña and Salgado, 2016), its growth in 21 days is up to 50cm </w:t>
      </w:r>
      <w:r w:rsidR="00D2628D" w:rsidRPr="00826C46">
        <w:t xml:space="preserve"> </w:t>
      </w:r>
      <w:r w:rsidR="00D2628D" w:rsidRPr="00826C46">
        <w:fldChar w:fldCharType="begin"/>
      </w:r>
      <w:r w:rsidR="00D2628D" w:rsidRPr="00826C46">
        <w:instrText xml:space="preserve"> ADDIN ZOTERO_ITEM CSL_CITATION {"citationID":"bsbD2vFs","properties":{"formattedCitation":"(Barsanti and Gualtieri, 2014)","plainCitation":"(Barsanti and Gualtieri, 2014)","noteIndex":0},"citationItems":[{"id":260,"uris":["http://zotero.org/users/7860875/items/ZEW5GQUI"],"uri":["http://zotero.org/users/7860875/items/ZEW5GQUI"],"itemData":{"id":260,"type":"book","abstract":"Algae, Anatomy, Biochemistry, and Biotechnology (2nd Edition) By Laura Barsanti, Paolo Gualtieri; Includes bibliographical references and index; Online resource; title from e-book title screen (CRCBase platform, viewed March 4, 2015); Chapter 1. General overview -- chapter 2. Anatomy -- chapter 3. Photosynthesis -- chapter 4. Working with light -- chapter 5. Biogeochemical role of algae -- chapter 6. Algal culturing -- chapter 7. Algae utilization -- chapter 8. Oddities and curiosities in the algal world; A single-source reference on the biology of algae, Algae: Anatomy, Biochemistry, and Biotechnology, Second Edition examines the most important taxa and structures for freshwater, marine, and terrestrial forms of algae. Its comprehensive coverage goes from algae's historical role through its taxonomy and ecology to its natural product possibilities. The authors have gathered a significant amount of new material since the publication of the first edition. This completely revised second edition contains many changes and additions including the following:All rev","ISBN":"978-1-4398-6733-4","language":"eng","source":"Internet Archive","title":"Algae : anatomy, biochemistry, and biotechnology","title-short":"Algae","URL":"http://archive.org/details/Algae_Anatomy_Biochemistry_and_Biotechnology_2nd_Edition_By_Laura_Barsanti_Paolo","author":[{"family":"Barsanti","given":"L."},{"family":"Gualtieri","given":"Paolo"}],"accessed":{"date-parts":[["2022",1,3]]},"issued":{"date-parts":[["2014"]]}}}],"schema":"https://github.com/citation-style-language/schema/raw/master/csl-citation.json"} </w:instrText>
      </w:r>
      <w:r w:rsidR="00D2628D" w:rsidRPr="00826C46">
        <w:fldChar w:fldCharType="separate"/>
      </w:r>
      <w:r w:rsidR="000B3830" w:rsidRPr="00826C46">
        <w:rPr>
          <w:rFonts w:cs="Arial"/>
        </w:rPr>
        <w:t>(Barsanti and Gualtieri, 2014)</w:t>
      </w:r>
      <w:r w:rsidR="00D2628D" w:rsidRPr="00826C46">
        <w:fldChar w:fldCharType="end"/>
      </w:r>
      <w:r w:rsidR="00D2628D" w:rsidRPr="00826C46">
        <w:t xml:space="preserve">. </w:t>
      </w:r>
      <w:r w:rsidR="00BE200F" w:rsidRPr="00826C46">
        <w:t xml:space="preserve">The alga </w:t>
      </w:r>
      <w:r w:rsidR="00BE200F" w:rsidRPr="00C86C96">
        <w:rPr>
          <w:i/>
          <w:iCs/>
        </w:rPr>
        <w:t>Marocystis pyrifera</w:t>
      </w:r>
      <w:r w:rsidR="00BE200F" w:rsidRPr="00826C46">
        <w:t xml:space="preserve"> has taxonomic classification in the division of Phaeophyta, classified by </w:t>
      </w:r>
      <w:r w:rsidR="00BE200F" w:rsidRPr="00301CB7">
        <w:rPr>
          <w:i/>
          <w:iCs/>
        </w:rPr>
        <w:t>Phaeophyceae (Phaeophyceae</w:t>
      </w:r>
      <w:r w:rsidR="00BE200F" w:rsidRPr="00826C46">
        <w:t xml:space="preserve">), order Laminariales, family </w:t>
      </w:r>
      <w:r w:rsidR="00BE200F" w:rsidRPr="00301CB7">
        <w:rPr>
          <w:i/>
          <w:iCs/>
        </w:rPr>
        <w:t>Lessoniaceae</w:t>
      </w:r>
      <w:r w:rsidR="00BE200F" w:rsidRPr="00826C46">
        <w:t xml:space="preserve"> and genus </w:t>
      </w:r>
      <w:r w:rsidR="00BE200F" w:rsidRPr="00301CB7">
        <w:rPr>
          <w:i/>
          <w:iCs/>
        </w:rPr>
        <w:t>Macrocystis</w:t>
      </w:r>
      <w:r w:rsidR="00D2628D" w:rsidRPr="00826C46">
        <w:t xml:space="preserve"> </w:t>
      </w:r>
      <w:r w:rsidR="00D2628D" w:rsidRPr="00826C46">
        <w:fldChar w:fldCharType="begin"/>
      </w:r>
      <w:r w:rsidR="00D2628D" w:rsidRPr="00826C46">
        <w:instrText xml:space="preserve"> ADDIN ZOTERO_ITEM CSL_CITATION {"citationID":"nIuB26va","properties":{"formattedCitation":"(Salavarr\\uc0\\u237{}a, 2014)","plainCitation":"(Salavarría, 2014)","noteIndex":0},"citationItems":[{"id":262,"uris":["http://zotero.org/users/7860875/items/PK97E9PX"],"uri":["http://zotero.org/users/7860875/items/PK97E9PX"],"itemData":{"id":262,"type":"thesis","event-place":"Lima","number-of-pages":"118","publisher":"Universidad Nacional Agraria La Molina","publisher-place":"Lima","source":"Repositorio UNALM","title":"Análisis de la variabilidad genética de MAcrocystis spp (Laminariales) en la costa centro sur del Perú, empleando marcadores mitocondriales","URL":"http://repositorio.lamolina.edu.pe/bitstream/handle/20.500.12996/1914/F30-S3439-T.pdf?sequence=5","author":[{"family":"Salavarría","given":"Erika"}],"issued":{"date-parts":[["2014"]]}}}],"schema":"https://github.com/citation-style-language/schema/raw/master/csl-citation.json"} </w:instrText>
      </w:r>
      <w:r w:rsidR="00D2628D" w:rsidRPr="00826C46">
        <w:fldChar w:fldCharType="separate"/>
      </w:r>
      <w:r w:rsidR="000B3830" w:rsidRPr="00826C46">
        <w:rPr>
          <w:rFonts w:cs="Arial"/>
          <w:szCs w:val="24"/>
        </w:rPr>
        <w:t>(Salavarría, 2014)</w:t>
      </w:r>
      <w:r w:rsidR="00D2628D" w:rsidRPr="00826C46">
        <w:fldChar w:fldCharType="end"/>
      </w:r>
      <w:r w:rsidR="00D2628D" w:rsidRPr="00826C46">
        <w:t xml:space="preserve">. </w:t>
      </w:r>
      <w:r w:rsidR="00BE200F" w:rsidRPr="00826C46">
        <w:t>This macroalgae has a greenish brown or brownish yellow color, due to the large amount of xanthophylls, including fucoxanthin and flavoxanthin</w:t>
      </w:r>
      <w:r w:rsidR="00653B50" w:rsidRPr="00826C46">
        <w:t xml:space="preserve"> </w:t>
      </w:r>
      <w:r w:rsidR="00D2628D" w:rsidRPr="00826C46">
        <w:fldChar w:fldCharType="begin"/>
      </w:r>
      <w:r w:rsidR="00D2628D" w:rsidRPr="00826C46">
        <w:instrText xml:space="preserve"> ADDIN ZOTERO_ITEM CSL_CITATION {"citationID":"Fj8iJENl","properties":{"formattedCitation":"(Ortiz, 2011)","plainCitation":"(Ortiz, 2011)","noteIndex":0},"citationItems":[{"id":263,"uris":["http://zotero.org/users/7860875/items/KU2V3KD9"],"uri":["http://zotero.org/users/7860875/items/KU2V3KD9"],"itemData":{"id":263,"type":"article-journal","abstract":"Repositorio académico de la Universidad de Chile. Tesis, artículos y libros publicados en formato digital con distintos niveles de acceso","journalAbbreviation":"Universidad de Chile, Laboratorio de Química y Análisis de Alimentos, Departamento de Ciencia de los Alimentos y Tecnología Química","language":"es","note":"Accepted: 2011-09-26T13:59:43Z\npublisher: Universidad de Chile, Facultad de Ciencias Químicas y Farmacéuticas, Departamento de Ciencia de los Alimentos y Tecnología Química. Laboratorio de Química y Análisis de Alimentos.","page":"35","source":"repositorio.uchile.cl","title":"Composición nutricional y funcional de algas pardas chilenas : Macrocystis pyrifira y Durvillaea antartica","title-short":"Composición nutricional y funcional de algas pardas chilenas","volume":"1","author":[{"family":"Ortiz","given":"Jaime"}],"issued":{"date-parts":[["2011"]]}}}],"schema":"https://github.com/citation-style-language/schema/raw/master/csl-citation.json"} </w:instrText>
      </w:r>
      <w:r w:rsidR="00D2628D" w:rsidRPr="00826C46">
        <w:fldChar w:fldCharType="separate"/>
      </w:r>
      <w:r w:rsidR="000B3830" w:rsidRPr="00826C46">
        <w:rPr>
          <w:rFonts w:cs="Arial"/>
        </w:rPr>
        <w:t>(Ortiz, 2011)</w:t>
      </w:r>
      <w:r w:rsidR="00D2628D" w:rsidRPr="00826C46">
        <w:fldChar w:fldCharType="end"/>
      </w:r>
      <w:r w:rsidR="00D2628D" w:rsidRPr="00826C46">
        <w:t xml:space="preserve"> </w:t>
      </w:r>
      <w:r w:rsidR="00BE200F" w:rsidRPr="00826C46">
        <w:t xml:space="preserve">which is why it is commonly called brown algae. Its growth begins in the rocky substrate in which it is strongly fixed </w:t>
      </w:r>
      <w:r w:rsidR="00D2628D" w:rsidRPr="00826C46">
        <w:fldChar w:fldCharType="begin"/>
      </w:r>
      <w:r w:rsidR="00D2628D" w:rsidRPr="00826C46">
        <w:instrText xml:space="preserve"> ADDIN ZOTERO_ITEM CSL_CITATION {"citationID":"z0PIiJuW","properties":{"formattedCitation":"(Salavarr\\uc0\\u237{}a, 2014)","plainCitation":"(Salavarría, 2014)","noteIndex":0},"citationItems":[{"id":262,"uris":["http://zotero.org/users/7860875/items/PK97E9PX"],"uri":["http://zotero.org/users/7860875/items/PK97E9PX"],"itemData":{"id":262,"type":"thesis","event-place":"Lima","number-of-pages":"118","publisher":"Universidad Nacional Agraria La Molina","publisher-place":"Lima","source":"Repositorio UNALM","title":"Análisis de la variabilidad genética de MAcrocystis spp (Laminariales) en la costa centro sur del Perú, empleando marcadores mitocondriales","URL":"http://repositorio.lamolina.edu.pe/bitstream/handle/20.500.12996/1914/F30-S3439-T.pdf?sequence=5","author":[{"family":"Salavarría","given":"Erika"}],"issued":{"date-parts":[["2014"]]}}}],"schema":"https://github.com/citation-style-language/schema/raw/master/csl-citation.json"} </w:instrText>
      </w:r>
      <w:r w:rsidR="00D2628D" w:rsidRPr="00826C46">
        <w:fldChar w:fldCharType="separate"/>
      </w:r>
      <w:r w:rsidR="000B3830" w:rsidRPr="00826C46">
        <w:rPr>
          <w:rFonts w:cs="Arial"/>
          <w:szCs w:val="24"/>
        </w:rPr>
        <w:t>(Salavarría, 2014)</w:t>
      </w:r>
      <w:r w:rsidR="00D2628D" w:rsidRPr="00826C46">
        <w:fldChar w:fldCharType="end"/>
      </w:r>
      <w:r w:rsidR="00D2628D" w:rsidRPr="00826C46">
        <w:t xml:space="preserve"> </w:t>
      </w:r>
      <w:r w:rsidR="00BE200F" w:rsidRPr="00826C46">
        <w:t xml:space="preserve">and at a depth of approximately 25 meters from the intertidal; it serves as a substrate for the habitats of mollusks, fish, and other marine fauna, it is found throughout the North Pacific, from Alaska to Mexico, the coast of South America from Peru to Argentina, and in isolated regions such as South Africa, Australia and New Zealand and in sub-Antarctic islands </w:t>
      </w:r>
      <w:r w:rsidR="00D2628D" w:rsidRPr="00826C46">
        <w:fldChar w:fldCharType="begin"/>
      </w:r>
      <w:r w:rsidR="00D2628D" w:rsidRPr="00826C46">
        <w:instrText xml:space="preserve"> ADDIN ZOTERO_ITEM CSL_CITATION {"citationID":"RutUNk7T","properties":{"formattedCitation":"(Pe\\uc0\\u241{}a and Mar\\uc0\\u237{}n, 2016)","plainCitation":"(Peña and Marín, 2016)","noteIndex":0},"citationItems":[{"id":266,"uris":["http://zotero.org/users/7860875/items/6SJA7D3K"],"uri":["http://zotero.org/users/7860875/items/6SJA7D3K"],"itemData":{"id":266,"type":"book","call-number":"579.88","collection-number":"ISBN: 9789587652833","collection-title":"Coleccion ciencias naturales y exactas","event-place":"Cali (Colombia)","ISBN":"978-958-765-283-3","number-of-pages":"165","publisher":"Universidad del Valle","publisher-place":"Cali (Colombia)","source":"Library Catalog (Koha)","title":"Ficología aplicada: características, usos y cultivo de algas marinas","title-short":"Ficología aplicada","author":[{"family":"Peña","given":"Javier Enrique"},{"family":"Marín","given":"Hernel"}],"issued":{"date-parts":[["2016"]]}}}],"schema":"https://github.com/citation-style-language/schema/raw/master/csl-citation.json"} </w:instrText>
      </w:r>
      <w:r w:rsidR="00D2628D" w:rsidRPr="00826C46">
        <w:fldChar w:fldCharType="separate"/>
      </w:r>
      <w:r w:rsidR="000B3830" w:rsidRPr="00826C46">
        <w:rPr>
          <w:rFonts w:cs="Arial"/>
          <w:szCs w:val="24"/>
        </w:rPr>
        <w:t>(Peña and Marín, 2016)</w:t>
      </w:r>
      <w:r w:rsidR="00D2628D" w:rsidRPr="00826C46">
        <w:fldChar w:fldCharType="end"/>
      </w:r>
    </w:p>
    <w:p w14:paraId="29768EFB" w14:textId="4B0C6D9E" w:rsidR="00D2628D" w:rsidRPr="00826C46" w:rsidRDefault="009163FE" w:rsidP="00D2628D">
      <w:pPr>
        <w:pStyle w:val="CETheadingx"/>
      </w:pPr>
      <w:r w:rsidRPr="00826C46">
        <w:t>Cellular destruction</w:t>
      </w:r>
    </w:p>
    <w:p w14:paraId="281E3225" w14:textId="27D392EB" w:rsidR="00D2628D" w:rsidRPr="00826C46" w:rsidRDefault="009163FE" w:rsidP="00D2628D">
      <w:pPr>
        <w:pStyle w:val="CETBodytext"/>
      </w:pPr>
      <w:r w:rsidRPr="00826C46">
        <w:t>At this stage, cell disruption was carried out by three methods as shown in Figure 4: autoclaving, microwave and solar dehydration.</w:t>
      </w:r>
    </w:p>
    <w:p w14:paraId="7AB80028" w14:textId="77777777" w:rsidR="009163FE" w:rsidRPr="00826C46" w:rsidRDefault="009163FE" w:rsidP="00D2628D">
      <w:pPr>
        <w:pStyle w:val="CETBodytext"/>
      </w:pPr>
    </w:p>
    <w:p w14:paraId="1A65B0FC" w14:textId="184D7A1E" w:rsidR="006F44F8" w:rsidRPr="00826C46" w:rsidRDefault="003B3E1D" w:rsidP="006F44F8">
      <w:pPr>
        <w:pStyle w:val="CETBodytext"/>
      </w:pPr>
      <w:r>
        <w:rPr>
          <w:noProof/>
        </w:rPr>
        <w:drawing>
          <wp:inline distT="0" distB="0" distL="0" distR="0" wp14:anchorId="6F527DDA" wp14:editId="22B1B60B">
            <wp:extent cx="4521626" cy="1825870"/>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98348" cy="1856851"/>
                    </a:xfrm>
                    <a:prstGeom prst="rect">
                      <a:avLst/>
                    </a:prstGeom>
                  </pic:spPr>
                </pic:pic>
              </a:graphicData>
            </a:graphic>
          </wp:inline>
        </w:drawing>
      </w:r>
    </w:p>
    <w:p w14:paraId="7E13A957" w14:textId="281E819A" w:rsidR="00D2628D" w:rsidRPr="00826C46" w:rsidRDefault="009163FE" w:rsidP="00301CB7">
      <w:pPr>
        <w:pStyle w:val="CETCaption"/>
      </w:pPr>
      <w:r w:rsidRPr="00826C46">
        <w:t>Figure 4</w:t>
      </w:r>
      <w:r w:rsidR="004379F8">
        <w:t>:</w:t>
      </w:r>
      <w:r w:rsidRPr="00826C46">
        <w:t xml:space="preserve"> Cellular destruction</w:t>
      </w:r>
    </w:p>
    <w:p w14:paraId="4B63F491" w14:textId="77777777" w:rsidR="00D2628D" w:rsidRPr="00092AC8" w:rsidRDefault="00D2628D" w:rsidP="00D2628D">
      <w:pPr>
        <w:pStyle w:val="CETheadingx"/>
      </w:pPr>
      <w:r w:rsidRPr="00092AC8">
        <w:t>Extracción de aceites con solvente por Soxhlet</w:t>
      </w:r>
    </w:p>
    <w:p w14:paraId="2288E325" w14:textId="1D926C3B" w:rsidR="00D2628D" w:rsidRPr="00826C46" w:rsidRDefault="004476ED" w:rsidP="00D2628D">
      <w:pPr>
        <w:pStyle w:val="CETBodytext"/>
      </w:pPr>
      <w:r w:rsidRPr="00826C46">
        <w:t>The crushed samples were subjected to fatty acid extraction, using the solvent benzine in a soxhlet apparatus, at 190°C in a time of 14 hours with 10 solvent cycles for each sample. Then the extract was taken to the solvent evaporation process at a temperature of 37°C in 3 hours. The final extract was cooled and weighed corresponding to the oil obtained from the algae. To calculate the percentage of acids and fats extracted, Eq (1) was used.</w:t>
      </w:r>
    </w:p>
    <w:tbl>
      <w:tblPr>
        <w:tblW w:w="5000" w:type="pct"/>
        <w:tblLook w:val="04A0" w:firstRow="1" w:lastRow="0" w:firstColumn="1" w:lastColumn="0" w:noHBand="0" w:noVBand="1"/>
      </w:tblPr>
      <w:tblGrid>
        <w:gridCol w:w="7984"/>
        <w:gridCol w:w="803"/>
      </w:tblGrid>
      <w:tr w:rsidR="004C2383" w:rsidRPr="00B57B36" w14:paraId="430DE2CA" w14:textId="77777777" w:rsidTr="002772E6">
        <w:tc>
          <w:tcPr>
            <w:tcW w:w="7984" w:type="dxa"/>
            <w:shd w:val="clear" w:color="auto" w:fill="auto"/>
            <w:vAlign w:val="center"/>
          </w:tcPr>
          <w:p w14:paraId="3F89C3FF" w14:textId="44D8758C" w:rsidR="004C2383" w:rsidRPr="00826C46" w:rsidRDefault="004C2383" w:rsidP="004C2383">
            <w:pPr>
              <w:pStyle w:val="CETBodytext"/>
            </w:pPr>
            <w:r w:rsidRPr="00826C46">
              <w:t xml:space="preserve">              </w:t>
            </w:r>
            <w:r>
              <w:rPr>
                <w:rFonts w:ascii="Cambria Math" w:eastAsia="Calibri" w:hAnsi="Cambria Math"/>
                <w:i/>
                <w:szCs w:val="18"/>
              </w:rPr>
              <w:br/>
            </w:r>
            <m:oMath>
              <m:r>
                <w:rPr>
                  <w:rFonts w:ascii="Cambria Math" w:eastAsia="Calibri" w:hAnsi="Cambria Math"/>
                  <w:szCs w:val="18"/>
                </w:rPr>
                <m:t xml:space="preserve"> </m:t>
              </m:r>
              <m:r>
                <w:rPr>
                  <w:rFonts w:ascii="Cambria Math" w:hAnsi="Cambria Math" w:cs="Cambria Math"/>
                </w:rPr>
                <m:t>% Acid and Fats</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mass of the oil obtained</m:t>
                  </m:r>
                </m:num>
                <m:den>
                  <m:r>
                    <m:rPr>
                      <m:sty m:val="p"/>
                    </m:rPr>
                    <w:rPr>
                      <w:rFonts w:ascii="Cambria Math" w:hAnsi="Cambria Math" w:cs="Cambria Math"/>
                    </w:rPr>
                    <m:t>mass of the wet sample</m:t>
                  </m:r>
                </m:den>
              </m:f>
              <m:r>
                <w:rPr>
                  <w:rFonts w:ascii="Cambria Math" w:hAnsi="Cambria Math"/>
                </w:rPr>
                <m:t>*100</m:t>
              </m:r>
            </m:oMath>
            <w:r w:rsidRPr="00826C46">
              <w:t xml:space="preserve">  </w:t>
            </w:r>
          </w:p>
          <w:p w14:paraId="39831DC1" w14:textId="2330F56A" w:rsidR="004C2383" w:rsidRPr="004C2383" w:rsidRDefault="004C2383" w:rsidP="002772E6">
            <w:pPr>
              <w:pStyle w:val="CETBodytext"/>
              <w:rPr>
                <w:rFonts w:ascii="Times New Roman" w:eastAsia="Calibri" w:hAnsi="Times New Roman"/>
                <w:sz w:val="24"/>
                <w:szCs w:val="24"/>
              </w:rPr>
            </w:pPr>
          </w:p>
        </w:tc>
        <w:tc>
          <w:tcPr>
            <w:tcW w:w="803" w:type="dxa"/>
            <w:shd w:val="clear" w:color="auto" w:fill="auto"/>
            <w:vAlign w:val="center"/>
          </w:tcPr>
          <w:p w14:paraId="761948E1" w14:textId="6253E5D0" w:rsidR="004C2383" w:rsidRPr="00B57B36" w:rsidRDefault="004C2383" w:rsidP="002772E6">
            <w:pPr>
              <w:pStyle w:val="CETEquation"/>
              <w:jc w:val="right"/>
            </w:pPr>
            <w:r w:rsidRPr="00B57B36">
              <w:t>(</w:t>
            </w:r>
            <w:r>
              <w:t>1</w:t>
            </w:r>
            <w:r w:rsidRPr="00B57B36">
              <w:t>)</w:t>
            </w:r>
          </w:p>
        </w:tc>
      </w:tr>
    </w:tbl>
    <w:p w14:paraId="154ED872" w14:textId="77777777" w:rsidR="004476ED" w:rsidRPr="00826C46" w:rsidRDefault="004476ED" w:rsidP="00D2628D">
      <w:pPr>
        <w:pStyle w:val="CETBodytext"/>
      </w:pPr>
    </w:p>
    <w:p w14:paraId="54E7C7CA" w14:textId="29132000" w:rsidR="00D2628D" w:rsidRPr="00826C46" w:rsidRDefault="004476ED" w:rsidP="00D2628D">
      <w:pPr>
        <w:pStyle w:val="CETBodytext"/>
      </w:pPr>
      <w:r w:rsidRPr="00826C46">
        <w:t>It was determined that algae subjected to sun dehydration allowed obtaining more oil from the algae.</w:t>
      </w:r>
    </w:p>
    <w:p w14:paraId="5F57C294" w14:textId="1C5AB8EB" w:rsidR="00D2628D" w:rsidRPr="00826C46" w:rsidRDefault="004476ED" w:rsidP="00D2628D">
      <w:pPr>
        <w:pStyle w:val="CETheadingx"/>
      </w:pPr>
      <w:r w:rsidRPr="00826C46">
        <w:t>Transesterification of algal oil</w:t>
      </w:r>
    </w:p>
    <w:p w14:paraId="44D0916A" w14:textId="5A669A30" w:rsidR="00D2628D" w:rsidRPr="00826C46" w:rsidRDefault="003C4643" w:rsidP="00D2628D">
      <w:pPr>
        <w:pStyle w:val="CETBodytext"/>
      </w:pPr>
      <w:r w:rsidRPr="00826C46">
        <w:t>For this process, 0.8463 g of sodium hydroxide was used as catalyst and 50 mL of 99.99% methanol for the transesterification of the algae oil, then the separation is performed to finally obtain the biofuel product. See figure 5</w:t>
      </w:r>
      <w:r w:rsidR="00C30A68">
        <w:t>.</w:t>
      </w:r>
    </w:p>
    <w:p w14:paraId="27515AB0" w14:textId="77777777" w:rsidR="00C30A68" w:rsidRPr="00826C46" w:rsidRDefault="00C30A68" w:rsidP="00C30A68">
      <w:pPr>
        <w:pStyle w:val="CETheadingx"/>
      </w:pPr>
      <w:r w:rsidRPr="00826C46">
        <w:t>Biofuel properties calculation</w:t>
      </w:r>
    </w:p>
    <w:p w14:paraId="7710CBC7" w14:textId="77777777" w:rsidR="00C30A68" w:rsidRPr="00826C46" w:rsidRDefault="00C30A68" w:rsidP="00C30A68">
      <w:pPr>
        <w:pStyle w:val="CETBodytext"/>
      </w:pPr>
      <w:r w:rsidRPr="00826C46">
        <w:t>The following were determined for the biofuel obtained: acidity, carbon residue, ash, density, kinematic viscosity and calorific value.</w:t>
      </w:r>
    </w:p>
    <w:p w14:paraId="3226CE5F" w14:textId="77777777" w:rsidR="00973860" w:rsidRPr="00826C46" w:rsidRDefault="00973860" w:rsidP="00D2628D">
      <w:pPr>
        <w:pStyle w:val="CETBodytext"/>
      </w:pPr>
    </w:p>
    <w:p w14:paraId="31DDA14D" w14:textId="0B67E678" w:rsidR="00D2628D" w:rsidRPr="00826C46" w:rsidRDefault="00907F23" w:rsidP="00D2628D">
      <w:pPr>
        <w:pStyle w:val="CETBodytext"/>
      </w:pPr>
      <w:r>
        <w:rPr>
          <w:noProof/>
        </w:rPr>
        <w:lastRenderedPageBreak/>
        <w:drawing>
          <wp:inline distT="0" distB="0" distL="0" distR="0" wp14:anchorId="2C0148D6" wp14:editId="0F3CF1F8">
            <wp:extent cx="5162550" cy="2050796"/>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2953" cy="2118488"/>
                    </a:xfrm>
                    <a:prstGeom prst="rect">
                      <a:avLst/>
                    </a:prstGeom>
                  </pic:spPr>
                </pic:pic>
              </a:graphicData>
            </a:graphic>
          </wp:inline>
        </w:drawing>
      </w:r>
    </w:p>
    <w:p w14:paraId="1E81D3C7" w14:textId="355EA8C5" w:rsidR="00D2628D" w:rsidRPr="00826C46" w:rsidRDefault="00973860" w:rsidP="006F44F8">
      <w:pPr>
        <w:pStyle w:val="CETCaption"/>
        <w:rPr>
          <w:lang w:val="en-US"/>
        </w:rPr>
      </w:pPr>
      <w:r w:rsidRPr="00826C46">
        <w:rPr>
          <w:lang w:val="en-US"/>
        </w:rPr>
        <w:t>Figure 5</w:t>
      </w:r>
      <w:r w:rsidR="004379F8">
        <w:rPr>
          <w:lang w:val="en-US"/>
        </w:rPr>
        <w:t>:</w:t>
      </w:r>
      <w:r w:rsidRPr="00826C46">
        <w:rPr>
          <w:lang w:val="en-US"/>
        </w:rPr>
        <w:t xml:space="preserve"> Transesterification process of Macrocystis pyrifera algae oil.</w:t>
      </w:r>
    </w:p>
    <w:p w14:paraId="15D9394E" w14:textId="72EDA3BF" w:rsidR="00D2628D" w:rsidRPr="00826C46" w:rsidRDefault="00973860" w:rsidP="00D2628D">
      <w:pPr>
        <w:pStyle w:val="CETHeading1"/>
      </w:pPr>
      <w:r w:rsidRPr="00826C46">
        <w:t>Results</w:t>
      </w:r>
    </w:p>
    <w:p w14:paraId="49781E6E" w14:textId="473C542B" w:rsidR="00D2628D" w:rsidRPr="00826C46" w:rsidRDefault="00973860" w:rsidP="00D2628D">
      <w:pPr>
        <w:pStyle w:val="CETheadingx"/>
      </w:pPr>
      <w:r w:rsidRPr="00826C46">
        <w:t>Operating conditions in the process</w:t>
      </w:r>
    </w:p>
    <w:p w14:paraId="20344B8A" w14:textId="503055C2" w:rsidR="00D2628D" w:rsidRPr="00826C46" w:rsidRDefault="00973860" w:rsidP="00D2628D">
      <w:pPr>
        <w:pStyle w:val="CETBodytext"/>
      </w:pPr>
      <w:r w:rsidRPr="00826C46">
        <w:t xml:space="preserve">The operating conditions for the production of biofuel from benthic marine flora, specifically from </w:t>
      </w:r>
      <w:r w:rsidRPr="00301CB7">
        <w:rPr>
          <w:i/>
          <w:iCs/>
        </w:rPr>
        <w:t xml:space="preserve">Macrocystis pyrifera </w:t>
      </w:r>
      <w:r w:rsidRPr="00826C46">
        <w:t>algae, in the cell destruction stage, according to the methods presented in Table 1</w:t>
      </w:r>
      <w:r w:rsidR="00A047FC" w:rsidRPr="00826C46">
        <w:t>.</w:t>
      </w:r>
    </w:p>
    <w:p w14:paraId="18DA0BA7" w14:textId="18A6C06A" w:rsidR="00523889" w:rsidRPr="00826C46" w:rsidRDefault="00696827" w:rsidP="00523889">
      <w:pPr>
        <w:pStyle w:val="CETheadingx"/>
      </w:pPr>
      <w:r w:rsidRPr="00826C46">
        <w:t>Soxhlet Extracted Oil Content</w:t>
      </w:r>
    </w:p>
    <w:p w14:paraId="7FFDBB3D" w14:textId="68068B4B" w:rsidR="00523889" w:rsidRPr="00826C46" w:rsidRDefault="00696827" w:rsidP="00523889">
      <w:pPr>
        <w:pStyle w:val="CETBodytext"/>
      </w:pPr>
      <w:r w:rsidRPr="00826C46">
        <w:t>Table 2 shows the oil content obtained taking into account the solar destruction treatment. It is determined that the best result is obtained in the case of solar dehydration</w:t>
      </w:r>
      <w:r w:rsidR="00523889" w:rsidRPr="00826C46">
        <w:t>.</w:t>
      </w:r>
    </w:p>
    <w:p w14:paraId="5BB795BE" w14:textId="2CF87D9B" w:rsidR="00523889" w:rsidRPr="00826C46" w:rsidRDefault="00523889" w:rsidP="00D2628D">
      <w:pPr>
        <w:pStyle w:val="CETBodytext"/>
      </w:pPr>
    </w:p>
    <w:tbl>
      <w:tblPr>
        <w:tblStyle w:val="Tablaconcuadrcula"/>
        <w:tblW w:w="8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7"/>
        <w:gridCol w:w="4882"/>
      </w:tblGrid>
      <w:tr w:rsidR="00523889" w:rsidRPr="00826C46" w14:paraId="14D723CA" w14:textId="77777777" w:rsidTr="00A047FC">
        <w:trPr>
          <w:trHeight w:val="211"/>
        </w:trPr>
        <w:tc>
          <w:tcPr>
            <w:tcW w:w="4017" w:type="dxa"/>
          </w:tcPr>
          <w:p w14:paraId="5581E28A" w14:textId="23142BA0" w:rsidR="00DC639D" w:rsidRPr="00826C46" w:rsidRDefault="00696827" w:rsidP="00DC639D">
            <w:pPr>
              <w:pStyle w:val="CETTabletitle"/>
              <w:rPr>
                <w:lang w:val="en-US"/>
              </w:rPr>
            </w:pPr>
            <w:r w:rsidRPr="00826C46">
              <w:rPr>
                <w:lang w:val="en-US"/>
              </w:rPr>
              <w:t>Table 1</w:t>
            </w:r>
            <w:r w:rsidR="00A9500F">
              <w:rPr>
                <w:lang w:val="en-US"/>
              </w:rPr>
              <w:t>:</w:t>
            </w:r>
            <w:r w:rsidRPr="00826C46">
              <w:rPr>
                <w:lang w:val="en-US"/>
              </w:rPr>
              <w:t xml:space="preserve"> Operating conditions in the cell destruction stage.</w:t>
            </w:r>
          </w:p>
        </w:tc>
        <w:tc>
          <w:tcPr>
            <w:tcW w:w="4882" w:type="dxa"/>
          </w:tcPr>
          <w:p w14:paraId="72DC9F46" w14:textId="290A1E36" w:rsidR="00523889" w:rsidRPr="00826C46" w:rsidRDefault="000256CC" w:rsidP="00DC639D">
            <w:pPr>
              <w:pStyle w:val="CETTabletitle"/>
              <w:rPr>
                <w:lang w:val="en-US"/>
              </w:rPr>
            </w:pPr>
            <w:r>
              <w:rPr>
                <w:lang w:val="en-US"/>
              </w:rPr>
              <w:t xml:space="preserve">        </w:t>
            </w:r>
            <w:r w:rsidR="00696827" w:rsidRPr="00826C46">
              <w:rPr>
                <w:lang w:val="en-US"/>
              </w:rPr>
              <w:t>Table 2: Soxhlet extracted oil result</w:t>
            </w:r>
          </w:p>
        </w:tc>
      </w:tr>
      <w:tr w:rsidR="00523889" w:rsidRPr="00826C46" w14:paraId="2D2E447B" w14:textId="77777777" w:rsidTr="001338C2">
        <w:trPr>
          <w:trHeight w:val="1845"/>
        </w:trPr>
        <w:tc>
          <w:tcPr>
            <w:tcW w:w="4017" w:type="dxa"/>
          </w:tcPr>
          <w:tbl>
            <w:tblPr>
              <w:tblW w:w="393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45"/>
              <w:gridCol w:w="955"/>
              <w:gridCol w:w="1051"/>
              <w:gridCol w:w="779"/>
            </w:tblGrid>
            <w:tr w:rsidR="00523889" w:rsidRPr="00826C46" w14:paraId="7FC6E294" w14:textId="77777777" w:rsidTr="001E0635">
              <w:trPr>
                <w:trHeight w:val="913"/>
              </w:trPr>
              <w:tc>
                <w:tcPr>
                  <w:tcW w:w="1145" w:type="dxa"/>
                  <w:tcBorders>
                    <w:top w:val="single" w:sz="12" w:space="0" w:color="008000"/>
                    <w:bottom w:val="single" w:sz="6" w:space="0" w:color="008000"/>
                  </w:tcBorders>
                  <w:shd w:val="clear" w:color="auto" w:fill="FFFFFF"/>
                </w:tcPr>
                <w:p w14:paraId="185BC64F" w14:textId="5221BBE2" w:rsidR="00523889" w:rsidRPr="00826C46" w:rsidRDefault="00696827" w:rsidP="00523889">
                  <w:pPr>
                    <w:pStyle w:val="CETBodytext"/>
                  </w:pPr>
                  <w:r w:rsidRPr="00826C46">
                    <w:t>Indicators</w:t>
                  </w:r>
                </w:p>
              </w:tc>
              <w:tc>
                <w:tcPr>
                  <w:tcW w:w="955" w:type="dxa"/>
                  <w:tcBorders>
                    <w:top w:val="single" w:sz="12" w:space="0" w:color="008000"/>
                    <w:bottom w:val="single" w:sz="6" w:space="0" w:color="008000"/>
                  </w:tcBorders>
                  <w:shd w:val="clear" w:color="auto" w:fill="FFFFFF"/>
                </w:tcPr>
                <w:p w14:paraId="13D38058" w14:textId="56DFA66A" w:rsidR="00523889" w:rsidRPr="00826C46" w:rsidRDefault="00523889" w:rsidP="001E0635">
                  <w:pPr>
                    <w:pStyle w:val="CETBodytext"/>
                    <w:jc w:val="center"/>
                  </w:pPr>
                  <w:r w:rsidRPr="00826C46">
                    <w:t>Autoclave</w:t>
                  </w:r>
                </w:p>
              </w:tc>
              <w:tc>
                <w:tcPr>
                  <w:tcW w:w="1051" w:type="dxa"/>
                  <w:tcBorders>
                    <w:top w:val="single" w:sz="12" w:space="0" w:color="008000"/>
                    <w:bottom w:val="single" w:sz="6" w:space="0" w:color="008000"/>
                  </w:tcBorders>
                  <w:shd w:val="clear" w:color="auto" w:fill="FFFFFF"/>
                </w:tcPr>
                <w:p w14:paraId="33EF79ED" w14:textId="5EA6DAF2" w:rsidR="00523889" w:rsidRPr="00826C46" w:rsidRDefault="00696827" w:rsidP="001E0635">
                  <w:pPr>
                    <w:pStyle w:val="CETBodytext"/>
                    <w:jc w:val="center"/>
                  </w:pPr>
                  <w:r w:rsidRPr="00826C46">
                    <w:t>Microwave</w:t>
                  </w:r>
                </w:p>
              </w:tc>
              <w:tc>
                <w:tcPr>
                  <w:tcW w:w="779" w:type="dxa"/>
                  <w:tcBorders>
                    <w:top w:val="single" w:sz="12" w:space="0" w:color="008000"/>
                    <w:bottom w:val="single" w:sz="6" w:space="0" w:color="008000"/>
                  </w:tcBorders>
                  <w:shd w:val="clear" w:color="auto" w:fill="FFFFFF"/>
                </w:tcPr>
                <w:p w14:paraId="7D5B8D55" w14:textId="77777777" w:rsidR="00523889" w:rsidRPr="00826C46" w:rsidRDefault="00696827" w:rsidP="00523889">
                  <w:pPr>
                    <w:pStyle w:val="CETBodytext"/>
                    <w:ind w:right="-1"/>
                    <w:rPr>
                      <w:rFonts w:cs="Arial"/>
                      <w:szCs w:val="18"/>
                    </w:rPr>
                  </w:pPr>
                  <w:r w:rsidRPr="00826C46">
                    <w:rPr>
                      <w:rFonts w:cs="Arial"/>
                      <w:szCs w:val="18"/>
                    </w:rPr>
                    <w:t xml:space="preserve">Sun </w:t>
                  </w:r>
                </w:p>
                <w:p w14:paraId="7436EFEA" w14:textId="77777777" w:rsidR="00696827" w:rsidRPr="00826C46" w:rsidRDefault="00696827" w:rsidP="00523889">
                  <w:pPr>
                    <w:pStyle w:val="CETBodytext"/>
                    <w:ind w:right="-1"/>
                    <w:rPr>
                      <w:rFonts w:cs="Arial"/>
                      <w:szCs w:val="18"/>
                    </w:rPr>
                  </w:pPr>
                  <w:r w:rsidRPr="00826C46">
                    <w:rPr>
                      <w:rFonts w:cs="Arial"/>
                      <w:szCs w:val="18"/>
                    </w:rPr>
                    <w:t>Dehydra</w:t>
                  </w:r>
                </w:p>
                <w:p w14:paraId="0525374B" w14:textId="606C596B" w:rsidR="00696827" w:rsidRPr="00826C46" w:rsidRDefault="00696827" w:rsidP="00523889">
                  <w:pPr>
                    <w:pStyle w:val="CETBodytext"/>
                    <w:ind w:right="-1"/>
                    <w:rPr>
                      <w:rFonts w:cs="Arial"/>
                      <w:szCs w:val="18"/>
                    </w:rPr>
                  </w:pPr>
                  <w:r w:rsidRPr="00826C46">
                    <w:rPr>
                      <w:rFonts w:cs="Arial"/>
                      <w:szCs w:val="18"/>
                    </w:rPr>
                    <w:t>tion</w:t>
                  </w:r>
                </w:p>
              </w:tc>
            </w:tr>
            <w:tr w:rsidR="00523889" w:rsidRPr="00826C46" w14:paraId="0DEAE5D1" w14:textId="77777777" w:rsidTr="001E0635">
              <w:trPr>
                <w:trHeight w:val="252"/>
              </w:trPr>
              <w:tc>
                <w:tcPr>
                  <w:tcW w:w="1145" w:type="dxa"/>
                  <w:tcBorders>
                    <w:top w:val="single" w:sz="6" w:space="0" w:color="008000"/>
                    <w:bottom w:val="nil"/>
                  </w:tcBorders>
                  <w:shd w:val="clear" w:color="auto" w:fill="FFFFFF"/>
                </w:tcPr>
                <w:p w14:paraId="76A5922F" w14:textId="22FB80F2" w:rsidR="00523889" w:rsidRPr="00826C46" w:rsidRDefault="00696827" w:rsidP="00523889">
                  <w:pPr>
                    <w:pStyle w:val="CETBodytext"/>
                  </w:pPr>
                  <w:r w:rsidRPr="00826C46">
                    <w:t>Temperature</w:t>
                  </w:r>
                </w:p>
              </w:tc>
              <w:tc>
                <w:tcPr>
                  <w:tcW w:w="955" w:type="dxa"/>
                  <w:tcBorders>
                    <w:top w:val="single" w:sz="6" w:space="0" w:color="008000"/>
                    <w:bottom w:val="nil"/>
                  </w:tcBorders>
                  <w:shd w:val="clear" w:color="auto" w:fill="FFFFFF"/>
                </w:tcPr>
                <w:p w14:paraId="48E5FAD4" w14:textId="6B39AB0B" w:rsidR="00523889" w:rsidRPr="00826C46" w:rsidRDefault="00523889" w:rsidP="001E0635">
                  <w:pPr>
                    <w:pStyle w:val="CETBodytext"/>
                    <w:jc w:val="center"/>
                  </w:pPr>
                  <w:r w:rsidRPr="00826C46">
                    <w:t>121°C</w:t>
                  </w:r>
                </w:p>
              </w:tc>
              <w:tc>
                <w:tcPr>
                  <w:tcW w:w="1051" w:type="dxa"/>
                  <w:tcBorders>
                    <w:top w:val="single" w:sz="6" w:space="0" w:color="008000"/>
                    <w:bottom w:val="nil"/>
                  </w:tcBorders>
                  <w:shd w:val="clear" w:color="auto" w:fill="FFFFFF"/>
                </w:tcPr>
                <w:p w14:paraId="39D46444" w14:textId="7049D89F" w:rsidR="00523889" w:rsidRPr="00826C46" w:rsidRDefault="00523889" w:rsidP="001E0635">
                  <w:pPr>
                    <w:pStyle w:val="CETBodytext"/>
                    <w:jc w:val="center"/>
                  </w:pPr>
                  <w:r w:rsidRPr="00826C46">
                    <w:t>-</w:t>
                  </w:r>
                </w:p>
              </w:tc>
              <w:tc>
                <w:tcPr>
                  <w:tcW w:w="779" w:type="dxa"/>
                  <w:tcBorders>
                    <w:top w:val="single" w:sz="6" w:space="0" w:color="008000"/>
                    <w:bottom w:val="nil"/>
                  </w:tcBorders>
                  <w:shd w:val="clear" w:color="auto" w:fill="FFFFFF"/>
                </w:tcPr>
                <w:p w14:paraId="31225A31" w14:textId="707BA9F2" w:rsidR="00523889" w:rsidRPr="00826C46" w:rsidRDefault="00523889" w:rsidP="00523889">
                  <w:pPr>
                    <w:pStyle w:val="CETBodytext"/>
                    <w:ind w:right="-1"/>
                    <w:rPr>
                      <w:rFonts w:cs="Arial"/>
                      <w:szCs w:val="18"/>
                    </w:rPr>
                  </w:pPr>
                  <w:r w:rsidRPr="00826C46">
                    <w:t>21°C</w:t>
                  </w:r>
                </w:p>
              </w:tc>
            </w:tr>
            <w:tr w:rsidR="00523889" w:rsidRPr="00826C46" w14:paraId="464647BE" w14:textId="77777777" w:rsidTr="001E0635">
              <w:trPr>
                <w:trHeight w:val="252"/>
              </w:trPr>
              <w:tc>
                <w:tcPr>
                  <w:tcW w:w="1145" w:type="dxa"/>
                  <w:tcBorders>
                    <w:top w:val="nil"/>
                    <w:bottom w:val="nil"/>
                  </w:tcBorders>
                  <w:shd w:val="clear" w:color="auto" w:fill="FFFFFF"/>
                </w:tcPr>
                <w:p w14:paraId="077F3881" w14:textId="32E4B738" w:rsidR="00523889" w:rsidRPr="00826C46" w:rsidRDefault="00696827" w:rsidP="00523889">
                  <w:pPr>
                    <w:pStyle w:val="CETBodytext"/>
                  </w:pPr>
                  <w:r w:rsidRPr="00826C46">
                    <w:t>Power</w:t>
                  </w:r>
                </w:p>
              </w:tc>
              <w:tc>
                <w:tcPr>
                  <w:tcW w:w="955" w:type="dxa"/>
                  <w:tcBorders>
                    <w:top w:val="nil"/>
                    <w:bottom w:val="nil"/>
                  </w:tcBorders>
                  <w:shd w:val="clear" w:color="auto" w:fill="FFFFFF"/>
                </w:tcPr>
                <w:p w14:paraId="36A75B78" w14:textId="3390EAEF" w:rsidR="00523889" w:rsidRPr="00826C46" w:rsidRDefault="00523889" w:rsidP="001E0635">
                  <w:pPr>
                    <w:pStyle w:val="CETBodytext"/>
                    <w:jc w:val="center"/>
                  </w:pPr>
                  <w:r w:rsidRPr="00826C46">
                    <w:t>-</w:t>
                  </w:r>
                </w:p>
              </w:tc>
              <w:tc>
                <w:tcPr>
                  <w:tcW w:w="1051" w:type="dxa"/>
                  <w:tcBorders>
                    <w:top w:val="nil"/>
                    <w:bottom w:val="nil"/>
                  </w:tcBorders>
                  <w:shd w:val="clear" w:color="auto" w:fill="FFFFFF"/>
                </w:tcPr>
                <w:p w14:paraId="4D6CE3AF" w14:textId="4520E15A" w:rsidR="00523889" w:rsidRPr="00826C46" w:rsidRDefault="00523889" w:rsidP="001E0635">
                  <w:pPr>
                    <w:pStyle w:val="CETBodytext"/>
                    <w:jc w:val="center"/>
                  </w:pPr>
                  <w:r w:rsidRPr="00826C46">
                    <w:t>100W</w:t>
                  </w:r>
                </w:p>
              </w:tc>
              <w:tc>
                <w:tcPr>
                  <w:tcW w:w="779" w:type="dxa"/>
                  <w:tcBorders>
                    <w:top w:val="nil"/>
                    <w:bottom w:val="nil"/>
                  </w:tcBorders>
                  <w:shd w:val="clear" w:color="auto" w:fill="FFFFFF"/>
                </w:tcPr>
                <w:p w14:paraId="500AB81E" w14:textId="1B219955" w:rsidR="00523889" w:rsidRPr="00826C46" w:rsidRDefault="00523889" w:rsidP="00523889">
                  <w:pPr>
                    <w:pStyle w:val="CETBodytext"/>
                    <w:ind w:right="-1"/>
                    <w:rPr>
                      <w:rFonts w:cs="Arial"/>
                      <w:szCs w:val="18"/>
                    </w:rPr>
                  </w:pPr>
                  <w:r w:rsidRPr="00826C46">
                    <w:t>-</w:t>
                  </w:r>
                </w:p>
              </w:tc>
            </w:tr>
            <w:tr w:rsidR="00523889" w:rsidRPr="00826C46" w14:paraId="6E08DF4D" w14:textId="77777777" w:rsidTr="001E0635">
              <w:trPr>
                <w:trHeight w:val="382"/>
              </w:trPr>
              <w:tc>
                <w:tcPr>
                  <w:tcW w:w="1145" w:type="dxa"/>
                  <w:tcBorders>
                    <w:top w:val="nil"/>
                    <w:bottom w:val="single" w:sz="12" w:space="0" w:color="008000"/>
                  </w:tcBorders>
                  <w:shd w:val="clear" w:color="auto" w:fill="FFFFFF"/>
                </w:tcPr>
                <w:p w14:paraId="216056B4" w14:textId="409A7B0B" w:rsidR="00523889" w:rsidRPr="00826C46" w:rsidRDefault="00696827" w:rsidP="00523889">
                  <w:pPr>
                    <w:pStyle w:val="CETBodytext"/>
                  </w:pPr>
                  <w:r w:rsidRPr="00826C46">
                    <w:t>Time</w:t>
                  </w:r>
                </w:p>
              </w:tc>
              <w:tc>
                <w:tcPr>
                  <w:tcW w:w="955" w:type="dxa"/>
                  <w:tcBorders>
                    <w:top w:val="nil"/>
                    <w:bottom w:val="single" w:sz="12" w:space="0" w:color="008000"/>
                  </w:tcBorders>
                  <w:shd w:val="clear" w:color="auto" w:fill="FFFFFF"/>
                </w:tcPr>
                <w:p w14:paraId="07EB058B" w14:textId="0C784C2F" w:rsidR="00523889" w:rsidRPr="00826C46" w:rsidRDefault="00523889" w:rsidP="001E0635">
                  <w:pPr>
                    <w:pStyle w:val="CETBodytext"/>
                    <w:jc w:val="center"/>
                  </w:pPr>
                  <w:r w:rsidRPr="00826C46">
                    <w:t>5 min.</w:t>
                  </w:r>
                </w:p>
              </w:tc>
              <w:tc>
                <w:tcPr>
                  <w:tcW w:w="1051" w:type="dxa"/>
                  <w:tcBorders>
                    <w:top w:val="nil"/>
                    <w:bottom w:val="single" w:sz="12" w:space="0" w:color="008000"/>
                  </w:tcBorders>
                  <w:shd w:val="clear" w:color="auto" w:fill="FFFFFF"/>
                </w:tcPr>
                <w:p w14:paraId="5E406A47" w14:textId="30C665BA" w:rsidR="00523889" w:rsidRPr="00826C46" w:rsidRDefault="00523889" w:rsidP="001E0635">
                  <w:pPr>
                    <w:pStyle w:val="CETBodytext"/>
                    <w:jc w:val="center"/>
                  </w:pPr>
                  <w:r w:rsidRPr="00826C46">
                    <w:t>2 min.</w:t>
                  </w:r>
                </w:p>
              </w:tc>
              <w:tc>
                <w:tcPr>
                  <w:tcW w:w="779" w:type="dxa"/>
                  <w:tcBorders>
                    <w:top w:val="nil"/>
                    <w:bottom w:val="single" w:sz="12" w:space="0" w:color="008000"/>
                  </w:tcBorders>
                  <w:shd w:val="clear" w:color="auto" w:fill="FFFFFF"/>
                </w:tcPr>
                <w:p w14:paraId="185ACA20" w14:textId="2305AD7E" w:rsidR="00523889" w:rsidRPr="00826C46" w:rsidRDefault="00523889" w:rsidP="00523889">
                  <w:pPr>
                    <w:pStyle w:val="CETBodytext"/>
                    <w:ind w:right="-1"/>
                    <w:rPr>
                      <w:rFonts w:cs="Arial"/>
                      <w:szCs w:val="18"/>
                    </w:rPr>
                  </w:pPr>
                  <w:r w:rsidRPr="00826C46">
                    <w:t xml:space="preserve">4 </w:t>
                  </w:r>
                  <w:r w:rsidR="00696827" w:rsidRPr="00826C46">
                    <w:t>days</w:t>
                  </w:r>
                </w:p>
              </w:tc>
            </w:tr>
          </w:tbl>
          <w:p w14:paraId="1C84AA77" w14:textId="657C7C97" w:rsidR="00DC639D" w:rsidRPr="00826C46" w:rsidRDefault="00DC639D" w:rsidP="00D2628D">
            <w:pPr>
              <w:pStyle w:val="CETBodytext"/>
            </w:pPr>
          </w:p>
        </w:tc>
        <w:tc>
          <w:tcPr>
            <w:tcW w:w="4882" w:type="dxa"/>
          </w:tcPr>
          <w:tbl>
            <w:tblPr>
              <w:tblW w:w="4190" w:type="dxa"/>
              <w:jc w:val="righ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742"/>
              <w:gridCol w:w="880"/>
              <w:gridCol w:w="749"/>
              <w:gridCol w:w="819"/>
            </w:tblGrid>
            <w:tr w:rsidR="00DC639D" w:rsidRPr="00826C46" w14:paraId="2D545E5F" w14:textId="77777777" w:rsidTr="001E0635">
              <w:trPr>
                <w:trHeight w:val="462"/>
                <w:jc w:val="right"/>
              </w:trPr>
              <w:tc>
                <w:tcPr>
                  <w:tcW w:w="1742" w:type="dxa"/>
                  <w:vMerge w:val="restart"/>
                  <w:tcBorders>
                    <w:top w:val="single" w:sz="12" w:space="0" w:color="11793B"/>
                    <w:bottom w:val="single" w:sz="8" w:space="0" w:color="11793B"/>
                    <w:right w:val="nil"/>
                  </w:tcBorders>
                  <w:shd w:val="clear" w:color="auto" w:fill="FFFFFF"/>
                </w:tcPr>
                <w:p w14:paraId="78A8F2FB" w14:textId="2C70BC28" w:rsidR="00DC639D" w:rsidRPr="00826C46" w:rsidRDefault="00696827" w:rsidP="0052417D">
                  <w:pPr>
                    <w:pStyle w:val="CETBodytext"/>
                    <w:jc w:val="left"/>
                  </w:pPr>
                  <w:r w:rsidRPr="00826C46">
                    <w:t xml:space="preserve">Treatment </w:t>
                  </w:r>
                  <w:r w:rsidR="0020727E" w:rsidRPr="00826C46">
                    <w:t>of</w:t>
                  </w:r>
                  <w:r w:rsidR="000256CC">
                    <w:t xml:space="preserve"> c</w:t>
                  </w:r>
                  <w:r w:rsidR="0020727E" w:rsidRPr="000256CC">
                    <w:t>ell</w:t>
                  </w:r>
                  <w:r w:rsidR="0020727E" w:rsidRPr="00826C46">
                    <w:rPr>
                      <w:bdr w:val="single" w:sz="4" w:space="0" w:color="336600"/>
                    </w:rPr>
                    <w:t xml:space="preserve"> </w:t>
                  </w:r>
                  <w:r w:rsidR="0020727E" w:rsidRPr="000256CC">
                    <w:t>destruction</w:t>
                  </w:r>
                </w:p>
              </w:tc>
              <w:tc>
                <w:tcPr>
                  <w:tcW w:w="880" w:type="dxa"/>
                  <w:vMerge w:val="restart"/>
                  <w:tcBorders>
                    <w:top w:val="single" w:sz="12" w:space="0" w:color="008000"/>
                    <w:left w:val="nil"/>
                  </w:tcBorders>
                  <w:shd w:val="clear" w:color="auto" w:fill="FFFFFF"/>
                </w:tcPr>
                <w:p w14:paraId="04E3354D" w14:textId="3E2180CC" w:rsidR="00DC639D" w:rsidRPr="00826C46" w:rsidRDefault="0020727E" w:rsidP="000256CC">
                  <w:pPr>
                    <w:pStyle w:val="CETBodytext"/>
                    <w:jc w:val="center"/>
                  </w:pPr>
                  <w:r w:rsidRPr="00826C46">
                    <w:t>Wet mass of algae (g)</w:t>
                  </w:r>
                </w:p>
              </w:tc>
              <w:tc>
                <w:tcPr>
                  <w:tcW w:w="1568" w:type="dxa"/>
                  <w:gridSpan w:val="2"/>
                  <w:tcBorders>
                    <w:top w:val="single" w:sz="12" w:space="0" w:color="008000"/>
                    <w:bottom w:val="single" w:sz="6" w:space="0" w:color="008000"/>
                  </w:tcBorders>
                  <w:shd w:val="clear" w:color="auto" w:fill="FFFFFF"/>
                </w:tcPr>
                <w:p w14:paraId="1B808AAA" w14:textId="1BA3CE36" w:rsidR="00DC639D" w:rsidRPr="00826C46" w:rsidRDefault="0020727E" w:rsidP="000256CC">
                  <w:pPr>
                    <w:pStyle w:val="CETBodytext"/>
                    <w:ind w:right="-1"/>
                    <w:jc w:val="center"/>
                    <w:rPr>
                      <w:rFonts w:cs="Arial"/>
                      <w:szCs w:val="18"/>
                    </w:rPr>
                  </w:pPr>
                  <w:r w:rsidRPr="00826C46">
                    <w:rPr>
                      <w:rFonts w:cs="Arial"/>
                      <w:szCs w:val="18"/>
                    </w:rPr>
                    <w:t>Oil content (benzine solvent)</w:t>
                  </w:r>
                </w:p>
              </w:tc>
            </w:tr>
            <w:tr w:rsidR="00DC639D" w:rsidRPr="00826C46" w14:paraId="0E87F83D" w14:textId="77777777" w:rsidTr="001E0635">
              <w:trPr>
                <w:trHeight w:val="453"/>
                <w:jc w:val="right"/>
              </w:trPr>
              <w:tc>
                <w:tcPr>
                  <w:tcW w:w="1742" w:type="dxa"/>
                  <w:vMerge/>
                  <w:tcBorders>
                    <w:top w:val="nil"/>
                    <w:bottom w:val="single" w:sz="8" w:space="0" w:color="11793B"/>
                    <w:right w:val="nil"/>
                  </w:tcBorders>
                  <w:shd w:val="clear" w:color="auto" w:fill="FFFFFF"/>
                </w:tcPr>
                <w:p w14:paraId="18B52859" w14:textId="77777777" w:rsidR="00DC639D" w:rsidRPr="00826C46" w:rsidRDefault="00DC639D" w:rsidP="00523889">
                  <w:pPr>
                    <w:pStyle w:val="CETBodytext"/>
                  </w:pPr>
                </w:p>
              </w:tc>
              <w:tc>
                <w:tcPr>
                  <w:tcW w:w="880" w:type="dxa"/>
                  <w:vMerge/>
                  <w:tcBorders>
                    <w:left w:val="nil"/>
                    <w:bottom w:val="single" w:sz="6" w:space="0" w:color="008000"/>
                  </w:tcBorders>
                  <w:shd w:val="clear" w:color="auto" w:fill="FFFFFF"/>
                </w:tcPr>
                <w:p w14:paraId="4F64F0BB" w14:textId="77777777" w:rsidR="00DC639D" w:rsidRPr="00826C46" w:rsidRDefault="00DC639D" w:rsidP="00523889">
                  <w:pPr>
                    <w:pStyle w:val="CETBodytext"/>
                  </w:pPr>
                </w:p>
              </w:tc>
              <w:tc>
                <w:tcPr>
                  <w:tcW w:w="749" w:type="dxa"/>
                  <w:tcBorders>
                    <w:top w:val="single" w:sz="6" w:space="0" w:color="008000"/>
                    <w:bottom w:val="single" w:sz="6" w:space="0" w:color="008000"/>
                  </w:tcBorders>
                  <w:shd w:val="clear" w:color="auto" w:fill="FFFFFF"/>
                </w:tcPr>
                <w:p w14:paraId="6E74135E" w14:textId="5E76A3EE" w:rsidR="00DC639D" w:rsidRPr="00826C46" w:rsidRDefault="0020727E" w:rsidP="00523889">
                  <w:pPr>
                    <w:pStyle w:val="CETBodytext"/>
                    <w:ind w:right="-1"/>
                    <w:rPr>
                      <w:rFonts w:cs="Arial"/>
                      <w:szCs w:val="18"/>
                    </w:rPr>
                  </w:pPr>
                  <w:r w:rsidRPr="00826C46">
                    <w:rPr>
                      <w:rFonts w:cs="Arial"/>
                      <w:szCs w:val="18"/>
                    </w:rPr>
                    <w:t xml:space="preserve">Weight </w:t>
                  </w:r>
                  <w:r w:rsidR="00DC639D" w:rsidRPr="00826C46">
                    <w:rPr>
                      <w:rFonts w:cs="Arial"/>
                      <w:szCs w:val="18"/>
                    </w:rPr>
                    <w:t>(g)</w:t>
                  </w:r>
                </w:p>
              </w:tc>
              <w:tc>
                <w:tcPr>
                  <w:tcW w:w="819" w:type="dxa"/>
                  <w:tcBorders>
                    <w:top w:val="single" w:sz="6" w:space="0" w:color="008000"/>
                    <w:bottom w:val="single" w:sz="6" w:space="0" w:color="008000"/>
                  </w:tcBorders>
                  <w:shd w:val="clear" w:color="auto" w:fill="FFFFFF"/>
                </w:tcPr>
                <w:p w14:paraId="7617EA64" w14:textId="0435B66B" w:rsidR="00DC639D" w:rsidRPr="00826C46" w:rsidRDefault="0020727E" w:rsidP="000256CC">
                  <w:pPr>
                    <w:pStyle w:val="CETBodytext"/>
                    <w:ind w:right="-1"/>
                    <w:jc w:val="center"/>
                    <w:rPr>
                      <w:rFonts w:cs="Arial"/>
                      <w:szCs w:val="18"/>
                    </w:rPr>
                  </w:pPr>
                  <w:r w:rsidRPr="00826C46">
                    <w:rPr>
                      <w:rFonts w:cs="Arial"/>
                      <w:szCs w:val="18"/>
                    </w:rPr>
                    <w:t>Acids and fats (%)</w:t>
                  </w:r>
                </w:p>
              </w:tc>
            </w:tr>
            <w:tr w:rsidR="00DC639D" w:rsidRPr="00826C46" w14:paraId="18289976" w14:textId="77777777" w:rsidTr="001E0635">
              <w:trPr>
                <w:trHeight w:val="213"/>
                <w:jc w:val="right"/>
              </w:trPr>
              <w:tc>
                <w:tcPr>
                  <w:tcW w:w="1742" w:type="dxa"/>
                  <w:tcBorders>
                    <w:top w:val="single" w:sz="8" w:space="0" w:color="11793B"/>
                    <w:bottom w:val="nil"/>
                  </w:tcBorders>
                  <w:shd w:val="clear" w:color="auto" w:fill="FFFFFF"/>
                </w:tcPr>
                <w:p w14:paraId="114B0405" w14:textId="77777777" w:rsidR="00DC639D" w:rsidRPr="00826C46" w:rsidRDefault="00DC639D" w:rsidP="00523889">
                  <w:pPr>
                    <w:pStyle w:val="CETBodytext"/>
                  </w:pPr>
                  <w:r w:rsidRPr="00826C46">
                    <w:t>Autoclave</w:t>
                  </w:r>
                </w:p>
              </w:tc>
              <w:tc>
                <w:tcPr>
                  <w:tcW w:w="880" w:type="dxa"/>
                  <w:tcBorders>
                    <w:top w:val="single" w:sz="6" w:space="0" w:color="008000"/>
                    <w:bottom w:val="nil"/>
                  </w:tcBorders>
                  <w:shd w:val="clear" w:color="auto" w:fill="FFFFFF"/>
                </w:tcPr>
                <w:p w14:paraId="61038D1D" w14:textId="77777777" w:rsidR="00DC639D" w:rsidRPr="00826C46" w:rsidRDefault="00DC639D" w:rsidP="00523889">
                  <w:pPr>
                    <w:pStyle w:val="CETBodytext"/>
                  </w:pPr>
                  <w:r w:rsidRPr="00826C46">
                    <w:t>30</w:t>
                  </w:r>
                </w:p>
              </w:tc>
              <w:tc>
                <w:tcPr>
                  <w:tcW w:w="749" w:type="dxa"/>
                  <w:tcBorders>
                    <w:top w:val="single" w:sz="6" w:space="0" w:color="008000"/>
                    <w:bottom w:val="nil"/>
                  </w:tcBorders>
                  <w:shd w:val="clear" w:color="auto" w:fill="FFFFFF"/>
                </w:tcPr>
                <w:p w14:paraId="604978EF" w14:textId="4CD28D8D" w:rsidR="00DC639D" w:rsidRPr="00826C46" w:rsidRDefault="00DC639D" w:rsidP="00523889">
                  <w:pPr>
                    <w:pStyle w:val="CETBodytext"/>
                    <w:ind w:right="-1"/>
                    <w:rPr>
                      <w:rFonts w:cs="Arial"/>
                      <w:szCs w:val="18"/>
                    </w:rPr>
                  </w:pPr>
                  <w:r w:rsidRPr="00826C46">
                    <w:t>0.0</w:t>
                  </w:r>
                  <w:r w:rsidR="001338C2" w:rsidRPr="00826C46">
                    <w:t>144</w:t>
                  </w:r>
                </w:p>
              </w:tc>
              <w:tc>
                <w:tcPr>
                  <w:tcW w:w="819" w:type="dxa"/>
                  <w:tcBorders>
                    <w:top w:val="single" w:sz="6" w:space="0" w:color="008000"/>
                    <w:bottom w:val="nil"/>
                  </w:tcBorders>
                  <w:shd w:val="clear" w:color="auto" w:fill="FFFFFF"/>
                </w:tcPr>
                <w:p w14:paraId="7DB15C23" w14:textId="1F515470" w:rsidR="00DC639D" w:rsidRPr="00826C46" w:rsidRDefault="00A047FC" w:rsidP="00523889">
                  <w:pPr>
                    <w:pStyle w:val="CETBodytext"/>
                    <w:ind w:right="-1"/>
                    <w:rPr>
                      <w:rFonts w:cs="Arial"/>
                      <w:szCs w:val="18"/>
                    </w:rPr>
                  </w:pPr>
                  <w:r w:rsidRPr="00826C46">
                    <w:t>0</w:t>
                  </w:r>
                  <w:r w:rsidR="00C30A68">
                    <w:t>.</w:t>
                  </w:r>
                  <w:r w:rsidRPr="00826C46">
                    <w:t>0482</w:t>
                  </w:r>
                </w:p>
              </w:tc>
            </w:tr>
            <w:tr w:rsidR="00DC639D" w:rsidRPr="00826C46" w14:paraId="2DAB4B05" w14:textId="77777777" w:rsidTr="001E0635">
              <w:trPr>
                <w:trHeight w:val="213"/>
                <w:jc w:val="right"/>
              </w:trPr>
              <w:tc>
                <w:tcPr>
                  <w:tcW w:w="1742" w:type="dxa"/>
                  <w:tcBorders>
                    <w:top w:val="nil"/>
                    <w:bottom w:val="nil"/>
                  </w:tcBorders>
                  <w:shd w:val="clear" w:color="auto" w:fill="FFFFFF"/>
                </w:tcPr>
                <w:p w14:paraId="68940953" w14:textId="1935E198" w:rsidR="00DC639D" w:rsidRPr="00826C46" w:rsidRDefault="0020727E" w:rsidP="00523889">
                  <w:pPr>
                    <w:pStyle w:val="CETBodytext"/>
                  </w:pPr>
                  <w:r w:rsidRPr="00826C46">
                    <w:t>Microwave</w:t>
                  </w:r>
                </w:p>
              </w:tc>
              <w:tc>
                <w:tcPr>
                  <w:tcW w:w="880" w:type="dxa"/>
                  <w:tcBorders>
                    <w:top w:val="nil"/>
                    <w:bottom w:val="nil"/>
                  </w:tcBorders>
                  <w:shd w:val="clear" w:color="auto" w:fill="FFFFFF"/>
                </w:tcPr>
                <w:p w14:paraId="5448FEBA" w14:textId="77777777" w:rsidR="00DC639D" w:rsidRPr="00826C46" w:rsidRDefault="00DC639D" w:rsidP="00523889">
                  <w:pPr>
                    <w:pStyle w:val="CETBodytext"/>
                  </w:pPr>
                  <w:r w:rsidRPr="00826C46">
                    <w:t>30</w:t>
                  </w:r>
                </w:p>
              </w:tc>
              <w:tc>
                <w:tcPr>
                  <w:tcW w:w="749" w:type="dxa"/>
                  <w:tcBorders>
                    <w:top w:val="nil"/>
                    <w:bottom w:val="nil"/>
                  </w:tcBorders>
                  <w:shd w:val="clear" w:color="auto" w:fill="FFFFFF"/>
                </w:tcPr>
                <w:p w14:paraId="0F6100FC" w14:textId="25601783" w:rsidR="00DC639D" w:rsidRPr="00826C46" w:rsidRDefault="00DC639D" w:rsidP="00523889">
                  <w:pPr>
                    <w:pStyle w:val="CETBodytext"/>
                    <w:ind w:right="-1"/>
                    <w:rPr>
                      <w:rFonts w:cs="Arial"/>
                      <w:szCs w:val="18"/>
                    </w:rPr>
                  </w:pPr>
                  <w:r w:rsidRPr="00826C46">
                    <w:t>0.01</w:t>
                  </w:r>
                  <w:r w:rsidR="001338C2" w:rsidRPr="00826C46">
                    <w:t>19</w:t>
                  </w:r>
                </w:p>
              </w:tc>
              <w:tc>
                <w:tcPr>
                  <w:tcW w:w="819" w:type="dxa"/>
                  <w:tcBorders>
                    <w:top w:val="nil"/>
                    <w:bottom w:val="nil"/>
                  </w:tcBorders>
                  <w:shd w:val="clear" w:color="auto" w:fill="FFFFFF"/>
                </w:tcPr>
                <w:p w14:paraId="176F8E1A" w14:textId="266E7622" w:rsidR="00DC639D" w:rsidRPr="00826C46" w:rsidRDefault="00A047FC" w:rsidP="00523889">
                  <w:pPr>
                    <w:pStyle w:val="CETBodytext"/>
                    <w:ind w:right="-1"/>
                    <w:rPr>
                      <w:rFonts w:cs="Arial"/>
                      <w:szCs w:val="18"/>
                    </w:rPr>
                  </w:pPr>
                  <w:r w:rsidRPr="00826C46">
                    <w:t>0</w:t>
                  </w:r>
                  <w:r w:rsidR="00C30A68">
                    <w:t>.</w:t>
                  </w:r>
                  <w:r w:rsidRPr="00826C46">
                    <w:t>0397</w:t>
                  </w:r>
                </w:p>
              </w:tc>
            </w:tr>
            <w:tr w:rsidR="00DC639D" w:rsidRPr="00826C46" w14:paraId="226F08CD" w14:textId="77777777" w:rsidTr="001E0635">
              <w:trPr>
                <w:trHeight w:val="320"/>
                <w:jc w:val="right"/>
              </w:trPr>
              <w:tc>
                <w:tcPr>
                  <w:tcW w:w="1742" w:type="dxa"/>
                  <w:tcBorders>
                    <w:top w:val="nil"/>
                    <w:bottom w:val="single" w:sz="12" w:space="0" w:color="008000"/>
                  </w:tcBorders>
                  <w:shd w:val="clear" w:color="auto" w:fill="FFFFFF"/>
                </w:tcPr>
                <w:p w14:paraId="3A19BD2C" w14:textId="65E2C4A9" w:rsidR="00DC639D" w:rsidRPr="00826C46" w:rsidRDefault="0020727E" w:rsidP="00523889">
                  <w:pPr>
                    <w:pStyle w:val="CETBodytext"/>
                  </w:pPr>
                  <w:r w:rsidRPr="00826C46">
                    <w:t>Sun Dehydration</w:t>
                  </w:r>
                </w:p>
              </w:tc>
              <w:tc>
                <w:tcPr>
                  <w:tcW w:w="880" w:type="dxa"/>
                  <w:tcBorders>
                    <w:top w:val="nil"/>
                    <w:bottom w:val="single" w:sz="12" w:space="0" w:color="008000"/>
                  </w:tcBorders>
                  <w:shd w:val="clear" w:color="auto" w:fill="FFFFFF"/>
                </w:tcPr>
                <w:p w14:paraId="72120CBE" w14:textId="77777777" w:rsidR="00DC639D" w:rsidRPr="00826C46" w:rsidRDefault="00DC639D" w:rsidP="00523889">
                  <w:pPr>
                    <w:pStyle w:val="CETBodytext"/>
                  </w:pPr>
                  <w:r w:rsidRPr="00826C46">
                    <w:t>30</w:t>
                  </w:r>
                </w:p>
              </w:tc>
              <w:tc>
                <w:tcPr>
                  <w:tcW w:w="749" w:type="dxa"/>
                  <w:tcBorders>
                    <w:top w:val="nil"/>
                    <w:bottom w:val="single" w:sz="12" w:space="0" w:color="008000"/>
                  </w:tcBorders>
                  <w:shd w:val="clear" w:color="auto" w:fill="FFFFFF"/>
                </w:tcPr>
                <w:p w14:paraId="397FB768" w14:textId="17C88B2C" w:rsidR="00DC639D" w:rsidRPr="00826C46" w:rsidRDefault="00DC639D" w:rsidP="00523889">
                  <w:pPr>
                    <w:pStyle w:val="CETBodytext"/>
                    <w:ind w:right="-1"/>
                    <w:rPr>
                      <w:rFonts w:cs="Arial"/>
                      <w:szCs w:val="18"/>
                    </w:rPr>
                  </w:pPr>
                  <w:r w:rsidRPr="00826C46">
                    <w:t>0.</w:t>
                  </w:r>
                  <w:r w:rsidR="001338C2" w:rsidRPr="00826C46">
                    <w:t>0168</w:t>
                  </w:r>
                </w:p>
              </w:tc>
              <w:tc>
                <w:tcPr>
                  <w:tcW w:w="819" w:type="dxa"/>
                  <w:tcBorders>
                    <w:top w:val="nil"/>
                    <w:bottom w:val="single" w:sz="12" w:space="0" w:color="008000"/>
                  </w:tcBorders>
                  <w:shd w:val="clear" w:color="auto" w:fill="FFFFFF"/>
                </w:tcPr>
                <w:p w14:paraId="73ABD749" w14:textId="5CFF0940" w:rsidR="00DC639D" w:rsidRPr="00826C46" w:rsidRDefault="00A047FC" w:rsidP="00523889">
                  <w:pPr>
                    <w:pStyle w:val="CETBodytext"/>
                    <w:ind w:right="-1"/>
                    <w:rPr>
                      <w:rFonts w:cs="Arial"/>
                      <w:szCs w:val="18"/>
                    </w:rPr>
                  </w:pPr>
                  <w:r w:rsidRPr="00826C46">
                    <w:t>0</w:t>
                  </w:r>
                  <w:r w:rsidR="00C30A68">
                    <w:t>.</w:t>
                  </w:r>
                  <w:r w:rsidRPr="00826C46">
                    <w:t>0561</w:t>
                  </w:r>
                </w:p>
              </w:tc>
            </w:tr>
          </w:tbl>
          <w:p w14:paraId="288C65E8" w14:textId="77777777" w:rsidR="00523889" w:rsidRPr="00826C46" w:rsidRDefault="00523889" w:rsidP="00D2628D">
            <w:pPr>
              <w:pStyle w:val="CETBodytext"/>
            </w:pPr>
          </w:p>
        </w:tc>
      </w:tr>
    </w:tbl>
    <w:p w14:paraId="5AD2D9E5" w14:textId="65FDFBAF" w:rsidR="00D2628D" w:rsidRPr="00826C46" w:rsidRDefault="00D2628D" w:rsidP="00D2628D">
      <w:pPr>
        <w:pStyle w:val="CETBodytext"/>
      </w:pPr>
    </w:p>
    <w:p w14:paraId="5BAD4C14" w14:textId="7C1F15EF" w:rsidR="00D2628D" w:rsidRPr="00826C46" w:rsidRDefault="0020727E" w:rsidP="00D2628D">
      <w:pPr>
        <w:pStyle w:val="CETBodytext"/>
      </w:pPr>
      <w:r w:rsidRPr="00826C46">
        <w:t>From the amount of oil obtained from the algae, 250 mL were taken to carry out the transesterification process, at the end the conversion to 100</w:t>
      </w:r>
      <w:r w:rsidR="006A167A">
        <w:t xml:space="preserve"> </w:t>
      </w:r>
      <w:r w:rsidRPr="00826C46">
        <w:t xml:space="preserve">% biofuel was obtained, this happens when the process is carried out with catalyst to stop the washing of the biofuel and the complete elimination of water, a value very close to that obtained in another research that used the same process (catalyst and alcohol) obtained biofuel from used cooking oil. </w:t>
      </w:r>
      <w:r w:rsidR="00E15919" w:rsidRPr="00826C46">
        <w:fldChar w:fldCharType="begin"/>
      </w:r>
      <w:r w:rsidR="00E15919" w:rsidRPr="00826C46">
        <w:instrText xml:space="preserve"> ADDIN ZOTERO_ITEM CSL_CITATION {"citationID":"on3CXKsX","properties":{"formattedCitation":"(L\\uc0\\u243{}pez et al., 2015)","plainCitation":"(López et al., 2015)","noteIndex":0},"citationItems":[{"id":274,"uris":["http://zotero.org/users/7860875/items/N2CLSI6L"],"uri":["http://zotero.org/users/7860875/items/N2CLSI6L"],"itemData":{"id":274,"type":"article-journal","abstract":"Evaluating different vegetable oils in order to obtain biofuels, reducing production costs, increasing reaction yield, avoiding raw materials considered as foods and reducing environmental pollution have become a global strategy and trend for the production of biodiesel. In this study, the production of biodiesel from waste cooking oil (WCO) was analyzed using alkali catalyzer. Three molar ratios of methanol: oil were evaluated: 6:1, 9:1 and 12:1, and two catalyzers KOH and NaOH at percentage of 1% and 2% respectively were studied. A factorial design of experiments was performed in duplicate. The temperature was fixed at 60°C and reaction time of 2 hours. Determination of methyl esters, mono, di and triglycerides by performed via gas chromatography. The best conditions for both NaOH and KOH as catalysts were obtained when the percentage of the catalyst was 1%, and the alcohol: oil molar ratio was 12:1. Under these conditions a conversión of 64,1%, a yield of 98% and a methyl ester of 99,1% were reached for NaOH catalyzer. For KOH, the conversion was 63,2%, the yield 88% and the percentage of methyl esters about 98,4%. The results of this study reveal high yield of the reaction for WCO as raw material. Consequently its implementation at industrial scale will be depended of the economic evaluation.","DOI":"10.11144/Javeriana.iyu19-1.odba","language":"en-US","source":"revistas.javeriana.edu.co","title":"Production of biodiesel from waste cooking oil by transesterification | Ingenieria y Universidad","URL":"https://revistas.javeriana.edu.co/index.php/iyu/article/view/5461","volume":"19","author":[{"family":"López","given":"Luisa"},{"family":"Bocanegra","given":"Jenny"},{"family":"Malagón","given":"Dionisio"}],"accessed":{"date-parts":[["2022",1,5]]},"issued":{"date-parts":[["2015"]]}}}],"schema":"https://github.com/citation-style-language/schema/raw/master/csl-citation.json"} </w:instrText>
      </w:r>
      <w:r w:rsidR="00E15919" w:rsidRPr="00826C46">
        <w:fldChar w:fldCharType="separate"/>
      </w:r>
      <w:r w:rsidR="00E15919" w:rsidRPr="00826C46">
        <w:rPr>
          <w:rFonts w:cs="Arial"/>
          <w:szCs w:val="24"/>
        </w:rPr>
        <w:t>(López et al., 2015)</w:t>
      </w:r>
      <w:r w:rsidR="00E15919" w:rsidRPr="00826C46">
        <w:fldChar w:fldCharType="end"/>
      </w:r>
      <w:r w:rsidR="00B64868" w:rsidRPr="00826C46">
        <w:t>.</w:t>
      </w:r>
      <w:r w:rsidR="00B23EC4" w:rsidRPr="00826C46">
        <w:t xml:space="preserve"> </w:t>
      </w:r>
    </w:p>
    <w:p w14:paraId="6A457056" w14:textId="1BDD81ED" w:rsidR="00B23EC4" w:rsidRPr="00826C46" w:rsidRDefault="0020727E" w:rsidP="00B23EC4">
      <w:pPr>
        <w:pStyle w:val="CETheadingx"/>
      </w:pPr>
      <w:r w:rsidRPr="00826C46">
        <w:t>Biofuel density</w:t>
      </w:r>
    </w:p>
    <w:p w14:paraId="27C47C33" w14:textId="2502EBDC" w:rsidR="00B23EC4" w:rsidRPr="00826C46" w:rsidRDefault="0020727E" w:rsidP="00B23EC4">
      <w:pPr>
        <w:pStyle w:val="CETBodytext"/>
      </w:pPr>
      <w:r w:rsidRPr="00826C46">
        <w:t>Using the pycnometer, the density of the biofuel was determined at 25</w:t>
      </w:r>
      <w:r w:rsidR="006A167A">
        <w:t xml:space="preserve"> </w:t>
      </w:r>
      <w:r w:rsidRPr="00826C46">
        <w:t>°</w:t>
      </w:r>
      <w:r w:rsidR="006A167A">
        <w:t>C</w:t>
      </w:r>
      <w:r w:rsidRPr="00826C46">
        <w:t xml:space="preserve"> and 40</w:t>
      </w:r>
      <w:r w:rsidR="006A167A">
        <w:t xml:space="preserve"> </w:t>
      </w:r>
      <w:r w:rsidRPr="00826C46">
        <w:t>°C, being lower at 40</w:t>
      </w:r>
      <w:r w:rsidR="006A167A">
        <w:t xml:space="preserve"> </w:t>
      </w:r>
      <w:r w:rsidRPr="00826C46">
        <w:t xml:space="preserve">°C (see Table 3). This value will be used to determine the kinematic viscosity. </w:t>
      </w:r>
    </w:p>
    <w:p w14:paraId="3C0ED57A" w14:textId="05DA2157" w:rsidR="00983EB6" w:rsidRPr="00826C46" w:rsidRDefault="0020727E" w:rsidP="00983EB6">
      <w:pPr>
        <w:pStyle w:val="CETBodytext"/>
      </w:pPr>
      <w:r w:rsidRPr="00826C46">
        <w:t xml:space="preserve">Density is critical to the use of biofuels when used in engines as it affects power, emissions and consumption. </w:t>
      </w:r>
      <w:r w:rsidR="00E17F7B" w:rsidRPr="00826C46">
        <w:fldChar w:fldCharType="begin"/>
      </w:r>
      <w:r w:rsidR="00E17F7B" w:rsidRPr="00826C46">
        <w:instrText xml:space="preserve"> ADDIN ZOTERO_ITEM CSL_CITATION {"citationID":"JNM06fmr","properties":{"formattedCitation":"(Poma, 2004)","plainCitation":"(Poma, 2004)","noteIndex":0},"citationItems":[{"id":272,"uris":["http://zotero.org/users/7860875/items/2PMCUNLJ"],"uri":["http://zotero.org/users/7860875/items/2PMCUNLJ"],"itemData":{"id":272,"type":"webpage","language":"spa","title":"Evaluación de la calidad del diesel 2 basado en sus propiedades cetánicas","author":[{"family":"Poma","given":"Karim Lidia"}],"issued":{"date-parts":[["2004"]]}}}],"schema":"https://github.com/citation-style-language/schema/raw/master/csl-citation.json"} </w:instrText>
      </w:r>
      <w:r w:rsidR="00E17F7B" w:rsidRPr="00826C46">
        <w:fldChar w:fldCharType="separate"/>
      </w:r>
      <w:r w:rsidR="00E17F7B" w:rsidRPr="00826C46">
        <w:rPr>
          <w:rFonts w:cs="Arial"/>
        </w:rPr>
        <w:t>(Poma, 2004)</w:t>
      </w:r>
      <w:r w:rsidR="00E17F7B" w:rsidRPr="00826C46">
        <w:fldChar w:fldCharType="end"/>
      </w:r>
      <w:r w:rsidR="00983EB6" w:rsidRPr="00826C46">
        <w:t xml:space="preserve">, </w:t>
      </w:r>
      <w:r w:rsidRPr="00826C46">
        <w:t>depends on the transesterification process, a low density value is indicative of an excessive amount of alcohol</w:t>
      </w:r>
      <w:r w:rsidR="000B3830" w:rsidRPr="00826C46">
        <w:t xml:space="preserve"> </w:t>
      </w:r>
      <w:r w:rsidR="000B3830" w:rsidRPr="00826C46">
        <w:rPr>
          <w:highlight w:val="yellow"/>
        </w:rPr>
        <w:fldChar w:fldCharType="begin"/>
      </w:r>
      <w:r w:rsidR="000B3830" w:rsidRPr="00826C46">
        <w:rPr>
          <w:highlight w:val="yellow"/>
        </w:rPr>
        <w:instrText xml:space="preserve"> ADDIN ZOTERO_ITEM CSL_CITATION {"citationID":"mkh5wfUV","properties":{"formattedCitation":"(Le\\uc0\\u243{}n et al., 2009)","plainCitation":"(León et al., 2009)","noteIndex":0},"citationItems":[{"id":271,"uris":["http://zotero.org/users/7860875/items/KP3I2TN2"],"uri":["http://zotero.org/users/7860875/items/KP3I2TN2"],"itemData":{"id":271,"type":"book","event-place":"Lima","ISBN":"ISBN13: 978-92-9248-121-6","number-of-pages":"10","publisher-place":"Lima","title":"Manual de Bocombustibles","URL":"https://repositorio.iica.int/bitstream/handle/11324/14167/BVE21011330e.pdf?sequence=1&amp;isAllowed=y","volume":"1","author":[{"family":"León","given":"José"},{"family":"Gaspanini","given":"Raúl"},{"family":"Rodriguez","given":"María"},{"family":"Huarte","given":"Guillermo"},{"family":"Estrada","given":"José"},{"family":"Filgueiras","given":"Hermani"}],"issued":{"date-parts":[["2009"]]}}}],"schema":"https://github.com/citation-style-language/schema/raw/master/csl-citation.json"} </w:instrText>
      </w:r>
      <w:r w:rsidR="000B3830" w:rsidRPr="00826C46">
        <w:rPr>
          <w:highlight w:val="yellow"/>
        </w:rPr>
        <w:fldChar w:fldCharType="separate"/>
      </w:r>
      <w:r w:rsidR="000B3830" w:rsidRPr="00826C46">
        <w:rPr>
          <w:rFonts w:cs="Arial"/>
          <w:szCs w:val="24"/>
        </w:rPr>
        <w:t>(León et al., 2009)</w:t>
      </w:r>
      <w:r w:rsidR="000B3830" w:rsidRPr="00826C46">
        <w:rPr>
          <w:highlight w:val="yellow"/>
        </w:rPr>
        <w:fldChar w:fldCharType="end"/>
      </w:r>
      <w:r w:rsidR="00983EB6" w:rsidRPr="00826C46">
        <w:t xml:space="preserve">. </w:t>
      </w:r>
      <w:r w:rsidRPr="00826C46">
        <w:t>The average values obtained in the research were found to be in the range of the European Standard EN 14214 (Min: 0.860 g/mL, Max: 0.900 g/mL), Brazilian Standard (0.850 to 0.900 g/mL).</w:t>
      </w:r>
    </w:p>
    <w:tbl>
      <w:tblPr>
        <w:tblStyle w:val="Tablaconcuadrcula"/>
        <w:tblW w:w="8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3868"/>
      </w:tblGrid>
      <w:tr w:rsidR="00FF61BE" w:rsidRPr="00826C46" w14:paraId="6B2DAFFE" w14:textId="77777777" w:rsidTr="009108D8">
        <w:trPr>
          <w:trHeight w:val="219"/>
        </w:trPr>
        <w:tc>
          <w:tcPr>
            <w:tcW w:w="4968" w:type="dxa"/>
          </w:tcPr>
          <w:p w14:paraId="5BFD47AD" w14:textId="6D484394" w:rsidR="00FF61BE" w:rsidRPr="00826C46" w:rsidRDefault="0020727E" w:rsidP="00B23EC4">
            <w:pPr>
              <w:pStyle w:val="CETTabletitle"/>
              <w:rPr>
                <w:lang w:val="en-US"/>
              </w:rPr>
            </w:pPr>
            <w:r w:rsidRPr="00826C46">
              <w:rPr>
                <w:shd w:val="clear" w:color="auto" w:fill="FFFFFF"/>
                <w:lang w:val="en-US"/>
              </w:rPr>
              <w:lastRenderedPageBreak/>
              <w:t>Table 3: Density in biofuel sample at 25°C and 40°C</w:t>
            </w:r>
          </w:p>
        </w:tc>
        <w:tc>
          <w:tcPr>
            <w:tcW w:w="3868" w:type="dxa"/>
          </w:tcPr>
          <w:p w14:paraId="1EB39A28" w14:textId="662C2733" w:rsidR="00FF61BE" w:rsidRPr="00826C46" w:rsidRDefault="0020727E" w:rsidP="00B23EC4">
            <w:pPr>
              <w:pStyle w:val="CETTabletitle"/>
              <w:rPr>
                <w:lang w:val="en-US"/>
              </w:rPr>
            </w:pPr>
            <w:r w:rsidRPr="00826C46">
              <w:rPr>
                <w:lang w:val="en-US"/>
              </w:rPr>
              <w:t>Table 4</w:t>
            </w:r>
            <w:r w:rsidR="004379F8">
              <w:rPr>
                <w:lang w:val="en-US"/>
              </w:rPr>
              <w:t>:</w:t>
            </w:r>
            <w:r w:rsidRPr="00826C46">
              <w:rPr>
                <w:lang w:val="en-US"/>
              </w:rPr>
              <w:t xml:space="preserve"> Falling time of water and biofuel in Ostwald viscometer</w:t>
            </w:r>
          </w:p>
        </w:tc>
      </w:tr>
      <w:tr w:rsidR="00FF61BE" w:rsidRPr="00826C46" w14:paraId="6B90DFD2" w14:textId="77777777" w:rsidTr="009108D8">
        <w:trPr>
          <w:trHeight w:val="807"/>
        </w:trPr>
        <w:tc>
          <w:tcPr>
            <w:tcW w:w="4968" w:type="dxa"/>
          </w:tcPr>
          <w:tbl>
            <w:tblPr>
              <w:tblStyle w:val="Tablaconcuadrcula"/>
              <w:tblW w:w="4611" w:type="dxa"/>
              <w:tblInd w:w="2" w:type="dxa"/>
              <w:tblBorders>
                <w:top w:val="single" w:sz="12" w:space="0" w:color="11793B"/>
                <w:left w:val="none" w:sz="0" w:space="0" w:color="auto"/>
                <w:bottom w:val="single" w:sz="12" w:space="0" w:color="11793B"/>
                <w:right w:val="none" w:sz="0" w:space="0" w:color="auto"/>
                <w:insideH w:val="none" w:sz="0" w:space="0" w:color="auto"/>
                <w:insideV w:val="none" w:sz="0" w:space="0" w:color="auto"/>
              </w:tblBorders>
              <w:tblLayout w:type="fixed"/>
              <w:tblLook w:val="04A0" w:firstRow="1" w:lastRow="0" w:firstColumn="1" w:lastColumn="0" w:noHBand="0" w:noVBand="1"/>
            </w:tblPr>
            <w:tblGrid>
              <w:gridCol w:w="793"/>
              <w:gridCol w:w="945"/>
              <w:gridCol w:w="1095"/>
              <w:gridCol w:w="807"/>
              <w:gridCol w:w="971"/>
            </w:tblGrid>
            <w:tr w:rsidR="007F2766" w:rsidRPr="006A167A" w14:paraId="49F52C31" w14:textId="77777777" w:rsidTr="009108D8">
              <w:trPr>
                <w:trHeight w:val="426"/>
              </w:trPr>
              <w:tc>
                <w:tcPr>
                  <w:tcW w:w="793" w:type="dxa"/>
                  <w:tcBorders>
                    <w:top w:val="single" w:sz="12" w:space="0" w:color="11793B"/>
                    <w:bottom w:val="single" w:sz="12" w:space="0" w:color="11793B"/>
                  </w:tcBorders>
                  <w:shd w:val="clear" w:color="auto" w:fill="auto"/>
                  <w:vAlign w:val="center"/>
                </w:tcPr>
                <w:p w14:paraId="292BA5A2" w14:textId="315147D4" w:rsidR="003C6E76" w:rsidRPr="006A167A" w:rsidRDefault="0020727E" w:rsidP="007F2766">
                  <w:pPr>
                    <w:spacing w:line="240" w:lineRule="auto"/>
                    <w:jc w:val="left"/>
                    <w:rPr>
                      <w:bCs/>
                      <w:sz w:val="16"/>
                      <w:szCs w:val="16"/>
                      <w:lang w:val="en-US"/>
                    </w:rPr>
                  </w:pPr>
                  <w:r w:rsidRPr="006A167A">
                    <w:rPr>
                      <w:bCs/>
                      <w:sz w:val="16"/>
                      <w:szCs w:val="16"/>
                      <w:lang w:val="en-US"/>
                    </w:rPr>
                    <w:t>Sample</w:t>
                  </w:r>
                </w:p>
              </w:tc>
              <w:tc>
                <w:tcPr>
                  <w:tcW w:w="945" w:type="dxa"/>
                  <w:tcBorders>
                    <w:top w:val="single" w:sz="12" w:space="0" w:color="11793B"/>
                    <w:bottom w:val="single" w:sz="12" w:space="0" w:color="11793B"/>
                  </w:tcBorders>
                  <w:shd w:val="clear" w:color="auto" w:fill="auto"/>
                  <w:vAlign w:val="center"/>
                </w:tcPr>
                <w:p w14:paraId="1F0CA0E9" w14:textId="0E88446F" w:rsidR="003C6E76" w:rsidRPr="006A167A" w:rsidRDefault="0020727E" w:rsidP="007F2766">
                  <w:pPr>
                    <w:spacing w:line="240" w:lineRule="auto"/>
                    <w:jc w:val="center"/>
                    <w:rPr>
                      <w:bCs/>
                      <w:sz w:val="16"/>
                      <w:szCs w:val="16"/>
                      <w:lang w:val="en-US"/>
                    </w:rPr>
                  </w:pPr>
                  <w:r w:rsidRPr="006A167A">
                    <w:rPr>
                      <w:bCs/>
                      <w:sz w:val="16"/>
                      <w:szCs w:val="16"/>
                      <w:lang w:val="en-US"/>
                    </w:rPr>
                    <w:t xml:space="preserve">Pycnometer mass </w:t>
                  </w:r>
                  <w:r w:rsidR="003C6E76" w:rsidRPr="006A167A">
                    <w:rPr>
                      <w:bCs/>
                      <w:sz w:val="16"/>
                      <w:szCs w:val="16"/>
                      <w:lang w:val="en-US"/>
                    </w:rPr>
                    <w:t>(g)</w:t>
                  </w:r>
                </w:p>
              </w:tc>
              <w:tc>
                <w:tcPr>
                  <w:tcW w:w="1095" w:type="dxa"/>
                  <w:tcBorders>
                    <w:top w:val="single" w:sz="12" w:space="0" w:color="11793B"/>
                    <w:bottom w:val="single" w:sz="12" w:space="0" w:color="11793B"/>
                  </w:tcBorders>
                  <w:shd w:val="clear" w:color="auto" w:fill="auto"/>
                  <w:vAlign w:val="center"/>
                </w:tcPr>
                <w:p w14:paraId="4285C577" w14:textId="6C7FA281" w:rsidR="003C6E76" w:rsidRPr="006A167A" w:rsidRDefault="009D1FA9" w:rsidP="007F2766">
                  <w:pPr>
                    <w:spacing w:line="240" w:lineRule="auto"/>
                    <w:jc w:val="center"/>
                    <w:rPr>
                      <w:bCs/>
                      <w:sz w:val="16"/>
                      <w:szCs w:val="16"/>
                      <w:lang w:val="en-US"/>
                    </w:rPr>
                  </w:pPr>
                  <w:r w:rsidRPr="006A167A">
                    <w:rPr>
                      <w:bCs/>
                      <w:sz w:val="16"/>
                      <w:szCs w:val="16"/>
                      <w:lang w:val="en-US"/>
                    </w:rPr>
                    <w:t xml:space="preserve">Pycnometer + biofuel mass </w:t>
                  </w:r>
                  <w:r w:rsidR="003C6E76" w:rsidRPr="006A167A">
                    <w:rPr>
                      <w:bCs/>
                      <w:sz w:val="16"/>
                      <w:szCs w:val="16"/>
                      <w:lang w:val="en-US"/>
                    </w:rPr>
                    <w:t>(g)</w:t>
                  </w:r>
                </w:p>
              </w:tc>
              <w:tc>
                <w:tcPr>
                  <w:tcW w:w="807" w:type="dxa"/>
                  <w:tcBorders>
                    <w:top w:val="single" w:sz="12" w:space="0" w:color="11793B"/>
                    <w:bottom w:val="single" w:sz="12" w:space="0" w:color="11793B"/>
                  </w:tcBorders>
                  <w:shd w:val="clear" w:color="auto" w:fill="auto"/>
                  <w:vAlign w:val="center"/>
                </w:tcPr>
                <w:p w14:paraId="79493F7F" w14:textId="30048555" w:rsidR="003C6E76" w:rsidRPr="006A167A" w:rsidRDefault="009D1FA9" w:rsidP="007F2766">
                  <w:pPr>
                    <w:spacing w:line="240" w:lineRule="auto"/>
                    <w:jc w:val="center"/>
                    <w:rPr>
                      <w:bCs/>
                      <w:sz w:val="16"/>
                      <w:szCs w:val="16"/>
                      <w:lang w:val="en-US"/>
                    </w:rPr>
                  </w:pPr>
                  <w:r w:rsidRPr="006A167A">
                    <w:rPr>
                      <w:bCs/>
                      <w:sz w:val="16"/>
                      <w:szCs w:val="16"/>
                      <w:lang w:val="en-US"/>
                    </w:rPr>
                    <w:t xml:space="preserve">Density at 25°C </w:t>
                  </w:r>
                  <w:r w:rsidR="003C6E76" w:rsidRPr="006A167A">
                    <w:rPr>
                      <w:bCs/>
                      <w:sz w:val="16"/>
                      <w:szCs w:val="16"/>
                      <w:lang w:val="en-US"/>
                    </w:rPr>
                    <w:t>(g/mL)</w:t>
                  </w:r>
                </w:p>
              </w:tc>
              <w:tc>
                <w:tcPr>
                  <w:tcW w:w="971" w:type="dxa"/>
                  <w:tcBorders>
                    <w:top w:val="single" w:sz="12" w:space="0" w:color="11793B"/>
                    <w:bottom w:val="single" w:sz="12" w:space="0" w:color="11793B"/>
                  </w:tcBorders>
                  <w:shd w:val="clear" w:color="auto" w:fill="auto"/>
                </w:tcPr>
                <w:p w14:paraId="7A091846" w14:textId="595DC5B1" w:rsidR="003C6E76" w:rsidRPr="006A167A" w:rsidRDefault="009D1FA9" w:rsidP="007F2766">
                  <w:pPr>
                    <w:spacing w:line="240" w:lineRule="auto"/>
                    <w:jc w:val="center"/>
                    <w:rPr>
                      <w:bCs/>
                      <w:sz w:val="16"/>
                      <w:szCs w:val="16"/>
                      <w:lang w:val="en-US"/>
                    </w:rPr>
                  </w:pPr>
                  <w:r w:rsidRPr="006A167A">
                    <w:rPr>
                      <w:bCs/>
                      <w:sz w:val="16"/>
                      <w:szCs w:val="16"/>
                      <w:lang w:val="en-US"/>
                    </w:rPr>
                    <w:t xml:space="preserve">Density at 40°C </w:t>
                  </w:r>
                  <w:r w:rsidR="003C6E76" w:rsidRPr="006A167A">
                    <w:rPr>
                      <w:bCs/>
                      <w:sz w:val="16"/>
                      <w:szCs w:val="16"/>
                      <w:lang w:val="en-US"/>
                    </w:rPr>
                    <w:t>(g/mL)</w:t>
                  </w:r>
                </w:p>
              </w:tc>
            </w:tr>
            <w:tr w:rsidR="007F2766" w:rsidRPr="006A167A" w14:paraId="49B85440" w14:textId="77777777" w:rsidTr="009108D8">
              <w:trPr>
                <w:trHeight w:val="117"/>
              </w:trPr>
              <w:tc>
                <w:tcPr>
                  <w:tcW w:w="793" w:type="dxa"/>
                  <w:tcBorders>
                    <w:top w:val="single" w:sz="12" w:space="0" w:color="11793B"/>
                  </w:tcBorders>
                  <w:shd w:val="clear" w:color="auto" w:fill="auto"/>
                  <w:vAlign w:val="center"/>
                </w:tcPr>
                <w:p w14:paraId="5DAD29E4" w14:textId="77777777" w:rsidR="003C6E76" w:rsidRPr="006A167A" w:rsidRDefault="003C6E76" w:rsidP="003C6E76">
                  <w:pPr>
                    <w:spacing w:line="240" w:lineRule="auto"/>
                    <w:jc w:val="center"/>
                    <w:rPr>
                      <w:bCs/>
                      <w:sz w:val="16"/>
                      <w:szCs w:val="16"/>
                      <w:lang w:val="en-US"/>
                    </w:rPr>
                  </w:pPr>
                  <w:r w:rsidRPr="006A167A">
                    <w:rPr>
                      <w:bCs/>
                      <w:sz w:val="16"/>
                      <w:szCs w:val="16"/>
                      <w:lang w:val="en-US"/>
                    </w:rPr>
                    <w:t>M1</w:t>
                  </w:r>
                </w:p>
              </w:tc>
              <w:tc>
                <w:tcPr>
                  <w:tcW w:w="945" w:type="dxa"/>
                  <w:tcBorders>
                    <w:top w:val="single" w:sz="12" w:space="0" w:color="11793B"/>
                  </w:tcBorders>
                  <w:shd w:val="clear" w:color="auto" w:fill="auto"/>
                  <w:vAlign w:val="center"/>
                </w:tcPr>
                <w:p w14:paraId="572D04B7" w14:textId="610F5F54" w:rsidR="003C6E76" w:rsidRPr="006A167A" w:rsidRDefault="003C6E76" w:rsidP="007F2766">
                  <w:pPr>
                    <w:spacing w:line="240" w:lineRule="auto"/>
                    <w:jc w:val="center"/>
                    <w:rPr>
                      <w:bCs/>
                      <w:sz w:val="16"/>
                      <w:szCs w:val="16"/>
                      <w:lang w:val="en-US"/>
                    </w:rPr>
                  </w:pPr>
                  <w:r w:rsidRPr="006A167A">
                    <w:rPr>
                      <w:bCs/>
                      <w:sz w:val="16"/>
                      <w:szCs w:val="16"/>
                      <w:lang w:val="en-US"/>
                    </w:rPr>
                    <w:t>38</w:t>
                  </w:r>
                  <w:r w:rsidR="004379F8">
                    <w:rPr>
                      <w:bCs/>
                      <w:sz w:val="16"/>
                      <w:szCs w:val="16"/>
                      <w:lang w:val="en-US"/>
                    </w:rPr>
                    <w:t>.</w:t>
                  </w:r>
                  <w:r w:rsidRPr="006A167A">
                    <w:rPr>
                      <w:bCs/>
                      <w:sz w:val="16"/>
                      <w:szCs w:val="16"/>
                      <w:lang w:val="en-US"/>
                    </w:rPr>
                    <w:t>4810</w:t>
                  </w:r>
                </w:p>
              </w:tc>
              <w:tc>
                <w:tcPr>
                  <w:tcW w:w="1095" w:type="dxa"/>
                  <w:tcBorders>
                    <w:top w:val="single" w:sz="12" w:space="0" w:color="11793B"/>
                  </w:tcBorders>
                  <w:shd w:val="clear" w:color="auto" w:fill="auto"/>
                  <w:vAlign w:val="center"/>
                </w:tcPr>
                <w:p w14:paraId="751AC81A" w14:textId="1BE35C9F" w:rsidR="003C6E76" w:rsidRPr="006A167A" w:rsidRDefault="003C6E76" w:rsidP="007F2766">
                  <w:pPr>
                    <w:spacing w:line="240" w:lineRule="auto"/>
                    <w:jc w:val="center"/>
                    <w:rPr>
                      <w:bCs/>
                      <w:sz w:val="16"/>
                      <w:szCs w:val="16"/>
                      <w:lang w:val="en-US"/>
                    </w:rPr>
                  </w:pPr>
                  <w:r w:rsidRPr="006A167A">
                    <w:rPr>
                      <w:bCs/>
                      <w:sz w:val="16"/>
                      <w:szCs w:val="16"/>
                      <w:lang w:val="en-US"/>
                    </w:rPr>
                    <w:t>83</w:t>
                  </w:r>
                  <w:r w:rsidR="004379F8">
                    <w:rPr>
                      <w:bCs/>
                      <w:sz w:val="16"/>
                      <w:szCs w:val="16"/>
                      <w:lang w:val="en-US"/>
                    </w:rPr>
                    <w:t>.</w:t>
                  </w:r>
                  <w:r w:rsidRPr="006A167A">
                    <w:rPr>
                      <w:bCs/>
                      <w:sz w:val="16"/>
                      <w:szCs w:val="16"/>
                      <w:lang w:val="en-US"/>
                    </w:rPr>
                    <w:t>8809</w:t>
                  </w:r>
                </w:p>
              </w:tc>
              <w:tc>
                <w:tcPr>
                  <w:tcW w:w="807" w:type="dxa"/>
                  <w:tcBorders>
                    <w:top w:val="single" w:sz="12" w:space="0" w:color="11793B"/>
                  </w:tcBorders>
                  <w:shd w:val="clear" w:color="auto" w:fill="auto"/>
                  <w:vAlign w:val="center"/>
                </w:tcPr>
                <w:p w14:paraId="1F7B95AB" w14:textId="08E3F53F" w:rsidR="003C6E76" w:rsidRPr="006A167A" w:rsidRDefault="003C6E76" w:rsidP="007F2766">
                  <w:pPr>
                    <w:spacing w:line="240" w:lineRule="auto"/>
                    <w:jc w:val="center"/>
                    <w:rPr>
                      <w:bCs/>
                      <w:sz w:val="16"/>
                      <w:szCs w:val="16"/>
                      <w:lang w:val="en-US"/>
                    </w:rPr>
                  </w:pPr>
                  <w:r w:rsidRPr="006A167A">
                    <w:rPr>
                      <w:bCs/>
                      <w:sz w:val="16"/>
                      <w:szCs w:val="16"/>
                      <w:lang w:val="en-US"/>
                    </w:rPr>
                    <w:t>0</w:t>
                  </w:r>
                  <w:r w:rsidR="004379F8">
                    <w:rPr>
                      <w:bCs/>
                      <w:sz w:val="16"/>
                      <w:szCs w:val="16"/>
                      <w:lang w:val="en-US"/>
                    </w:rPr>
                    <w:t>.</w:t>
                  </w:r>
                  <w:r w:rsidRPr="006A167A">
                    <w:rPr>
                      <w:bCs/>
                      <w:sz w:val="16"/>
                      <w:szCs w:val="16"/>
                      <w:lang w:val="en-US"/>
                    </w:rPr>
                    <w:t>9080</w:t>
                  </w:r>
                </w:p>
              </w:tc>
              <w:tc>
                <w:tcPr>
                  <w:tcW w:w="971" w:type="dxa"/>
                  <w:tcBorders>
                    <w:top w:val="single" w:sz="12" w:space="0" w:color="11793B"/>
                  </w:tcBorders>
                  <w:shd w:val="clear" w:color="auto" w:fill="auto"/>
                  <w:vAlign w:val="center"/>
                </w:tcPr>
                <w:p w14:paraId="63297D49" w14:textId="77777777" w:rsidR="003C6E76" w:rsidRPr="006A167A" w:rsidRDefault="003C6E76" w:rsidP="007F2766">
                  <w:pPr>
                    <w:spacing w:line="240" w:lineRule="auto"/>
                    <w:jc w:val="center"/>
                    <w:rPr>
                      <w:bCs/>
                      <w:sz w:val="16"/>
                      <w:szCs w:val="16"/>
                      <w:lang w:val="en-US"/>
                    </w:rPr>
                  </w:pPr>
                  <w:r w:rsidRPr="006A167A">
                    <w:rPr>
                      <w:bCs/>
                      <w:sz w:val="16"/>
                      <w:szCs w:val="16"/>
                      <w:lang w:val="en-US"/>
                    </w:rPr>
                    <w:t>(g/mL)</w:t>
                  </w:r>
                </w:p>
              </w:tc>
            </w:tr>
            <w:tr w:rsidR="007F2766" w:rsidRPr="006A167A" w14:paraId="063599CD" w14:textId="77777777" w:rsidTr="009108D8">
              <w:trPr>
                <w:trHeight w:val="117"/>
              </w:trPr>
              <w:tc>
                <w:tcPr>
                  <w:tcW w:w="793" w:type="dxa"/>
                  <w:shd w:val="clear" w:color="auto" w:fill="auto"/>
                  <w:vAlign w:val="center"/>
                </w:tcPr>
                <w:p w14:paraId="3F850952" w14:textId="77777777" w:rsidR="003C6E76" w:rsidRPr="006A167A" w:rsidRDefault="003C6E76" w:rsidP="003C6E76">
                  <w:pPr>
                    <w:spacing w:line="240" w:lineRule="auto"/>
                    <w:jc w:val="center"/>
                    <w:rPr>
                      <w:bCs/>
                      <w:sz w:val="16"/>
                      <w:szCs w:val="16"/>
                      <w:lang w:val="en-US"/>
                    </w:rPr>
                  </w:pPr>
                  <w:r w:rsidRPr="006A167A">
                    <w:rPr>
                      <w:bCs/>
                      <w:sz w:val="16"/>
                      <w:szCs w:val="16"/>
                      <w:lang w:val="en-US"/>
                    </w:rPr>
                    <w:t>M2</w:t>
                  </w:r>
                </w:p>
              </w:tc>
              <w:tc>
                <w:tcPr>
                  <w:tcW w:w="945" w:type="dxa"/>
                  <w:shd w:val="clear" w:color="auto" w:fill="auto"/>
                  <w:vAlign w:val="center"/>
                </w:tcPr>
                <w:p w14:paraId="6DC3621B" w14:textId="2AB0CA46" w:rsidR="003C6E76" w:rsidRPr="006A167A" w:rsidRDefault="003C6E76" w:rsidP="007F2766">
                  <w:pPr>
                    <w:spacing w:line="240" w:lineRule="auto"/>
                    <w:jc w:val="center"/>
                    <w:rPr>
                      <w:bCs/>
                      <w:sz w:val="16"/>
                      <w:szCs w:val="16"/>
                      <w:lang w:val="en-US"/>
                    </w:rPr>
                  </w:pPr>
                  <w:r w:rsidRPr="006A167A">
                    <w:rPr>
                      <w:bCs/>
                      <w:sz w:val="16"/>
                      <w:szCs w:val="16"/>
                      <w:lang w:val="en-US"/>
                    </w:rPr>
                    <w:t>38</w:t>
                  </w:r>
                  <w:r w:rsidR="004379F8">
                    <w:rPr>
                      <w:bCs/>
                      <w:sz w:val="16"/>
                      <w:szCs w:val="16"/>
                      <w:lang w:val="en-US"/>
                    </w:rPr>
                    <w:t>.</w:t>
                  </w:r>
                  <w:r w:rsidRPr="006A167A">
                    <w:rPr>
                      <w:bCs/>
                      <w:sz w:val="16"/>
                      <w:szCs w:val="16"/>
                      <w:lang w:val="en-US"/>
                    </w:rPr>
                    <w:t>3628</w:t>
                  </w:r>
                </w:p>
              </w:tc>
              <w:tc>
                <w:tcPr>
                  <w:tcW w:w="1095" w:type="dxa"/>
                  <w:shd w:val="clear" w:color="auto" w:fill="auto"/>
                  <w:vAlign w:val="center"/>
                </w:tcPr>
                <w:p w14:paraId="7B97A568" w14:textId="4C4C495C" w:rsidR="003C6E76" w:rsidRPr="006A167A" w:rsidRDefault="003C6E76" w:rsidP="007F2766">
                  <w:pPr>
                    <w:spacing w:line="240" w:lineRule="auto"/>
                    <w:jc w:val="center"/>
                    <w:rPr>
                      <w:bCs/>
                      <w:sz w:val="16"/>
                      <w:szCs w:val="16"/>
                      <w:lang w:val="en-US"/>
                    </w:rPr>
                  </w:pPr>
                  <w:r w:rsidRPr="006A167A">
                    <w:rPr>
                      <w:bCs/>
                      <w:sz w:val="16"/>
                      <w:szCs w:val="16"/>
                      <w:lang w:val="en-US"/>
                    </w:rPr>
                    <w:t>83</w:t>
                  </w:r>
                  <w:r w:rsidR="004379F8">
                    <w:rPr>
                      <w:bCs/>
                      <w:sz w:val="16"/>
                      <w:szCs w:val="16"/>
                      <w:lang w:val="en-US"/>
                    </w:rPr>
                    <w:t>.</w:t>
                  </w:r>
                  <w:r w:rsidRPr="006A167A">
                    <w:rPr>
                      <w:bCs/>
                      <w:sz w:val="16"/>
                      <w:szCs w:val="16"/>
                      <w:lang w:val="en-US"/>
                    </w:rPr>
                    <w:t>6595</w:t>
                  </w:r>
                </w:p>
              </w:tc>
              <w:tc>
                <w:tcPr>
                  <w:tcW w:w="807" w:type="dxa"/>
                  <w:shd w:val="clear" w:color="auto" w:fill="auto"/>
                  <w:vAlign w:val="center"/>
                </w:tcPr>
                <w:p w14:paraId="03B193E0" w14:textId="4B26CBCE" w:rsidR="003C6E76" w:rsidRPr="006A167A" w:rsidRDefault="003C6E76" w:rsidP="007F2766">
                  <w:pPr>
                    <w:spacing w:line="240" w:lineRule="auto"/>
                    <w:jc w:val="center"/>
                    <w:rPr>
                      <w:bCs/>
                      <w:sz w:val="16"/>
                      <w:szCs w:val="16"/>
                      <w:lang w:val="en-US"/>
                    </w:rPr>
                  </w:pPr>
                  <w:r w:rsidRPr="006A167A">
                    <w:rPr>
                      <w:bCs/>
                      <w:sz w:val="16"/>
                      <w:szCs w:val="16"/>
                      <w:lang w:val="en-US"/>
                    </w:rPr>
                    <w:t>0</w:t>
                  </w:r>
                  <w:r w:rsidR="004379F8">
                    <w:rPr>
                      <w:bCs/>
                      <w:sz w:val="16"/>
                      <w:szCs w:val="16"/>
                      <w:lang w:val="en-US"/>
                    </w:rPr>
                    <w:t>.</w:t>
                  </w:r>
                  <w:r w:rsidRPr="006A167A">
                    <w:rPr>
                      <w:bCs/>
                      <w:sz w:val="16"/>
                      <w:szCs w:val="16"/>
                      <w:lang w:val="en-US"/>
                    </w:rPr>
                    <w:t>9059</w:t>
                  </w:r>
                </w:p>
              </w:tc>
              <w:tc>
                <w:tcPr>
                  <w:tcW w:w="971" w:type="dxa"/>
                  <w:shd w:val="clear" w:color="auto" w:fill="auto"/>
                  <w:vAlign w:val="center"/>
                </w:tcPr>
                <w:p w14:paraId="4E82AD0D" w14:textId="5EADA3CE" w:rsidR="003C6E76" w:rsidRPr="006A167A" w:rsidRDefault="003C6E76" w:rsidP="007F2766">
                  <w:pPr>
                    <w:spacing w:line="240" w:lineRule="auto"/>
                    <w:jc w:val="center"/>
                    <w:rPr>
                      <w:bCs/>
                      <w:sz w:val="16"/>
                      <w:szCs w:val="16"/>
                      <w:lang w:val="en-US"/>
                    </w:rPr>
                  </w:pPr>
                  <w:r w:rsidRPr="006A167A">
                    <w:rPr>
                      <w:bCs/>
                      <w:sz w:val="16"/>
                      <w:szCs w:val="16"/>
                      <w:lang w:val="en-US"/>
                    </w:rPr>
                    <w:t>0</w:t>
                  </w:r>
                  <w:r w:rsidR="00D110A0">
                    <w:rPr>
                      <w:bCs/>
                      <w:sz w:val="16"/>
                      <w:szCs w:val="16"/>
                      <w:lang w:val="en-US"/>
                    </w:rPr>
                    <w:t>.</w:t>
                  </w:r>
                  <w:r w:rsidRPr="006A167A">
                    <w:rPr>
                      <w:bCs/>
                      <w:sz w:val="16"/>
                      <w:szCs w:val="16"/>
                      <w:lang w:val="en-US"/>
                    </w:rPr>
                    <w:t>9007</w:t>
                  </w:r>
                </w:p>
              </w:tc>
            </w:tr>
            <w:tr w:rsidR="007F2766" w:rsidRPr="006A167A" w14:paraId="25AB5B0F" w14:textId="77777777" w:rsidTr="009108D8">
              <w:trPr>
                <w:trHeight w:val="163"/>
              </w:trPr>
              <w:tc>
                <w:tcPr>
                  <w:tcW w:w="793" w:type="dxa"/>
                  <w:shd w:val="clear" w:color="auto" w:fill="auto"/>
                  <w:vAlign w:val="center"/>
                </w:tcPr>
                <w:p w14:paraId="515A0B4A" w14:textId="77777777" w:rsidR="003C6E76" w:rsidRPr="006A167A" w:rsidRDefault="003C6E76" w:rsidP="003C6E76">
                  <w:pPr>
                    <w:spacing w:line="240" w:lineRule="auto"/>
                    <w:jc w:val="center"/>
                    <w:rPr>
                      <w:bCs/>
                      <w:sz w:val="16"/>
                      <w:szCs w:val="16"/>
                      <w:lang w:val="en-US"/>
                    </w:rPr>
                  </w:pPr>
                  <w:r w:rsidRPr="006A167A">
                    <w:rPr>
                      <w:bCs/>
                      <w:sz w:val="16"/>
                      <w:szCs w:val="16"/>
                      <w:lang w:val="en-US"/>
                    </w:rPr>
                    <w:t>M3</w:t>
                  </w:r>
                </w:p>
              </w:tc>
              <w:tc>
                <w:tcPr>
                  <w:tcW w:w="945" w:type="dxa"/>
                  <w:shd w:val="clear" w:color="auto" w:fill="auto"/>
                  <w:vAlign w:val="center"/>
                </w:tcPr>
                <w:p w14:paraId="066FEA1B" w14:textId="26785FC1" w:rsidR="003C6E76" w:rsidRPr="006A167A" w:rsidRDefault="003C6E76" w:rsidP="007F2766">
                  <w:pPr>
                    <w:spacing w:line="240" w:lineRule="auto"/>
                    <w:jc w:val="center"/>
                    <w:rPr>
                      <w:bCs/>
                      <w:sz w:val="16"/>
                      <w:szCs w:val="16"/>
                      <w:lang w:val="en-US"/>
                    </w:rPr>
                  </w:pPr>
                  <w:r w:rsidRPr="006A167A">
                    <w:rPr>
                      <w:bCs/>
                      <w:sz w:val="16"/>
                      <w:szCs w:val="16"/>
                      <w:lang w:val="en-US"/>
                    </w:rPr>
                    <w:t>37</w:t>
                  </w:r>
                  <w:r w:rsidR="004379F8">
                    <w:rPr>
                      <w:bCs/>
                      <w:sz w:val="16"/>
                      <w:szCs w:val="16"/>
                      <w:lang w:val="en-US"/>
                    </w:rPr>
                    <w:t>.</w:t>
                  </w:r>
                  <w:r w:rsidRPr="006A167A">
                    <w:rPr>
                      <w:bCs/>
                      <w:sz w:val="16"/>
                      <w:szCs w:val="16"/>
                      <w:lang w:val="en-US"/>
                    </w:rPr>
                    <w:t>2840</w:t>
                  </w:r>
                </w:p>
              </w:tc>
              <w:tc>
                <w:tcPr>
                  <w:tcW w:w="1095" w:type="dxa"/>
                  <w:shd w:val="clear" w:color="auto" w:fill="auto"/>
                  <w:vAlign w:val="center"/>
                </w:tcPr>
                <w:p w14:paraId="0E74C795" w14:textId="1A19547F" w:rsidR="003C6E76" w:rsidRPr="006A167A" w:rsidRDefault="003C6E76" w:rsidP="007F2766">
                  <w:pPr>
                    <w:spacing w:line="240" w:lineRule="auto"/>
                    <w:jc w:val="center"/>
                    <w:rPr>
                      <w:bCs/>
                      <w:sz w:val="16"/>
                      <w:szCs w:val="16"/>
                      <w:lang w:val="en-US"/>
                    </w:rPr>
                  </w:pPr>
                  <w:r w:rsidRPr="006A167A">
                    <w:rPr>
                      <w:bCs/>
                      <w:sz w:val="16"/>
                      <w:szCs w:val="16"/>
                      <w:lang w:val="en-US"/>
                    </w:rPr>
                    <w:t>82</w:t>
                  </w:r>
                  <w:r w:rsidR="004379F8">
                    <w:rPr>
                      <w:bCs/>
                      <w:sz w:val="16"/>
                      <w:szCs w:val="16"/>
                      <w:lang w:val="en-US"/>
                    </w:rPr>
                    <w:t>.</w:t>
                  </w:r>
                  <w:r w:rsidRPr="006A167A">
                    <w:rPr>
                      <w:bCs/>
                      <w:sz w:val="16"/>
                      <w:szCs w:val="16"/>
                      <w:lang w:val="en-US"/>
                    </w:rPr>
                    <w:t>7197</w:t>
                  </w:r>
                </w:p>
              </w:tc>
              <w:tc>
                <w:tcPr>
                  <w:tcW w:w="807" w:type="dxa"/>
                  <w:shd w:val="clear" w:color="auto" w:fill="auto"/>
                  <w:vAlign w:val="center"/>
                </w:tcPr>
                <w:p w14:paraId="31195454" w14:textId="11EC36AD" w:rsidR="003C6E76" w:rsidRPr="006A167A" w:rsidRDefault="003C6E76" w:rsidP="007F2766">
                  <w:pPr>
                    <w:spacing w:line="240" w:lineRule="auto"/>
                    <w:jc w:val="center"/>
                    <w:rPr>
                      <w:bCs/>
                      <w:sz w:val="16"/>
                      <w:szCs w:val="16"/>
                      <w:lang w:val="en-US"/>
                    </w:rPr>
                  </w:pPr>
                  <w:r w:rsidRPr="006A167A">
                    <w:rPr>
                      <w:bCs/>
                      <w:sz w:val="16"/>
                      <w:szCs w:val="16"/>
                      <w:lang w:val="en-US"/>
                    </w:rPr>
                    <w:t>0</w:t>
                  </w:r>
                  <w:r w:rsidR="004379F8">
                    <w:rPr>
                      <w:bCs/>
                      <w:sz w:val="16"/>
                      <w:szCs w:val="16"/>
                      <w:lang w:val="en-US"/>
                    </w:rPr>
                    <w:t>.</w:t>
                  </w:r>
                  <w:r w:rsidRPr="006A167A">
                    <w:rPr>
                      <w:bCs/>
                      <w:sz w:val="16"/>
                      <w:szCs w:val="16"/>
                      <w:lang w:val="en-US"/>
                    </w:rPr>
                    <w:t>9087</w:t>
                  </w:r>
                </w:p>
              </w:tc>
              <w:tc>
                <w:tcPr>
                  <w:tcW w:w="971" w:type="dxa"/>
                  <w:shd w:val="clear" w:color="auto" w:fill="auto"/>
                  <w:vAlign w:val="center"/>
                </w:tcPr>
                <w:p w14:paraId="33C4F302" w14:textId="1E65F61B" w:rsidR="003C6E76" w:rsidRPr="006A167A" w:rsidRDefault="003C6E76" w:rsidP="007F2766">
                  <w:pPr>
                    <w:spacing w:line="240" w:lineRule="auto"/>
                    <w:jc w:val="center"/>
                    <w:rPr>
                      <w:bCs/>
                      <w:sz w:val="16"/>
                      <w:szCs w:val="16"/>
                      <w:lang w:val="en-US"/>
                    </w:rPr>
                  </w:pPr>
                  <w:r w:rsidRPr="006A167A">
                    <w:rPr>
                      <w:bCs/>
                      <w:sz w:val="16"/>
                      <w:szCs w:val="16"/>
                      <w:lang w:val="en-US"/>
                    </w:rPr>
                    <w:t>0</w:t>
                  </w:r>
                  <w:r w:rsidR="00D110A0">
                    <w:rPr>
                      <w:bCs/>
                      <w:sz w:val="16"/>
                      <w:szCs w:val="16"/>
                      <w:lang w:val="en-US"/>
                    </w:rPr>
                    <w:t>.</w:t>
                  </w:r>
                  <w:r w:rsidRPr="006A167A">
                    <w:rPr>
                      <w:bCs/>
                      <w:sz w:val="16"/>
                      <w:szCs w:val="16"/>
                      <w:lang w:val="en-US"/>
                    </w:rPr>
                    <w:t>9000</w:t>
                  </w:r>
                </w:p>
              </w:tc>
            </w:tr>
            <w:tr w:rsidR="007F2766" w:rsidRPr="006A167A" w14:paraId="59E62541" w14:textId="77777777" w:rsidTr="009108D8">
              <w:trPr>
                <w:trHeight w:val="396"/>
              </w:trPr>
              <w:tc>
                <w:tcPr>
                  <w:tcW w:w="793" w:type="dxa"/>
                  <w:shd w:val="clear" w:color="auto" w:fill="auto"/>
                  <w:vAlign w:val="center"/>
                </w:tcPr>
                <w:p w14:paraId="39D1254B" w14:textId="77777777" w:rsidR="003C6E76" w:rsidRPr="006A167A" w:rsidRDefault="003C6E76" w:rsidP="003C6E76">
                  <w:pPr>
                    <w:spacing w:line="240" w:lineRule="auto"/>
                    <w:jc w:val="center"/>
                    <w:rPr>
                      <w:bCs/>
                      <w:sz w:val="16"/>
                      <w:szCs w:val="16"/>
                      <w:lang w:val="en-US"/>
                    </w:rPr>
                  </w:pPr>
                </w:p>
              </w:tc>
              <w:tc>
                <w:tcPr>
                  <w:tcW w:w="945" w:type="dxa"/>
                  <w:shd w:val="clear" w:color="auto" w:fill="auto"/>
                  <w:vAlign w:val="center"/>
                </w:tcPr>
                <w:p w14:paraId="279075BB" w14:textId="77777777" w:rsidR="003C6E76" w:rsidRPr="006A167A" w:rsidRDefault="003C6E76" w:rsidP="007F2766">
                  <w:pPr>
                    <w:spacing w:line="240" w:lineRule="auto"/>
                    <w:jc w:val="center"/>
                    <w:rPr>
                      <w:bCs/>
                      <w:sz w:val="16"/>
                      <w:szCs w:val="16"/>
                      <w:lang w:val="en-US"/>
                    </w:rPr>
                  </w:pPr>
                </w:p>
              </w:tc>
              <w:tc>
                <w:tcPr>
                  <w:tcW w:w="1095" w:type="dxa"/>
                  <w:shd w:val="clear" w:color="auto" w:fill="auto"/>
                  <w:vAlign w:val="center"/>
                </w:tcPr>
                <w:p w14:paraId="6C014559" w14:textId="6FF8F1A8" w:rsidR="003C6E76" w:rsidRPr="006A167A" w:rsidRDefault="009D1FA9" w:rsidP="007F2766">
                  <w:pPr>
                    <w:spacing w:line="240" w:lineRule="auto"/>
                    <w:jc w:val="center"/>
                    <w:rPr>
                      <w:bCs/>
                      <w:sz w:val="16"/>
                      <w:szCs w:val="16"/>
                      <w:lang w:val="en-US"/>
                    </w:rPr>
                  </w:pPr>
                  <w:r w:rsidRPr="006A167A">
                    <w:rPr>
                      <w:bCs/>
                      <w:sz w:val="16"/>
                      <w:szCs w:val="16"/>
                      <w:lang w:val="en-US"/>
                    </w:rPr>
                    <w:t>Average</w:t>
                  </w:r>
                </w:p>
              </w:tc>
              <w:tc>
                <w:tcPr>
                  <w:tcW w:w="807" w:type="dxa"/>
                  <w:shd w:val="clear" w:color="auto" w:fill="auto"/>
                  <w:vAlign w:val="center"/>
                </w:tcPr>
                <w:p w14:paraId="07CE4CF0" w14:textId="1CA30AFF" w:rsidR="003C6E76" w:rsidRPr="006A167A" w:rsidRDefault="003C6E76" w:rsidP="007F2766">
                  <w:pPr>
                    <w:spacing w:line="240" w:lineRule="auto"/>
                    <w:jc w:val="center"/>
                    <w:rPr>
                      <w:bCs/>
                      <w:sz w:val="16"/>
                      <w:szCs w:val="16"/>
                      <w:lang w:val="en-US"/>
                    </w:rPr>
                  </w:pPr>
                  <w:r w:rsidRPr="006A167A">
                    <w:rPr>
                      <w:bCs/>
                      <w:sz w:val="16"/>
                      <w:szCs w:val="16"/>
                      <w:lang w:val="en-US"/>
                    </w:rPr>
                    <w:t>0</w:t>
                  </w:r>
                  <w:r w:rsidR="00D110A0">
                    <w:rPr>
                      <w:bCs/>
                      <w:sz w:val="16"/>
                      <w:szCs w:val="16"/>
                      <w:lang w:val="en-US"/>
                    </w:rPr>
                    <w:t>.</w:t>
                  </w:r>
                  <w:r w:rsidRPr="006A167A">
                    <w:rPr>
                      <w:bCs/>
                      <w:sz w:val="16"/>
                      <w:szCs w:val="16"/>
                      <w:lang w:val="en-US"/>
                    </w:rPr>
                    <w:t>9075</w:t>
                  </w:r>
                </w:p>
              </w:tc>
              <w:tc>
                <w:tcPr>
                  <w:tcW w:w="971" w:type="dxa"/>
                  <w:shd w:val="clear" w:color="auto" w:fill="auto"/>
                  <w:vAlign w:val="center"/>
                </w:tcPr>
                <w:p w14:paraId="106A525B" w14:textId="1C6F7CF8" w:rsidR="003C6E76" w:rsidRPr="006A167A" w:rsidRDefault="003C6E76" w:rsidP="007F2766">
                  <w:pPr>
                    <w:spacing w:line="240" w:lineRule="auto"/>
                    <w:jc w:val="center"/>
                    <w:rPr>
                      <w:bCs/>
                      <w:sz w:val="16"/>
                      <w:szCs w:val="16"/>
                      <w:lang w:val="en-US"/>
                    </w:rPr>
                  </w:pPr>
                  <w:r w:rsidRPr="006A167A">
                    <w:rPr>
                      <w:bCs/>
                      <w:sz w:val="16"/>
                      <w:szCs w:val="16"/>
                      <w:lang w:val="en-US"/>
                    </w:rPr>
                    <w:t>0</w:t>
                  </w:r>
                  <w:r w:rsidR="00D110A0">
                    <w:rPr>
                      <w:bCs/>
                      <w:sz w:val="16"/>
                      <w:szCs w:val="16"/>
                      <w:lang w:val="en-US"/>
                    </w:rPr>
                    <w:t>.</w:t>
                  </w:r>
                  <w:r w:rsidRPr="006A167A">
                    <w:rPr>
                      <w:bCs/>
                      <w:sz w:val="16"/>
                      <w:szCs w:val="16"/>
                      <w:lang w:val="en-US"/>
                    </w:rPr>
                    <w:t>8990</w:t>
                  </w:r>
                </w:p>
              </w:tc>
            </w:tr>
          </w:tbl>
          <w:p w14:paraId="52C59DB5" w14:textId="77777777" w:rsidR="00FF61BE" w:rsidRPr="006A167A" w:rsidRDefault="00FF61BE" w:rsidP="00B23EC4">
            <w:pPr>
              <w:pStyle w:val="CETTabletitle"/>
              <w:rPr>
                <w:sz w:val="16"/>
                <w:szCs w:val="16"/>
                <w:shd w:val="clear" w:color="auto" w:fill="FFFFFF"/>
                <w:lang w:val="en-US"/>
              </w:rPr>
            </w:pPr>
          </w:p>
        </w:tc>
        <w:tc>
          <w:tcPr>
            <w:tcW w:w="3868" w:type="dxa"/>
          </w:tcPr>
          <w:tbl>
            <w:tblPr>
              <w:tblStyle w:val="Tablaconcuadrcula"/>
              <w:tblW w:w="3598" w:type="dxa"/>
              <w:jc w:val="center"/>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ayout w:type="fixed"/>
              <w:tblLook w:val="04A0" w:firstRow="1" w:lastRow="0" w:firstColumn="1" w:lastColumn="0" w:noHBand="0" w:noVBand="1"/>
            </w:tblPr>
            <w:tblGrid>
              <w:gridCol w:w="813"/>
              <w:gridCol w:w="648"/>
              <w:gridCol w:w="674"/>
              <w:gridCol w:w="791"/>
              <w:gridCol w:w="672"/>
            </w:tblGrid>
            <w:tr w:rsidR="00896C0D" w:rsidRPr="006A167A" w14:paraId="418256B2" w14:textId="77777777" w:rsidTr="009108D8">
              <w:trPr>
                <w:trHeight w:val="148"/>
                <w:jc w:val="center"/>
              </w:trPr>
              <w:tc>
                <w:tcPr>
                  <w:tcW w:w="813" w:type="dxa"/>
                  <w:vMerge w:val="restart"/>
                  <w:tcBorders>
                    <w:top w:val="single" w:sz="12" w:space="0" w:color="008000"/>
                    <w:bottom w:val="nil"/>
                  </w:tcBorders>
                  <w:shd w:val="clear" w:color="auto" w:fill="auto"/>
                  <w:vAlign w:val="center"/>
                </w:tcPr>
                <w:p w14:paraId="65CCB088" w14:textId="102A7F38" w:rsidR="003C6E76" w:rsidRPr="006A167A" w:rsidRDefault="009D1FA9" w:rsidP="003C6E76">
                  <w:pPr>
                    <w:pStyle w:val="CETBodytext"/>
                    <w:rPr>
                      <w:sz w:val="16"/>
                      <w:szCs w:val="16"/>
                    </w:rPr>
                  </w:pPr>
                  <w:r w:rsidRPr="006A167A">
                    <w:rPr>
                      <w:sz w:val="16"/>
                      <w:szCs w:val="16"/>
                    </w:rPr>
                    <w:t>Sample</w:t>
                  </w:r>
                </w:p>
              </w:tc>
              <w:tc>
                <w:tcPr>
                  <w:tcW w:w="2785" w:type="dxa"/>
                  <w:gridSpan w:val="4"/>
                  <w:tcBorders>
                    <w:top w:val="single" w:sz="12" w:space="0" w:color="008000"/>
                    <w:bottom w:val="single" w:sz="6" w:space="0" w:color="008000"/>
                  </w:tcBorders>
                  <w:shd w:val="clear" w:color="auto" w:fill="auto"/>
                  <w:vAlign w:val="center"/>
                </w:tcPr>
                <w:p w14:paraId="789D3189" w14:textId="14E0219D" w:rsidR="003C6E76" w:rsidRPr="006A167A" w:rsidRDefault="009D1FA9" w:rsidP="009108D8">
                  <w:pPr>
                    <w:pStyle w:val="CETBodytext"/>
                    <w:jc w:val="center"/>
                    <w:rPr>
                      <w:sz w:val="16"/>
                      <w:szCs w:val="16"/>
                    </w:rPr>
                  </w:pPr>
                  <w:r w:rsidRPr="006A167A">
                    <w:rPr>
                      <w:sz w:val="16"/>
                      <w:szCs w:val="16"/>
                    </w:rPr>
                    <w:t>Drop time</w:t>
                  </w:r>
                </w:p>
              </w:tc>
            </w:tr>
            <w:tr w:rsidR="003C6E76" w:rsidRPr="006A167A" w14:paraId="1E97D6E1" w14:textId="77777777" w:rsidTr="009108D8">
              <w:trPr>
                <w:trHeight w:val="148"/>
                <w:jc w:val="center"/>
              </w:trPr>
              <w:tc>
                <w:tcPr>
                  <w:tcW w:w="813" w:type="dxa"/>
                  <w:vMerge/>
                  <w:tcBorders>
                    <w:top w:val="nil"/>
                    <w:bottom w:val="nil"/>
                  </w:tcBorders>
                  <w:shd w:val="clear" w:color="auto" w:fill="auto"/>
                  <w:vAlign w:val="center"/>
                </w:tcPr>
                <w:p w14:paraId="4044C34E" w14:textId="77777777" w:rsidR="003C6E76" w:rsidRPr="006A167A" w:rsidRDefault="003C6E76" w:rsidP="003C6E76">
                  <w:pPr>
                    <w:pStyle w:val="CETBodytext"/>
                    <w:rPr>
                      <w:sz w:val="16"/>
                      <w:szCs w:val="16"/>
                    </w:rPr>
                  </w:pPr>
                </w:p>
              </w:tc>
              <w:tc>
                <w:tcPr>
                  <w:tcW w:w="1322" w:type="dxa"/>
                  <w:gridSpan w:val="2"/>
                  <w:tcBorders>
                    <w:top w:val="single" w:sz="6" w:space="0" w:color="008000"/>
                    <w:bottom w:val="nil"/>
                  </w:tcBorders>
                  <w:shd w:val="clear" w:color="auto" w:fill="auto"/>
                  <w:vAlign w:val="center"/>
                </w:tcPr>
                <w:p w14:paraId="29055C9B" w14:textId="523EE019" w:rsidR="003C6E76" w:rsidRPr="006A167A" w:rsidRDefault="009D1FA9" w:rsidP="003C6E76">
                  <w:pPr>
                    <w:pStyle w:val="CETBodytext"/>
                    <w:rPr>
                      <w:sz w:val="16"/>
                      <w:szCs w:val="16"/>
                    </w:rPr>
                  </w:pPr>
                  <w:r w:rsidRPr="006A167A">
                    <w:rPr>
                      <w:sz w:val="16"/>
                      <w:szCs w:val="16"/>
                    </w:rPr>
                    <w:t>Distilled water</w:t>
                  </w:r>
                </w:p>
              </w:tc>
              <w:tc>
                <w:tcPr>
                  <w:tcW w:w="1462" w:type="dxa"/>
                  <w:gridSpan w:val="2"/>
                  <w:tcBorders>
                    <w:top w:val="single" w:sz="6" w:space="0" w:color="008000"/>
                    <w:bottom w:val="nil"/>
                  </w:tcBorders>
                  <w:shd w:val="clear" w:color="auto" w:fill="auto"/>
                  <w:vAlign w:val="center"/>
                </w:tcPr>
                <w:p w14:paraId="4DBE74E8" w14:textId="0F3B30FB" w:rsidR="003C6E76" w:rsidRPr="006A167A" w:rsidRDefault="009D1FA9" w:rsidP="009108D8">
                  <w:pPr>
                    <w:pStyle w:val="CETBodytext"/>
                    <w:jc w:val="center"/>
                    <w:rPr>
                      <w:sz w:val="16"/>
                      <w:szCs w:val="16"/>
                    </w:rPr>
                  </w:pPr>
                  <w:r w:rsidRPr="006A167A">
                    <w:rPr>
                      <w:sz w:val="16"/>
                      <w:szCs w:val="16"/>
                    </w:rPr>
                    <w:t>Biofuel</w:t>
                  </w:r>
                </w:p>
              </w:tc>
            </w:tr>
            <w:tr w:rsidR="003C6E76" w:rsidRPr="006A167A" w14:paraId="31ED180F" w14:textId="77777777" w:rsidTr="009108D8">
              <w:trPr>
                <w:trHeight w:val="122"/>
                <w:jc w:val="center"/>
              </w:trPr>
              <w:tc>
                <w:tcPr>
                  <w:tcW w:w="813" w:type="dxa"/>
                  <w:vMerge/>
                  <w:tcBorders>
                    <w:top w:val="nil"/>
                    <w:bottom w:val="single" w:sz="4" w:space="0" w:color="008000"/>
                  </w:tcBorders>
                  <w:shd w:val="clear" w:color="auto" w:fill="auto"/>
                  <w:vAlign w:val="center"/>
                </w:tcPr>
                <w:p w14:paraId="421B2D1C" w14:textId="77777777" w:rsidR="003C6E76" w:rsidRPr="006A167A" w:rsidRDefault="003C6E76" w:rsidP="003C6E76">
                  <w:pPr>
                    <w:pStyle w:val="CETBodytext"/>
                    <w:rPr>
                      <w:sz w:val="16"/>
                      <w:szCs w:val="16"/>
                    </w:rPr>
                  </w:pPr>
                </w:p>
              </w:tc>
              <w:tc>
                <w:tcPr>
                  <w:tcW w:w="648" w:type="dxa"/>
                  <w:tcBorders>
                    <w:top w:val="nil"/>
                    <w:bottom w:val="single" w:sz="4" w:space="0" w:color="008000"/>
                  </w:tcBorders>
                  <w:shd w:val="clear" w:color="auto" w:fill="auto"/>
                  <w:vAlign w:val="center"/>
                </w:tcPr>
                <w:p w14:paraId="279E6DEE" w14:textId="6A6FF55D" w:rsidR="003C6E76" w:rsidRPr="006A167A" w:rsidRDefault="003C6E76" w:rsidP="003C6E76">
                  <w:pPr>
                    <w:pStyle w:val="CETBodytext"/>
                    <w:rPr>
                      <w:sz w:val="16"/>
                      <w:szCs w:val="16"/>
                    </w:rPr>
                  </w:pPr>
                  <w:r w:rsidRPr="006A167A">
                    <w:rPr>
                      <w:sz w:val="16"/>
                      <w:szCs w:val="16"/>
                    </w:rPr>
                    <w:t>25</w:t>
                  </w:r>
                  <w:r w:rsidR="006A167A" w:rsidRPr="006A167A">
                    <w:rPr>
                      <w:sz w:val="16"/>
                      <w:szCs w:val="16"/>
                    </w:rPr>
                    <w:t xml:space="preserve"> </w:t>
                  </w:r>
                  <w:r w:rsidRPr="006A167A">
                    <w:rPr>
                      <w:sz w:val="16"/>
                      <w:szCs w:val="16"/>
                    </w:rPr>
                    <w:t>°C</w:t>
                  </w:r>
                </w:p>
              </w:tc>
              <w:tc>
                <w:tcPr>
                  <w:tcW w:w="674" w:type="dxa"/>
                  <w:tcBorders>
                    <w:top w:val="nil"/>
                    <w:bottom w:val="single" w:sz="4" w:space="0" w:color="008000"/>
                  </w:tcBorders>
                  <w:shd w:val="clear" w:color="auto" w:fill="auto"/>
                  <w:vAlign w:val="center"/>
                </w:tcPr>
                <w:p w14:paraId="03EC0660" w14:textId="6424D3D7" w:rsidR="003C6E76" w:rsidRPr="006A167A" w:rsidRDefault="003C6E76" w:rsidP="003C6E76">
                  <w:pPr>
                    <w:pStyle w:val="CETBodytext"/>
                    <w:rPr>
                      <w:sz w:val="16"/>
                      <w:szCs w:val="16"/>
                    </w:rPr>
                  </w:pPr>
                  <w:r w:rsidRPr="006A167A">
                    <w:rPr>
                      <w:sz w:val="16"/>
                      <w:szCs w:val="16"/>
                    </w:rPr>
                    <w:t>40</w:t>
                  </w:r>
                  <w:r w:rsidR="006A167A" w:rsidRPr="006A167A">
                    <w:rPr>
                      <w:sz w:val="16"/>
                      <w:szCs w:val="16"/>
                    </w:rPr>
                    <w:t xml:space="preserve"> </w:t>
                  </w:r>
                  <w:r w:rsidRPr="006A167A">
                    <w:rPr>
                      <w:sz w:val="16"/>
                      <w:szCs w:val="16"/>
                    </w:rPr>
                    <w:t>°C</w:t>
                  </w:r>
                </w:p>
              </w:tc>
              <w:tc>
                <w:tcPr>
                  <w:tcW w:w="791" w:type="dxa"/>
                  <w:tcBorders>
                    <w:top w:val="nil"/>
                    <w:bottom w:val="single" w:sz="4" w:space="0" w:color="008000"/>
                  </w:tcBorders>
                  <w:shd w:val="clear" w:color="auto" w:fill="auto"/>
                  <w:vAlign w:val="center"/>
                </w:tcPr>
                <w:p w14:paraId="10BD4C39" w14:textId="73DFBDE3" w:rsidR="003C6E76" w:rsidRPr="006A167A" w:rsidRDefault="003C6E76" w:rsidP="003C6E76">
                  <w:pPr>
                    <w:pStyle w:val="CETBodytext"/>
                    <w:rPr>
                      <w:sz w:val="16"/>
                      <w:szCs w:val="16"/>
                    </w:rPr>
                  </w:pPr>
                  <w:r w:rsidRPr="006A167A">
                    <w:rPr>
                      <w:sz w:val="16"/>
                      <w:szCs w:val="16"/>
                    </w:rPr>
                    <w:t>25</w:t>
                  </w:r>
                  <w:r w:rsidR="006A167A" w:rsidRPr="006A167A">
                    <w:rPr>
                      <w:sz w:val="16"/>
                      <w:szCs w:val="16"/>
                    </w:rPr>
                    <w:t xml:space="preserve"> </w:t>
                  </w:r>
                  <w:r w:rsidRPr="006A167A">
                    <w:rPr>
                      <w:sz w:val="16"/>
                      <w:szCs w:val="16"/>
                    </w:rPr>
                    <w:t>°C</w:t>
                  </w:r>
                </w:p>
              </w:tc>
              <w:tc>
                <w:tcPr>
                  <w:tcW w:w="671" w:type="dxa"/>
                  <w:tcBorders>
                    <w:top w:val="nil"/>
                    <w:bottom w:val="single" w:sz="4" w:space="0" w:color="008000"/>
                  </w:tcBorders>
                  <w:shd w:val="clear" w:color="auto" w:fill="auto"/>
                  <w:vAlign w:val="center"/>
                </w:tcPr>
                <w:p w14:paraId="4921D4CA" w14:textId="6984A50C" w:rsidR="003C6E76" w:rsidRPr="006A167A" w:rsidRDefault="003C6E76" w:rsidP="003C6E76">
                  <w:pPr>
                    <w:pStyle w:val="CETBodytext"/>
                    <w:rPr>
                      <w:sz w:val="16"/>
                      <w:szCs w:val="16"/>
                    </w:rPr>
                  </w:pPr>
                  <w:r w:rsidRPr="006A167A">
                    <w:rPr>
                      <w:sz w:val="16"/>
                      <w:szCs w:val="16"/>
                    </w:rPr>
                    <w:t>40</w:t>
                  </w:r>
                  <w:r w:rsidR="006A167A" w:rsidRPr="006A167A">
                    <w:rPr>
                      <w:sz w:val="16"/>
                      <w:szCs w:val="16"/>
                    </w:rPr>
                    <w:t xml:space="preserve"> </w:t>
                  </w:r>
                  <w:r w:rsidRPr="006A167A">
                    <w:rPr>
                      <w:sz w:val="16"/>
                      <w:szCs w:val="16"/>
                    </w:rPr>
                    <w:t>°C</w:t>
                  </w:r>
                </w:p>
              </w:tc>
            </w:tr>
            <w:tr w:rsidR="003C6E76" w:rsidRPr="006A167A" w14:paraId="4E22F1CC" w14:textId="77777777" w:rsidTr="009108D8">
              <w:trPr>
                <w:trHeight w:val="156"/>
                <w:jc w:val="center"/>
              </w:trPr>
              <w:tc>
                <w:tcPr>
                  <w:tcW w:w="813" w:type="dxa"/>
                  <w:tcBorders>
                    <w:top w:val="single" w:sz="4" w:space="0" w:color="008000"/>
                  </w:tcBorders>
                  <w:shd w:val="clear" w:color="auto" w:fill="auto"/>
                  <w:vAlign w:val="center"/>
                </w:tcPr>
                <w:p w14:paraId="6FC0C6A5" w14:textId="77777777" w:rsidR="003C6E76" w:rsidRPr="006A167A" w:rsidRDefault="003C6E76" w:rsidP="003C6E76">
                  <w:pPr>
                    <w:pStyle w:val="CETBodytext"/>
                    <w:rPr>
                      <w:sz w:val="16"/>
                      <w:szCs w:val="16"/>
                    </w:rPr>
                  </w:pPr>
                  <w:r w:rsidRPr="006A167A">
                    <w:rPr>
                      <w:sz w:val="16"/>
                      <w:szCs w:val="16"/>
                    </w:rPr>
                    <w:t>M1</w:t>
                  </w:r>
                </w:p>
              </w:tc>
              <w:tc>
                <w:tcPr>
                  <w:tcW w:w="648" w:type="dxa"/>
                  <w:tcBorders>
                    <w:top w:val="single" w:sz="4" w:space="0" w:color="008000"/>
                  </w:tcBorders>
                  <w:shd w:val="clear" w:color="auto" w:fill="auto"/>
                  <w:vAlign w:val="center"/>
                </w:tcPr>
                <w:p w14:paraId="5191A7EB" w14:textId="0A816743" w:rsidR="003C6E76" w:rsidRPr="006A167A" w:rsidRDefault="003C6E76" w:rsidP="003C6E76">
                  <w:pPr>
                    <w:pStyle w:val="CETBodytext"/>
                    <w:rPr>
                      <w:sz w:val="16"/>
                      <w:szCs w:val="16"/>
                    </w:rPr>
                  </w:pPr>
                  <w:r w:rsidRPr="006A167A">
                    <w:rPr>
                      <w:sz w:val="16"/>
                      <w:szCs w:val="16"/>
                    </w:rPr>
                    <w:t>2</w:t>
                  </w:r>
                  <w:r w:rsidR="00CC3A3F">
                    <w:rPr>
                      <w:sz w:val="16"/>
                      <w:szCs w:val="16"/>
                    </w:rPr>
                    <w:t>.</w:t>
                  </w:r>
                  <w:r w:rsidRPr="006A167A">
                    <w:rPr>
                      <w:sz w:val="16"/>
                      <w:szCs w:val="16"/>
                    </w:rPr>
                    <w:t>71"</w:t>
                  </w:r>
                </w:p>
              </w:tc>
              <w:tc>
                <w:tcPr>
                  <w:tcW w:w="674" w:type="dxa"/>
                  <w:tcBorders>
                    <w:top w:val="single" w:sz="4" w:space="0" w:color="008000"/>
                  </w:tcBorders>
                  <w:shd w:val="clear" w:color="auto" w:fill="auto"/>
                  <w:vAlign w:val="center"/>
                </w:tcPr>
                <w:p w14:paraId="5BE3C580" w14:textId="547CCFE3" w:rsidR="003C6E76" w:rsidRPr="006A167A" w:rsidRDefault="003C6E76" w:rsidP="003C6E76">
                  <w:pPr>
                    <w:pStyle w:val="CETBodytext"/>
                    <w:rPr>
                      <w:sz w:val="16"/>
                      <w:szCs w:val="16"/>
                    </w:rPr>
                  </w:pPr>
                  <w:r w:rsidRPr="006A167A">
                    <w:rPr>
                      <w:sz w:val="16"/>
                      <w:szCs w:val="16"/>
                    </w:rPr>
                    <w:t>2</w:t>
                  </w:r>
                  <w:r w:rsidR="00CC3A3F">
                    <w:rPr>
                      <w:sz w:val="16"/>
                      <w:szCs w:val="16"/>
                    </w:rPr>
                    <w:t>.</w:t>
                  </w:r>
                  <w:r w:rsidRPr="006A167A">
                    <w:rPr>
                      <w:sz w:val="16"/>
                      <w:szCs w:val="16"/>
                    </w:rPr>
                    <w:t>5"</w:t>
                  </w:r>
                </w:p>
              </w:tc>
              <w:tc>
                <w:tcPr>
                  <w:tcW w:w="791" w:type="dxa"/>
                  <w:tcBorders>
                    <w:top w:val="single" w:sz="4" w:space="0" w:color="008000"/>
                  </w:tcBorders>
                  <w:shd w:val="clear" w:color="auto" w:fill="auto"/>
                  <w:vAlign w:val="center"/>
                </w:tcPr>
                <w:p w14:paraId="4C1CA541" w14:textId="0A1F4C55" w:rsidR="003C6E76" w:rsidRPr="006A167A" w:rsidRDefault="003C6E76" w:rsidP="003C6E76">
                  <w:pPr>
                    <w:pStyle w:val="CETBodytext"/>
                    <w:rPr>
                      <w:sz w:val="16"/>
                      <w:szCs w:val="16"/>
                    </w:rPr>
                  </w:pPr>
                  <w:r w:rsidRPr="006A167A">
                    <w:rPr>
                      <w:sz w:val="16"/>
                      <w:szCs w:val="16"/>
                    </w:rPr>
                    <w:t>12</w:t>
                  </w:r>
                  <w:r w:rsidR="00D110A0">
                    <w:rPr>
                      <w:sz w:val="16"/>
                      <w:szCs w:val="16"/>
                    </w:rPr>
                    <w:t>.</w:t>
                  </w:r>
                  <w:r w:rsidRPr="006A167A">
                    <w:rPr>
                      <w:sz w:val="16"/>
                      <w:szCs w:val="16"/>
                    </w:rPr>
                    <w:t>21"</w:t>
                  </w:r>
                </w:p>
              </w:tc>
              <w:tc>
                <w:tcPr>
                  <w:tcW w:w="671" w:type="dxa"/>
                  <w:tcBorders>
                    <w:top w:val="single" w:sz="4" w:space="0" w:color="008000"/>
                  </w:tcBorders>
                  <w:shd w:val="clear" w:color="auto" w:fill="auto"/>
                  <w:vAlign w:val="center"/>
                </w:tcPr>
                <w:p w14:paraId="01FC7BB8" w14:textId="053365BA" w:rsidR="003C6E76" w:rsidRPr="006A167A" w:rsidRDefault="003C6E76" w:rsidP="003C6E76">
                  <w:pPr>
                    <w:pStyle w:val="CETBodytext"/>
                    <w:rPr>
                      <w:sz w:val="16"/>
                      <w:szCs w:val="16"/>
                    </w:rPr>
                  </w:pPr>
                  <w:r w:rsidRPr="006A167A">
                    <w:rPr>
                      <w:sz w:val="16"/>
                      <w:szCs w:val="16"/>
                    </w:rPr>
                    <w:t>8</w:t>
                  </w:r>
                  <w:r w:rsidR="00D110A0">
                    <w:rPr>
                      <w:sz w:val="16"/>
                      <w:szCs w:val="16"/>
                    </w:rPr>
                    <w:t>.</w:t>
                  </w:r>
                  <w:r w:rsidRPr="006A167A">
                    <w:rPr>
                      <w:sz w:val="16"/>
                      <w:szCs w:val="16"/>
                    </w:rPr>
                    <w:t>88"</w:t>
                  </w:r>
                </w:p>
              </w:tc>
            </w:tr>
            <w:tr w:rsidR="003C6E76" w:rsidRPr="006A167A" w14:paraId="5A3C9C46" w14:textId="77777777" w:rsidTr="009108D8">
              <w:trPr>
                <w:trHeight w:val="156"/>
                <w:jc w:val="center"/>
              </w:trPr>
              <w:tc>
                <w:tcPr>
                  <w:tcW w:w="813" w:type="dxa"/>
                  <w:shd w:val="clear" w:color="auto" w:fill="auto"/>
                  <w:vAlign w:val="center"/>
                </w:tcPr>
                <w:p w14:paraId="2DA3028B" w14:textId="77777777" w:rsidR="003C6E76" w:rsidRPr="006A167A" w:rsidRDefault="003C6E76" w:rsidP="003C6E76">
                  <w:pPr>
                    <w:pStyle w:val="CETBodytext"/>
                    <w:rPr>
                      <w:sz w:val="16"/>
                      <w:szCs w:val="16"/>
                    </w:rPr>
                  </w:pPr>
                  <w:r w:rsidRPr="006A167A">
                    <w:rPr>
                      <w:sz w:val="16"/>
                      <w:szCs w:val="16"/>
                    </w:rPr>
                    <w:t>M2</w:t>
                  </w:r>
                </w:p>
              </w:tc>
              <w:tc>
                <w:tcPr>
                  <w:tcW w:w="648" w:type="dxa"/>
                  <w:shd w:val="clear" w:color="auto" w:fill="auto"/>
                  <w:vAlign w:val="center"/>
                </w:tcPr>
                <w:p w14:paraId="61A55A66" w14:textId="73867294" w:rsidR="003C6E76" w:rsidRPr="006A167A" w:rsidRDefault="003C6E76" w:rsidP="003C6E76">
                  <w:pPr>
                    <w:pStyle w:val="CETBodytext"/>
                    <w:rPr>
                      <w:sz w:val="16"/>
                      <w:szCs w:val="16"/>
                    </w:rPr>
                  </w:pPr>
                  <w:r w:rsidRPr="006A167A">
                    <w:rPr>
                      <w:sz w:val="16"/>
                      <w:szCs w:val="16"/>
                    </w:rPr>
                    <w:t>2</w:t>
                  </w:r>
                  <w:r w:rsidR="00CC3A3F">
                    <w:rPr>
                      <w:sz w:val="16"/>
                      <w:szCs w:val="16"/>
                    </w:rPr>
                    <w:t>.</w:t>
                  </w:r>
                  <w:r w:rsidRPr="006A167A">
                    <w:rPr>
                      <w:sz w:val="16"/>
                      <w:szCs w:val="16"/>
                    </w:rPr>
                    <w:t>77"</w:t>
                  </w:r>
                </w:p>
              </w:tc>
              <w:tc>
                <w:tcPr>
                  <w:tcW w:w="674" w:type="dxa"/>
                  <w:shd w:val="clear" w:color="auto" w:fill="auto"/>
                  <w:vAlign w:val="center"/>
                </w:tcPr>
                <w:p w14:paraId="1F89D4F9" w14:textId="5DCD5905" w:rsidR="003C6E76" w:rsidRPr="006A167A" w:rsidRDefault="003C6E76" w:rsidP="003C6E76">
                  <w:pPr>
                    <w:pStyle w:val="CETBodytext"/>
                    <w:rPr>
                      <w:sz w:val="16"/>
                      <w:szCs w:val="16"/>
                    </w:rPr>
                  </w:pPr>
                  <w:r w:rsidRPr="006A167A">
                    <w:rPr>
                      <w:sz w:val="16"/>
                      <w:szCs w:val="16"/>
                    </w:rPr>
                    <w:t>2</w:t>
                  </w:r>
                  <w:r w:rsidR="00CC3A3F">
                    <w:rPr>
                      <w:sz w:val="16"/>
                      <w:szCs w:val="16"/>
                    </w:rPr>
                    <w:t>.</w:t>
                  </w:r>
                  <w:r w:rsidRPr="006A167A">
                    <w:rPr>
                      <w:sz w:val="16"/>
                      <w:szCs w:val="16"/>
                    </w:rPr>
                    <w:t>4"</w:t>
                  </w:r>
                </w:p>
              </w:tc>
              <w:tc>
                <w:tcPr>
                  <w:tcW w:w="791" w:type="dxa"/>
                  <w:shd w:val="clear" w:color="auto" w:fill="auto"/>
                  <w:vAlign w:val="center"/>
                </w:tcPr>
                <w:p w14:paraId="05BC06BD" w14:textId="7EC02D08" w:rsidR="003C6E76" w:rsidRPr="006A167A" w:rsidRDefault="003C6E76" w:rsidP="003C6E76">
                  <w:pPr>
                    <w:pStyle w:val="CETBodytext"/>
                    <w:rPr>
                      <w:sz w:val="16"/>
                      <w:szCs w:val="16"/>
                    </w:rPr>
                  </w:pPr>
                  <w:r w:rsidRPr="006A167A">
                    <w:rPr>
                      <w:sz w:val="16"/>
                      <w:szCs w:val="16"/>
                    </w:rPr>
                    <w:t>12</w:t>
                  </w:r>
                  <w:r w:rsidR="00D110A0">
                    <w:rPr>
                      <w:sz w:val="16"/>
                      <w:szCs w:val="16"/>
                    </w:rPr>
                    <w:t>.</w:t>
                  </w:r>
                  <w:r w:rsidRPr="006A167A">
                    <w:rPr>
                      <w:sz w:val="16"/>
                      <w:szCs w:val="16"/>
                    </w:rPr>
                    <w:t>43"</w:t>
                  </w:r>
                </w:p>
              </w:tc>
              <w:tc>
                <w:tcPr>
                  <w:tcW w:w="671" w:type="dxa"/>
                  <w:shd w:val="clear" w:color="auto" w:fill="auto"/>
                  <w:vAlign w:val="center"/>
                </w:tcPr>
                <w:p w14:paraId="195B2F91" w14:textId="635511D4" w:rsidR="003C6E76" w:rsidRPr="006A167A" w:rsidRDefault="003C6E76" w:rsidP="003C6E76">
                  <w:pPr>
                    <w:pStyle w:val="CETBodytext"/>
                    <w:rPr>
                      <w:sz w:val="16"/>
                      <w:szCs w:val="16"/>
                    </w:rPr>
                  </w:pPr>
                  <w:r w:rsidRPr="006A167A">
                    <w:rPr>
                      <w:sz w:val="16"/>
                      <w:szCs w:val="16"/>
                    </w:rPr>
                    <w:t>8</w:t>
                  </w:r>
                  <w:r w:rsidR="00D110A0">
                    <w:rPr>
                      <w:sz w:val="16"/>
                      <w:szCs w:val="16"/>
                    </w:rPr>
                    <w:t>.</w:t>
                  </w:r>
                  <w:r w:rsidRPr="006A167A">
                    <w:rPr>
                      <w:sz w:val="16"/>
                      <w:szCs w:val="16"/>
                    </w:rPr>
                    <w:t>31"</w:t>
                  </w:r>
                </w:p>
              </w:tc>
            </w:tr>
            <w:tr w:rsidR="003C6E76" w:rsidRPr="006A167A" w14:paraId="5D460CF7" w14:textId="77777777" w:rsidTr="009108D8">
              <w:trPr>
                <w:trHeight w:val="156"/>
                <w:jc w:val="center"/>
              </w:trPr>
              <w:tc>
                <w:tcPr>
                  <w:tcW w:w="813" w:type="dxa"/>
                  <w:shd w:val="clear" w:color="auto" w:fill="auto"/>
                  <w:vAlign w:val="center"/>
                </w:tcPr>
                <w:p w14:paraId="62441806" w14:textId="77777777" w:rsidR="003C6E76" w:rsidRPr="006A167A" w:rsidRDefault="003C6E76" w:rsidP="003C6E76">
                  <w:pPr>
                    <w:pStyle w:val="CETBodytext"/>
                    <w:rPr>
                      <w:sz w:val="16"/>
                      <w:szCs w:val="16"/>
                    </w:rPr>
                  </w:pPr>
                  <w:r w:rsidRPr="006A167A">
                    <w:rPr>
                      <w:sz w:val="16"/>
                      <w:szCs w:val="16"/>
                    </w:rPr>
                    <w:t>M3</w:t>
                  </w:r>
                </w:p>
              </w:tc>
              <w:tc>
                <w:tcPr>
                  <w:tcW w:w="648" w:type="dxa"/>
                  <w:shd w:val="clear" w:color="auto" w:fill="auto"/>
                  <w:vAlign w:val="center"/>
                </w:tcPr>
                <w:p w14:paraId="695A7BEA" w14:textId="332A64CF" w:rsidR="003C6E76" w:rsidRPr="006A167A" w:rsidRDefault="003C6E76" w:rsidP="003C6E76">
                  <w:pPr>
                    <w:pStyle w:val="CETBodytext"/>
                    <w:rPr>
                      <w:sz w:val="16"/>
                      <w:szCs w:val="16"/>
                    </w:rPr>
                  </w:pPr>
                  <w:r w:rsidRPr="006A167A">
                    <w:rPr>
                      <w:sz w:val="16"/>
                      <w:szCs w:val="16"/>
                    </w:rPr>
                    <w:t>2</w:t>
                  </w:r>
                  <w:r w:rsidR="00CC3A3F">
                    <w:rPr>
                      <w:sz w:val="16"/>
                      <w:szCs w:val="16"/>
                    </w:rPr>
                    <w:t>.</w:t>
                  </w:r>
                  <w:r w:rsidRPr="006A167A">
                    <w:rPr>
                      <w:sz w:val="16"/>
                      <w:szCs w:val="16"/>
                    </w:rPr>
                    <w:t>73"</w:t>
                  </w:r>
                </w:p>
              </w:tc>
              <w:tc>
                <w:tcPr>
                  <w:tcW w:w="674" w:type="dxa"/>
                  <w:shd w:val="clear" w:color="auto" w:fill="auto"/>
                  <w:vAlign w:val="center"/>
                </w:tcPr>
                <w:p w14:paraId="4F50A2C3" w14:textId="1FE9C499" w:rsidR="003C6E76" w:rsidRPr="006A167A" w:rsidRDefault="003C6E76" w:rsidP="003C6E76">
                  <w:pPr>
                    <w:pStyle w:val="CETBodytext"/>
                    <w:rPr>
                      <w:sz w:val="16"/>
                      <w:szCs w:val="16"/>
                    </w:rPr>
                  </w:pPr>
                  <w:r w:rsidRPr="006A167A">
                    <w:rPr>
                      <w:sz w:val="16"/>
                      <w:szCs w:val="16"/>
                    </w:rPr>
                    <w:t>2</w:t>
                  </w:r>
                  <w:r w:rsidR="00CC3A3F">
                    <w:rPr>
                      <w:sz w:val="16"/>
                      <w:szCs w:val="16"/>
                    </w:rPr>
                    <w:t>.</w:t>
                  </w:r>
                  <w:r w:rsidRPr="006A167A">
                    <w:rPr>
                      <w:sz w:val="16"/>
                      <w:szCs w:val="16"/>
                    </w:rPr>
                    <w:t>3"</w:t>
                  </w:r>
                </w:p>
              </w:tc>
              <w:tc>
                <w:tcPr>
                  <w:tcW w:w="791" w:type="dxa"/>
                  <w:shd w:val="clear" w:color="auto" w:fill="auto"/>
                  <w:vAlign w:val="center"/>
                </w:tcPr>
                <w:p w14:paraId="6380FC1D" w14:textId="05E1C929" w:rsidR="003C6E76" w:rsidRPr="006A167A" w:rsidRDefault="003C6E76" w:rsidP="003C6E76">
                  <w:pPr>
                    <w:pStyle w:val="CETBodytext"/>
                    <w:rPr>
                      <w:sz w:val="16"/>
                      <w:szCs w:val="16"/>
                    </w:rPr>
                  </w:pPr>
                  <w:r w:rsidRPr="006A167A">
                    <w:rPr>
                      <w:sz w:val="16"/>
                      <w:szCs w:val="16"/>
                    </w:rPr>
                    <w:t>12</w:t>
                  </w:r>
                  <w:r w:rsidR="00D110A0">
                    <w:rPr>
                      <w:sz w:val="16"/>
                      <w:szCs w:val="16"/>
                    </w:rPr>
                    <w:t>.</w:t>
                  </w:r>
                  <w:r w:rsidRPr="006A167A">
                    <w:rPr>
                      <w:sz w:val="16"/>
                      <w:szCs w:val="16"/>
                    </w:rPr>
                    <w:t>32"</w:t>
                  </w:r>
                </w:p>
              </w:tc>
              <w:tc>
                <w:tcPr>
                  <w:tcW w:w="671" w:type="dxa"/>
                  <w:shd w:val="clear" w:color="auto" w:fill="auto"/>
                  <w:vAlign w:val="center"/>
                </w:tcPr>
                <w:p w14:paraId="6654C63D" w14:textId="158FF254" w:rsidR="003C6E76" w:rsidRPr="006A167A" w:rsidRDefault="003C6E76" w:rsidP="003C6E76">
                  <w:pPr>
                    <w:pStyle w:val="CETBodytext"/>
                    <w:rPr>
                      <w:sz w:val="16"/>
                      <w:szCs w:val="16"/>
                    </w:rPr>
                  </w:pPr>
                  <w:r w:rsidRPr="006A167A">
                    <w:rPr>
                      <w:sz w:val="16"/>
                      <w:szCs w:val="16"/>
                    </w:rPr>
                    <w:t>8</w:t>
                  </w:r>
                  <w:r w:rsidR="00D110A0">
                    <w:rPr>
                      <w:sz w:val="16"/>
                      <w:szCs w:val="16"/>
                    </w:rPr>
                    <w:t>.</w:t>
                  </w:r>
                  <w:r w:rsidRPr="006A167A">
                    <w:rPr>
                      <w:sz w:val="16"/>
                      <w:szCs w:val="16"/>
                    </w:rPr>
                    <w:t>31"</w:t>
                  </w:r>
                </w:p>
              </w:tc>
            </w:tr>
            <w:tr w:rsidR="003C6E76" w:rsidRPr="006A167A" w14:paraId="3F143814" w14:textId="77777777" w:rsidTr="009108D8">
              <w:trPr>
                <w:trHeight w:val="292"/>
                <w:jc w:val="center"/>
              </w:trPr>
              <w:tc>
                <w:tcPr>
                  <w:tcW w:w="813" w:type="dxa"/>
                  <w:shd w:val="clear" w:color="auto" w:fill="auto"/>
                  <w:vAlign w:val="center"/>
                </w:tcPr>
                <w:p w14:paraId="636C54C4" w14:textId="7BF9166E" w:rsidR="003C6E76" w:rsidRPr="006A167A" w:rsidRDefault="006A167A" w:rsidP="00896C0D">
                  <w:pPr>
                    <w:pStyle w:val="CETBodytext"/>
                    <w:rPr>
                      <w:sz w:val="16"/>
                      <w:szCs w:val="16"/>
                    </w:rPr>
                  </w:pPr>
                  <w:r w:rsidRPr="006A167A">
                    <w:rPr>
                      <w:sz w:val="16"/>
                      <w:szCs w:val="16"/>
                    </w:rPr>
                    <w:t>Average</w:t>
                  </w:r>
                </w:p>
              </w:tc>
              <w:tc>
                <w:tcPr>
                  <w:tcW w:w="648" w:type="dxa"/>
                  <w:shd w:val="clear" w:color="auto" w:fill="auto"/>
                  <w:vAlign w:val="center"/>
                </w:tcPr>
                <w:p w14:paraId="4DFCD8C4" w14:textId="77777777" w:rsidR="003C6E76" w:rsidRPr="006A167A" w:rsidRDefault="003C6E76" w:rsidP="003C6E76">
                  <w:pPr>
                    <w:pStyle w:val="CETBodytext"/>
                    <w:rPr>
                      <w:sz w:val="16"/>
                      <w:szCs w:val="16"/>
                    </w:rPr>
                  </w:pPr>
                </w:p>
              </w:tc>
              <w:tc>
                <w:tcPr>
                  <w:tcW w:w="674" w:type="dxa"/>
                  <w:shd w:val="clear" w:color="auto" w:fill="auto"/>
                  <w:vAlign w:val="center"/>
                </w:tcPr>
                <w:p w14:paraId="7814B0D0" w14:textId="214DB050" w:rsidR="003C6E76" w:rsidRPr="006A167A" w:rsidRDefault="003C6E76" w:rsidP="003C6E76">
                  <w:pPr>
                    <w:pStyle w:val="CETBodytext"/>
                    <w:rPr>
                      <w:sz w:val="16"/>
                      <w:szCs w:val="16"/>
                    </w:rPr>
                  </w:pPr>
                  <w:r w:rsidRPr="006A167A">
                    <w:rPr>
                      <w:sz w:val="16"/>
                      <w:szCs w:val="16"/>
                    </w:rPr>
                    <w:t>2</w:t>
                  </w:r>
                  <w:r w:rsidR="00CC3A3F">
                    <w:rPr>
                      <w:sz w:val="16"/>
                      <w:szCs w:val="16"/>
                    </w:rPr>
                    <w:t>.</w:t>
                  </w:r>
                  <w:r w:rsidRPr="006A167A">
                    <w:rPr>
                      <w:sz w:val="16"/>
                      <w:szCs w:val="16"/>
                    </w:rPr>
                    <w:t>4"</w:t>
                  </w:r>
                </w:p>
              </w:tc>
              <w:tc>
                <w:tcPr>
                  <w:tcW w:w="791" w:type="dxa"/>
                  <w:shd w:val="clear" w:color="auto" w:fill="auto"/>
                  <w:vAlign w:val="center"/>
                </w:tcPr>
                <w:p w14:paraId="4CD0250E" w14:textId="77777777" w:rsidR="003C6E76" w:rsidRPr="006A167A" w:rsidRDefault="003C6E76" w:rsidP="003C6E76">
                  <w:pPr>
                    <w:pStyle w:val="CETBodytext"/>
                    <w:rPr>
                      <w:sz w:val="16"/>
                      <w:szCs w:val="16"/>
                    </w:rPr>
                  </w:pPr>
                  <w:r w:rsidRPr="006A167A">
                    <w:rPr>
                      <w:sz w:val="16"/>
                      <w:szCs w:val="16"/>
                    </w:rPr>
                    <w:t>12.32"</w:t>
                  </w:r>
                </w:p>
              </w:tc>
              <w:tc>
                <w:tcPr>
                  <w:tcW w:w="671" w:type="dxa"/>
                  <w:shd w:val="clear" w:color="auto" w:fill="auto"/>
                  <w:vAlign w:val="center"/>
                </w:tcPr>
                <w:p w14:paraId="682A6FE9" w14:textId="749CD7D1" w:rsidR="003C6E76" w:rsidRPr="006A167A" w:rsidRDefault="003C6E76" w:rsidP="003C6E76">
                  <w:pPr>
                    <w:pStyle w:val="CETBodytext"/>
                    <w:rPr>
                      <w:sz w:val="16"/>
                      <w:szCs w:val="16"/>
                    </w:rPr>
                  </w:pPr>
                  <w:r w:rsidRPr="006A167A">
                    <w:rPr>
                      <w:sz w:val="16"/>
                      <w:szCs w:val="16"/>
                    </w:rPr>
                    <w:t>8</w:t>
                  </w:r>
                  <w:r w:rsidR="00D110A0">
                    <w:rPr>
                      <w:sz w:val="16"/>
                      <w:szCs w:val="16"/>
                    </w:rPr>
                    <w:t>.</w:t>
                  </w:r>
                  <w:r w:rsidRPr="006A167A">
                    <w:rPr>
                      <w:sz w:val="16"/>
                      <w:szCs w:val="16"/>
                    </w:rPr>
                    <w:t>5"</w:t>
                  </w:r>
                </w:p>
              </w:tc>
            </w:tr>
          </w:tbl>
          <w:p w14:paraId="023FFB1B" w14:textId="77777777" w:rsidR="00FF61BE" w:rsidRPr="006A167A" w:rsidRDefault="00FF61BE" w:rsidP="00B23EC4">
            <w:pPr>
              <w:pStyle w:val="CETTabletitle"/>
              <w:rPr>
                <w:sz w:val="16"/>
                <w:szCs w:val="16"/>
                <w:shd w:val="clear" w:color="auto" w:fill="FFFFFF"/>
                <w:lang w:val="en-US"/>
              </w:rPr>
            </w:pPr>
          </w:p>
        </w:tc>
      </w:tr>
    </w:tbl>
    <w:p w14:paraId="616C33FA" w14:textId="77777777" w:rsidR="009108D8" w:rsidRDefault="009108D8" w:rsidP="009108D8">
      <w:pPr>
        <w:pStyle w:val="CETheadingx"/>
        <w:numPr>
          <w:ilvl w:val="0"/>
          <w:numId w:val="0"/>
        </w:numPr>
      </w:pPr>
    </w:p>
    <w:p w14:paraId="48B5C95D" w14:textId="5D74B5B8" w:rsidR="00B23EC4" w:rsidRPr="00826C46" w:rsidRDefault="00B267B2" w:rsidP="00B23EC4">
      <w:pPr>
        <w:pStyle w:val="CETheadingx"/>
      </w:pPr>
      <w:r w:rsidRPr="00826C46">
        <w:t>Biofuel kinematic viscosity</w:t>
      </w:r>
    </w:p>
    <w:p w14:paraId="7E358D09" w14:textId="262C753D" w:rsidR="00B23EC4" w:rsidRPr="00826C46" w:rsidRDefault="00B267B2" w:rsidP="00B23EC4">
      <w:pPr>
        <w:pStyle w:val="CETBodytext"/>
      </w:pPr>
      <w:r w:rsidRPr="00826C46">
        <w:t>It is necessary to know the dynamic viscosity. The Ostwald viscometer is used to measure the falling time of distilled water solutions and the biofuel sample at 25</w:t>
      </w:r>
      <w:r w:rsidR="006A167A">
        <w:t xml:space="preserve"> </w:t>
      </w:r>
      <w:r w:rsidRPr="00826C46">
        <w:t>°C and 40</w:t>
      </w:r>
      <w:r w:rsidR="006A167A">
        <w:t xml:space="preserve"> </w:t>
      </w:r>
      <w:r w:rsidRPr="00826C46">
        <w:t xml:space="preserve">°C. The results are shown in Table 4. The determination of the dynamic viscosity is carried out considering the </w:t>
      </w:r>
      <w:r w:rsidR="004C2383">
        <w:t>Eq (2).</w:t>
      </w:r>
    </w:p>
    <w:p w14:paraId="539F9521" w14:textId="77777777" w:rsidR="00B267B2" w:rsidRPr="00826C46" w:rsidRDefault="00B267B2" w:rsidP="00B23EC4">
      <w:pPr>
        <w:pStyle w:val="CETBodytext"/>
      </w:pPr>
    </w:p>
    <w:tbl>
      <w:tblPr>
        <w:tblW w:w="5000" w:type="pct"/>
        <w:tblLook w:val="04A0" w:firstRow="1" w:lastRow="0" w:firstColumn="1" w:lastColumn="0" w:noHBand="0" w:noVBand="1"/>
      </w:tblPr>
      <w:tblGrid>
        <w:gridCol w:w="7984"/>
        <w:gridCol w:w="803"/>
      </w:tblGrid>
      <w:tr w:rsidR="004C2383" w:rsidRPr="00B57B36" w14:paraId="047148D7" w14:textId="77777777" w:rsidTr="004C2383">
        <w:tc>
          <w:tcPr>
            <w:tcW w:w="7984" w:type="dxa"/>
            <w:shd w:val="clear" w:color="auto" w:fill="auto"/>
            <w:vAlign w:val="center"/>
          </w:tcPr>
          <w:p w14:paraId="02E6820B" w14:textId="3CF72A25" w:rsidR="004C2383" w:rsidRPr="004C2383" w:rsidRDefault="004C2383" w:rsidP="002772E6">
            <w:pPr>
              <w:pStyle w:val="CETBodytext"/>
              <w:rPr>
                <w:rFonts w:ascii="Times New Roman" w:eastAsia="Calibri" w:hAnsi="Times New Roman"/>
                <w:sz w:val="24"/>
                <w:szCs w:val="24"/>
              </w:rPr>
            </w:pPr>
            <w:r w:rsidRPr="00826C46">
              <w:t xml:space="preserve">              </w:t>
            </w:r>
            <w:r>
              <w:rPr>
                <w:rFonts w:ascii="Cambria Math" w:eastAsia="Calibri" w:hAnsi="Cambria Math"/>
                <w:i/>
                <w:szCs w:val="18"/>
              </w:rPr>
              <w:br/>
            </w:r>
            <m:oMathPara>
              <m:oMathParaPr>
                <m:jc m:val="left"/>
              </m:oMathParaPr>
              <m:oMath>
                <m:sSub>
                  <m:sSubPr>
                    <m:ctrlPr>
                      <w:rPr>
                        <w:rFonts w:ascii="Cambria Math" w:eastAsia="Calibri" w:hAnsi="Cambria Math"/>
                        <w:i/>
                        <w:sz w:val="20"/>
                      </w:rPr>
                    </m:ctrlPr>
                  </m:sSubPr>
                  <m:e>
                    <m:r>
                      <w:rPr>
                        <w:rFonts w:ascii="Cambria Math" w:eastAsia="Calibri" w:hAnsi="Cambria Math"/>
                        <w:sz w:val="20"/>
                      </w:rPr>
                      <m:t xml:space="preserve">  µ</m:t>
                    </m:r>
                  </m:e>
                  <m:sub>
                    <m:r>
                      <w:rPr>
                        <w:rFonts w:ascii="Cambria Math" w:eastAsia="Calibri" w:hAnsi="Cambria Math"/>
                        <w:sz w:val="20"/>
                      </w:rPr>
                      <m:t>sol</m:t>
                    </m:r>
                  </m:sub>
                </m:sSub>
                <m:r>
                  <w:rPr>
                    <w:rFonts w:ascii="Cambria Math" w:eastAsia="Calibri" w:hAnsi="Cambria Math"/>
                    <w:sz w:val="20"/>
                  </w:rPr>
                  <m:t xml:space="preserve">= </m:t>
                </m:r>
                <m:f>
                  <m:fPr>
                    <m:ctrlPr>
                      <w:rPr>
                        <w:rFonts w:ascii="Cambria Math" w:eastAsia="Calibri" w:hAnsi="Cambria Math"/>
                        <w:i/>
                        <w:sz w:val="20"/>
                      </w:rPr>
                    </m:ctrlPr>
                  </m:fPr>
                  <m:num>
                    <m:sSub>
                      <m:sSubPr>
                        <m:ctrlPr>
                          <w:rPr>
                            <w:rFonts w:ascii="Cambria Math" w:eastAsia="Calibri" w:hAnsi="Cambria Math"/>
                            <w:i/>
                            <w:sz w:val="20"/>
                          </w:rPr>
                        </m:ctrlPr>
                      </m:sSubPr>
                      <m:e>
                        <m:r>
                          <w:rPr>
                            <w:rFonts w:ascii="Cambria Math" w:eastAsia="Calibri" w:hAnsi="Cambria Math"/>
                            <w:sz w:val="20"/>
                          </w:rPr>
                          <m:t>ρ</m:t>
                        </m:r>
                      </m:e>
                      <m:sub>
                        <m:r>
                          <w:rPr>
                            <w:rFonts w:ascii="Cambria Math" w:eastAsia="Calibri" w:hAnsi="Cambria Math"/>
                            <w:sz w:val="20"/>
                          </w:rPr>
                          <m:t>sol</m:t>
                        </m:r>
                      </m:sub>
                    </m:sSub>
                    <m:r>
                      <w:rPr>
                        <w:rFonts w:ascii="Cambria Math" w:eastAsia="Calibri" w:hAnsi="Cambria Math"/>
                        <w:sz w:val="20"/>
                      </w:rPr>
                      <m:t xml:space="preserve"> </m:t>
                    </m:r>
                    <m:r>
                      <w:rPr>
                        <w:rFonts w:ascii="Cambria Math" w:eastAsia="Calibri" w:hAnsi="Cambria Math"/>
                        <w:sz w:val="20"/>
                      </w:rPr>
                      <m:t>*</m:t>
                    </m:r>
                    <m:r>
                      <w:rPr>
                        <w:rFonts w:ascii="Cambria Math" w:eastAsia="Calibri" w:hAnsi="Cambria Math"/>
                        <w:sz w:val="20"/>
                      </w:rPr>
                      <m:t xml:space="preserve">  </m:t>
                    </m:r>
                    <m:sSub>
                      <m:sSubPr>
                        <m:ctrlPr>
                          <w:rPr>
                            <w:rFonts w:ascii="Cambria Math" w:eastAsia="Calibri" w:hAnsi="Cambria Math"/>
                            <w:i/>
                            <w:sz w:val="20"/>
                          </w:rPr>
                        </m:ctrlPr>
                      </m:sSubPr>
                      <m:e>
                        <m:r>
                          <w:rPr>
                            <w:rFonts w:ascii="Cambria Math" w:eastAsia="Calibri" w:hAnsi="Cambria Math"/>
                            <w:sz w:val="20"/>
                          </w:rPr>
                          <m:t>t</m:t>
                        </m:r>
                      </m:e>
                      <m:sub>
                        <m:r>
                          <w:rPr>
                            <w:rFonts w:ascii="Cambria Math" w:eastAsia="Calibri" w:hAnsi="Cambria Math"/>
                            <w:sz w:val="20"/>
                          </w:rPr>
                          <m:t>sol</m:t>
                        </m:r>
                      </m:sub>
                    </m:sSub>
                    <m:r>
                      <w:rPr>
                        <w:rFonts w:ascii="Cambria Math" w:eastAsia="Calibri" w:hAnsi="Cambria Math"/>
                        <w:sz w:val="20"/>
                      </w:rPr>
                      <m:t xml:space="preserve"> </m:t>
                    </m:r>
                    <m:r>
                      <w:rPr>
                        <w:rFonts w:ascii="Cambria Math" w:eastAsia="Calibri" w:hAnsi="Cambria Math"/>
                        <w:sz w:val="20"/>
                      </w:rPr>
                      <m:t>*</m:t>
                    </m:r>
                    <m:r>
                      <w:rPr>
                        <w:rFonts w:ascii="Cambria Math" w:eastAsia="Calibri" w:hAnsi="Cambria Math"/>
                        <w:sz w:val="20"/>
                      </w:rPr>
                      <m:t xml:space="preserve">  </m:t>
                    </m:r>
                    <m:sSub>
                      <m:sSubPr>
                        <m:ctrlPr>
                          <w:rPr>
                            <w:rFonts w:ascii="Cambria Math" w:eastAsia="Calibri" w:hAnsi="Cambria Math"/>
                            <w:i/>
                            <w:sz w:val="20"/>
                          </w:rPr>
                        </m:ctrlPr>
                      </m:sSubPr>
                      <m:e>
                        <m:r>
                          <w:rPr>
                            <w:rFonts w:ascii="Cambria Math" w:eastAsia="Calibri" w:hAnsi="Cambria Math"/>
                            <w:sz w:val="20"/>
                          </w:rPr>
                          <m:t>µ</m:t>
                        </m:r>
                      </m:e>
                      <m:sub>
                        <m:r>
                          <w:rPr>
                            <w:rFonts w:ascii="Cambria Math" w:eastAsia="Calibri" w:hAnsi="Cambria Math"/>
                            <w:sz w:val="20"/>
                          </w:rPr>
                          <m:t>w</m:t>
                        </m:r>
                      </m:sub>
                    </m:sSub>
                  </m:num>
                  <m:den>
                    <m:sSub>
                      <m:sSubPr>
                        <m:ctrlPr>
                          <w:rPr>
                            <w:rFonts w:ascii="Cambria Math" w:eastAsia="Calibri" w:hAnsi="Cambria Math"/>
                            <w:i/>
                            <w:sz w:val="20"/>
                          </w:rPr>
                        </m:ctrlPr>
                      </m:sSubPr>
                      <m:e>
                        <m:r>
                          <w:rPr>
                            <w:rFonts w:ascii="Cambria Math" w:eastAsia="Calibri" w:hAnsi="Cambria Math"/>
                            <w:sz w:val="20"/>
                          </w:rPr>
                          <m:t>ρ</m:t>
                        </m:r>
                      </m:e>
                      <m:sub>
                        <m:r>
                          <w:rPr>
                            <w:rFonts w:ascii="Cambria Math" w:eastAsia="Calibri" w:hAnsi="Cambria Math"/>
                            <w:sz w:val="20"/>
                          </w:rPr>
                          <m:t>w</m:t>
                        </m:r>
                      </m:sub>
                    </m:sSub>
                    <m:r>
                      <w:rPr>
                        <w:rFonts w:ascii="Cambria Math" w:eastAsia="Calibri" w:hAnsi="Cambria Math"/>
                        <w:sz w:val="20"/>
                      </w:rPr>
                      <m:t xml:space="preserve"> </m:t>
                    </m:r>
                    <m:r>
                      <w:rPr>
                        <w:rFonts w:ascii="Cambria Math" w:eastAsia="Calibri" w:hAnsi="Cambria Math"/>
                        <w:sz w:val="20"/>
                      </w:rPr>
                      <m:t>*</m:t>
                    </m:r>
                    <m:r>
                      <w:rPr>
                        <w:rFonts w:ascii="Cambria Math" w:eastAsia="Calibri" w:hAnsi="Cambria Math"/>
                        <w:sz w:val="20"/>
                      </w:rPr>
                      <m:t xml:space="preserve">  </m:t>
                    </m:r>
                    <m:sSub>
                      <m:sSubPr>
                        <m:ctrlPr>
                          <w:rPr>
                            <w:rFonts w:ascii="Cambria Math" w:eastAsia="Calibri" w:hAnsi="Cambria Math"/>
                            <w:i/>
                            <w:sz w:val="20"/>
                          </w:rPr>
                        </m:ctrlPr>
                      </m:sSubPr>
                      <m:e>
                        <m:r>
                          <w:rPr>
                            <w:rFonts w:ascii="Cambria Math" w:eastAsia="Calibri" w:hAnsi="Cambria Math"/>
                            <w:sz w:val="20"/>
                          </w:rPr>
                          <m:t>t</m:t>
                        </m:r>
                      </m:e>
                      <m:sub>
                        <m:r>
                          <w:rPr>
                            <w:rFonts w:ascii="Cambria Math" w:eastAsia="Calibri" w:hAnsi="Cambria Math"/>
                            <w:sz w:val="20"/>
                          </w:rPr>
                          <m:t>w</m:t>
                        </m:r>
                      </m:sub>
                    </m:sSub>
                  </m:den>
                </m:f>
                <m:r>
                  <w:rPr>
                    <w:rFonts w:ascii="Cambria Math" w:eastAsia="Calibri" w:hAnsi="Cambria Math"/>
                    <w:sz w:val="20"/>
                  </w:rPr>
                  <m:t xml:space="preserve">  </m:t>
                </m:r>
              </m:oMath>
            </m:oMathPara>
          </w:p>
        </w:tc>
        <w:tc>
          <w:tcPr>
            <w:tcW w:w="803" w:type="dxa"/>
            <w:shd w:val="clear" w:color="auto" w:fill="auto"/>
            <w:vAlign w:val="center"/>
          </w:tcPr>
          <w:p w14:paraId="601799B9" w14:textId="24C5741D" w:rsidR="004C2383" w:rsidRPr="00B57B36" w:rsidRDefault="004C2383" w:rsidP="002772E6">
            <w:pPr>
              <w:pStyle w:val="CETEquation"/>
              <w:jc w:val="right"/>
            </w:pPr>
            <w:r w:rsidRPr="00B57B36">
              <w:t>(</w:t>
            </w:r>
            <w:r>
              <w:t>2</w:t>
            </w:r>
            <w:r w:rsidRPr="00B57B36">
              <w:t>)</w:t>
            </w:r>
          </w:p>
        </w:tc>
      </w:tr>
    </w:tbl>
    <w:p w14:paraId="5F30EC6B" w14:textId="77777777" w:rsidR="004C2383" w:rsidRPr="00826C46" w:rsidRDefault="004C2383" w:rsidP="00B23EC4">
      <w:pPr>
        <w:pStyle w:val="CETBodytext"/>
        <w:rPr>
          <w:rFonts w:ascii="Times New Roman" w:eastAsia="Calibri" w:hAnsi="Times New Roman"/>
          <w:sz w:val="24"/>
          <w:szCs w:val="24"/>
        </w:rPr>
      </w:pPr>
    </w:p>
    <w:p w14:paraId="65ACF252" w14:textId="1A8A347C" w:rsidR="00B23EC4" w:rsidRPr="00826C46" w:rsidRDefault="00385CF3" w:rsidP="00B23EC4">
      <w:pPr>
        <w:pStyle w:val="CETBodytext"/>
      </w:pPr>
      <w:r w:rsidRPr="00826C46">
        <w:t>Where</w:t>
      </w:r>
      <w:r w:rsidR="00B23EC4" w:rsidRPr="00826C46">
        <w:t>:</w:t>
      </w:r>
    </w:p>
    <w:p w14:paraId="6678B552" w14:textId="2471E03E" w:rsidR="00B23EC4" w:rsidRPr="00826C46" w:rsidRDefault="00B23EC4" w:rsidP="00B23EC4">
      <w:pPr>
        <w:pStyle w:val="CETBodytext"/>
      </w:pPr>
      <w:r w:rsidRPr="00826C46">
        <w:rPr>
          <w:rFonts w:cs="Arial"/>
          <w:color w:val="202124"/>
          <w:shd w:val="clear" w:color="auto" w:fill="FFFFFF"/>
        </w:rPr>
        <w:t>μ</w:t>
      </w:r>
      <w:r w:rsidRPr="00826C46">
        <w:rPr>
          <w:vertAlign w:val="subscript"/>
        </w:rPr>
        <w:t>sol</w:t>
      </w:r>
      <w:r w:rsidRPr="00826C46">
        <w:t xml:space="preserve">: </w:t>
      </w:r>
      <w:r w:rsidR="00385CF3" w:rsidRPr="00826C46">
        <w:t>Viscosity of the test solution at 40</w:t>
      </w:r>
      <w:r w:rsidR="004A3995">
        <w:t xml:space="preserve"> </w:t>
      </w:r>
      <w:r w:rsidR="00385CF3" w:rsidRPr="00826C46">
        <w:t>°C; μw: Viscosity of distilled water at 40</w:t>
      </w:r>
      <w:r w:rsidR="004A3995">
        <w:t xml:space="preserve"> </w:t>
      </w:r>
      <w:r w:rsidR="00385CF3" w:rsidRPr="00826C46">
        <w:t xml:space="preserve">°C. </w:t>
      </w:r>
      <w:r w:rsidR="00385CF3" w:rsidRPr="00390C8C">
        <w:t>(0</w:t>
      </w:r>
      <w:r w:rsidR="00390C8C" w:rsidRPr="00390C8C">
        <w:t>.</w:t>
      </w:r>
      <w:r w:rsidR="00385CF3" w:rsidRPr="00390C8C">
        <w:t>6532 cP</w:t>
      </w:r>
      <w:r w:rsidR="00385CF3" w:rsidRPr="00826C46">
        <w:t>); ρsol: Density of the test solution at 40°C; ρw: Density of the distilled water at 40°C (0.992 g/mL); tsol: Time taken to pass through the two marks of the test solution at 40</w:t>
      </w:r>
      <w:r w:rsidR="004A3995">
        <w:t xml:space="preserve"> </w:t>
      </w:r>
      <w:r w:rsidR="00385CF3" w:rsidRPr="00826C46">
        <w:t>°C; tw: Time taken to pass through the two marks of the distilled water at 40</w:t>
      </w:r>
      <w:r w:rsidR="004A3995">
        <w:t xml:space="preserve"> </w:t>
      </w:r>
      <w:r w:rsidR="00385CF3" w:rsidRPr="00826C46">
        <w:t xml:space="preserve">°C. In Eq (2) we obtain: for sample M1 it was 2.192 cP, for M2 it was 2.051 cP and for M3 it was 2.051 cP. The average dynamic viscosity of the three samples subjected to 40°C is 2.098 </w:t>
      </w:r>
      <w:r w:rsidRPr="00826C46">
        <w:t>cP.</w:t>
      </w:r>
    </w:p>
    <w:p w14:paraId="5CECDC8D" w14:textId="77777777" w:rsidR="00385CF3" w:rsidRPr="00826C46" w:rsidRDefault="00385CF3" w:rsidP="00B23EC4">
      <w:pPr>
        <w:pStyle w:val="CETBodytext"/>
      </w:pPr>
    </w:p>
    <w:p w14:paraId="1D9BC0BC" w14:textId="77777777" w:rsidR="002E5D18" w:rsidRDefault="00385CF3" w:rsidP="00B23EC4">
      <w:pPr>
        <w:pStyle w:val="CETBodytext"/>
      </w:pPr>
      <w:r w:rsidRPr="00826C46">
        <w:t xml:space="preserve">The kinematic viscosity is calculated using Eq </w:t>
      </w:r>
      <w:r w:rsidR="00B23EC4" w:rsidRPr="00826C46">
        <w:t>(3):</w:t>
      </w:r>
      <w:r w:rsidR="00DC195C" w:rsidRPr="00826C46">
        <w:t xml:space="preserve">  </w:t>
      </w:r>
    </w:p>
    <w:tbl>
      <w:tblPr>
        <w:tblW w:w="5000" w:type="pct"/>
        <w:tblLook w:val="04A0" w:firstRow="1" w:lastRow="0" w:firstColumn="1" w:lastColumn="0" w:noHBand="0" w:noVBand="1"/>
      </w:tblPr>
      <w:tblGrid>
        <w:gridCol w:w="7983"/>
        <w:gridCol w:w="804"/>
      </w:tblGrid>
      <w:tr w:rsidR="002E5D18" w:rsidRPr="00B57B36" w14:paraId="16C93ED0" w14:textId="77777777" w:rsidTr="002772E6">
        <w:tc>
          <w:tcPr>
            <w:tcW w:w="8188" w:type="dxa"/>
            <w:shd w:val="clear" w:color="auto" w:fill="auto"/>
            <w:vAlign w:val="center"/>
          </w:tcPr>
          <w:p w14:paraId="7B3DB0A1" w14:textId="65F5AEED" w:rsidR="002E5D18" w:rsidRPr="002E5D18" w:rsidRDefault="002E5D18" w:rsidP="002E5D18">
            <w:pPr>
              <w:pStyle w:val="CETBodytext"/>
              <w:rPr>
                <w:rFonts w:ascii="Times New Roman" w:eastAsia="Calibri" w:hAnsi="Times New Roman"/>
                <w:sz w:val="24"/>
                <w:szCs w:val="24"/>
              </w:rPr>
            </w:pPr>
            <w:r w:rsidRPr="00826C46">
              <w:t xml:space="preserve">      </w:t>
            </w:r>
            <m:oMath>
              <m:r>
                <w:rPr>
                  <w:rFonts w:ascii="Cambria Math" w:eastAsia="Calibri" w:hAnsi="Cambria Math"/>
                  <w:sz w:val="20"/>
                  <w:szCs w:val="22"/>
                </w:rPr>
                <m:t xml:space="preserve">v= </m:t>
              </m:r>
              <m:f>
                <m:fPr>
                  <m:ctrlPr>
                    <w:rPr>
                      <w:rFonts w:ascii="Cambria Math" w:eastAsia="Calibri" w:hAnsi="Cambria Math"/>
                      <w:i/>
                      <w:sz w:val="20"/>
                      <w:szCs w:val="22"/>
                    </w:rPr>
                  </m:ctrlPr>
                </m:fPr>
                <m:num>
                  <m:r>
                    <w:rPr>
                      <w:rFonts w:ascii="Cambria Math" w:eastAsia="Calibri" w:hAnsi="Cambria Math"/>
                      <w:sz w:val="20"/>
                      <w:szCs w:val="22"/>
                    </w:rPr>
                    <m:t>μ</m:t>
                  </m:r>
                </m:num>
                <m:den>
                  <m:r>
                    <w:rPr>
                      <w:rFonts w:ascii="Cambria Math" w:eastAsia="Calibri" w:hAnsi="Cambria Math"/>
                      <w:sz w:val="20"/>
                      <w:szCs w:val="22"/>
                    </w:rPr>
                    <m:t>ρ</m:t>
                  </m:r>
                </m:den>
              </m:f>
              <m:r>
                <w:rPr>
                  <w:rFonts w:ascii="Cambria Math" w:hAnsi="Cambria Math"/>
                  <w:sz w:val="20"/>
                  <w:szCs w:val="22"/>
                </w:rPr>
                <m:t xml:space="preserve">               </m:t>
              </m:r>
            </m:oMath>
          </w:p>
        </w:tc>
        <w:tc>
          <w:tcPr>
            <w:tcW w:w="815" w:type="dxa"/>
            <w:shd w:val="clear" w:color="auto" w:fill="auto"/>
            <w:vAlign w:val="center"/>
          </w:tcPr>
          <w:p w14:paraId="08AE0382" w14:textId="32ADAAED" w:rsidR="002E5D18" w:rsidRPr="00B57B36" w:rsidRDefault="002E5D18" w:rsidP="002772E6">
            <w:pPr>
              <w:pStyle w:val="CETEquation"/>
              <w:jc w:val="right"/>
            </w:pPr>
            <w:r w:rsidRPr="00B57B36">
              <w:t>(</w:t>
            </w:r>
            <w:r>
              <w:t>3</w:t>
            </w:r>
            <w:r w:rsidRPr="00B57B36">
              <w:t>)</w:t>
            </w:r>
          </w:p>
        </w:tc>
      </w:tr>
    </w:tbl>
    <w:p w14:paraId="6EF4216E" w14:textId="77777777" w:rsidR="004C2383" w:rsidRDefault="004C2383" w:rsidP="00B23EC4">
      <w:pPr>
        <w:pStyle w:val="CETBodytext"/>
        <w:rPr>
          <w:rFonts w:eastAsia="Calibri"/>
        </w:rPr>
      </w:pPr>
    </w:p>
    <w:p w14:paraId="646001EE" w14:textId="1D44AED7" w:rsidR="00B23EC4" w:rsidRPr="00826C46" w:rsidRDefault="00385CF3" w:rsidP="00B23EC4">
      <w:pPr>
        <w:pStyle w:val="CETBodytext"/>
        <w:rPr>
          <w:rFonts w:eastAsia="Calibri"/>
        </w:rPr>
      </w:pPr>
      <w:r w:rsidRPr="00826C46">
        <w:rPr>
          <w:rFonts w:eastAsia="Calibri"/>
        </w:rPr>
        <w:t>Where</w:t>
      </w:r>
      <w:r w:rsidR="00B23EC4" w:rsidRPr="00826C46">
        <w:rPr>
          <w:rFonts w:eastAsia="Calibri"/>
        </w:rPr>
        <w:t>:</w:t>
      </w:r>
      <w:r w:rsidR="00983EB6" w:rsidRPr="00826C46">
        <w:rPr>
          <w:rFonts w:eastAsia="Calibri"/>
        </w:rPr>
        <w:t xml:space="preserve"> </w:t>
      </w:r>
      <m:oMath>
        <m:r>
          <w:rPr>
            <w:rFonts w:ascii="Cambria Math" w:eastAsia="Calibri" w:hAnsi="Cambria Math"/>
          </w:rPr>
          <m:t>v</m:t>
        </m:r>
      </m:oMath>
      <w:r w:rsidR="00B23EC4" w:rsidRPr="00826C46">
        <w:rPr>
          <w:vertAlign w:val="subscript"/>
        </w:rPr>
        <w:t xml:space="preserve"> </w:t>
      </w:r>
      <w:r w:rsidR="00B23EC4" w:rsidRPr="00826C46">
        <w:t xml:space="preserve">: </w:t>
      </w:r>
      <w:r w:rsidRPr="00826C46">
        <w:t>Kinematic viscosity</w:t>
      </w:r>
      <w:r w:rsidR="00983EB6" w:rsidRPr="00826C46">
        <w:t xml:space="preserve">; </w:t>
      </w:r>
      <m:oMath>
        <m:r>
          <w:rPr>
            <w:rFonts w:ascii="Cambria Math" w:eastAsia="Calibri" w:hAnsi="Cambria Math"/>
          </w:rPr>
          <m:t>μ</m:t>
        </m:r>
      </m:oMath>
      <w:r w:rsidR="00B23EC4" w:rsidRPr="00826C46">
        <w:t xml:space="preserve"> : </w:t>
      </w:r>
      <w:r w:rsidRPr="00826C46">
        <w:t>Dynamic viscosity</w:t>
      </w:r>
      <w:r w:rsidR="00983EB6" w:rsidRPr="00826C46">
        <w:t xml:space="preserve">; </w:t>
      </w:r>
      <m:oMath>
        <m:r>
          <w:rPr>
            <w:rFonts w:ascii="Cambria Math" w:eastAsia="Calibri" w:hAnsi="Cambria Math"/>
          </w:rPr>
          <m:t>ρ</m:t>
        </m:r>
      </m:oMath>
      <w:r w:rsidR="00B23EC4" w:rsidRPr="00826C46">
        <w:t xml:space="preserve"> : </w:t>
      </w:r>
      <w:r w:rsidRPr="00826C46">
        <w:t>Density</w:t>
      </w:r>
    </w:p>
    <w:p w14:paraId="75AFE5B3" w14:textId="77777777" w:rsidR="00ED53FA" w:rsidRDefault="00385CF3" w:rsidP="00B64868">
      <w:pPr>
        <w:tabs>
          <w:tab w:val="clear" w:pos="7100"/>
        </w:tabs>
        <w:spacing w:after="120" w:line="240" w:lineRule="auto"/>
        <w:jc w:val="left"/>
        <w:rPr>
          <w:lang w:val="en-US"/>
        </w:rPr>
      </w:pPr>
      <w:r w:rsidRPr="00826C46">
        <w:rPr>
          <w:lang w:val="en-US"/>
        </w:rPr>
        <w:t>Replacing it gives the following kinematic viscosity result at 40°</w:t>
      </w:r>
      <w:r w:rsidR="00B23EC4" w:rsidRPr="00826C46">
        <w:rPr>
          <w:lang w:val="en-US"/>
        </w:rPr>
        <w:t>C:</w:t>
      </w:r>
    </w:p>
    <w:p w14:paraId="4B878901" w14:textId="7750E6B7" w:rsidR="00B23EC4" w:rsidRPr="00826C46" w:rsidRDefault="00B23EC4" w:rsidP="00B64868">
      <w:pPr>
        <w:tabs>
          <w:tab w:val="clear" w:pos="7100"/>
        </w:tabs>
        <w:spacing w:after="120" w:line="240" w:lineRule="auto"/>
        <w:jc w:val="left"/>
        <w:rPr>
          <w:lang w:val="en-US"/>
        </w:rPr>
      </w:pPr>
      <w:r w:rsidRPr="00826C46">
        <w:rPr>
          <w:lang w:val="en-US"/>
        </w:rPr>
        <w:t xml:space="preserve">  </w:t>
      </w:r>
      <m:oMath>
        <m:r>
          <w:rPr>
            <w:rFonts w:ascii="Cambria Math" w:eastAsia="Calibri" w:hAnsi="Cambria Math"/>
            <w:lang w:val="en-US"/>
          </w:rPr>
          <m:t>v</m:t>
        </m:r>
      </m:oMath>
      <w:r w:rsidRPr="00826C46">
        <w:rPr>
          <w:lang w:val="en-US"/>
        </w:rPr>
        <w:t xml:space="preserve"> </w:t>
      </w:r>
      <w:r w:rsidRPr="00826C46">
        <w:rPr>
          <w:vertAlign w:val="subscript"/>
          <w:lang w:val="en-US"/>
        </w:rPr>
        <w:t>(40°C</w:t>
      </w:r>
      <w:r w:rsidRPr="00826C46">
        <w:rPr>
          <w:lang w:val="en-US"/>
        </w:rPr>
        <w:t>) = (2,098 cP)/(0,8999 g/mL)  = 2,3314 cSt = 2.3314 mm²/s</w:t>
      </w:r>
    </w:p>
    <w:p w14:paraId="299FBAB7" w14:textId="0F12D963" w:rsidR="00B23EC4" w:rsidRDefault="00826C46" w:rsidP="00B64868">
      <w:pPr>
        <w:tabs>
          <w:tab w:val="clear" w:pos="7100"/>
        </w:tabs>
        <w:spacing w:after="120" w:line="240" w:lineRule="auto"/>
        <w:rPr>
          <w:lang w:val="en-US"/>
        </w:rPr>
      </w:pPr>
      <w:r w:rsidRPr="00826C46">
        <w:rPr>
          <w:lang w:val="en-US"/>
        </w:rPr>
        <w:t>The kinematic viscosity at 40</w:t>
      </w:r>
      <w:r w:rsidR="004A3995">
        <w:rPr>
          <w:lang w:val="en-US"/>
        </w:rPr>
        <w:t xml:space="preserve"> </w:t>
      </w:r>
      <w:r w:rsidRPr="00826C46">
        <w:rPr>
          <w:lang w:val="en-US"/>
        </w:rPr>
        <w:t>°C for biodiesel (B100), according to the Technical Specifications of NTP 321.125:2019 - second edition, indicates the value of 1.9 to 6.0 mm</w:t>
      </w:r>
      <w:r w:rsidRPr="007F5EFA">
        <w:rPr>
          <w:vertAlign w:val="superscript"/>
          <w:lang w:val="en-US"/>
        </w:rPr>
        <w:t>2</w:t>
      </w:r>
      <w:r w:rsidRPr="00826C46">
        <w:rPr>
          <w:lang w:val="en-US"/>
        </w:rPr>
        <w:t>/s using the AST D 445 test method; therefore, the value found in Macrocystis pyrifera biofuel is within the values required by the Peruvian standard.</w:t>
      </w:r>
    </w:p>
    <w:p w14:paraId="612A5D17" w14:textId="77777777" w:rsidR="009108D8" w:rsidRPr="00826C46" w:rsidRDefault="009108D8" w:rsidP="00B64868">
      <w:pPr>
        <w:tabs>
          <w:tab w:val="clear" w:pos="7100"/>
        </w:tabs>
        <w:spacing w:after="120" w:line="240" w:lineRule="auto"/>
        <w:rPr>
          <w:lang w:val="en-US"/>
        </w:rPr>
      </w:pPr>
    </w:p>
    <w:p w14:paraId="6FCABFAA" w14:textId="2A734FFE" w:rsidR="00B23EC4" w:rsidRPr="00826C46" w:rsidRDefault="00826C46" w:rsidP="00B23EC4">
      <w:pPr>
        <w:pStyle w:val="CETheadingx"/>
      </w:pPr>
      <w:r w:rsidRPr="00826C46">
        <w:t>Calorific Potential</w:t>
      </w:r>
    </w:p>
    <w:p w14:paraId="5027DE02" w14:textId="584A39EE" w:rsidR="00B23EC4" w:rsidRPr="00826C46" w:rsidRDefault="00826C46" w:rsidP="00B23EC4">
      <w:pPr>
        <w:tabs>
          <w:tab w:val="clear" w:pos="7100"/>
        </w:tabs>
        <w:spacing w:after="200" w:line="276" w:lineRule="auto"/>
        <w:rPr>
          <w:lang w:val="en-US"/>
        </w:rPr>
      </w:pPr>
      <w:r w:rsidRPr="00826C46">
        <w:rPr>
          <w:lang w:val="en-US"/>
        </w:rPr>
        <w:t xml:space="preserve">The ASTM D240 standard method allows the evaluation of the calorific value of fuels, which consists of burning a sample in an oxygen calorimetric pump, observing the temperature before and after combustion. Scientific literature indicates that for renewable fuels the Upper Calorific Value (HCP) should be between 40 to 55 and Lower Calorific Value (LCP) between 43 and 49, in the case of non-renewable fuels (Escalante, et al. 2011). For the research, according to the laboratory report of the National Agrarian University where the Calorific Potential test of samples of </w:t>
      </w:r>
      <w:r w:rsidRPr="002E5D18">
        <w:rPr>
          <w:i/>
          <w:iCs/>
          <w:lang w:val="en-US"/>
        </w:rPr>
        <w:t>Macrocystis pyrifera</w:t>
      </w:r>
      <w:r w:rsidRPr="00826C46">
        <w:rPr>
          <w:lang w:val="en-US"/>
        </w:rPr>
        <w:t xml:space="preserve"> algae was carried out, 39.43 MJ/kg was obtained for the </w:t>
      </w:r>
      <w:r w:rsidR="002E5D18">
        <w:rPr>
          <w:lang w:val="en-US"/>
        </w:rPr>
        <w:t>HCP</w:t>
      </w:r>
      <w:r w:rsidRPr="00826C46">
        <w:rPr>
          <w:lang w:val="en-US"/>
        </w:rPr>
        <w:t xml:space="preserve"> and 39.40 MJ/kg for the </w:t>
      </w:r>
      <w:r w:rsidR="002E5D18">
        <w:rPr>
          <w:lang w:val="en-US"/>
        </w:rPr>
        <w:t>LCP</w:t>
      </w:r>
      <w:r w:rsidRPr="00826C46">
        <w:rPr>
          <w:lang w:val="en-US"/>
        </w:rPr>
        <w:t xml:space="preserve">, these values are very close to the </w:t>
      </w:r>
      <w:r w:rsidR="002E5D18">
        <w:rPr>
          <w:lang w:val="en-US"/>
        </w:rPr>
        <w:t>LCP</w:t>
      </w:r>
      <w:r w:rsidRPr="00826C46">
        <w:rPr>
          <w:lang w:val="en-US"/>
        </w:rPr>
        <w:t xml:space="preserve"> and </w:t>
      </w:r>
      <w:r w:rsidR="002E5D18">
        <w:rPr>
          <w:lang w:val="en-US"/>
        </w:rPr>
        <w:t>HCP</w:t>
      </w:r>
      <w:r w:rsidRPr="00826C46">
        <w:rPr>
          <w:lang w:val="en-US"/>
        </w:rPr>
        <w:t xml:space="preserve"> values of the methyl ester (</w:t>
      </w:r>
      <w:r w:rsidR="002E5D18" w:rsidRPr="002E5D18">
        <w:rPr>
          <w:lang w:val="en-US"/>
        </w:rPr>
        <w:t>Escalante, et al. 2011</w:t>
      </w:r>
      <w:r w:rsidRPr="00826C46">
        <w:rPr>
          <w:lang w:val="en-US"/>
        </w:rPr>
        <w:t>), being suitable for use especially in machines of lower power</w:t>
      </w:r>
      <w:r w:rsidR="00B23EC4" w:rsidRPr="00826C46">
        <w:rPr>
          <w:lang w:val="en-US"/>
        </w:rPr>
        <w:t>.</w:t>
      </w:r>
    </w:p>
    <w:p w14:paraId="247CD94E" w14:textId="368CD07A" w:rsidR="00B23EC4" w:rsidRPr="00826C46" w:rsidRDefault="00826C46" w:rsidP="00B23EC4">
      <w:pPr>
        <w:pStyle w:val="CETheadingx"/>
      </w:pPr>
      <w:r w:rsidRPr="00826C46">
        <w:t xml:space="preserve">Other characteristics of biofuel from </w:t>
      </w:r>
      <w:r w:rsidRPr="002E5D18">
        <w:rPr>
          <w:i/>
          <w:iCs/>
        </w:rPr>
        <w:t>Macrocystis pyrifera</w:t>
      </w:r>
      <w:r w:rsidRPr="00826C46">
        <w:t xml:space="preserve"> algae</w:t>
      </w:r>
    </w:p>
    <w:p w14:paraId="3D0DAF0E" w14:textId="1B266E47" w:rsidR="004928E8" w:rsidRDefault="00826C46" w:rsidP="00B23EC4">
      <w:pPr>
        <w:tabs>
          <w:tab w:val="clear" w:pos="7100"/>
        </w:tabs>
        <w:spacing w:after="200" w:line="276" w:lineRule="auto"/>
        <w:rPr>
          <w:lang w:val="en-US"/>
        </w:rPr>
      </w:pPr>
      <w:r w:rsidRPr="00826C46">
        <w:rPr>
          <w:lang w:val="en-US"/>
        </w:rPr>
        <w:t>Table 5 shows the results of the analysis of the biofuel obtained from Macrocystis pyrifera, which when compared with NTP 321.125.2019, it is established that it complies with the quality established in Peruvian and other international standards such as EN 14214, ASTM d6751 and the ANP.</w:t>
      </w:r>
    </w:p>
    <w:tbl>
      <w:tblPr>
        <w:tblpPr w:leftFromText="141" w:rightFromText="141" w:vertAnchor="text" w:horzAnchor="margin" w:tblpY="325"/>
        <w:tblW w:w="8215" w:type="dxa"/>
        <w:tblLayout w:type="fixed"/>
        <w:tblCellMar>
          <w:left w:w="70" w:type="dxa"/>
          <w:right w:w="70" w:type="dxa"/>
        </w:tblCellMar>
        <w:tblLook w:val="04A0" w:firstRow="1" w:lastRow="0" w:firstColumn="1" w:lastColumn="0" w:noHBand="0" w:noVBand="1"/>
      </w:tblPr>
      <w:tblGrid>
        <w:gridCol w:w="1684"/>
        <w:gridCol w:w="1141"/>
        <w:gridCol w:w="1460"/>
        <w:gridCol w:w="1038"/>
        <w:gridCol w:w="905"/>
        <w:gridCol w:w="994"/>
        <w:gridCol w:w="993"/>
      </w:tblGrid>
      <w:tr w:rsidR="009F4BAB" w:rsidRPr="009F4BAB" w14:paraId="39B89801" w14:textId="77777777" w:rsidTr="009F4BAB">
        <w:trPr>
          <w:trHeight w:val="112"/>
          <w:tblHeader/>
        </w:trPr>
        <w:tc>
          <w:tcPr>
            <w:tcW w:w="1684" w:type="dxa"/>
            <w:vMerge w:val="restart"/>
            <w:tcBorders>
              <w:top w:val="single" w:sz="12" w:space="0" w:color="008E40"/>
            </w:tcBorders>
            <w:shd w:val="clear" w:color="auto" w:fill="FFFFFF" w:themeFill="background1"/>
            <w:vAlign w:val="center"/>
            <w:hideMark/>
          </w:tcPr>
          <w:p w14:paraId="308852B5" w14:textId="77777777" w:rsidR="009F4BAB" w:rsidRPr="009F4BAB" w:rsidRDefault="009F4BAB" w:rsidP="009F4BAB">
            <w:pPr>
              <w:pStyle w:val="CETBodytext"/>
              <w:spacing w:line="240" w:lineRule="auto"/>
              <w:jc w:val="left"/>
              <w:rPr>
                <w:sz w:val="16"/>
                <w:szCs w:val="16"/>
              </w:rPr>
            </w:pPr>
            <w:r w:rsidRPr="009F4BAB">
              <w:rPr>
                <w:sz w:val="16"/>
                <w:szCs w:val="16"/>
              </w:rPr>
              <w:lastRenderedPageBreak/>
              <w:t>Tests performed</w:t>
            </w:r>
          </w:p>
        </w:tc>
        <w:tc>
          <w:tcPr>
            <w:tcW w:w="1141" w:type="dxa"/>
            <w:vMerge w:val="restart"/>
            <w:tcBorders>
              <w:top w:val="single" w:sz="12" w:space="0" w:color="008E40"/>
            </w:tcBorders>
            <w:shd w:val="clear" w:color="auto" w:fill="FFFFFF" w:themeFill="background1"/>
            <w:vAlign w:val="center"/>
            <w:hideMark/>
          </w:tcPr>
          <w:p w14:paraId="78D9A3F8" w14:textId="77777777" w:rsidR="009F4BAB" w:rsidRPr="009F4BAB" w:rsidRDefault="009F4BAB" w:rsidP="009F4BAB">
            <w:pPr>
              <w:pStyle w:val="CETBodytext"/>
              <w:spacing w:line="240" w:lineRule="auto"/>
              <w:jc w:val="center"/>
              <w:rPr>
                <w:sz w:val="16"/>
                <w:szCs w:val="16"/>
              </w:rPr>
            </w:pPr>
            <w:r w:rsidRPr="009F4BAB">
              <w:rPr>
                <w:sz w:val="16"/>
                <w:szCs w:val="16"/>
              </w:rPr>
              <w:t>Units</w:t>
            </w:r>
          </w:p>
        </w:tc>
        <w:tc>
          <w:tcPr>
            <w:tcW w:w="1460" w:type="dxa"/>
            <w:vMerge w:val="restart"/>
            <w:tcBorders>
              <w:top w:val="single" w:sz="12" w:space="0" w:color="008E40"/>
            </w:tcBorders>
            <w:shd w:val="clear" w:color="auto" w:fill="FFFFFF" w:themeFill="background1"/>
            <w:vAlign w:val="center"/>
            <w:hideMark/>
          </w:tcPr>
          <w:p w14:paraId="50746677" w14:textId="77777777" w:rsidR="009F4BAB" w:rsidRPr="009F4BAB" w:rsidRDefault="009F4BAB" w:rsidP="009F4BAB">
            <w:pPr>
              <w:pStyle w:val="CETBodytext"/>
              <w:spacing w:line="240" w:lineRule="auto"/>
              <w:ind w:left="-58"/>
              <w:jc w:val="center"/>
              <w:rPr>
                <w:sz w:val="16"/>
                <w:szCs w:val="16"/>
              </w:rPr>
            </w:pPr>
            <w:r w:rsidRPr="009F4BAB">
              <w:rPr>
                <w:sz w:val="16"/>
                <w:szCs w:val="16"/>
              </w:rPr>
              <w:t>For biofuel from Macrocystis pyrifera</w:t>
            </w:r>
          </w:p>
        </w:tc>
        <w:tc>
          <w:tcPr>
            <w:tcW w:w="3930" w:type="dxa"/>
            <w:gridSpan w:val="4"/>
            <w:tcBorders>
              <w:top w:val="single" w:sz="12" w:space="0" w:color="008E40"/>
            </w:tcBorders>
            <w:shd w:val="clear" w:color="auto" w:fill="FFFFFF" w:themeFill="background1"/>
            <w:noWrap/>
            <w:vAlign w:val="center"/>
            <w:hideMark/>
          </w:tcPr>
          <w:p w14:paraId="1C8BC95C" w14:textId="77777777" w:rsidR="009F4BAB" w:rsidRPr="009F4BAB" w:rsidRDefault="009F4BAB" w:rsidP="009F4BAB">
            <w:pPr>
              <w:pStyle w:val="CETBodytext"/>
              <w:spacing w:line="240" w:lineRule="auto"/>
              <w:jc w:val="center"/>
              <w:rPr>
                <w:sz w:val="16"/>
                <w:szCs w:val="16"/>
              </w:rPr>
            </w:pPr>
            <w:r w:rsidRPr="009F4BAB">
              <w:rPr>
                <w:sz w:val="16"/>
                <w:szCs w:val="16"/>
              </w:rPr>
              <w:t>Specifications</w:t>
            </w:r>
          </w:p>
        </w:tc>
      </w:tr>
      <w:tr w:rsidR="009F4BAB" w:rsidRPr="009F4BAB" w14:paraId="7EB1546E" w14:textId="77777777" w:rsidTr="009F4BAB">
        <w:trPr>
          <w:trHeight w:val="346"/>
          <w:tblHeader/>
        </w:trPr>
        <w:tc>
          <w:tcPr>
            <w:tcW w:w="1684" w:type="dxa"/>
            <w:vMerge/>
            <w:tcBorders>
              <w:bottom w:val="single" w:sz="12" w:space="0" w:color="008E40"/>
            </w:tcBorders>
            <w:shd w:val="clear" w:color="auto" w:fill="FFFFFF" w:themeFill="background1"/>
            <w:vAlign w:val="center"/>
            <w:hideMark/>
          </w:tcPr>
          <w:p w14:paraId="79AC2012" w14:textId="77777777" w:rsidR="009F4BAB" w:rsidRPr="009F4BAB" w:rsidRDefault="009F4BAB" w:rsidP="009F4BAB">
            <w:pPr>
              <w:pStyle w:val="CETBodytext"/>
              <w:spacing w:line="240" w:lineRule="auto"/>
              <w:jc w:val="left"/>
              <w:rPr>
                <w:sz w:val="16"/>
                <w:szCs w:val="16"/>
              </w:rPr>
            </w:pPr>
          </w:p>
        </w:tc>
        <w:tc>
          <w:tcPr>
            <w:tcW w:w="1141" w:type="dxa"/>
            <w:vMerge/>
            <w:tcBorders>
              <w:bottom w:val="single" w:sz="12" w:space="0" w:color="008E40"/>
            </w:tcBorders>
            <w:shd w:val="clear" w:color="auto" w:fill="FFFFFF" w:themeFill="background1"/>
            <w:vAlign w:val="center"/>
            <w:hideMark/>
          </w:tcPr>
          <w:p w14:paraId="5B575E34" w14:textId="77777777" w:rsidR="009F4BAB" w:rsidRPr="009F4BAB" w:rsidRDefault="009F4BAB" w:rsidP="009F4BAB">
            <w:pPr>
              <w:pStyle w:val="CETBodytext"/>
              <w:spacing w:line="240" w:lineRule="auto"/>
              <w:jc w:val="center"/>
              <w:rPr>
                <w:sz w:val="16"/>
                <w:szCs w:val="16"/>
              </w:rPr>
            </w:pPr>
          </w:p>
        </w:tc>
        <w:tc>
          <w:tcPr>
            <w:tcW w:w="1460" w:type="dxa"/>
            <w:vMerge/>
            <w:tcBorders>
              <w:bottom w:val="single" w:sz="12" w:space="0" w:color="008E40"/>
            </w:tcBorders>
            <w:shd w:val="clear" w:color="auto" w:fill="FFFFFF" w:themeFill="background1"/>
            <w:vAlign w:val="center"/>
            <w:hideMark/>
          </w:tcPr>
          <w:p w14:paraId="41C5E0E9" w14:textId="77777777" w:rsidR="009F4BAB" w:rsidRPr="009F4BAB" w:rsidRDefault="009F4BAB" w:rsidP="009F4BAB">
            <w:pPr>
              <w:pStyle w:val="CETBodytext"/>
              <w:spacing w:line="240" w:lineRule="auto"/>
              <w:jc w:val="center"/>
              <w:rPr>
                <w:sz w:val="16"/>
                <w:szCs w:val="16"/>
              </w:rPr>
            </w:pPr>
          </w:p>
        </w:tc>
        <w:tc>
          <w:tcPr>
            <w:tcW w:w="1038" w:type="dxa"/>
            <w:tcBorders>
              <w:bottom w:val="single" w:sz="12" w:space="0" w:color="008E40"/>
            </w:tcBorders>
            <w:shd w:val="clear" w:color="auto" w:fill="FFFFFF" w:themeFill="background1"/>
            <w:vAlign w:val="center"/>
            <w:hideMark/>
          </w:tcPr>
          <w:p w14:paraId="5F521353" w14:textId="77777777" w:rsidR="009F4BAB" w:rsidRPr="009F4BAB" w:rsidRDefault="009F4BAB" w:rsidP="009F4BAB">
            <w:pPr>
              <w:pStyle w:val="CETBodytext"/>
              <w:spacing w:line="240" w:lineRule="auto"/>
              <w:jc w:val="center"/>
              <w:rPr>
                <w:sz w:val="16"/>
                <w:szCs w:val="16"/>
              </w:rPr>
            </w:pPr>
            <w:r w:rsidRPr="009F4BAB">
              <w:rPr>
                <w:sz w:val="16"/>
                <w:szCs w:val="16"/>
              </w:rPr>
              <w:t>EN 14214</w:t>
            </w:r>
          </w:p>
        </w:tc>
        <w:tc>
          <w:tcPr>
            <w:tcW w:w="905" w:type="dxa"/>
            <w:tcBorders>
              <w:bottom w:val="single" w:sz="12" w:space="0" w:color="008E40"/>
            </w:tcBorders>
            <w:shd w:val="clear" w:color="auto" w:fill="FFFFFF" w:themeFill="background1"/>
            <w:vAlign w:val="center"/>
            <w:hideMark/>
          </w:tcPr>
          <w:p w14:paraId="6ABC3855" w14:textId="77777777" w:rsidR="009F4BAB" w:rsidRPr="009F4BAB" w:rsidRDefault="009F4BAB" w:rsidP="009F4BAB">
            <w:pPr>
              <w:pStyle w:val="CETBodytext"/>
              <w:spacing w:line="240" w:lineRule="auto"/>
              <w:jc w:val="center"/>
              <w:rPr>
                <w:sz w:val="16"/>
                <w:szCs w:val="16"/>
              </w:rPr>
            </w:pPr>
            <w:r w:rsidRPr="009F4BAB">
              <w:rPr>
                <w:sz w:val="16"/>
                <w:szCs w:val="16"/>
              </w:rPr>
              <w:t>ASTM D6751</w:t>
            </w:r>
          </w:p>
        </w:tc>
        <w:tc>
          <w:tcPr>
            <w:tcW w:w="994" w:type="dxa"/>
            <w:tcBorders>
              <w:bottom w:val="single" w:sz="12" w:space="0" w:color="008E40"/>
            </w:tcBorders>
            <w:shd w:val="clear" w:color="auto" w:fill="FFFFFF" w:themeFill="background1"/>
            <w:vAlign w:val="center"/>
            <w:hideMark/>
          </w:tcPr>
          <w:p w14:paraId="51CA0545" w14:textId="77777777" w:rsidR="009F4BAB" w:rsidRPr="009F4BAB" w:rsidRDefault="009F4BAB" w:rsidP="009F4BAB">
            <w:pPr>
              <w:pStyle w:val="CETBodytext"/>
              <w:spacing w:line="240" w:lineRule="auto"/>
              <w:jc w:val="center"/>
              <w:rPr>
                <w:sz w:val="16"/>
                <w:szCs w:val="16"/>
              </w:rPr>
            </w:pPr>
            <w:r w:rsidRPr="009F4BAB">
              <w:rPr>
                <w:sz w:val="16"/>
                <w:szCs w:val="16"/>
              </w:rPr>
              <w:t>ANP N°7/08</w:t>
            </w:r>
          </w:p>
        </w:tc>
        <w:tc>
          <w:tcPr>
            <w:tcW w:w="993" w:type="dxa"/>
            <w:tcBorders>
              <w:bottom w:val="single" w:sz="12" w:space="0" w:color="008E40"/>
            </w:tcBorders>
            <w:shd w:val="clear" w:color="auto" w:fill="FFFFFF" w:themeFill="background1"/>
            <w:vAlign w:val="center"/>
            <w:hideMark/>
          </w:tcPr>
          <w:p w14:paraId="4E391397" w14:textId="77777777" w:rsidR="009F4BAB" w:rsidRPr="009F4BAB" w:rsidRDefault="009F4BAB" w:rsidP="009F4BAB">
            <w:pPr>
              <w:pStyle w:val="CETBodytext"/>
              <w:spacing w:line="240" w:lineRule="auto"/>
              <w:jc w:val="center"/>
              <w:rPr>
                <w:sz w:val="16"/>
                <w:szCs w:val="16"/>
              </w:rPr>
            </w:pPr>
            <w:r w:rsidRPr="009F4BAB">
              <w:rPr>
                <w:sz w:val="16"/>
                <w:szCs w:val="16"/>
              </w:rPr>
              <w:t>NTP 321.125.2008</w:t>
            </w:r>
          </w:p>
        </w:tc>
      </w:tr>
      <w:tr w:rsidR="009F4BAB" w:rsidRPr="009F4BAB" w14:paraId="36298637" w14:textId="77777777" w:rsidTr="009F4BAB">
        <w:trPr>
          <w:trHeight w:val="239"/>
        </w:trPr>
        <w:tc>
          <w:tcPr>
            <w:tcW w:w="1684" w:type="dxa"/>
            <w:tcBorders>
              <w:top w:val="single" w:sz="12" w:space="0" w:color="008E40"/>
            </w:tcBorders>
            <w:shd w:val="clear" w:color="auto" w:fill="FFFFFF" w:themeFill="background1"/>
            <w:vAlign w:val="center"/>
            <w:hideMark/>
          </w:tcPr>
          <w:p w14:paraId="7400F239" w14:textId="77777777" w:rsidR="009F4BAB" w:rsidRPr="009F4BAB" w:rsidRDefault="009F4BAB" w:rsidP="009F4BAB">
            <w:pPr>
              <w:pStyle w:val="CETBodytext"/>
              <w:jc w:val="left"/>
              <w:rPr>
                <w:sz w:val="16"/>
                <w:szCs w:val="16"/>
              </w:rPr>
            </w:pPr>
            <w:r w:rsidRPr="009F4BAB">
              <w:rPr>
                <w:sz w:val="16"/>
                <w:szCs w:val="16"/>
              </w:rPr>
              <w:t>Acid Number</w:t>
            </w:r>
          </w:p>
        </w:tc>
        <w:tc>
          <w:tcPr>
            <w:tcW w:w="1141" w:type="dxa"/>
            <w:tcBorders>
              <w:top w:val="single" w:sz="12" w:space="0" w:color="008E40"/>
            </w:tcBorders>
            <w:shd w:val="clear" w:color="auto" w:fill="FFFFFF" w:themeFill="background1"/>
            <w:noWrap/>
            <w:vAlign w:val="center"/>
            <w:hideMark/>
          </w:tcPr>
          <w:p w14:paraId="6359750F" w14:textId="77777777" w:rsidR="009F4BAB" w:rsidRPr="009F4BAB" w:rsidRDefault="009F4BAB" w:rsidP="009F4BAB">
            <w:pPr>
              <w:pStyle w:val="CETBodytext"/>
              <w:jc w:val="center"/>
              <w:rPr>
                <w:sz w:val="16"/>
                <w:szCs w:val="16"/>
              </w:rPr>
            </w:pPr>
            <w:r w:rsidRPr="009F4BAB">
              <w:rPr>
                <w:sz w:val="16"/>
                <w:szCs w:val="16"/>
              </w:rPr>
              <w:t>mg KOH/g</w:t>
            </w:r>
          </w:p>
        </w:tc>
        <w:tc>
          <w:tcPr>
            <w:tcW w:w="1460" w:type="dxa"/>
            <w:tcBorders>
              <w:top w:val="single" w:sz="12" w:space="0" w:color="008E40"/>
            </w:tcBorders>
            <w:shd w:val="clear" w:color="auto" w:fill="FFFFFF" w:themeFill="background1"/>
            <w:noWrap/>
            <w:vAlign w:val="center"/>
            <w:hideMark/>
          </w:tcPr>
          <w:p w14:paraId="79ECA021" w14:textId="5950C6C9"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344</w:t>
            </w:r>
          </w:p>
        </w:tc>
        <w:tc>
          <w:tcPr>
            <w:tcW w:w="1038" w:type="dxa"/>
            <w:tcBorders>
              <w:top w:val="single" w:sz="12" w:space="0" w:color="008E40"/>
            </w:tcBorders>
            <w:shd w:val="clear" w:color="auto" w:fill="FFFFFF" w:themeFill="background1"/>
            <w:noWrap/>
            <w:vAlign w:val="center"/>
            <w:hideMark/>
          </w:tcPr>
          <w:p w14:paraId="05C81079" w14:textId="1537DAB9"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5</w:t>
            </w:r>
          </w:p>
        </w:tc>
        <w:tc>
          <w:tcPr>
            <w:tcW w:w="905" w:type="dxa"/>
            <w:tcBorders>
              <w:top w:val="single" w:sz="12" w:space="0" w:color="008E40"/>
            </w:tcBorders>
            <w:shd w:val="clear" w:color="auto" w:fill="FFFFFF" w:themeFill="background1"/>
            <w:noWrap/>
            <w:vAlign w:val="center"/>
            <w:hideMark/>
          </w:tcPr>
          <w:p w14:paraId="672C9672" w14:textId="1E472DBB"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5</w:t>
            </w:r>
          </w:p>
        </w:tc>
        <w:tc>
          <w:tcPr>
            <w:tcW w:w="994" w:type="dxa"/>
            <w:tcBorders>
              <w:top w:val="single" w:sz="12" w:space="0" w:color="008E40"/>
            </w:tcBorders>
            <w:shd w:val="clear" w:color="auto" w:fill="FFFFFF" w:themeFill="background1"/>
            <w:vAlign w:val="center"/>
            <w:hideMark/>
          </w:tcPr>
          <w:p w14:paraId="34947EDD" w14:textId="59BA3C2B"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5</w:t>
            </w:r>
          </w:p>
        </w:tc>
        <w:tc>
          <w:tcPr>
            <w:tcW w:w="993" w:type="dxa"/>
            <w:tcBorders>
              <w:top w:val="single" w:sz="12" w:space="0" w:color="008E40"/>
            </w:tcBorders>
            <w:shd w:val="clear" w:color="auto" w:fill="FFFFFF" w:themeFill="background1"/>
            <w:vAlign w:val="center"/>
            <w:hideMark/>
          </w:tcPr>
          <w:p w14:paraId="3FD3A9E5" w14:textId="6CDCA681"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5</w:t>
            </w:r>
          </w:p>
        </w:tc>
      </w:tr>
      <w:tr w:rsidR="009F4BAB" w:rsidRPr="009F4BAB" w14:paraId="220671A5" w14:textId="77777777" w:rsidTr="009F4BAB">
        <w:trPr>
          <w:trHeight w:val="252"/>
        </w:trPr>
        <w:tc>
          <w:tcPr>
            <w:tcW w:w="1684" w:type="dxa"/>
            <w:shd w:val="clear" w:color="auto" w:fill="FFFFFF" w:themeFill="background1"/>
            <w:vAlign w:val="center"/>
            <w:hideMark/>
          </w:tcPr>
          <w:p w14:paraId="720EC584" w14:textId="77777777" w:rsidR="009F4BAB" w:rsidRPr="009F4BAB" w:rsidRDefault="009F4BAB" w:rsidP="009F4BAB">
            <w:pPr>
              <w:pStyle w:val="CETBodytext"/>
              <w:jc w:val="left"/>
              <w:rPr>
                <w:sz w:val="16"/>
                <w:szCs w:val="16"/>
              </w:rPr>
            </w:pPr>
            <w:r w:rsidRPr="009F4BAB">
              <w:rPr>
                <w:sz w:val="16"/>
                <w:szCs w:val="16"/>
              </w:rPr>
              <w:t>Carbon Residue (Conradson)</w:t>
            </w:r>
          </w:p>
        </w:tc>
        <w:tc>
          <w:tcPr>
            <w:tcW w:w="1141" w:type="dxa"/>
            <w:shd w:val="clear" w:color="auto" w:fill="FFFFFF" w:themeFill="background1"/>
            <w:noWrap/>
            <w:vAlign w:val="center"/>
            <w:hideMark/>
          </w:tcPr>
          <w:p w14:paraId="3BBC5B7B" w14:textId="77777777" w:rsidR="009F4BAB" w:rsidRPr="009F4BAB" w:rsidRDefault="009F4BAB" w:rsidP="009F4BAB">
            <w:pPr>
              <w:pStyle w:val="CETBodytext"/>
              <w:jc w:val="center"/>
              <w:rPr>
                <w:sz w:val="16"/>
                <w:szCs w:val="16"/>
              </w:rPr>
            </w:pPr>
            <w:r w:rsidRPr="009F4BAB">
              <w:rPr>
                <w:sz w:val="16"/>
                <w:szCs w:val="16"/>
              </w:rPr>
              <w:t>% (m/m)</w:t>
            </w:r>
          </w:p>
        </w:tc>
        <w:tc>
          <w:tcPr>
            <w:tcW w:w="1460" w:type="dxa"/>
            <w:shd w:val="clear" w:color="auto" w:fill="FFFFFF" w:themeFill="background1"/>
            <w:noWrap/>
            <w:vAlign w:val="center"/>
            <w:hideMark/>
          </w:tcPr>
          <w:p w14:paraId="440E4158" w14:textId="59330093"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024</w:t>
            </w:r>
          </w:p>
        </w:tc>
        <w:tc>
          <w:tcPr>
            <w:tcW w:w="1038" w:type="dxa"/>
            <w:shd w:val="clear" w:color="auto" w:fill="FFFFFF" w:themeFill="background1"/>
            <w:noWrap/>
            <w:vAlign w:val="center"/>
            <w:hideMark/>
          </w:tcPr>
          <w:p w14:paraId="71EDA7A1" w14:textId="1FED81BD"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3</w:t>
            </w:r>
          </w:p>
        </w:tc>
        <w:tc>
          <w:tcPr>
            <w:tcW w:w="905" w:type="dxa"/>
            <w:shd w:val="clear" w:color="auto" w:fill="FFFFFF" w:themeFill="background1"/>
            <w:noWrap/>
            <w:vAlign w:val="center"/>
            <w:hideMark/>
          </w:tcPr>
          <w:p w14:paraId="4544C373" w14:textId="6D7E2984"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05</w:t>
            </w:r>
          </w:p>
        </w:tc>
        <w:tc>
          <w:tcPr>
            <w:tcW w:w="994" w:type="dxa"/>
            <w:shd w:val="clear" w:color="auto" w:fill="FFFFFF" w:themeFill="background1"/>
            <w:vAlign w:val="center"/>
            <w:hideMark/>
          </w:tcPr>
          <w:p w14:paraId="7A0AE545" w14:textId="02F3251D"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05</w:t>
            </w:r>
          </w:p>
        </w:tc>
        <w:tc>
          <w:tcPr>
            <w:tcW w:w="993" w:type="dxa"/>
            <w:shd w:val="clear" w:color="auto" w:fill="FFFFFF" w:themeFill="background1"/>
            <w:vAlign w:val="center"/>
            <w:hideMark/>
          </w:tcPr>
          <w:p w14:paraId="0F0A87BF" w14:textId="7AF98333"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05</w:t>
            </w:r>
          </w:p>
        </w:tc>
      </w:tr>
      <w:tr w:rsidR="009F4BAB" w:rsidRPr="009F4BAB" w14:paraId="2BF6DF1F" w14:textId="77777777" w:rsidTr="009F4BAB">
        <w:trPr>
          <w:trHeight w:val="167"/>
        </w:trPr>
        <w:tc>
          <w:tcPr>
            <w:tcW w:w="1684" w:type="dxa"/>
            <w:shd w:val="clear" w:color="auto" w:fill="FFFFFF" w:themeFill="background1"/>
            <w:vAlign w:val="center"/>
            <w:hideMark/>
          </w:tcPr>
          <w:p w14:paraId="6C4296D0" w14:textId="77777777" w:rsidR="009F4BAB" w:rsidRPr="009F4BAB" w:rsidRDefault="009F4BAB" w:rsidP="009F4BAB">
            <w:pPr>
              <w:pStyle w:val="CETBodytext"/>
              <w:jc w:val="left"/>
              <w:rPr>
                <w:sz w:val="16"/>
                <w:szCs w:val="16"/>
              </w:rPr>
            </w:pPr>
            <w:r w:rsidRPr="009F4BAB">
              <w:rPr>
                <w:sz w:val="16"/>
                <w:szCs w:val="16"/>
              </w:rPr>
              <w:t>Sulfated Ash</w:t>
            </w:r>
          </w:p>
          <w:p w14:paraId="51A09B87" w14:textId="77777777" w:rsidR="009F4BAB" w:rsidRPr="009F4BAB" w:rsidRDefault="009F4BAB" w:rsidP="009F4BAB">
            <w:pPr>
              <w:pStyle w:val="CETBodytext"/>
              <w:jc w:val="left"/>
              <w:rPr>
                <w:sz w:val="16"/>
                <w:szCs w:val="16"/>
              </w:rPr>
            </w:pPr>
          </w:p>
        </w:tc>
        <w:tc>
          <w:tcPr>
            <w:tcW w:w="1141" w:type="dxa"/>
            <w:shd w:val="clear" w:color="auto" w:fill="FFFFFF" w:themeFill="background1"/>
            <w:noWrap/>
            <w:vAlign w:val="center"/>
            <w:hideMark/>
          </w:tcPr>
          <w:p w14:paraId="197B6E86" w14:textId="77777777" w:rsidR="009F4BAB" w:rsidRPr="009F4BAB" w:rsidRDefault="009F4BAB" w:rsidP="009F4BAB">
            <w:pPr>
              <w:pStyle w:val="CETBodytext"/>
              <w:jc w:val="center"/>
              <w:rPr>
                <w:sz w:val="16"/>
                <w:szCs w:val="16"/>
              </w:rPr>
            </w:pPr>
            <w:r w:rsidRPr="009F4BAB">
              <w:rPr>
                <w:sz w:val="16"/>
                <w:szCs w:val="16"/>
              </w:rPr>
              <w:t>% (m/m)</w:t>
            </w:r>
          </w:p>
        </w:tc>
        <w:tc>
          <w:tcPr>
            <w:tcW w:w="1460" w:type="dxa"/>
            <w:shd w:val="clear" w:color="auto" w:fill="FFFFFF" w:themeFill="background1"/>
            <w:noWrap/>
            <w:vAlign w:val="center"/>
            <w:hideMark/>
          </w:tcPr>
          <w:p w14:paraId="2F4BD469" w14:textId="536F61FD"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017</w:t>
            </w:r>
          </w:p>
        </w:tc>
        <w:tc>
          <w:tcPr>
            <w:tcW w:w="1038" w:type="dxa"/>
            <w:shd w:val="clear" w:color="auto" w:fill="FFFFFF" w:themeFill="background1"/>
            <w:noWrap/>
            <w:vAlign w:val="center"/>
            <w:hideMark/>
          </w:tcPr>
          <w:p w14:paraId="0B208FCC" w14:textId="3CFB54B1"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02</w:t>
            </w:r>
          </w:p>
        </w:tc>
        <w:tc>
          <w:tcPr>
            <w:tcW w:w="905" w:type="dxa"/>
            <w:shd w:val="clear" w:color="auto" w:fill="FFFFFF" w:themeFill="background1"/>
            <w:noWrap/>
            <w:vAlign w:val="center"/>
            <w:hideMark/>
          </w:tcPr>
          <w:p w14:paraId="7B393BCE" w14:textId="044CC852"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02</w:t>
            </w:r>
          </w:p>
        </w:tc>
        <w:tc>
          <w:tcPr>
            <w:tcW w:w="994" w:type="dxa"/>
            <w:shd w:val="clear" w:color="auto" w:fill="FFFFFF" w:themeFill="background1"/>
            <w:vAlign w:val="center"/>
            <w:hideMark/>
          </w:tcPr>
          <w:p w14:paraId="5DB83E9A" w14:textId="65E3B1E7"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02</w:t>
            </w:r>
          </w:p>
        </w:tc>
        <w:tc>
          <w:tcPr>
            <w:tcW w:w="993" w:type="dxa"/>
            <w:shd w:val="clear" w:color="auto" w:fill="FFFFFF" w:themeFill="background1"/>
            <w:vAlign w:val="center"/>
            <w:hideMark/>
          </w:tcPr>
          <w:p w14:paraId="00468206" w14:textId="021DEC94"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02</w:t>
            </w:r>
          </w:p>
        </w:tc>
      </w:tr>
      <w:tr w:rsidR="009F4BAB" w:rsidRPr="009F4BAB" w14:paraId="2BA653AF" w14:textId="77777777" w:rsidTr="009F4BAB">
        <w:trPr>
          <w:trHeight w:val="339"/>
        </w:trPr>
        <w:tc>
          <w:tcPr>
            <w:tcW w:w="1684" w:type="dxa"/>
            <w:shd w:val="clear" w:color="auto" w:fill="FFFFFF" w:themeFill="background1"/>
            <w:vAlign w:val="center"/>
            <w:hideMark/>
          </w:tcPr>
          <w:p w14:paraId="38DA71EB" w14:textId="77777777" w:rsidR="009F4BAB" w:rsidRPr="009F4BAB" w:rsidRDefault="009F4BAB" w:rsidP="009F4BAB">
            <w:pPr>
              <w:pStyle w:val="CETBodytext"/>
              <w:jc w:val="left"/>
              <w:rPr>
                <w:sz w:val="16"/>
                <w:szCs w:val="16"/>
              </w:rPr>
            </w:pPr>
            <w:r w:rsidRPr="009F4BAB">
              <w:rPr>
                <w:sz w:val="16"/>
                <w:szCs w:val="16"/>
              </w:rPr>
              <w:t>Density</w:t>
            </w:r>
          </w:p>
        </w:tc>
        <w:tc>
          <w:tcPr>
            <w:tcW w:w="1141" w:type="dxa"/>
            <w:shd w:val="clear" w:color="auto" w:fill="FFFFFF" w:themeFill="background1"/>
            <w:noWrap/>
            <w:vAlign w:val="center"/>
            <w:hideMark/>
          </w:tcPr>
          <w:p w14:paraId="2F511B70" w14:textId="77777777" w:rsidR="009F4BAB" w:rsidRPr="009F4BAB" w:rsidRDefault="009F4BAB" w:rsidP="009F4BAB">
            <w:pPr>
              <w:pStyle w:val="CETBodytext"/>
              <w:jc w:val="center"/>
              <w:rPr>
                <w:sz w:val="16"/>
                <w:szCs w:val="16"/>
              </w:rPr>
            </w:pPr>
            <w:r w:rsidRPr="009F4BAB">
              <w:rPr>
                <w:sz w:val="16"/>
                <w:szCs w:val="16"/>
              </w:rPr>
              <w:t>g/mL</w:t>
            </w:r>
          </w:p>
        </w:tc>
        <w:tc>
          <w:tcPr>
            <w:tcW w:w="1460" w:type="dxa"/>
            <w:shd w:val="clear" w:color="auto" w:fill="FFFFFF" w:themeFill="background1"/>
            <w:noWrap/>
            <w:vAlign w:val="center"/>
            <w:hideMark/>
          </w:tcPr>
          <w:p w14:paraId="55967413" w14:textId="234BC406"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8999</w:t>
            </w:r>
          </w:p>
        </w:tc>
        <w:tc>
          <w:tcPr>
            <w:tcW w:w="1038" w:type="dxa"/>
            <w:shd w:val="clear" w:color="auto" w:fill="FFFFFF" w:themeFill="background1"/>
            <w:noWrap/>
            <w:vAlign w:val="center"/>
            <w:hideMark/>
          </w:tcPr>
          <w:p w14:paraId="07EFD552" w14:textId="30D30423"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86 – 0</w:t>
            </w:r>
            <w:r w:rsidR="00676542">
              <w:rPr>
                <w:sz w:val="16"/>
                <w:szCs w:val="16"/>
              </w:rPr>
              <w:t>.</w:t>
            </w:r>
            <w:r w:rsidRPr="009F4BAB">
              <w:rPr>
                <w:sz w:val="16"/>
                <w:szCs w:val="16"/>
              </w:rPr>
              <w:t>9</w:t>
            </w:r>
          </w:p>
        </w:tc>
        <w:tc>
          <w:tcPr>
            <w:tcW w:w="905" w:type="dxa"/>
            <w:shd w:val="clear" w:color="auto" w:fill="FFFFFF" w:themeFill="background1"/>
            <w:noWrap/>
            <w:vAlign w:val="center"/>
            <w:hideMark/>
          </w:tcPr>
          <w:p w14:paraId="16D76B28" w14:textId="77777777" w:rsidR="009F4BAB" w:rsidRPr="009F4BAB" w:rsidRDefault="009F4BAB" w:rsidP="009F4BAB">
            <w:pPr>
              <w:pStyle w:val="CETBodytext"/>
              <w:jc w:val="center"/>
              <w:rPr>
                <w:sz w:val="16"/>
                <w:szCs w:val="16"/>
              </w:rPr>
            </w:pPr>
            <w:r w:rsidRPr="009F4BAB">
              <w:rPr>
                <w:sz w:val="16"/>
                <w:szCs w:val="16"/>
              </w:rPr>
              <w:t>-</w:t>
            </w:r>
          </w:p>
        </w:tc>
        <w:tc>
          <w:tcPr>
            <w:tcW w:w="994" w:type="dxa"/>
            <w:shd w:val="clear" w:color="auto" w:fill="FFFFFF" w:themeFill="background1"/>
            <w:noWrap/>
            <w:vAlign w:val="center"/>
            <w:hideMark/>
          </w:tcPr>
          <w:p w14:paraId="61369221" w14:textId="77777777" w:rsidR="009F4BAB" w:rsidRPr="009F4BAB" w:rsidRDefault="009F4BAB" w:rsidP="009F4BAB">
            <w:pPr>
              <w:pStyle w:val="CETBodytext"/>
              <w:jc w:val="center"/>
              <w:rPr>
                <w:sz w:val="16"/>
                <w:szCs w:val="16"/>
              </w:rPr>
            </w:pPr>
            <w:r w:rsidRPr="009F4BAB">
              <w:rPr>
                <w:sz w:val="16"/>
                <w:szCs w:val="16"/>
              </w:rPr>
              <w:t xml:space="preserve">(20°C) </w:t>
            </w:r>
          </w:p>
          <w:p w14:paraId="0590E976" w14:textId="568D95E5" w:rsidR="009F4BAB" w:rsidRPr="009F4BAB" w:rsidRDefault="009F4BAB" w:rsidP="009F4BAB">
            <w:pPr>
              <w:pStyle w:val="CETBodytext"/>
              <w:jc w:val="center"/>
              <w:rPr>
                <w:sz w:val="16"/>
                <w:szCs w:val="16"/>
              </w:rPr>
            </w:pPr>
            <w:r w:rsidRPr="009F4BAB">
              <w:rPr>
                <w:sz w:val="16"/>
                <w:szCs w:val="16"/>
              </w:rPr>
              <w:t>0</w:t>
            </w:r>
            <w:r w:rsidR="00676542">
              <w:rPr>
                <w:sz w:val="16"/>
                <w:szCs w:val="16"/>
              </w:rPr>
              <w:t>.</w:t>
            </w:r>
            <w:r w:rsidRPr="009F4BAB">
              <w:rPr>
                <w:sz w:val="16"/>
                <w:szCs w:val="16"/>
              </w:rPr>
              <w:t>85 – 0</w:t>
            </w:r>
            <w:r w:rsidR="00676542">
              <w:rPr>
                <w:sz w:val="16"/>
                <w:szCs w:val="16"/>
              </w:rPr>
              <w:t>.</w:t>
            </w:r>
            <w:r w:rsidRPr="009F4BAB">
              <w:rPr>
                <w:sz w:val="16"/>
                <w:szCs w:val="16"/>
              </w:rPr>
              <w:t>9</w:t>
            </w:r>
          </w:p>
        </w:tc>
        <w:tc>
          <w:tcPr>
            <w:tcW w:w="993" w:type="dxa"/>
            <w:shd w:val="clear" w:color="auto" w:fill="FFFFFF" w:themeFill="background1"/>
            <w:noWrap/>
            <w:vAlign w:val="center"/>
            <w:hideMark/>
          </w:tcPr>
          <w:p w14:paraId="235915CE" w14:textId="77777777" w:rsidR="009F4BAB" w:rsidRPr="009F4BAB" w:rsidRDefault="009F4BAB" w:rsidP="009F4BAB">
            <w:pPr>
              <w:pStyle w:val="CETBodytext"/>
              <w:jc w:val="center"/>
              <w:rPr>
                <w:sz w:val="16"/>
                <w:szCs w:val="16"/>
              </w:rPr>
            </w:pPr>
            <w:r w:rsidRPr="009F4BAB">
              <w:rPr>
                <w:sz w:val="16"/>
                <w:szCs w:val="16"/>
              </w:rPr>
              <w:t>-</w:t>
            </w:r>
          </w:p>
        </w:tc>
      </w:tr>
      <w:tr w:rsidR="009F4BAB" w:rsidRPr="009F4BAB" w14:paraId="3015F01E" w14:textId="77777777" w:rsidTr="009F4BAB">
        <w:trPr>
          <w:trHeight w:val="75"/>
        </w:trPr>
        <w:tc>
          <w:tcPr>
            <w:tcW w:w="1684" w:type="dxa"/>
            <w:tcBorders>
              <w:bottom w:val="single" w:sz="12" w:space="0" w:color="008E40"/>
            </w:tcBorders>
            <w:shd w:val="clear" w:color="auto" w:fill="FFFFFF" w:themeFill="background1"/>
            <w:vAlign w:val="center"/>
            <w:hideMark/>
          </w:tcPr>
          <w:p w14:paraId="26E51DDE" w14:textId="77777777" w:rsidR="009F4BAB" w:rsidRPr="009F4BAB" w:rsidRDefault="009F4BAB" w:rsidP="009F4BAB">
            <w:pPr>
              <w:pStyle w:val="CETBodytext"/>
              <w:jc w:val="left"/>
              <w:rPr>
                <w:sz w:val="16"/>
                <w:szCs w:val="16"/>
              </w:rPr>
            </w:pPr>
            <w:r w:rsidRPr="009F4BAB">
              <w:rPr>
                <w:sz w:val="16"/>
                <w:szCs w:val="16"/>
              </w:rPr>
              <w:t>Viscosity</w:t>
            </w:r>
          </w:p>
          <w:p w14:paraId="3EB79774" w14:textId="77777777" w:rsidR="009F4BAB" w:rsidRPr="009F4BAB" w:rsidRDefault="009F4BAB" w:rsidP="009F4BAB">
            <w:pPr>
              <w:pStyle w:val="CETBodytext"/>
              <w:jc w:val="left"/>
              <w:rPr>
                <w:sz w:val="16"/>
                <w:szCs w:val="16"/>
              </w:rPr>
            </w:pPr>
          </w:p>
        </w:tc>
        <w:tc>
          <w:tcPr>
            <w:tcW w:w="1141" w:type="dxa"/>
            <w:tcBorders>
              <w:bottom w:val="single" w:sz="12" w:space="0" w:color="008E40"/>
            </w:tcBorders>
            <w:shd w:val="clear" w:color="auto" w:fill="FFFFFF" w:themeFill="background1"/>
            <w:noWrap/>
            <w:vAlign w:val="center"/>
            <w:hideMark/>
          </w:tcPr>
          <w:p w14:paraId="243A13C2" w14:textId="77777777" w:rsidR="009F4BAB" w:rsidRPr="009F4BAB" w:rsidRDefault="009F4BAB" w:rsidP="009F4BAB">
            <w:pPr>
              <w:pStyle w:val="CETBodytext"/>
              <w:jc w:val="center"/>
              <w:rPr>
                <w:sz w:val="16"/>
                <w:szCs w:val="16"/>
              </w:rPr>
            </w:pPr>
            <w:r w:rsidRPr="009F4BAB">
              <w:rPr>
                <w:sz w:val="16"/>
                <w:szCs w:val="16"/>
              </w:rPr>
              <w:t>cSt (mm</w:t>
            </w:r>
            <w:r w:rsidRPr="009F4BAB">
              <w:rPr>
                <w:sz w:val="16"/>
                <w:szCs w:val="16"/>
                <w:vertAlign w:val="superscript"/>
              </w:rPr>
              <w:t>2</w:t>
            </w:r>
            <w:r w:rsidRPr="009F4BAB">
              <w:rPr>
                <w:sz w:val="16"/>
                <w:szCs w:val="16"/>
              </w:rPr>
              <w:t>/s)</w:t>
            </w:r>
          </w:p>
        </w:tc>
        <w:tc>
          <w:tcPr>
            <w:tcW w:w="1460" w:type="dxa"/>
            <w:tcBorders>
              <w:bottom w:val="single" w:sz="12" w:space="0" w:color="008E40"/>
            </w:tcBorders>
            <w:shd w:val="clear" w:color="auto" w:fill="FFFFFF" w:themeFill="background1"/>
            <w:noWrap/>
            <w:vAlign w:val="center"/>
            <w:hideMark/>
          </w:tcPr>
          <w:p w14:paraId="6314D26A" w14:textId="5B053DC4" w:rsidR="009F4BAB" w:rsidRPr="009F4BAB" w:rsidRDefault="009F4BAB" w:rsidP="009F4BAB">
            <w:pPr>
              <w:pStyle w:val="CETBodytext"/>
              <w:jc w:val="center"/>
              <w:rPr>
                <w:sz w:val="16"/>
                <w:szCs w:val="16"/>
              </w:rPr>
            </w:pPr>
            <w:r w:rsidRPr="009F4BAB">
              <w:rPr>
                <w:sz w:val="16"/>
                <w:szCs w:val="16"/>
              </w:rPr>
              <w:t>2</w:t>
            </w:r>
            <w:r w:rsidR="00676542">
              <w:rPr>
                <w:sz w:val="16"/>
                <w:szCs w:val="16"/>
              </w:rPr>
              <w:t>.</w:t>
            </w:r>
            <w:r w:rsidRPr="009F4BAB">
              <w:rPr>
                <w:sz w:val="16"/>
                <w:szCs w:val="16"/>
              </w:rPr>
              <w:t>3314</w:t>
            </w:r>
          </w:p>
        </w:tc>
        <w:tc>
          <w:tcPr>
            <w:tcW w:w="1038" w:type="dxa"/>
            <w:tcBorders>
              <w:bottom w:val="single" w:sz="12" w:space="0" w:color="008E40"/>
            </w:tcBorders>
            <w:shd w:val="clear" w:color="auto" w:fill="FFFFFF" w:themeFill="background1"/>
            <w:noWrap/>
            <w:vAlign w:val="center"/>
            <w:hideMark/>
          </w:tcPr>
          <w:p w14:paraId="30D91DA7" w14:textId="161978FA" w:rsidR="009F4BAB" w:rsidRPr="009F4BAB" w:rsidRDefault="009F4BAB" w:rsidP="009F4BAB">
            <w:pPr>
              <w:pStyle w:val="CETBodytext"/>
              <w:jc w:val="center"/>
              <w:rPr>
                <w:sz w:val="16"/>
                <w:szCs w:val="16"/>
              </w:rPr>
            </w:pPr>
            <w:r w:rsidRPr="009F4BAB">
              <w:rPr>
                <w:sz w:val="16"/>
                <w:szCs w:val="16"/>
              </w:rPr>
              <w:t>3</w:t>
            </w:r>
            <w:r w:rsidR="00676542">
              <w:rPr>
                <w:sz w:val="16"/>
                <w:szCs w:val="16"/>
              </w:rPr>
              <w:t>.</w:t>
            </w:r>
            <w:r w:rsidRPr="009F4BAB">
              <w:rPr>
                <w:sz w:val="16"/>
                <w:szCs w:val="16"/>
              </w:rPr>
              <w:t>5 – 5</w:t>
            </w:r>
            <w:r w:rsidR="00676542">
              <w:rPr>
                <w:sz w:val="16"/>
                <w:szCs w:val="16"/>
              </w:rPr>
              <w:t>.</w:t>
            </w:r>
            <w:r w:rsidRPr="009F4BAB">
              <w:rPr>
                <w:sz w:val="16"/>
                <w:szCs w:val="16"/>
              </w:rPr>
              <w:t>0</w:t>
            </w:r>
          </w:p>
        </w:tc>
        <w:tc>
          <w:tcPr>
            <w:tcW w:w="905" w:type="dxa"/>
            <w:tcBorders>
              <w:bottom w:val="single" w:sz="12" w:space="0" w:color="008E40"/>
            </w:tcBorders>
            <w:shd w:val="clear" w:color="auto" w:fill="FFFFFF" w:themeFill="background1"/>
            <w:noWrap/>
            <w:vAlign w:val="center"/>
            <w:hideMark/>
          </w:tcPr>
          <w:p w14:paraId="14534DC9" w14:textId="6746C0DB" w:rsidR="009F4BAB" w:rsidRPr="009F4BAB" w:rsidRDefault="009F4BAB" w:rsidP="009F4BAB">
            <w:pPr>
              <w:pStyle w:val="CETBodytext"/>
              <w:jc w:val="center"/>
              <w:rPr>
                <w:sz w:val="16"/>
                <w:szCs w:val="16"/>
              </w:rPr>
            </w:pPr>
            <w:r w:rsidRPr="009F4BAB">
              <w:rPr>
                <w:sz w:val="16"/>
                <w:szCs w:val="16"/>
              </w:rPr>
              <w:t>1</w:t>
            </w:r>
            <w:r w:rsidR="00676542">
              <w:rPr>
                <w:sz w:val="16"/>
                <w:szCs w:val="16"/>
              </w:rPr>
              <w:t>.</w:t>
            </w:r>
            <w:r w:rsidRPr="009F4BAB">
              <w:rPr>
                <w:sz w:val="16"/>
                <w:szCs w:val="16"/>
              </w:rPr>
              <w:t>9 – 6</w:t>
            </w:r>
            <w:r w:rsidR="00676542">
              <w:rPr>
                <w:sz w:val="16"/>
                <w:szCs w:val="16"/>
              </w:rPr>
              <w:t>.</w:t>
            </w:r>
            <w:r w:rsidRPr="009F4BAB">
              <w:rPr>
                <w:sz w:val="16"/>
                <w:szCs w:val="16"/>
              </w:rPr>
              <w:t>0</w:t>
            </w:r>
          </w:p>
        </w:tc>
        <w:tc>
          <w:tcPr>
            <w:tcW w:w="994" w:type="dxa"/>
            <w:tcBorders>
              <w:bottom w:val="single" w:sz="12" w:space="0" w:color="008E40"/>
            </w:tcBorders>
            <w:shd w:val="clear" w:color="auto" w:fill="FFFFFF" w:themeFill="background1"/>
            <w:noWrap/>
            <w:vAlign w:val="center"/>
            <w:hideMark/>
          </w:tcPr>
          <w:p w14:paraId="5ADBE1BF" w14:textId="00863A3B" w:rsidR="009F4BAB" w:rsidRPr="009F4BAB" w:rsidRDefault="009F4BAB" w:rsidP="009F4BAB">
            <w:pPr>
              <w:pStyle w:val="CETBodytext"/>
              <w:jc w:val="center"/>
              <w:rPr>
                <w:sz w:val="16"/>
                <w:szCs w:val="16"/>
              </w:rPr>
            </w:pPr>
            <w:r w:rsidRPr="009F4BAB">
              <w:rPr>
                <w:sz w:val="16"/>
                <w:szCs w:val="16"/>
              </w:rPr>
              <w:t>3</w:t>
            </w:r>
            <w:r w:rsidR="00676542">
              <w:rPr>
                <w:sz w:val="16"/>
                <w:szCs w:val="16"/>
              </w:rPr>
              <w:t>.</w:t>
            </w:r>
            <w:r w:rsidRPr="009F4BAB">
              <w:rPr>
                <w:sz w:val="16"/>
                <w:szCs w:val="16"/>
              </w:rPr>
              <w:t>5 – 6</w:t>
            </w:r>
            <w:r w:rsidR="00676542">
              <w:rPr>
                <w:sz w:val="16"/>
                <w:szCs w:val="16"/>
              </w:rPr>
              <w:t>.</w:t>
            </w:r>
            <w:r w:rsidRPr="009F4BAB">
              <w:rPr>
                <w:sz w:val="16"/>
                <w:szCs w:val="16"/>
              </w:rPr>
              <w:t>0</w:t>
            </w:r>
          </w:p>
        </w:tc>
        <w:tc>
          <w:tcPr>
            <w:tcW w:w="993" w:type="dxa"/>
            <w:tcBorders>
              <w:bottom w:val="single" w:sz="12" w:space="0" w:color="008E40"/>
            </w:tcBorders>
            <w:shd w:val="clear" w:color="auto" w:fill="FFFFFF" w:themeFill="background1"/>
            <w:noWrap/>
            <w:vAlign w:val="center"/>
            <w:hideMark/>
          </w:tcPr>
          <w:p w14:paraId="40705266" w14:textId="2D13F972" w:rsidR="009F4BAB" w:rsidRPr="009F4BAB" w:rsidRDefault="009F4BAB" w:rsidP="009F4BAB">
            <w:pPr>
              <w:pStyle w:val="CETBodytext"/>
              <w:jc w:val="center"/>
              <w:rPr>
                <w:sz w:val="16"/>
                <w:szCs w:val="16"/>
              </w:rPr>
            </w:pPr>
            <w:r w:rsidRPr="009F4BAB">
              <w:rPr>
                <w:sz w:val="16"/>
                <w:szCs w:val="16"/>
              </w:rPr>
              <w:t>1</w:t>
            </w:r>
            <w:r w:rsidR="00676542">
              <w:rPr>
                <w:sz w:val="16"/>
                <w:szCs w:val="16"/>
              </w:rPr>
              <w:t>.</w:t>
            </w:r>
            <w:r w:rsidRPr="009F4BAB">
              <w:rPr>
                <w:sz w:val="16"/>
                <w:szCs w:val="16"/>
              </w:rPr>
              <w:t>9 – 6</w:t>
            </w:r>
            <w:r w:rsidR="00676542">
              <w:rPr>
                <w:sz w:val="16"/>
                <w:szCs w:val="16"/>
              </w:rPr>
              <w:t>.</w:t>
            </w:r>
            <w:r w:rsidRPr="009F4BAB">
              <w:rPr>
                <w:sz w:val="16"/>
                <w:szCs w:val="16"/>
              </w:rPr>
              <w:t>0</w:t>
            </w:r>
          </w:p>
        </w:tc>
      </w:tr>
    </w:tbl>
    <w:p w14:paraId="1C6958C0" w14:textId="26589D50" w:rsidR="00B23EC4" w:rsidRDefault="00826C46" w:rsidP="00DC195C">
      <w:pPr>
        <w:pStyle w:val="CETCaption"/>
        <w:rPr>
          <w:lang w:val="en-US"/>
        </w:rPr>
      </w:pPr>
      <w:r w:rsidRPr="00826C46">
        <w:rPr>
          <w:lang w:val="en-US"/>
        </w:rPr>
        <w:t>Table 5</w:t>
      </w:r>
      <w:r w:rsidR="004379F8">
        <w:rPr>
          <w:lang w:val="en-US"/>
        </w:rPr>
        <w:t>:</w:t>
      </w:r>
      <w:r w:rsidRPr="00826C46">
        <w:rPr>
          <w:lang w:val="en-US"/>
        </w:rPr>
        <w:t xml:space="preserve"> Results of analysis of Macrocystis pyrifera biofuel.</w:t>
      </w:r>
    </w:p>
    <w:p w14:paraId="3097BA5D" w14:textId="47D55362" w:rsidR="00DF6097" w:rsidRDefault="00DF6097" w:rsidP="00DC195C">
      <w:pPr>
        <w:pStyle w:val="CETCaption"/>
        <w:rPr>
          <w:lang w:val="en-US"/>
        </w:rPr>
      </w:pPr>
    </w:p>
    <w:p w14:paraId="5DECA905" w14:textId="5B1D1D86" w:rsidR="00DF6097" w:rsidRDefault="00DF6097" w:rsidP="00DC195C">
      <w:pPr>
        <w:pStyle w:val="CETCaption"/>
        <w:rPr>
          <w:lang w:val="en-US"/>
        </w:rPr>
      </w:pPr>
    </w:p>
    <w:p w14:paraId="07028F6D" w14:textId="0844F1BD" w:rsidR="00DF6097" w:rsidRDefault="00DF6097" w:rsidP="00DC195C">
      <w:pPr>
        <w:pStyle w:val="CETCaption"/>
        <w:rPr>
          <w:lang w:val="en-US"/>
        </w:rPr>
      </w:pPr>
    </w:p>
    <w:p w14:paraId="57FA886C" w14:textId="415069E1" w:rsidR="00DF6097" w:rsidRDefault="00DF6097" w:rsidP="00DC195C">
      <w:pPr>
        <w:pStyle w:val="CETCaption"/>
        <w:rPr>
          <w:lang w:val="en-US"/>
        </w:rPr>
      </w:pPr>
    </w:p>
    <w:p w14:paraId="770D786B" w14:textId="77777777" w:rsidR="00DF6097" w:rsidRDefault="00DF6097" w:rsidP="00DF6097">
      <w:pPr>
        <w:pStyle w:val="CETHeading1"/>
        <w:numPr>
          <w:ilvl w:val="0"/>
          <w:numId w:val="0"/>
        </w:numPr>
      </w:pPr>
    </w:p>
    <w:p w14:paraId="0881B66C" w14:textId="23A47446" w:rsidR="00B23EC4" w:rsidRPr="00826C46" w:rsidRDefault="00826C46" w:rsidP="00B23EC4">
      <w:pPr>
        <w:pStyle w:val="CETHeading1"/>
      </w:pPr>
      <w:r w:rsidRPr="00826C46">
        <w:t>Conclusion</w:t>
      </w:r>
    </w:p>
    <w:p w14:paraId="05F3C7C1" w14:textId="61256B36" w:rsidR="00826C46" w:rsidRDefault="00826C46" w:rsidP="00676542">
      <w:pPr>
        <w:pStyle w:val="CETReference"/>
        <w:jc w:val="both"/>
        <w:rPr>
          <w:b w:val="0"/>
          <w:lang w:val="en-US"/>
        </w:rPr>
      </w:pPr>
      <w:r w:rsidRPr="00826C46">
        <w:rPr>
          <w:b w:val="0"/>
          <w:lang w:val="en-US"/>
        </w:rPr>
        <w:t>The benthic flora of marine algae Macrocystis pyrifera is a biomass from which quality biofuel can be obtained with characteristics that meet the Peruvian Technical Standard NTP 321.125.2019 and other international standards for fuels; it also has a superior calorific potential (HCP) of 39.</w:t>
      </w:r>
      <w:r w:rsidRPr="00281135">
        <w:rPr>
          <w:b w:val="0"/>
          <w:lang w:val="en-US"/>
        </w:rPr>
        <w:t>43</w:t>
      </w:r>
      <w:r w:rsidR="00281135" w:rsidRPr="00281135">
        <w:rPr>
          <w:b w:val="0"/>
          <w:lang w:val="en-US"/>
        </w:rPr>
        <w:t xml:space="preserve"> </w:t>
      </w:r>
      <w:r w:rsidR="00281135" w:rsidRPr="00281135">
        <w:rPr>
          <w:b w:val="0"/>
        </w:rPr>
        <w:t>MJ/kg</w:t>
      </w:r>
      <w:r w:rsidRPr="00826C46">
        <w:rPr>
          <w:b w:val="0"/>
          <w:lang w:val="en-US"/>
        </w:rPr>
        <w:t xml:space="preserve"> and a lower calorific potential (LCP) of 39.40 MJ/kg, very similar to biofuels from methyl esters. This biofuel represents a viable alternative with advantages for the conservation of the environment by emitting low pollutants, representing a solution to the energy shortage and future change of the energy matrix to renewable energy sources.</w:t>
      </w:r>
    </w:p>
    <w:p w14:paraId="57367C4F" w14:textId="196BF83B" w:rsidR="00B23EC4" w:rsidRDefault="00007F2C" w:rsidP="00481B8F">
      <w:pPr>
        <w:pStyle w:val="CETReference"/>
        <w:rPr>
          <w:lang w:val="en-US"/>
        </w:rPr>
      </w:pPr>
      <w:r w:rsidRPr="00826C46">
        <w:rPr>
          <w:lang w:val="en-US"/>
        </w:rPr>
        <w:t>References</w:t>
      </w:r>
    </w:p>
    <w:p w14:paraId="6978902F" w14:textId="70E3F6C4" w:rsidR="00E15919" w:rsidRPr="00826C46" w:rsidRDefault="00B23EC4" w:rsidP="00481B8F">
      <w:pPr>
        <w:pStyle w:val="CETReferencetext"/>
        <w:rPr>
          <w:rFonts w:cs="Arial"/>
          <w:sz w:val="16"/>
          <w:lang w:val="en-US"/>
        </w:rPr>
      </w:pPr>
      <w:r w:rsidRPr="00826C46">
        <w:rPr>
          <w:sz w:val="16"/>
          <w:szCs w:val="18"/>
          <w:lang w:val="en-US"/>
        </w:rPr>
        <w:fldChar w:fldCharType="begin"/>
      </w:r>
      <w:r w:rsidR="000B3830" w:rsidRPr="00826C46">
        <w:rPr>
          <w:sz w:val="16"/>
          <w:szCs w:val="18"/>
          <w:lang w:val="en-US"/>
        </w:rPr>
        <w:instrText xml:space="preserve"> ADDIN ZOTERO_BIBL {"uncited":[],"omitted":[],"custom":[]} CSL_BIBLIOGRAPHY </w:instrText>
      </w:r>
      <w:r w:rsidRPr="00826C46">
        <w:rPr>
          <w:sz w:val="16"/>
          <w:szCs w:val="18"/>
          <w:lang w:val="en-US"/>
        </w:rPr>
        <w:fldChar w:fldCharType="separate"/>
      </w:r>
      <w:r w:rsidR="00E15919" w:rsidRPr="00826C46">
        <w:rPr>
          <w:rFonts w:cs="Arial"/>
          <w:sz w:val="16"/>
          <w:lang w:val="en-US"/>
        </w:rPr>
        <w:t>Aro E.-M.,</w:t>
      </w:r>
      <w:r w:rsidR="00A25EE1">
        <w:rPr>
          <w:rFonts w:cs="Arial"/>
          <w:sz w:val="16"/>
          <w:lang w:val="en-US"/>
        </w:rPr>
        <w:t xml:space="preserve"> </w:t>
      </w:r>
      <w:r w:rsidR="00E15919" w:rsidRPr="00826C46">
        <w:rPr>
          <w:rFonts w:cs="Arial"/>
          <w:sz w:val="16"/>
          <w:lang w:val="en-US"/>
        </w:rPr>
        <w:t>2016. From first generation biofuels to advanced solar biofuels. Ambio 45 Suppl 1, S24-31. doi.org/10.1007/s13280-015-0730-0</w:t>
      </w:r>
    </w:p>
    <w:p w14:paraId="51404E3D" w14:textId="3A804FC5" w:rsidR="00E15919" w:rsidRPr="00826C46" w:rsidRDefault="00E15919" w:rsidP="00481B8F">
      <w:pPr>
        <w:pStyle w:val="CETReferencetext"/>
        <w:rPr>
          <w:rFonts w:cs="Arial"/>
          <w:sz w:val="16"/>
          <w:lang w:val="en-US"/>
        </w:rPr>
      </w:pPr>
      <w:r w:rsidRPr="00826C46">
        <w:rPr>
          <w:rFonts w:cs="Arial"/>
          <w:sz w:val="16"/>
          <w:lang w:val="en-US"/>
        </w:rPr>
        <w:t xml:space="preserve">Barsanti L., Gualtieri P., 2014. </w:t>
      </w:r>
      <w:r w:rsidR="00481B8F" w:rsidRPr="00826C46">
        <w:rPr>
          <w:rFonts w:cs="Arial"/>
          <w:sz w:val="16"/>
          <w:lang w:val="en-US"/>
        </w:rPr>
        <w:t>Algae:</w:t>
      </w:r>
      <w:r w:rsidRPr="00826C46">
        <w:rPr>
          <w:rFonts w:cs="Arial"/>
          <w:sz w:val="16"/>
          <w:lang w:val="en-US"/>
        </w:rPr>
        <w:t xml:space="preserve"> anatomy, biochemistry, and biotechnology.</w:t>
      </w:r>
    </w:p>
    <w:p w14:paraId="2B065AF8" w14:textId="06047F5D" w:rsidR="00E15919" w:rsidRPr="00913551" w:rsidRDefault="00E15919" w:rsidP="00481B8F">
      <w:pPr>
        <w:pStyle w:val="CETReferencetext"/>
        <w:rPr>
          <w:rFonts w:cs="Arial"/>
          <w:sz w:val="16"/>
          <w:lang w:val="es-PE"/>
        </w:rPr>
      </w:pPr>
      <w:r w:rsidRPr="00826C46">
        <w:rPr>
          <w:rFonts w:cs="Arial"/>
          <w:sz w:val="16"/>
          <w:lang w:val="en-US"/>
        </w:rPr>
        <w:t xml:space="preserve">Chojnacka K., Wieczorek P.P., Schroeder G., Michalak I., 2018. Algae Biomass: Characteristics and Applications: Towards Algae-based Products. </w:t>
      </w:r>
      <w:r w:rsidRPr="00913551">
        <w:rPr>
          <w:rFonts w:cs="Arial"/>
          <w:sz w:val="16"/>
          <w:lang w:val="es-PE"/>
        </w:rPr>
        <w:t>Spinger.</w:t>
      </w:r>
    </w:p>
    <w:p w14:paraId="2DDCA9A5" w14:textId="66319A6A" w:rsidR="00E15919" w:rsidRPr="00092AC8" w:rsidRDefault="00E15919" w:rsidP="00481B8F">
      <w:pPr>
        <w:pStyle w:val="CETReferencetext"/>
        <w:rPr>
          <w:rFonts w:cs="Arial"/>
          <w:sz w:val="16"/>
          <w:lang w:val="es-PE"/>
        </w:rPr>
      </w:pPr>
      <w:r w:rsidRPr="00092AC8">
        <w:rPr>
          <w:rFonts w:cs="Arial"/>
          <w:sz w:val="16"/>
          <w:lang w:val="es-PE"/>
        </w:rPr>
        <w:t>Cuesta R.G., García K.L.G., Iglesias O. del R.V. Yasnay Hernández Rivera, Suárez Y.A, 2016. Algas marinas como fuente de compuestos bioactivos en beneficio de la salud humana: un artículo de revisión/ seaweeds as sources of bioactive compounds in the benefit of human health: a review. Biotecnia 18, 20–27. doi.org/10.18633/biotecnia.v18i3.331</w:t>
      </w:r>
    </w:p>
    <w:p w14:paraId="0564F8B6" w14:textId="1C86E6D9" w:rsidR="00E15919" w:rsidRPr="00826C46" w:rsidRDefault="00E15919" w:rsidP="00481B8F">
      <w:pPr>
        <w:pStyle w:val="CETReferencetext"/>
        <w:rPr>
          <w:rFonts w:cs="Arial"/>
          <w:sz w:val="16"/>
          <w:lang w:val="en-US"/>
        </w:rPr>
      </w:pPr>
      <w:r w:rsidRPr="00092AC8">
        <w:rPr>
          <w:rFonts w:cs="Arial"/>
          <w:sz w:val="16"/>
          <w:lang w:val="es-PE"/>
        </w:rPr>
        <w:t xml:space="preserve">Enamala M.K., Enamala S., Chavali M., Donepudi J., Yadavalli R., Kolapalli B., Aradhyula T.V., Velpuri J., Kuppam C., 2018. </w:t>
      </w:r>
      <w:r w:rsidRPr="00826C46">
        <w:rPr>
          <w:rFonts w:cs="Arial"/>
          <w:sz w:val="16"/>
          <w:lang w:val="en-US"/>
        </w:rPr>
        <w:t>Production of biofuels from microalgae - A review on cultivation, harvesting, lipid extraction, and numerous applications of microalgae. Renewable and Sustainable Energy Reviews 94, 49–68. doi.org/10.1016/j.rser.2018.05.012</w:t>
      </w:r>
    </w:p>
    <w:p w14:paraId="0DA60276" w14:textId="03249046" w:rsidR="00E15919" w:rsidRPr="00092AC8" w:rsidRDefault="00E15919" w:rsidP="00481B8F">
      <w:pPr>
        <w:pStyle w:val="CETReferencetext"/>
        <w:rPr>
          <w:rFonts w:cs="Arial"/>
          <w:sz w:val="16"/>
          <w:lang w:val="es-PE"/>
        </w:rPr>
      </w:pPr>
      <w:r w:rsidRPr="00390C8C">
        <w:rPr>
          <w:rFonts w:cs="Arial"/>
          <w:sz w:val="16"/>
          <w:lang w:val="en-US"/>
        </w:rPr>
        <w:t>Escobedo M.J., Calderó</w:t>
      </w:r>
      <w:r w:rsidR="00913551" w:rsidRPr="00390C8C">
        <w:rPr>
          <w:rFonts w:cs="Arial"/>
          <w:sz w:val="16"/>
          <w:lang w:val="en-US"/>
        </w:rPr>
        <w:t>n</w:t>
      </w:r>
      <w:r w:rsidRPr="00390C8C">
        <w:rPr>
          <w:rFonts w:cs="Arial"/>
          <w:sz w:val="16"/>
          <w:lang w:val="en-US"/>
        </w:rPr>
        <w:t xml:space="preserve"> A.C., Escobedo M.J., Calderón, A.C., 2021. </w:t>
      </w:r>
      <w:r w:rsidRPr="00092AC8">
        <w:rPr>
          <w:rFonts w:cs="Arial"/>
          <w:sz w:val="16"/>
          <w:lang w:val="es-PE"/>
        </w:rPr>
        <w:t>Biomasa microalgal con alto potencial para la producción de biocombustibles. Scientia Agropecuaria 12, 265–282. https://doi.org/10.17268/sci.agropecu.2021.030</w:t>
      </w:r>
    </w:p>
    <w:p w14:paraId="34B92004" w14:textId="1C785C2E" w:rsidR="00E15919" w:rsidRPr="00092AC8" w:rsidRDefault="00E15919" w:rsidP="00481B8F">
      <w:pPr>
        <w:pStyle w:val="CETReferencetext"/>
        <w:rPr>
          <w:rFonts w:cs="Arial"/>
          <w:sz w:val="16"/>
          <w:lang w:val="es-PE"/>
        </w:rPr>
      </w:pPr>
      <w:r w:rsidRPr="00390C8C">
        <w:rPr>
          <w:rFonts w:cs="Arial"/>
          <w:sz w:val="16"/>
          <w:lang w:val="es-PE"/>
        </w:rPr>
        <w:t>Harvey P.J., Ben-Amotz</w:t>
      </w:r>
      <w:r w:rsidR="00913551" w:rsidRPr="00390C8C">
        <w:rPr>
          <w:rFonts w:cs="Arial"/>
          <w:sz w:val="16"/>
          <w:lang w:val="es-PE"/>
        </w:rPr>
        <w:t xml:space="preserve"> </w:t>
      </w:r>
      <w:r w:rsidRPr="00390C8C">
        <w:rPr>
          <w:rFonts w:cs="Arial"/>
          <w:sz w:val="16"/>
          <w:lang w:val="es-PE"/>
        </w:rPr>
        <w:t xml:space="preserve">A., 2020. </w:t>
      </w:r>
      <w:r w:rsidRPr="00092AC8">
        <w:rPr>
          <w:rFonts w:cs="Arial"/>
          <w:sz w:val="16"/>
          <w:lang w:val="es-PE"/>
        </w:rPr>
        <w:t xml:space="preserve">Towards a sustainable Dunaliella salina microalgal biorefinery for 9-cis </w:t>
      </w:r>
      <w:r w:rsidRPr="00826C46">
        <w:rPr>
          <w:rFonts w:cs="Arial"/>
          <w:sz w:val="16"/>
          <w:lang w:val="en-US"/>
        </w:rPr>
        <w:t>β</w:t>
      </w:r>
      <w:r w:rsidRPr="00092AC8">
        <w:rPr>
          <w:rFonts w:cs="Arial"/>
          <w:sz w:val="16"/>
          <w:lang w:val="es-PE"/>
        </w:rPr>
        <w:t>-carotene production. Algal Research 50, 102002. https://doi.org/10.1016/j.algal.2020.102002</w:t>
      </w:r>
    </w:p>
    <w:p w14:paraId="3D0E074E" w14:textId="34A171F0" w:rsidR="00E15919" w:rsidRPr="00092AC8" w:rsidRDefault="00E15919" w:rsidP="00481B8F">
      <w:pPr>
        <w:pStyle w:val="CETReferencetext"/>
        <w:rPr>
          <w:rFonts w:cs="Arial"/>
          <w:sz w:val="16"/>
          <w:lang w:val="es-PE"/>
        </w:rPr>
      </w:pPr>
      <w:r w:rsidRPr="00092AC8">
        <w:rPr>
          <w:rFonts w:cs="Arial"/>
          <w:sz w:val="16"/>
          <w:lang w:val="es-PE"/>
        </w:rPr>
        <w:t>ICON-INSTITUT</w:t>
      </w:r>
      <w:r w:rsidR="00913551">
        <w:rPr>
          <w:rFonts w:cs="Arial"/>
          <w:sz w:val="16"/>
          <w:lang w:val="es-PE"/>
        </w:rPr>
        <w:t>,</w:t>
      </w:r>
      <w:r w:rsidRPr="00092AC8">
        <w:rPr>
          <w:rFonts w:cs="Arial"/>
          <w:sz w:val="16"/>
          <w:lang w:val="es-PE"/>
        </w:rPr>
        <w:t xml:space="preserve"> 2009. Estudio de investigación de poblaciones y de las condiciones de viailidad ecológioca de las actividades extractivas de algas pardas e invertebrados en la zona costera sur, en apotyo a la investigación y desarrollo del Instituto del mar del Perú (IMARPE) (Informe Final: Proyecto UE-PERÜ/PENX). IMARPE, Lima Perú.</w:t>
      </w:r>
    </w:p>
    <w:p w14:paraId="5E3B0A9C" w14:textId="0CBBDC1A" w:rsidR="00E15919" w:rsidRPr="00390C8C" w:rsidRDefault="00E15919" w:rsidP="00481B8F">
      <w:pPr>
        <w:pStyle w:val="CETReferencetext"/>
        <w:rPr>
          <w:rFonts w:cs="Arial"/>
          <w:sz w:val="16"/>
          <w:lang w:val="es-PE"/>
        </w:rPr>
      </w:pPr>
      <w:r w:rsidRPr="00092AC8">
        <w:rPr>
          <w:rFonts w:cs="Arial"/>
          <w:sz w:val="16"/>
          <w:lang w:val="es-PE"/>
        </w:rPr>
        <w:t>IMARPE, APROSUR, 2012. Estudios sobre macroalgas pardas en el sur del Perú, 2011-2015 (Informe</w:t>
      </w:r>
      <w:r w:rsidR="00A25EE1">
        <w:rPr>
          <w:rFonts w:cs="Arial"/>
          <w:sz w:val="16"/>
          <w:lang w:val="es-PE"/>
        </w:rPr>
        <w:t>,</w:t>
      </w:r>
      <w:r w:rsidRPr="00092AC8">
        <w:rPr>
          <w:rFonts w:cs="Arial"/>
          <w:sz w:val="16"/>
          <w:lang w:val="es-PE"/>
        </w:rPr>
        <w:t xml:space="preserve"> Vol. extraordinario). </w:t>
      </w:r>
    </w:p>
    <w:p w14:paraId="1A12E342" w14:textId="0BADB0A6" w:rsidR="00E15919" w:rsidRPr="00092AC8" w:rsidRDefault="00E15919" w:rsidP="00481B8F">
      <w:pPr>
        <w:pStyle w:val="CETReferencetext"/>
        <w:rPr>
          <w:rFonts w:cs="Arial"/>
          <w:sz w:val="16"/>
          <w:lang w:val="es-PE"/>
        </w:rPr>
      </w:pPr>
      <w:r w:rsidRPr="00826C46">
        <w:rPr>
          <w:rFonts w:cs="Arial"/>
          <w:sz w:val="16"/>
          <w:lang w:val="en-US"/>
        </w:rPr>
        <w:t xml:space="preserve">Khan M.I., Shin J.H., Kim J.D., 2018. The promising future of microalgae: current status, challenges, and optimization of a sustainable and renewable industry for biofuels, feed, and other products. </w:t>
      </w:r>
      <w:r w:rsidRPr="00092AC8">
        <w:rPr>
          <w:rFonts w:cs="Arial"/>
          <w:sz w:val="16"/>
          <w:lang w:val="es-PE"/>
        </w:rPr>
        <w:t xml:space="preserve">Microbial Cell Factories 17, 36. </w:t>
      </w:r>
    </w:p>
    <w:p w14:paraId="61A5139F" w14:textId="3B20BB95" w:rsidR="00E15919" w:rsidRPr="00092AC8" w:rsidRDefault="00E15919" w:rsidP="00481B8F">
      <w:pPr>
        <w:pStyle w:val="CETReferencetext"/>
        <w:rPr>
          <w:rFonts w:cs="Arial"/>
          <w:sz w:val="16"/>
          <w:lang w:val="es-PE"/>
        </w:rPr>
      </w:pPr>
      <w:r w:rsidRPr="00092AC8">
        <w:rPr>
          <w:rFonts w:cs="Arial"/>
          <w:sz w:val="16"/>
          <w:lang w:val="es-PE"/>
        </w:rPr>
        <w:t>León J., Gaspanini R., Rodriguez M., Huarte G., Estrada J., Filgueiras H., 2009. Manual de Bocombustibles. Lima.</w:t>
      </w:r>
    </w:p>
    <w:p w14:paraId="14EEA0E4" w14:textId="0EAB4A4A" w:rsidR="00E15919" w:rsidRPr="00826C46" w:rsidRDefault="00E15919" w:rsidP="00481B8F">
      <w:pPr>
        <w:pStyle w:val="CETReferencetext"/>
        <w:rPr>
          <w:rFonts w:cs="Arial"/>
          <w:sz w:val="16"/>
          <w:lang w:val="en-US"/>
        </w:rPr>
      </w:pPr>
      <w:r w:rsidRPr="00092AC8">
        <w:rPr>
          <w:rFonts w:cs="Arial"/>
          <w:sz w:val="16"/>
          <w:lang w:val="es-PE"/>
        </w:rPr>
        <w:t xml:space="preserve">López L., Bocanegra J., Malagón D., 2015. </w:t>
      </w:r>
      <w:r w:rsidRPr="00826C46">
        <w:rPr>
          <w:rFonts w:cs="Arial"/>
          <w:sz w:val="16"/>
          <w:lang w:val="en-US"/>
        </w:rPr>
        <w:t>Production of biodiesel from waste cooking oil by transesterification | Ingenieria y Universidad 19. https://doi.org/10.11144/Javeriana.iyu19-1.odba</w:t>
      </w:r>
    </w:p>
    <w:p w14:paraId="219F1469" w14:textId="77777777" w:rsidR="00E15919" w:rsidRPr="00092AC8" w:rsidRDefault="00E15919" w:rsidP="00481B8F">
      <w:pPr>
        <w:pStyle w:val="CETReferencetext"/>
        <w:rPr>
          <w:rFonts w:cs="Arial"/>
          <w:sz w:val="16"/>
          <w:lang w:val="es-PE"/>
        </w:rPr>
      </w:pPr>
      <w:r w:rsidRPr="00092AC8">
        <w:rPr>
          <w:rFonts w:cs="Arial"/>
          <w:sz w:val="16"/>
          <w:lang w:val="es-PE"/>
        </w:rPr>
        <w:t xml:space="preserve">Molino A., Rimauro J., Casella P., Cerbone A., Larocca V., Karatza D., Hristoforou E., Chianese S., Musmarra D., 2018. </w:t>
      </w:r>
      <w:r w:rsidRPr="00826C46">
        <w:rPr>
          <w:rFonts w:cs="Arial"/>
          <w:sz w:val="16"/>
          <w:lang w:val="en-US"/>
        </w:rPr>
        <w:t xml:space="preserve">Microalgae valorisation via accelerated solvent extraction: optimization of the operative conditions. </w:t>
      </w:r>
      <w:r w:rsidRPr="00092AC8">
        <w:rPr>
          <w:rFonts w:cs="Arial"/>
          <w:sz w:val="16"/>
          <w:lang w:val="es-PE"/>
        </w:rPr>
        <w:t>Chemical Engineering Transactions 65, 835–840. https://doi.org/10.3303/CET1865140</w:t>
      </w:r>
    </w:p>
    <w:p w14:paraId="6EDEC1DB" w14:textId="5C4DA46A" w:rsidR="00E15919" w:rsidRPr="00092AC8" w:rsidRDefault="00E15919" w:rsidP="00481B8F">
      <w:pPr>
        <w:pStyle w:val="CETReferencetext"/>
        <w:rPr>
          <w:rFonts w:cs="Arial"/>
          <w:sz w:val="16"/>
          <w:lang w:val="es-PE"/>
        </w:rPr>
      </w:pPr>
      <w:r w:rsidRPr="00092AC8">
        <w:rPr>
          <w:rFonts w:cs="Arial"/>
          <w:sz w:val="16"/>
          <w:lang w:val="es-PE"/>
        </w:rPr>
        <w:t xml:space="preserve">Ortiz J., 2011. Composición nutricional y funcional de algas pardas </w:t>
      </w:r>
      <w:r w:rsidR="00671B4C" w:rsidRPr="00092AC8">
        <w:rPr>
          <w:rFonts w:cs="Arial"/>
          <w:sz w:val="16"/>
          <w:lang w:val="es-PE"/>
        </w:rPr>
        <w:t>chilenas:</w:t>
      </w:r>
      <w:r w:rsidRPr="00092AC8">
        <w:rPr>
          <w:rFonts w:cs="Arial"/>
          <w:sz w:val="16"/>
          <w:lang w:val="es-PE"/>
        </w:rPr>
        <w:t xml:space="preserve"> Macrocystis pyrifira y Durvillaea antartica. Universidad de Chile, , Departamento de Ciencia de los Alimentos y Tecnología Química 1, 35.</w:t>
      </w:r>
    </w:p>
    <w:p w14:paraId="72BFD3DC" w14:textId="628CF4B2" w:rsidR="00E15919" w:rsidRPr="00092AC8" w:rsidRDefault="00E15919" w:rsidP="00481B8F">
      <w:pPr>
        <w:pStyle w:val="CETReferencetext"/>
        <w:rPr>
          <w:rFonts w:cs="Arial"/>
          <w:sz w:val="16"/>
          <w:lang w:val="es-PE"/>
        </w:rPr>
      </w:pPr>
      <w:r w:rsidRPr="00092AC8">
        <w:rPr>
          <w:rFonts w:cs="Arial"/>
          <w:sz w:val="16"/>
          <w:lang w:val="es-PE"/>
        </w:rPr>
        <w:t>Peña J.E., Marín H., 2016. Ficología aplicada: características, usos y cultivo de algas marinas, Coleccion ciencias naturales y exactas. Universidad del Valle, Cali (Colombia).</w:t>
      </w:r>
    </w:p>
    <w:p w14:paraId="442F8EF1" w14:textId="64086218" w:rsidR="00E15919" w:rsidRPr="00092AC8" w:rsidRDefault="00E15919" w:rsidP="00481B8F">
      <w:pPr>
        <w:pStyle w:val="CETReferencetext"/>
        <w:rPr>
          <w:rFonts w:cs="Arial"/>
          <w:sz w:val="16"/>
          <w:lang w:val="es-PE"/>
        </w:rPr>
      </w:pPr>
      <w:r w:rsidRPr="00092AC8">
        <w:rPr>
          <w:rFonts w:cs="Arial"/>
          <w:sz w:val="16"/>
          <w:lang w:val="es-PE"/>
        </w:rPr>
        <w:t>Peñaranda M.T.A., Villanueva R.O.C., Roldán A. de J.M., 2013. Producción de biodiesel a partir de microalgas: Parámetros del cultivo que afectan la producción de lípidos. Acta Biológica Colombiana 18, 43–68.</w:t>
      </w:r>
    </w:p>
    <w:p w14:paraId="6F8B7C4E" w14:textId="77777777" w:rsidR="00E15919" w:rsidRPr="00826C46" w:rsidRDefault="00E15919" w:rsidP="00481B8F">
      <w:pPr>
        <w:pStyle w:val="CETReferencetext"/>
        <w:rPr>
          <w:rFonts w:cs="Arial"/>
          <w:sz w:val="16"/>
          <w:lang w:val="en-US"/>
        </w:rPr>
      </w:pPr>
      <w:r w:rsidRPr="00092AC8">
        <w:rPr>
          <w:rFonts w:cs="Arial"/>
          <w:sz w:val="16"/>
          <w:lang w:val="es-PE"/>
        </w:rPr>
        <w:t xml:space="preserve">PNUD Perú, 2017. La revolución de las algas by PNUD Perú [WWW Document]. </w:t>
      </w:r>
      <w:r w:rsidRPr="00826C46">
        <w:rPr>
          <w:rFonts w:cs="Arial"/>
          <w:sz w:val="16"/>
          <w:lang w:val="en-US"/>
        </w:rPr>
        <w:t>Exposure. URL https://pnudperu.exposure.co/la-revolucion-de-las-algas (accessed 1.3.22).</w:t>
      </w:r>
    </w:p>
    <w:p w14:paraId="552CA47C" w14:textId="30A80CDC" w:rsidR="00E15919" w:rsidRPr="00092AC8" w:rsidRDefault="00E15919" w:rsidP="00481B8F">
      <w:pPr>
        <w:pStyle w:val="CETReferencetext"/>
        <w:rPr>
          <w:rFonts w:cs="Arial"/>
          <w:sz w:val="16"/>
          <w:lang w:val="es-PE"/>
        </w:rPr>
      </w:pPr>
      <w:r w:rsidRPr="00092AC8">
        <w:rPr>
          <w:rFonts w:cs="Arial"/>
          <w:sz w:val="16"/>
          <w:lang w:val="es-PE"/>
        </w:rPr>
        <w:t>Poma K.L., 2004. Evaluación de la calidad del diesel 2 basado en sus propiedades cetánicas [WWW Document].</w:t>
      </w:r>
    </w:p>
    <w:p w14:paraId="2CAF1578" w14:textId="28CE964A" w:rsidR="00E15919" w:rsidRPr="00092AC8" w:rsidRDefault="00E15919" w:rsidP="00481B8F">
      <w:pPr>
        <w:pStyle w:val="CETReferencetext"/>
        <w:rPr>
          <w:rFonts w:cs="Arial"/>
          <w:sz w:val="16"/>
          <w:lang w:val="es-PE"/>
        </w:rPr>
      </w:pPr>
      <w:r w:rsidRPr="00092AC8">
        <w:rPr>
          <w:rFonts w:cs="Arial"/>
          <w:sz w:val="16"/>
          <w:lang w:val="es-PE"/>
        </w:rPr>
        <w:t xml:space="preserve">Ramos B.F., Chávez R.C., Valverde Flores J.W., Castañeda Olivera C.A., </w:t>
      </w:r>
      <w:r w:rsidR="005C311D" w:rsidRPr="00092AC8">
        <w:rPr>
          <w:rFonts w:cs="Arial"/>
          <w:sz w:val="16"/>
          <w:lang w:val="es-PE"/>
        </w:rPr>
        <w:t>López</w:t>
      </w:r>
      <w:r w:rsidRPr="00092AC8">
        <w:rPr>
          <w:rFonts w:cs="Arial"/>
          <w:sz w:val="16"/>
          <w:lang w:val="es-PE"/>
        </w:rPr>
        <w:t xml:space="preserve"> Bulnes J., Benites-Alfaro E., 2021. </w:t>
      </w:r>
      <w:r w:rsidRPr="00826C46">
        <w:rPr>
          <w:rFonts w:cs="Arial"/>
          <w:sz w:val="16"/>
          <w:lang w:val="en-US"/>
        </w:rPr>
        <w:t xml:space="preserve">Microalgae scenedesmus sp as a clean technology in reducing greenhouse gas carbon dioxide. </w:t>
      </w:r>
      <w:r w:rsidRPr="00092AC8">
        <w:rPr>
          <w:rFonts w:cs="Arial"/>
          <w:sz w:val="16"/>
          <w:lang w:val="es-PE"/>
        </w:rPr>
        <w:t>Chemical Engineering Transactions 86, 445–450. https://doi.org/10.3303/CET2186075</w:t>
      </w:r>
    </w:p>
    <w:p w14:paraId="7A1D6A46" w14:textId="1868618A" w:rsidR="00B23EC4" w:rsidRPr="005C311D" w:rsidRDefault="00E15919" w:rsidP="00481B8F">
      <w:pPr>
        <w:pStyle w:val="CETReferencetext"/>
        <w:rPr>
          <w:sz w:val="16"/>
          <w:szCs w:val="18"/>
          <w:lang w:val="es-PE"/>
        </w:rPr>
      </w:pPr>
      <w:r w:rsidRPr="00092AC8">
        <w:rPr>
          <w:rFonts w:cs="Arial"/>
          <w:sz w:val="16"/>
          <w:lang w:val="es-PE"/>
        </w:rPr>
        <w:t>Salavarría E., 2014. Análisis de la variabilidad genética de M</w:t>
      </w:r>
      <w:r w:rsidR="005C311D">
        <w:rPr>
          <w:rFonts w:cs="Arial"/>
          <w:sz w:val="16"/>
          <w:lang w:val="es-PE"/>
        </w:rPr>
        <w:t>a</w:t>
      </w:r>
      <w:r w:rsidRPr="00092AC8">
        <w:rPr>
          <w:rFonts w:cs="Arial"/>
          <w:sz w:val="16"/>
          <w:lang w:val="es-PE"/>
        </w:rPr>
        <w:t>crocystis spp</w:t>
      </w:r>
      <w:r w:rsidR="005C311D">
        <w:rPr>
          <w:rFonts w:cs="Arial"/>
          <w:sz w:val="16"/>
          <w:lang w:val="es-PE"/>
        </w:rPr>
        <w:t>.</w:t>
      </w:r>
      <w:r w:rsidRPr="00092AC8">
        <w:rPr>
          <w:rFonts w:cs="Arial"/>
          <w:sz w:val="16"/>
          <w:lang w:val="es-PE"/>
        </w:rPr>
        <w:t xml:space="preserve"> (Laminarial) en la costa centro sur del Perú, empleando marcadores mitocondriales. </w:t>
      </w:r>
      <w:r w:rsidRPr="004928E8">
        <w:rPr>
          <w:rFonts w:cs="Arial"/>
          <w:sz w:val="16"/>
          <w:lang w:val="es-PE"/>
        </w:rPr>
        <w:t>Universidad Nacional Agraria La Molina, Lima.</w:t>
      </w:r>
      <w:r w:rsidR="00B23EC4" w:rsidRPr="00826C46">
        <w:rPr>
          <w:sz w:val="16"/>
          <w:szCs w:val="18"/>
          <w:lang w:val="en-US"/>
        </w:rPr>
        <w:fldChar w:fldCharType="end"/>
      </w:r>
      <w:bookmarkEnd w:id="5"/>
    </w:p>
    <w:sectPr w:rsidR="00B23EC4" w:rsidRPr="005C311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4B4C" w14:textId="77777777" w:rsidR="0043043D" w:rsidRDefault="0043043D" w:rsidP="004F5E36">
      <w:r>
        <w:separator/>
      </w:r>
    </w:p>
  </w:endnote>
  <w:endnote w:type="continuationSeparator" w:id="0">
    <w:p w14:paraId="240FD217" w14:textId="77777777" w:rsidR="0043043D" w:rsidRDefault="0043043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AA66" w14:textId="77777777" w:rsidR="0043043D" w:rsidRDefault="0043043D" w:rsidP="004F5E36">
      <w:r>
        <w:separator/>
      </w:r>
    </w:p>
  </w:footnote>
  <w:footnote w:type="continuationSeparator" w:id="0">
    <w:p w14:paraId="07380BAC" w14:textId="77777777" w:rsidR="0043043D" w:rsidRDefault="0043043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4F9"/>
    <w:rsid w:val="00007F2C"/>
    <w:rsid w:val="000117CB"/>
    <w:rsid w:val="00017D97"/>
    <w:rsid w:val="000256CC"/>
    <w:rsid w:val="0003148D"/>
    <w:rsid w:val="00051566"/>
    <w:rsid w:val="00062A9A"/>
    <w:rsid w:val="00063EDC"/>
    <w:rsid w:val="00065058"/>
    <w:rsid w:val="0008314C"/>
    <w:rsid w:val="00086C39"/>
    <w:rsid w:val="00087E58"/>
    <w:rsid w:val="00092AC8"/>
    <w:rsid w:val="000A03B2"/>
    <w:rsid w:val="000B3830"/>
    <w:rsid w:val="000D0268"/>
    <w:rsid w:val="000D34BE"/>
    <w:rsid w:val="000E102F"/>
    <w:rsid w:val="000E36F1"/>
    <w:rsid w:val="000E3A73"/>
    <w:rsid w:val="000E414A"/>
    <w:rsid w:val="000F093C"/>
    <w:rsid w:val="000F787B"/>
    <w:rsid w:val="00104293"/>
    <w:rsid w:val="0012091F"/>
    <w:rsid w:val="00126BC2"/>
    <w:rsid w:val="001308B6"/>
    <w:rsid w:val="0013121F"/>
    <w:rsid w:val="00131FE6"/>
    <w:rsid w:val="0013263F"/>
    <w:rsid w:val="001338C2"/>
    <w:rsid w:val="00134DE4"/>
    <w:rsid w:val="0014034D"/>
    <w:rsid w:val="00150E59"/>
    <w:rsid w:val="00152DE3"/>
    <w:rsid w:val="00164CF9"/>
    <w:rsid w:val="001667A6"/>
    <w:rsid w:val="00184AD6"/>
    <w:rsid w:val="00194E80"/>
    <w:rsid w:val="001A0D85"/>
    <w:rsid w:val="001B0349"/>
    <w:rsid w:val="001B2A1B"/>
    <w:rsid w:val="001B65C1"/>
    <w:rsid w:val="001C684B"/>
    <w:rsid w:val="001D53FC"/>
    <w:rsid w:val="001E0635"/>
    <w:rsid w:val="001F42A5"/>
    <w:rsid w:val="001F7B9D"/>
    <w:rsid w:val="002017B3"/>
    <w:rsid w:val="0020519C"/>
    <w:rsid w:val="0020727E"/>
    <w:rsid w:val="0020752E"/>
    <w:rsid w:val="0021193E"/>
    <w:rsid w:val="002224B4"/>
    <w:rsid w:val="002447EF"/>
    <w:rsid w:val="00251550"/>
    <w:rsid w:val="00263B05"/>
    <w:rsid w:val="0027221A"/>
    <w:rsid w:val="00275564"/>
    <w:rsid w:val="00275B61"/>
    <w:rsid w:val="00281135"/>
    <w:rsid w:val="00282656"/>
    <w:rsid w:val="00296B83"/>
    <w:rsid w:val="002A4B7C"/>
    <w:rsid w:val="002B43E7"/>
    <w:rsid w:val="002B78CE"/>
    <w:rsid w:val="002C2FB6"/>
    <w:rsid w:val="002D027E"/>
    <w:rsid w:val="002D25B4"/>
    <w:rsid w:val="002E5D18"/>
    <w:rsid w:val="003009B7"/>
    <w:rsid w:val="00300E56"/>
    <w:rsid w:val="00301CB7"/>
    <w:rsid w:val="00303B9B"/>
    <w:rsid w:val="0030469C"/>
    <w:rsid w:val="00310C9A"/>
    <w:rsid w:val="00314215"/>
    <w:rsid w:val="00321CA6"/>
    <w:rsid w:val="00333235"/>
    <w:rsid w:val="00334C09"/>
    <w:rsid w:val="003710A5"/>
    <w:rsid w:val="003723D4"/>
    <w:rsid w:val="00376D89"/>
    <w:rsid w:val="00381905"/>
    <w:rsid w:val="00384CC8"/>
    <w:rsid w:val="00385CF3"/>
    <w:rsid w:val="003871FD"/>
    <w:rsid w:val="00390C8C"/>
    <w:rsid w:val="003919F3"/>
    <w:rsid w:val="00397DBA"/>
    <w:rsid w:val="003A1E30"/>
    <w:rsid w:val="003A6A6C"/>
    <w:rsid w:val="003A7D1C"/>
    <w:rsid w:val="003B048D"/>
    <w:rsid w:val="003B304B"/>
    <w:rsid w:val="003B3146"/>
    <w:rsid w:val="003B3E1D"/>
    <w:rsid w:val="003C4643"/>
    <w:rsid w:val="003C6E76"/>
    <w:rsid w:val="003F015E"/>
    <w:rsid w:val="00400414"/>
    <w:rsid w:val="0041446B"/>
    <w:rsid w:val="00423EA0"/>
    <w:rsid w:val="0042748D"/>
    <w:rsid w:val="0043043D"/>
    <w:rsid w:val="0043489A"/>
    <w:rsid w:val="004373B6"/>
    <w:rsid w:val="004379F8"/>
    <w:rsid w:val="0044329C"/>
    <w:rsid w:val="004476ED"/>
    <w:rsid w:val="004577FE"/>
    <w:rsid w:val="00457B9C"/>
    <w:rsid w:val="0046164A"/>
    <w:rsid w:val="004628D2"/>
    <w:rsid w:val="00462DCD"/>
    <w:rsid w:val="004648AD"/>
    <w:rsid w:val="004703A9"/>
    <w:rsid w:val="004760DE"/>
    <w:rsid w:val="004763D7"/>
    <w:rsid w:val="00481B8F"/>
    <w:rsid w:val="004928E8"/>
    <w:rsid w:val="004A004E"/>
    <w:rsid w:val="004A24CF"/>
    <w:rsid w:val="004A3995"/>
    <w:rsid w:val="004B3179"/>
    <w:rsid w:val="004C2383"/>
    <w:rsid w:val="004C3049"/>
    <w:rsid w:val="004C3D1D"/>
    <w:rsid w:val="004C7913"/>
    <w:rsid w:val="004D46EB"/>
    <w:rsid w:val="004D77AC"/>
    <w:rsid w:val="004E4DD6"/>
    <w:rsid w:val="004F5E36"/>
    <w:rsid w:val="00507B47"/>
    <w:rsid w:val="00507BEF"/>
    <w:rsid w:val="00507CC9"/>
    <w:rsid w:val="0051022A"/>
    <w:rsid w:val="005119A5"/>
    <w:rsid w:val="00521322"/>
    <w:rsid w:val="00523889"/>
    <w:rsid w:val="0052417D"/>
    <w:rsid w:val="005278B7"/>
    <w:rsid w:val="00532016"/>
    <w:rsid w:val="005346C8"/>
    <w:rsid w:val="00543E7D"/>
    <w:rsid w:val="00547A68"/>
    <w:rsid w:val="005531C9"/>
    <w:rsid w:val="00570C43"/>
    <w:rsid w:val="00575E15"/>
    <w:rsid w:val="005B2110"/>
    <w:rsid w:val="005B61E6"/>
    <w:rsid w:val="005B71B0"/>
    <w:rsid w:val="005C311D"/>
    <w:rsid w:val="005C77E1"/>
    <w:rsid w:val="005D6A2F"/>
    <w:rsid w:val="005E1A82"/>
    <w:rsid w:val="005E794C"/>
    <w:rsid w:val="005F0A28"/>
    <w:rsid w:val="005F0E5E"/>
    <w:rsid w:val="00600535"/>
    <w:rsid w:val="00610CD6"/>
    <w:rsid w:val="00611ADE"/>
    <w:rsid w:val="006126C9"/>
    <w:rsid w:val="00620B1B"/>
    <w:rsid w:val="00620DEE"/>
    <w:rsid w:val="00621F92"/>
    <w:rsid w:val="00625639"/>
    <w:rsid w:val="00631B33"/>
    <w:rsid w:val="00632082"/>
    <w:rsid w:val="0064184D"/>
    <w:rsid w:val="006422CC"/>
    <w:rsid w:val="00642A24"/>
    <w:rsid w:val="00653B50"/>
    <w:rsid w:val="00660E3E"/>
    <w:rsid w:val="00661885"/>
    <w:rsid w:val="00662E74"/>
    <w:rsid w:val="00671B4C"/>
    <w:rsid w:val="00676542"/>
    <w:rsid w:val="00680C23"/>
    <w:rsid w:val="00693766"/>
    <w:rsid w:val="00696827"/>
    <w:rsid w:val="006A167A"/>
    <w:rsid w:val="006A3281"/>
    <w:rsid w:val="006B4888"/>
    <w:rsid w:val="006C1A56"/>
    <w:rsid w:val="006C2E45"/>
    <w:rsid w:val="006C359C"/>
    <w:rsid w:val="006C5579"/>
    <w:rsid w:val="006D2F13"/>
    <w:rsid w:val="006E1947"/>
    <w:rsid w:val="006E737D"/>
    <w:rsid w:val="006F44F8"/>
    <w:rsid w:val="00703CB7"/>
    <w:rsid w:val="007154DA"/>
    <w:rsid w:val="00720A24"/>
    <w:rsid w:val="00730E24"/>
    <w:rsid w:val="00732386"/>
    <w:rsid w:val="0073514D"/>
    <w:rsid w:val="007447F3"/>
    <w:rsid w:val="0075128F"/>
    <w:rsid w:val="0075499F"/>
    <w:rsid w:val="00757DB9"/>
    <w:rsid w:val="007661C8"/>
    <w:rsid w:val="0077098D"/>
    <w:rsid w:val="007931FA"/>
    <w:rsid w:val="007A0558"/>
    <w:rsid w:val="007A3F28"/>
    <w:rsid w:val="007A4861"/>
    <w:rsid w:val="007A4AA9"/>
    <w:rsid w:val="007A7BBA"/>
    <w:rsid w:val="007B04CA"/>
    <w:rsid w:val="007B0C50"/>
    <w:rsid w:val="007C1A43"/>
    <w:rsid w:val="007F2766"/>
    <w:rsid w:val="007F5EFA"/>
    <w:rsid w:val="0080013E"/>
    <w:rsid w:val="00803851"/>
    <w:rsid w:val="0080564C"/>
    <w:rsid w:val="00813288"/>
    <w:rsid w:val="008168FC"/>
    <w:rsid w:val="00826C46"/>
    <w:rsid w:val="00830996"/>
    <w:rsid w:val="00832A6F"/>
    <w:rsid w:val="008345F1"/>
    <w:rsid w:val="00865B07"/>
    <w:rsid w:val="008667EA"/>
    <w:rsid w:val="0087637F"/>
    <w:rsid w:val="00892AD5"/>
    <w:rsid w:val="0089436A"/>
    <w:rsid w:val="00896C0D"/>
    <w:rsid w:val="008A1512"/>
    <w:rsid w:val="008B247F"/>
    <w:rsid w:val="008D32B9"/>
    <w:rsid w:val="008D433B"/>
    <w:rsid w:val="008E566E"/>
    <w:rsid w:val="008E714F"/>
    <w:rsid w:val="00900F34"/>
    <w:rsid w:val="0090161A"/>
    <w:rsid w:val="00901EB6"/>
    <w:rsid w:val="00904C62"/>
    <w:rsid w:val="00907F23"/>
    <w:rsid w:val="009108D8"/>
    <w:rsid w:val="00913551"/>
    <w:rsid w:val="009163FE"/>
    <w:rsid w:val="00922BA8"/>
    <w:rsid w:val="00924DAC"/>
    <w:rsid w:val="00927058"/>
    <w:rsid w:val="00937D32"/>
    <w:rsid w:val="00942750"/>
    <w:rsid w:val="009450CE"/>
    <w:rsid w:val="00947179"/>
    <w:rsid w:val="0095164B"/>
    <w:rsid w:val="00954090"/>
    <w:rsid w:val="009573E7"/>
    <w:rsid w:val="00960492"/>
    <w:rsid w:val="00963E05"/>
    <w:rsid w:val="00967D54"/>
    <w:rsid w:val="00971028"/>
    <w:rsid w:val="00973860"/>
    <w:rsid w:val="00977698"/>
    <w:rsid w:val="00983EB6"/>
    <w:rsid w:val="00996483"/>
    <w:rsid w:val="00996F5A"/>
    <w:rsid w:val="009B041A"/>
    <w:rsid w:val="009C7C86"/>
    <w:rsid w:val="009D1FA9"/>
    <w:rsid w:val="009D2FF7"/>
    <w:rsid w:val="009E7884"/>
    <w:rsid w:val="009E788A"/>
    <w:rsid w:val="009F0E08"/>
    <w:rsid w:val="009F4BAB"/>
    <w:rsid w:val="00A04691"/>
    <w:rsid w:val="00A047FC"/>
    <w:rsid w:val="00A1763D"/>
    <w:rsid w:val="00A17CEC"/>
    <w:rsid w:val="00A25EE1"/>
    <w:rsid w:val="00A27EF0"/>
    <w:rsid w:val="00A50B20"/>
    <w:rsid w:val="00A51390"/>
    <w:rsid w:val="00A60D13"/>
    <w:rsid w:val="00A66FD5"/>
    <w:rsid w:val="00A716C8"/>
    <w:rsid w:val="00A72745"/>
    <w:rsid w:val="00A76EFC"/>
    <w:rsid w:val="00A83AFB"/>
    <w:rsid w:val="00A91010"/>
    <w:rsid w:val="00A9500F"/>
    <w:rsid w:val="00A97F29"/>
    <w:rsid w:val="00AA0BA6"/>
    <w:rsid w:val="00AA702E"/>
    <w:rsid w:val="00AB0964"/>
    <w:rsid w:val="00AB5011"/>
    <w:rsid w:val="00AC7368"/>
    <w:rsid w:val="00AD16B9"/>
    <w:rsid w:val="00AD22AB"/>
    <w:rsid w:val="00AE377D"/>
    <w:rsid w:val="00B02C8A"/>
    <w:rsid w:val="00B17FBD"/>
    <w:rsid w:val="00B23EC4"/>
    <w:rsid w:val="00B267B2"/>
    <w:rsid w:val="00B315A6"/>
    <w:rsid w:val="00B31813"/>
    <w:rsid w:val="00B33365"/>
    <w:rsid w:val="00B55842"/>
    <w:rsid w:val="00B57B36"/>
    <w:rsid w:val="00B64868"/>
    <w:rsid w:val="00B8686D"/>
    <w:rsid w:val="00BB1DDC"/>
    <w:rsid w:val="00BC30C9"/>
    <w:rsid w:val="00BC7508"/>
    <w:rsid w:val="00BE200F"/>
    <w:rsid w:val="00BE3E58"/>
    <w:rsid w:val="00BE5F65"/>
    <w:rsid w:val="00BE768E"/>
    <w:rsid w:val="00C01616"/>
    <w:rsid w:val="00C0162B"/>
    <w:rsid w:val="00C11E65"/>
    <w:rsid w:val="00C30A68"/>
    <w:rsid w:val="00C345B1"/>
    <w:rsid w:val="00C40142"/>
    <w:rsid w:val="00C57182"/>
    <w:rsid w:val="00C57863"/>
    <w:rsid w:val="00C655FD"/>
    <w:rsid w:val="00C6617C"/>
    <w:rsid w:val="00C72A38"/>
    <w:rsid w:val="00C75407"/>
    <w:rsid w:val="00C86C96"/>
    <w:rsid w:val="00C870A8"/>
    <w:rsid w:val="00C94434"/>
    <w:rsid w:val="00CA0D75"/>
    <w:rsid w:val="00CA1C95"/>
    <w:rsid w:val="00CA5A9C"/>
    <w:rsid w:val="00CC1A20"/>
    <w:rsid w:val="00CC3A3F"/>
    <w:rsid w:val="00CD3517"/>
    <w:rsid w:val="00CD5FE2"/>
    <w:rsid w:val="00CE7C68"/>
    <w:rsid w:val="00CF1A8B"/>
    <w:rsid w:val="00D02B4C"/>
    <w:rsid w:val="00D02D44"/>
    <w:rsid w:val="00D040C4"/>
    <w:rsid w:val="00D110A0"/>
    <w:rsid w:val="00D2628D"/>
    <w:rsid w:val="00D3495A"/>
    <w:rsid w:val="00D564E6"/>
    <w:rsid w:val="00D57C84"/>
    <w:rsid w:val="00D6057D"/>
    <w:rsid w:val="00D65375"/>
    <w:rsid w:val="00D836C5"/>
    <w:rsid w:val="00D84576"/>
    <w:rsid w:val="00DA1399"/>
    <w:rsid w:val="00DA24C6"/>
    <w:rsid w:val="00DA4D7B"/>
    <w:rsid w:val="00DC195C"/>
    <w:rsid w:val="00DC639D"/>
    <w:rsid w:val="00DE1386"/>
    <w:rsid w:val="00DE264A"/>
    <w:rsid w:val="00DF5072"/>
    <w:rsid w:val="00DF6097"/>
    <w:rsid w:val="00E02D18"/>
    <w:rsid w:val="00E041E7"/>
    <w:rsid w:val="00E15919"/>
    <w:rsid w:val="00E17F7B"/>
    <w:rsid w:val="00E23CA1"/>
    <w:rsid w:val="00E33792"/>
    <w:rsid w:val="00E409A8"/>
    <w:rsid w:val="00E50C12"/>
    <w:rsid w:val="00E614EE"/>
    <w:rsid w:val="00E65B91"/>
    <w:rsid w:val="00E7209D"/>
    <w:rsid w:val="00E77223"/>
    <w:rsid w:val="00E8528B"/>
    <w:rsid w:val="00E85B94"/>
    <w:rsid w:val="00E978D0"/>
    <w:rsid w:val="00EA4613"/>
    <w:rsid w:val="00EA7F91"/>
    <w:rsid w:val="00EB1523"/>
    <w:rsid w:val="00EB4E6B"/>
    <w:rsid w:val="00EC0E49"/>
    <w:rsid w:val="00ED53FA"/>
    <w:rsid w:val="00EE0131"/>
    <w:rsid w:val="00EE17B0"/>
    <w:rsid w:val="00EE1E2A"/>
    <w:rsid w:val="00EE56C0"/>
    <w:rsid w:val="00F075F8"/>
    <w:rsid w:val="00F30C64"/>
    <w:rsid w:val="00F325B5"/>
    <w:rsid w:val="00F32CDB"/>
    <w:rsid w:val="00F3568F"/>
    <w:rsid w:val="00F529A6"/>
    <w:rsid w:val="00F60867"/>
    <w:rsid w:val="00F63A70"/>
    <w:rsid w:val="00FA1F9F"/>
    <w:rsid w:val="00FA21D0"/>
    <w:rsid w:val="00FA5F5F"/>
    <w:rsid w:val="00FB730C"/>
    <w:rsid w:val="00FC2695"/>
    <w:rsid w:val="00FC3E03"/>
    <w:rsid w:val="00FC3FC1"/>
    <w:rsid w:val="00FF61B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91DE6CF3-E9D8-4B32-A59E-DD3A22BE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BC7508"/>
    <w:pPr>
      <w:ind w:left="720"/>
      <w:contextualSpacing/>
    </w:pPr>
  </w:style>
  <w:style w:type="character" w:styleId="Textodelmarcadordeposicin">
    <w:name w:val="Placeholder Text"/>
    <w:basedOn w:val="Fuentedeprrafopredeter"/>
    <w:uiPriority w:val="99"/>
    <w:semiHidden/>
    <w:rsid w:val="004274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3725">
      <w:bodyDiv w:val="1"/>
      <w:marLeft w:val="0"/>
      <w:marRight w:val="0"/>
      <w:marTop w:val="0"/>
      <w:marBottom w:val="0"/>
      <w:divBdr>
        <w:top w:val="none" w:sz="0" w:space="0" w:color="auto"/>
        <w:left w:val="none" w:sz="0" w:space="0" w:color="auto"/>
        <w:bottom w:val="none" w:sz="0" w:space="0" w:color="auto"/>
        <w:right w:val="none" w:sz="0" w:space="0" w:color="auto"/>
      </w:divBdr>
    </w:div>
    <w:div w:id="141895883">
      <w:bodyDiv w:val="1"/>
      <w:marLeft w:val="0"/>
      <w:marRight w:val="0"/>
      <w:marTop w:val="0"/>
      <w:marBottom w:val="0"/>
      <w:divBdr>
        <w:top w:val="none" w:sz="0" w:space="0" w:color="auto"/>
        <w:left w:val="none" w:sz="0" w:space="0" w:color="auto"/>
        <w:bottom w:val="none" w:sz="0" w:space="0" w:color="auto"/>
        <w:right w:val="none" w:sz="0" w:space="0" w:color="auto"/>
      </w:divBdr>
    </w:div>
    <w:div w:id="257180639">
      <w:bodyDiv w:val="1"/>
      <w:marLeft w:val="0"/>
      <w:marRight w:val="0"/>
      <w:marTop w:val="0"/>
      <w:marBottom w:val="0"/>
      <w:divBdr>
        <w:top w:val="none" w:sz="0" w:space="0" w:color="auto"/>
        <w:left w:val="none" w:sz="0" w:space="0" w:color="auto"/>
        <w:bottom w:val="none" w:sz="0" w:space="0" w:color="auto"/>
        <w:right w:val="none" w:sz="0" w:space="0" w:color="auto"/>
      </w:divBdr>
    </w:div>
    <w:div w:id="329530866">
      <w:bodyDiv w:val="1"/>
      <w:marLeft w:val="0"/>
      <w:marRight w:val="0"/>
      <w:marTop w:val="0"/>
      <w:marBottom w:val="0"/>
      <w:divBdr>
        <w:top w:val="none" w:sz="0" w:space="0" w:color="auto"/>
        <w:left w:val="none" w:sz="0" w:space="0" w:color="auto"/>
        <w:bottom w:val="none" w:sz="0" w:space="0" w:color="auto"/>
        <w:right w:val="none" w:sz="0" w:space="0" w:color="auto"/>
      </w:divBdr>
    </w:div>
    <w:div w:id="76442734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6999">
      <w:bodyDiv w:val="1"/>
      <w:marLeft w:val="0"/>
      <w:marRight w:val="0"/>
      <w:marTop w:val="0"/>
      <w:marBottom w:val="0"/>
      <w:divBdr>
        <w:top w:val="none" w:sz="0" w:space="0" w:color="auto"/>
        <w:left w:val="none" w:sz="0" w:space="0" w:color="auto"/>
        <w:bottom w:val="none" w:sz="0" w:space="0" w:color="auto"/>
        <w:right w:val="none" w:sz="0" w:space="0" w:color="auto"/>
      </w:divBdr>
    </w:div>
    <w:div w:id="1139957973">
      <w:bodyDiv w:val="1"/>
      <w:marLeft w:val="0"/>
      <w:marRight w:val="0"/>
      <w:marTop w:val="0"/>
      <w:marBottom w:val="0"/>
      <w:divBdr>
        <w:top w:val="none" w:sz="0" w:space="0" w:color="auto"/>
        <w:left w:val="none" w:sz="0" w:space="0" w:color="auto"/>
        <w:bottom w:val="none" w:sz="0" w:space="0" w:color="auto"/>
        <w:right w:val="none" w:sz="0" w:space="0" w:color="auto"/>
      </w:divBdr>
    </w:div>
    <w:div w:id="1201279045">
      <w:bodyDiv w:val="1"/>
      <w:marLeft w:val="0"/>
      <w:marRight w:val="0"/>
      <w:marTop w:val="0"/>
      <w:marBottom w:val="0"/>
      <w:divBdr>
        <w:top w:val="none" w:sz="0" w:space="0" w:color="auto"/>
        <w:left w:val="none" w:sz="0" w:space="0" w:color="auto"/>
        <w:bottom w:val="none" w:sz="0" w:space="0" w:color="auto"/>
        <w:right w:val="none" w:sz="0" w:space="0" w:color="auto"/>
      </w:divBdr>
    </w:div>
    <w:div w:id="129984257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1CD2-657A-452E-97F1-1782B123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8852</Words>
  <Characters>48686</Characters>
  <Application>Microsoft Office Word</Application>
  <DocSecurity>0</DocSecurity>
  <Lines>405</Lines>
  <Paragraphs>114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57424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Elmer</cp:lastModifiedBy>
  <cp:revision>6</cp:revision>
  <cp:lastPrinted>2022-01-08T02:06:00Z</cp:lastPrinted>
  <dcterms:created xsi:type="dcterms:W3CDTF">2022-03-23T02:36:00Z</dcterms:created>
  <dcterms:modified xsi:type="dcterms:W3CDTF">2022-03-25T00:48:00Z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id="l6c42S47"/&gt;&lt;style id="http://www.zotero.org/styles/elsevier-harvard" hasBibliography="1" bibliographyStyleHasBeenSet="1"/&gt;&lt;prefs&gt;&lt;pref name="fieldType" value="Field"/&gt;&lt;pref name="storeReference</vt:lpwstr>
  </property>
  <property fmtid="{D5CDD505-2E9C-101B-9397-08002B2CF9AE}" pid="3" name="ZOTERO_PREF_2">
    <vt:lpwstr>s" value="true"/&gt;&lt;/prefs&gt;&lt;/data&gt;</vt:lpwstr>
  </property>
</Properties>
</file>