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nb-NO" w:eastAsia="nb-NO"/>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1166F97A" w:rsidR="000A03B2" w:rsidRPr="00B57B36" w:rsidRDefault="00A76EFC" w:rsidP="007A4861">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B17078">
              <w:rPr>
                <w:rFonts w:cs="Arial"/>
                <w:b/>
                <w:bCs/>
                <w:i/>
                <w:iCs/>
                <w:color w:val="000066"/>
                <w:sz w:val="22"/>
                <w:szCs w:val="22"/>
                <w:lang w:eastAsia="it-IT"/>
              </w:rPr>
              <w:t>92</w:t>
            </w:r>
            <w:r w:rsidR="00FA5F5F">
              <w:rPr>
                <w:rFonts w:cs="Arial"/>
                <w:b/>
                <w:bCs/>
                <w:i/>
                <w:iCs/>
                <w:color w:val="000066"/>
                <w:sz w:val="22"/>
                <w:szCs w:val="22"/>
                <w:lang w:eastAsia="it-IT"/>
              </w:rPr>
              <w:t>, 20</w:t>
            </w:r>
            <w:r w:rsidR="00B17078">
              <w:rPr>
                <w:rFonts w:cs="Arial"/>
                <w:b/>
                <w:bCs/>
                <w:i/>
                <w:iCs/>
                <w:color w:val="000066"/>
                <w:sz w:val="22"/>
                <w:szCs w:val="22"/>
                <w:lang w:eastAsia="it-IT"/>
              </w:rPr>
              <w:t>22</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nb-NO" w:eastAsia="nb-NO"/>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00363C"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0363C" w:rsidRDefault="000D0268" w:rsidP="00CD5FE2">
            <w:pPr>
              <w:spacing w:line="140" w:lineRule="atLeast"/>
              <w:jc w:val="right"/>
              <w:rPr>
                <w:rFonts w:cs="Arial"/>
                <w:sz w:val="13"/>
                <w:szCs w:val="13"/>
                <w:lang w:val="nb-NO"/>
              </w:rPr>
            </w:pPr>
            <w:r w:rsidRPr="0000363C">
              <w:rPr>
                <w:rFonts w:cs="Arial"/>
                <w:sz w:val="13"/>
                <w:szCs w:val="13"/>
                <w:lang w:val="nb-NO"/>
              </w:rPr>
              <w:t>Online at www.cetjournal.it</w:t>
            </w:r>
          </w:p>
        </w:tc>
      </w:tr>
      <w:tr w:rsidR="000A03B2" w:rsidRPr="00B57B36" w14:paraId="2D1B7169" w14:textId="77777777" w:rsidTr="00DE264A">
        <w:trPr>
          <w:trHeight w:val="68"/>
          <w:jc w:val="center"/>
        </w:trPr>
        <w:tc>
          <w:tcPr>
            <w:tcW w:w="8789" w:type="dxa"/>
            <w:gridSpan w:val="2"/>
          </w:tcPr>
          <w:p w14:paraId="130D2707" w14:textId="77777777" w:rsidR="00B17078" w:rsidRPr="00B17078" w:rsidRDefault="00B17078" w:rsidP="00B17078">
            <w:pPr>
              <w:ind w:left="-107"/>
              <w:rPr>
                <w:rFonts w:ascii="Tahoma" w:hAnsi="Tahoma" w:cs="Tahoma"/>
                <w:iCs/>
                <w:color w:val="333333"/>
                <w:sz w:val="14"/>
                <w:szCs w:val="14"/>
                <w:lang w:eastAsia="it-IT"/>
              </w:rPr>
            </w:pPr>
            <w:r w:rsidRPr="00B17078">
              <w:rPr>
                <w:rFonts w:ascii="Tahoma" w:hAnsi="Tahoma" w:cs="Tahoma"/>
                <w:iCs/>
                <w:color w:val="333333"/>
                <w:sz w:val="14"/>
                <w:szCs w:val="14"/>
                <w:lang w:eastAsia="it-IT"/>
              </w:rPr>
              <w:t xml:space="preserve">Guest Editors: Rubens </w:t>
            </w:r>
            <w:proofErr w:type="spellStart"/>
            <w:r w:rsidRPr="00B17078">
              <w:rPr>
                <w:rFonts w:ascii="Tahoma" w:hAnsi="Tahoma" w:cs="Tahoma"/>
                <w:iCs/>
                <w:color w:val="333333"/>
                <w:sz w:val="14"/>
                <w:szCs w:val="14"/>
                <w:lang w:eastAsia="it-IT"/>
              </w:rPr>
              <w:t>Maciel</w:t>
            </w:r>
            <w:proofErr w:type="spellEnd"/>
            <w:r w:rsidRPr="00B17078">
              <w:rPr>
                <w:rFonts w:ascii="Tahoma" w:hAnsi="Tahoma" w:cs="Tahoma"/>
                <w:iCs/>
                <w:color w:val="333333"/>
                <w:sz w:val="14"/>
                <w:szCs w:val="14"/>
                <w:lang w:eastAsia="it-IT"/>
              </w:rPr>
              <w:t xml:space="preserve"> Filho, Eliseo </w:t>
            </w:r>
            <w:proofErr w:type="spellStart"/>
            <w:r w:rsidRPr="00B17078">
              <w:rPr>
                <w:rFonts w:ascii="Tahoma" w:hAnsi="Tahoma" w:cs="Tahoma"/>
                <w:iCs/>
                <w:color w:val="333333"/>
                <w:sz w:val="14"/>
                <w:szCs w:val="14"/>
                <w:lang w:eastAsia="it-IT"/>
              </w:rPr>
              <w:t>Ranzi</w:t>
            </w:r>
            <w:proofErr w:type="spellEnd"/>
            <w:r w:rsidRPr="00B17078">
              <w:rPr>
                <w:rFonts w:ascii="Tahoma" w:hAnsi="Tahoma" w:cs="Tahoma"/>
                <w:iCs/>
                <w:color w:val="333333"/>
                <w:sz w:val="14"/>
                <w:szCs w:val="14"/>
                <w:lang w:eastAsia="it-IT"/>
              </w:rPr>
              <w:t xml:space="preserve">, Leonardo </w:t>
            </w:r>
            <w:proofErr w:type="spellStart"/>
            <w:r w:rsidRPr="00B17078">
              <w:rPr>
                <w:rFonts w:ascii="Tahoma" w:hAnsi="Tahoma" w:cs="Tahoma"/>
                <w:iCs/>
                <w:color w:val="333333"/>
                <w:sz w:val="14"/>
                <w:szCs w:val="14"/>
                <w:lang w:eastAsia="it-IT"/>
              </w:rPr>
              <w:t>Tognotti</w:t>
            </w:r>
            <w:proofErr w:type="spellEnd"/>
          </w:p>
          <w:p w14:paraId="7A9EE745" w14:textId="77777777" w:rsidR="00B17078" w:rsidRPr="00B17078" w:rsidRDefault="00B17078" w:rsidP="00B17078">
            <w:pPr>
              <w:ind w:left="-107"/>
              <w:rPr>
                <w:rFonts w:ascii="Tahoma" w:hAnsi="Tahoma" w:cs="Tahoma"/>
                <w:iCs/>
                <w:color w:val="333333"/>
                <w:sz w:val="14"/>
                <w:szCs w:val="14"/>
                <w:lang w:eastAsia="it-IT"/>
              </w:rPr>
            </w:pPr>
            <w:r w:rsidRPr="00B17078">
              <w:rPr>
                <w:rFonts w:ascii="Tahoma" w:hAnsi="Tahoma" w:cs="Tahoma"/>
                <w:iCs/>
                <w:color w:val="333333"/>
                <w:sz w:val="14"/>
                <w:szCs w:val="14"/>
                <w:lang w:eastAsia="it-IT"/>
              </w:rPr>
              <w:t xml:space="preserve">Copyright © 2022, AIDIC </w:t>
            </w:r>
            <w:proofErr w:type="spellStart"/>
            <w:r w:rsidRPr="00B17078">
              <w:rPr>
                <w:rFonts w:ascii="Tahoma" w:hAnsi="Tahoma" w:cs="Tahoma"/>
                <w:iCs/>
                <w:color w:val="333333"/>
                <w:sz w:val="14"/>
                <w:szCs w:val="14"/>
                <w:lang w:eastAsia="it-IT"/>
              </w:rPr>
              <w:t>Servizi</w:t>
            </w:r>
            <w:proofErr w:type="spellEnd"/>
            <w:r w:rsidRPr="00B17078">
              <w:rPr>
                <w:rFonts w:ascii="Tahoma" w:hAnsi="Tahoma" w:cs="Tahoma"/>
                <w:iCs/>
                <w:color w:val="333333"/>
                <w:sz w:val="14"/>
                <w:szCs w:val="14"/>
                <w:lang w:eastAsia="it-IT"/>
              </w:rPr>
              <w:t xml:space="preserve"> </w:t>
            </w:r>
            <w:proofErr w:type="spellStart"/>
            <w:r w:rsidRPr="00B17078">
              <w:rPr>
                <w:rFonts w:ascii="Tahoma" w:hAnsi="Tahoma" w:cs="Tahoma"/>
                <w:iCs/>
                <w:color w:val="333333"/>
                <w:sz w:val="14"/>
                <w:szCs w:val="14"/>
                <w:lang w:eastAsia="it-IT"/>
              </w:rPr>
              <w:t>S.r.l</w:t>
            </w:r>
            <w:proofErr w:type="spellEnd"/>
            <w:r w:rsidRPr="00B17078">
              <w:rPr>
                <w:rFonts w:ascii="Tahoma" w:hAnsi="Tahoma" w:cs="Tahoma"/>
                <w:iCs/>
                <w:color w:val="333333"/>
                <w:sz w:val="14"/>
                <w:szCs w:val="14"/>
                <w:lang w:eastAsia="it-IT"/>
              </w:rPr>
              <w:t>.</w:t>
            </w:r>
          </w:p>
          <w:p w14:paraId="1B0F1814" w14:textId="3D1B36F4" w:rsidR="000A03B2" w:rsidRPr="00B57B36" w:rsidRDefault="00B17078" w:rsidP="00B17078">
            <w:pPr>
              <w:tabs>
                <w:tab w:val="left" w:pos="-108"/>
              </w:tabs>
              <w:spacing w:line="140" w:lineRule="atLeast"/>
              <w:ind w:left="-107"/>
              <w:jc w:val="left"/>
            </w:pPr>
            <w:r w:rsidRPr="00B17078">
              <w:rPr>
                <w:rFonts w:ascii="Tahoma" w:hAnsi="Tahoma" w:cs="Tahoma"/>
                <w:iCs/>
                <w:color w:val="333333"/>
                <w:sz w:val="14"/>
                <w:szCs w:val="14"/>
                <w:lang w:eastAsia="it-IT"/>
              </w:rPr>
              <w:t>ISBN 978-88-95608-90-7; ISSN 2283-9216</w:t>
            </w:r>
          </w:p>
        </w:tc>
      </w:tr>
    </w:tbl>
    <w:p w14:paraId="10DAA130" w14:textId="77777777" w:rsidR="000A03B2" w:rsidRPr="00B57B36" w:rsidRDefault="000A03B2" w:rsidP="00595BC6">
      <w:pPr>
        <w:pStyle w:val="CETAuthors"/>
        <w:sectPr w:rsidR="000A03B2" w:rsidRPr="00B57B36" w:rsidSect="00CD5FE2">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1701" w:right="1418" w:bottom="1701" w:left="1701" w:header="1701" w:footer="0" w:gutter="0"/>
          <w:cols w:space="708"/>
          <w:titlePg/>
          <w:docGrid w:linePitch="360"/>
        </w:sectPr>
      </w:pPr>
    </w:p>
    <w:p w14:paraId="36BFA4C3" w14:textId="77777777" w:rsidR="00902DD1" w:rsidRPr="00902DD1" w:rsidRDefault="00902DD1" w:rsidP="005A53F3">
      <w:pPr>
        <w:tabs>
          <w:tab w:val="clear" w:pos="7100"/>
        </w:tabs>
        <w:suppressAutoHyphens/>
        <w:spacing w:before="480" w:after="120" w:line="240" w:lineRule="auto"/>
        <w:jc w:val="center"/>
        <w:rPr>
          <w:rFonts w:eastAsia="SimSun" w:cs="Arial"/>
          <w:sz w:val="32"/>
          <w:szCs w:val="32"/>
          <w:lang w:val="en-US"/>
        </w:rPr>
      </w:pPr>
      <w:r w:rsidRPr="00902DD1">
        <w:rPr>
          <w:rFonts w:eastAsia="SimSun" w:cs="Arial"/>
          <w:sz w:val="32"/>
          <w:szCs w:val="32"/>
          <w:lang w:val="en-US"/>
        </w:rPr>
        <w:t xml:space="preserve">On the development of a counter-flow mixing reactor for fast hydrothermal liquefaction </w:t>
      </w:r>
    </w:p>
    <w:p w14:paraId="7120B01E" w14:textId="45E2E824" w:rsidR="00902DD1" w:rsidRPr="0000363C" w:rsidRDefault="00555C80" w:rsidP="00902DD1">
      <w:pPr>
        <w:keepNext/>
        <w:suppressAutoHyphens/>
        <w:spacing w:after="120"/>
        <w:rPr>
          <w:noProof/>
          <w:sz w:val="24"/>
          <w:lang w:val="en-US"/>
        </w:rPr>
      </w:pPr>
      <w:r w:rsidRPr="0000363C">
        <w:rPr>
          <w:noProof/>
          <w:sz w:val="24"/>
          <w:lang w:val="en-US"/>
        </w:rPr>
        <w:t xml:space="preserve">Arturs Curakovs, </w:t>
      </w:r>
      <w:r w:rsidR="00902DD1" w:rsidRPr="0000363C">
        <w:rPr>
          <w:noProof/>
          <w:sz w:val="24"/>
          <w:lang w:val="en-US"/>
        </w:rPr>
        <w:t>Khanh-Quang Tran</w:t>
      </w:r>
      <w:r w:rsidR="005A53F3" w:rsidRPr="0000363C">
        <w:rPr>
          <w:noProof/>
          <w:sz w:val="24"/>
          <w:lang w:val="en-US"/>
        </w:rPr>
        <w:t>*</w:t>
      </w:r>
      <w:r w:rsidRPr="0000363C">
        <w:rPr>
          <w:noProof/>
          <w:sz w:val="24"/>
          <w:lang w:val="en-US"/>
        </w:rPr>
        <w:t>.</w:t>
      </w:r>
      <w:r w:rsidR="0056757F" w:rsidRPr="0000363C">
        <w:rPr>
          <w:noProof/>
          <w:sz w:val="24"/>
          <w:lang w:val="en-US"/>
        </w:rPr>
        <w:t xml:space="preserve"> </w:t>
      </w:r>
    </w:p>
    <w:p w14:paraId="0E1170FA" w14:textId="2CF07A1B" w:rsidR="00902DD1" w:rsidRPr="00902DD1" w:rsidRDefault="00902DD1" w:rsidP="00902DD1">
      <w:pPr>
        <w:tabs>
          <w:tab w:val="clear" w:pos="7100"/>
        </w:tabs>
        <w:suppressAutoHyphens/>
        <w:spacing w:line="240" w:lineRule="auto"/>
        <w:jc w:val="left"/>
        <w:rPr>
          <w:rFonts w:eastAsia="Times" w:cs="Arial"/>
          <w:noProof/>
          <w:sz w:val="16"/>
          <w:szCs w:val="16"/>
          <w:lang w:val="nn-NO"/>
        </w:rPr>
      </w:pPr>
      <w:r w:rsidRPr="00902DD1">
        <w:rPr>
          <w:rFonts w:eastAsia="Times" w:cs="Arial"/>
          <w:noProof/>
          <w:sz w:val="16"/>
          <w:szCs w:val="16"/>
          <w:lang w:val="en-US"/>
        </w:rPr>
        <w:t>Department of energy and process engineering</w:t>
      </w:r>
      <w:r w:rsidR="003A2FC1">
        <w:rPr>
          <w:rFonts w:eastAsia="Times" w:cs="Arial"/>
          <w:noProof/>
          <w:sz w:val="16"/>
          <w:szCs w:val="16"/>
          <w:lang w:val="en-US"/>
        </w:rPr>
        <w:t>,</w:t>
      </w:r>
      <w:r w:rsidRPr="00902DD1">
        <w:rPr>
          <w:rFonts w:eastAsia="Times" w:cs="Arial"/>
          <w:noProof/>
          <w:sz w:val="16"/>
          <w:szCs w:val="16"/>
          <w:lang w:val="en-US"/>
        </w:rPr>
        <w:t xml:space="preserve"> Norwegian University of Science and Technology, </w:t>
      </w:r>
      <w:r w:rsidRPr="00902DD1">
        <w:rPr>
          <w:rFonts w:eastAsia="Times" w:cs="Arial"/>
          <w:noProof/>
          <w:sz w:val="16"/>
          <w:szCs w:val="16"/>
          <w:lang w:val="nn-NO"/>
        </w:rPr>
        <w:t>NO-7491 Trondheim, Norway</w:t>
      </w:r>
      <w:r w:rsidR="00555C80">
        <w:rPr>
          <w:rFonts w:eastAsia="Times" w:cs="Arial"/>
          <w:noProof/>
          <w:sz w:val="16"/>
          <w:szCs w:val="16"/>
          <w:lang w:val="nn-NO"/>
        </w:rPr>
        <w:t>.</w:t>
      </w:r>
    </w:p>
    <w:p w14:paraId="26A9EEA3" w14:textId="77777777" w:rsidR="007A2D79" w:rsidRDefault="007A2D79" w:rsidP="00902DD1">
      <w:pPr>
        <w:keepLines/>
        <w:widowControl w:val="0"/>
        <w:tabs>
          <w:tab w:val="clear" w:pos="7100"/>
        </w:tabs>
        <w:spacing w:line="240" w:lineRule="auto"/>
        <w:jc w:val="left"/>
        <w:rPr>
          <w:rFonts w:eastAsia="SimSun" w:cs="Arial"/>
          <w:sz w:val="16"/>
          <w:lang w:val="nn-NO"/>
        </w:rPr>
      </w:pPr>
    </w:p>
    <w:p w14:paraId="4E27E6E2" w14:textId="0FBDBF4A" w:rsidR="00902DD1" w:rsidRPr="00902DD1" w:rsidRDefault="005A53F3" w:rsidP="00902DD1">
      <w:pPr>
        <w:keepLines/>
        <w:widowControl w:val="0"/>
        <w:tabs>
          <w:tab w:val="clear" w:pos="7100"/>
        </w:tabs>
        <w:spacing w:line="240" w:lineRule="auto"/>
        <w:jc w:val="left"/>
        <w:rPr>
          <w:rFonts w:eastAsia="SimSun" w:cs="Arial"/>
          <w:sz w:val="16"/>
          <w:lang w:val="nn-NO"/>
        </w:rPr>
      </w:pPr>
      <w:r>
        <w:rPr>
          <w:rFonts w:eastAsia="SimSun" w:cs="Arial"/>
          <w:sz w:val="16"/>
          <w:lang w:val="nn-NO"/>
        </w:rPr>
        <w:t xml:space="preserve">* </w:t>
      </w:r>
      <w:r w:rsidR="00902DD1" w:rsidRPr="00902DD1">
        <w:rPr>
          <w:rFonts w:eastAsia="SimSun" w:cs="Arial"/>
          <w:sz w:val="16"/>
          <w:lang w:val="nn-NO"/>
        </w:rPr>
        <w:t>khanh-quang.tran@ntnu.no</w:t>
      </w:r>
    </w:p>
    <w:p w14:paraId="6BD1518D" w14:textId="77777777" w:rsidR="00902DD1" w:rsidRPr="00902DD1" w:rsidRDefault="00902DD1" w:rsidP="00902DD1">
      <w:pPr>
        <w:rPr>
          <w:lang w:val="nn-NO"/>
        </w:rPr>
      </w:pPr>
    </w:p>
    <w:p w14:paraId="58328C2D" w14:textId="71E30DEF" w:rsidR="00902DD1" w:rsidRPr="00902DD1" w:rsidRDefault="00902DD1" w:rsidP="00902DD1">
      <w:pPr>
        <w:tabs>
          <w:tab w:val="clear" w:pos="7100"/>
        </w:tabs>
        <w:spacing w:line="240" w:lineRule="auto"/>
        <w:ind w:right="-28"/>
        <w:rPr>
          <w:rFonts w:cs="Arial"/>
          <w:szCs w:val="18"/>
          <w:lang w:eastAsia="nb-NO"/>
        </w:rPr>
      </w:pPr>
      <w:r w:rsidRPr="00902DD1">
        <w:rPr>
          <w:rFonts w:eastAsia="SimSun" w:cs="Arial"/>
          <w:bCs/>
          <w:szCs w:val="18"/>
          <w:lang w:val="en-US"/>
        </w:rPr>
        <w:t xml:space="preserve">A laboratory-scale </w:t>
      </w:r>
      <w:r w:rsidR="001312CA">
        <w:rPr>
          <w:rFonts w:eastAsia="SimSun" w:cs="Arial"/>
          <w:bCs/>
          <w:szCs w:val="18"/>
          <w:lang w:val="en-US"/>
        </w:rPr>
        <w:t>continuous tubular flow reactor system</w:t>
      </w:r>
      <w:r w:rsidRPr="00902DD1">
        <w:rPr>
          <w:rFonts w:eastAsia="SimSun" w:cs="Arial"/>
          <w:bCs/>
          <w:szCs w:val="18"/>
          <w:lang w:val="en-US"/>
        </w:rPr>
        <w:t xml:space="preserve"> has been developed for fast HTL (hydrothermal liquefaction) of lignin, adopting the nozzle reactor </w:t>
      </w:r>
      <w:r w:rsidR="00EA1AD3" w:rsidRPr="00902DD1">
        <w:rPr>
          <w:rFonts w:eastAsia="SimSun" w:cs="Arial"/>
          <w:bCs/>
          <w:szCs w:val="18"/>
          <w:lang w:val="en-US"/>
        </w:rPr>
        <w:t>concept</w:t>
      </w:r>
      <w:r w:rsidR="00EA1AD3">
        <w:rPr>
          <w:rFonts w:eastAsia="SimSun" w:cs="Arial"/>
          <w:bCs/>
          <w:szCs w:val="18"/>
          <w:lang w:val="en-US"/>
        </w:rPr>
        <w:t xml:space="preserve"> with a counter-flow mixing</w:t>
      </w:r>
      <w:r w:rsidR="00EA1AD3" w:rsidRPr="00EA1AD3">
        <w:rPr>
          <w:rFonts w:eastAsia="SimSun" w:cs="Arial"/>
          <w:bCs/>
          <w:szCs w:val="18"/>
          <w:lang w:val="en-US"/>
        </w:rPr>
        <w:t xml:space="preserve"> </w:t>
      </w:r>
      <w:r w:rsidR="00EA1AD3">
        <w:rPr>
          <w:rFonts w:eastAsia="SimSun" w:cs="Arial"/>
          <w:bCs/>
          <w:szCs w:val="18"/>
          <w:lang w:val="en-US"/>
        </w:rPr>
        <w:t>design</w:t>
      </w:r>
      <w:r w:rsidRPr="00902DD1">
        <w:rPr>
          <w:rFonts w:eastAsia="SimSun" w:cs="Arial"/>
          <w:bCs/>
          <w:szCs w:val="18"/>
          <w:lang w:val="en-US"/>
        </w:rPr>
        <w:t xml:space="preserve">. </w:t>
      </w:r>
      <w:r w:rsidR="001312CA">
        <w:rPr>
          <w:rFonts w:eastAsia="SimSun" w:cs="Arial"/>
          <w:bCs/>
          <w:szCs w:val="18"/>
          <w:lang w:val="en-US"/>
        </w:rPr>
        <w:t>T</w:t>
      </w:r>
      <w:r w:rsidRPr="00902DD1">
        <w:rPr>
          <w:rFonts w:eastAsia="SimSun" w:cs="Arial"/>
          <w:bCs/>
          <w:szCs w:val="18"/>
          <w:lang w:val="en-US"/>
        </w:rPr>
        <w:t>he reactor is capable of very fast heating and tolerating solid particles suspended in the liquid stream flowing through the reactor. The system has been</w:t>
      </w:r>
      <w:r w:rsidRPr="00902DD1">
        <w:rPr>
          <w:rFonts w:eastAsia="SimSun" w:cs="Arial"/>
          <w:szCs w:val="18"/>
          <w:lang w:eastAsia="nb-NO"/>
        </w:rPr>
        <w:t xml:space="preserve"> </w:t>
      </w:r>
      <w:r w:rsidRPr="00902DD1">
        <w:rPr>
          <w:rFonts w:eastAsia="SimSun" w:cs="Arial"/>
          <w:bCs/>
          <w:szCs w:val="18"/>
          <w:lang w:val="en-US"/>
        </w:rPr>
        <w:t>tested for fast HTL of lignin residues from steam explosion, which was prepared and continuously pumped into the reactor in the form of a</w:t>
      </w:r>
      <w:r w:rsidRPr="00902DD1">
        <w:rPr>
          <w:rFonts w:eastAsia="SimSun" w:cs="Arial"/>
          <w:szCs w:val="18"/>
          <w:lang w:eastAsia="nb-NO"/>
        </w:rPr>
        <w:t xml:space="preserve"> slurry solution of 25 wt. % lignin (125 µm in size) in water and 2 wt. % of cooking oil as emulsifier. This paper presents and analyses the development, the emulsification study, and the first test of the nozzle reactor design for fast HTL of lignin.  </w:t>
      </w:r>
    </w:p>
    <w:p w14:paraId="2638813A" w14:textId="77777777" w:rsidR="00902DD1" w:rsidRPr="00902DD1" w:rsidRDefault="00902DD1" w:rsidP="00902DD1">
      <w:pPr>
        <w:keepNext/>
        <w:suppressAutoHyphens/>
        <w:spacing w:before="240" w:after="120" w:line="240" w:lineRule="auto"/>
        <w:outlineLvl w:val="0"/>
        <w:rPr>
          <w:rFonts w:cs="Arial"/>
          <w:b/>
          <w:bCs/>
          <w:sz w:val="20"/>
        </w:rPr>
      </w:pPr>
      <w:r w:rsidRPr="00902DD1">
        <w:rPr>
          <w:rFonts w:cs="Arial"/>
          <w:b/>
          <w:bCs/>
          <w:sz w:val="20"/>
        </w:rPr>
        <w:t>1. Introduction</w:t>
      </w:r>
    </w:p>
    <w:p w14:paraId="60C2509B" w14:textId="0BE478AC" w:rsidR="00902DD1" w:rsidRPr="00902DD1" w:rsidRDefault="00902DD1" w:rsidP="007A2D79">
      <w:pPr>
        <w:rPr>
          <w:rFonts w:cs="Arial"/>
          <w:szCs w:val="18"/>
        </w:rPr>
      </w:pPr>
      <w:r w:rsidRPr="00902DD1">
        <w:rPr>
          <w:rFonts w:cs="Arial"/>
          <w:szCs w:val="18"/>
        </w:rPr>
        <w:t>Fast hydrothermal liquefaction</w:t>
      </w:r>
      <w:r w:rsidR="001312CA">
        <w:rPr>
          <w:rFonts w:cs="Arial"/>
          <w:szCs w:val="18"/>
        </w:rPr>
        <w:t xml:space="preserve"> (Fast </w:t>
      </w:r>
      <w:r w:rsidR="001312CA" w:rsidRPr="00902DD1">
        <w:rPr>
          <w:rFonts w:cs="Arial"/>
          <w:szCs w:val="18"/>
        </w:rPr>
        <w:t>HTL</w:t>
      </w:r>
      <w:r w:rsidR="001312CA">
        <w:rPr>
          <w:rFonts w:cs="Arial"/>
          <w:szCs w:val="18"/>
        </w:rPr>
        <w:t>)</w:t>
      </w:r>
      <w:r w:rsidRPr="00902DD1">
        <w:rPr>
          <w:rFonts w:cs="Arial"/>
          <w:szCs w:val="18"/>
        </w:rPr>
        <w:t xml:space="preserve"> </w:t>
      </w:r>
      <w:r w:rsidR="001312CA">
        <w:rPr>
          <w:rFonts w:cs="Arial"/>
          <w:szCs w:val="18"/>
        </w:rPr>
        <w:t>involves</w:t>
      </w:r>
      <w:r w:rsidRPr="00902DD1">
        <w:rPr>
          <w:rFonts w:cs="Arial"/>
          <w:szCs w:val="18"/>
        </w:rPr>
        <w:t xml:space="preserve"> fast processing of biomass in hot compressed water (below 374</w:t>
      </w:r>
      <w:r w:rsidRPr="00902DD1">
        <w:rPr>
          <w:rFonts w:cs="Arial"/>
          <w:szCs w:val="18"/>
          <w:vertAlign w:val="superscript"/>
        </w:rPr>
        <w:t>o</w:t>
      </w:r>
      <w:r w:rsidRPr="00902DD1">
        <w:rPr>
          <w:rFonts w:cs="Arial"/>
          <w:szCs w:val="18"/>
        </w:rPr>
        <w:t>C, 22.1 MPa) for production of HTL oil or bio-crude</w:t>
      </w:r>
      <w:r w:rsidRPr="00902DD1">
        <w:rPr>
          <w:rFonts w:cs="Arial"/>
          <w:szCs w:val="18"/>
          <w:lang w:eastAsia="nb-NO"/>
        </w:rPr>
        <w:t xml:space="preserve">. </w:t>
      </w:r>
      <w:proofErr w:type="gramStart"/>
      <w:r w:rsidRPr="00902DD1">
        <w:rPr>
          <w:rFonts w:cs="Arial"/>
          <w:szCs w:val="18"/>
          <w:lang w:eastAsia="nb-NO"/>
        </w:rPr>
        <w:t>Similar to</w:t>
      </w:r>
      <w:proofErr w:type="gramEnd"/>
      <w:r w:rsidRPr="00902DD1">
        <w:rPr>
          <w:rFonts w:cs="Arial"/>
          <w:szCs w:val="18"/>
          <w:lang w:eastAsia="nb-NO"/>
        </w:rPr>
        <w:t xml:space="preserve"> </w:t>
      </w:r>
      <w:r w:rsidRPr="00902DD1">
        <w:rPr>
          <w:rFonts w:cs="Arial"/>
          <w:szCs w:val="18"/>
        </w:rPr>
        <w:t xml:space="preserve">fast pyrolysis, the process of fast HTL requires </w:t>
      </w:r>
      <w:r w:rsidR="001312CA" w:rsidRPr="00902DD1">
        <w:rPr>
          <w:rFonts w:cs="Arial"/>
          <w:szCs w:val="18"/>
        </w:rPr>
        <w:t xml:space="preserve">higher </w:t>
      </w:r>
      <w:r w:rsidRPr="00902DD1">
        <w:rPr>
          <w:rFonts w:cs="Arial"/>
          <w:szCs w:val="18"/>
        </w:rPr>
        <w:t xml:space="preserve">heating rates, aiming at maximized bio-crude yields and minimized coke formation. It is because </w:t>
      </w:r>
      <w:r w:rsidRPr="00902DD1">
        <w:rPr>
          <w:rFonts w:cs="Arial"/>
          <w:iCs/>
          <w:szCs w:val="18"/>
        </w:rPr>
        <w:t xml:space="preserve">HTL </w:t>
      </w:r>
      <w:r w:rsidR="001312CA">
        <w:rPr>
          <w:rFonts w:cs="Arial"/>
          <w:iCs/>
          <w:szCs w:val="18"/>
        </w:rPr>
        <w:t>is represented by</w:t>
      </w:r>
      <w:r w:rsidRPr="00902DD1">
        <w:rPr>
          <w:rFonts w:cs="Arial"/>
          <w:iCs/>
          <w:szCs w:val="18"/>
        </w:rPr>
        <w:t xml:space="preserve"> </w:t>
      </w:r>
      <w:r w:rsidR="001312CA">
        <w:rPr>
          <w:rFonts w:cs="Arial"/>
          <w:iCs/>
          <w:szCs w:val="18"/>
        </w:rPr>
        <w:t xml:space="preserve">both </w:t>
      </w:r>
      <w:r w:rsidRPr="00902DD1">
        <w:rPr>
          <w:rFonts w:cs="Arial"/>
          <w:iCs/>
          <w:szCs w:val="18"/>
        </w:rPr>
        <w:t>beneficial primary reactions (pyrolytic &amp; hydrolytic degradation) and non-beneficial secondary reactions (recombination and secondary cracking)</w:t>
      </w:r>
      <w:r w:rsidRPr="00902DD1">
        <w:rPr>
          <w:rFonts w:cs="Arial"/>
          <w:szCs w:val="18"/>
        </w:rPr>
        <w:t xml:space="preserve"> </w:t>
      </w:r>
      <w:r w:rsidRPr="00902DD1">
        <w:rPr>
          <w:rFonts w:cs="Arial"/>
          <w:szCs w:val="18"/>
        </w:rPr>
        <w:fldChar w:fldCharType="begin"/>
      </w:r>
      <w:r w:rsidRPr="00902DD1">
        <w:rPr>
          <w:rFonts w:cs="Arial"/>
          <w:szCs w:val="18"/>
        </w:rPr>
        <w:instrText xml:space="preserve"> ADDIN EN.CITE &lt;EndNote&gt;&lt;Cite&gt;&lt;Author&gt;Brand&lt;/Author&gt;&lt;Year&gt;2014&lt;/Year&gt;&lt;RecNum&gt;137&lt;/RecNum&gt;&lt;DisplayText&gt;(Brand, Hardi et al. 2014)&lt;/DisplayText&gt;&lt;record&gt;&lt;rec-number&gt;137&lt;/rec-number&gt;&lt;foreign-keys&gt;&lt;key app="EN" db-id="zasr50xavdrdpse00atprz9rzr2vz9vap2vs" timestamp="0"&gt;137&lt;/key&gt;&lt;/foreign-keys&gt;&lt;ref-type name="Journal Article"&gt;17&lt;/ref-type&gt;&lt;contributors&gt;&lt;authors&gt;&lt;author&gt;Brand, Steffen&lt;/author&gt;&lt;author&gt;Hardi, Flabianus&lt;/author&gt;&lt;author&gt;Kim, Jaehoon&lt;/author&gt;&lt;author&gt;Suh, Dong Jin&lt;/author&gt;&lt;/authors&gt;&lt;/contributors&gt;&lt;titles&gt;&lt;title&gt;Effect of heating rate on biomass liquefaction: Differences between subcritical water and supercritical ethanol&lt;/title&gt;&lt;secondary-title&gt;Energy&lt;/secondary-title&gt;&lt;/titles&gt;&lt;pages&gt;420-427&lt;/pages&gt;&lt;volume&gt;68&lt;/volume&gt;&lt;number&gt;0&lt;/number&gt;&lt;keywords&gt;&lt;keyword&gt;Liquefaction&lt;/keyword&gt;&lt;keyword&gt;Subcritical water&lt;/keyword&gt;&lt;keyword&gt;Supercritical ethanol&lt;/keyword&gt;&lt;keyword&gt;Heating rate&lt;/keyword&gt;&lt;keyword&gt;Liquefaction mechanism&lt;/keyword&gt;&lt;/keywords&gt;&lt;dates&gt;&lt;year&gt;2014&lt;/year&gt;&lt;/dates&gt;&lt;isbn&gt;0360-5442&lt;/isbn&gt;&lt;urls&gt;&lt;related-urls&gt;&lt;url&gt;http://www.sciencedirect.com/science/article/pii/S0360544214002205&lt;/url&gt;&lt;/related-urls&gt;&lt;/urls&gt;&lt;electronic-resource-num&gt;http://dx.doi.org/10.1016/j.energy.2014.02.086&lt;/electronic-resource-num&gt;&lt;/record&gt;&lt;/Cite&gt;&lt;/EndNote&gt;</w:instrText>
      </w:r>
      <w:r w:rsidRPr="00902DD1">
        <w:rPr>
          <w:rFonts w:cs="Arial"/>
          <w:szCs w:val="18"/>
        </w:rPr>
        <w:fldChar w:fldCharType="separate"/>
      </w:r>
      <w:r w:rsidRPr="00902DD1">
        <w:rPr>
          <w:rFonts w:cs="Arial"/>
          <w:noProof/>
          <w:szCs w:val="18"/>
        </w:rPr>
        <w:t>(</w:t>
      </w:r>
      <w:hyperlink w:anchor="_ENREF_4" w:tooltip="Brand, 2014 #137" w:history="1">
        <w:r w:rsidRPr="00902DD1">
          <w:rPr>
            <w:rFonts w:cs="Arial"/>
            <w:noProof/>
            <w:szCs w:val="18"/>
          </w:rPr>
          <w:t>Brand et al. 2014</w:t>
        </w:r>
      </w:hyperlink>
      <w:r w:rsidRPr="00902DD1">
        <w:rPr>
          <w:rFonts w:cs="Arial"/>
          <w:noProof/>
          <w:szCs w:val="18"/>
        </w:rPr>
        <w:t>)</w:t>
      </w:r>
      <w:r w:rsidRPr="00902DD1">
        <w:rPr>
          <w:rFonts w:cs="Arial"/>
          <w:szCs w:val="18"/>
        </w:rPr>
        <w:fldChar w:fldCharType="end"/>
      </w:r>
      <w:r w:rsidRPr="00902DD1">
        <w:rPr>
          <w:rFonts w:cs="Arial"/>
          <w:szCs w:val="18"/>
        </w:rPr>
        <w:t xml:space="preserve">. </w:t>
      </w:r>
      <w:r w:rsidRPr="00902DD1">
        <w:rPr>
          <w:rFonts w:cs="Arial"/>
          <w:iCs/>
          <w:szCs w:val="18"/>
        </w:rPr>
        <w:t>In the case of slow heating, biomass undergoes step-by-step hydrolytic deg</w:t>
      </w:r>
      <w:r w:rsidR="001312CA">
        <w:rPr>
          <w:rFonts w:cs="Arial"/>
          <w:iCs/>
          <w:szCs w:val="18"/>
        </w:rPr>
        <w:t xml:space="preserve">radation, pyrolytic degradation, as well as </w:t>
      </w:r>
      <w:r w:rsidRPr="00902DD1">
        <w:rPr>
          <w:rFonts w:cs="Arial"/>
          <w:iCs/>
          <w:szCs w:val="18"/>
        </w:rPr>
        <w:t>recombination and secondary cracking reactions</w:t>
      </w:r>
      <w:r w:rsidR="001312CA">
        <w:rPr>
          <w:rFonts w:cs="Arial"/>
          <w:iCs/>
          <w:szCs w:val="18"/>
        </w:rPr>
        <w:t xml:space="preserve"> </w:t>
      </w:r>
      <w:r w:rsidR="001312CA" w:rsidRPr="00902DD1">
        <w:rPr>
          <w:rFonts w:cs="Arial"/>
          <w:iCs/>
          <w:szCs w:val="18"/>
        </w:rPr>
        <w:t>if el</w:t>
      </w:r>
      <w:r w:rsidR="001312CA">
        <w:rPr>
          <w:rFonts w:cs="Arial"/>
          <w:iCs/>
          <w:szCs w:val="18"/>
        </w:rPr>
        <w:t>evated temperatures are applied</w:t>
      </w:r>
      <w:r w:rsidR="00D446F9">
        <w:rPr>
          <w:rFonts w:cs="Arial"/>
          <w:iCs/>
          <w:szCs w:val="18"/>
        </w:rPr>
        <w:t>. Under</w:t>
      </w:r>
      <w:r w:rsidRPr="00902DD1">
        <w:rPr>
          <w:rFonts w:cs="Arial"/>
          <w:szCs w:val="18"/>
        </w:rPr>
        <w:t xml:space="preserve"> fast heating</w:t>
      </w:r>
      <w:r w:rsidR="00D446F9">
        <w:rPr>
          <w:rFonts w:cs="Arial"/>
          <w:szCs w:val="18"/>
        </w:rPr>
        <w:t xml:space="preserve"> conditions</w:t>
      </w:r>
      <w:r w:rsidRPr="00902DD1">
        <w:rPr>
          <w:rFonts w:cs="Arial"/>
          <w:szCs w:val="18"/>
        </w:rPr>
        <w:t>, hydrolytic and pyrolytic cleavage</w:t>
      </w:r>
      <w:r w:rsidR="00D446F9">
        <w:rPr>
          <w:rFonts w:cs="Arial"/>
          <w:szCs w:val="18"/>
        </w:rPr>
        <w:t xml:space="preserve"> would be taking place </w:t>
      </w:r>
      <w:r w:rsidR="00D446F9" w:rsidRPr="00902DD1">
        <w:rPr>
          <w:rFonts w:cs="Arial"/>
          <w:szCs w:val="18"/>
        </w:rPr>
        <w:t>simultaneous</w:t>
      </w:r>
      <w:r w:rsidR="00D446F9">
        <w:rPr>
          <w:rFonts w:cs="Arial"/>
          <w:szCs w:val="18"/>
        </w:rPr>
        <w:t>ly</w:t>
      </w:r>
      <w:r w:rsidRPr="00902DD1">
        <w:rPr>
          <w:rFonts w:cs="Arial"/>
          <w:szCs w:val="18"/>
        </w:rPr>
        <w:t>. Dominance of either pathway</w:t>
      </w:r>
      <w:r w:rsidR="00D446F9">
        <w:rPr>
          <w:rFonts w:cs="Arial"/>
          <w:szCs w:val="18"/>
        </w:rPr>
        <w:t xml:space="preserve">, </w:t>
      </w:r>
      <w:r w:rsidR="00D446F9" w:rsidRPr="00902DD1">
        <w:rPr>
          <w:rFonts w:cs="Arial"/>
          <w:szCs w:val="18"/>
        </w:rPr>
        <w:t xml:space="preserve">hydrolytic </w:t>
      </w:r>
      <w:r w:rsidR="00D446F9">
        <w:rPr>
          <w:rFonts w:cs="Arial"/>
          <w:szCs w:val="18"/>
        </w:rPr>
        <w:t>or</w:t>
      </w:r>
      <w:r w:rsidR="00D446F9" w:rsidRPr="00902DD1">
        <w:rPr>
          <w:rFonts w:cs="Arial"/>
          <w:szCs w:val="18"/>
        </w:rPr>
        <w:t xml:space="preserve"> pyrolytic cleavage</w:t>
      </w:r>
      <w:r w:rsidR="00D446F9">
        <w:rPr>
          <w:rFonts w:cs="Arial"/>
          <w:szCs w:val="18"/>
        </w:rPr>
        <w:t>,</w:t>
      </w:r>
      <w:r w:rsidRPr="00902DD1">
        <w:rPr>
          <w:rFonts w:cs="Arial"/>
          <w:szCs w:val="18"/>
        </w:rPr>
        <w:t xml:space="preserve"> depends on the final reaction temperature. If higher final temperatures are applied, a long residence time </w:t>
      </w:r>
      <w:r w:rsidR="00D446F9">
        <w:rPr>
          <w:rFonts w:cs="Arial"/>
          <w:szCs w:val="18"/>
        </w:rPr>
        <w:t xml:space="preserve">would be favour of the </w:t>
      </w:r>
      <w:r w:rsidR="00D446F9" w:rsidRPr="00902DD1">
        <w:rPr>
          <w:rFonts w:cs="Arial"/>
          <w:iCs/>
          <w:szCs w:val="18"/>
        </w:rPr>
        <w:t>non-beneficial secondary reactions</w:t>
      </w:r>
      <w:r w:rsidR="00D446F9">
        <w:rPr>
          <w:rFonts w:cs="Arial"/>
          <w:szCs w:val="18"/>
        </w:rPr>
        <w:t xml:space="preserve"> of</w:t>
      </w:r>
      <w:r w:rsidRPr="00902DD1">
        <w:rPr>
          <w:rFonts w:cs="Arial"/>
          <w:szCs w:val="18"/>
        </w:rPr>
        <w:t xml:space="preserve"> recombination and secondary cracking. Therefore, </w:t>
      </w:r>
      <w:r w:rsidR="00D446F9" w:rsidRPr="00902DD1">
        <w:rPr>
          <w:rFonts w:cs="Arial"/>
          <w:iCs/>
          <w:szCs w:val="18"/>
        </w:rPr>
        <w:t xml:space="preserve">HTL oil </w:t>
      </w:r>
      <w:r w:rsidRPr="00902DD1">
        <w:rPr>
          <w:rFonts w:cs="Arial"/>
          <w:szCs w:val="18"/>
        </w:rPr>
        <w:t xml:space="preserve">yield </w:t>
      </w:r>
      <w:r w:rsidRPr="00902DD1">
        <w:rPr>
          <w:rFonts w:cs="Arial"/>
          <w:iCs/>
          <w:szCs w:val="18"/>
        </w:rPr>
        <w:t xml:space="preserve">can be maximized by fast heating </w:t>
      </w:r>
      <w:r w:rsidR="00D446F9">
        <w:rPr>
          <w:rFonts w:cs="Arial"/>
          <w:iCs/>
          <w:szCs w:val="18"/>
        </w:rPr>
        <w:t>combined with short reaction time</w:t>
      </w:r>
      <w:r w:rsidRPr="00902DD1">
        <w:rPr>
          <w:rFonts w:cs="Arial"/>
          <w:iCs/>
          <w:szCs w:val="18"/>
        </w:rPr>
        <w:t>.</w:t>
      </w:r>
      <w:r w:rsidRPr="00902DD1">
        <w:rPr>
          <w:rFonts w:eastAsia="Arial Unicode MS" w:cs="Arial"/>
          <w:szCs w:val="18"/>
          <w:lang w:eastAsia="ar-SA"/>
        </w:rPr>
        <w:t xml:space="preserve"> </w:t>
      </w:r>
      <w:r w:rsidRPr="00902DD1">
        <w:rPr>
          <w:rFonts w:cs="Arial"/>
          <w:color w:val="000000"/>
          <w:szCs w:val="18"/>
          <w:lang w:eastAsia="ar-SA"/>
        </w:rPr>
        <w:t>In addition to this, fast heating also ha</w:t>
      </w:r>
      <w:r w:rsidR="00D446F9">
        <w:rPr>
          <w:rFonts w:cs="Arial"/>
          <w:color w:val="000000"/>
          <w:szCs w:val="18"/>
          <w:lang w:eastAsia="ar-SA"/>
        </w:rPr>
        <w:t>s</w:t>
      </w:r>
      <w:r w:rsidRPr="00902DD1">
        <w:rPr>
          <w:rFonts w:cs="Arial"/>
          <w:color w:val="000000"/>
          <w:szCs w:val="18"/>
          <w:lang w:eastAsia="ar-SA"/>
        </w:rPr>
        <w:t xml:space="preserve"> </w:t>
      </w:r>
      <w:r w:rsidR="00D446F9">
        <w:rPr>
          <w:rFonts w:cs="Arial"/>
          <w:color w:val="000000"/>
          <w:szCs w:val="18"/>
          <w:lang w:eastAsia="ar-SA"/>
        </w:rPr>
        <w:t xml:space="preserve">positive </w:t>
      </w:r>
      <w:r w:rsidRPr="00902DD1">
        <w:rPr>
          <w:rFonts w:cs="Arial"/>
          <w:color w:val="000000"/>
          <w:szCs w:val="18"/>
          <w:lang w:eastAsia="ar-SA"/>
        </w:rPr>
        <w:t xml:space="preserve">effects on product characteristics, including the fuel properties and functional groups of HTL oil </w:t>
      </w:r>
      <w:r w:rsidRPr="00902DD1">
        <w:rPr>
          <w:rFonts w:cs="Arial"/>
          <w:color w:val="000000"/>
          <w:szCs w:val="18"/>
          <w:lang w:eastAsia="ar-SA"/>
        </w:rPr>
        <w:fldChar w:fldCharType="begin">
          <w:fldData xml:space="preserve">PEVuZE5vdGU+PENpdGU+PEF1dGhvcj5CYWNoPC9BdXRob3I+PFllYXI+MjAxNjwvWWVhcj48UmVj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</w:fldData>
        </w:fldChar>
      </w:r>
      <w:r w:rsidRPr="00902DD1">
        <w:rPr>
          <w:rFonts w:cs="Arial"/>
          <w:color w:val="000000"/>
          <w:szCs w:val="18"/>
          <w:lang w:eastAsia="ar-SA"/>
        </w:rPr>
        <w:instrText xml:space="preserve"> ADDIN EN.CITE </w:instrText>
      </w:r>
      <w:r w:rsidRPr="00902DD1">
        <w:rPr>
          <w:rFonts w:cs="Arial"/>
          <w:color w:val="000000"/>
          <w:szCs w:val="18"/>
          <w:lang w:eastAsia="ar-SA"/>
        </w:rPr>
        <w:fldChar w:fldCharType="begin">
          <w:fldData xml:space="preserve">PEVuZE5vdGU+PENpdGU+PEF1dGhvcj5CYWNoPC9BdXRob3I+PFllYXI+MjAxNjwvWWVhcj48UmVj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</w:fldData>
        </w:fldChar>
      </w:r>
      <w:r w:rsidRPr="00902DD1">
        <w:rPr>
          <w:rFonts w:cs="Arial"/>
          <w:color w:val="000000"/>
          <w:szCs w:val="18"/>
          <w:lang w:eastAsia="ar-SA"/>
        </w:rPr>
        <w:instrText xml:space="preserve"> ADDIN EN.CITE.DATA </w:instrText>
      </w:r>
      <w:r w:rsidRPr="00902DD1">
        <w:rPr>
          <w:rFonts w:cs="Arial"/>
          <w:color w:val="000000"/>
          <w:szCs w:val="18"/>
          <w:lang w:eastAsia="ar-SA"/>
        </w:rPr>
      </w:r>
      <w:r w:rsidRPr="00902DD1">
        <w:rPr>
          <w:rFonts w:cs="Arial"/>
          <w:color w:val="000000"/>
          <w:szCs w:val="18"/>
          <w:lang w:eastAsia="ar-SA"/>
        </w:rPr>
        <w:fldChar w:fldCharType="end"/>
      </w:r>
      <w:r w:rsidRPr="00902DD1">
        <w:rPr>
          <w:rFonts w:cs="Arial"/>
          <w:color w:val="000000"/>
          <w:szCs w:val="18"/>
          <w:lang w:eastAsia="ar-SA"/>
        </w:rPr>
      </w:r>
      <w:r w:rsidRPr="00902DD1">
        <w:rPr>
          <w:rFonts w:cs="Arial"/>
          <w:color w:val="000000"/>
          <w:szCs w:val="18"/>
          <w:lang w:eastAsia="ar-SA"/>
        </w:rPr>
        <w:fldChar w:fldCharType="separate"/>
      </w:r>
      <w:r w:rsidRPr="00902DD1">
        <w:rPr>
          <w:rFonts w:cs="Arial"/>
          <w:noProof/>
          <w:color w:val="000000"/>
          <w:szCs w:val="18"/>
          <w:lang w:eastAsia="ar-SA"/>
        </w:rPr>
        <w:t>(</w:t>
      </w:r>
      <w:hyperlink w:anchor="_ENREF_4" w:tooltip="Brand, 2014 #137" w:history="1">
        <w:r w:rsidRPr="00902DD1">
          <w:rPr>
            <w:rFonts w:cs="Arial"/>
            <w:noProof/>
            <w:color w:val="000000"/>
            <w:szCs w:val="18"/>
            <w:lang w:eastAsia="ar-SA"/>
          </w:rPr>
          <w:t>Brand et al. 2014</w:t>
        </w:r>
      </w:hyperlink>
      <w:r w:rsidRPr="00902DD1">
        <w:rPr>
          <w:rFonts w:cs="Arial"/>
          <w:noProof/>
          <w:color w:val="000000"/>
          <w:szCs w:val="18"/>
          <w:lang w:eastAsia="ar-SA"/>
        </w:rPr>
        <w:t xml:space="preserve">, </w:t>
      </w:r>
      <w:hyperlink w:anchor="_ENREF_2" w:tooltip="Bach, 2016 #282" w:history="1">
        <w:r w:rsidRPr="00902DD1">
          <w:rPr>
            <w:rFonts w:cs="Arial"/>
            <w:noProof/>
            <w:color w:val="000000"/>
            <w:szCs w:val="18"/>
            <w:lang w:eastAsia="ar-SA"/>
          </w:rPr>
          <w:t>Bach</w:t>
        </w:r>
        <w:r w:rsidR="00A0018B">
          <w:rPr>
            <w:rFonts w:cs="Arial"/>
            <w:noProof/>
            <w:color w:val="000000"/>
            <w:szCs w:val="18"/>
            <w:lang w:eastAsia="ar-SA"/>
          </w:rPr>
          <w:t xml:space="preserve"> </w:t>
        </w:r>
        <w:r w:rsidRPr="00902DD1">
          <w:rPr>
            <w:rFonts w:cs="Arial"/>
            <w:noProof/>
            <w:color w:val="000000"/>
            <w:szCs w:val="18"/>
            <w:lang w:eastAsia="ar-SA"/>
          </w:rPr>
          <w:t>et al. 2016</w:t>
        </w:r>
      </w:hyperlink>
      <w:r w:rsidRPr="00902DD1">
        <w:rPr>
          <w:rFonts w:cs="Arial"/>
          <w:noProof/>
          <w:color w:val="000000"/>
          <w:szCs w:val="18"/>
          <w:lang w:eastAsia="ar-SA"/>
        </w:rPr>
        <w:t>)</w:t>
      </w:r>
      <w:r w:rsidRPr="00902DD1">
        <w:rPr>
          <w:rFonts w:cs="Arial"/>
          <w:color w:val="000000"/>
          <w:szCs w:val="18"/>
          <w:lang w:eastAsia="ar-SA"/>
        </w:rPr>
        <w:fldChar w:fldCharType="end"/>
      </w:r>
      <w:r w:rsidRPr="00902DD1">
        <w:rPr>
          <w:rFonts w:cs="Arial"/>
          <w:color w:val="000000"/>
          <w:szCs w:val="18"/>
          <w:lang w:eastAsia="ar-SA"/>
        </w:rPr>
        <w:t xml:space="preserve">. These effects are similar to that of catalyst addition to HTL process </w:t>
      </w:r>
      <w:r w:rsidRPr="00902DD1">
        <w:rPr>
          <w:rFonts w:cs="Arial"/>
          <w:color w:val="000000"/>
          <w:szCs w:val="18"/>
          <w:lang w:eastAsia="ar-SA"/>
        </w:rPr>
        <w:fldChar w:fldCharType="begin"/>
      </w:r>
      <w:r w:rsidRPr="00902DD1">
        <w:rPr>
          <w:rFonts w:cs="Arial"/>
          <w:color w:val="000000"/>
          <w:szCs w:val="18"/>
          <w:lang w:eastAsia="ar-SA"/>
        </w:rPr>
        <w:instrText xml:space="preserve"> ADDIN EN.CITE &lt;EndNote&gt;&lt;Cite&gt;&lt;Author&gt;Bach&lt;/Author&gt;&lt;Year&gt;2016&lt;/Year&gt;&lt;RecNum&gt;282&lt;/RecNum&gt;&lt;DisplayText&gt;(Bach, Tran et al. 2016)&lt;/DisplayText&gt;&lt;record&gt;&lt;rec-number&gt;282&lt;/rec-number&gt;&lt;foreign-keys&gt;&lt;key app="EN" db-id="zasr50xavdrdpse00atprz9rzr2vz9vap2vs" timestamp="0"&gt;282&lt;/key&gt;&lt;/foreign-keys&gt;&lt;ref-type name="Generic"&gt;13&lt;/ref-type&gt;&lt;contributors&gt;&lt;authors&gt;&lt;author&gt;Bach, Q. V.&lt;/author&gt;&lt;author&gt;Tran, K. Q.&lt;/author&gt;&lt;author&gt;Lystad, K. Q.&lt;/author&gt;&lt;/authors&gt;&lt;/contributors&gt;&lt;titles&gt;&lt;title&gt;Fast hydrothermal liquefaction of macro-alga: Characterization of products&lt;/title&gt;&lt;secondary-title&gt;Chemical Engineering Transactions&lt;/secondary-title&gt;&lt;/titles&gt;&lt;pages&gt;97-102&lt;/pages&gt;&lt;volume&gt;50&lt;/volume&gt;&lt;dates&gt;&lt;year&gt;2016&lt;/year&gt;&lt;/dates&gt;&lt;work-type&gt;Article&lt;/work-type&gt;&lt;urls&gt;&lt;related-urls&gt;&lt;url&gt;https://www.scopus.com/inward/record.uri?eid=2-s2.0-84976892361&amp;amp;partnerID=40&amp;amp;md5=33d607ba7bc14752b9b65cbcff7590e4&lt;/url&gt;&lt;/related-urls&gt;&lt;/urls&gt;&lt;electronic-resource-num&gt;10.3303/cet1650017&lt;/electronic-resource-num&gt;&lt;remote-database-name&gt;Scopus&lt;/remote-database-name&gt;&lt;/record&gt;&lt;/Cite&gt;&lt;/EndNote&gt;</w:instrText>
      </w:r>
      <w:r w:rsidRPr="00902DD1">
        <w:rPr>
          <w:rFonts w:cs="Arial"/>
          <w:color w:val="000000"/>
          <w:szCs w:val="18"/>
          <w:lang w:eastAsia="ar-SA"/>
        </w:rPr>
        <w:fldChar w:fldCharType="separate"/>
      </w:r>
      <w:r w:rsidRPr="00902DD1">
        <w:rPr>
          <w:rFonts w:cs="Arial"/>
          <w:noProof/>
          <w:color w:val="000000"/>
          <w:szCs w:val="18"/>
          <w:lang w:eastAsia="ar-SA"/>
        </w:rPr>
        <w:t>(</w:t>
      </w:r>
      <w:hyperlink w:anchor="_ENREF_2" w:tooltip="Bach, 2016 #282" w:history="1">
        <w:r w:rsidRPr="00902DD1">
          <w:rPr>
            <w:rFonts w:cs="Arial"/>
            <w:noProof/>
            <w:color w:val="000000"/>
            <w:szCs w:val="18"/>
            <w:lang w:eastAsia="ar-SA"/>
          </w:rPr>
          <w:t>Bach et al. 2016</w:t>
        </w:r>
      </w:hyperlink>
      <w:r w:rsidRPr="00902DD1">
        <w:rPr>
          <w:rFonts w:cs="Arial"/>
          <w:noProof/>
          <w:color w:val="000000"/>
          <w:szCs w:val="18"/>
          <w:lang w:eastAsia="ar-SA"/>
        </w:rPr>
        <w:t>)</w:t>
      </w:r>
      <w:r w:rsidRPr="00902DD1">
        <w:rPr>
          <w:rFonts w:cs="Arial"/>
          <w:color w:val="000000"/>
          <w:szCs w:val="18"/>
          <w:lang w:eastAsia="ar-SA"/>
        </w:rPr>
        <w:fldChar w:fldCharType="end"/>
      </w:r>
      <w:r w:rsidR="00D446F9">
        <w:rPr>
          <w:rFonts w:cs="Arial"/>
          <w:color w:val="000000"/>
          <w:szCs w:val="18"/>
          <w:lang w:eastAsia="ar-SA"/>
        </w:rPr>
        <w:t>. This fact</w:t>
      </w:r>
      <w:r w:rsidRPr="00902DD1">
        <w:rPr>
          <w:rFonts w:cs="Arial"/>
          <w:color w:val="000000"/>
          <w:szCs w:val="18"/>
          <w:lang w:eastAsia="ar-SA"/>
        </w:rPr>
        <w:t xml:space="preserve"> may </w:t>
      </w:r>
      <w:r w:rsidRPr="00902DD1">
        <w:rPr>
          <w:rFonts w:cs="Arial"/>
          <w:szCs w:val="18"/>
        </w:rPr>
        <w:t xml:space="preserve">beyond the state-of-the-art HTL technology with respect to the conversion efficiency, product selectivity and thus end-use compatibility. </w:t>
      </w:r>
    </w:p>
    <w:p w14:paraId="199B2F8A" w14:textId="3AC03CEA" w:rsidR="00902DD1" w:rsidRPr="00902DD1" w:rsidRDefault="002023DB" w:rsidP="007A2D79">
      <w:pPr>
        <w:rPr>
          <w:rFonts w:cs="Arial"/>
          <w:szCs w:val="18"/>
        </w:rPr>
      </w:pPr>
      <w:r>
        <w:rPr>
          <w:rFonts w:cs="Arial"/>
          <w:color w:val="000000"/>
          <w:szCs w:val="18"/>
          <w:lang w:eastAsia="ar-SA"/>
        </w:rPr>
        <w:t>T</w:t>
      </w:r>
      <w:r w:rsidR="00902DD1" w:rsidRPr="00902DD1">
        <w:rPr>
          <w:rFonts w:cs="Arial"/>
          <w:color w:val="000000"/>
          <w:szCs w:val="18"/>
          <w:lang w:eastAsia="ar-SA"/>
        </w:rPr>
        <w:t xml:space="preserve">he concept of fast HTL has been validated </w:t>
      </w:r>
      <w:r w:rsidR="00902DD1" w:rsidRPr="00902DD1">
        <w:rPr>
          <w:rFonts w:cs="Arial"/>
          <w:szCs w:val="18"/>
        </w:rPr>
        <w:fldChar w:fldCharType="begin">
          <w:fldData xml:space="preserve">PEVuZE5vdGU+PENpdGU+PEF1dGhvcj5CYWNoPC9BdXRob3I+PFllYXI+MjAxNDwvWWVhcj48UmVj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=
</w:fldData>
        </w:fldChar>
      </w:r>
      <w:r w:rsidR="00902DD1" w:rsidRPr="00902DD1">
        <w:rPr>
          <w:rFonts w:cs="Arial"/>
          <w:szCs w:val="18"/>
        </w:rPr>
        <w:instrText xml:space="preserve"> ADDIN EN.CITE </w:instrText>
      </w:r>
      <w:r w:rsidR="00902DD1" w:rsidRPr="00902DD1">
        <w:rPr>
          <w:rFonts w:cs="Arial"/>
          <w:szCs w:val="18"/>
        </w:rPr>
        <w:fldChar w:fldCharType="begin">
          <w:fldData xml:space="preserve">PEVuZE5vdGU+PENpdGU+PEF1dGhvcj5CYWNoPC9BdXRob3I+PFllYXI+MjAxNDwvWWVhcj48UmVj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=
</w:fldData>
        </w:fldChar>
      </w:r>
      <w:r w:rsidR="00902DD1" w:rsidRPr="00902DD1">
        <w:rPr>
          <w:rFonts w:cs="Arial"/>
          <w:szCs w:val="18"/>
        </w:rPr>
        <w:instrText xml:space="preserve"> ADDIN EN.CITE.DATA </w:instrText>
      </w:r>
      <w:r w:rsidR="00902DD1" w:rsidRPr="00902DD1">
        <w:rPr>
          <w:rFonts w:cs="Arial"/>
          <w:szCs w:val="18"/>
        </w:rPr>
      </w:r>
      <w:r w:rsidR="00902DD1" w:rsidRPr="00902DD1">
        <w:rPr>
          <w:rFonts w:cs="Arial"/>
          <w:szCs w:val="18"/>
        </w:rPr>
        <w:fldChar w:fldCharType="end"/>
      </w:r>
      <w:r w:rsidR="00902DD1" w:rsidRPr="00902DD1">
        <w:rPr>
          <w:rFonts w:cs="Arial"/>
          <w:szCs w:val="18"/>
        </w:rPr>
      </w:r>
      <w:r w:rsidR="00902DD1" w:rsidRPr="00902DD1">
        <w:rPr>
          <w:rFonts w:cs="Arial"/>
          <w:szCs w:val="18"/>
        </w:rPr>
        <w:fldChar w:fldCharType="separate"/>
      </w:r>
      <w:r w:rsidR="00902DD1" w:rsidRPr="00902DD1">
        <w:rPr>
          <w:rFonts w:cs="Arial"/>
          <w:noProof/>
          <w:szCs w:val="18"/>
        </w:rPr>
        <w:t>(</w:t>
      </w:r>
      <w:hyperlink w:anchor="_ENREF_1" w:tooltip="Bach, 2014 #69" w:history="1">
        <w:r w:rsidR="00902DD1" w:rsidRPr="00902DD1">
          <w:rPr>
            <w:rFonts w:cs="Arial"/>
            <w:noProof/>
            <w:szCs w:val="18"/>
          </w:rPr>
          <w:t>Bach</w:t>
        </w:r>
        <w:r w:rsidR="00A0018B">
          <w:rPr>
            <w:rFonts w:cs="Arial"/>
            <w:noProof/>
            <w:szCs w:val="18"/>
          </w:rPr>
          <w:t xml:space="preserve"> </w:t>
        </w:r>
        <w:r w:rsidR="00902DD1" w:rsidRPr="00902DD1">
          <w:rPr>
            <w:rFonts w:cs="Arial"/>
            <w:noProof/>
            <w:szCs w:val="18"/>
          </w:rPr>
          <w:t>et al. 2014</w:t>
        </w:r>
      </w:hyperlink>
      <w:r w:rsidR="00902DD1" w:rsidRPr="00902DD1">
        <w:rPr>
          <w:rFonts w:cs="Arial"/>
          <w:noProof/>
          <w:szCs w:val="18"/>
        </w:rPr>
        <w:t xml:space="preserve">, </w:t>
      </w:r>
      <w:hyperlink w:anchor="_ENREF_2" w:tooltip="Bach, 2016 #282" w:history="1">
        <w:r w:rsidR="00902DD1" w:rsidRPr="00902DD1">
          <w:rPr>
            <w:rFonts w:cs="Arial"/>
            <w:noProof/>
            <w:szCs w:val="18"/>
          </w:rPr>
          <w:t>Bach et al. 2016</w:t>
        </w:r>
      </w:hyperlink>
      <w:r w:rsidR="00902DD1" w:rsidRPr="00902DD1">
        <w:rPr>
          <w:rFonts w:cs="Arial"/>
          <w:noProof/>
          <w:szCs w:val="18"/>
        </w:rPr>
        <w:t>)</w:t>
      </w:r>
      <w:r w:rsidR="00902DD1" w:rsidRPr="00902DD1">
        <w:rPr>
          <w:rFonts w:cs="Arial"/>
          <w:szCs w:val="18"/>
        </w:rPr>
        <w:fldChar w:fldCharType="end"/>
      </w:r>
      <w:r w:rsidR="00902DD1" w:rsidRPr="00902DD1">
        <w:rPr>
          <w:rFonts w:cs="Arial"/>
          <w:szCs w:val="18"/>
        </w:rPr>
        <w:t>. T</w:t>
      </w:r>
      <w:r w:rsidR="00902DD1" w:rsidRPr="00902DD1">
        <w:rPr>
          <w:rFonts w:cs="Arial"/>
          <w:color w:val="000000"/>
          <w:szCs w:val="18"/>
          <w:lang w:eastAsia="ar-SA"/>
        </w:rPr>
        <w:t xml:space="preserve">he </w:t>
      </w:r>
      <w:r>
        <w:rPr>
          <w:rFonts w:cs="Arial"/>
          <w:color w:val="000000"/>
          <w:szCs w:val="18"/>
          <w:lang w:eastAsia="ar-SA"/>
        </w:rPr>
        <w:t>method of</w:t>
      </w:r>
      <w:r w:rsidR="00902DD1" w:rsidRPr="00902DD1">
        <w:rPr>
          <w:rFonts w:cs="Arial"/>
          <w:color w:val="000000"/>
          <w:szCs w:val="18"/>
          <w:lang w:eastAsia="ar-SA"/>
        </w:rPr>
        <w:t xml:space="preserve"> improving the conversion efficiency and product selectivity </w:t>
      </w:r>
      <w:r>
        <w:rPr>
          <w:rFonts w:cs="Arial"/>
          <w:color w:val="000000"/>
          <w:szCs w:val="18"/>
          <w:lang w:eastAsia="ar-SA"/>
        </w:rPr>
        <w:t>for</w:t>
      </w:r>
      <w:r w:rsidR="00902DD1" w:rsidRPr="00902DD1">
        <w:rPr>
          <w:rFonts w:cs="Arial"/>
          <w:color w:val="000000"/>
          <w:szCs w:val="18"/>
          <w:lang w:eastAsia="ar-SA"/>
        </w:rPr>
        <w:t xml:space="preserve"> HTL by fast heating has </w:t>
      </w:r>
      <w:r>
        <w:rPr>
          <w:rFonts w:cs="Arial"/>
          <w:color w:val="000000"/>
          <w:szCs w:val="18"/>
          <w:lang w:eastAsia="ar-SA"/>
        </w:rPr>
        <w:t xml:space="preserve">been successfully demonstrated </w:t>
      </w:r>
      <w:r w:rsidR="00902DD1" w:rsidRPr="00902DD1">
        <w:rPr>
          <w:rFonts w:cs="Arial"/>
          <w:szCs w:val="18"/>
        </w:rPr>
        <w:fldChar w:fldCharType="begin">
          <w:fldData xml:space="preserve">PEVuZE5vdGU+PENpdGU+PEF1dGhvcj5CYWNoPC9BdXRob3I+PFllYXI+MjAxNDwvWWVhcj48UmVj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=
</w:fldData>
        </w:fldChar>
      </w:r>
      <w:r w:rsidR="00902DD1" w:rsidRPr="00902DD1">
        <w:rPr>
          <w:rFonts w:cs="Arial"/>
          <w:szCs w:val="18"/>
        </w:rPr>
        <w:instrText xml:space="preserve"> ADDIN EN.CITE </w:instrText>
      </w:r>
      <w:r w:rsidR="00902DD1" w:rsidRPr="00902DD1">
        <w:rPr>
          <w:rFonts w:cs="Arial"/>
          <w:szCs w:val="18"/>
        </w:rPr>
        <w:fldChar w:fldCharType="begin">
          <w:fldData xml:space="preserve">PEVuZE5vdGU+PENpdGU+PEF1dGhvcj5CYWNoPC9BdXRob3I+PFllYXI+MjAxNDwvWWVhcj48UmVj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=
</w:fldData>
        </w:fldChar>
      </w:r>
      <w:r w:rsidR="00902DD1" w:rsidRPr="00902DD1">
        <w:rPr>
          <w:rFonts w:cs="Arial"/>
          <w:szCs w:val="18"/>
        </w:rPr>
        <w:instrText xml:space="preserve"> ADDIN EN.CITE.DATA </w:instrText>
      </w:r>
      <w:r w:rsidR="00902DD1" w:rsidRPr="00902DD1">
        <w:rPr>
          <w:rFonts w:cs="Arial"/>
          <w:szCs w:val="18"/>
        </w:rPr>
      </w:r>
      <w:r w:rsidR="00902DD1" w:rsidRPr="00902DD1">
        <w:rPr>
          <w:rFonts w:cs="Arial"/>
          <w:szCs w:val="18"/>
        </w:rPr>
        <w:fldChar w:fldCharType="end"/>
      </w:r>
      <w:r w:rsidR="00902DD1" w:rsidRPr="00902DD1">
        <w:rPr>
          <w:rFonts w:cs="Arial"/>
          <w:szCs w:val="18"/>
        </w:rPr>
      </w:r>
      <w:r w:rsidR="00902DD1" w:rsidRPr="00902DD1">
        <w:rPr>
          <w:rFonts w:cs="Arial"/>
          <w:szCs w:val="18"/>
        </w:rPr>
        <w:fldChar w:fldCharType="separate"/>
      </w:r>
      <w:r w:rsidR="00902DD1" w:rsidRPr="00902DD1">
        <w:rPr>
          <w:rFonts w:cs="Arial"/>
          <w:noProof/>
          <w:szCs w:val="18"/>
        </w:rPr>
        <w:t>(</w:t>
      </w:r>
      <w:hyperlink w:anchor="_ENREF_1" w:tooltip="Bach, 2014 #69" w:history="1">
        <w:r w:rsidR="00902DD1" w:rsidRPr="00902DD1">
          <w:rPr>
            <w:rFonts w:cs="Arial"/>
            <w:noProof/>
            <w:szCs w:val="18"/>
          </w:rPr>
          <w:t>Bach</w:t>
        </w:r>
        <w:r w:rsidR="00A0018B">
          <w:rPr>
            <w:rFonts w:cs="Arial"/>
            <w:noProof/>
            <w:szCs w:val="18"/>
          </w:rPr>
          <w:t xml:space="preserve"> </w:t>
        </w:r>
        <w:r w:rsidR="00902DD1" w:rsidRPr="00902DD1">
          <w:rPr>
            <w:rFonts w:cs="Arial"/>
            <w:noProof/>
            <w:szCs w:val="18"/>
          </w:rPr>
          <w:t>et al. 2014</w:t>
        </w:r>
      </w:hyperlink>
      <w:r w:rsidR="00902DD1" w:rsidRPr="00902DD1">
        <w:rPr>
          <w:rFonts w:cs="Arial"/>
          <w:noProof/>
          <w:szCs w:val="18"/>
        </w:rPr>
        <w:t xml:space="preserve">, </w:t>
      </w:r>
      <w:hyperlink w:anchor="_ENREF_2" w:tooltip="Bach, 2016 #282" w:history="1">
        <w:r w:rsidR="00902DD1" w:rsidRPr="00902DD1">
          <w:rPr>
            <w:rFonts w:cs="Arial"/>
            <w:noProof/>
            <w:szCs w:val="18"/>
          </w:rPr>
          <w:t>Bach et al. 2016</w:t>
        </w:r>
      </w:hyperlink>
      <w:r w:rsidR="00902DD1" w:rsidRPr="00902DD1">
        <w:rPr>
          <w:rFonts w:cs="Arial"/>
          <w:noProof/>
          <w:szCs w:val="18"/>
        </w:rPr>
        <w:t>)</w:t>
      </w:r>
      <w:r w:rsidR="00902DD1" w:rsidRPr="00902DD1">
        <w:rPr>
          <w:rFonts w:cs="Arial"/>
          <w:szCs w:val="18"/>
        </w:rPr>
        <w:fldChar w:fldCharType="end"/>
      </w:r>
      <w:r w:rsidR="00902DD1" w:rsidRPr="00902DD1">
        <w:rPr>
          <w:rFonts w:cs="Arial"/>
          <w:color w:val="000000"/>
          <w:szCs w:val="18"/>
          <w:lang w:eastAsia="ar-SA"/>
        </w:rPr>
        <w:t xml:space="preserve">. </w:t>
      </w:r>
      <w:r w:rsidR="00902DD1" w:rsidRPr="00902DD1">
        <w:rPr>
          <w:rFonts w:cs="Arial"/>
          <w:szCs w:val="18"/>
          <w:lang w:eastAsia="ar-SA"/>
        </w:rPr>
        <w:t xml:space="preserve">A key </w:t>
      </w:r>
      <w:r>
        <w:rPr>
          <w:rFonts w:cs="Arial"/>
          <w:szCs w:val="18"/>
          <w:lang w:eastAsia="ar-SA"/>
        </w:rPr>
        <w:t>issue</w:t>
      </w:r>
      <w:r w:rsidR="00902DD1" w:rsidRPr="00902DD1">
        <w:rPr>
          <w:rFonts w:cs="Arial"/>
          <w:szCs w:val="18"/>
          <w:lang w:eastAsia="ar-SA"/>
        </w:rPr>
        <w:t xml:space="preserve"> </w:t>
      </w:r>
      <w:r>
        <w:rPr>
          <w:rFonts w:cs="Arial"/>
          <w:szCs w:val="18"/>
          <w:lang w:eastAsia="ar-SA"/>
        </w:rPr>
        <w:t>for making</w:t>
      </w:r>
      <w:r w:rsidR="00902DD1" w:rsidRPr="00902DD1">
        <w:rPr>
          <w:rFonts w:cs="Arial"/>
          <w:szCs w:val="18"/>
          <w:lang w:eastAsia="ar-SA"/>
        </w:rPr>
        <w:t xml:space="preserve"> the concept of fast HTL sustainable </w:t>
      </w:r>
      <w:r>
        <w:rPr>
          <w:rFonts w:cs="Arial"/>
          <w:szCs w:val="18"/>
          <w:lang w:eastAsia="ar-SA"/>
        </w:rPr>
        <w:t xml:space="preserve">for </w:t>
      </w:r>
      <w:r w:rsidR="00902DD1" w:rsidRPr="00902DD1">
        <w:rPr>
          <w:rFonts w:cs="Arial"/>
          <w:szCs w:val="18"/>
          <w:lang w:eastAsia="ar-SA"/>
        </w:rPr>
        <w:t xml:space="preserve">production of liquid biofuel and chemicals from solid biomass is to develop a continuous flow tubular reactor, which can 1) achieve fast heating; 2) tolerate solid biomass particles suspended in a water stream flowing through the reactor; and  3) be up-scalable </w:t>
      </w:r>
      <w:r w:rsidR="00902DD1" w:rsidRPr="00902DD1">
        <w:rPr>
          <w:rFonts w:cs="Arial"/>
          <w:szCs w:val="18"/>
          <w:lang w:eastAsia="ar-SA"/>
        </w:rPr>
        <w:fldChar w:fldCharType="begin"/>
      </w:r>
      <w:r w:rsidR="00902DD1" w:rsidRPr="00902DD1">
        <w:rPr>
          <w:rFonts w:cs="Arial"/>
          <w:szCs w:val="18"/>
          <w:lang w:eastAsia="ar-SA"/>
        </w:rPr>
        <w:instrText xml:space="preserve"> ADDIN EN.CITE &lt;EndNote&gt;&lt;Cite&gt;&lt;Author&gt;Tran&lt;/Author&gt;&lt;Year&gt;2016&lt;/Year&gt;&lt;RecNum&gt;279&lt;/RecNum&gt;&lt;DisplayText&gt;(Tran 2016)&lt;/DisplayText&gt;&lt;record&gt;&lt;rec-number&gt;279&lt;/rec-number&gt;&lt;foreign-keys&gt;&lt;key app="EN" db-id="zasr50xavdrdpse00atprz9rzr2vz9vap2vs" timestamp="0"&gt;279&lt;/key&gt;&lt;/foreign-keys&gt;&lt;ref-type name="Journal Article"&gt;17&lt;/ref-type&gt;&lt;contributors&gt;&lt;authors&gt;&lt;author&gt;Tran, Khanh-Quang&lt;/author&gt;&lt;/authors&gt;&lt;/contributors&gt;&lt;titles&gt;&lt;title&gt;Fast hydrothermal liquefaction for production of chemicals and biofuels from wet biomass – The need to develop a plug-flow reactor&lt;/title&gt;&lt;secondary-title&gt;Bioresource Technology&lt;/secondary-title&gt;&lt;/titles&gt;&lt;periodical&gt;&lt;full-title&gt;Bioresource Technology&lt;/full-title&gt;&lt;/periodical&gt;&lt;pages&gt;327-332&lt;/pages&gt;&lt;volume&gt;213&lt;/volume&gt;&lt;keywords&gt;&lt;keyword&gt;Hydrothermal liquefaction&lt;/keyword&gt;&lt;keyword&gt;HTL&lt;/keyword&gt;&lt;keyword&gt;Biomass liquefaction&lt;/keyword&gt;&lt;keyword&gt;Direct liquefaction&lt;/keyword&gt;&lt;/keywords&gt;&lt;dates&gt;&lt;year&gt;2016&lt;/year&gt;&lt;/dates&gt;&lt;isbn&gt;0960-8524&lt;/isbn&gt;&lt;urls&gt;&lt;related-urls&gt;&lt;url&gt;http://www.sciencedirect.com/science/article/pii/S0960852416304746&lt;/url&gt;&lt;/related-urls&gt;&lt;/urls&gt;&lt;electronic-resource-num&gt;http://dx.doi.org/10.1016/j.biortech.2016.04.002&lt;/electronic-resource-num&gt;&lt;/record&gt;&lt;/Cite&gt;&lt;/EndNote&gt;</w:instrText>
      </w:r>
      <w:r w:rsidR="00902DD1" w:rsidRPr="00902DD1">
        <w:rPr>
          <w:rFonts w:cs="Arial"/>
          <w:szCs w:val="18"/>
          <w:lang w:eastAsia="ar-SA"/>
        </w:rPr>
        <w:fldChar w:fldCharType="separate"/>
      </w:r>
      <w:r w:rsidR="00902DD1" w:rsidRPr="00902DD1">
        <w:rPr>
          <w:rFonts w:cs="Arial"/>
          <w:noProof/>
          <w:szCs w:val="18"/>
          <w:lang w:eastAsia="ar-SA"/>
        </w:rPr>
        <w:t>(</w:t>
      </w:r>
      <w:hyperlink w:anchor="_ENREF_9" w:tooltip="Tran, 2016 #279" w:history="1">
        <w:r w:rsidR="00902DD1" w:rsidRPr="00902DD1">
          <w:rPr>
            <w:rFonts w:cs="Arial"/>
            <w:noProof/>
            <w:szCs w:val="18"/>
            <w:lang w:eastAsia="ar-SA"/>
          </w:rPr>
          <w:t>Tran 2016</w:t>
        </w:r>
      </w:hyperlink>
      <w:r w:rsidR="00902DD1" w:rsidRPr="00902DD1">
        <w:rPr>
          <w:rFonts w:cs="Arial"/>
          <w:noProof/>
          <w:szCs w:val="18"/>
          <w:lang w:eastAsia="ar-SA"/>
        </w:rPr>
        <w:t>)</w:t>
      </w:r>
      <w:r w:rsidR="00902DD1" w:rsidRPr="00902DD1">
        <w:rPr>
          <w:rFonts w:cs="Arial"/>
          <w:szCs w:val="18"/>
          <w:lang w:eastAsia="ar-SA"/>
        </w:rPr>
        <w:fldChar w:fldCharType="end"/>
      </w:r>
      <w:r w:rsidR="00902DD1" w:rsidRPr="00902DD1">
        <w:rPr>
          <w:rFonts w:cs="Arial"/>
          <w:szCs w:val="18"/>
          <w:lang w:eastAsia="ar-SA"/>
        </w:rPr>
        <w:t xml:space="preserve">. </w:t>
      </w:r>
    </w:p>
    <w:p w14:paraId="717B83D1" w14:textId="3FC6EBFF" w:rsidR="00902DD1" w:rsidRPr="00902DD1" w:rsidRDefault="002023DB" w:rsidP="007A2D79">
      <w:pPr>
        <w:rPr>
          <w:rFonts w:cs="Arial"/>
          <w:color w:val="000000" w:themeColor="text1"/>
          <w:szCs w:val="18"/>
          <w:lang w:eastAsia="ar-SA"/>
        </w:rPr>
      </w:pPr>
      <w:r>
        <w:rPr>
          <w:rFonts w:cs="Arial"/>
          <w:bCs/>
          <w:color w:val="2E2E2E"/>
          <w:szCs w:val="18"/>
        </w:rPr>
        <w:t>R</w:t>
      </w:r>
      <w:r w:rsidR="00902DD1" w:rsidRPr="00902DD1">
        <w:rPr>
          <w:rFonts w:cs="Arial"/>
          <w:bCs/>
          <w:color w:val="2E2E2E"/>
          <w:szCs w:val="18"/>
        </w:rPr>
        <w:t xml:space="preserve">ecently, it has been identified that the concept of nozzle reactor may be suitable for fast HTL of biomass at both laboratory and industrial scales </w:t>
      </w:r>
      <w:r w:rsidR="00902DD1" w:rsidRPr="00902DD1">
        <w:rPr>
          <w:rFonts w:cs="Arial"/>
          <w:bCs/>
          <w:color w:val="2E2E2E"/>
          <w:szCs w:val="18"/>
        </w:rPr>
        <w:fldChar w:fldCharType="begin"/>
      </w:r>
      <w:r w:rsidR="00902DD1" w:rsidRPr="00902DD1">
        <w:rPr>
          <w:rFonts w:cs="Arial"/>
          <w:bCs/>
          <w:color w:val="2E2E2E"/>
          <w:szCs w:val="18"/>
        </w:rPr>
        <w:instrText xml:space="preserve"> ADDIN EN.CITE &lt;EndNote&gt;&lt;Cite&gt;&lt;Author&gt;Tran&lt;/Author&gt;&lt;Year&gt;2017&lt;/Year&gt;&lt;RecNum&gt;332&lt;/RecNum&gt;&lt;DisplayText&gt;(Tran, Håkansson et al. 2017)&lt;/DisplayText&gt;&lt;record&gt;&lt;rec-number&gt;332&lt;/rec-number&gt;&lt;foreign-keys&gt;&lt;key app="EN" db-id="zasr50xavdrdpse00atprz9rzr2vz9vap2vs" timestamp="1517998185"&gt;332&lt;/key&gt;&lt;/foreign-keys&gt;&lt;ref-type name="Journal Article"&gt;17&lt;/ref-type&gt;&lt;contributors&gt;&lt;authors&gt;&lt;author&gt;Tran, Khanh-Quang&lt;/author&gt;&lt;author&gt;Håkansson, Love&lt;/author&gt;&lt;author&gt;Trinh, Thuat T.&lt;/author&gt;&lt;/authors&gt;&lt;/contributors&gt;&lt;titles&gt;&lt;title&gt;CFD pre-study of Nozzle reactor for fast hydrothermal liquefaction&lt;/title&gt;&lt;secondary-title&gt;Energy Procedia&lt;/secondary-title&gt;&lt;/titles&gt;&lt;periodical&gt;&lt;full-title&gt;Energy Procedia&lt;/full-title&gt;&lt;/periodical&gt;&lt;pages&gt;861-866&lt;/pages&gt;&lt;volume&gt;142&lt;/volume&gt;&lt;keywords&gt;&lt;keyword&gt;Nozzle reactor&lt;/keyword&gt;&lt;keyword&gt;CFD modelling&lt;/keyword&gt;&lt;keyword&gt;fast HTL&lt;/keyword&gt;&lt;keyword&gt;hydrothermal liquefaction&lt;/keyword&gt;&lt;/keywords&gt;&lt;dates&gt;&lt;year&gt;2017&lt;/year&gt;&lt;/dates&gt;&lt;isbn&gt;1876-6102&lt;/isbn&gt;&lt;urls&gt;&lt;related-urls&gt;&lt;url&gt;https://www.sciencedirect.com/science/article/pii/S1876610217358666&lt;/url&gt;&lt;/related-urls&gt;&lt;/urls&gt;&lt;electronic-resource-num&gt;https://doi.org/10.1016/j.egypro.2017.12.138&lt;/electronic-resource-num&gt;&lt;/record&gt;&lt;/Cite&gt;&lt;/EndNote&gt;</w:instrText>
      </w:r>
      <w:r w:rsidR="00902DD1" w:rsidRPr="00902DD1">
        <w:rPr>
          <w:rFonts w:cs="Arial"/>
          <w:bCs/>
          <w:color w:val="2E2E2E"/>
          <w:szCs w:val="18"/>
        </w:rPr>
        <w:fldChar w:fldCharType="separate"/>
      </w:r>
      <w:r w:rsidR="00902DD1" w:rsidRPr="00902DD1">
        <w:rPr>
          <w:rFonts w:cs="Arial"/>
          <w:bCs/>
          <w:noProof/>
          <w:color w:val="2E2E2E"/>
          <w:szCs w:val="18"/>
        </w:rPr>
        <w:t>(</w:t>
      </w:r>
      <w:hyperlink w:anchor="_ENREF_10" w:tooltip="Tran, 2017 #332" w:history="1">
        <w:r w:rsidR="00902DD1" w:rsidRPr="00902DD1">
          <w:rPr>
            <w:rFonts w:cs="Arial"/>
            <w:bCs/>
            <w:noProof/>
            <w:color w:val="2E2E2E"/>
            <w:szCs w:val="18"/>
          </w:rPr>
          <w:t>Tran</w:t>
        </w:r>
        <w:r w:rsidR="00A0018B">
          <w:rPr>
            <w:rFonts w:cs="Arial"/>
            <w:bCs/>
            <w:noProof/>
            <w:color w:val="2E2E2E"/>
            <w:szCs w:val="18"/>
          </w:rPr>
          <w:t xml:space="preserve"> </w:t>
        </w:r>
        <w:r w:rsidR="00902DD1" w:rsidRPr="00902DD1">
          <w:rPr>
            <w:rFonts w:cs="Arial"/>
            <w:bCs/>
            <w:noProof/>
            <w:color w:val="2E2E2E"/>
            <w:szCs w:val="18"/>
          </w:rPr>
          <w:t>et al. 2017</w:t>
        </w:r>
      </w:hyperlink>
      <w:r w:rsidR="00902DD1" w:rsidRPr="00902DD1">
        <w:rPr>
          <w:rFonts w:cs="Arial"/>
          <w:bCs/>
          <w:noProof/>
          <w:color w:val="2E2E2E"/>
          <w:szCs w:val="18"/>
        </w:rPr>
        <w:t>)</w:t>
      </w:r>
      <w:r w:rsidR="00902DD1" w:rsidRPr="00902DD1">
        <w:rPr>
          <w:rFonts w:cs="Arial"/>
          <w:bCs/>
          <w:color w:val="2E2E2E"/>
          <w:szCs w:val="18"/>
        </w:rPr>
        <w:fldChar w:fldCharType="end"/>
      </w:r>
      <w:r w:rsidR="00902DD1" w:rsidRPr="00902DD1">
        <w:rPr>
          <w:rFonts w:cs="Arial"/>
          <w:bCs/>
          <w:color w:val="2E2E2E"/>
          <w:szCs w:val="18"/>
        </w:rPr>
        <w:t>.</w:t>
      </w:r>
      <w:r w:rsidR="00902DD1" w:rsidRPr="00902DD1">
        <w:rPr>
          <w:rFonts w:cs="Arial"/>
          <w:color w:val="000000" w:themeColor="text1"/>
          <w:szCs w:val="18"/>
          <w:lang w:eastAsia="ar-SA"/>
        </w:rPr>
        <w:t xml:space="preserve"> </w:t>
      </w:r>
      <w:r w:rsidR="00717FD8">
        <w:rPr>
          <w:rFonts w:cs="Arial"/>
          <w:color w:val="000000" w:themeColor="text1"/>
          <w:szCs w:val="18"/>
          <w:lang w:eastAsia="ar-SA"/>
        </w:rPr>
        <w:t>This work reported</w:t>
      </w:r>
      <w:r>
        <w:rPr>
          <w:rFonts w:cs="Arial"/>
          <w:color w:val="000000" w:themeColor="text1"/>
          <w:szCs w:val="18"/>
          <w:lang w:eastAsia="ar-SA"/>
        </w:rPr>
        <w:t xml:space="preserve"> </w:t>
      </w:r>
      <w:r w:rsidR="00717FD8">
        <w:rPr>
          <w:rFonts w:cs="Arial"/>
          <w:color w:val="000000" w:themeColor="text1"/>
          <w:szCs w:val="18"/>
          <w:lang w:eastAsia="ar-SA"/>
        </w:rPr>
        <w:t xml:space="preserve">results from a preliminary </w:t>
      </w:r>
      <w:r w:rsidR="00902DD1" w:rsidRPr="00902DD1">
        <w:rPr>
          <w:rFonts w:cs="Arial"/>
          <w:bCs/>
          <w:szCs w:val="18"/>
        </w:rPr>
        <w:t xml:space="preserve">(computational fluid dynamics) study on </w:t>
      </w:r>
      <w:r w:rsidR="00717FD8">
        <w:rPr>
          <w:rFonts w:cs="Arial"/>
          <w:bCs/>
          <w:szCs w:val="18"/>
        </w:rPr>
        <w:t xml:space="preserve">developing a CFD model for </w:t>
      </w:r>
      <w:r w:rsidR="00902DD1" w:rsidRPr="00902DD1">
        <w:rPr>
          <w:rFonts w:cs="Arial"/>
          <w:bCs/>
          <w:szCs w:val="18"/>
        </w:rPr>
        <w:t xml:space="preserve">the nozzle reactor design </w:t>
      </w:r>
      <w:r w:rsidR="00717FD8">
        <w:rPr>
          <w:rFonts w:cs="Arial"/>
          <w:bCs/>
          <w:szCs w:val="18"/>
        </w:rPr>
        <w:t xml:space="preserve">suitable </w:t>
      </w:r>
      <w:r w:rsidR="00902DD1" w:rsidRPr="00902DD1">
        <w:rPr>
          <w:rFonts w:cs="Arial"/>
          <w:bCs/>
          <w:szCs w:val="18"/>
        </w:rPr>
        <w:t xml:space="preserve">for fast HTL. The results </w:t>
      </w:r>
      <w:r w:rsidR="00717FD8">
        <w:rPr>
          <w:rFonts w:cs="Arial"/>
          <w:bCs/>
          <w:szCs w:val="18"/>
        </w:rPr>
        <w:t>indicate</w:t>
      </w:r>
      <w:r w:rsidR="00902DD1" w:rsidRPr="00902DD1">
        <w:rPr>
          <w:rFonts w:cs="Arial"/>
          <w:bCs/>
          <w:szCs w:val="18"/>
        </w:rPr>
        <w:t xml:space="preserve"> that the mass flowrate ratio of hot and cold flows plays the most important role in establishing high heating rates in the reactor. Tests </w:t>
      </w:r>
      <w:r w:rsidR="00717FD8">
        <w:rPr>
          <w:rFonts w:cs="Arial"/>
          <w:bCs/>
          <w:szCs w:val="18"/>
        </w:rPr>
        <w:t xml:space="preserve">of the model </w:t>
      </w:r>
      <w:r w:rsidR="00902DD1" w:rsidRPr="00902DD1">
        <w:rPr>
          <w:rFonts w:cs="Arial"/>
          <w:bCs/>
          <w:szCs w:val="18"/>
        </w:rPr>
        <w:t xml:space="preserve">for pure water (viscosity = 0.001 </w:t>
      </w:r>
      <w:proofErr w:type="spellStart"/>
      <w:proofErr w:type="gramStart"/>
      <w:r w:rsidR="00902DD1" w:rsidRPr="00902DD1">
        <w:rPr>
          <w:rFonts w:cs="Arial"/>
          <w:bCs/>
          <w:szCs w:val="18"/>
        </w:rPr>
        <w:t>P</w:t>
      </w:r>
      <w:r w:rsidR="00717FD8">
        <w:rPr>
          <w:rFonts w:cs="Arial"/>
          <w:bCs/>
          <w:szCs w:val="18"/>
        </w:rPr>
        <w:t>a.s</w:t>
      </w:r>
      <w:proofErr w:type="spellEnd"/>
      <w:proofErr w:type="gramEnd"/>
      <w:r w:rsidR="00717FD8">
        <w:rPr>
          <w:rFonts w:cs="Arial"/>
          <w:bCs/>
          <w:szCs w:val="18"/>
        </w:rPr>
        <w:t>) with</w:t>
      </w:r>
      <w:r w:rsidR="00902DD1" w:rsidRPr="00902DD1">
        <w:rPr>
          <w:rFonts w:cs="Arial"/>
          <w:bCs/>
          <w:szCs w:val="18"/>
        </w:rPr>
        <w:t xml:space="preserve"> </w:t>
      </w:r>
      <w:r w:rsidR="00717FD8">
        <w:rPr>
          <w:rFonts w:cs="Arial"/>
          <w:bCs/>
          <w:szCs w:val="18"/>
        </w:rPr>
        <w:t xml:space="preserve">a </w:t>
      </w:r>
      <w:r w:rsidR="00902DD1" w:rsidRPr="00902DD1">
        <w:rPr>
          <w:rFonts w:cs="Arial"/>
          <w:bCs/>
          <w:szCs w:val="18"/>
        </w:rPr>
        <w:lastRenderedPageBreak/>
        <w:t xml:space="preserve">mass flowrate ratio of 60:20 (hot/cold, mil/min) gave very good mixing and thus high heating rate. Effect of the total mass flow on the temperature profile in the reactor was not significant.    </w:t>
      </w:r>
    </w:p>
    <w:p w14:paraId="2A7CDC18" w14:textId="20661E8D" w:rsidR="00902DD1" w:rsidRPr="00902DD1" w:rsidRDefault="00717FD8" w:rsidP="00902DD1">
      <w:pPr>
        <w:tabs>
          <w:tab w:val="clear" w:pos="7100"/>
        </w:tabs>
        <w:spacing w:line="240" w:lineRule="exact"/>
        <w:ind w:right="-28"/>
        <w:rPr>
          <w:rFonts w:eastAsia="SimSun" w:cs="Arial"/>
          <w:bCs/>
          <w:szCs w:val="18"/>
          <w:lang w:val="en-US"/>
        </w:rPr>
      </w:pPr>
      <w:r>
        <w:rPr>
          <w:rFonts w:eastAsia="SimSun" w:cs="Arial"/>
          <w:bCs/>
          <w:szCs w:val="18"/>
          <w:lang w:val="en-US"/>
        </w:rPr>
        <w:t>More recently, a</w:t>
      </w:r>
      <w:r w:rsidR="00902DD1" w:rsidRPr="00902DD1">
        <w:rPr>
          <w:rFonts w:eastAsia="SimSun" w:cs="Arial"/>
          <w:bCs/>
          <w:szCs w:val="18"/>
          <w:lang w:val="en-US"/>
        </w:rPr>
        <w:t xml:space="preserve"> system reaction including a nozzle reactor has been developed in our Thermal Lab of the Department of Energy and Process Engineering at Norwegian University of Science and Technology (NTNU), constructed, and characterized with respect to temperature profile for 1) pure water flows; 2) a cold flow of water containing 10% w/w of glucose as model compound. The characterization results </w:t>
      </w:r>
      <w:proofErr w:type="gramStart"/>
      <w:r w:rsidR="00902DD1" w:rsidRPr="00902DD1">
        <w:rPr>
          <w:rFonts w:eastAsia="SimSun" w:cs="Arial"/>
          <w:bCs/>
          <w:szCs w:val="18"/>
          <w:lang w:val="en-US"/>
        </w:rPr>
        <w:t>are in agreement</w:t>
      </w:r>
      <w:proofErr w:type="gramEnd"/>
      <w:r w:rsidR="00902DD1" w:rsidRPr="00902DD1">
        <w:rPr>
          <w:rFonts w:eastAsia="SimSun" w:cs="Arial"/>
          <w:bCs/>
          <w:szCs w:val="18"/>
          <w:lang w:val="en-US"/>
        </w:rPr>
        <w:t xml:space="preserve"> with those from the CFD prediction</w:t>
      </w:r>
      <w:r>
        <w:rPr>
          <w:rFonts w:eastAsia="SimSun" w:cs="Arial"/>
          <w:bCs/>
          <w:szCs w:val="18"/>
          <w:lang w:val="en-US"/>
        </w:rPr>
        <w:t>,</w:t>
      </w:r>
      <w:r w:rsidR="00902DD1" w:rsidRPr="00902DD1">
        <w:rPr>
          <w:rFonts w:eastAsia="SimSun" w:cs="Arial"/>
          <w:bCs/>
          <w:szCs w:val="18"/>
          <w:lang w:val="en-US"/>
        </w:rPr>
        <w:t xml:space="preserve"> </w:t>
      </w:r>
      <w:r>
        <w:rPr>
          <w:rFonts w:eastAsia="SimSun" w:cs="Arial"/>
          <w:bCs/>
          <w:szCs w:val="18"/>
          <w:lang w:val="en-US"/>
        </w:rPr>
        <w:t xml:space="preserve">with </w:t>
      </w:r>
      <w:r w:rsidR="00902DD1" w:rsidRPr="00902DD1">
        <w:rPr>
          <w:rFonts w:eastAsia="SimSun" w:cs="Arial"/>
          <w:bCs/>
          <w:szCs w:val="18"/>
          <w:lang w:val="en-US"/>
        </w:rPr>
        <w:t xml:space="preserve">reasonable differences due to the adiabatic assumption of the CFD model. </w:t>
      </w:r>
      <w:r w:rsidR="00D458AD">
        <w:rPr>
          <w:rFonts w:eastAsia="SimSun" w:cs="Arial"/>
          <w:bCs/>
          <w:szCs w:val="18"/>
          <w:lang w:val="en-US"/>
        </w:rPr>
        <w:t>D</w:t>
      </w:r>
      <w:r w:rsidR="00902DD1" w:rsidRPr="00902DD1">
        <w:rPr>
          <w:rFonts w:eastAsia="SimSun" w:cs="Arial"/>
          <w:bCs/>
          <w:szCs w:val="18"/>
          <w:lang w:val="en-US"/>
        </w:rPr>
        <w:t xml:space="preserve">ifficulties in feeding the reaction system with thicker slurry solutions of solid biomass in water have been encountered. These difficulties are associated with the quick settling of solid biomass particles in water. Therefore, efforts have been made to overcome these difficulties, focusing on size reduction of biomass particles and use of emulsifier. This paper reports results from the emulsification study followed by a quick test of the developed reaction system for fast HTL of </w:t>
      </w:r>
      <w:r w:rsidR="00D458AD">
        <w:rPr>
          <w:rFonts w:eastAsia="SimSun" w:cs="Arial"/>
          <w:bCs/>
          <w:szCs w:val="18"/>
          <w:lang w:val="en-US"/>
        </w:rPr>
        <w:t>lignin as solid biomass</w:t>
      </w:r>
      <w:r w:rsidR="00902DD1" w:rsidRPr="00902DD1">
        <w:rPr>
          <w:rFonts w:eastAsia="SimSun" w:cs="Arial"/>
          <w:bCs/>
          <w:szCs w:val="18"/>
          <w:lang w:val="en-US"/>
        </w:rPr>
        <w:t xml:space="preserve">. </w:t>
      </w:r>
    </w:p>
    <w:p w14:paraId="13143F3E" w14:textId="77777777" w:rsidR="00902DD1" w:rsidRPr="00902DD1" w:rsidRDefault="00902DD1" w:rsidP="00902DD1">
      <w:pPr>
        <w:spacing w:before="240"/>
        <w:rPr>
          <w:rFonts w:cs="Arial"/>
          <w:b/>
          <w:sz w:val="20"/>
        </w:rPr>
      </w:pPr>
      <w:r w:rsidRPr="00902DD1">
        <w:rPr>
          <w:rFonts w:cs="Arial"/>
          <w:b/>
          <w:sz w:val="20"/>
        </w:rPr>
        <w:t xml:space="preserve">2. Material and experimental method </w:t>
      </w:r>
    </w:p>
    <w:p w14:paraId="0ACADBAF" w14:textId="77777777" w:rsidR="00902DD1" w:rsidRPr="00902DD1" w:rsidRDefault="00902DD1" w:rsidP="00902DD1">
      <w:pPr>
        <w:keepNext/>
        <w:numPr>
          <w:ilvl w:val="1"/>
          <w:numId w:val="23"/>
        </w:numPr>
        <w:tabs>
          <w:tab w:val="clear" w:pos="7100"/>
        </w:tabs>
        <w:suppressAutoHyphens/>
        <w:spacing w:before="120" w:after="120" w:line="240" w:lineRule="auto"/>
        <w:jc w:val="left"/>
        <w:rPr>
          <w:rFonts w:cs="Arial"/>
          <w:b/>
          <w:szCs w:val="18"/>
          <w:lang w:val="en-US"/>
        </w:rPr>
      </w:pPr>
      <w:r w:rsidRPr="00902DD1">
        <w:rPr>
          <w:rFonts w:cs="Arial"/>
          <w:b/>
          <w:szCs w:val="18"/>
          <w:lang w:val="en-US"/>
        </w:rPr>
        <w:t xml:space="preserve">Nozzle reactor design and construction </w:t>
      </w:r>
    </w:p>
    <w:p w14:paraId="235A77DB" w14:textId="59E7B920" w:rsidR="00902DD1" w:rsidRPr="00902DD1" w:rsidRDefault="00902DD1" w:rsidP="007A2D79">
      <w:pPr>
        <w:rPr>
          <w:rFonts w:cs="Arial"/>
          <w:noProof/>
          <w:color w:val="000000"/>
          <w:szCs w:val="18"/>
          <w:lang w:eastAsia="ar-SA"/>
        </w:rPr>
      </w:pPr>
      <w:r w:rsidRPr="00902DD1">
        <w:rPr>
          <w:rFonts w:cs="Arial"/>
          <w:noProof/>
          <w:color w:val="000000"/>
          <w:szCs w:val="18"/>
          <w:lang w:eastAsia="ar-SA"/>
        </w:rPr>
        <w:t>Figure 1 presents schematically</w:t>
      </w:r>
      <w:r w:rsidRPr="00902DD1">
        <w:rPr>
          <w:rFonts w:cs="Arial"/>
          <w:szCs w:val="18"/>
          <w:lang w:eastAsia="ar-SA"/>
        </w:rPr>
        <w:t xml:space="preserve"> </w:t>
      </w:r>
      <w:r w:rsidRPr="00902DD1">
        <w:rPr>
          <w:rFonts w:cs="Arial"/>
          <w:noProof/>
          <w:color w:val="000000"/>
          <w:szCs w:val="18"/>
          <w:lang w:eastAsia="ar-SA"/>
        </w:rPr>
        <w:t xml:space="preserve">the nozzle reactor </w:t>
      </w:r>
      <w:r w:rsidR="00095443">
        <w:rPr>
          <w:rFonts w:cs="Arial"/>
          <w:noProof/>
          <w:color w:val="000000"/>
          <w:szCs w:val="18"/>
          <w:lang w:eastAsia="ar-SA"/>
        </w:rPr>
        <w:t xml:space="preserve">design </w:t>
      </w:r>
      <w:r w:rsidRPr="00902DD1">
        <w:rPr>
          <w:rFonts w:cs="Arial"/>
          <w:noProof/>
          <w:color w:val="000000"/>
          <w:szCs w:val="18"/>
          <w:lang w:eastAsia="ar-SA"/>
        </w:rPr>
        <w:t>and reaction system, which has been succesfully developed for production of nanoparticles from equaeous solution</w:t>
      </w:r>
      <w:r w:rsidR="00CB2E53">
        <w:rPr>
          <w:rFonts w:cs="Arial"/>
          <w:noProof/>
          <w:color w:val="000000"/>
          <w:szCs w:val="18"/>
          <w:lang w:eastAsia="ar-SA"/>
        </w:rPr>
        <w:t>s</w:t>
      </w:r>
      <w:r w:rsidRPr="00902DD1">
        <w:rPr>
          <w:rFonts w:cs="Arial"/>
          <w:noProof/>
          <w:color w:val="000000"/>
          <w:szCs w:val="18"/>
          <w:lang w:eastAsia="ar-SA"/>
        </w:rPr>
        <w:t xml:space="preserve"> of metal salts </w:t>
      </w:r>
      <w:r w:rsidRPr="00902DD1">
        <w:rPr>
          <w:rFonts w:cs="Arial"/>
          <w:noProof/>
          <w:color w:val="000000"/>
          <w:szCs w:val="18"/>
          <w:lang w:eastAsia="ar-SA"/>
        </w:rPr>
        <w:fldChar w:fldCharType="begin">
          <w:fldData xml:space="preserve">PEVuZE5vdGU+PENpdGU+PEF1dGhvcj5TaWVycmEtUGFsbGFyZXM8L0F1dGhvcj48WWVhcj4yMDE2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</w:fldData>
        </w:fldChar>
      </w:r>
      <w:r w:rsidRPr="00902DD1">
        <w:rPr>
          <w:rFonts w:cs="Arial"/>
          <w:noProof/>
          <w:color w:val="000000"/>
          <w:szCs w:val="18"/>
          <w:lang w:eastAsia="ar-SA"/>
        </w:rPr>
        <w:instrText xml:space="preserve"> ADDIN EN.CITE </w:instrText>
      </w:r>
      <w:r w:rsidRPr="00902DD1">
        <w:rPr>
          <w:rFonts w:cs="Arial"/>
          <w:noProof/>
          <w:color w:val="000000"/>
          <w:szCs w:val="18"/>
          <w:lang w:eastAsia="ar-SA"/>
        </w:rPr>
        <w:fldChar w:fldCharType="begin">
          <w:fldData xml:space="preserve">PEVuZE5vdGU+PENpdGU+PEF1dGhvcj5TaWVycmEtUGFsbGFyZXM8L0F1dGhvcj48WWVhcj4yMDE2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</w:fldData>
        </w:fldChar>
      </w:r>
      <w:r w:rsidRPr="00902DD1">
        <w:rPr>
          <w:rFonts w:cs="Arial"/>
          <w:noProof/>
          <w:color w:val="000000"/>
          <w:szCs w:val="18"/>
          <w:lang w:eastAsia="ar-SA"/>
        </w:rPr>
        <w:instrText xml:space="preserve"> ADDIN EN.CITE.DATA </w:instrText>
      </w:r>
      <w:r w:rsidRPr="00902DD1">
        <w:rPr>
          <w:rFonts w:cs="Arial"/>
          <w:noProof/>
          <w:color w:val="000000"/>
          <w:szCs w:val="18"/>
          <w:lang w:eastAsia="ar-SA"/>
        </w:rPr>
      </w:r>
      <w:r w:rsidRPr="00902DD1">
        <w:rPr>
          <w:rFonts w:cs="Arial"/>
          <w:noProof/>
          <w:color w:val="000000"/>
          <w:szCs w:val="18"/>
          <w:lang w:eastAsia="ar-SA"/>
        </w:rPr>
        <w:fldChar w:fldCharType="end"/>
      </w:r>
      <w:r w:rsidRPr="00902DD1">
        <w:rPr>
          <w:rFonts w:cs="Arial"/>
          <w:noProof/>
          <w:color w:val="000000"/>
          <w:szCs w:val="18"/>
          <w:lang w:eastAsia="ar-SA"/>
        </w:rPr>
      </w:r>
      <w:r w:rsidRPr="00902DD1">
        <w:rPr>
          <w:rFonts w:cs="Arial"/>
          <w:noProof/>
          <w:color w:val="000000"/>
          <w:szCs w:val="18"/>
          <w:lang w:eastAsia="ar-SA"/>
        </w:rPr>
        <w:fldChar w:fldCharType="separate"/>
      </w:r>
      <w:r w:rsidRPr="00902DD1">
        <w:rPr>
          <w:rFonts w:cs="Arial"/>
          <w:noProof/>
          <w:color w:val="000000"/>
          <w:szCs w:val="18"/>
          <w:lang w:eastAsia="ar-SA"/>
        </w:rPr>
        <w:t>(</w:t>
      </w:r>
      <w:hyperlink w:anchor="_ENREF_7" w:tooltip="Lester, 2006 #72" w:history="1">
        <w:r w:rsidRPr="00902DD1">
          <w:rPr>
            <w:rFonts w:cs="Arial"/>
            <w:noProof/>
            <w:color w:val="000000"/>
            <w:szCs w:val="18"/>
            <w:lang w:eastAsia="ar-SA"/>
          </w:rPr>
          <w:t>Lester</w:t>
        </w:r>
        <w:r w:rsidR="00A0018B">
          <w:rPr>
            <w:rFonts w:cs="Arial"/>
            <w:noProof/>
            <w:color w:val="000000"/>
            <w:szCs w:val="18"/>
            <w:lang w:eastAsia="ar-SA"/>
          </w:rPr>
          <w:t xml:space="preserve"> </w:t>
        </w:r>
        <w:r w:rsidRPr="00902DD1">
          <w:rPr>
            <w:rFonts w:cs="Arial"/>
            <w:noProof/>
            <w:color w:val="000000"/>
            <w:szCs w:val="18"/>
            <w:lang w:eastAsia="ar-SA"/>
          </w:rPr>
          <w:t>et al. 2006</w:t>
        </w:r>
      </w:hyperlink>
      <w:r w:rsidRPr="00902DD1">
        <w:rPr>
          <w:rFonts w:cs="Arial"/>
          <w:noProof/>
          <w:color w:val="000000"/>
          <w:szCs w:val="18"/>
          <w:lang w:eastAsia="ar-SA"/>
        </w:rPr>
        <w:t xml:space="preserve">, </w:t>
      </w:r>
      <w:hyperlink w:anchor="_ENREF_8" w:tooltip="Sierra-Pallares, 2016 #302" w:history="1">
        <w:r w:rsidRPr="00902DD1">
          <w:rPr>
            <w:rFonts w:cs="Arial"/>
            <w:noProof/>
            <w:color w:val="000000"/>
            <w:szCs w:val="18"/>
            <w:lang w:eastAsia="ar-SA"/>
          </w:rPr>
          <w:t>Sierra-Pallares et al. 2016</w:t>
        </w:r>
      </w:hyperlink>
      <w:r w:rsidRPr="00902DD1">
        <w:rPr>
          <w:rFonts w:cs="Arial"/>
          <w:noProof/>
          <w:color w:val="000000"/>
          <w:szCs w:val="18"/>
          <w:lang w:eastAsia="ar-SA"/>
        </w:rPr>
        <w:t>)</w:t>
      </w:r>
      <w:r w:rsidRPr="00902DD1">
        <w:rPr>
          <w:rFonts w:cs="Arial"/>
          <w:noProof/>
          <w:color w:val="000000"/>
          <w:szCs w:val="18"/>
          <w:lang w:eastAsia="ar-SA"/>
        </w:rPr>
        <w:fldChar w:fldCharType="end"/>
      </w:r>
      <w:r w:rsidR="00095443">
        <w:rPr>
          <w:rFonts w:cs="Arial"/>
          <w:noProof/>
          <w:color w:val="000000"/>
          <w:szCs w:val="18"/>
          <w:lang w:eastAsia="ar-SA"/>
        </w:rPr>
        <w:t>.</w:t>
      </w:r>
      <w:r w:rsidR="00095443" w:rsidRPr="00902DD1">
        <w:rPr>
          <w:rFonts w:cs="Arial"/>
          <w:noProof/>
          <w:color w:val="000000"/>
          <w:szCs w:val="18"/>
          <w:lang w:eastAsia="ar-SA"/>
        </w:rPr>
        <w:t xml:space="preserve"> </w:t>
      </w:r>
      <w:r w:rsidRPr="00902DD1">
        <w:rPr>
          <w:rFonts w:cs="Arial"/>
          <w:noProof/>
          <w:color w:val="000000"/>
          <w:szCs w:val="18"/>
          <w:lang w:eastAsia="ar-SA"/>
        </w:rPr>
        <w:t>For fast HTL</w:t>
      </w:r>
      <w:r w:rsidR="00095443">
        <w:rPr>
          <w:rFonts w:cs="Arial"/>
          <w:noProof/>
          <w:color w:val="000000"/>
          <w:szCs w:val="18"/>
          <w:lang w:eastAsia="ar-SA"/>
        </w:rPr>
        <w:t xml:space="preserve"> application</w:t>
      </w:r>
      <w:r w:rsidRPr="00902DD1">
        <w:rPr>
          <w:rFonts w:cs="Arial"/>
          <w:noProof/>
          <w:color w:val="000000"/>
          <w:szCs w:val="18"/>
          <w:lang w:eastAsia="ar-SA"/>
        </w:rPr>
        <w:t>,</w:t>
      </w:r>
      <w:r w:rsidR="00095443">
        <w:rPr>
          <w:rFonts w:cs="Arial"/>
          <w:noProof/>
          <w:color w:val="000000"/>
          <w:szCs w:val="18"/>
          <w:lang w:eastAsia="ar-SA"/>
        </w:rPr>
        <w:t xml:space="preserve"> certain modifications are needed, such as replacement of t</w:t>
      </w:r>
      <w:r w:rsidRPr="00902DD1">
        <w:rPr>
          <w:rFonts w:cs="Arial"/>
          <w:noProof/>
          <w:color w:val="000000"/>
          <w:szCs w:val="18"/>
          <w:lang w:eastAsia="ar-SA"/>
        </w:rPr>
        <w:t>he aqueous metal salt stream in Fig</w:t>
      </w:r>
      <w:r w:rsidR="00EA1E90">
        <w:rPr>
          <w:rFonts w:cs="Arial"/>
          <w:noProof/>
          <w:color w:val="000000"/>
          <w:szCs w:val="18"/>
          <w:lang w:eastAsia="ar-SA"/>
        </w:rPr>
        <w:t>ure 1A and Figgure 1B</w:t>
      </w:r>
      <w:r w:rsidRPr="00902DD1">
        <w:rPr>
          <w:rFonts w:cs="Arial"/>
          <w:noProof/>
          <w:color w:val="000000"/>
          <w:szCs w:val="18"/>
          <w:lang w:eastAsia="ar-SA"/>
        </w:rPr>
        <w:t xml:space="preserve"> with a lignin slurry stream.</w:t>
      </w:r>
    </w:p>
    <w:p w14:paraId="60B4D7A3" w14:textId="7DB235A0" w:rsidR="00902DD1" w:rsidRDefault="00902DD1" w:rsidP="004F6BA7">
      <w:pPr>
        <w:jc w:val="left"/>
        <w:rPr>
          <w:rFonts w:cs="Arial"/>
          <w:szCs w:val="18"/>
          <w:lang w:eastAsia="ar-SA"/>
        </w:rPr>
      </w:pPr>
    </w:p>
    <w:tbl>
      <w:tblPr>
        <w:tblStyle w:val="TableGrid"/>
        <w:tblW w:w="8174"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0"/>
        <w:gridCol w:w="810"/>
        <w:gridCol w:w="4394"/>
      </w:tblGrid>
      <w:tr w:rsidR="00902DD1" w:rsidRPr="00902DD1" w14:paraId="61D07BEC" w14:textId="77777777" w:rsidTr="004F6BA7">
        <w:trPr>
          <w:trHeight w:val="3754"/>
        </w:trPr>
        <w:tc>
          <w:tcPr>
            <w:tcW w:w="2970" w:type="dxa"/>
          </w:tcPr>
          <w:p w14:paraId="14C16235" w14:textId="77777777" w:rsidR="00902DD1" w:rsidRPr="00902DD1" w:rsidRDefault="00902DD1" w:rsidP="00902DD1">
            <w:pPr>
              <w:jc w:val="center"/>
              <w:rPr>
                <w:rFonts w:cs="Arial"/>
                <w:szCs w:val="18"/>
                <w:lang w:eastAsia="nb-NO"/>
              </w:rPr>
            </w:pPr>
            <w:r w:rsidRPr="00902DD1">
              <w:rPr>
                <w:rFonts w:cs="Arial"/>
                <w:noProof/>
                <w:szCs w:val="18"/>
                <w:lang w:val="nb-NO" w:eastAsia="nb-NO"/>
              </w:rPr>
              <w:drawing>
                <wp:inline distT="0" distB="0" distL="0" distR="0" wp14:anchorId="4453CE01" wp14:editId="5E12C3EB">
                  <wp:extent cx="1364635" cy="1828800"/>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5016" cy="1829311"/>
                          </a:xfrm>
                          <a:prstGeom prst="rect">
                            <a:avLst/>
                          </a:prstGeom>
                          <a:noFill/>
                          <a:ln>
                            <a:noFill/>
                          </a:ln>
                        </pic:spPr>
                      </pic:pic>
                    </a:graphicData>
                  </a:graphic>
                </wp:inline>
              </w:drawing>
            </w:r>
          </w:p>
          <w:p w14:paraId="59E1447F" w14:textId="1BD39AEB" w:rsidR="00902DD1" w:rsidRPr="00902DD1" w:rsidRDefault="00902DD1" w:rsidP="00902DD1">
            <w:pPr>
              <w:numPr>
                <w:ilvl w:val="0"/>
                <w:numId w:val="22"/>
              </w:numPr>
              <w:tabs>
                <w:tab w:val="clear" w:pos="7100"/>
              </w:tabs>
              <w:spacing w:line="240" w:lineRule="auto"/>
              <w:ind w:left="0" w:hanging="284"/>
              <w:contextualSpacing/>
              <w:jc w:val="center"/>
              <w:rPr>
                <w:rFonts w:cs="Arial"/>
                <w:szCs w:val="18"/>
                <w:lang w:eastAsia="nb-NO"/>
              </w:rPr>
            </w:pPr>
            <w:r w:rsidRPr="00902DD1">
              <w:rPr>
                <w:rFonts w:cs="Arial"/>
                <w:szCs w:val="18"/>
                <w:lang w:eastAsia="nb-NO"/>
              </w:rPr>
              <w:t xml:space="preserve">Schematic of a nozzle reactor </w:t>
            </w:r>
            <w:r w:rsidRPr="00902DD1">
              <w:rPr>
                <w:rFonts w:cs="Arial"/>
                <w:szCs w:val="18"/>
                <w:lang w:eastAsia="en-GB"/>
              </w:rPr>
              <w:fldChar w:fldCharType="begin"/>
            </w:r>
            <w:r w:rsidRPr="00902DD1">
              <w:rPr>
                <w:rFonts w:cs="Arial"/>
                <w:szCs w:val="18"/>
                <w:lang w:eastAsia="en-GB"/>
              </w:rPr>
              <w:instrText xml:space="preserve"> ADDIN EN.CITE &lt;EndNote&gt;&lt;Cite&gt;&lt;Author&gt;Lester&lt;/Author&gt;&lt;Year&gt;2006&lt;/Year&gt;&lt;RecNum&gt;72&lt;/RecNum&gt;&lt;DisplayText&gt;(Lester, Blood et al. 2006)&lt;/DisplayText&gt;&lt;record&gt;&lt;rec-number&gt;72&lt;/rec-number&gt;&lt;foreign-keys&gt;&lt;key app="EN" db-id="zasr50xavdrdpse00atprz9rzr2vz9vap2vs" timestamp="0"&gt;72&lt;/key&gt;&lt;/foreign-keys&gt;&lt;ref-type name="Journal Article"&gt;17&lt;/ref-type&gt;&lt;contributors&gt;&lt;authors&gt;&lt;author&gt;Lester, Edward&lt;/author&gt;&lt;author&gt;Blood, Paul&lt;/author&gt;&lt;author&gt;Denyer, Joanne&lt;/author&gt;&lt;author&gt;Giddings, Donald&lt;/author&gt;&lt;author&gt;Azzopardi, Barry&lt;/author&gt;&lt;author&gt;Poliakoff, Martyn&lt;/author&gt;&lt;/authors&gt;&lt;/contributors&gt;&lt;titles&gt;&lt;title&gt;Reaction engineering: The supercritical water hydrothermal synthesis of nano-particles&lt;/title&gt;&lt;secondary-title&gt;The Journal of Supercritical Fluids&lt;/secondary-title&gt;&lt;/titles&gt;&lt;periodical&gt;&lt;full-title&gt;The Journal of Supercritical Fluids&lt;/full-title&gt;&lt;/periodical&gt;&lt;pages&gt;209-214&lt;/pages&gt;&lt;volume&gt;37&lt;/volume&gt;&lt;number&gt;2&lt;/number&gt;&lt;keywords&gt;&lt;keyword&gt;Supercritical water&lt;/keyword&gt;&lt;keyword&gt;Reaction engineering&lt;/keyword&gt;&lt;keyword&gt;Mixing&lt;/keyword&gt;&lt;keyword&gt;Nano-particulates&lt;/keyword&gt;&lt;keyword&gt;Visualisation&lt;/keyword&gt;&lt;/keywords&gt;&lt;dates&gt;&lt;year&gt;2006&lt;/year&gt;&lt;/dates&gt;&lt;isbn&gt;0896-8446&lt;/isbn&gt;&lt;urls&gt;&lt;related-urls&gt;&lt;url&gt;http://www.sciencedirect.com/science/article/pii/S0896844605001750&lt;/url&gt;&lt;/related-urls&gt;&lt;/urls&gt;&lt;electronic-resource-num&gt;http://dx.doi.org/10.1016/j.supflu.2005.08.011&lt;/electronic-resource-num&gt;&lt;/record&gt;&lt;/Cite&gt;&lt;/EndNote&gt;</w:instrText>
            </w:r>
            <w:r w:rsidRPr="00902DD1">
              <w:rPr>
                <w:rFonts w:cs="Arial"/>
                <w:szCs w:val="18"/>
                <w:lang w:eastAsia="en-GB"/>
              </w:rPr>
              <w:fldChar w:fldCharType="separate"/>
            </w:r>
            <w:r w:rsidRPr="00902DD1">
              <w:rPr>
                <w:rFonts w:cs="Arial"/>
                <w:noProof/>
                <w:szCs w:val="18"/>
                <w:lang w:eastAsia="en-GB"/>
              </w:rPr>
              <w:t>(</w:t>
            </w:r>
            <w:hyperlink w:anchor="_ENREF_7" w:tooltip="Lester, 2006 #72" w:history="1">
              <w:r w:rsidRPr="00902DD1">
                <w:rPr>
                  <w:rFonts w:cs="Arial"/>
                  <w:noProof/>
                  <w:szCs w:val="18"/>
                  <w:lang w:eastAsia="en-GB"/>
                </w:rPr>
                <w:t>Lester et al. 2006</w:t>
              </w:r>
            </w:hyperlink>
            <w:r w:rsidRPr="00902DD1">
              <w:rPr>
                <w:rFonts w:cs="Arial"/>
                <w:noProof/>
                <w:szCs w:val="18"/>
                <w:lang w:eastAsia="en-GB"/>
              </w:rPr>
              <w:t>)</w:t>
            </w:r>
            <w:r w:rsidRPr="00902DD1">
              <w:rPr>
                <w:rFonts w:cs="Arial"/>
                <w:szCs w:val="18"/>
                <w:lang w:eastAsia="en-GB"/>
              </w:rPr>
              <w:fldChar w:fldCharType="end"/>
            </w:r>
          </w:p>
        </w:tc>
        <w:tc>
          <w:tcPr>
            <w:tcW w:w="810" w:type="dxa"/>
          </w:tcPr>
          <w:p w14:paraId="320DB3A6" w14:textId="7F27D2FF" w:rsidR="00902DD1" w:rsidRPr="00902DD1" w:rsidRDefault="00902DD1" w:rsidP="00902DD1">
            <w:pPr>
              <w:jc w:val="center"/>
              <w:rPr>
                <w:rFonts w:cs="Arial"/>
                <w:szCs w:val="18"/>
                <w:lang w:eastAsia="nb-NO"/>
              </w:rPr>
            </w:pPr>
          </w:p>
          <w:p w14:paraId="52B1B647" w14:textId="35D67E11" w:rsidR="00902DD1" w:rsidRPr="00902DD1" w:rsidRDefault="00902DD1" w:rsidP="00902DD1">
            <w:pPr>
              <w:numPr>
                <w:ilvl w:val="0"/>
                <w:numId w:val="22"/>
              </w:numPr>
              <w:tabs>
                <w:tab w:val="clear" w:pos="7100"/>
              </w:tabs>
              <w:spacing w:line="240" w:lineRule="auto"/>
              <w:ind w:left="0" w:hanging="357"/>
              <w:contextualSpacing/>
              <w:jc w:val="left"/>
              <w:rPr>
                <w:rFonts w:cs="Arial"/>
                <w:noProof/>
                <w:szCs w:val="18"/>
                <w:lang w:eastAsia="nb-NO"/>
              </w:rPr>
            </w:pPr>
          </w:p>
        </w:tc>
        <w:tc>
          <w:tcPr>
            <w:tcW w:w="4394" w:type="dxa"/>
          </w:tcPr>
          <w:p w14:paraId="06AAACDF" w14:textId="77777777" w:rsidR="00902DD1" w:rsidRPr="00902DD1" w:rsidRDefault="00902DD1" w:rsidP="00902DD1">
            <w:pPr>
              <w:jc w:val="center"/>
              <w:rPr>
                <w:rFonts w:cs="Arial"/>
                <w:noProof/>
                <w:szCs w:val="18"/>
                <w:lang w:eastAsia="nb-NO"/>
              </w:rPr>
            </w:pPr>
            <w:r w:rsidRPr="00902DD1">
              <w:rPr>
                <w:rFonts w:cs="Arial"/>
                <w:noProof/>
                <w:szCs w:val="18"/>
                <w:lang w:val="nb-NO" w:eastAsia="nb-NO"/>
              </w:rPr>
              <w:drawing>
                <wp:inline distT="0" distB="0" distL="0" distR="0" wp14:anchorId="3C039924" wp14:editId="736C03D8">
                  <wp:extent cx="2585073" cy="1922027"/>
                  <wp:effectExtent l="0" t="0" r="6350" b="2540"/>
                  <wp:docPr id="40" name="Picture 40" descr="Schematic of a typical apparatus configuration used for the continuous synthe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chematic of a typical apparatus configuration used for the continuous synthesi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4202" cy="1936250"/>
                          </a:xfrm>
                          <a:prstGeom prst="rect">
                            <a:avLst/>
                          </a:prstGeom>
                          <a:noFill/>
                          <a:ln>
                            <a:noFill/>
                          </a:ln>
                        </pic:spPr>
                      </pic:pic>
                    </a:graphicData>
                  </a:graphic>
                </wp:inline>
              </w:drawing>
            </w:r>
          </w:p>
          <w:p w14:paraId="5CB689C7" w14:textId="120D0CA7" w:rsidR="00902DD1" w:rsidRPr="00EA1E90" w:rsidRDefault="00902DD1" w:rsidP="00EA1E90">
            <w:pPr>
              <w:pStyle w:val="ListParagraph"/>
              <w:numPr>
                <w:ilvl w:val="0"/>
                <w:numId w:val="25"/>
              </w:numPr>
              <w:tabs>
                <w:tab w:val="clear" w:pos="7100"/>
              </w:tabs>
              <w:spacing w:line="240" w:lineRule="auto"/>
              <w:jc w:val="center"/>
              <w:rPr>
                <w:rFonts w:cs="Arial"/>
                <w:szCs w:val="18"/>
                <w:lang w:eastAsia="nb-NO"/>
              </w:rPr>
            </w:pPr>
            <w:r w:rsidRPr="00EA1E90">
              <w:rPr>
                <w:rFonts w:cs="Arial"/>
                <w:szCs w:val="18"/>
                <w:lang w:eastAsia="nb-NO"/>
              </w:rPr>
              <w:t xml:space="preserve">Flow diagram for nozzle reactor </w:t>
            </w:r>
            <w:r w:rsidRPr="00EA1E90">
              <w:rPr>
                <w:rFonts w:cs="Arial"/>
                <w:szCs w:val="18"/>
                <w:lang w:eastAsia="nb-NO"/>
              </w:rPr>
              <w:fldChar w:fldCharType="begin"/>
            </w:r>
            <w:r w:rsidRPr="00EA1E90">
              <w:rPr>
                <w:rFonts w:cs="Arial"/>
                <w:szCs w:val="18"/>
                <w:lang w:eastAsia="nb-NO"/>
              </w:rPr>
              <w:instrText xml:space="preserve"> ADDIN EN.CITE &lt;EndNote&gt;&lt;Cite&gt;&lt;Author&gt;Sierra-Pallares&lt;/Author&gt;&lt;Year&gt;2016&lt;/Year&gt;&lt;RecNum&gt;302&lt;/RecNum&gt;&lt;DisplayText&gt;(Sierra-Pallares, Huddle et al. 2016)&lt;/DisplayText&gt;&lt;record&gt;&lt;rec-number&gt;302&lt;/rec-number&gt;&lt;foreign-keys&gt;&lt;key app="EN" db-id="zasr50xavdrdpse00atprz9rzr2vz9vap2vs" timestamp="1495224182"&gt;302&lt;/key&gt;&lt;/foreign-keys&gt;&lt;ref-type name="Journal Article"&gt;17&lt;/ref-type&gt;&lt;contributors&gt;&lt;authors&gt;&lt;author&gt;Sierra-Pallares, J.&lt;/author&gt;&lt;author&gt;Huddle, T.&lt;/author&gt;&lt;author&gt;García-Serna, J.&lt;/author&gt;&lt;author&gt;Alonso, E.&lt;/author&gt;&lt;author&gt;Mato, F.&lt;/author&gt;&lt;author&gt;Shvets, I.&lt;/author&gt;&lt;author&gt;Luebben, O.&lt;/author&gt;&lt;author&gt;Cocero, M. J.&lt;/author&gt;&lt;author&gt;Lester, E.&lt;/author&gt;&lt;/authors&gt;&lt;/contributors&gt;&lt;titles&gt;&lt;title&gt;Understanding bottom-up continuous hydrothermal synthesis of nanoparticles using empirical measurement and computational simulation&lt;/title&gt;&lt;secondary-title&gt;Nano Research&lt;/secondary-title&gt;&lt;/titles&gt;&lt;periodical&gt;&lt;full-title&gt;Nano Research&lt;/full-title&gt;&lt;/periodical&gt;&lt;pages&gt;3377-3387&lt;/pages&gt;&lt;volume&gt;9&lt;/volume&gt;&lt;number&gt;11&lt;/number&gt;&lt;dates&gt;&lt;year&gt;2016&lt;/year&gt;&lt;/dates&gt;&lt;work-type&gt;Article&lt;/work-type&gt;&lt;urls&gt;&lt;related-urls&gt;&lt;url&gt;https://www.scopus.com/inward/record.uri?eid=2-s2.0-84983463213&amp;amp;doi=10.1007%2fs12274-016-1215-6&amp;amp;partnerID=40&amp;amp;md5=8a35e1756b5d86f708bccd944e054caa&lt;/url&gt;&lt;/related-urls&gt;&lt;/urls&gt;&lt;electronic-resource-num&gt;10.1007/s12274-016-1215-6&lt;/electronic-resource-num&gt;&lt;remote-database-name&gt;Scopus&lt;/remote-database-name&gt;&lt;/record&gt;&lt;/Cite&gt;&lt;/EndNote&gt;</w:instrText>
            </w:r>
            <w:r w:rsidRPr="00EA1E90">
              <w:rPr>
                <w:rFonts w:cs="Arial"/>
                <w:szCs w:val="18"/>
                <w:lang w:eastAsia="nb-NO"/>
              </w:rPr>
              <w:fldChar w:fldCharType="separate"/>
            </w:r>
            <w:r w:rsidRPr="00EA1E90">
              <w:rPr>
                <w:rFonts w:cs="Arial"/>
                <w:noProof/>
                <w:szCs w:val="18"/>
                <w:lang w:eastAsia="nb-NO"/>
              </w:rPr>
              <w:t>(</w:t>
            </w:r>
            <w:hyperlink w:anchor="_ENREF_8" w:tooltip="Sierra-Pallares, 2016 #302" w:history="1">
              <w:r w:rsidRPr="00EA1E90">
                <w:rPr>
                  <w:rFonts w:cs="Arial"/>
                  <w:noProof/>
                  <w:szCs w:val="18"/>
                  <w:lang w:eastAsia="nb-NO"/>
                </w:rPr>
                <w:t>Sierra-Pallares et al. 2016</w:t>
              </w:r>
            </w:hyperlink>
            <w:r w:rsidRPr="00EA1E90">
              <w:rPr>
                <w:rFonts w:cs="Arial"/>
                <w:noProof/>
                <w:szCs w:val="18"/>
                <w:lang w:eastAsia="nb-NO"/>
              </w:rPr>
              <w:t>)</w:t>
            </w:r>
            <w:r w:rsidRPr="00EA1E90">
              <w:rPr>
                <w:rFonts w:cs="Arial"/>
                <w:szCs w:val="18"/>
                <w:lang w:eastAsia="nb-NO"/>
              </w:rPr>
              <w:fldChar w:fldCharType="end"/>
            </w:r>
          </w:p>
        </w:tc>
      </w:tr>
    </w:tbl>
    <w:p w14:paraId="162EE467" w14:textId="57664F2E" w:rsidR="00902DD1" w:rsidRPr="00902DD1" w:rsidRDefault="00902DD1" w:rsidP="004F6BA7">
      <w:pPr>
        <w:jc w:val="left"/>
        <w:rPr>
          <w:rFonts w:cs="Arial"/>
          <w:i/>
          <w:noProof/>
          <w:color w:val="000000"/>
          <w:szCs w:val="18"/>
          <w:lang w:eastAsia="ar-SA"/>
        </w:rPr>
      </w:pPr>
      <w:r w:rsidRPr="00902DD1">
        <w:rPr>
          <w:rFonts w:cs="Arial"/>
          <w:bCs/>
          <w:i/>
          <w:szCs w:val="18"/>
        </w:rPr>
        <w:t>Figure 1: Schematic diagram of the n</w:t>
      </w:r>
      <w:r w:rsidRPr="00902DD1">
        <w:rPr>
          <w:rFonts w:cs="Arial"/>
          <w:i/>
          <w:szCs w:val="18"/>
        </w:rPr>
        <w:t xml:space="preserve">ozzle reactor and continuous flow reaction system developed for hydrothermal synthesis of nanoparticles </w:t>
      </w:r>
      <w:r w:rsidRPr="00902DD1">
        <w:rPr>
          <w:rFonts w:cs="Arial"/>
          <w:i/>
          <w:noProof/>
          <w:color w:val="000000"/>
          <w:szCs w:val="18"/>
          <w:lang w:eastAsia="ar-SA"/>
        </w:rPr>
        <w:fldChar w:fldCharType="begin">
          <w:fldData xml:space="preserve">PEVuZE5vdGU+PENpdGU+PEF1dGhvcj5TaWVycmEtUGFsbGFyZXM8L0F1dGhvcj48WWVhcj4yMDE2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</w:fldData>
        </w:fldChar>
      </w:r>
      <w:r w:rsidRPr="00902DD1">
        <w:rPr>
          <w:rFonts w:cs="Arial"/>
          <w:i/>
          <w:noProof/>
          <w:color w:val="000000"/>
          <w:szCs w:val="18"/>
          <w:lang w:eastAsia="ar-SA"/>
        </w:rPr>
        <w:instrText xml:space="preserve"> ADDIN EN.CITE </w:instrText>
      </w:r>
      <w:r w:rsidRPr="00902DD1">
        <w:rPr>
          <w:rFonts w:cs="Arial"/>
          <w:i/>
          <w:noProof/>
          <w:color w:val="000000"/>
          <w:szCs w:val="18"/>
          <w:lang w:eastAsia="ar-SA"/>
        </w:rPr>
        <w:fldChar w:fldCharType="begin">
          <w:fldData xml:space="preserve">PEVuZE5vdGU+PENpdGU+PEF1dGhvcj5TaWVycmEtUGFsbGFyZXM8L0F1dGhvcj48WWVhcj4yMDE2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</w:fldData>
        </w:fldChar>
      </w:r>
      <w:r w:rsidRPr="00902DD1">
        <w:rPr>
          <w:rFonts w:cs="Arial"/>
          <w:i/>
          <w:noProof/>
          <w:color w:val="000000"/>
          <w:szCs w:val="18"/>
          <w:lang w:eastAsia="ar-SA"/>
        </w:rPr>
        <w:instrText xml:space="preserve"> ADDIN EN.CITE.DATA </w:instrText>
      </w:r>
      <w:r w:rsidRPr="00902DD1">
        <w:rPr>
          <w:rFonts w:cs="Arial"/>
          <w:i/>
          <w:noProof/>
          <w:color w:val="000000"/>
          <w:szCs w:val="18"/>
          <w:lang w:eastAsia="ar-SA"/>
        </w:rPr>
      </w:r>
      <w:r w:rsidRPr="00902DD1">
        <w:rPr>
          <w:rFonts w:cs="Arial"/>
          <w:i/>
          <w:noProof/>
          <w:color w:val="000000"/>
          <w:szCs w:val="18"/>
          <w:lang w:eastAsia="ar-SA"/>
        </w:rPr>
        <w:fldChar w:fldCharType="end"/>
      </w:r>
      <w:r w:rsidRPr="00902DD1">
        <w:rPr>
          <w:rFonts w:cs="Arial"/>
          <w:i/>
          <w:noProof/>
          <w:color w:val="000000"/>
          <w:szCs w:val="18"/>
          <w:lang w:eastAsia="ar-SA"/>
        </w:rPr>
      </w:r>
      <w:r w:rsidRPr="00902DD1">
        <w:rPr>
          <w:rFonts w:cs="Arial"/>
          <w:i/>
          <w:noProof/>
          <w:color w:val="000000"/>
          <w:szCs w:val="18"/>
          <w:lang w:eastAsia="ar-SA"/>
        </w:rPr>
        <w:fldChar w:fldCharType="separate"/>
      </w:r>
      <w:r w:rsidRPr="00902DD1">
        <w:rPr>
          <w:rFonts w:cs="Arial"/>
          <w:i/>
          <w:noProof/>
          <w:color w:val="000000"/>
          <w:szCs w:val="18"/>
          <w:lang w:eastAsia="ar-SA"/>
        </w:rPr>
        <w:t>(</w:t>
      </w:r>
      <w:hyperlink w:anchor="_ENREF_7" w:tooltip="Lester, 2006 #72" w:history="1">
        <w:r w:rsidRPr="00902DD1">
          <w:rPr>
            <w:rFonts w:cs="Arial"/>
            <w:i/>
            <w:noProof/>
            <w:color w:val="000000"/>
            <w:szCs w:val="18"/>
            <w:lang w:eastAsia="ar-SA"/>
          </w:rPr>
          <w:t>Lester</w:t>
        </w:r>
        <w:r w:rsidR="00A0018B">
          <w:rPr>
            <w:rFonts w:cs="Arial"/>
            <w:i/>
            <w:noProof/>
            <w:color w:val="000000"/>
            <w:szCs w:val="18"/>
            <w:lang w:eastAsia="ar-SA"/>
          </w:rPr>
          <w:t xml:space="preserve"> </w:t>
        </w:r>
        <w:r w:rsidRPr="00902DD1">
          <w:rPr>
            <w:rFonts w:cs="Arial"/>
            <w:i/>
            <w:noProof/>
            <w:color w:val="000000"/>
            <w:szCs w:val="18"/>
            <w:lang w:eastAsia="ar-SA"/>
          </w:rPr>
          <w:t>et al. 2006</w:t>
        </w:r>
      </w:hyperlink>
      <w:r w:rsidRPr="00902DD1">
        <w:rPr>
          <w:rFonts w:cs="Arial"/>
          <w:i/>
          <w:noProof/>
          <w:color w:val="000000"/>
          <w:szCs w:val="18"/>
          <w:lang w:eastAsia="ar-SA"/>
        </w:rPr>
        <w:t xml:space="preserve">, </w:t>
      </w:r>
      <w:hyperlink w:anchor="_ENREF_8" w:tooltip="Sierra-Pallares, 2016 #302" w:history="1">
        <w:r w:rsidRPr="00902DD1">
          <w:rPr>
            <w:rFonts w:cs="Arial"/>
            <w:i/>
            <w:noProof/>
            <w:color w:val="000000"/>
            <w:szCs w:val="18"/>
            <w:lang w:eastAsia="ar-SA"/>
          </w:rPr>
          <w:t>Sierra-Pallares</w:t>
        </w:r>
        <w:r w:rsidR="00A0018B">
          <w:rPr>
            <w:rFonts w:cs="Arial"/>
            <w:i/>
            <w:noProof/>
            <w:color w:val="000000"/>
            <w:szCs w:val="18"/>
            <w:lang w:eastAsia="ar-SA"/>
          </w:rPr>
          <w:t xml:space="preserve"> </w:t>
        </w:r>
        <w:r w:rsidRPr="00902DD1">
          <w:rPr>
            <w:rFonts w:cs="Arial"/>
            <w:i/>
            <w:noProof/>
            <w:color w:val="000000"/>
            <w:szCs w:val="18"/>
            <w:lang w:eastAsia="ar-SA"/>
          </w:rPr>
          <w:t>et al. 2016</w:t>
        </w:r>
      </w:hyperlink>
      <w:r w:rsidRPr="00902DD1">
        <w:rPr>
          <w:rFonts w:cs="Arial"/>
          <w:i/>
          <w:noProof/>
          <w:color w:val="000000"/>
          <w:szCs w:val="18"/>
          <w:lang w:eastAsia="ar-SA"/>
        </w:rPr>
        <w:t>)</w:t>
      </w:r>
      <w:r w:rsidRPr="00902DD1">
        <w:rPr>
          <w:rFonts w:cs="Arial"/>
          <w:i/>
          <w:noProof/>
          <w:color w:val="000000"/>
          <w:szCs w:val="18"/>
          <w:lang w:eastAsia="ar-SA"/>
        </w:rPr>
        <w:fldChar w:fldCharType="end"/>
      </w:r>
      <w:r w:rsidRPr="00902DD1">
        <w:rPr>
          <w:rFonts w:cs="Arial"/>
          <w:i/>
          <w:noProof/>
          <w:color w:val="000000"/>
          <w:szCs w:val="18"/>
          <w:lang w:eastAsia="ar-SA"/>
        </w:rPr>
        <w:t xml:space="preserve"> </w:t>
      </w:r>
    </w:p>
    <w:p w14:paraId="1FFD0AD4" w14:textId="77777777" w:rsidR="00902DD1" w:rsidRPr="00902DD1" w:rsidRDefault="00902DD1" w:rsidP="00902DD1">
      <w:pPr>
        <w:jc w:val="center"/>
        <w:rPr>
          <w:rFonts w:cs="Arial"/>
          <w:szCs w:val="18"/>
          <w:lang w:eastAsia="nb-NO"/>
        </w:rPr>
      </w:pPr>
    </w:p>
    <w:p w14:paraId="49951E76" w14:textId="6B8DD752" w:rsidR="00902DD1" w:rsidRPr="00902DD1" w:rsidRDefault="00EA1E90" w:rsidP="007A2D79">
      <w:pPr>
        <w:tabs>
          <w:tab w:val="left" w:pos="284"/>
          <w:tab w:val="left" w:pos="720"/>
        </w:tabs>
        <w:spacing w:after="120"/>
        <w:rPr>
          <w:rFonts w:cs="Arial"/>
          <w:szCs w:val="18"/>
        </w:rPr>
      </w:pPr>
      <w:r>
        <w:rPr>
          <w:rFonts w:cs="Arial"/>
          <w:szCs w:val="18"/>
        </w:rPr>
        <w:t>E</w:t>
      </w:r>
      <w:r w:rsidRPr="00902DD1">
        <w:rPr>
          <w:rFonts w:cs="Arial"/>
          <w:szCs w:val="18"/>
        </w:rPr>
        <w:t>ssentially</w:t>
      </w:r>
      <w:r>
        <w:rPr>
          <w:rFonts w:cs="Arial"/>
          <w:szCs w:val="18"/>
        </w:rPr>
        <w:t>,</w:t>
      </w:r>
      <w:r w:rsidRPr="00902DD1">
        <w:rPr>
          <w:rFonts w:cs="Arial"/>
          <w:szCs w:val="18"/>
        </w:rPr>
        <w:t xml:space="preserve"> </w:t>
      </w:r>
      <w:r>
        <w:rPr>
          <w:rFonts w:cs="Arial"/>
          <w:szCs w:val="18"/>
        </w:rPr>
        <w:t>t</w:t>
      </w:r>
      <w:r w:rsidR="00902DD1" w:rsidRPr="00902DD1">
        <w:rPr>
          <w:rFonts w:cs="Arial"/>
          <w:szCs w:val="18"/>
        </w:rPr>
        <w:t xml:space="preserve">he reactor in Figure 1 is a pipe-in-pipe concentric setup in which the internal pipe has an open-ended nozzle with a cone attached (optional). The optional cone would </w:t>
      </w:r>
      <w:r>
        <w:rPr>
          <w:rFonts w:cs="Arial"/>
          <w:szCs w:val="18"/>
        </w:rPr>
        <w:t xml:space="preserve">help intensify the mixing at the nozzle exit, </w:t>
      </w:r>
      <w:r w:rsidR="00902DD1" w:rsidRPr="00902DD1">
        <w:rPr>
          <w:rFonts w:cs="Arial"/>
          <w:szCs w:val="18"/>
        </w:rPr>
        <w:t xml:space="preserve">in the same manner as a thin film reactor, spinning disc or spinning cone reactors </w:t>
      </w:r>
      <w:r w:rsidR="00902DD1" w:rsidRPr="00902DD1">
        <w:rPr>
          <w:rFonts w:cs="Arial"/>
          <w:szCs w:val="18"/>
        </w:rPr>
        <w:fldChar w:fldCharType="begin">
          <w:fldData xml:space="preserve">PEVuZE5vdGU+PENpdGU+PEF1dGhvcj5ZYXRtYXo8L0F1dGhvcj48WWVhcj4yMDAxPC9ZZWFyPjxS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</w:fldData>
        </w:fldChar>
      </w:r>
      <w:r w:rsidR="00902DD1" w:rsidRPr="00902DD1">
        <w:rPr>
          <w:rFonts w:cs="Arial"/>
          <w:szCs w:val="18"/>
        </w:rPr>
        <w:instrText xml:space="preserve"> ADDIN EN.CITE </w:instrText>
      </w:r>
      <w:r w:rsidR="00902DD1" w:rsidRPr="00902DD1">
        <w:rPr>
          <w:rFonts w:cs="Arial"/>
          <w:szCs w:val="18"/>
        </w:rPr>
        <w:fldChar w:fldCharType="begin">
          <w:fldData xml:space="preserve">PEVuZE5vdGU+PENpdGU+PEF1dGhvcj5ZYXRtYXo8L0F1dGhvcj48WWVhcj4yMDAxPC9ZZWFyPjxS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</w:fldData>
        </w:fldChar>
      </w:r>
      <w:r w:rsidR="00902DD1" w:rsidRPr="00902DD1">
        <w:rPr>
          <w:rFonts w:cs="Arial"/>
          <w:szCs w:val="18"/>
        </w:rPr>
        <w:instrText xml:space="preserve"> ADDIN EN.CITE.DATA </w:instrText>
      </w:r>
      <w:r w:rsidR="00902DD1" w:rsidRPr="00902DD1">
        <w:rPr>
          <w:rFonts w:cs="Arial"/>
          <w:szCs w:val="18"/>
        </w:rPr>
      </w:r>
      <w:r w:rsidR="00902DD1" w:rsidRPr="00902DD1">
        <w:rPr>
          <w:rFonts w:cs="Arial"/>
          <w:szCs w:val="18"/>
        </w:rPr>
        <w:fldChar w:fldCharType="end"/>
      </w:r>
      <w:r w:rsidR="00902DD1" w:rsidRPr="00902DD1">
        <w:rPr>
          <w:rFonts w:cs="Arial"/>
          <w:szCs w:val="18"/>
        </w:rPr>
      </w:r>
      <w:r w:rsidR="00902DD1" w:rsidRPr="00902DD1">
        <w:rPr>
          <w:rFonts w:cs="Arial"/>
          <w:szCs w:val="18"/>
        </w:rPr>
        <w:fldChar w:fldCharType="separate"/>
      </w:r>
      <w:r w:rsidR="00902DD1" w:rsidRPr="00902DD1">
        <w:rPr>
          <w:rFonts w:cs="Arial"/>
          <w:noProof/>
          <w:szCs w:val="18"/>
        </w:rPr>
        <w:t>(</w:t>
      </w:r>
      <w:hyperlink w:anchor="_ENREF_3" w:tooltip="Boodhoo, 2001 #284" w:history="1">
        <w:r w:rsidR="00902DD1" w:rsidRPr="00902DD1">
          <w:rPr>
            <w:rFonts w:cs="Arial"/>
            <w:noProof/>
            <w:szCs w:val="18"/>
          </w:rPr>
          <w:t>Boodhoo et al. 2001</w:t>
        </w:r>
      </w:hyperlink>
      <w:r w:rsidR="00902DD1" w:rsidRPr="00902DD1">
        <w:rPr>
          <w:rFonts w:cs="Arial"/>
          <w:noProof/>
          <w:szCs w:val="18"/>
        </w:rPr>
        <w:t xml:space="preserve">, </w:t>
      </w:r>
      <w:hyperlink w:anchor="_ENREF_5" w:tooltip="Brechtelsbauer, 2001 #285" w:history="1">
        <w:r w:rsidR="00902DD1" w:rsidRPr="00902DD1">
          <w:rPr>
            <w:rFonts w:cs="Arial"/>
            <w:noProof/>
            <w:szCs w:val="18"/>
          </w:rPr>
          <w:t>Brechtelsbauer</w:t>
        </w:r>
        <w:r w:rsidR="00A0018B">
          <w:rPr>
            <w:rFonts w:cs="Arial"/>
            <w:noProof/>
            <w:szCs w:val="18"/>
          </w:rPr>
          <w:t xml:space="preserve"> </w:t>
        </w:r>
        <w:r w:rsidR="00902DD1" w:rsidRPr="00902DD1">
          <w:rPr>
            <w:rFonts w:cs="Arial"/>
            <w:noProof/>
            <w:szCs w:val="18"/>
          </w:rPr>
          <w:t>et al. 2001</w:t>
        </w:r>
      </w:hyperlink>
      <w:r w:rsidR="00902DD1" w:rsidRPr="00902DD1">
        <w:rPr>
          <w:rFonts w:cs="Arial"/>
          <w:noProof/>
          <w:szCs w:val="18"/>
        </w:rPr>
        <w:t xml:space="preserve">, </w:t>
      </w:r>
      <w:hyperlink w:anchor="_ENREF_11" w:tooltip="Yatmaz, 2001 #286" w:history="1">
        <w:r w:rsidR="00902DD1" w:rsidRPr="00902DD1">
          <w:rPr>
            <w:rFonts w:cs="Arial"/>
            <w:noProof/>
            <w:szCs w:val="18"/>
          </w:rPr>
          <w:t>Yatmaz</w:t>
        </w:r>
        <w:r w:rsidR="00A0018B">
          <w:rPr>
            <w:rFonts w:cs="Arial"/>
            <w:noProof/>
            <w:szCs w:val="18"/>
          </w:rPr>
          <w:t xml:space="preserve"> </w:t>
        </w:r>
        <w:r w:rsidR="00902DD1" w:rsidRPr="00902DD1">
          <w:rPr>
            <w:rFonts w:cs="Arial"/>
            <w:noProof/>
            <w:szCs w:val="18"/>
          </w:rPr>
          <w:t>et al. 2001</w:t>
        </w:r>
      </w:hyperlink>
      <w:r w:rsidR="00902DD1" w:rsidRPr="00902DD1">
        <w:rPr>
          <w:rFonts w:cs="Arial"/>
          <w:noProof/>
          <w:szCs w:val="18"/>
        </w:rPr>
        <w:t>)</w:t>
      </w:r>
      <w:r w:rsidR="00902DD1" w:rsidRPr="00902DD1">
        <w:rPr>
          <w:rFonts w:cs="Arial"/>
          <w:szCs w:val="18"/>
        </w:rPr>
        <w:fldChar w:fldCharType="end"/>
      </w:r>
      <w:r w:rsidR="00902DD1" w:rsidRPr="00902DD1">
        <w:rPr>
          <w:rFonts w:cs="Arial"/>
          <w:szCs w:val="18"/>
        </w:rPr>
        <w:t xml:space="preserve">. The “hot” stream (or flow) of preheated water is fed downwards through the internal pipe, reaching out at the </w:t>
      </w:r>
      <w:r w:rsidRPr="00902DD1">
        <w:rPr>
          <w:rFonts w:cs="Arial"/>
          <w:szCs w:val="18"/>
        </w:rPr>
        <w:t xml:space="preserve">nozzle </w:t>
      </w:r>
      <w:r w:rsidR="00902DD1" w:rsidRPr="00902DD1">
        <w:rPr>
          <w:rFonts w:cs="Arial"/>
          <w:szCs w:val="18"/>
        </w:rPr>
        <w:t>exit</w:t>
      </w:r>
      <w:r w:rsidR="00095443">
        <w:rPr>
          <w:rFonts w:cs="Arial"/>
          <w:szCs w:val="18"/>
        </w:rPr>
        <w:t xml:space="preserve"> inside the external pipe</w:t>
      </w:r>
      <w:r w:rsidR="00902DD1" w:rsidRPr="00902DD1">
        <w:rPr>
          <w:rFonts w:cs="Arial"/>
          <w:szCs w:val="18"/>
        </w:rPr>
        <w:t xml:space="preserve">. The “cold” stream is fed upwards through the </w:t>
      </w:r>
      <w:r w:rsidR="00095443">
        <w:rPr>
          <w:rFonts w:cs="Arial"/>
          <w:szCs w:val="18"/>
        </w:rPr>
        <w:t>external</w:t>
      </w:r>
      <w:r w:rsidR="00902DD1" w:rsidRPr="00902DD1">
        <w:rPr>
          <w:rFonts w:cs="Arial"/>
          <w:szCs w:val="18"/>
        </w:rPr>
        <w:t xml:space="preserve"> pipe. The reactor outlet is </w:t>
      </w:r>
      <w:r w:rsidR="00095443">
        <w:rPr>
          <w:rFonts w:cs="Arial"/>
          <w:szCs w:val="18"/>
        </w:rPr>
        <w:t>located</w:t>
      </w:r>
      <w:r w:rsidR="00902DD1" w:rsidRPr="00902DD1">
        <w:rPr>
          <w:rFonts w:cs="Arial"/>
          <w:szCs w:val="18"/>
        </w:rPr>
        <w:t xml:space="preserve"> on top of the </w:t>
      </w:r>
      <w:r w:rsidR="00095443">
        <w:rPr>
          <w:rFonts w:cs="Arial"/>
          <w:szCs w:val="18"/>
        </w:rPr>
        <w:t>external</w:t>
      </w:r>
      <w:r w:rsidR="00902DD1" w:rsidRPr="00902DD1">
        <w:rPr>
          <w:rFonts w:cs="Arial"/>
          <w:szCs w:val="18"/>
        </w:rPr>
        <w:t xml:space="preserve"> pipe, leading the reactant mixture to a </w:t>
      </w:r>
      <w:r w:rsidR="00095443">
        <w:rPr>
          <w:rFonts w:cs="Arial"/>
          <w:szCs w:val="18"/>
        </w:rPr>
        <w:t>heat exchanger (Figure 1B</w:t>
      </w:r>
      <w:r w:rsidR="00902DD1" w:rsidRPr="00902DD1">
        <w:rPr>
          <w:rFonts w:cs="Arial"/>
          <w:szCs w:val="18"/>
        </w:rPr>
        <w:t xml:space="preserve">) for </w:t>
      </w:r>
      <w:r w:rsidR="00972440">
        <w:rPr>
          <w:rFonts w:cs="Arial"/>
          <w:szCs w:val="18"/>
        </w:rPr>
        <w:t xml:space="preserve">cooling, with good potentials for </w:t>
      </w:r>
      <w:r w:rsidR="00902DD1" w:rsidRPr="00902DD1">
        <w:rPr>
          <w:rFonts w:cs="Arial"/>
          <w:szCs w:val="18"/>
        </w:rPr>
        <w:t>heat recovery</w:t>
      </w:r>
      <w:r w:rsidR="00972440">
        <w:rPr>
          <w:rFonts w:cs="Arial"/>
          <w:szCs w:val="18"/>
        </w:rPr>
        <w:t xml:space="preserve"> </w:t>
      </w:r>
      <w:proofErr w:type="gramStart"/>
      <w:r w:rsidR="00972440">
        <w:rPr>
          <w:rFonts w:cs="Arial"/>
          <w:szCs w:val="18"/>
        </w:rPr>
        <w:t>if and when</w:t>
      </w:r>
      <w:proofErr w:type="gramEnd"/>
      <w:r w:rsidR="00972440">
        <w:rPr>
          <w:rFonts w:cs="Arial"/>
          <w:szCs w:val="18"/>
        </w:rPr>
        <w:t xml:space="preserve"> needed</w:t>
      </w:r>
      <w:r w:rsidR="00902DD1" w:rsidRPr="00902DD1">
        <w:rPr>
          <w:rFonts w:cs="Arial"/>
          <w:szCs w:val="18"/>
        </w:rPr>
        <w:t>. Because of the impingement of the hot and cold streams</w:t>
      </w:r>
      <w:r w:rsidR="00972440">
        <w:rPr>
          <w:rFonts w:cs="Arial"/>
          <w:szCs w:val="18"/>
        </w:rPr>
        <w:t xml:space="preserve"> at the nozzle exit</w:t>
      </w:r>
      <w:r w:rsidR="00902DD1" w:rsidRPr="00902DD1">
        <w:rPr>
          <w:rFonts w:cs="Arial"/>
          <w:szCs w:val="18"/>
        </w:rPr>
        <w:t xml:space="preserve">, the forced counter-current mixing process is enhanced by the natural convection due to the </w:t>
      </w:r>
      <w:r w:rsidR="00972440" w:rsidRPr="00902DD1">
        <w:rPr>
          <w:rFonts w:cs="Arial"/>
          <w:szCs w:val="18"/>
        </w:rPr>
        <w:t xml:space="preserve">density </w:t>
      </w:r>
      <w:r w:rsidR="00902DD1" w:rsidRPr="00902DD1">
        <w:rPr>
          <w:rFonts w:cs="Arial"/>
          <w:szCs w:val="18"/>
        </w:rPr>
        <w:t>difference between the two steams. As a result, very good mixing and thus h</w:t>
      </w:r>
      <w:r w:rsidR="00972440">
        <w:rPr>
          <w:rFonts w:cs="Arial"/>
          <w:szCs w:val="18"/>
        </w:rPr>
        <w:t>igh heating rates can be established</w:t>
      </w:r>
      <w:r w:rsidR="00902DD1" w:rsidRPr="00902DD1">
        <w:rPr>
          <w:rFonts w:cs="Arial"/>
          <w:szCs w:val="18"/>
        </w:rPr>
        <w:t xml:space="preserve"> in the reactor. In addition, it has been </w:t>
      </w:r>
      <w:r w:rsidR="00972440">
        <w:rPr>
          <w:rFonts w:cs="Arial"/>
          <w:szCs w:val="18"/>
        </w:rPr>
        <w:t>reported</w:t>
      </w:r>
      <w:r w:rsidR="00902DD1" w:rsidRPr="00902DD1">
        <w:rPr>
          <w:rFonts w:cs="Arial"/>
          <w:szCs w:val="18"/>
        </w:rPr>
        <w:t xml:space="preserve"> that nozzle reactors developed for hydrothermal synthesis of nanoparticles </w:t>
      </w:r>
      <w:r w:rsidR="00972440">
        <w:rPr>
          <w:rFonts w:cs="Arial"/>
          <w:szCs w:val="18"/>
        </w:rPr>
        <w:t>were</w:t>
      </w:r>
      <w:r w:rsidR="00902DD1" w:rsidRPr="00902DD1">
        <w:rPr>
          <w:rFonts w:cs="Arial"/>
          <w:szCs w:val="18"/>
        </w:rPr>
        <w:t xml:space="preserve"> free from the blockage problem, even at a pilot scale of </w:t>
      </w:r>
      <w:r w:rsidR="00902DD1" w:rsidRPr="00902DD1">
        <w:rPr>
          <w:rFonts w:cs="Arial"/>
          <w:szCs w:val="18"/>
          <w:shd w:val="clear" w:color="auto" w:fill="FFFFFF"/>
        </w:rPr>
        <w:t xml:space="preserve">much higher concentrations of metal salt precursor than the laboratory scale </w:t>
      </w:r>
      <w:r w:rsidR="00902DD1" w:rsidRPr="00902DD1">
        <w:rPr>
          <w:rFonts w:cs="Arial"/>
          <w:szCs w:val="18"/>
        </w:rPr>
        <w:fldChar w:fldCharType="begin"/>
      </w:r>
      <w:r w:rsidR="00902DD1" w:rsidRPr="00902DD1">
        <w:rPr>
          <w:rFonts w:cs="Arial"/>
          <w:szCs w:val="18"/>
        </w:rPr>
        <w:instrText xml:space="preserve"> ADDIN EN.CITE &lt;EndNote&gt;&lt;Cite&gt;&lt;Author&gt;Gruar&lt;/Author&gt;&lt;Year&gt;2013&lt;/Year&gt;&lt;RecNum&gt;311&lt;/RecNum&gt;&lt;DisplayText&gt;(Gruar, Tighe et al. 2013)&lt;/DisplayText&gt;&lt;record&gt;&lt;rec-number&gt;311&lt;/rec-number&gt;&lt;foreign-keys&gt;&lt;key app="EN" db-id="zasr50xavdrdpse00atprz9rzr2vz9vap2vs" timestamp="1517840891"&gt;311&lt;/key&gt;&lt;/foreign-keys&gt;&lt;ref-type name="Journal Article"&gt;17&lt;/ref-type&gt;&lt;contributors&gt;&lt;authors&gt;&lt;author&gt;Gruar, R. I.&lt;/author&gt;&lt;author&gt;Tighe, C. J.&lt;/author&gt;&lt;author&gt;Darr, J. A.&lt;/author&gt;&lt;/authors&gt;&lt;/contributors&gt;&lt;titles&gt;&lt;title&gt;Scaling-up a confined jet reactor for the continuous hydrothermal manufacture of nanomaterials&lt;/title&gt;&lt;secondary-title&gt;Industrial and Engineering Chemistry Research&lt;/secondary-title&gt;&lt;/titles&gt;&lt;periodical&gt;&lt;full-title&gt;Industrial and Engineering Chemistry Research&lt;/full-title&gt;&lt;/periodical&gt;&lt;pages&gt;5270-5281&lt;/pages&gt;&lt;volume&gt;52&lt;/volume&gt;&lt;number&gt;15&lt;/number&gt;&lt;dates&gt;&lt;year&gt;2013&lt;/year&gt;&lt;/dates&gt;&lt;work-type&gt;Article&lt;/work-type&gt;&lt;urls&gt;&lt;related-urls&gt;&lt;url&gt;https://www.scopus.com/inward/record.uri?eid=2-s2.0-84876469190&amp;amp;doi=10.1021%2fie302567d&amp;amp;partnerID=40&amp;amp;md5=b1697f8ed921cfc74ec19eb2aeec8cc0&lt;/url&gt;&lt;/related-urls&gt;&lt;/urls&gt;&lt;electronic-resource-num&gt;10.1021/ie302567d&lt;/electronic-resource-num&gt;&lt;remote-database-name&gt;Scopus&lt;/remote-database-name&gt;&lt;/record&gt;&lt;/Cite&gt;&lt;/EndNote&gt;</w:instrText>
      </w:r>
      <w:r w:rsidR="00902DD1" w:rsidRPr="00902DD1">
        <w:rPr>
          <w:rFonts w:cs="Arial"/>
          <w:szCs w:val="18"/>
        </w:rPr>
        <w:fldChar w:fldCharType="separate"/>
      </w:r>
      <w:r w:rsidR="00902DD1" w:rsidRPr="00902DD1">
        <w:rPr>
          <w:rFonts w:cs="Arial"/>
          <w:noProof/>
          <w:szCs w:val="18"/>
        </w:rPr>
        <w:t>(</w:t>
      </w:r>
      <w:hyperlink w:anchor="_ENREF_6" w:tooltip="Gruar, 2013 #311" w:history="1">
        <w:r w:rsidR="00902DD1" w:rsidRPr="00902DD1">
          <w:rPr>
            <w:rFonts w:cs="Arial"/>
            <w:noProof/>
            <w:szCs w:val="18"/>
          </w:rPr>
          <w:t>Gruar</w:t>
        </w:r>
        <w:r w:rsidR="00A0018B">
          <w:rPr>
            <w:rFonts w:cs="Arial"/>
            <w:noProof/>
            <w:szCs w:val="18"/>
          </w:rPr>
          <w:t xml:space="preserve"> </w:t>
        </w:r>
        <w:r w:rsidR="00902DD1" w:rsidRPr="00902DD1">
          <w:rPr>
            <w:rFonts w:cs="Arial"/>
            <w:noProof/>
            <w:szCs w:val="18"/>
          </w:rPr>
          <w:t>et al. 2013</w:t>
        </w:r>
      </w:hyperlink>
      <w:r w:rsidR="00902DD1" w:rsidRPr="00902DD1">
        <w:rPr>
          <w:rFonts w:cs="Arial"/>
          <w:noProof/>
          <w:szCs w:val="18"/>
        </w:rPr>
        <w:t>)</w:t>
      </w:r>
      <w:r w:rsidR="00902DD1" w:rsidRPr="00902DD1">
        <w:rPr>
          <w:rFonts w:cs="Arial"/>
          <w:szCs w:val="18"/>
        </w:rPr>
        <w:fldChar w:fldCharType="end"/>
      </w:r>
      <w:r w:rsidR="00902DD1" w:rsidRPr="00902DD1">
        <w:rPr>
          <w:rFonts w:cs="Arial"/>
          <w:szCs w:val="18"/>
        </w:rPr>
        <w:t xml:space="preserve">. </w:t>
      </w:r>
    </w:p>
    <w:p w14:paraId="78BE7E96" w14:textId="77777777" w:rsidR="00902DD1" w:rsidRPr="00902DD1" w:rsidRDefault="00902DD1" w:rsidP="00902DD1">
      <w:pPr>
        <w:keepNext/>
        <w:numPr>
          <w:ilvl w:val="1"/>
          <w:numId w:val="23"/>
        </w:numPr>
        <w:tabs>
          <w:tab w:val="clear" w:pos="7100"/>
        </w:tabs>
        <w:suppressAutoHyphens/>
        <w:spacing w:before="120" w:after="120" w:line="240" w:lineRule="auto"/>
        <w:jc w:val="left"/>
        <w:rPr>
          <w:rFonts w:cs="Arial"/>
          <w:b/>
          <w:szCs w:val="18"/>
          <w:lang w:val="en-US"/>
        </w:rPr>
      </w:pPr>
      <w:r w:rsidRPr="00902DD1">
        <w:rPr>
          <w:rFonts w:cs="Arial"/>
          <w:b/>
          <w:szCs w:val="18"/>
          <w:lang w:val="en-US"/>
        </w:rPr>
        <w:t>Experimental setup for fast HTL</w:t>
      </w:r>
    </w:p>
    <w:p w14:paraId="2F6FCAF5" w14:textId="4EBE3B54" w:rsidR="00902DD1" w:rsidRPr="00902DD1" w:rsidRDefault="008D5A18" w:rsidP="007A2D79">
      <w:pPr>
        <w:tabs>
          <w:tab w:val="left" w:pos="284"/>
          <w:tab w:val="left" w:pos="720"/>
        </w:tabs>
        <w:rPr>
          <w:rFonts w:cs="Arial"/>
          <w:szCs w:val="18"/>
        </w:rPr>
      </w:pPr>
      <w:r w:rsidRPr="00902DD1">
        <w:rPr>
          <w:rFonts w:cs="Arial"/>
          <w:szCs w:val="18"/>
        </w:rPr>
        <w:t>Figure 2 schematically</w:t>
      </w:r>
      <w:r>
        <w:rPr>
          <w:rFonts w:cs="Arial"/>
          <w:szCs w:val="18"/>
        </w:rPr>
        <w:t xml:space="preserve"> </w:t>
      </w:r>
      <w:r w:rsidR="008F311D">
        <w:rPr>
          <w:rFonts w:cs="Arial"/>
          <w:szCs w:val="18"/>
        </w:rPr>
        <w:t>presents</w:t>
      </w:r>
      <w:r>
        <w:rPr>
          <w:rFonts w:cs="Arial"/>
          <w:szCs w:val="18"/>
        </w:rPr>
        <w:t xml:space="preserve"> the </w:t>
      </w:r>
      <w:r w:rsidR="00902DD1" w:rsidRPr="00902DD1">
        <w:rPr>
          <w:rFonts w:cs="Arial"/>
          <w:szCs w:val="18"/>
        </w:rPr>
        <w:t xml:space="preserve">lab-scale continuous flow reaction system including a nozzle reactor developed at the Department of Energy and Process Engineering, Norwegian University of Science and </w:t>
      </w:r>
      <w:r w:rsidR="00902DD1" w:rsidRPr="00902DD1">
        <w:rPr>
          <w:rFonts w:cs="Arial"/>
          <w:szCs w:val="18"/>
        </w:rPr>
        <w:lastRenderedPageBreak/>
        <w:t xml:space="preserve">Technology (NTNU) for fast HTL of </w:t>
      </w:r>
      <w:r>
        <w:rPr>
          <w:rFonts w:cs="Arial"/>
          <w:szCs w:val="18"/>
        </w:rPr>
        <w:t>biomass</w:t>
      </w:r>
      <w:r w:rsidR="00902DD1" w:rsidRPr="00902DD1">
        <w:rPr>
          <w:rFonts w:cs="Arial"/>
          <w:szCs w:val="18"/>
        </w:rPr>
        <w:t xml:space="preserve">. The heart of the reaction system is a </w:t>
      </w:r>
      <w:r w:rsidR="00902DD1" w:rsidRPr="00902DD1">
        <w:rPr>
          <w:rFonts w:cs="Arial"/>
          <w:i/>
          <w:szCs w:val="18"/>
        </w:rPr>
        <w:t>nozzle reactor</w:t>
      </w:r>
      <w:r w:rsidR="00902DD1" w:rsidRPr="00902DD1">
        <w:rPr>
          <w:rFonts w:cs="Arial"/>
          <w:szCs w:val="18"/>
        </w:rPr>
        <w:t xml:space="preserve"> located in the middle. The </w:t>
      </w:r>
      <w:r w:rsidR="00902DD1" w:rsidRPr="00902DD1">
        <w:rPr>
          <w:rFonts w:cs="Arial"/>
          <w:i/>
          <w:szCs w:val="18"/>
        </w:rPr>
        <w:t>Tubular Furnace</w:t>
      </w:r>
      <w:r w:rsidR="00902DD1" w:rsidRPr="00902DD1">
        <w:rPr>
          <w:rFonts w:cs="Arial"/>
          <w:szCs w:val="18"/>
        </w:rPr>
        <w:t xml:space="preserve"> is employed to preheat water by means of a double-coil unit capable of producing two separate streams of hot water. One of these streams (</w:t>
      </w:r>
      <w:r w:rsidR="00902DD1" w:rsidRPr="00902DD1">
        <w:rPr>
          <w:rFonts w:cs="Arial"/>
          <w:i/>
          <w:szCs w:val="18"/>
        </w:rPr>
        <w:t>the hot stream</w:t>
      </w:r>
      <w:r w:rsidR="00902DD1" w:rsidRPr="00902DD1">
        <w:rPr>
          <w:rFonts w:cs="Arial"/>
          <w:szCs w:val="18"/>
        </w:rPr>
        <w:t xml:space="preserve">) is fed into the reactor by </w:t>
      </w:r>
      <w:r w:rsidR="00902DD1" w:rsidRPr="00902DD1">
        <w:rPr>
          <w:rFonts w:cs="Arial"/>
          <w:i/>
          <w:szCs w:val="18"/>
        </w:rPr>
        <w:t>Pump 1</w:t>
      </w:r>
      <w:r w:rsidR="00902DD1" w:rsidRPr="00902DD1">
        <w:rPr>
          <w:rFonts w:cs="Arial"/>
          <w:szCs w:val="18"/>
        </w:rPr>
        <w:t xml:space="preserve"> to heat up the cold stream upon impinging and mixing of the two streams at the nozzle exit. The other is for external heating of the reactor, compensating the heat loss to the surrounding. The high pressure and high viscosity </w:t>
      </w:r>
      <w:r w:rsidR="00902DD1" w:rsidRPr="00902DD1">
        <w:rPr>
          <w:rFonts w:cs="Arial"/>
          <w:i/>
          <w:szCs w:val="18"/>
        </w:rPr>
        <w:t>Syringe Pump</w:t>
      </w:r>
      <w:r w:rsidR="00902DD1" w:rsidRPr="00902DD1">
        <w:rPr>
          <w:rFonts w:cs="Arial"/>
          <w:szCs w:val="18"/>
        </w:rPr>
        <w:t xml:space="preserve"> (</w:t>
      </w:r>
      <w:r w:rsidR="00902DD1" w:rsidRPr="00902DD1">
        <w:rPr>
          <w:rFonts w:cs="Arial"/>
          <w:bCs/>
          <w:szCs w:val="18"/>
          <w:lang w:eastAsia="nb-NO"/>
        </w:rPr>
        <w:t>TELEDYNE ISCO 60-5364-229 Modell 500 HV)</w:t>
      </w:r>
      <w:r w:rsidR="00902DD1" w:rsidRPr="00902DD1">
        <w:rPr>
          <w:rFonts w:cs="Arial"/>
          <w:szCs w:val="18"/>
        </w:rPr>
        <w:t xml:space="preserve"> </w:t>
      </w:r>
      <w:proofErr w:type="gramStart"/>
      <w:r w:rsidR="00902DD1" w:rsidRPr="00902DD1">
        <w:rPr>
          <w:rFonts w:cs="Arial"/>
          <w:szCs w:val="18"/>
        </w:rPr>
        <w:t>is</w:t>
      </w:r>
      <w:proofErr w:type="gramEnd"/>
      <w:r w:rsidR="00902DD1" w:rsidRPr="00902DD1">
        <w:rPr>
          <w:rFonts w:cs="Arial"/>
          <w:szCs w:val="18"/>
        </w:rPr>
        <w:t xml:space="preserve"> used for feeding biomass slurry to the reactor. The system pressure is controlled by the </w:t>
      </w:r>
      <w:r w:rsidR="00902DD1" w:rsidRPr="00902DD1">
        <w:rPr>
          <w:rFonts w:cs="Arial"/>
          <w:i/>
          <w:szCs w:val="18"/>
        </w:rPr>
        <w:t>Back Pressure Regulator</w:t>
      </w:r>
      <w:r w:rsidR="00902DD1" w:rsidRPr="00902DD1">
        <w:rPr>
          <w:rFonts w:cs="Arial"/>
          <w:szCs w:val="18"/>
        </w:rPr>
        <w:t xml:space="preserve"> (BPR) connected directly to </w:t>
      </w:r>
      <w:r w:rsidR="00902DD1" w:rsidRPr="00902DD1">
        <w:rPr>
          <w:rFonts w:cs="Arial"/>
          <w:i/>
          <w:szCs w:val="18"/>
        </w:rPr>
        <w:t>Vessel 1</w:t>
      </w:r>
      <w:r w:rsidR="00902DD1" w:rsidRPr="00902DD1">
        <w:rPr>
          <w:rFonts w:cs="Arial"/>
          <w:szCs w:val="18"/>
        </w:rPr>
        <w:t xml:space="preserve">. In addition to Vessel 1, which acts as a flash tank for gas-liquid separation, </w:t>
      </w:r>
      <w:r w:rsidR="00902DD1" w:rsidRPr="00902DD1">
        <w:rPr>
          <w:rFonts w:cs="Arial"/>
          <w:i/>
          <w:szCs w:val="18"/>
        </w:rPr>
        <w:t>Vessel 2</w:t>
      </w:r>
      <w:r w:rsidR="00902DD1" w:rsidRPr="00902DD1">
        <w:rPr>
          <w:rFonts w:cs="Arial"/>
          <w:szCs w:val="18"/>
        </w:rPr>
        <w:t xml:space="preserve"> is introduced into the system to make it possible for continuous operation of the system with respect to product removal at high pressures. The initial pressure required to boot the BPR at start is provided by the nitrogen gas cylinder directly connected to </w:t>
      </w:r>
      <w:r w:rsidR="00902DD1" w:rsidRPr="00902DD1">
        <w:rPr>
          <w:rFonts w:cs="Arial"/>
          <w:i/>
          <w:szCs w:val="18"/>
        </w:rPr>
        <w:t>Vessel 2</w:t>
      </w:r>
      <w:r w:rsidR="00902DD1" w:rsidRPr="00902DD1">
        <w:rPr>
          <w:rFonts w:cs="Arial"/>
          <w:szCs w:val="1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7"/>
      </w:tblGrid>
      <w:tr w:rsidR="00902DD1" w:rsidRPr="00902DD1" w14:paraId="5536B17A" w14:textId="77777777" w:rsidTr="00245E66">
        <w:tc>
          <w:tcPr>
            <w:tcW w:w="9779" w:type="dxa"/>
          </w:tcPr>
          <w:p w14:paraId="6EC9F7DC" w14:textId="0530946C" w:rsidR="00902DD1" w:rsidRPr="00902DD1" w:rsidRDefault="00774873" w:rsidP="004F6BA7">
            <w:pPr>
              <w:tabs>
                <w:tab w:val="left" w:pos="0"/>
              </w:tabs>
              <w:spacing w:after="120"/>
              <w:jc w:val="left"/>
              <w:rPr>
                <w:rFonts w:cs="Arial"/>
                <w:szCs w:val="18"/>
              </w:rPr>
            </w:pPr>
            <w:r w:rsidRPr="00774873">
              <w:rPr>
                <w:rFonts w:cs="Arial"/>
                <w:noProof/>
                <w:szCs w:val="18"/>
              </w:rPr>
              <w:drawing>
                <wp:inline distT="0" distB="0" distL="0" distR="0" wp14:anchorId="55B27638" wp14:editId="422E35A7">
                  <wp:extent cx="4700587" cy="3101340"/>
                  <wp:effectExtent l="0" t="0" r="508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5360" cy="3137478"/>
                          </a:xfrm>
                          <a:prstGeom prst="rect">
                            <a:avLst/>
                          </a:prstGeom>
                          <a:noFill/>
                          <a:ln>
                            <a:noFill/>
                          </a:ln>
                        </pic:spPr>
                      </pic:pic>
                    </a:graphicData>
                  </a:graphic>
                </wp:inline>
              </w:drawing>
            </w:r>
          </w:p>
        </w:tc>
      </w:tr>
    </w:tbl>
    <w:p w14:paraId="2E436738" w14:textId="77777777" w:rsidR="00902DD1" w:rsidRPr="00902DD1" w:rsidRDefault="00902DD1" w:rsidP="004F6BA7">
      <w:pPr>
        <w:tabs>
          <w:tab w:val="left" w:pos="0"/>
        </w:tabs>
        <w:spacing w:after="120"/>
        <w:jc w:val="left"/>
        <w:rPr>
          <w:rFonts w:cs="Arial"/>
          <w:i/>
          <w:szCs w:val="18"/>
        </w:rPr>
      </w:pPr>
      <w:r w:rsidRPr="00902DD1">
        <w:rPr>
          <w:rFonts w:cs="Arial"/>
          <w:i/>
          <w:szCs w:val="18"/>
        </w:rPr>
        <w:t>Figure 2:  Schematic diagram of the fast HTL reaction system developed at NTNU</w:t>
      </w:r>
    </w:p>
    <w:p w14:paraId="6ADB9746" w14:textId="77777777" w:rsidR="00902DD1" w:rsidRPr="00902DD1" w:rsidRDefault="00902DD1" w:rsidP="00902DD1">
      <w:pPr>
        <w:keepNext/>
        <w:numPr>
          <w:ilvl w:val="1"/>
          <w:numId w:val="23"/>
        </w:numPr>
        <w:tabs>
          <w:tab w:val="clear" w:pos="7100"/>
        </w:tabs>
        <w:suppressAutoHyphens/>
        <w:spacing w:before="120" w:after="120" w:line="240" w:lineRule="auto"/>
        <w:jc w:val="left"/>
        <w:rPr>
          <w:rFonts w:cs="Arial"/>
          <w:b/>
          <w:szCs w:val="18"/>
          <w:lang w:val="en-US"/>
        </w:rPr>
      </w:pPr>
      <w:r w:rsidRPr="00902DD1">
        <w:rPr>
          <w:rFonts w:cs="Arial"/>
          <w:b/>
          <w:szCs w:val="18"/>
          <w:lang w:val="en-US"/>
        </w:rPr>
        <w:t>Biomass sample and emulsification method</w:t>
      </w:r>
    </w:p>
    <w:p w14:paraId="054740A9" w14:textId="47A1B266" w:rsidR="00902DD1" w:rsidRPr="00902DD1" w:rsidRDefault="00902DD1" w:rsidP="00902DD1">
      <w:pPr>
        <w:tabs>
          <w:tab w:val="left" w:pos="284"/>
          <w:tab w:val="left" w:pos="720"/>
        </w:tabs>
        <w:spacing w:after="120"/>
        <w:rPr>
          <w:rFonts w:cs="Arial"/>
          <w:szCs w:val="18"/>
          <w:lang w:eastAsia="nb-NO"/>
        </w:rPr>
      </w:pPr>
      <w:r w:rsidRPr="00902DD1">
        <w:rPr>
          <w:rFonts w:cs="Arial"/>
          <w:szCs w:val="18"/>
        </w:rPr>
        <w:t>Solid lignin residue from steam explosion for 2</w:t>
      </w:r>
      <w:r w:rsidRPr="00902DD1">
        <w:rPr>
          <w:rFonts w:cs="Arial"/>
          <w:szCs w:val="18"/>
          <w:vertAlign w:val="superscript"/>
        </w:rPr>
        <w:t>nd</w:t>
      </w:r>
      <w:r w:rsidRPr="00902DD1">
        <w:rPr>
          <w:rFonts w:cs="Arial"/>
          <w:szCs w:val="18"/>
        </w:rPr>
        <w:t xml:space="preserve"> generation bioethanol production was obtained from </w:t>
      </w:r>
      <w:bookmarkStart w:id="0" w:name="_Hlk95914701"/>
      <w:proofErr w:type="spellStart"/>
      <w:r w:rsidRPr="00902DD1">
        <w:rPr>
          <w:rFonts w:cs="Arial"/>
          <w:szCs w:val="18"/>
        </w:rPr>
        <w:t>Sekab</w:t>
      </w:r>
      <w:proofErr w:type="spellEnd"/>
      <w:r w:rsidRPr="00902DD1">
        <w:rPr>
          <w:rFonts w:cs="Arial"/>
          <w:szCs w:val="18"/>
        </w:rPr>
        <w:t xml:space="preserve"> AB in </w:t>
      </w:r>
      <w:proofErr w:type="spellStart"/>
      <w:r w:rsidRPr="00902DD1">
        <w:rPr>
          <w:rFonts w:cs="Arial"/>
          <w:szCs w:val="18"/>
        </w:rPr>
        <w:t>Örnsköldsvik</w:t>
      </w:r>
      <w:proofErr w:type="spellEnd"/>
      <w:r w:rsidRPr="00902DD1">
        <w:rPr>
          <w:rFonts w:cs="Arial"/>
          <w:szCs w:val="18"/>
        </w:rPr>
        <w:t>, Sweden</w:t>
      </w:r>
      <w:bookmarkEnd w:id="0"/>
      <w:r w:rsidRPr="00902DD1">
        <w:rPr>
          <w:rFonts w:cs="Arial"/>
          <w:szCs w:val="18"/>
        </w:rPr>
        <w:t xml:space="preserve">, and used as </w:t>
      </w:r>
      <w:r w:rsidR="000B5F91">
        <w:rPr>
          <w:rFonts w:cs="Arial"/>
          <w:szCs w:val="18"/>
        </w:rPr>
        <w:t>feedstock</w:t>
      </w:r>
      <w:r w:rsidRPr="00902DD1">
        <w:rPr>
          <w:rFonts w:cs="Arial"/>
          <w:szCs w:val="18"/>
        </w:rPr>
        <w:t xml:space="preserve"> for the present study. The lignin powder sample was dried in a muffle furnace at 105</w:t>
      </w:r>
      <w:r w:rsidRPr="00902DD1">
        <w:rPr>
          <w:rFonts w:cs="Arial"/>
          <w:szCs w:val="18"/>
          <w:vertAlign w:val="superscript"/>
        </w:rPr>
        <w:t>o</w:t>
      </w:r>
      <w:r w:rsidRPr="00902DD1">
        <w:rPr>
          <w:rFonts w:cs="Arial"/>
          <w:szCs w:val="18"/>
        </w:rPr>
        <w:t xml:space="preserve">C for 24 hours and then milled to reduce the particle size.  Lignin powders with a particles size smaller than </w:t>
      </w:r>
      <w:r w:rsidRPr="00902DD1">
        <w:rPr>
          <w:rFonts w:cs="Arial"/>
          <w:bCs/>
          <w:szCs w:val="18"/>
        </w:rPr>
        <w:t>125 µm</w:t>
      </w:r>
      <w:r w:rsidRPr="00902DD1">
        <w:rPr>
          <w:rFonts w:cs="Arial"/>
          <w:szCs w:val="18"/>
        </w:rPr>
        <w:t xml:space="preserve"> were obtained for an emulsification study</w:t>
      </w:r>
      <w:r w:rsidR="000B5F91">
        <w:rPr>
          <w:rFonts w:cs="Arial"/>
          <w:szCs w:val="18"/>
        </w:rPr>
        <w:t>. A</w:t>
      </w:r>
      <w:r w:rsidRPr="00902DD1">
        <w:rPr>
          <w:rFonts w:cs="Arial"/>
          <w:szCs w:val="18"/>
        </w:rPr>
        <w:t xml:space="preserve"> </w:t>
      </w:r>
      <w:r w:rsidR="00A0018B" w:rsidRPr="00902DD1">
        <w:rPr>
          <w:rFonts w:cs="Arial"/>
          <w:szCs w:val="18"/>
        </w:rPr>
        <w:t>low-cost</w:t>
      </w:r>
      <w:r w:rsidRPr="00902DD1">
        <w:rPr>
          <w:rFonts w:cs="Arial"/>
          <w:szCs w:val="18"/>
        </w:rPr>
        <w:t xml:space="preserve"> vege</w:t>
      </w:r>
      <w:r w:rsidR="000B5F91">
        <w:rPr>
          <w:rFonts w:cs="Arial"/>
          <w:szCs w:val="18"/>
        </w:rPr>
        <w:t>table cooking oil from Rema1000</w:t>
      </w:r>
      <w:r w:rsidRPr="00902DD1">
        <w:rPr>
          <w:rFonts w:cs="Arial"/>
          <w:szCs w:val="18"/>
        </w:rPr>
        <w:t xml:space="preserve"> and pyrolysis oil </w:t>
      </w:r>
      <w:r w:rsidR="000B5F91">
        <w:rPr>
          <w:rFonts w:cs="Arial"/>
          <w:szCs w:val="18"/>
        </w:rPr>
        <w:t xml:space="preserve">was tested </w:t>
      </w:r>
      <w:r w:rsidRPr="00902DD1">
        <w:rPr>
          <w:rFonts w:cs="Arial"/>
          <w:szCs w:val="18"/>
        </w:rPr>
        <w:t xml:space="preserve">as emulsifier. Since the mass ratio of emulsifier over lignin </w:t>
      </w:r>
      <w:r w:rsidR="000B5F91">
        <w:rPr>
          <w:rFonts w:cs="Arial"/>
          <w:szCs w:val="18"/>
        </w:rPr>
        <w:t>should be as small as possible</w:t>
      </w:r>
      <w:r w:rsidRPr="00902DD1">
        <w:rPr>
          <w:rFonts w:cs="Arial"/>
          <w:szCs w:val="18"/>
        </w:rPr>
        <w:t xml:space="preserve">, </w:t>
      </w:r>
      <w:r w:rsidR="000B5F91">
        <w:rPr>
          <w:rFonts w:cs="Arial"/>
          <w:szCs w:val="18"/>
        </w:rPr>
        <w:t xml:space="preserve">the </w:t>
      </w:r>
      <w:r w:rsidRPr="00902DD1">
        <w:rPr>
          <w:rFonts w:cs="Arial"/>
          <w:szCs w:val="18"/>
        </w:rPr>
        <w:t>emulsifier</w:t>
      </w:r>
      <w:r w:rsidR="000B5F91">
        <w:rPr>
          <w:rFonts w:cs="Arial"/>
          <w:szCs w:val="18"/>
        </w:rPr>
        <w:t>s</w:t>
      </w:r>
      <w:r w:rsidRPr="00902DD1">
        <w:rPr>
          <w:rFonts w:cs="Arial"/>
          <w:szCs w:val="18"/>
        </w:rPr>
        <w:t xml:space="preserve"> </w:t>
      </w:r>
      <w:r w:rsidR="000B5F91">
        <w:rPr>
          <w:rFonts w:cs="Arial"/>
          <w:szCs w:val="18"/>
        </w:rPr>
        <w:t>were</w:t>
      </w:r>
      <w:r w:rsidRPr="00902DD1">
        <w:rPr>
          <w:rFonts w:cs="Arial"/>
          <w:szCs w:val="18"/>
        </w:rPr>
        <w:t xml:space="preserve"> dissolved in methanol before mixing with lignin powders in a mortar. The mixture of lignin powders soaked with emulsifier in methanol </w:t>
      </w:r>
      <w:r w:rsidR="000B5F91">
        <w:rPr>
          <w:rFonts w:cs="Arial"/>
          <w:szCs w:val="18"/>
        </w:rPr>
        <w:t>was</w:t>
      </w:r>
      <w:r w:rsidRPr="00902DD1">
        <w:rPr>
          <w:rFonts w:cs="Arial"/>
          <w:szCs w:val="18"/>
        </w:rPr>
        <w:t xml:space="preserve"> then dried and milled again before preparing emulsion or slurry solutions of </w:t>
      </w:r>
      <w:r w:rsidR="000B5F91">
        <w:rPr>
          <w:rFonts w:cs="Arial"/>
          <w:szCs w:val="18"/>
          <w:lang w:eastAsia="nb-NO"/>
        </w:rPr>
        <w:t xml:space="preserve">20 </w:t>
      </w:r>
      <w:proofErr w:type="spellStart"/>
      <w:r w:rsidR="000B5F91">
        <w:rPr>
          <w:rFonts w:cs="Arial"/>
          <w:szCs w:val="18"/>
          <w:lang w:eastAsia="nb-NO"/>
        </w:rPr>
        <w:t>wt</w:t>
      </w:r>
      <w:proofErr w:type="spellEnd"/>
      <w:r w:rsidR="000B5F91">
        <w:rPr>
          <w:rFonts w:cs="Arial"/>
          <w:szCs w:val="18"/>
          <w:lang w:eastAsia="nb-NO"/>
        </w:rPr>
        <w:t xml:space="preserve"> % of </w:t>
      </w:r>
      <w:r w:rsidRPr="00902DD1">
        <w:rPr>
          <w:rFonts w:cs="Arial"/>
          <w:szCs w:val="18"/>
          <w:lang w:eastAsia="nb-NO"/>
        </w:rPr>
        <w:t>lignin</w:t>
      </w:r>
      <w:r w:rsidR="000B5F91">
        <w:rPr>
          <w:rFonts w:cs="Arial"/>
          <w:szCs w:val="18"/>
          <w:lang w:eastAsia="nb-NO"/>
        </w:rPr>
        <w:t xml:space="preserve"> with emulsifier</w:t>
      </w:r>
      <w:r w:rsidRPr="00902DD1">
        <w:rPr>
          <w:rFonts w:cs="Arial"/>
          <w:szCs w:val="18"/>
          <w:lang w:eastAsia="nb-NO"/>
        </w:rPr>
        <w:t xml:space="preserve"> in water</w:t>
      </w:r>
      <w:r w:rsidRPr="00902DD1">
        <w:rPr>
          <w:rFonts w:cs="Arial"/>
          <w:szCs w:val="18"/>
        </w:rPr>
        <w:t xml:space="preserve">.  The study </w:t>
      </w:r>
      <w:r w:rsidRPr="00902DD1">
        <w:rPr>
          <w:rFonts w:cs="Arial"/>
          <w:szCs w:val="18"/>
          <w:lang w:eastAsia="nb-NO"/>
        </w:rPr>
        <w:t>was carried out using 50 mL scaled transparent polypropylene tubes, which allow</w:t>
      </w:r>
      <w:r w:rsidR="000B5F91">
        <w:rPr>
          <w:rFonts w:cs="Arial"/>
          <w:szCs w:val="18"/>
          <w:lang w:eastAsia="nb-NO"/>
        </w:rPr>
        <w:t>ed</w:t>
      </w:r>
      <w:r w:rsidRPr="00902DD1">
        <w:rPr>
          <w:rFonts w:cs="Arial"/>
          <w:szCs w:val="18"/>
          <w:lang w:eastAsia="nb-NO"/>
        </w:rPr>
        <w:t xml:space="preserve"> visual inspection and measurement of the settling time and segregation between the liquid (water) and solid (lignin particles) within two hours. </w:t>
      </w:r>
    </w:p>
    <w:p w14:paraId="198839FC" w14:textId="77777777" w:rsidR="00902DD1" w:rsidRPr="00902DD1" w:rsidRDefault="00902DD1" w:rsidP="00902DD1">
      <w:pPr>
        <w:spacing w:before="240" w:after="120"/>
        <w:rPr>
          <w:rFonts w:cs="Arial"/>
          <w:b/>
          <w:sz w:val="20"/>
        </w:rPr>
      </w:pPr>
      <w:r w:rsidRPr="00902DD1">
        <w:rPr>
          <w:rFonts w:cs="Arial"/>
          <w:b/>
          <w:sz w:val="20"/>
        </w:rPr>
        <w:t xml:space="preserve">3. Results and discussion </w:t>
      </w:r>
    </w:p>
    <w:p w14:paraId="1A2540EE" w14:textId="77777777" w:rsidR="00902DD1" w:rsidRPr="00902DD1" w:rsidRDefault="00902DD1" w:rsidP="00902DD1">
      <w:pPr>
        <w:keepNext/>
        <w:numPr>
          <w:ilvl w:val="1"/>
          <w:numId w:val="24"/>
        </w:numPr>
        <w:tabs>
          <w:tab w:val="clear" w:pos="7100"/>
        </w:tabs>
        <w:suppressAutoHyphens/>
        <w:spacing w:before="120" w:after="120" w:line="240" w:lineRule="auto"/>
        <w:jc w:val="left"/>
        <w:rPr>
          <w:rFonts w:cs="Arial"/>
          <w:b/>
          <w:szCs w:val="18"/>
          <w:lang w:val="en-US"/>
        </w:rPr>
      </w:pPr>
      <w:r w:rsidRPr="00902DD1">
        <w:rPr>
          <w:rFonts w:cs="Arial"/>
          <w:b/>
          <w:szCs w:val="18"/>
          <w:lang w:val="en-US"/>
        </w:rPr>
        <w:t>Emulsification study and pumping test</w:t>
      </w:r>
    </w:p>
    <w:p w14:paraId="73BBF314" w14:textId="0EFADF5E" w:rsidR="00902DD1" w:rsidRPr="00902DD1" w:rsidRDefault="00902DD1" w:rsidP="002613A4">
      <w:pPr>
        <w:tabs>
          <w:tab w:val="left" w:pos="284"/>
          <w:tab w:val="left" w:pos="720"/>
        </w:tabs>
        <w:spacing w:before="120" w:after="120"/>
        <w:rPr>
          <w:rFonts w:cs="Arial"/>
          <w:szCs w:val="18"/>
          <w:lang w:eastAsia="nb-NO"/>
        </w:rPr>
      </w:pPr>
      <w:r w:rsidRPr="00902DD1">
        <w:rPr>
          <w:rFonts w:cs="Arial"/>
          <w:szCs w:val="18"/>
          <w:lang w:eastAsia="nb-NO"/>
        </w:rPr>
        <w:t xml:space="preserve">Figure 3 presents the effect of addition 2.5 </w:t>
      </w:r>
      <w:proofErr w:type="spellStart"/>
      <w:r w:rsidRPr="00902DD1">
        <w:rPr>
          <w:rFonts w:cs="Arial"/>
          <w:szCs w:val="18"/>
          <w:lang w:eastAsia="nb-NO"/>
        </w:rPr>
        <w:t>wt</w:t>
      </w:r>
      <w:proofErr w:type="spellEnd"/>
      <w:r w:rsidRPr="00902DD1">
        <w:rPr>
          <w:rFonts w:cs="Arial"/>
          <w:szCs w:val="18"/>
          <w:lang w:eastAsia="nb-NO"/>
        </w:rPr>
        <w:t xml:space="preserve"> % of cooking or pyrolysis oil as emulsifier on the settling time and distance of slurry solutions containing 20 wt. % lignin in water. The addition of both pyrolysis oil and cooking oil as emulsifier appear</w:t>
      </w:r>
      <w:r w:rsidR="008F311D">
        <w:rPr>
          <w:rFonts w:cs="Arial"/>
          <w:szCs w:val="18"/>
          <w:lang w:eastAsia="nb-NO"/>
        </w:rPr>
        <w:t>s</w:t>
      </w:r>
      <w:r w:rsidRPr="00902DD1">
        <w:rPr>
          <w:rFonts w:cs="Arial"/>
          <w:szCs w:val="18"/>
          <w:lang w:eastAsia="nb-NO"/>
        </w:rPr>
        <w:t xml:space="preserve"> to have positive effect</w:t>
      </w:r>
      <w:r w:rsidR="008F311D">
        <w:rPr>
          <w:rFonts w:cs="Arial"/>
          <w:szCs w:val="18"/>
          <w:lang w:eastAsia="nb-NO"/>
        </w:rPr>
        <w:t>s</w:t>
      </w:r>
      <w:r w:rsidRPr="00902DD1">
        <w:rPr>
          <w:rFonts w:cs="Arial"/>
          <w:szCs w:val="18"/>
          <w:lang w:eastAsia="nb-NO"/>
        </w:rPr>
        <w:t xml:space="preserve"> on the settling time</w:t>
      </w:r>
      <w:r w:rsidR="00FE70AF">
        <w:rPr>
          <w:rFonts w:cs="Arial"/>
          <w:szCs w:val="18"/>
          <w:lang w:eastAsia="nb-NO"/>
        </w:rPr>
        <w:t>, which is inversely proportional to the settling distance</w:t>
      </w:r>
      <w:r w:rsidRPr="00902DD1">
        <w:rPr>
          <w:rFonts w:cs="Arial"/>
          <w:szCs w:val="18"/>
          <w:lang w:eastAsia="nb-NO"/>
        </w:rPr>
        <w:t>. However, cooking oil exhibited better results in slowing down the settling velocity. Therefore, cooking oil was selected for further studies, including the investigation of effect of the added amount of cooking oil emulsifier and lignin particle size on the settling time, from which the results are presented in Figure 4 and Figure 5, respectively.</w:t>
      </w:r>
      <w:r w:rsidR="004E77B3">
        <w:rPr>
          <w:rFonts w:cs="Arial"/>
          <w:szCs w:val="18"/>
          <w:lang w:eastAsia="nb-NO"/>
        </w:rPr>
        <w:t xml:space="preserve">  </w:t>
      </w:r>
      <w:proofErr w:type="gramStart"/>
      <w:r w:rsidR="004E77B3" w:rsidRPr="00902DD1">
        <w:rPr>
          <w:rFonts w:cs="Arial"/>
          <w:szCs w:val="18"/>
        </w:rPr>
        <w:t>It is interesting to see that the</w:t>
      </w:r>
      <w:proofErr w:type="gramEnd"/>
      <w:r w:rsidR="004E77B3" w:rsidRPr="00902DD1">
        <w:rPr>
          <w:rFonts w:cs="Arial"/>
          <w:szCs w:val="18"/>
        </w:rPr>
        <w:t xml:space="preserve"> settling time increases with increasing amount of emulsifier added to linin</w:t>
      </w:r>
      <w:r w:rsidR="004E77B3">
        <w:rPr>
          <w:rFonts w:cs="Arial"/>
          <w:szCs w:val="18"/>
        </w:rPr>
        <w:t xml:space="preserve"> (Figure 4)</w:t>
      </w:r>
      <w:r w:rsidR="004E77B3" w:rsidRPr="00902DD1">
        <w:rPr>
          <w:rFonts w:cs="Arial"/>
          <w:szCs w:val="18"/>
        </w:rPr>
        <w:t xml:space="preserve"> </w:t>
      </w:r>
      <w:r w:rsidR="004E77B3">
        <w:rPr>
          <w:rFonts w:cs="Arial"/>
          <w:szCs w:val="18"/>
        </w:rPr>
        <w:t>or</w:t>
      </w:r>
      <w:r w:rsidR="004E77B3" w:rsidRPr="00902DD1">
        <w:rPr>
          <w:rFonts w:cs="Arial"/>
          <w:szCs w:val="18"/>
        </w:rPr>
        <w:t xml:space="preserve"> with increasing lignin concentration</w:t>
      </w:r>
      <w:r w:rsidR="004E77B3">
        <w:rPr>
          <w:rFonts w:cs="Arial"/>
          <w:szCs w:val="18"/>
        </w:rPr>
        <w:t xml:space="preserve"> (Figure 5)</w:t>
      </w:r>
      <w:r w:rsidR="004E77B3" w:rsidRPr="00902DD1">
        <w:rPr>
          <w:rFonts w:cs="Arial"/>
          <w:szCs w:val="18"/>
        </w:rPr>
        <w:t>.</w:t>
      </w:r>
    </w:p>
    <w:p w14:paraId="46C42EF9" w14:textId="3DD68163" w:rsidR="007A2D79" w:rsidRDefault="006E0E14" w:rsidP="004F6BA7">
      <w:pPr>
        <w:tabs>
          <w:tab w:val="clear" w:pos="7100"/>
        </w:tabs>
        <w:spacing w:before="240" w:after="120" w:line="240" w:lineRule="auto"/>
        <w:contextualSpacing/>
        <w:jc w:val="left"/>
        <w:rPr>
          <w:rFonts w:cs="Arial"/>
          <w:i/>
          <w:szCs w:val="18"/>
          <w:lang w:eastAsia="nb-NO"/>
        </w:rPr>
      </w:pPr>
      <w:r>
        <w:rPr>
          <w:noProof/>
        </w:rPr>
        <w:lastRenderedPageBreak/>
        <w:drawing>
          <wp:inline distT="0" distB="0" distL="0" distR="0" wp14:anchorId="692E7E44" wp14:editId="5F411DBB">
            <wp:extent cx="4857750" cy="3090863"/>
            <wp:effectExtent l="0" t="0" r="0" b="14605"/>
            <wp:docPr id="1"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22783BC" w14:textId="77777777" w:rsidR="006513CD" w:rsidRDefault="006513CD" w:rsidP="004F6BA7">
      <w:pPr>
        <w:tabs>
          <w:tab w:val="clear" w:pos="7100"/>
        </w:tabs>
        <w:spacing w:before="240" w:after="120" w:line="240" w:lineRule="auto"/>
        <w:contextualSpacing/>
        <w:jc w:val="left"/>
        <w:rPr>
          <w:rFonts w:cs="Arial"/>
          <w:i/>
          <w:szCs w:val="18"/>
          <w:lang w:eastAsia="nb-NO"/>
        </w:rPr>
      </w:pPr>
    </w:p>
    <w:p w14:paraId="0C69304B" w14:textId="49C7D447" w:rsidR="00902DD1" w:rsidRPr="00902DD1" w:rsidRDefault="00902DD1" w:rsidP="004F6BA7">
      <w:pPr>
        <w:tabs>
          <w:tab w:val="clear" w:pos="7100"/>
        </w:tabs>
        <w:spacing w:before="240" w:after="120" w:line="240" w:lineRule="auto"/>
        <w:contextualSpacing/>
        <w:jc w:val="left"/>
        <w:rPr>
          <w:rFonts w:cs="Arial"/>
          <w:i/>
          <w:szCs w:val="18"/>
          <w:lang w:eastAsia="nb-NO"/>
        </w:rPr>
      </w:pPr>
      <w:r w:rsidRPr="00902DD1">
        <w:rPr>
          <w:rFonts w:cs="Arial"/>
          <w:i/>
          <w:szCs w:val="18"/>
          <w:lang w:eastAsia="nb-NO"/>
        </w:rPr>
        <w:t xml:space="preserve">Figure 3: Effect of emulsifier type on settling time (20 wt. % of lignin with 2.5 wt. % emulsifier of 125 µm size in water) </w:t>
      </w:r>
    </w:p>
    <w:p w14:paraId="2D8D3152" w14:textId="77777777" w:rsidR="008F311D" w:rsidRDefault="008F311D" w:rsidP="00902DD1">
      <w:pPr>
        <w:jc w:val="right"/>
        <w:rPr>
          <w:rFonts w:cs="Arial"/>
          <w:szCs w:val="18"/>
          <w:lang w:eastAsia="nb-NO"/>
        </w:rPr>
      </w:pPr>
    </w:p>
    <w:p w14:paraId="3EAC4038" w14:textId="08BAAF2D" w:rsidR="008F311D" w:rsidRDefault="008F311D" w:rsidP="008F311D">
      <w:pPr>
        <w:tabs>
          <w:tab w:val="left" w:pos="284"/>
          <w:tab w:val="left" w:pos="720"/>
        </w:tabs>
        <w:spacing w:after="120"/>
        <w:rPr>
          <w:rFonts w:cs="Arial"/>
          <w:szCs w:val="18"/>
        </w:rPr>
      </w:pPr>
      <w:r w:rsidRPr="00902DD1">
        <w:rPr>
          <w:rFonts w:cs="Arial"/>
          <w:szCs w:val="18"/>
        </w:rPr>
        <w:t>Along with the settling study, various pumping tests of the slurry solutions prepared from the lignin with different particle sizes and contents, impregnated with different amounts of cooking oil emulsifier were performed on the</w:t>
      </w:r>
      <w:r w:rsidRPr="00902DD1">
        <w:rPr>
          <w:rFonts w:cs="Arial"/>
          <w:i/>
          <w:szCs w:val="18"/>
          <w:lang w:val="en-US"/>
        </w:rPr>
        <w:t>Syringe Pump</w:t>
      </w:r>
      <w:r w:rsidRPr="00902DD1">
        <w:rPr>
          <w:rFonts w:cs="Arial"/>
          <w:szCs w:val="18"/>
          <w:lang w:val="en-US"/>
        </w:rPr>
        <w:t xml:space="preserve"> (</w:t>
      </w:r>
      <w:r w:rsidRPr="00902DD1">
        <w:rPr>
          <w:rFonts w:cs="Arial"/>
          <w:bCs/>
          <w:szCs w:val="18"/>
          <w:lang w:val="en-US" w:eastAsia="nb-NO"/>
        </w:rPr>
        <w:t>TELEDYNE ISCO 60-5364-229 Modell 500 HV)</w:t>
      </w:r>
      <w:r w:rsidRPr="00902DD1">
        <w:rPr>
          <w:rFonts w:cs="Arial"/>
          <w:szCs w:val="18"/>
          <w:lang w:val="en-US"/>
        </w:rPr>
        <w:t xml:space="preserve">. </w:t>
      </w:r>
      <w:r w:rsidRPr="00902DD1">
        <w:rPr>
          <w:rFonts w:cs="Arial"/>
          <w:szCs w:val="18"/>
        </w:rPr>
        <w:t xml:space="preserve">It is interesting to observe that there were two extreme situations when it was not possible to pump the slurry solutions. The first one was when the settling time was too short because the too small content of emulsifier used. The second and opposite extreme occurred when the concentration of emulsifier was so high that a creaming process was </w:t>
      </w:r>
      <w:proofErr w:type="gramStart"/>
      <w:r w:rsidRPr="00902DD1">
        <w:rPr>
          <w:rFonts w:cs="Arial"/>
          <w:szCs w:val="18"/>
        </w:rPr>
        <w:t>observed</w:t>
      </w:r>
      <w:proofErr w:type="gramEnd"/>
      <w:r w:rsidRPr="00902DD1">
        <w:rPr>
          <w:rFonts w:cs="Arial"/>
          <w:szCs w:val="18"/>
        </w:rPr>
        <w:t xml:space="preserve"> and it was not possible to fill up the pump with the slurry solutions. The best result for the performance tests of the pump was obtained for the slurry solution of 25 wt. % lignin, 2 wt. % cooking oil emulsifier and lignin particle size 125 µm. </w:t>
      </w:r>
    </w:p>
    <w:p w14:paraId="37A3E954" w14:textId="4D00BDAE" w:rsidR="00902DD1" w:rsidRPr="00902DD1" w:rsidRDefault="006513CD" w:rsidP="004F6BA7">
      <w:pPr>
        <w:tabs>
          <w:tab w:val="left" w:pos="284"/>
          <w:tab w:val="left" w:pos="720"/>
        </w:tabs>
        <w:spacing w:after="120"/>
        <w:jc w:val="left"/>
        <w:rPr>
          <w:rFonts w:cs="Arial"/>
          <w:szCs w:val="18"/>
          <w:lang w:eastAsia="nb-NO"/>
        </w:rPr>
      </w:pPr>
      <w:r>
        <w:rPr>
          <w:noProof/>
        </w:rPr>
        <w:drawing>
          <wp:inline distT="0" distB="0" distL="0" distR="0" wp14:anchorId="67EAA8D6" wp14:editId="4C126E11">
            <wp:extent cx="4843145" cy="3290570"/>
            <wp:effectExtent l="0" t="0" r="14605" b="5080"/>
            <wp:docPr id="4" name="Chart 4">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63B09D1" w14:textId="601E88EA" w:rsidR="00902DD1" w:rsidRPr="00902DD1" w:rsidRDefault="00902DD1" w:rsidP="004F6BA7">
      <w:pPr>
        <w:tabs>
          <w:tab w:val="clear" w:pos="7100"/>
        </w:tabs>
        <w:spacing w:line="240" w:lineRule="auto"/>
        <w:contextualSpacing/>
        <w:jc w:val="left"/>
        <w:rPr>
          <w:rFonts w:cs="Arial"/>
          <w:i/>
          <w:szCs w:val="18"/>
          <w:lang w:eastAsia="nb-NO"/>
        </w:rPr>
      </w:pPr>
      <w:r w:rsidRPr="00902DD1">
        <w:rPr>
          <w:rFonts w:cs="Arial"/>
          <w:i/>
          <w:szCs w:val="18"/>
          <w:lang w:eastAsia="nb-NO"/>
        </w:rPr>
        <w:t>Figure 4: Effect of cooking oil addition on settling time (20 wt. % of lignin of 125 µm size in water)</w:t>
      </w:r>
    </w:p>
    <w:p w14:paraId="41F469A6" w14:textId="5EB324E3" w:rsidR="00902DD1" w:rsidRPr="00902DD1" w:rsidRDefault="00185666" w:rsidP="004F6BA7">
      <w:pPr>
        <w:tabs>
          <w:tab w:val="clear" w:pos="7100"/>
        </w:tabs>
        <w:spacing w:line="240" w:lineRule="auto"/>
        <w:contextualSpacing/>
        <w:jc w:val="left"/>
        <w:rPr>
          <w:rFonts w:cs="Arial"/>
          <w:szCs w:val="18"/>
          <w:lang w:eastAsia="nb-NO"/>
        </w:rPr>
      </w:pPr>
      <w:r>
        <w:rPr>
          <w:noProof/>
        </w:rPr>
        <w:lastRenderedPageBreak/>
        <w:drawing>
          <wp:inline distT="0" distB="0" distL="0" distR="0" wp14:anchorId="68467BB7" wp14:editId="7A019996">
            <wp:extent cx="4686300" cy="3043238"/>
            <wp:effectExtent l="0" t="0" r="0" b="5080"/>
            <wp:docPr id="9" name="Chart 9">
              <a:extLst xmlns:a="http://schemas.openxmlformats.org/drawingml/2006/main">
                <a:ext uri="{FF2B5EF4-FFF2-40B4-BE49-F238E27FC236}">
                  <a16:creationId xmlns:a16="http://schemas.microsoft.com/office/drawing/2014/main" id="{00000000-0008-0000-05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885CD29" w14:textId="77777777" w:rsidR="00902DD1" w:rsidRPr="00902DD1" w:rsidRDefault="00902DD1" w:rsidP="004F6BA7">
      <w:pPr>
        <w:tabs>
          <w:tab w:val="clear" w:pos="7100"/>
        </w:tabs>
        <w:spacing w:line="240" w:lineRule="auto"/>
        <w:ind w:left="360"/>
        <w:contextualSpacing/>
        <w:jc w:val="left"/>
        <w:rPr>
          <w:rFonts w:cs="Arial"/>
          <w:szCs w:val="18"/>
          <w:lang w:eastAsia="nb-NO"/>
        </w:rPr>
      </w:pPr>
    </w:p>
    <w:p w14:paraId="201C7F27" w14:textId="77777777" w:rsidR="00902DD1" w:rsidRPr="00902DD1" w:rsidRDefault="00902DD1" w:rsidP="004F6BA7">
      <w:pPr>
        <w:tabs>
          <w:tab w:val="clear" w:pos="7100"/>
        </w:tabs>
        <w:spacing w:line="240" w:lineRule="auto"/>
        <w:contextualSpacing/>
        <w:jc w:val="left"/>
        <w:rPr>
          <w:rFonts w:cs="Arial"/>
          <w:i/>
          <w:szCs w:val="18"/>
          <w:lang w:eastAsia="nb-NO"/>
        </w:rPr>
      </w:pPr>
      <w:r w:rsidRPr="00902DD1">
        <w:rPr>
          <w:rFonts w:cs="Arial"/>
          <w:i/>
          <w:szCs w:val="18"/>
          <w:lang w:eastAsia="nb-NO"/>
        </w:rPr>
        <w:t xml:space="preserve">Figure 5: Effect of lignin content on settling time (lignin of 125 µm size in water, cooking oil emulsifier of 2.5 wt. %) </w:t>
      </w:r>
      <w:r w:rsidRPr="00902DD1">
        <w:rPr>
          <w:rFonts w:cs="Arial"/>
          <w:i/>
          <w:szCs w:val="18"/>
          <w:lang w:eastAsia="nb-NO"/>
        </w:rPr>
        <w:br/>
      </w:r>
    </w:p>
    <w:p w14:paraId="0046CC2B" w14:textId="0C6641D4" w:rsidR="00902DD1" w:rsidRPr="00902DD1" w:rsidRDefault="00902DD1" w:rsidP="00902DD1">
      <w:pPr>
        <w:keepNext/>
        <w:numPr>
          <w:ilvl w:val="1"/>
          <w:numId w:val="24"/>
        </w:numPr>
        <w:tabs>
          <w:tab w:val="clear" w:pos="7100"/>
        </w:tabs>
        <w:suppressAutoHyphens/>
        <w:spacing w:before="120" w:after="120" w:line="240" w:lineRule="auto"/>
        <w:jc w:val="left"/>
        <w:rPr>
          <w:rFonts w:cs="Arial"/>
          <w:b/>
          <w:szCs w:val="18"/>
          <w:lang w:val="en-US"/>
        </w:rPr>
      </w:pPr>
      <w:r w:rsidRPr="00902DD1">
        <w:rPr>
          <w:rFonts w:cs="Arial"/>
          <w:b/>
          <w:szCs w:val="18"/>
          <w:lang w:val="en-US"/>
        </w:rPr>
        <w:t>First te</w:t>
      </w:r>
      <w:r w:rsidR="00FE70AF">
        <w:rPr>
          <w:rFonts w:cs="Arial"/>
          <w:b/>
          <w:szCs w:val="18"/>
          <w:lang w:val="en-US"/>
        </w:rPr>
        <w:t>st of the nozzle reactor system</w:t>
      </w:r>
      <w:r w:rsidRPr="00902DD1">
        <w:rPr>
          <w:rFonts w:cs="Arial"/>
          <w:b/>
          <w:szCs w:val="18"/>
          <w:lang w:val="en-US"/>
        </w:rPr>
        <w:t xml:space="preserve"> for fast HTL of lignin</w:t>
      </w:r>
    </w:p>
    <w:p w14:paraId="6135CD76" w14:textId="77777777" w:rsidR="00185666" w:rsidRPr="00185666" w:rsidRDefault="00185666" w:rsidP="00185666">
      <w:pPr>
        <w:tabs>
          <w:tab w:val="left" w:pos="284"/>
          <w:tab w:val="left" w:pos="720"/>
        </w:tabs>
        <w:rPr>
          <w:rFonts w:cs="Arial"/>
          <w:szCs w:val="18"/>
        </w:rPr>
      </w:pPr>
      <w:r w:rsidRPr="00185666">
        <w:rPr>
          <w:rFonts w:cs="Arial"/>
          <w:szCs w:val="18"/>
        </w:rPr>
        <w:t>The best result for the performance tests of the slurry solution of 25 wt. % lignin, 2 wt. % cooking oil emulsifier and lignin particle size 125 µm was adopted for the first test of the reaction system shown in Figure 2 and Figure 6A. Under the conditions of 40 ml/min as the total volumetric flow rate through the reactor, 1/3 as the ratio of cold stream over hot stream, and 350</w:t>
      </w:r>
      <w:r w:rsidRPr="00185666">
        <w:rPr>
          <w:rFonts w:cs="Arial"/>
          <w:szCs w:val="18"/>
          <w:vertAlign w:val="superscript"/>
        </w:rPr>
        <w:t>o</w:t>
      </w:r>
      <w:r w:rsidRPr="00185666">
        <w:rPr>
          <w:rFonts w:cs="Arial"/>
          <w:szCs w:val="18"/>
        </w:rPr>
        <w:t xml:space="preserve">C as the reaction temperature, the reaction system was continuously and successfully operated for 20 minutes with an estimated oil yield within 40-50 wt. % on a dry basis. The HTL oil product was collected and shown in Figure 6B (in dichloromethane) and Figure 6C (after having been vacuum dried). </w:t>
      </w:r>
    </w:p>
    <w:p w14:paraId="37134EA9" w14:textId="77777777" w:rsidR="00902DD1" w:rsidRPr="00902DD1" w:rsidRDefault="00902DD1" w:rsidP="00185666">
      <w:pPr>
        <w:tabs>
          <w:tab w:val="left" w:pos="284"/>
          <w:tab w:val="left" w:pos="720"/>
        </w:tabs>
        <w:spacing w:after="120"/>
        <w:rPr>
          <w:rFonts w:cs="Arial"/>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6"/>
        <w:gridCol w:w="2931"/>
        <w:gridCol w:w="2920"/>
      </w:tblGrid>
      <w:tr w:rsidR="00902DD1" w:rsidRPr="00902DD1" w14:paraId="49245B50" w14:textId="77777777" w:rsidTr="004F6BA7">
        <w:tc>
          <w:tcPr>
            <w:tcW w:w="2942" w:type="dxa"/>
          </w:tcPr>
          <w:p w14:paraId="7ABD7658" w14:textId="77777777" w:rsidR="00902DD1" w:rsidRPr="00902DD1" w:rsidRDefault="00902DD1" w:rsidP="00902DD1">
            <w:pPr>
              <w:tabs>
                <w:tab w:val="left" w:pos="284"/>
                <w:tab w:val="left" w:pos="720"/>
              </w:tabs>
              <w:spacing w:after="120"/>
              <w:ind w:left="283"/>
              <w:jc w:val="center"/>
              <w:rPr>
                <w:rFonts w:cs="Arial"/>
                <w:szCs w:val="18"/>
              </w:rPr>
            </w:pPr>
            <w:r w:rsidRPr="00902DD1">
              <w:rPr>
                <w:rFonts w:cs="Arial"/>
                <w:szCs w:val="18"/>
              </w:rPr>
              <w:object w:dxaOrig="4130" w:dyaOrig="7220" w14:anchorId="00361B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pt;height:201.75pt" o:ole="">
                  <v:imagedata r:id="rId22" o:title=""/>
                </v:shape>
                <o:OLEObject Type="Embed" ProgID="PBrush" ShapeID="_x0000_i1025" DrawAspect="Content" ObjectID="_1706528422" r:id="rId23"/>
              </w:object>
            </w:r>
          </w:p>
          <w:p w14:paraId="51720B19" w14:textId="77777777" w:rsidR="00902DD1" w:rsidRPr="00902DD1" w:rsidRDefault="00902DD1" w:rsidP="00902DD1">
            <w:pPr>
              <w:tabs>
                <w:tab w:val="left" w:pos="284"/>
                <w:tab w:val="left" w:pos="720"/>
              </w:tabs>
              <w:spacing w:after="120"/>
              <w:ind w:left="283"/>
              <w:jc w:val="center"/>
              <w:rPr>
                <w:rFonts w:cs="Arial"/>
                <w:szCs w:val="18"/>
              </w:rPr>
            </w:pPr>
            <w:r w:rsidRPr="00902DD1">
              <w:rPr>
                <w:rFonts w:cs="Arial"/>
                <w:szCs w:val="18"/>
              </w:rPr>
              <w:t>(A)</w:t>
            </w:r>
          </w:p>
        </w:tc>
        <w:tc>
          <w:tcPr>
            <w:tcW w:w="2943" w:type="dxa"/>
          </w:tcPr>
          <w:p w14:paraId="1F20A51C" w14:textId="77777777" w:rsidR="00902DD1" w:rsidRPr="00902DD1" w:rsidRDefault="00902DD1" w:rsidP="00902DD1">
            <w:pPr>
              <w:tabs>
                <w:tab w:val="left" w:pos="284"/>
                <w:tab w:val="left" w:pos="720"/>
              </w:tabs>
              <w:spacing w:after="120"/>
              <w:ind w:left="283"/>
              <w:jc w:val="center"/>
              <w:rPr>
                <w:rFonts w:cs="Arial"/>
                <w:szCs w:val="18"/>
              </w:rPr>
            </w:pPr>
            <w:r w:rsidRPr="00902DD1">
              <w:rPr>
                <w:rFonts w:cs="Arial"/>
                <w:noProof/>
                <w:szCs w:val="18"/>
                <w:lang w:val="nb-NO" w:eastAsia="nb-NO"/>
              </w:rPr>
              <w:drawing>
                <wp:inline distT="0" distB="0" distL="0" distR="0" wp14:anchorId="264C77E0" wp14:editId="5E9FA2EA">
                  <wp:extent cx="1376398" cy="255658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19687" cy="2636995"/>
                          </a:xfrm>
                          <a:prstGeom prst="rect">
                            <a:avLst/>
                          </a:prstGeom>
                          <a:noFill/>
                          <a:ln>
                            <a:noFill/>
                          </a:ln>
                        </pic:spPr>
                      </pic:pic>
                    </a:graphicData>
                  </a:graphic>
                </wp:inline>
              </w:drawing>
            </w:r>
          </w:p>
          <w:p w14:paraId="426AF3A5" w14:textId="77777777" w:rsidR="00902DD1" w:rsidRPr="00902DD1" w:rsidRDefault="00902DD1" w:rsidP="00902DD1">
            <w:pPr>
              <w:tabs>
                <w:tab w:val="left" w:pos="284"/>
                <w:tab w:val="left" w:pos="720"/>
              </w:tabs>
              <w:spacing w:after="120"/>
              <w:ind w:left="283"/>
              <w:jc w:val="center"/>
              <w:rPr>
                <w:rFonts w:cs="Arial"/>
                <w:szCs w:val="18"/>
              </w:rPr>
            </w:pPr>
            <w:r w:rsidRPr="00902DD1">
              <w:rPr>
                <w:rFonts w:cs="Arial"/>
                <w:szCs w:val="18"/>
              </w:rPr>
              <w:t>(B)</w:t>
            </w:r>
          </w:p>
        </w:tc>
        <w:tc>
          <w:tcPr>
            <w:tcW w:w="2943" w:type="dxa"/>
          </w:tcPr>
          <w:p w14:paraId="1C11DDEE" w14:textId="77777777" w:rsidR="00902DD1" w:rsidRPr="00902DD1" w:rsidRDefault="00902DD1" w:rsidP="00902DD1">
            <w:pPr>
              <w:tabs>
                <w:tab w:val="left" w:pos="284"/>
                <w:tab w:val="left" w:pos="720"/>
              </w:tabs>
              <w:spacing w:after="120"/>
              <w:ind w:left="283"/>
              <w:jc w:val="center"/>
              <w:rPr>
                <w:rFonts w:cs="Arial"/>
                <w:szCs w:val="18"/>
              </w:rPr>
            </w:pPr>
            <w:r w:rsidRPr="00902DD1">
              <w:rPr>
                <w:rFonts w:cs="Arial"/>
                <w:noProof/>
                <w:szCs w:val="18"/>
                <w:lang w:val="nb-NO" w:eastAsia="nb-NO"/>
              </w:rPr>
              <w:drawing>
                <wp:inline distT="0" distB="0" distL="0" distR="0" wp14:anchorId="2D39E358" wp14:editId="20D375DF">
                  <wp:extent cx="1220875" cy="25341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1453" cy="2556151"/>
                          </a:xfrm>
                          <a:prstGeom prst="rect">
                            <a:avLst/>
                          </a:prstGeom>
                          <a:noFill/>
                          <a:ln>
                            <a:noFill/>
                          </a:ln>
                        </pic:spPr>
                      </pic:pic>
                    </a:graphicData>
                  </a:graphic>
                </wp:inline>
              </w:drawing>
            </w:r>
          </w:p>
          <w:p w14:paraId="747BB6E5" w14:textId="77777777" w:rsidR="00902DD1" w:rsidRPr="00902DD1" w:rsidRDefault="00902DD1" w:rsidP="00902DD1">
            <w:pPr>
              <w:tabs>
                <w:tab w:val="left" w:pos="284"/>
                <w:tab w:val="left" w:pos="720"/>
              </w:tabs>
              <w:spacing w:after="120"/>
              <w:ind w:left="283"/>
              <w:jc w:val="center"/>
              <w:rPr>
                <w:rFonts w:cs="Arial"/>
                <w:szCs w:val="18"/>
              </w:rPr>
            </w:pPr>
            <w:r w:rsidRPr="00902DD1">
              <w:rPr>
                <w:rFonts w:cs="Arial"/>
                <w:szCs w:val="18"/>
              </w:rPr>
              <w:t>(C)</w:t>
            </w:r>
          </w:p>
        </w:tc>
      </w:tr>
    </w:tbl>
    <w:p w14:paraId="12CFEA1A" w14:textId="77777777" w:rsidR="00902DD1" w:rsidRPr="00902DD1" w:rsidRDefault="00902DD1" w:rsidP="004F6BA7">
      <w:pPr>
        <w:tabs>
          <w:tab w:val="left" w:pos="284"/>
          <w:tab w:val="left" w:pos="720"/>
        </w:tabs>
        <w:spacing w:after="120"/>
        <w:ind w:left="283"/>
        <w:jc w:val="left"/>
        <w:rPr>
          <w:rFonts w:cs="Arial"/>
          <w:i/>
          <w:color w:val="000000" w:themeColor="text1"/>
          <w:szCs w:val="18"/>
        </w:rPr>
      </w:pPr>
      <w:r w:rsidRPr="00902DD1">
        <w:rPr>
          <w:rFonts w:cs="Arial"/>
          <w:i/>
          <w:color w:val="000000" w:themeColor="text1"/>
          <w:szCs w:val="18"/>
        </w:rPr>
        <w:t xml:space="preserve">Figure 6. (A) Lab view of the fast HTL reaction system at NTNU; (B) HTL oil in dichloromethane before rotational evaporation; and (C) HTL oil produced via fast HTL of lignin.  </w:t>
      </w:r>
    </w:p>
    <w:p w14:paraId="418BC41F" w14:textId="1D5D5A44" w:rsidR="00902DD1" w:rsidRPr="00902DD1" w:rsidRDefault="00902DD1" w:rsidP="00902DD1">
      <w:pPr>
        <w:tabs>
          <w:tab w:val="left" w:pos="284"/>
          <w:tab w:val="left" w:pos="720"/>
        </w:tabs>
        <w:spacing w:after="120"/>
        <w:rPr>
          <w:rFonts w:cs="Arial"/>
          <w:szCs w:val="18"/>
        </w:rPr>
      </w:pPr>
      <w:r w:rsidRPr="00902DD1">
        <w:rPr>
          <w:rFonts w:cs="Arial"/>
          <w:szCs w:val="18"/>
        </w:rPr>
        <w:lastRenderedPageBreak/>
        <w:t>It is important to note that, continuous operations longer than 20 minutes for the system was not possible due to the limited volume (500 ml) of the high viscosity syringe pump. In addition, it was not able to achieve more precise mass balance calculation due to the practical limitations of the system in establishing the steady state</w:t>
      </w:r>
      <w:r w:rsidR="0069528D">
        <w:rPr>
          <w:rFonts w:cs="Arial"/>
          <w:szCs w:val="18"/>
        </w:rPr>
        <w:t xml:space="preserve"> within the limited time of the continuous pumping capacity</w:t>
      </w:r>
      <w:r w:rsidRPr="00902DD1">
        <w:rPr>
          <w:rFonts w:cs="Arial"/>
          <w:szCs w:val="18"/>
        </w:rPr>
        <w:t xml:space="preserve">. Two identical pumps in parallel, equipped with a stirring mechanism, are needed for fully continuous operations of the reaction system and further study. </w:t>
      </w:r>
    </w:p>
    <w:p w14:paraId="29EFBC78" w14:textId="77777777" w:rsidR="00902DD1" w:rsidRPr="00902DD1" w:rsidRDefault="00902DD1" w:rsidP="007A2D79">
      <w:pPr>
        <w:spacing w:before="240" w:after="120"/>
        <w:rPr>
          <w:rFonts w:cs="Arial"/>
          <w:b/>
          <w:sz w:val="20"/>
        </w:rPr>
      </w:pPr>
      <w:r w:rsidRPr="00902DD1">
        <w:rPr>
          <w:rFonts w:cs="Arial"/>
          <w:b/>
          <w:sz w:val="20"/>
        </w:rPr>
        <w:t>4</w:t>
      </w:r>
      <w:r w:rsidRPr="00902DD1">
        <w:rPr>
          <w:rFonts w:cs="Arial"/>
          <w:b/>
        </w:rPr>
        <w:t>. Conclusions</w:t>
      </w:r>
    </w:p>
    <w:p w14:paraId="6D1E0DF3" w14:textId="6B687D1D" w:rsidR="00902DD1" w:rsidRPr="00902DD1" w:rsidRDefault="00902DD1" w:rsidP="00902DD1">
      <w:pPr>
        <w:shd w:val="clear" w:color="auto" w:fill="FFFFFF"/>
        <w:rPr>
          <w:rFonts w:cs="Arial"/>
          <w:szCs w:val="18"/>
        </w:rPr>
      </w:pPr>
      <w:r w:rsidRPr="00902DD1">
        <w:rPr>
          <w:rFonts w:cs="Arial"/>
          <w:szCs w:val="18"/>
        </w:rPr>
        <w:t xml:space="preserve">The concept of nozzle reactor design has been identified to be suitable for realizing continuous fast HTL of solid biomass, producing higher quality HTL oil. </w:t>
      </w:r>
      <w:r w:rsidRPr="00902DD1">
        <w:rPr>
          <w:rFonts w:cs="Arial"/>
          <w:bCs/>
          <w:szCs w:val="18"/>
        </w:rPr>
        <w:t>The reactor is capable of very fast heating and tolerating solid particles suspended in the liquid stream flowing through the reactor. A laboratory-scale setup has been developed, adopting the nozzle reactor concept, with modifications suitable for fast HTL. The system has been</w:t>
      </w:r>
      <w:r w:rsidRPr="00902DD1">
        <w:rPr>
          <w:rFonts w:cs="Arial"/>
          <w:szCs w:val="18"/>
          <w:lang w:eastAsia="nb-NO"/>
        </w:rPr>
        <w:t xml:space="preserve"> successfully</w:t>
      </w:r>
      <w:r w:rsidRPr="00902DD1">
        <w:rPr>
          <w:rFonts w:cs="Arial"/>
          <w:bCs/>
          <w:szCs w:val="18"/>
        </w:rPr>
        <w:t xml:space="preserve"> tested for fast HTL of lignin residues from steam explosion, which was prepared and continuously pumped </w:t>
      </w:r>
      <w:r w:rsidR="0083191B" w:rsidRPr="00902DD1">
        <w:rPr>
          <w:rFonts w:cs="Arial"/>
          <w:bCs/>
          <w:szCs w:val="18"/>
        </w:rPr>
        <w:t>into</w:t>
      </w:r>
      <w:r w:rsidRPr="00902DD1">
        <w:rPr>
          <w:rFonts w:cs="Arial"/>
          <w:bCs/>
          <w:szCs w:val="18"/>
        </w:rPr>
        <w:t xml:space="preserve"> the reactor in the form of a</w:t>
      </w:r>
      <w:r w:rsidRPr="00902DD1">
        <w:rPr>
          <w:rFonts w:cs="Arial"/>
          <w:szCs w:val="18"/>
          <w:lang w:eastAsia="nb-NO"/>
        </w:rPr>
        <w:t xml:space="preserve"> slurry solution of 25 wt. % lignin (125 µm in size) in water and 2 wt. % of cooking oil as emulsifier.  The results from the first test of the nozzle reactor design for fast HTL of lignin is promising. However, </w:t>
      </w:r>
      <w:r w:rsidRPr="00902DD1">
        <w:rPr>
          <w:rFonts w:cs="Arial"/>
          <w:szCs w:val="18"/>
        </w:rPr>
        <w:t xml:space="preserve">further investigations and optimizations of the reactor geometry and the process are needed.       </w:t>
      </w:r>
    </w:p>
    <w:p w14:paraId="6AE3E5CA" w14:textId="07A4406A" w:rsidR="00902DD1" w:rsidRPr="00902DD1" w:rsidRDefault="00902DD1" w:rsidP="007A2D79">
      <w:pPr>
        <w:tabs>
          <w:tab w:val="clear" w:pos="7100"/>
        </w:tabs>
        <w:spacing w:before="240" w:after="120" w:line="240" w:lineRule="auto"/>
        <w:jc w:val="left"/>
        <w:rPr>
          <w:rFonts w:eastAsiaTheme="minorHAnsi" w:cs="Arial"/>
          <w:b/>
          <w:szCs w:val="18"/>
          <w:lang w:val="en-US"/>
        </w:rPr>
      </w:pPr>
      <w:r w:rsidRPr="00902DD1">
        <w:rPr>
          <w:rFonts w:eastAsiaTheme="minorHAnsi" w:cs="Arial"/>
          <w:b/>
          <w:szCs w:val="18"/>
          <w:lang w:val="en-US"/>
        </w:rPr>
        <w:t>Acknowledgement</w:t>
      </w:r>
    </w:p>
    <w:p w14:paraId="69FD1992" w14:textId="07EC3C53" w:rsidR="00902DD1" w:rsidRPr="00902DD1" w:rsidRDefault="00902DD1" w:rsidP="00A46AD3">
      <w:pPr>
        <w:tabs>
          <w:tab w:val="clear" w:pos="7100"/>
        </w:tabs>
        <w:spacing w:line="240" w:lineRule="auto"/>
        <w:rPr>
          <w:rFonts w:eastAsiaTheme="minorHAnsi" w:cs="Arial"/>
          <w:szCs w:val="18"/>
          <w:lang w:val="en-IN"/>
        </w:rPr>
      </w:pPr>
      <w:r w:rsidRPr="00902DD1">
        <w:rPr>
          <w:rFonts w:eastAsiaTheme="minorHAnsi" w:cs="Arial"/>
          <w:szCs w:val="18"/>
          <w:lang w:val="en-US"/>
        </w:rPr>
        <w:t>The data presented in this paper is ex</w:t>
      </w:r>
      <w:r w:rsidR="001B767E">
        <w:rPr>
          <w:rFonts w:eastAsiaTheme="minorHAnsi" w:cs="Arial"/>
          <w:szCs w:val="18"/>
          <w:lang w:val="en-US"/>
        </w:rPr>
        <w:t>tracted from the project report</w:t>
      </w:r>
      <w:r w:rsidRPr="00902DD1">
        <w:rPr>
          <w:rFonts w:eastAsiaTheme="minorHAnsi" w:cs="Arial"/>
          <w:szCs w:val="18"/>
          <w:lang w:val="en-US"/>
        </w:rPr>
        <w:t xml:space="preserve"> of </w:t>
      </w:r>
      <w:r w:rsidR="00A46AD3">
        <w:rPr>
          <w:rFonts w:eastAsiaTheme="minorHAnsi" w:cs="Arial"/>
          <w:szCs w:val="18"/>
          <w:lang w:val="en-US"/>
        </w:rPr>
        <w:t xml:space="preserve">the Erasmus student </w:t>
      </w:r>
      <w:r w:rsidRPr="00902DD1">
        <w:rPr>
          <w:rFonts w:eastAsiaTheme="minorHAnsi" w:cs="Arial"/>
          <w:bCs/>
          <w:szCs w:val="18"/>
          <w:lang w:val="en-IN"/>
        </w:rPr>
        <w:t xml:space="preserve">Arturs </w:t>
      </w:r>
      <w:r w:rsidR="0056757F">
        <w:rPr>
          <w:rFonts w:eastAsiaTheme="minorHAnsi" w:cs="Arial"/>
          <w:bCs/>
          <w:szCs w:val="18"/>
          <w:lang w:val="en-IN"/>
        </w:rPr>
        <w:t>Curakovs</w:t>
      </w:r>
      <w:r w:rsidR="003A2FC1">
        <w:rPr>
          <w:rFonts w:eastAsiaTheme="minorHAnsi" w:cs="Arial"/>
          <w:bCs/>
          <w:szCs w:val="18"/>
          <w:lang w:val="en-IN"/>
        </w:rPr>
        <w:t xml:space="preserve"> from</w:t>
      </w:r>
      <w:r w:rsidR="00555C80">
        <w:rPr>
          <w:rFonts w:eastAsiaTheme="minorHAnsi" w:cs="Arial"/>
          <w:bCs/>
          <w:szCs w:val="18"/>
          <w:lang w:val="en-IN"/>
        </w:rPr>
        <w:t xml:space="preserve"> the Institute of Applied Chemistry - Riga Technical University of </w:t>
      </w:r>
      <w:proofErr w:type="spellStart"/>
      <w:r w:rsidR="003A2FC1">
        <w:rPr>
          <w:rFonts w:eastAsiaTheme="minorHAnsi" w:cs="Arial"/>
          <w:bCs/>
          <w:szCs w:val="18"/>
          <w:lang w:val="en-IN"/>
        </w:rPr>
        <w:t>Lativa</w:t>
      </w:r>
      <w:proofErr w:type="spellEnd"/>
      <w:r w:rsidR="00A46AD3">
        <w:rPr>
          <w:rFonts w:eastAsiaTheme="minorHAnsi" w:cs="Arial"/>
          <w:bCs/>
          <w:szCs w:val="18"/>
          <w:lang w:val="en-IN"/>
        </w:rPr>
        <w:t>, who worked in the</w:t>
      </w:r>
      <w:r w:rsidR="00A46AD3" w:rsidRPr="00A46AD3">
        <w:rPr>
          <w:rFonts w:eastAsia="SimSun" w:cs="Arial"/>
          <w:bCs/>
          <w:szCs w:val="18"/>
          <w:lang w:val="en-US"/>
        </w:rPr>
        <w:t xml:space="preserve"> </w:t>
      </w:r>
      <w:r w:rsidR="00A46AD3" w:rsidRPr="00902DD1">
        <w:rPr>
          <w:rFonts w:eastAsia="SimSun" w:cs="Arial"/>
          <w:bCs/>
          <w:szCs w:val="18"/>
          <w:lang w:val="en-US"/>
        </w:rPr>
        <w:t>Thermal Lab of the Department of Energy and Process Engineering at Norwegian University of Science and Technology</w:t>
      </w:r>
      <w:r w:rsidRPr="00902DD1">
        <w:rPr>
          <w:rFonts w:eastAsiaTheme="minorHAnsi" w:cs="Arial"/>
          <w:szCs w:val="18"/>
          <w:lang w:val="en-IN"/>
        </w:rPr>
        <w:t xml:space="preserve"> </w:t>
      </w:r>
      <w:r w:rsidR="00A46AD3">
        <w:rPr>
          <w:rFonts w:eastAsiaTheme="minorHAnsi" w:cs="Arial"/>
          <w:szCs w:val="18"/>
          <w:lang w:val="en-IN"/>
        </w:rPr>
        <w:t>under the academic year 2017/2018.</w:t>
      </w:r>
      <w:r w:rsidR="00B31155">
        <w:rPr>
          <w:rFonts w:eastAsiaTheme="minorHAnsi" w:cs="Arial"/>
          <w:szCs w:val="18"/>
          <w:lang w:val="en-IN"/>
        </w:rPr>
        <w:t xml:space="preserve"> Special thanks are due to </w:t>
      </w:r>
      <w:proofErr w:type="spellStart"/>
      <w:r w:rsidR="00B31155" w:rsidRPr="00B31155">
        <w:rPr>
          <w:rFonts w:eastAsiaTheme="minorHAnsi" w:cs="Arial"/>
          <w:szCs w:val="18"/>
          <w:lang w:val="en-IN"/>
        </w:rPr>
        <w:t>Sekab</w:t>
      </w:r>
      <w:proofErr w:type="spellEnd"/>
      <w:r w:rsidR="00B31155" w:rsidRPr="00B31155">
        <w:rPr>
          <w:rFonts w:eastAsiaTheme="minorHAnsi" w:cs="Arial"/>
          <w:szCs w:val="18"/>
          <w:lang w:val="en-IN"/>
        </w:rPr>
        <w:t xml:space="preserve"> AB in </w:t>
      </w:r>
      <w:proofErr w:type="spellStart"/>
      <w:r w:rsidR="00B31155" w:rsidRPr="00B31155">
        <w:rPr>
          <w:rFonts w:eastAsiaTheme="minorHAnsi" w:cs="Arial"/>
          <w:szCs w:val="18"/>
          <w:lang w:val="en-IN"/>
        </w:rPr>
        <w:t>Örnsköldsvik</w:t>
      </w:r>
      <w:proofErr w:type="spellEnd"/>
      <w:r w:rsidR="00B31155" w:rsidRPr="00B31155">
        <w:rPr>
          <w:rFonts w:eastAsiaTheme="minorHAnsi" w:cs="Arial"/>
          <w:szCs w:val="18"/>
          <w:lang w:val="en-IN"/>
        </w:rPr>
        <w:t>, Sweden</w:t>
      </w:r>
      <w:r w:rsidR="00B31155">
        <w:rPr>
          <w:rFonts w:eastAsiaTheme="minorHAnsi" w:cs="Arial"/>
          <w:szCs w:val="18"/>
          <w:lang w:val="en-IN"/>
        </w:rPr>
        <w:t xml:space="preserve">, for providing with the lignin sample. </w:t>
      </w:r>
    </w:p>
    <w:p w14:paraId="5B617C35" w14:textId="4705998F" w:rsidR="00902DD1" w:rsidRPr="00902DD1" w:rsidRDefault="00902DD1" w:rsidP="007A2D79">
      <w:pPr>
        <w:tabs>
          <w:tab w:val="clear" w:pos="7100"/>
        </w:tabs>
        <w:spacing w:before="240" w:after="120" w:line="240" w:lineRule="auto"/>
        <w:jc w:val="left"/>
        <w:rPr>
          <w:rFonts w:eastAsiaTheme="minorHAnsi" w:cs="Arial"/>
          <w:b/>
          <w:szCs w:val="18"/>
          <w:lang w:val="en-US"/>
        </w:rPr>
      </w:pPr>
      <w:r w:rsidRPr="00902DD1">
        <w:rPr>
          <w:rFonts w:eastAsiaTheme="minorHAnsi" w:cs="Arial"/>
          <w:b/>
          <w:szCs w:val="18"/>
          <w:lang w:val="en-US"/>
        </w:rPr>
        <w:t>References</w:t>
      </w:r>
    </w:p>
    <w:p w14:paraId="45E6E04F" w14:textId="77777777" w:rsidR="00902DD1" w:rsidRPr="00902DD1" w:rsidRDefault="00902DD1" w:rsidP="00902DD1">
      <w:pPr>
        <w:tabs>
          <w:tab w:val="clear" w:pos="7100"/>
        </w:tabs>
        <w:spacing w:line="240" w:lineRule="auto"/>
        <w:ind w:left="284" w:hanging="284"/>
        <w:rPr>
          <w:rFonts w:cs="Arial"/>
          <w:noProof/>
          <w:kern w:val="14"/>
          <w:szCs w:val="18"/>
          <w:lang w:eastAsia="en-GB"/>
        </w:rPr>
      </w:pPr>
      <w:r w:rsidRPr="00902DD1">
        <w:rPr>
          <w:rFonts w:cs="Arial"/>
          <w:noProof/>
          <w:kern w:val="14"/>
          <w:szCs w:val="18"/>
          <w:lang w:val="en-US" w:eastAsia="en-GB"/>
        </w:rPr>
        <w:fldChar w:fldCharType="begin"/>
      </w:r>
      <w:r w:rsidRPr="00902DD1">
        <w:rPr>
          <w:rFonts w:cs="Arial"/>
          <w:noProof/>
          <w:kern w:val="14"/>
          <w:szCs w:val="18"/>
          <w:lang w:val="en-US" w:eastAsia="en-GB"/>
        </w:rPr>
        <w:instrText xml:space="preserve"> ADDIN EN.REFLIST </w:instrText>
      </w:r>
      <w:r w:rsidRPr="00902DD1">
        <w:rPr>
          <w:rFonts w:cs="Arial"/>
          <w:noProof/>
          <w:kern w:val="14"/>
          <w:szCs w:val="18"/>
          <w:lang w:val="en-US" w:eastAsia="en-GB"/>
        </w:rPr>
        <w:fldChar w:fldCharType="separate"/>
      </w:r>
      <w:bookmarkStart w:id="1" w:name="_ENREF_1"/>
      <w:r w:rsidRPr="00902DD1">
        <w:rPr>
          <w:rFonts w:cs="Arial"/>
          <w:noProof/>
          <w:kern w:val="14"/>
          <w:szCs w:val="18"/>
          <w:lang w:eastAsia="en-GB"/>
        </w:rPr>
        <w:t>Bach, Q.-V., M. V. Sillero, K.-Q. Tran and J. Skjermo (2014). "Fast hydrothermal liquefaction of a Norwegian macro-alga: Screening tests." Algal Research 6(B): 271-276.</w:t>
      </w:r>
      <w:bookmarkEnd w:id="1"/>
    </w:p>
    <w:p w14:paraId="4538157C" w14:textId="77777777" w:rsidR="00902DD1" w:rsidRPr="00902DD1" w:rsidRDefault="00902DD1" w:rsidP="00902DD1">
      <w:pPr>
        <w:tabs>
          <w:tab w:val="clear" w:pos="7100"/>
        </w:tabs>
        <w:spacing w:line="240" w:lineRule="auto"/>
        <w:ind w:left="284" w:hanging="284"/>
        <w:rPr>
          <w:rFonts w:cs="Arial"/>
          <w:noProof/>
          <w:kern w:val="14"/>
          <w:szCs w:val="18"/>
          <w:lang w:eastAsia="en-GB"/>
        </w:rPr>
      </w:pPr>
      <w:bookmarkStart w:id="2" w:name="_ENREF_2"/>
      <w:r w:rsidRPr="00902DD1">
        <w:rPr>
          <w:rFonts w:cs="Arial"/>
          <w:noProof/>
          <w:kern w:val="14"/>
          <w:szCs w:val="18"/>
          <w:lang w:eastAsia="en-GB"/>
        </w:rPr>
        <w:t>Bach, Q. V., K. Q. Tran and K. Q. Lystad (2016). Fast hydrothermal liquefaction of macro-alga: Characterization of products. Chemical Engineering Transactions. 50: 97-102.</w:t>
      </w:r>
      <w:bookmarkEnd w:id="2"/>
    </w:p>
    <w:p w14:paraId="139D0746" w14:textId="77777777" w:rsidR="00902DD1" w:rsidRPr="00902DD1" w:rsidRDefault="00902DD1" w:rsidP="00902DD1">
      <w:pPr>
        <w:tabs>
          <w:tab w:val="clear" w:pos="7100"/>
        </w:tabs>
        <w:spacing w:line="240" w:lineRule="auto"/>
        <w:ind w:left="284" w:hanging="284"/>
        <w:rPr>
          <w:rFonts w:cs="Arial"/>
          <w:noProof/>
          <w:kern w:val="14"/>
          <w:szCs w:val="18"/>
          <w:lang w:eastAsia="en-GB"/>
        </w:rPr>
      </w:pPr>
      <w:bookmarkStart w:id="3" w:name="_ENREF_3"/>
      <w:r w:rsidRPr="00902DD1">
        <w:rPr>
          <w:rFonts w:cs="Arial"/>
          <w:noProof/>
          <w:kern w:val="14"/>
          <w:szCs w:val="18"/>
          <w:lang w:eastAsia="en-GB"/>
        </w:rPr>
        <w:t>Boodhoo, K. V. K., W. A. E. Dunk and R. J. J. Jachuck (2001). "Spinning disc reactor for photopolymerization." Abs. Papers Am. Chem. Soc. 222.</w:t>
      </w:r>
      <w:bookmarkEnd w:id="3"/>
    </w:p>
    <w:p w14:paraId="0A2CB803" w14:textId="77777777" w:rsidR="00902DD1" w:rsidRPr="00902DD1" w:rsidRDefault="00902DD1" w:rsidP="00902DD1">
      <w:pPr>
        <w:tabs>
          <w:tab w:val="clear" w:pos="7100"/>
        </w:tabs>
        <w:spacing w:line="240" w:lineRule="auto"/>
        <w:ind w:left="284" w:hanging="284"/>
        <w:rPr>
          <w:rFonts w:cs="Arial"/>
          <w:noProof/>
          <w:kern w:val="14"/>
          <w:szCs w:val="18"/>
          <w:lang w:eastAsia="en-GB"/>
        </w:rPr>
      </w:pPr>
      <w:bookmarkStart w:id="4" w:name="_ENREF_4"/>
      <w:r w:rsidRPr="00902DD1">
        <w:rPr>
          <w:rFonts w:cs="Arial"/>
          <w:noProof/>
          <w:kern w:val="14"/>
          <w:szCs w:val="18"/>
          <w:lang w:eastAsia="en-GB"/>
        </w:rPr>
        <w:t>Brand, S., F. Hardi, J. Kim and D. J. Suh (2014). "Effect of heating rate on biomass liquefaction: Differences between subcritical water and supercritical ethanol." Energy 68(0): 420-427.</w:t>
      </w:r>
      <w:bookmarkEnd w:id="4"/>
    </w:p>
    <w:p w14:paraId="709C0BAD" w14:textId="77777777" w:rsidR="00902DD1" w:rsidRPr="00902DD1" w:rsidRDefault="00902DD1" w:rsidP="00902DD1">
      <w:pPr>
        <w:tabs>
          <w:tab w:val="clear" w:pos="7100"/>
        </w:tabs>
        <w:spacing w:line="240" w:lineRule="auto"/>
        <w:ind w:left="284" w:hanging="284"/>
        <w:rPr>
          <w:rFonts w:cs="Arial"/>
          <w:noProof/>
          <w:kern w:val="14"/>
          <w:szCs w:val="18"/>
          <w:lang w:eastAsia="en-GB"/>
        </w:rPr>
      </w:pPr>
      <w:bookmarkStart w:id="5" w:name="_ENREF_5"/>
      <w:r w:rsidRPr="00902DD1">
        <w:rPr>
          <w:rFonts w:cs="Arial"/>
          <w:noProof/>
          <w:kern w:val="14"/>
          <w:szCs w:val="18"/>
          <w:lang w:eastAsia="en-GB"/>
        </w:rPr>
        <w:t>Brechtelsbauer, C., N. Lewis, P. Oxley, F. Ricard and C. Ramshaw (2001). "Evaluation of a spinning disc reactor for continuous processing." Organic Process Research and Development 5(1): 65-68.</w:t>
      </w:r>
      <w:bookmarkEnd w:id="5"/>
    </w:p>
    <w:p w14:paraId="2D78DBB8" w14:textId="77777777" w:rsidR="00902DD1" w:rsidRPr="00902DD1" w:rsidRDefault="00902DD1" w:rsidP="00902DD1">
      <w:pPr>
        <w:tabs>
          <w:tab w:val="clear" w:pos="7100"/>
        </w:tabs>
        <w:spacing w:line="240" w:lineRule="auto"/>
        <w:ind w:left="284" w:hanging="284"/>
        <w:rPr>
          <w:rFonts w:cs="Arial"/>
          <w:noProof/>
          <w:kern w:val="14"/>
          <w:szCs w:val="18"/>
          <w:lang w:eastAsia="en-GB"/>
        </w:rPr>
      </w:pPr>
      <w:bookmarkStart w:id="6" w:name="_ENREF_6"/>
      <w:r w:rsidRPr="00902DD1">
        <w:rPr>
          <w:rFonts w:cs="Arial"/>
          <w:noProof/>
          <w:kern w:val="14"/>
          <w:szCs w:val="18"/>
          <w:lang w:eastAsia="en-GB"/>
        </w:rPr>
        <w:t>Gruar, R. I., C. J. Tighe and J. A. Darr (2013). "Scaling-up a confined jet reactor for the continuous hydrothermal manufacture of nanomaterials." Industrial and Engineering Chemistry Research 52(15): 5270-5281.</w:t>
      </w:r>
      <w:bookmarkEnd w:id="6"/>
    </w:p>
    <w:p w14:paraId="1091DCAA" w14:textId="77777777" w:rsidR="00902DD1" w:rsidRPr="00902DD1" w:rsidRDefault="00902DD1" w:rsidP="00902DD1">
      <w:pPr>
        <w:tabs>
          <w:tab w:val="clear" w:pos="7100"/>
        </w:tabs>
        <w:spacing w:line="240" w:lineRule="auto"/>
        <w:ind w:left="284" w:hanging="284"/>
        <w:rPr>
          <w:rFonts w:cs="Arial"/>
          <w:noProof/>
          <w:kern w:val="14"/>
          <w:szCs w:val="18"/>
          <w:lang w:eastAsia="en-GB"/>
        </w:rPr>
      </w:pPr>
      <w:bookmarkStart w:id="7" w:name="_ENREF_7"/>
      <w:r w:rsidRPr="00902DD1">
        <w:rPr>
          <w:rFonts w:cs="Arial"/>
          <w:noProof/>
          <w:kern w:val="14"/>
          <w:szCs w:val="18"/>
          <w:lang w:eastAsia="en-GB"/>
        </w:rPr>
        <w:t>Lester, E., P. Blood, J. Denyer, D. Giddings, B. Azzopardi and M. Poliakoff (2006). "Reaction engineering: The supercritical water hydrothermal synthesis of nano-particles." The Journal of Supercritical Fluids 37(2): 209-214.</w:t>
      </w:r>
      <w:bookmarkEnd w:id="7"/>
    </w:p>
    <w:p w14:paraId="46CB2FC9" w14:textId="77777777" w:rsidR="00902DD1" w:rsidRPr="00902DD1" w:rsidRDefault="00902DD1" w:rsidP="00902DD1">
      <w:pPr>
        <w:tabs>
          <w:tab w:val="clear" w:pos="7100"/>
        </w:tabs>
        <w:spacing w:line="240" w:lineRule="auto"/>
        <w:ind w:left="284" w:hanging="284"/>
        <w:rPr>
          <w:rFonts w:cs="Arial"/>
          <w:noProof/>
          <w:kern w:val="14"/>
          <w:szCs w:val="18"/>
          <w:lang w:eastAsia="en-GB"/>
        </w:rPr>
      </w:pPr>
      <w:bookmarkStart w:id="8" w:name="_ENREF_8"/>
      <w:r w:rsidRPr="00902DD1">
        <w:rPr>
          <w:rFonts w:cs="Arial"/>
          <w:noProof/>
          <w:kern w:val="14"/>
          <w:szCs w:val="18"/>
          <w:lang w:eastAsia="en-GB"/>
        </w:rPr>
        <w:t>Sierra-Pallares, J., T. Huddle, J. García-Serna, E. Alonso, F. Mato, I. Shvets, O. Luebben, M. J. Cocero and E. Lester (2016). "Understanding bottom-up continuous hydrothermal synthesis of nanoparticles using empirical measurement and computational simulation." Nano Research 9(11): 3377-3387.</w:t>
      </w:r>
      <w:bookmarkEnd w:id="8"/>
    </w:p>
    <w:p w14:paraId="7BF51D8A" w14:textId="77777777" w:rsidR="00902DD1" w:rsidRPr="00902DD1" w:rsidRDefault="00902DD1" w:rsidP="00902DD1">
      <w:pPr>
        <w:tabs>
          <w:tab w:val="clear" w:pos="7100"/>
        </w:tabs>
        <w:spacing w:line="240" w:lineRule="auto"/>
        <w:ind w:left="284" w:hanging="284"/>
        <w:rPr>
          <w:rFonts w:cs="Arial"/>
          <w:noProof/>
          <w:kern w:val="14"/>
          <w:szCs w:val="18"/>
          <w:lang w:eastAsia="en-GB"/>
        </w:rPr>
      </w:pPr>
      <w:bookmarkStart w:id="9" w:name="_ENREF_9"/>
      <w:r w:rsidRPr="00902DD1">
        <w:rPr>
          <w:rFonts w:cs="Arial"/>
          <w:noProof/>
          <w:kern w:val="14"/>
          <w:szCs w:val="18"/>
          <w:lang w:eastAsia="en-GB"/>
        </w:rPr>
        <w:t>Tran, K.-Q. (2016). "Fast hydrothermal liquefaction for production of chemicals and biofuels from wet biomass – The need to develop a plug-flow reactor." Bioresource Technology 213: 327-332.</w:t>
      </w:r>
      <w:bookmarkEnd w:id="9"/>
    </w:p>
    <w:p w14:paraId="057B2A14" w14:textId="77777777" w:rsidR="00902DD1" w:rsidRPr="00902DD1" w:rsidRDefault="00902DD1" w:rsidP="00902DD1">
      <w:pPr>
        <w:tabs>
          <w:tab w:val="clear" w:pos="7100"/>
        </w:tabs>
        <w:spacing w:line="240" w:lineRule="auto"/>
        <w:ind w:left="284" w:hanging="284"/>
        <w:rPr>
          <w:rFonts w:cs="Arial"/>
          <w:noProof/>
          <w:kern w:val="14"/>
          <w:szCs w:val="18"/>
          <w:lang w:eastAsia="en-GB"/>
        </w:rPr>
      </w:pPr>
      <w:bookmarkStart w:id="10" w:name="_ENREF_10"/>
      <w:r w:rsidRPr="00902DD1">
        <w:rPr>
          <w:rFonts w:cs="Arial"/>
          <w:noProof/>
          <w:kern w:val="14"/>
          <w:szCs w:val="18"/>
          <w:lang w:eastAsia="en-GB"/>
        </w:rPr>
        <w:t>Tran, K.-Q., L. Håkansson and T. T. Trinh (2017). "CFD pre-study of Nozzle reactor for fast hydrothermal liquefaction." Energy Procedia 142: 861-866.</w:t>
      </w:r>
      <w:bookmarkEnd w:id="10"/>
    </w:p>
    <w:p w14:paraId="6109E6F4" w14:textId="77777777" w:rsidR="00902DD1" w:rsidRPr="00902DD1" w:rsidRDefault="00902DD1" w:rsidP="00902DD1">
      <w:pPr>
        <w:tabs>
          <w:tab w:val="clear" w:pos="7100"/>
        </w:tabs>
        <w:spacing w:line="240" w:lineRule="auto"/>
        <w:ind w:left="284" w:hanging="284"/>
        <w:rPr>
          <w:rFonts w:cs="Arial"/>
          <w:noProof/>
          <w:kern w:val="14"/>
          <w:szCs w:val="18"/>
          <w:lang w:eastAsia="en-GB"/>
        </w:rPr>
      </w:pPr>
      <w:bookmarkStart w:id="11" w:name="_ENREF_11"/>
      <w:r w:rsidRPr="00902DD1">
        <w:rPr>
          <w:rFonts w:cs="Arial"/>
          <w:noProof/>
          <w:kern w:val="14"/>
          <w:szCs w:val="18"/>
          <w:lang w:eastAsia="en-GB"/>
        </w:rPr>
        <w:t>Yatmaz, H. C., C. Wallis and C. R. Howarth (2001). "The spinning disc reactor - Studies on a novel TiO2 photocatalytic reactor." Chemosphere 42(4): 397-403.</w:t>
      </w:r>
      <w:bookmarkEnd w:id="11"/>
    </w:p>
    <w:p w14:paraId="53EE067E" w14:textId="77777777" w:rsidR="00902DD1" w:rsidRPr="00902DD1" w:rsidRDefault="00902DD1" w:rsidP="00902DD1">
      <w:pPr>
        <w:tabs>
          <w:tab w:val="clear" w:pos="7100"/>
        </w:tabs>
        <w:spacing w:line="240" w:lineRule="auto"/>
        <w:ind w:left="284" w:hanging="284"/>
        <w:jc w:val="left"/>
        <w:rPr>
          <w:rFonts w:eastAsiaTheme="minorHAnsi" w:cs="Arial"/>
          <w:szCs w:val="18"/>
          <w:lang w:val="en-US"/>
        </w:rPr>
      </w:pPr>
      <w:r w:rsidRPr="00902DD1">
        <w:rPr>
          <w:rFonts w:eastAsiaTheme="minorHAnsi" w:cs="Arial"/>
          <w:szCs w:val="18"/>
          <w:lang w:val="en-US"/>
        </w:rPr>
        <w:fldChar w:fldCharType="end"/>
      </w:r>
    </w:p>
    <w:p w14:paraId="6D7BE02B" w14:textId="77777777" w:rsidR="00902DD1" w:rsidRPr="00902DD1" w:rsidRDefault="00902DD1" w:rsidP="00902DD1">
      <w:pPr>
        <w:rPr>
          <w:lang w:val="en-US"/>
        </w:rPr>
      </w:pPr>
    </w:p>
    <w:p w14:paraId="19C4FC68" w14:textId="3FBE1A92" w:rsidR="004628D2" w:rsidRPr="0012471C" w:rsidRDefault="004628D2" w:rsidP="00902DD1">
      <w:pPr>
        <w:pStyle w:val="CETTitle"/>
        <w:spacing w:before="120"/>
        <w:rPr>
          <w:rFonts w:cs="Arial"/>
          <w:bCs/>
          <w:szCs w:val="18"/>
        </w:rPr>
      </w:pPr>
    </w:p>
    <w:sectPr w:rsidR="004628D2" w:rsidRPr="0012471C"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E3D22" w14:textId="77777777" w:rsidR="00BB1DDC" w:rsidRDefault="00BB1DDC" w:rsidP="004F5E36">
      <w:r>
        <w:separator/>
      </w:r>
    </w:p>
  </w:endnote>
  <w:endnote w:type="continuationSeparator" w:id="0">
    <w:p w14:paraId="4E3B0A1E" w14:textId="77777777" w:rsidR="00BB1DDC" w:rsidRDefault="00BB1DDC"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Times New Roman"/>
    <w:panose1 w:val="00000000000000000000"/>
    <w:charset w:val="4D"/>
    <w:family w:val="roman"/>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FC891" w14:textId="77777777" w:rsidR="0000363C" w:rsidRDefault="000036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64697" w14:textId="77777777" w:rsidR="0000363C" w:rsidRDefault="000036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1A4C2" w14:textId="77777777" w:rsidR="0000363C" w:rsidRDefault="000036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AAD30" w14:textId="77777777" w:rsidR="00BB1DDC" w:rsidRDefault="00BB1DDC" w:rsidP="004F5E36">
      <w:r>
        <w:separator/>
      </w:r>
    </w:p>
  </w:footnote>
  <w:footnote w:type="continuationSeparator" w:id="0">
    <w:p w14:paraId="4D26240D" w14:textId="77777777" w:rsidR="00BB1DDC" w:rsidRDefault="00BB1DDC" w:rsidP="004F5E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2D263" w14:textId="77777777" w:rsidR="0000363C" w:rsidRDefault="000036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BA819" w14:textId="77777777" w:rsidR="0000363C" w:rsidRDefault="000036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2BAD8" w14:textId="77777777" w:rsidR="0000363C" w:rsidRDefault="000036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B81B34"/>
    <w:multiLevelType w:val="multilevel"/>
    <w:tmpl w:val="87146B9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2AE834F0"/>
    <w:multiLevelType w:val="multilevel"/>
    <w:tmpl w:val="0C82337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4665D3"/>
    <w:multiLevelType w:val="hybridMultilevel"/>
    <w:tmpl w:val="CABE8682"/>
    <w:lvl w:ilvl="0" w:tplc="083C66B6">
      <w:start w:val="2"/>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8A375E8"/>
    <w:multiLevelType w:val="hybridMultilevel"/>
    <w:tmpl w:val="4D0ADF7C"/>
    <w:lvl w:ilvl="0" w:tplc="C0CCD5F8">
      <w:start w:val="1"/>
      <w:numFmt w:val="upperLetter"/>
      <w:lvlText w:val="(%1)"/>
      <w:lvlJc w:val="left"/>
      <w:pPr>
        <w:ind w:left="720" w:hanging="360"/>
      </w:pPr>
      <w:rPr>
        <w:rFonts w:cs="Times New Roman" w:hint="default"/>
        <w:sz w:val="18"/>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8"/>
  </w:num>
  <w:num w:numId="13">
    <w:abstractNumId w:val="14"/>
  </w:num>
  <w:num w:numId="14">
    <w:abstractNumId w:val="20"/>
  </w:num>
  <w:num w:numId="15">
    <w:abstractNumId w:val="22"/>
  </w:num>
  <w:num w:numId="16">
    <w:abstractNumId w:val="21"/>
  </w:num>
  <w:num w:numId="17">
    <w:abstractNumId w:val="13"/>
  </w:num>
  <w:num w:numId="18">
    <w:abstractNumId w:val="14"/>
    <w:lvlOverride w:ilvl="0">
      <w:startOverride w:val="1"/>
    </w:lvlOverride>
  </w:num>
  <w:num w:numId="19">
    <w:abstractNumId w:val="17"/>
  </w:num>
  <w:num w:numId="20">
    <w:abstractNumId w:val="16"/>
  </w:num>
  <w:num w:numId="21">
    <w:abstractNumId w:val="15"/>
  </w:num>
  <w:num w:numId="22">
    <w:abstractNumId w:val="23"/>
  </w:num>
  <w:num w:numId="23">
    <w:abstractNumId w:val="10"/>
  </w:num>
  <w:num w:numId="24">
    <w:abstractNumId w:val="12"/>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 w:name="EN.Layout" w:val="&lt;ENLayout&gt;&lt;Style&gt;Author-Date&lt;/Style&gt;&lt;LeftDelim&gt;{&lt;/LeftDelim&gt;&lt;RightDelim&gt;}&lt;/RightDelim&gt;&lt;FontName&gt;Arial&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sarwsvf5tpe09er9xmvwaadvvssvsfwvffp&quot;&gt;Conference&lt;record-ids&gt;&lt;item&gt;361&lt;/item&gt;&lt;item&gt;366&lt;/item&gt;&lt;item&gt;367&lt;/item&gt;&lt;item&gt;368&lt;/item&gt;&lt;item&gt;370&lt;/item&gt;&lt;item&gt;371&lt;/item&gt;&lt;item&gt;372&lt;/item&gt;&lt;item&gt;373&lt;/item&gt;&lt;item&gt;374&lt;/item&gt;&lt;item&gt;375&lt;/item&gt;&lt;item&gt;376&lt;/item&gt;&lt;item&gt;377&lt;/item&gt;&lt;item&gt;378&lt;/item&gt;&lt;item&gt;379&lt;/item&gt;&lt;item&gt;380&lt;/item&gt;&lt;item&gt;381&lt;/item&gt;&lt;item&gt;382&lt;/item&gt;&lt;item&gt;383&lt;/item&gt;&lt;item&gt;384&lt;/item&gt;&lt;item&gt;385&lt;/item&gt;&lt;item&gt;387&lt;/item&gt;&lt;item&gt;388&lt;/item&gt;&lt;item&gt;398&lt;/item&gt;&lt;item&gt;400&lt;/item&gt;&lt;item&gt;401&lt;/item&gt;&lt;item&gt;463&lt;/item&gt;&lt;/record-ids&gt;&lt;/item&gt;&lt;/Libraries&gt;"/>
  </w:docVars>
  <w:rsids>
    <w:rsidRoot w:val="000E414A"/>
    <w:rsid w:val="000027C0"/>
    <w:rsid w:val="0000363C"/>
    <w:rsid w:val="000052FB"/>
    <w:rsid w:val="000117CB"/>
    <w:rsid w:val="0003148D"/>
    <w:rsid w:val="00051566"/>
    <w:rsid w:val="00062A9A"/>
    <w:rsid w:val="00065058"/>
    <w:rsid w:val="00086C39"/>
    <w:rsid w:val="00095443"/>
    <w:rsid w:val="000A03B2"/>
    <w:rsid w:val="000B5F91"/>
    <w:rsid w:val="000D0268"/>
    <w:rsid w:val="000D34BE"/>
    <w:rsid w:val="000E102F"/>
    <w:rsid w:val="000E36F1"/>
    <w:rsid w:val="000E3A73"/>
    <w:rsid w:val="000E414A"/>
    <w:rsid w:val="000F093C"/>
    <w:rsid w:val="000F787B"/>
    <w:rsid w:val="0012091F"/>
    <w:rsid w:val="0012471C"/>
    <w:rsid w:val="00125259"/>
    <w:rsid w:val="00126BC2"/>
    <w:rsid w:val="001308B6"/>
    <w:rsid w:val="0013121F"/>
    <w:rsid w:val="001312CA"/>
    <w:rsid w:val="00131FE6"/>
    <w:rsid w:val="0013263F"/>
    <w:rsid w:val="00134DE4"/>
    <w:rsid w:val="0014034D"/>
    <w:rsid w:val="00150E59"/>
    <w:rsid w:val="00152DE3"/>
    <w:rsid w:val="00164CF9"/>
    <w:rsid w:val="001667A6"/>
    <w:rsid w:val="00184AD6"/>
    <w:rsid w:val="00185666"/>
    <w:rsid w:val="001B0349"/>
    <w:rsid w:val="001B65C1"/>
    <w:rsid w:val="001B767E"/>
    <w:rsid w:val="001C684B"/>
    <w:rsid w:val="001D53FC"/>
    <w:rsid w:val="001F42A5"/>
    <w:rsid w:val="001F7B9D"/>
    <w:rsid w:val="002023DB"/>
    <w:rsid w:val="002224B4"/>
    <w:rsid w:val="002447EF"/>
    <w:rsid w:val="00251550"/>
    <w:rsid w:val="002613A4"/>
    <w:rsid w:val="00263B05"/>
    <w:rsid w:val="0027221A"/>
    <w:rsid w:val="00275B61"/>
    <w:rsid w:val="00282656"/>
    <w:rsid w:val="00296B83"/>
    <w:rsid w:val="002B78CE"/>
    <w:rsid w:val="002C2FB6"/>
    <w:rsid w:val="003009B7"/>
    <w:rsid w:val="00300E56"/>
    <w:rsid w:val="0030469C"/>
    <w:rsid w:val="00321CA6"/>
    <w:rsid w:val="00334C09"/>
    <w:rsid w:val="003723D4"/>
    <w:rsid w:val="0038029C"/>
    <w:rsid w:val="00381905"/>
    <w:rsid w:val="00384CC8"/>
    <w:rsid w:val="003871FD"/>
    <w:rsid w:val="003A1E30"/>
    <w:rsid w:val="003A2FC1"/>
    <w:rsid w:val="003A7D1C"/>
    <w:rsid w:val="003B304B"/>
    <w:rsid w:val="003B3146"/>
    <w:rsid w:val="003F015E"/>
    <w:rsid w:val="00400414"/>
    <w:rsid w:val="0041446B"/>
    <w:rsid w:val="0044329C"/>
    <w:rsid w:val="004577FE"/>
    <w:rsid w:val="00457B9C"/>
    <w:rsid w:val="0046164A"/>
    <w:rsid w:val="004628D2"/>
    <w:rsid w:val="00462DCD"/>
    <w:rsid w:val="004648AD"/>
    <w:rsid w:val="004703A9"/>
    <w:rsid w:val="004760DE"/>
    <w:rsid w:val="004763D7"/>
    <w:rsid w:val="00482420"/>
    <w:rsid w:val="004A004E"/>
    <w:rsid w:val="004A24CF"/>
    <w:rsid w:val="004C3D1D"/>
    <w:rsid w:val="004C7913"/>
    <w:rsid w:val="004E4DD6"/>
    <w:rsid w:val="004E77B3"/>
    <w:rsid w:val="004F5E36"/>
    <w:rsid w:val="004F6BA7"/>
    <w:rsid w:val="00507AB4"/>
    <w:rsid w:val="00507B47"/>
    <w:rsid w:val="00507BEF"/>
    <w:rsid w:val="00507CC9"/>
    <w:rsid w:val="005119A5"/>
    <w:rsid w:val="005278B7"/>
    <w:rsid w:val="00532016"/>
    <w:rsid w:val="005346C8"/>
    <w:rsid w:val="00543E7D"/>
    <w:rsid w:val="00547A68"/>
    <w:rsid w:val="005531C9"/>
    <w:rsid w:val="00555C80"/>
    <w:rsid w:val="0056757F"/>
    <w:rsid w:val="00570C43"/>
    <w:rsid w:val="00595BC6"/>
    <w:rsid w:val="005A53F3"/>
    <w:rsid w:val="005B2110"/>
    <w:rsid w:val="005B61E6"/>
    <w:rsid w:val="005C77E1"/>
    <w:rsid w:val="005D6A2F"/>
    <w:rsid w:val="005E1A82"/>
    <w:rsid w:val="005E794C"/>
    <w:rsid w:val="005F0A28"/>
    <w:rsid w:val="005F0E5E"/>
    <w:rsid w:val="00600535"/>
    <w:rsid w:val="00610CD6"/>
    <w:rsid w:val="00620DEE"/>
    <w:rsid w:val="00621F92"/>
    <w:rsid w:val="00625639"/>
    <w:rsid w:val="00631B33"/>
    <w:rsid w:val="0064184D"/>
    <w:rsid w:val="006422CC"/>
    <w:rsid w:val="006513CD"/>
    <w:rsid w:val="00660E3E"/>
    <w:rsid w:val="00662E74"/>
    <w:rsid w:val="00680C23"/>
    <w:rsid w:val="00693766"/>
    <w:rsid w:val="0069528D"/>
    <w:rsid w:val="006A3281"/>
    <w:rsid w:val="006B4888"/>
    <w:rsid w:val="006C2E45"/>
    <w:rsid w:val="006C359C"/>
    <w:rsid w:val="006C5579"/>
    <w:rsid w:val="006E0E14"/>
    <w:rsid w:val="006E737D"/>
    <w:rsid w:val="00717FD8"/>
    <w:rsid w:val="00720A24"/>
    <w:rsid w:val="00732386"/>
    <w:rsid w:val="0073514D"/>
    <w:rsid w:val="007447F3"/>
    <w:rsid w:val="0075499F"/>
    <w:rsid w:val="007661C8"/>
    <w:rsid w:val="0077098D"/>
    <w:rsid w:val="00774873"/>
    <w:rsid w:val="007931FA"/>
    <w:rsid w:val="007A2D79"/>
    <w:rsid w:val="007A4861"/>
    <w:rsid w:val="007A7BBA"/>
    <w:rsid w:val="007B0C50"/>
    <w:rsid w:val="007C1A43"/>
    <w:rsid w:val="007D37EE"/>
    <w:rsid w:val="0080013E"/>
    <w:rsid w:val="00813288"/>
    <w:rsid w:val="008168FC"/>
    <w:rsid w:val="00830996"/>
    <w:rsid w:val="0083191B"/>
    <w:rsid w:val="008345F1"/>
    <w:rsid w:val="00865B07"/>
    <w:rsid w:val="008667EA"/>
    <w:rsid w:val="0087637F"/>
    <w:rsid w:val="00892AD5"/>
    <w:rsid w:val="008A1512"/>
    <w:rsid w:val="008D32B9"/>
    <w:rsid w:val="008D433B"/>
    <w:rsid w:val="008D5A18"/>
    <w:rsid w:val="008E566E"/>
    <w:rsid w:val="008F311D"/>
    <w:rsid w:val="0090161A"/>
    <w:rsid w:val="00901EB6"/>
    <w:rsid w:val="00902DD1"/>
    <w:rsid w:val="00904C62"/>
    <w:rsid w:val="00922BA8"/>
    <w:rsid w:val="00924DAC"/>
    <w:rsid w:val="00927058"/>
    <w:rsid w:val="00942750"/>
    <w:rsid w:val="009450CE"/>
    <w:rsid w:val="00947179"/>
    <w:rsid w:val="0095164B"/>
    <w:rsid w:val="00954090"/>
    <w:rsid w:val="009573E7"/>
    <w:rsid w:val="00963E05"/>
    <w:rsid w:val="00967D54"/>
    <w:rsid w:val="00971028"/>
    <w:rsid w:val="00972440"/>
    <w:rsid w:val="00996483"/>
    <w:rsid w:val="00996F5A"/>
    <w:rsid w:val="009B041A"/>
    <w:rsid w:val="009B2060"/>
    <w:rsid w:val="009C7C86"/>
    <w:rsid w:val="009D2FF7"/>
    <w:rsid w:val="009E7884"/>
    <w:rsid w:val="009E788A"/>
    <w:rsid w:val="009F0E08"/>
    <w:rsid w:val="00A0018B"/>
    <w:rsid w:val="00A1763D"/>
    <w:rsid w:val="00A17CEC"/>
    <w:rsid w:val="00A27EF0"/>
    <w:rsid w:val="00A46AD3"/>
    <w:rsid w:val="00A50B20"/>
    <w:rsid w:val="00A51390"/>
    <w:rsid w:val="00A60D13"/>
    <w:rsid w:val="00A72745"/>
    <w:rsid w:val="00A76EFC"/>
    <w:rsid w:val="00A91010"/>
    <w:rsid w:val="00A97F29"/>
    <w:rsid w:val="00AA159D"/>
    <w:rsid w:val="00AA702E"/>
    <w:rsid w:val="00AB0964"/>
    <w:rsid w:val="00AB5011"/>
    <w:rsid w:val="00AC7368"/>
    <w:rsid w:val="00AD16B9"/>
    <w:rsid w:val="00AE377D"/>
    <w:rsid w:val="00B02C8A"/>
    <w:rsid w:val="00B17078"/>
    <w:rsid w:val="00B17FBD"/>
    <w:rsid w:val="00B31155"/>
    <w:rsid w:val="00B315A6"/>
    <w:rsid w:val="00B31813"/>
    <w:rsid w:val="00B33365"/>
    <w:rsid w:val="00B57B36"/>
    <w:rsid w:val="00B8686D"/>
    <w:rsid w:val="00BB1DDC"/>
    <w:rsid w:val="00BC30C9"/>
    <w:rsid w:val="00BE3E58"/>
    <w:rsid w:val="00C01616"/>
    <w:rsid w:val="00C0162B"/>
    <w:rsid w:val="00C345B1"/>
    <w:rsid w:val="00C40142"/>
    <w:rsid w:val="00C57182"/>
    <w:rsid w:val="00C57863"/>
    <w:rsid w:val="00C655FD"/>
    <w:rsid w:val="00C73FA4"/>
    <w:rsid w:val="00C75407"/>
    <w:rsid w:val="00C870A8"/>
    <w:rsid w:val="00C92E19"/>
    <w:rsid w:val="00C94434"/>
    <w:rsid w:val="00CA0D75"/>
    <w:rsid w:val="00CA1C95"/>
    <w:rsid w:val="00CA5A9C"/>
    <w:rsid w:val="00CB2E53"/>
    <w:rsid w:val="00CD3517"/>
    <w:rsid w:val="00CD5FE2"/>
    <w:rsid w:val="00CE7C68"/>
    <w:rsid w:val="00D02B4C"/>
    <w:rsid w:val="00D040C4"/>
    <w:rsid w:val="00D446F9"/>
    <w:rsid w:val="00D458AD"/>
    <w:rsid w:val="00D57C84"/>
    <w:rsid w:val="00D6057D"/>
    <w:rsid w:val="00D836C5"/>
    <w:rsid w:val="00D84576"/>
    <w:rsid w:val="00DA1399"/>
    <w:rsid w:val="00DA24C6"/>
    <w:rsid w:val="00DA4D7B"/>
    <w:rsid w:val="00DE264A"/>
    <w:rsid w:val="00DF5072"/>
    <w:rsid w:val="00E02D18"/>
    <w:rsid w:val="00E041E7"/>
    <w:rsid w:val="00E128C9"/>
    <w:rsid w:val="00E23CA1"/>
    <w:rsid w:val="00E409A8"/>
    <w:rsid w:val="00E50C12"/>
    <w:rsid w:val="00E65B91"/>
    <w:rsid w:val="00E7209D"/>
    <w:rsid w:val="00E77223"/>
    <w:rsid w:val="00E8528B"/>
    <w:rsid w:val="00E85B94"/>
    <w:rsid w:val="00E978D0"/>
    <w:rsid w:val="00EA1AD3"/>
    <w:rsid w:val="00EA1E90"/>
    <w:rsid w:val="00EA4613"/>
    <w:rsid w:val="00EA7F91"/>
    <w:rsid w:val="00EB1523"/>
    <w:rsid w:val="00EC0E49"/>
    <w:rsid w:val="00EE0131"/>
    <w:rsid w:val="00EE17B0"/>
    <w:rsid w:val="00F30C64"/>
    <w:rsid w:val="00F32CDB"/>
    <w:rsid w:val="00F63A70"/>
    <w:rsid w:val="00F65968"/>
    <w:rsid w:val="00FA21D0"/>
    <w:rsid w:val="00FA5F5F"/>
    <w:rsid w:val="00FB730C"/>
    <w:rsid w:val="00FC2695"/>
    <w:rsid w:val="00FC3E03"/>
    <w:rsid w:val="00FC3FC1"/>
    <w:rsid w:val="00FE70A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2AE0CC22"/>
  <w14:defaultImageDpi w14:val="330"/>
  <w15:docId w15:val="{38C0D9CA-40BA-4727-A989-5DDF857F9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customStyle="1" w:styleId="EndNoteBibliographyTitle">
    <w:name w:val="EndNote Bibliography Title"/>
    <w:basedOn w:val="Normal"/>
    <w:link w:val="EndNoteBibliographyTitleChar"/>
    <w:rsid w:val="00E128C9"/>
    <w:pPr>
      <w:jc w:val="center"/>
    </w:pPr>
    <w:rPr>
      <w:rFonts w:cs="Arial"/>
      <w:noProof/>
      <w:lang w:val="en-US"/>
    </w:rPr>
  </w:style>
  <w:style w:type="character" w:customStyle="1" w:styleId="EndNoteBibliographyTitleChar">
    <w:name w:val="EndNote Bibliography Title Char"/>
    <w:basedOn w:val="DefaultParagraphFont"/>
    <w:link w:val="EndNoteBibliographyTitle"/>
    <w:rsid w:val="00E128C9"/>
    <w:rPr>
      <w:rFonts w:ascii="Arial" w:eastAsia="Times New Roman" w:hAnsi="Arial" w:cs="Arial"/>
      <w:noProof/>
      <w:sz w:val="18"/>
      <w:szCs w:val="20"/>
      <w:lang w:val="en-US"/>
    </w:rPr>
  </w:style>
  <w:style w:type="paragraph" w:customStyle="1" w:styleId="EndNoteBibliography">
    <w:name w:val="EndNote Bibliography"/>
    <w:basedOn w:val="Normal"/>
    <w:link w:val="EndNoteBibliographyChar"/>
    <w:rsid w:val="00E128C9"/>
    <w:pPr>
      <w:spacing w:line="240" w:lineRule="auto"/>
    </w:pPr>
    <w:rPr>
      <w:rFonts w:cs="Arial"/>
      <w:noProof/>
      <w:lang w:val="en-US"/>
    </w:rPr>
  </w:style>
  <w:style w:type="character" w:customStyle="1" w:styleId="EndNoteBibliographyChar">
    <w:name w:val="EndNote Bibliography Char"/>
    <w:basedOn w:val="DefaultParagraphFont"/>
    <w:link w:val="EndNoteBibliography"/>
    <w:rsid w:val="00E128C9"/>
    <w:rPr>
      <w:rFonts w:ascii="Arial" w:eastAsia="Times New Roman" w:hAnsi="Arial" w:cs="Arial"/>
      <w:noProof/>
      <w:sz w:val="18"/>
      <w:szCs w:val="20"/>
      <w:lang w:val="en-US"/>
    </w:rPr>
  </w:style>
  <w:style w:type="paragraph" w:styleId="ListParagraph">
    <w:name w:val="List Paragraph"/>
    <w:basedOn w:val="Normal"/>
    <w:uiPriority w:val="34"/>
    <w:rsid w:val="00EA1E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oleObject" Target="embeddings/oleObject1.bin"/><Relationship Id="rId10" Type="http://schemas.openxmlformats.org/officeDocument/2006/relationships/header" Target="header1.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home.ansatt.ntnu.no\kqtran\Master\2017\Arturs%20Curakovs\Data\Biomass%20Lignin%20settling%20down%20experimen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ome.ansatt.ntnu.no\kqtran\Master\2017\Arturs%20Curakovs\Data\Biomass%20Lignin%20settling%20down%20experimen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ome.ansatt.ntnu.no\kqtran\Master\2017\Arturs%20Curakovs\Data\Biomass%20Lignin%20settling%20down%20experimen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7228140600072"/>
          <c:y val="2.2243713733075435E-2"/>
          <c:w val="0.82298306829293388"/>
          <c:h val="0.74062632966030262"/>
        </c:manualLayout>
      </c:layout>
      <c:scatterChart>
        <c:scatterStyle val="lineMarker"/>
        <c:varyColors val="0"/>
        <c:ser>
          <c:idx val="0"/>
          <c:order val="0"/>
          <c:tx>
            <c:v>Without surfactant</c:v>
          </c:tx>
          <c:spPr>
            <a:ln w="19080">
              <a:solidFill>
                <a:srgbClr val="A5A5A5"/>
              </a:solidFill>
              <a:round/>
            </a:ln>
          </c:spPr>
          <c:marker>
            <c:symbol val="circle"/>
            <c:size val="5"/>
            <c:spPr>
              <a:solidFill>
                <a:srgbClr val="A5A5A5"/>
              </a:solidFill>
            </c:spPr>
          </c:marker>
          <c:dLbls>
            <c:spPr>
              <a:noFill/>
              <a:ln>
                <a:noFill/>
              </a:ln>
              <a:effectLst/>
            </c:spPr>
            <c:dLblPos val="r"/>
            <c:showLegendKey val="0"/>
            <c:showVal val="0"/>
            <c:showCatName val="0"/>
            <c:showSerName val="0"/>
            <c:showPercent val="0"/>
            <c:showBubbleSize val="1"/>
            <c:showLeaderLines val="0"/>
            <c:extLst>
              <c:ext xmlns:c15="http://schemas.microsoft.com/office/drawing/2012/chart" uri="{CE6537A1-D6FC-4f65-9D91-7224C49458BB}">
                <c15:showLeaderLines val="0"/>
              </c:ext>
            </c:extLst>
          </c:dLbls>
          <c:xVal>
            <c:numRef>
              <c:f>'Data sheet'!$B$10:$B$27</c:f>
              <c:numCache>
                <c:formatCode>General</c:formatCode>
                <c:ptCount val="18"/>
                <c:pt idx="0">
                  <c:v>0</c:v>
                </c:pt>
                <c:pt idx="1">
                  <c:v>3</c:v>
                </c:pt>
                <c:pt idx="2">
                  <c:v>5</c:v>
                </c:pt>
                <c:pt idx="3">
                  <c:v>10</c:v>
                </c:pt>
                <c:pt idx="4">
                  <c:v>15</c:v>
                </c:pt>
                <c:pt idx="5">
                  <c:v>20</c:v>
                </c:pt>
                <c:pt idx="6">
                  <c:v>25</c:v>
                </c:pt>
                <c:pt idx="7">
                  <c:v>30</c:v>
                </c:pt>
                <c:pt idx="8">
                  <c:v>35</c:v>
                </c:pt>
                <c:pt idx="9">
                  <c:v>40</c:v>
                </c:pt>
                <c:pt idx="10">
                  <c:v>50</c:v>
                </c:pt>
                <c:pt idx="11">
                  <c:v>60</c:v>
                </c:pt>
                <c:pt idx="12">
                  <c:v>70</c:v>
                </c:pt>
                <c:pt idx="13">
                  <c:v>80</c:v>
                </c:pt>
                <c:pt idx="14">
                  <c:v>90</c:v>
                </c:pt>
                <c:pt idx="15">
                  <c:v>100</c:v>
                </c:pt>
                <c:pt idx="16">
                  <c:v>110</c:v>
                </c:pt>
                <c:pt idx="17">
                  <c:v>120</c:v>
                </c:pt>
              </c:numCache>
            </c:numRef>
          </c:xVal>
          <c:yVal>
            <c:numRef>
              <c:f>'Data sheet'!$F$10:$F$27</c:f>
              <c:numCache>
                <c:formatCode>General</c:formatCode>
                <c:ptCount val="18"/>
                <c:pt idx="0">
                  <c:v>0</c:v>
                </c:pt>
                <c:pt idx="1">
                  <c:v>6</c:v>
                </c:pt>
                <c:pt idx="2">
                  <c:v>10</c:v>
                </c:pt>
                <c:pt idx="3">
                  <c:v>21</c:v>
                </c:pt>
                <c:pt idx="4">
                  <c:v>30</c:v>
                </c:pt>
                <c:pt idx="5">
                  <c:v>32.5</c:v>
                </c:pt>
                <c:pt idx="6">
                  <c:v>33.5</c:v>
                </c:pt>
                <c:pt idx="7">
                  <c:v>34.25</c:v>
                </c:pt>
                <c:pt idx="8">
                  <c:v>34.5</c:v>
                </c:pt>
                <c:pt idx="9">
                  <c:v>34.75</c:v>
                </c:pt>
                <c:pt idx="10">
                  <c:v>35</c:v>
                </c:pt>
                <c:pt idx="11">
                  <c:v>35.1</c:v>
                </c:pt>
                <c:pt idx="12">
                  <c:v>35.200000000000003</c:v>
                </c:pt>
                <c:pt idx="13">
                  <c:v>35.299999999999997</c:v>
                </c:pt>
                <c:pt idx="14">
                  <c:v>35.4</c:v>
                </c:pt>
                <c:pt idx="15">
                  <c:v>35.75</c:v>
                </c:pt>
                <c:pt idx="16">
                  <c:v>36</c:v>
                </c:pt>
                <c:pt idx="17">
                  <c:v>36</c:v>
                </c:pt>
              </c:numCache>
            </c:numRef>
          </c:yVal>
          <c:smooth val="1"/>
          <c:extLst>
            <c:ext xmlns:c16="http://schemas.microsoft.com/office/drawing/2014/chart" uri="{C3380CC4-5D6E-409C-BE32-E72D297353CC}">
              <c16:uniqueId val="{00000000-7C86-414C-A5E3-5A5727561FED}"/>
            </c:ext>
          </c:extLst>
        </c:ser>
        <c:ser>
          <c:idx val="1"/>
          <c:order val="1"/>
          <c:tx>
            <c:v>Pyrolysis oil</c:v>
          </c:tx>
          <c:spPr>
            <a:ln w="19080">
              <a:solidFill>
                <a:srgbClr val="ED7D31"/>
              </a:solidFill>
              <a:round/>
            </a:ln>
          </c:spPr>
          <c:marker>
            <c:symbol val="circle"/>
            <c:size val="5"/>
            <c:spPr>
              <a:solidFill>
                <a:srgbClr val="ED7D31"/>
              </a:solidFill>
            </c:spPr>
          </c:marker>
          <c:dLbls>
            <c:spPr>
              <a:noFill/>
              <a:ln>
                <a:noFill/>
              </a:ln>
              <a:effectLst/>
            </c:spPr>
            <c:dLblPos val="r"/>
            <c:showLegendKey val="0"/>
            <c:showVal val="0"/>
            <c:showCatName val="0"/>
            <c:showSerName val="0"/>
            <c:showPercent val="0"/>
            <c:showBubbleSize val="1"/>
            <c:showLeaderLines val="0"/>
            <c:extLst>
              <c:ext xmlns:c15="http://schemas.microsoft.com/office/drawing/2012/chart" uri="{CE6537A1-D6FC-4f65-9D91-7224C49458BB}">
                <c15:showLeaderLines val="0"/>
              </c:ext>
            </c:extLst>
          </c:dLbls>
          <c:xVal>
            <c:numRef>
              <c:f>'Data sheet'!$B$10:$B$27</c:f>
              <c:numCache>
                <c:formatCode>General</c:formatCode>
                <c:ptCount val="18"/>
                <c:pt idx="0">
                  <c:v>0</c:v>
                </c:pt>
                <c:pt idx="1">
                  <c:v>3</c:v>
                </c:pt>
                <c:pt idx="2">
                  <c:v>5</c:v>
                </c:pt>
                <c:pt idx="3">
                  <c:v>10</c:v>
                </c:pt>
                <c:pt idx="4">
                  <c:v>15</c:v>
                </c:pt>
                <c:pt idx="5">
                  <c:v>20</c:v>
                </c:pt>
                <c:pt idx="6">
                  <c:v>25</c:v>
                </c:pt>
                <c:pt idx="7">
                  <c:v>30</c:v>
                </c:pt>
                <c:pt idx="8">
                  <c:v>35</c:v>
                </c:pt>
                <c:pt idx="9">
                  <c:v>40</c:v>
                </c:pt>
                <c:pt idx="10">
                  <c:v>50</c:v>
                </c:pt>
                <c:pt idx="11">
                  <c:v>60</c:v>
                </c:pt>
                <c:pt idx="12">
                  <c:v>70</c:v>
                </c:pt>
                <c:pt idx="13">
                  <c:v>80</c:v>
                </c:pt>
                <c:pt idx="14">
                  <c:v>90</c:v>
                </c:pt>
                <c:pt idx="15">
                  <c:v>100</c:v>
                </c:pt>
                <c:pt idx="16">
                  <c:v>110</c:v>
                </c:pt>
                <c:pt idx="17">
                  <c:v>120</c:v>
                </c:pt>
              </c:numCache>
            </c:numRef>
          </c:xVal>
          <c:yVal>
            <c:numRef>
              <c:f>'Data sheet'!$K$10:$K$28</c:f>
              <c:numCache>
                <c:formatCode>General</c:formatCode>
                <c:ptCount val="19"/>
                <c:pt idx="0">
                  <c:v>0</c:v>
                </c:pt>
                <c:pt idx="1">
                  <c:v>4</c:v>
                </c:pt>
                <c:pt idx="2">
                  <c:v>7</c:v>
                </c:pt>
                <c:pt idx="3">
                  <c:v>15</c:v>
                </c:pt>
                <c:pt idx="4">
                  <c:v>20</c:v>
                </c:pt>
                <c:pt idx="5">
                  <c:v>24</c:v>
                </c:pt>
                <c:pt idx="6">
                  <c:v>27</c:v>
                </c:pt>
                <c:pt idx="7">
                  <c:v>28</c:v>
                </c:pt>
                <c:pt idx="8">
                  <c:v>28</c:v>
                </c:pt>
                <c:pt idx="9">
                  <c:v>28</c:v>
                </c:pt>
                <c:pt idx="10">
                  <c:v>28</c:v>
                </c:pt>
                <c:pt idx="11">
                  <c:v>28</c:v>
                </c:pt>
                <c:pt idx="12">
                  <c:v>28</c:v>
                </c:pt>
                <c:pt idx="13">
                  <c:v>28</c:v>
                </c:pt>
                <c:pt idx="14">
                  <c:v>28</c:v>
                </c:pt>
                <c:pt idx="15">
                  <c:v>28</c:v>
                </c:pt>
                <c:pt idx="16">
                  <c:v>28</c:v>
                </c:pt>
                <c:pt idx="17">
                  <c:v>28</c:v>
                </c:pt>
                <c:pt idx="18">
                  <c:v>28</c:v>
                </c:pt>
              </c:numCache>
            </c:numRef>
          </c:yVal>
          <c:smooth val="1"/>
          <c:extLst>
            <c:ext xmlns:c16="http://schemas.microsoft.com/office/drawing/2014/chart" uri="{C3380CC4-5D6E-409C-BE32-E72D297353CC}">
              <c16:uniqueId val="{00000001-7C86-414C-A5E3-5A5727561FED}"/>
            </c:ext>
          </c:extLst>
        </c:ser>
        <c:ser>
          <c:idx val="2"/>
          <c:order val="2"/>
          <c:tx>
            <c:v>Cooking oil</c:v>
          </c:tx>
          <c:spPr>
            <a:ln w="19080">
              <a:solidFill>
                <a:srgbClr val="5B9BD5"/>
              </a:solidFill>
              <a:round/>
            </a:ln>
          </c:spPr>
          <c:marker>
            <c:symbol val="circle"/>
            <c:size val="5"/>
            <c:spPr>
              <a:solidFill>
                <a:srgbClr val="5B9BD5"/>
              </a:solidFill>
            </c:spPr>
          </c:marker>
          <c:dLbls>
            <c:spPr>
              <a:noFill/>
              <a:ln>
                <a:noFill/>
              </a:ln>
              <a:effectLst/>
            </c:spPr>
            <c:dLblPos val="r"/>
            <c:showLegendKey val="0"/>
            <c:showVal val="0"/>
            <c:showCatName val="0"/>
            <c:showSerName val="0"/>
            <c:showPercent val="0"/>
            <c:showBubbleSize val="1"/>
            <c:showLeaderLines val="0"/>
            <c:extLst>
              <c:ext xmlns:c15="http://schemas.microsoft.com/office/drawing/2012/chart" uri="{CE6537A1-D6FC-4f65-9D91-7224C49458BB}">
                <c15:showLeaderLines val="0"/>
              </c:ext>
            </c:extLst>
          </c:dLbls>
          <c:xVal>
            <c:numRef>
              <c:f>'Data sheet'!$B$10:$B$27</c:f>
              <c:numCache>
                <c:formatCode>General</c:formatCode>
                <c:ptCount val="18"/>
                <c:pt idx="0">
                  <c:v>0</c:v>
                </c:pt>
                <c:pt idx="1">
                  <c:v>3</c:v>
                </c:pt>
                <c:pt idx="2">
                  <c:v>5</c:v>
                </c:pt>
                <c:pt idx="3">
                  <c:v>10</c:v>
                </c:pt>
                <c:pt idx="4">
                  <c:v>15</c:v>
                </c:pt>
                <c:pt idx="5">
                  <c:v>20</c:v>
                </c:pt>
                <c:pt idx="6">
                  <c:v>25</c:v>
                </c:pt>
                <c:pt idx="7">
                  <c:v>30</c:v>
                </c:pt>
                <c:pt idx="8">
                  <c:v>35</c:v>
                </c:pt>
                <c:pt idx="9">
                  <c:v>40</c:v>
                </c:pt>
                <c:pt idx="10">
                  <c:v>50</c:v>
                </c:pt>
                <c:pt idx="11">
                  <c:v>60</c:v>
                </c:pt>
                <c:pt idx="12">
                  <c:v>70</c:v>
                </c:pt>
                <c:pt idx="13">
                  <c:v>80</c:v>
                </c:pt>
                <c:pt idx="14">
                  <c:v>90</c:v>
                </c:pt>
                <c:pt idx="15">
                  <c:v>100</c:v>
                </c:pt>
                <c:pt idx="16">
                  <c:v>110</c:v>
                </c:pt>
                <c:pt idx="17">
                  <c:v>120</c:v>
                </c:pt>
              </c:numCache>
            </c:numRef>
          </c:xVal>
          <c:yVal>
            <c:numRef>
              <c:f>'Data sheet'!$H$10:$H$28</c:f>
              <c:numCache>
                <c:formatCode>General</c:formatCode>
                <c:ptCount val="19"/>
                <c:pt idx="0">
                  <c:v>0</c:v>
                </c:pt>
                <c:pt idx="1">
                  <c:v>3</c:v>
                </c:pt>
                <c:pt idx="2">
                  <c:v>5</c:v>
                </c:pt>
                <c:pt idx="3">
                  <c:v>9</c:v>
                </c:pt>
                <c:pt idx="4">
                  <c:v>12</c:v>
                </c:pt>
                <c:pt idx="5">
                  <c:v>14</c:v>
                </c:pt>
                <c:pt idx="6">
                  <c:v>16</c:v>
                </c:pt>
                <c:pt idx="7">
                  <c:v>17</c:v>
                </c:pt>
                <c:pt idx="8">
                  <c:v>18</c:v>
                </c:pt>
                <c:pt idx="9">
                  <c:v>19</c:v>
                </c:pt>
                <c:pt idx="10">
                  <c:v>20</c:v>
                </c:pt>
                <c:pt idx="11">
                  <c:v>20.5</c:v>
                </c:pt>
                <c:pt idx="12">
                  <c:v>20.75</c:v>
                </c:pt>
                <c:pt idx="13">
                  <c:v>21</c:v>
                </c:pt>
                <c:pt idx="14">
                  <c:v>21</c:v>
                </c:pt>
                <c:pt idx="15">
                  <c:v>21</c:v>
                </c:pt>
                <c:pt idx="16">
                  <c:v>21</c:v>
                </c:pt>
                <c:pt idx="17">
                  <c:v>21</c:v>
                </c:pt>
                <c:pt idx="18">
                  <c:v>21</c:v>
                </c:pt>
              </c:numCache>
            </c:numRef>
          </c:yVal>
          <c:smooth val="1"/>
          <c:extLst>
            <c:ext xmlns:c16="http://schemas.microsoft.com/office/drawing/2014/chart" uri="{C3380CC4-5D6E-409C-BE32-E72D297353CC}">
              <c16:uniqueId val="{00000002-7C86-414C-A5E3-5A5727561FED}"/>
            </c:ext>
          </c:extLst>
        </c:ser>
        <c:dLbls>
          <c:showLegendKey val="0"/>
          <c:showVal val="0"/>
          <c:showCatName val="0"/>
          <c:showSerName val="0"/>
          <c:showPercent val="0"/>
          <c:showBubbleSize val="0"/>
        </c:dLbls>
        <c:axId val="48659840"/>
        <c:axId val="48674304"/>
      </c:scatterChart>
      <c:valAx>
        <c:axId val="48659840"/>
        <c:scaling>
          <c:orientation val="minMax"/>
          <c:max val="120"/>
        </c:scaling>
        <c:delete val="0"/>
        <c:axPos val="b"/>
        <c:majorGridlines>
          <c:spPr>
            <a:ln w="9360">
              <a:solidFill>
                <a:srgbClr val="D9D9D9"/>
              </a:solidFill>
              <a:round/>
            </a:ln>
          </c:spPr>
        </c:majorGridlines>
        <c:title>
          <c:tx>
            <c:rich>
              <a:bodyPr rot="0"/>
              <a:lstStyle/>
              <a:p>
                <a:pPr>
                  <a:defRPr sz="1200" b="1" strike="noStrike" spc="-1">
                    <a:solidFill>
                      <a:srgbClr val="595959"/>
                    </a:solidFill>
                    <a:latin typeface="Times New Roman"/>
                  </a:defRPr>
                </a:pPr>
                <a:r>
                  <a:rPr lang="en-US" sz="1200" b="1" strike="noStrike" spc="-1">
                    <a:solidFill>
                      <a:srgbClr val="595959"/>
                    </a:solidFill>
                    <a:latin typeface="Times New Roman"/>
                  </a:rPr>
                  <a:t>Time, min</a:t>
                </a:r>
              </a:p>
            </c:rich>
          </c:tx>
          <c:layout>
            <c:manualLayout>
              <c:xMode val="edge"/>
              <c:yMode val="edge"/>
              <c:x val="0.46761566568884771"/>
              <c:y val="0.84767638070307982"/>
            </c:manualLayout>
          </c:layout>
          <c:overlay val="0"/>
        </c:title>
        <c:numFmt formatCode="General" sourceLinked="0"/>
        <c:majorTickMark val="none"/>
        <c:minorTickMark val="none"/>
        <c:tickLblPos val="nextTo"/>
        <c:spPr>
          <a:ln w="9360">
            <a:solidFill>
              <a:srgbClr val="BFBFBF"/>
            </a:solidFill>
            <a:round/>
          </a:ln>
        </c:spPr>
        <c:txPr>
          <a:bodyPr/>
          <a:lstStyle/>
          <a:p>
            <a:pPr>
              <a:defRPr sz="1000" b="1" strike="noStrike" spc="-1">
                <a:solidFill>
                  <a:srgbClr val="595959"/>
                </a:solidFill>
                <a:latin typeface="Times New Roman"/>
              </a:defRPr>
            </a:pPr>
            <a:endParaRPr lang="en-US"/>
          </a:p>
        </c:txPr>
        <c:crossAx val="48674304"/>
        <c:crosses val="autoZero"/>
        <c:crossBetween val="midCat"/>
      </c:valAx>
      <c:valAx>
        <c:axId val="48674304"/>
        <c:scaling>
          <c:orientation val="minMax"/>
        </c:scaling>
        <c:delete val="0"/>
        <c:axPos val="l"/>
        <c:majorGridlines>
          <c:spPr>
            <a:ln w="9360">
              <a:solidFill>
                <a:srgbClr val="D9D9D9"/>
              </a:solidFill>
              <a:round/>
            </a:ln>
          </c:spPr>
        </c:majorGridlines>
        <c:title>
          <c:tx>
            <c:rich>
              <a:bodyPr rot="-5400000"/>
              <a:lstStyle/>
              <a:p>
                <a:pPr>
                  <a:defRPr sz="1200" b="1" strike="noStrike" spc="-1">
                    <a:solidFill>
                      <a:srgbClr val="595959"/>
                    </a:solidFill>
                    <a:latin typeface="Times New Roman"/>
                  </a:defRPr>
                </a:pPr>
                <a:r>
                  <a:rPr lang="en-US" sz="1200" b="1" strike="noStrike" spc="-1">
                    <a:solidFill>
                      <a:srgbClr val="595959"/>
                    </a:solidFill>
                    <a:latin typeface="Times New Roman"/>
                  </a:rPr>
                  <a:t>Settling down distance, mm </a:t>
                </a:r>
              </a:p>
            </c:rich>
          </c:tx>
          <c:layout>
            <c:manualLayout>
              <c:xMode val="edge"/>
              <c:yMode val="edge"/>
              <c:x val="2.4037979595466379E-2"/>
              <c:y val="0.12051940150391929"/>
            </c:manualLayout>
          </c:layout>
          <c:overlay val="0"/>
        </c:title>
        <c:numFmt formatCode="General" sourceLinked="0"/>
        <c:majorTickMark val="none"/>
        <c:minorTickMark val="none"/>
        <c:tickLblPos val="nextTo"/>
        <c:spPr>
          <a:ln w="9360">
            <a:solidFill>
              <a:srgbClr val="BFBFBF"/>
            </a:solidFill>
            <a:round/>
          </a:ln>
        </c:spPr>
        <c:txPr>
          <a:bodyPr/>
          <a:lstStyle/>
          <a:p>
            <a:pPr>
              <a:defRPr sz="1000" b="1" strike="noStrike" spc="-1">
                <a:solidFill>
                  <a:srgbClr val="595959"/>
                </a:solidFill>
                <a:latin typeface="Times New Roman"/>
              </a:defRPr>
            </a:pPr>
            <a:endParaRPr lang="en-US"/>
          </a:p>
        </c:txPr>
        <c:crossAx val="48659840"/>
        <c:crosses val="autoZero"/>
        <c:crossBetween val="midCat"/>
      </c:valAx>
      <c:spPr>
        <a:noFill/>
        <a:ln>
          <a:noFill/>
        </a:ln>
      </c:spPr>
    </c:plotArea>
    <c:legend>
      <c:legendPos val="b"/>
      <c:layout>
        <c:manualLayout>
          <c:xMode val="edge"/>
          <c:yMode val="edge"/>
          <c:x val="0.1474608615099583"/>
          <c:y val="0.93356608624045279"/>
          <c:w val="0.75783212315258131"/>
          <c:h val="4.9021848432215014E-2"/>
        </c:manualLayout>
      </c:layout>
      <c:overlay val="0"/>
      <c:spPr>
        <a:noFill/>
        <a:ln>
          <a:noFill/>
        </a:ln>
      </c:spPr>
      <c:txPr>
        <a:bodyPr/>
        <a:lstStyle/>
        <a:p>
          <a:pPr>
            <a:defRPr sz="1000"/>
          </a:pPr>
          <a:endParaRPr lang="en-US"/>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26486757891546"/>
          <c:y val="4.1172615146278999E-2"/>
          <c:w val="0.80787299935255608"/>
          <c:h val="0.67949289802840784"/>
        </c:manualLayout>
      </c:layout>
      <c:scatterChart>
        <c:scatterStyle val="lineMarker"/>
        <c:varyColors val="0"/>
        <c:ser>
          <c:idx val="0"/>
          <c:order val="0"/>
          <c:tx>
            <c:strRef>
              <c:f>'Data sheet'!$E$6</c:f>
              <c:strCache>
                <c:ptCount val="1"/>
                <c:pt idx="0">
                  <c:v>0 wt.%</c:v>
                </c:pt>
              </c:strCache>
            </c:strRef>
          </c:tx>
          <c:spPr>
            <a:ln w="9360">
              <a:solidFill>
                <a:srgbClr val="5B9BD5"/>
              </a:solidFill>
              <a:round/>
            </a:ln>
          </c:spPr>
          <c:marker>
            <c:symbol val="circle"/>
            <c:size val="5"/>
            <c:spPr>
              <a:solidFill>
                <a:srgbClr val="5B9BD5"/>
              </a:solidFill>
            </c:spPr>
          </c:marker>
          <c:dLbls>
            <c:spPr>
              <a:noFill/>
              <a:ln>
                <a:noFill/>
              </a:ln>
              <a:effectLst/>
            </c:spPr>
            <c:dLblPos val="r"/>
            <c:showLegendKey val="0"/>
            <c:showVal val="0"/>
            <c:showCatName val="0"/>
            <c:showSerName val="0"/>
            <c:showPercent val="0"/>
            <c:showBubbleSize val="1"/>
            <c:showLeaderLines val="0"/>
            <c:extLst>
              <c:ext xmlns:c15="http://schemas.microsoft.com/office/drawing/2012/chart" uri="{CE6537A1-D6FC-4f65-9D91-7224C49458BB}">
                <c15:showLeaderLines val="0"/>
              </c:ext>
            </c:extLst>
          </c:dLbls>
          <c:xVal>
            <c:numRef>
              <c:f>'Data sheet'!$B$10:$B$27</c:f>
              <c:numCache>
                <c:formatCode>General</c:formatCode>
                <c:ptCount val="18"/>
                <c:pt idx="0">
                  <c:v>0</c:v>
                </c:pt>
                <c:pt idx="1">
                  <c:v>3</c:v>
                </c:pt>
                <c:pt idx="2">
                  <c:v>5</c:v>
                </c:pt>
                <c:pt idx="3">
                  <c:v>10</c:v>
                </c:pt>
                <c:pt idx="4">
                  <c:v>15</c:v>
                </c:pt>
                <c:pt idx="5">
                  <c:v>20</c:v>
                </c:pt>
                <c:pt idx="6">
                  <c:v>25</c:v>
                </c:pt>
                <c:pt idx="7">
                  <c:v>30</c:v>
                </c:pt>
                <c:pt idx="8">
                  <c:v>35</c:v>
                </c:pt>
                <c:pt idx="9">
                  <c:v>40</c:v>
                </c:pt>
                <c:pt idx="10">
                  <c:v>50</c:v>
                </c:pt>
                <c:pt idx="11">
                  <c:v>60</c:v>
                </c:pt>
                <c:pt idx="12">
                  <c:v>70</c:v>
                </c:pt>
                <c:pt idx="13">
                  <c:v>80</c:v>
                </c:pt>
                <c:pt idx="14">
                  <c:v>90</c:v>
                </c:pt>
                <c:pt idx="15">
                  <c:v>100</c:v>
                </c:pt>
                <c:pt idx="16">
                  <c:v>110</c:v>
                </c:pt>
                <c:pt idx="17">
                  <c:v>120</c:v>
                </c:pt>
              </c:numCache>
            </c:numRef>
          </c:xVal>
          <c:yVal>
            <c:numRef>
              <c:f>'Data sheet'!$E$10:$E$27</c:f>
              <c:numCache>
                <c:formatCode>General</c:formatCode>
                <c:ptCount val="18"/>
                <c:pt idx="0">
                  <c:v>0</c:v>
                </c:pt>
                <c:pt idx="1">
                  <c:v>5</c:v>
                </c:pt>
                <c:pt idx="2">
                  <c:v>9</c:v>
                </c:pt>
                <c:pt idx="3">
                  <c:v>16</c:v>
                </c:pt>
                <c:pt idx="4">
                  <c:v>21</c:v>
                </c:pt>
                <c:pt idx="5">
                  <c:v>25</c:v>
                </c:pt>
                <c:pt idx="6">
                  <c:v>28</c:v>
                </c:pt>
                <c:pt idx="7">
                  <c:v>29.5</c:v>
                </c:pt>
                <c:pt idx="8">
                  <c:v>30</c:v>
                </c:pt>
                <c:pt idx="9">
                  <c:v>30.5</c:v>
                </c:pt>
                <c:pt idx="10">
                  <c:v>31</c:v>
                </c:pt>
                <c:pt idx="11">
                  <c:v>31.5</c:v>
                </c:pt>
                <c:pt idx="12">
                  <c:v>32</c:v>
                </c:pt>
                <c:pt idx="13">
                  <c:v>32.5</c:v>
                </c:pt>
                <c:pt idx="14">
                  <c:v>33</c:v>
                </c:pt>
                <c:pt idx="15">
                  <c:v>33.5</c:v>
                </c:pt>
                <c:pt idx="16">
                  <c:v>34</c:v>
                </c:pt>
                <c:pt idx="17">
                  <c:v>34</c:v>
                </c:pt>
              </c:numCache>
            </c:numRef>
          </c:yVal>
          <c:smooth val="1"/>
          <c:extLst>
            <c:ext xmlns:c16="http://schemas.microsoft.com/office/drawing/2014/chart" uri="{C3380CC4-5D6E-409C-BE32-E72D297353CC}">
              <c16:uniqueId val="{00000000-D875-4E37-8C88-BFB045F731E1}"/>
            </c:ext>
          </c:extLst>
        </c:ser>
        <c:ser>
          <c:idx val="1"/>
          <c:order val="1"/>
          <c:tx>
            <c:strRef>
              <c:f>'Data sheet'!$X$6</c:f>
              <c:strCache>
                <c:ptCount val="1"/>
                <c:pt idx="0">
                  <c:v>2 wt.%</c:v>
                </c:pt>
              </c:strCache>
            </c:strRef>
          </c:tx>
          <c:spPr>
            <a:ln w="9360">
              <a:solidFill>
                <a:srgbClr val="70AD47"/>
              </a:solidFill>
              <a:round/>
            </a:ln>
          </c:spPr>
          <c:marker>
            <c:symbol val="circle"/>
            <c:size val="5"/>
            <c:spPr>
              <a:solidFill>
                <a:srgbClr val="70AD47"/>
              </a:solidFill>
            </c:spPr>
          </c:marker>
          <c:dLbls>
            <c:spPr>
              <a:noFill/>
              <a:ln>
                <a:noFill/>
              </a:ln>
              <a:effectLst/>
            </c:spPr>
            <c:dLblPos val="r"/>
            <c:showLegendKey val="0"/>
            <c:showVal val="0"/>
            <c:showCatName val="0"/>
            <c:showSerName val="0"/>
            <c:showPercent val="0"/>
            <c:showBubbleSize val="1"/>
            <c:showLeaderLines val="0"/>
            <c:extLst>
              <c:ext xmlns:c15="http://schemas.microsoft.com/office/drawing/2012/chart" uri="{CE6537A1-D6FC-4f65-9D91-7224C49458BB}">
                <c15:showLeaderLines val="0"/>
              </c:ext>
            </c:extLst>
          </c:dLbls>
          <c:xVal>
            <c:numRef>
              <c:f>'Data sheet'!$B$10:$B$27</c:f>
              <c:numCache>
                <c:formatCode>General</c:formatCode>
                <c:ptCount val="18"/>
                <c:pt idx="0">
                  <c:v>0</c:v>
                </c:pt>
                <c:pt idx="1">
                  <c:v>3</c:v>
                </c:pt>
                <c:pt idx="2">
                  <c:v>5</c:v>
                </c:pt>
                <c:pt idx="3">
                  <c:v>10</c:v>
                </c:pt>
                <c:pt idx="4">
                  <c:v>15</c:v>
                </c:pt>
                <c:pt idx="5">
                  <c:v>20</c:v>
                </c:pt>
                <c:pt idx="6">
                  <c:v>25</c:v>
                </c:pt>
                <c:pt idx="7">
                  <c:v>30</c:v>
                </c:pt>
                <c:pt idx="8">
                  <c:v>35</c:v>
                </c:pt>
                <c:pt idx="9">
                  <c:v>40</c:v>
                </c:pt>
                <c:pt idx="10">
                  <c:v>50</c:v>
                </c:pt>
                <c:pt idx="11">
                  <c:v>60</c:v>
                </c:pt>
                <c:pt idx="12">
                  <c:v>70</c:v>
                </c:pt>
                <c:pt idx="13">
                  <c:v>80</c:v>
                </c:pt>
                <c:pt idx="14">
                  <c:v>90</c:v>
                </c:pt>
                <c:pt idx="15">
                  <c:v>100</c:v>
                </c:pt>
                <c:pt idx="16">
                  <c:v>110</c:v>
                </c:pt>
                <c:pt idx="17">
                  <c:v>120</c:v>
                </c:pt>
              </c:numCache>
            </c:numRef>
          </c:xVal>
          <c:yVal>
            <c:numRef>
              <c:f>'Data sheet'!$X$10:$X$27</c:f>
              <c:numCache>
                <c:formatCode>General</c:formatCode>
                <c:ptCount val="18"/>
                <c:pt idx="0">
                  <c:v>0</c:v>
                </c:pt>
                <c:pt idx="1">
                  <c:v>4</c:v>
                </c:pt>
                <c:pt idx="2">
                  <c:v>6</c:v>
                </c:pt>
                <c:pt idx="3">
                  <c:v>10</c:v>
                </c:pt>
                <c:pt idx="4">
                  <c:v>14</c:v>
                </c:pt>
                <c:pt idx="5">
                  <c:v>16.5</c:v>
                </c:pt>
                <c:pt idx="6">
                  <c:v>18</c:v>
                </c:pt>
                <c:pt idx="7">
                  <c:v>19.5</c:v>
                </c:pt>
                <c:pt idx="8">
                  <c:v>20.5</c:v>
                </c:pt>
                <c:pt idx="9">
                  <c:v>21</c:v>
                </c:pt>
                <c:pt idx="10">
                  <c:v>21.25</c:v>
                </c:pt>
                <c:pt idx="11">
                  <c:v>21.5</c:v>
                </c:pt>
                <c:pt idx="12">
                  <c:v>22</c:v>
                </c:pt>
                <c:pt idx="13">
                  <c:v>22.5</c:v>
                </c:pt>
                <c:pt idx="14">
                  <c:v>23</c:v>
                </c:pt>
                <c:pt idx="15">
                  <c:v>23.5</c:v>
                </c:pt>
                <c:pt idx="16">
                  <c:v>24</c:v>
                </c:pt>
                <c:pt idx="17">
                  <c:v>24</c:v>
                </c:pt>
              </c:numCache>
            </c:numRef>
          </c:yVal>
          <c:smooth val="1"/>
          <c:extLst>
            <c:ext xmlns:c16="http://schemas.microsoft.com/office/drawing/2014/chart" uri="{C3380CC4-5D6E-409C-BE32-E72D297353CC}">
              <c16:uniqueId val="{00000001-D875-4E37-8C88-BFB045F731E1}"/>
            </c:ext>
          </c:extLst>
        </c:ser>
        <c:ser>
          <c:idx val="2"/>
          <c:order val="2"/>
          <c:tx>
            <c:strRef>
              <c:f>'Data sheet'!$Y$6</c:f>
              <c:strCache>
                <c:ptCount val="1"/>
                <c:pt idx="0">
                  <c:v>2,25 wt.%</c:v>
                </c:pt>
              </c:strCache>
            </c:strRef>
          </c:tx>
          <c:spPr>
            <a:ln w="9360">
              <a:solidFill>
                <a:srgbClr val="255E91"/>
              </a:solidFill>
              <a:round/>
            </a:ln>
          </c:spPr>
          <c:marker>
            <c:symbol val="circle"/>
            <c:size val="5"/>
            <c:spPr>
              <a:solidFill>
                <a:srgbClr val="255E91"/>
              </a:solidFill>
            </c:spPr>
          </c:marker>
          <c:dLbls>
            <c:spPr>
              <a:noFill/>
              <a:ln>
                <a:noFill/>
              </a:ln>
              <a:effectLst/>
            </c:spPr>
            <c:dLblPos val="r"/>
            <c:showLegendKey val="0"/>
            <c:showVal val="0"/>
            <c:showCatName val="0"/>
            <c:showSerName val="0"/>
            <c:showPercent val="0"/>
            <c:showBubbleSize val="1"/>
            <c:showLeaderLines val="0"/>
            <c:extLst>
              <c:ext xmlns:c15="http://schemas.microsoft.com/office/drawing/2012/chart" uri="{CE6537A1-D6FC-4f65-9D91-7224C49458BB}">
                <c15:showLeaderLines val="0"/>
              </c:ext>
            </c:extLst>
          </c:dLbls>
          <c:xVal>
            <c:numRef>
              <c:f>'Data sheet'!$B$10:$B$27</c:f>
              <c:numCache>
                <c:formatCode>General</c:formatCode>
                <c:ptCount val="18"/>
                <c:pt idx="0">
                  <c:v>0</c:v>
                </c:pt>
                <c:pt idx="1">
                  <c:v>3</c:v>
                </c:pt>
                <c:pt idx="2">
                  <c:v>5</c:v>
                </c:pt>
                <c:pt idx="3">
                  <c:v>10</c:v>
                </c:pt>
                <c:pt idx="4">
                  <c:v>15</c:v>
                </c:pt>
                <c:pt idx="5">
                  <c:v>20</c:v>
                </c:pt>
                <c:pt idx="6">
                  <c:v>25</c:v>
                </c:pt>
                <c:pt idx="7">
                  <c:v>30</c:v>
                </c:pt>
                <c:pt idx="8">
                  <c:v>35</c:v>
                </c:pt>
                <c:pt idx="9">
                  <c:v>40</c:v>
                </c:pt>
                <c:pt idx="10">
                  <c:v>50</c:v>
                </c:pt>
                <c:pt idx="11">
                  <c:v>60</c:v>
                </c:pt>
                <c:pt idx="12">
                  <c:v>70</c:v>
                </c:pt>
                <c:pt idx="13">
                  <c:v>80</c:v>
                </c:pt>
                <c:pt idx="14">
                  <c:v>90</c:v>
                </c:pt>
                <c:pt idx="15">
                  <c:v>100</c:v>
                </c:pt>
                <c:pt idx="16">
                  <c:v>110</c:v>
                </c:pt>
                <c:pt idx="17">
                  <c:v>120</c:v>
                </c:pt>
              </c:numCache>
            </c:numRef>
          </c:xVal>
          <c:yVal>
            <c:numRef>
              <c:f>'Data sheet'!$Y$10:$Y$27</c:f>
              <c:numCache>
                <c:formatCode>General</c:formatCode>
                <c:ptCount val="18"/>
                <c:pt idx="0">
                  <c:v>0</c:v>
                </c:pt>
                <c:pt idx="1">
                  <c:v>3.5</c:v>
                </c:pt>
                <c:pt idx="2">
                  <c:v>5.5</c:v>
                </c:pt>
                <c:pt idx="3">
                  <c:v>9.5</c:v>
                </c:pt>
                <c:pt idx="4">
                  <c:v>13</c:v>
                </c:pt>
                <c:pt idx="5">
                  <c:v>15.5</c:v>
                </c:pt>
                <c:pt idx="6">
                  <c:v>17</c:v>
                </c:pt>
                <c:pt idx="7">
                  <c:v>18.5</c:v>
                </c:pt>
                <c:pt idx="8">
                  <c:v>19.5</c:v>
                </c:pt>
                <c:pt idx="9">
                  <c:v>20</c:v>
                </c:pt>
                <c:pt idx="10">
                  <c:v>20.5</c:v>
                </c:pt>
                <c:pt idx="11">
                  <c:v>21</c:v>
                </c:pt>
                <c:pt idx="12">
                  <c:v>21.25</c:v>
                </c:pt>
                <c:pt idx="13">
                  <c:v>21.5</c:v>
                </c:pt>
                <c:pt idx="14">
                  <c:v>22</c:v>
                </c:pt>
                <c:pt idx="15">
                  <c:v>22.5</c:v>
                </c:pt>
                <c:pt idx="16">
                  <c:v>23</c:v>
                </c:pt>
                <c:pt idx="17">
                  <c:v>23</c:v>
                </c:pt>
              </c:numCache>
            </c:numRef>
          </c:yVal>
          <c:smooth val="1"/>
          <c:extLst>
            <c:ext xmlns:c16="http://schemas.microsoft.com/office/drawing/2014/chart" uri="{C3380CC4-5D6E-409C-BE32-E72D297353CC}">
              <c16:uniqueId val="{00000002-D875-4E37-8C88-BFB045F731E1}"/>
            </c:ext>
          </c:extLst>
        </c:ser>
        <c:ser>
          <c:idx val="3"/>
          <c:order val="3"/>
          <c:tx>
            <c:strRef>
              <c:f>'Data sheet'!$H$6</c:f>
              <c:strCache>
                <c:ptCount val="1"/>
                <c:pt idx="0">
                  <c:v>2,5 wt.%</c:v>
                </c:pt>
              </c:strCache>
            </c:strRef>
          </c:tx>
          <c:spPr>
            <a:ln w="9360">
              <a:solidFill>
                <a:srgbClr val="ED7D31"/>
              </a:solidFill>
              <a:round/>
            </a:ln>
          </c:spPr>
          <c:marker>
            <c:symbol val="circle"/>
            <c:size val="5"/>
            <c:spPr>
              <a:solidFill>
                <a:srgbClr val="ED7D31"/>
              </a:solidFill>
            </c:spPr>
          </c:marker>
          <c:dLbls>
            <c:spPr>
              <a:noFill/>
              <a:ln>
                <a:noFill/>
              </a:ln>
              <a:effectLst/>
            </c:spPr>
            <c:dLblPos val="r"/>
            <c:showLegendKey val="0"/>
            <c:showVal val="0"/>
            <c:showCatName val="0"/>
            <c:showSerName val="0"/>
            <c:showPercent val="0"/>
            <c:showBubbleSize val="1"/>
            <c:showLeaderLines val="0"/>
            <c:extLst>
              <c:ext xmlns:c15="http://schemas.microsoft.com/office/drawing/2012/chart" uri="{CE6537A1-D6FC-4f65-9D91-7224C49458BB}">
                <c15:showLeaderLines val="0"/>
              </c:ext>
            </c:extLst>
          </c:dLbls>
          <c:xVal>
            <c:numRef>
              <c:f>'Data sheet'!$B$10:$B$27</c:f>
              <c:numCache>
                <c:formatCode>General</c:formatCode>
                <c:ptCount val="18"/>
                <c:pt idx="0">
                  <c:v>0</c:v>
                </c:pt>
                <c:pt idx="1">
                  <c:v>3</c:v>
                </c:pt>
                <c:pt idx="2">
                  <c:v>5</c:v>
                </c:pt>
                <c:pt idx="3">
                  <c:v>10</c:v>
                </c:pt>
                <c:pt idx="4">
                  <c:v>15</c:v>
                </c:pt>
                <c:pt idx="5">
                  <c:v>20</c:v>
                </c:pt>
                <c:pt idx="6">
                  <c:v>25</c:v>
                </c:pt>
                <c:pt idx="7">
                  <c:v>30</c:v>
                </c:pt>
                <c:pt idx="8">
                  <c:v>35</c:v>
                </c:pt>
                <c:pt idx="9">
                  <c:v>40</c:v>
                </c:pt>
                <c:pt idx="10">
                  <c:v>50</c:v>
                </c:pt>
                <c:pt idx="11">
                  <c:v>60</c:v>
                </c:pt>
                <c:pt idx="12">
                  <c:v>70</c:v>
                </c:pt>
                <c:pt idx="13">
                  <c:v>80</c:v>
                </c:pt>
                <c:pt idx="14">
                  <c:v>90</c:v>
                </c:pt>
                <c:pt idx="15">
                  <c:v>100</c:v>
                </c:pt>
                <c:pt idx="16">
                  <c:v>110</c:v>
                </c:pt>
                <c:pt idx="17">
                  <c:v>120</c:v>
                </c:pt>
              </c:numCache>
            </c:numRef>
          </c:xVal>
          <c:yVal>
            <c:numRef>
              <c:f>'Data sheet'!$H$10:$H$27</c:f>
              <c:numCache>
                <c:formatCode>General</c:formatCode>
                <c:ptCount val="18"/>
                <c:pt idx="0">
                  <c:v>0</c:v>
                </c:pt>
                <c:pt idx="1">
                  <c:v>3</c:v>
                </c:pt>
                <c:pt idx="2">
                  <c:v>5</c:v>
                </c:pt>
                <c:pt idx="3">
                  <c:v>9</c:v>
                </c:pt>
                <c:pt idx="4">
                  <c:v>12</c:v>
                </c:pt>
                <c:pt idx="5">
                  <c:v>14</c:v>
                </c:pt>
                <c:pt idx="6">
                  <c:v>16</c:v>
                </c:pt>
                <c:pt idx="7">
                  <c:v>17</c:v>
                </c:pt>
                <c:pt idx="8">
                  <c:v>18</c:v>
                </c:pt>
                <c:pt idx="9">
                  <c:v>19</c:v>
                </c:pt>
                <c:pt idx="10">
                  <c:v>20</c:v>
                </c:pt>
                <c:pt idx="11">
                  <c:v>20.5</c:v>
                </c:pt>
                <c:pt idx="12">
                  <c:v>20.75</c:v>
                </c:pt>
                <c:pt idx="13">
                  <c:v>21</c:v>
                </c:pt>
                <c:pt idx="14">
                  <c:v>21</c:v>
                </c:pt>
                <c:pt idx="15">
                  <c:v>21</c:v>
                </c:pt>
                <c:pt idx="16">
                  <c:v>21</c:v>
                </c:pt>
                <c:pt idx="17">
                  <c:v>21</c:v>
                </c:pt>
              </c:numCache>
            </c:numRef>
          </c:yVal>
          <c:smooth val="1"/>
          <c:extLst>
            <c:ext xmlns:c16="http://schemas.microsoft.com/office/drawing/2014/chart" uri="{C3380CC4-5D6E-409C-BE32-E72D297353CC}">
              <c16:uniqueId val="{00000003-D875-4E37-8C88-BFB045F731E1}"/>
            </c:ext>
          </c:extLst>
        </c:ser>
        <c:ser>
          <c:idx val="4"/>
          <c:order val="4"/>
          <c:tx>
            <c:strRef>
              <c:f>'Data sheet'!$U$6</c:f>
              <c:strCache>
                <c:ptCount val="1"/>
                <c:pt idx="0">
                  <c:v>3,125 wt.%</c:v>
                </c:pt>
              </c:strCache>
            </c:strRef>
          </c:tx>
          <c:spPr>
            <a:ln w="9360">
              <a:solidFill>
                <a:srgbClr val="A5A5A5"/>
              </a:solidFill>
              <a:round/>
            </a:ln>
          </c:spPr>
          <c:marker>
            <c:symbol val="circle"/>
            <c:size val="5"/>
            <c:spPr>
              <a:solidFill>
                <a:srgbClr val="A5A5A5"/>
              </a:solidFill>
            </c:spPr>
          </c:marker>
          <c:dLbls>
            <c:spPr>
              <a:noFill/>
              <a:ln>
                <a:noFill/>
              </a:ln>
              <a:effectLst/>
            </c:spPr>
            <c:dLblPos val="r"/>
            <c:showLegendKey val="0"/>
            <c:showVal val="0"/>
            <c:showCatName val="0"/>
            <c:showSerName val="0"/>
            <c:showPercent val="0"/>
            <c:showBubbleSize val="1"/>
            <c:showLeaderLines val="0"/>
            <c:extLst>
              <c:ext xmlns:c15="http://schemas.microsoft.com/office/drawing/2012/chart" uri="{CE6537A1-D6FC-4f65-9D91-7224C49458BB}">
                <c15:showLeaderLines val="0"/>
              </c:ext>
            </c:extLst>
          </c:dLbls>
          <c:xVal>
            <c:numRef>
              <c:f>'Data sheet'!$B$10:$B$27</c:f>
              <c:numCache>
                <c:formatCode>General</c:formatCode>
                <c:ptCount val="18"/>
                <c:pt idx="0">
                  <c:v>0</c:v>
                </c:pt>
                <c:pt idx="1">
                  <c:v>3</c:v>
                </c:pt>
                <c:pt idx="2">
                  <c:v>5</c:v>
                </c:pt>
                <c:pt idx="3">
                  <c:v>10</c:v>
                </c:pt>
                <c:pt idx="4">
                  <c:v>15</c:v>
                </c:pt>
                <c:pt idx="5">
                  <c:v>20</c:v>
                </c:pt>
                <c:pt idx="6">
                  <c:v>25</c:v>
                </c:pt>
                <c:pt idx="7">
                  <c:v>30</c:v>
                </c:pt>
                <c:pt idx="8">
                  <c:v>35</c:v>
                </c:pt>
                <c:pt idx="9">
                  <c:v>40</c:v>
                </c:pt>
                <c:pt idx="10">
                  <c:v>50</c:v>
                </c:pt>
                <c:pt idx="11">
                  <c:v>60</c:v>
                </c:pt>
                <c:pt idx="12">
                  <c:v>70</c:v>
                </c:pt>
                <c:pt idx="13">
                  <c:v>80</c:v>
                </c:pt>
                <c:pt idx="14">
                  <c:v>90</c:v>
                </c:pt>
                <c:pt idx="15">
                  <c:v>100</c:v>
                </c:pt>
                <c:pt idx="16">
                  <c:v>110</c:v>
                </c:pt>
                <c:pt idx="17">
                  <c:v>120</c:v>
                </c:pt>
              </c:numCache>
            </c:numRef>
          </c:xVal>
          <c:yVal>
            <c:numRef>
              <c:f>'Data sheet'!$U$10:$U$27</c:f>
              <c:numCache>
                <c:formatCode>General</c:formatCode>
                <c:ptCount val="18"/>
                <c:pt idx="1">
                  <c:v>0</c:v>
                </c:pt>
                <c:pt idx="2">
                  <c:v>3.5</c:v>
                </c:pt>
                <c:pt idx="3">
                  <c:v>8</c:v>
                </c:pt>
                <c:pt idx="4">
                  <c:v>11</c:v>
                </c:pt>
                <c:pt idx="5">
                  <c:v>13</c:v>
                </c:pt>
                <c:pt idx="6">
                  <c:v>15</c:v>
                </c:pt>
                <c:pt idx="7">
                  <c:v>16</c:v>
                </c:pt>
                <c:pt idx="8">
                  <c:v>17</c:v>
                </c:pt>
                <c:pt idx="9">
                  <c:v>18</c:v>
                </c:pt>
                <c:pt idx="10">
                  <c:v>19</c:v>
                </c:pt>
                <c:pt idx="11">
                  <c:v>19.5</c:v>
                </c:pt>
                <c:pt idx="12">
                  <c:v>20</c:v>
                </c:pt>
                <c:pt idx="13">
                  <c:v>20</c:v>
                </c:pt>
                <c:pt idx="14">
                  <c:v>20</c:v>
                </c:pt>
                <c:pt idx="15">
                  <c:v>20</c:v>
                </c:pt>
                <c:pt idx="16">
                  <c:v>20</c:v>
                </c:pt>
                <c:pt idx="17">
                  <c:v>20</c:v>
                </c:pt>
              </c:numCache>
            </c:numRef>
          </c:yVal>
          <c:smooth val="1"/>
          <c:extLst>
            <c:ext xmlns:c16="http://schemas.microsoft.com/office/drawing/2014/chart" uri="{C3380CC4-5D6E-409C-BE32-E72D297353CC}">
              <c16:uniqueId val="{00000004-D875-4E37-8C88-BFB045F731E1}"/>
            </c:ext>
          </c:extLst>
        </c:ser>
        <c:ser>
          <c:idx val="5"/>
          <c:order val="5"/>
          <c:tx>
            <c:strRef>
              <c:f>'Data sheet'!$V$6</c:f>
              <c:strCache>
                <c:ptCount val="1"/>
                <c:pt idx="0">
                  <c:v>3,75 wt.%</c:v>
                </c:pt>
              </c:strCache>
            </c:strRef>
          </c:tx>
          <c:spPr>
            <a:ln w="9360">
              <a:solidFill>
                <a:srgbClr val="FFC000"/>
              </a:solidFill>
              <a:round/>
            </a:ln>
          </c:spPr>
          <c:marker>
            <c:symbol val="circle"/>
            <c:size val="5"/>
            <c:spPr>
              <a:solidFill>
                <a:srgbClr val="FFC000"/>
              </a:solidFill>
            </c:spPr>
          </c:marker>
          <c:dLbls>
            <c:spPr>
              <a:noFill/>
              <a:ln>
                <a:noFill/>
              </a:ln>
              <a:effectLst/>
            </c:spPr>
            <c:dLblPos val="r"/>
            <c:showLegendKey val="0"/>
            <c:showVal val="0"/>
            <c:showCatName val="0"/>
            <c:showSerName val="0"/>
            <c:showPercent val="0"/>
            <c:showBubbleSize val="1"/>
            <c:showLeaderLines val="0"/>
            <c:extLst>
              <c:ext xmlns:c15="http://schemas.microsoft.com/office/drawing/2012/chart" uri="{CE6537A1-D6FC-4f65-9D91-7224C49458BB}">
                <c15:showLeaderLines val="0"/>
              </c:ext>
            </c:extLst>
          </c:dLbls>
          <c:xVal>
            <c:numRef>
              <c:f>'Data sheet'!$B$10:$B$27</c:f>
              <c:numCache>
                <c:formatCode>General</c:formatCode>
                <c:ptCount val="18"/>
                <c:pt idx="0">
                  <c:v>0</c:v>
                </c:pt>
                <c:pt idx="1">
                  <c:v>3</c:v>
                </c:pt>
                <c:pt idx="2">
                  <c:v>5</c:v>
                </c:pt>
                <c:pt idx="3">
                  <c:v>10</c:v>
                </c:pt>
                <c:pt idx="4">
                  <c:v>15</c:v>
                </c:pt>
                <c:pt idx="5">
                  <c:v>20</c:v>
                </c:pt>
                <c:pt idx="6">
                  <c:v>25</c:v>
                </c:pt>
                <c:pt idx="7">
                  <c:v>30</c:v>
                </c:pt>
                <c:pt idx="8">
                  <c:v>35</c:v>
                </c:pt>
                <c:pt idx="9">
                  <c:v>40</c:v>
                </c:pt>
                <c:pt idx="10">
                  <c:v>50</c:v>
                </c:pt>
                <c:pt idx="11">
                  <c:v>60</c:v>
                </c:pt>
                <c:pt idx="12">
                  <c:v>70</c:v>
                </c:pt>
                <c:pt idx="13">
                  <c:v>80</c:v>
                </c:pt>
                <c:pt idx="14">
                  <c:v>90</c:v>
                </c:pt>
                <c:pt idx="15">
                  <c:v>100</c:v>
                </c:pt>
                <c:pt idx="16">
                  <c:v>110</c:v>
                </c:pt>
                <c:pt idx="17">
                  <c:v>120</c:v>
                </c:pt>
              </c:numCache>
            </c:numRef>
          </c:xVal>
          <c:yVal>
            <c:numRef>
              <c:f>'Data sheet'!$V$10:$V$27</c:f>
              <c:numCache>
                <c:formatCode>General</c:formatCode>
                <c:ptCount val="18"/>
                <c:pt idx="1">
                  <c:v>0</c:v>
                </c:pt>
                <c:pt idx="2">
                  <c:v>3</c:v>
                </c:pt>
                <c:pt idx="3">
                  <c:v>7</c:v>
                </c:pt>
                <c:pt idx="4">
                  <c:v>9.5</c:v>
                </c:pt>
                <c:pt idx="5">
                  <c:v>11</c:v>
                </c:pt>
                <c:pt idx="6">
                  <c:v>12.5</c:v>
                </c:pt>
                <c:pt idx="7">
                  <c:v>14</c:v>
                </c:pt>
                <c:pt idx="8">
                  <c:v>15</c:v>
                </c:pt>
                <c:pt idx="9">
                  <c:v>16</c:v>
                </c:pt>
                <c:pt idx="10">
                  <c:v>17</c:v>
                </c:pt>
                <c:pt idx="11">
                  <c:v>18</c:v>
                </c:pt>
                <c:pt idx="12">
                  <c:v>19</c:v>
                </c:pt>
                <c:pt idx="13">
                  <c:v>19</c:v>
                </c:pt>
                <c:pt idx="14">
                  <c:v>19</c:v>
                </c:pt>
                <c:pt idx="15">
                  <c:v>19</c:v>
                </c:pt>
                <c:pt idx="16">
                  <c:v>19</c:v>
                </c:pt>
                <c:pt idx="17">
                  <c:v>19</c:v>
                </c:pt>
              </c:numCache>
            </c:numRef>
          </c:yVal>
          <c:smooth val="1"/>
          <c:extLst>
            <c:ext xmlns:c16="http://schemas.microsoft.com/office/drawing/2014/chart" uri="{C3380CC4-5D6E-409C-BE32-E72D297353CC}">
              <c16:uniqueId val="{00000005-D875-4E37-8C88-BFB045F731E1}"/>
            </c:ext>
          </c:extLst>
        </c:ser>
        <c:ser>
          <c:idx val="6"/>
          <c:order val="6"/>
          <c:tx>
            <c:strRef>
              <c:f>'Data sheet'!$W$6</c:f>
              <c:strCache>
                <c:ptCount val="1"/>
                <c:pt idx="0">
                  <c:v>4,375 wt.%</c:v>
                </c:pt>
              </c:strCache>
            </c:strRef>
          </c:tx>
          <c:spPr>
            <a:ln w="9360">
              <a:solidFill>
                <a:srgbClr val="4472C4"/>
              </a:solidFill>
              <a:round/>
            </a:ln>
          </c:spPr>
          <c:marker>
            <c:symbol val="circle"/>
            <c:size val="5"/>
            <c:spPr>
              <a:solidFill>
                <a:srgbClr val="4472C4"/>
              </a:solidFill>
            </c:spPr>
          </c:marker>
          <c:dLbls>
            <c:spPr>
              <a:noFill/>
              <a:ln>
                <a:noFill/>
              </a:ln>
              <a:effectLst/>
            </c:spPr>
            <c:dLblPos val="r"/>
            <c:showLegendKey val="0"/>
            <c:showVal val="0"/>
            <c:showCatName val="0"/>
            <c:showSerName val="0"/>
            <c:showPercent val="0"/>
            <c:showBubbleSize val="1"/>
            <c:showLeaderLines val="0"/>
            <c:extLst>
              <c:ext xmlns:c15="http://schemas.microsoft.com/office/drawing/2012/chart" uri="{CE6537A1-D6FC-4f65-9D91-7224C49458BB}">
                <c15:showLeaderLines val="0"/>
              </c:ext>
            </c:extLst>
          </c:dLbls>
          <c:xVal>
            <c:numRef>
              <c:f>'Data sheet'!$B$10:$B$27</c:f>
              <c:numCache>
                <c:formatCode>General</c:formatCode>
                <c:ptCount val="18"/>
                <c:pt idx="0">
                  <c:v>0</c:v>
                </c:pt>
                <c:pt idx="1">
                  <c:v>3</c:v>
                </c:pt>
                <c:pt idx="2">
                  <c:v>5</c:v>
                </c:pt>
                <c:pt idx="3">
                  <c:v>10</c:v>
                </c:pt>
                <c:pt idx="4">
                  <c:v>15</c:v>
                </c:pt>
                <c:pt idx="5">
                  <c:v>20</c:v>
                </c:pt>
                <c:pt idx="6">
                  <c:v>25</c:v>
                </c:pt>
                <c:pt idx="7">
                  <c:v>30</c:v>
                </c:pt>
                <c:pt idx="8">
                  <c:v>35</c:v>
                </c:pt>
                <c:pt idx="9">
                  <c:v>40</c:v>
                </c:pt>
                <c:pt idx="10">
                  <c:v>50</c:v>
                </c:pt>
                <c:pt idx="11">
                  <c:v>60</c:v>
                </c:pt>
                <c:pt idx="12">
                  <c:v>70</c:v>
                </c:pt>
                <c:pt idx="13">
                  <c:v>80</c:v>
                </c:pt>
                <c:pt idx="14">
                  <c:v>90</c:v>
                </c:pt>
                <c:pt idx="15">
                  <c:v>100</c:v>
                </c:pt>
                <c:pt idx="16">
                  <c:v>110</c:v>
                </c:pt>
                <c:pt idx="17">
                  <c:v>120</c:v>
                </c:pt>
              </c:numCache>
            </c:numRef>
          </c:xVal>
          <c:yVal>
            <c:numRef>
              <c:f>'Data sheet'!$W$10:$W$27</c:f>
              <c:numCache>
                <c:formatCode>General</c:formatCode>
                <c:ptCount val="18"/>
                <c:pt idx="2">
                  <c:v>0</c:v>
                </c:pt>
                <c:pt idx="3">
                  <c:v>1</c:v>
                </c:pt>
                <c:pt idx="4">
                  <c:v>2</c:v>
                </c:pt>
                <c:pt idx="5">
                  <c:v>3</c:v>
                </c:pt>
                <c:pt idx="6">
                  <c:v>4</c:v>
                </c:pt>
                <c:pt idx="7">
                  <c:v>5</c:v>
                </c:pt>
                <c:pt idx="8">
                  <c:v>6</c:v>
                </c:pt>
                <c:pt idx="9">
                  <c:v>7</c:v>
                </c:pt>
                <c:pt idx="10">
                  <c:v>9</c:v>
                </c:pt>
                <c:pt idx="11">
                  <c:v>10.5</c:v>
                </c:pt>
                <c:pt idx="12">
                  <c:v>12</c:v>
                </c:pt>
                <c:pt idx="13">
                  <c:v>13</c:v>
                </c:pt>
                <c:pt idx="14">
                  <c:v>13.5</c:v>
                </c:pt>
                <c:pt idx="15">
                  <c:v>14</c:v>
                </c:pt>
                <c:pt idx="16">
                  <c:v>14.5</c:v>
                </c:pt>
                <c:pt idx="17">
                  <c:v>15</c:v>
                </c:pt>
              </c:numCache>
            </c:numRef>
          </c:yVal>
          <c:smooth val="1"/>
          <c:extLst>
            <c:ext xmlns:c16="http://schemas.microsoft.com/office/drawing/2014/chart" uri="{C3380CC4-5D6E-409C-BE32-E72D297353CC}">
              <c16:uniqueId val="{00000006-D875-4E37-8C88-BFB045F731E1}"/>
            </c:ext>
          </c:extLst>
        </c:ser>
        <c:dLbls>
          <c:showLegendKey val="0"/>
          <c:showVal val="0"/>
          <c:showCatName val="0"/>
          <c:showSerName val="0"/>
          <c:showPercent val="0"/>
          <c:showBubbleSize val="0"/>
        </c:dLbls>
        <c:axId val="98537472"/>
        <c:axId val="98539392"/>
      </c:scatterChart>
      <c:valAx>
        <c:axId val="98537472"/>
        <c:scaling>
          <c:orientation val="minMax"/>
          <c:max val="120"/>
        </c:scaling>
        <c:delete val="0"/>
        <c:axPos val="b"/>
        <c:majorGridlines>
          <c:spPr>
            <a:ln w="9360">
              <a:solidFill>
                <a:srgbClr val="E0E5EB"/>
              </a:solidFill>
              <a:round/>
            </a:ln>
          </c:spPr>
        </c:majorGridlines>
        <c:title>
          <c:tx>
            <c:rich>
              <a:bodyPr rot="0"/>
              <a:lstStyle/>
              <a:p>
                <a:pPr>
                  <a:defRPr sz="1200" b="1" strike="noStrike" spc="-1">
                    <a:solidFill>
                      <a:srgbClr val="44546A"/>
                    </a:solidFill>
                    <a:latin typeface="Times New Roman"/>
                  </a:defRPr>
                </a:pPr>
                <a:r>
                  <a:rPr lang="en-US" sz="1200" b="1" strike="noStrike" spc="-1">
                    <a:solidFill>
                      <a:srgbClr val="44546A"/>
                    </a:solidFill>
                    <a:latin typeface="Times New Roman"/>
                  </a:rPr>
                  <a:t>Time, min</a:t>
                </a:r>
              </a:p>
            </c:rich>
          </c:tx>
          <c:layout>
            <c:manualLayout>
              <c:xMode val="edge"/>
              <c:yMode val="edge"/>
              <c:x val="0.48427524396032406"/>
              <c:y val="0.80014100900451901"/>
            </c:manualLayout>
          </c:layout>
          <c:overlay val="0"/>
        </c:title>
        <c:numFmt formatCode="General" sourceLinked="0"/>
        <c:majorTickMark val="none"/>
        <c:minorTickMark val="none"/>
        <c:tickLblPos val="nextTo"/>
        <c:spPr>
          <a:ln w="6480">
            <a:solidFill>
              <a:srgbClr val="ADB9CA"/>
            </a:solidFill>
            <a:round/>
          </a:ln>
        </c:spPr>
        <c:txPr>
          <a:bodyPr/>
          <a:lstStyle/>
          <a:p>
            <a:pPr>
              <a:defRPr sz="1000" b="1" strike="noStrike" spc="-1">
                <a:solidFill>
                  <a:srgbClr val="44546A"/>
                </a:solidFill>
                <a:latin typeface="Times New Roman"/>
              </a:defRPr>
            </a:pPr>
            <a:endParaRPr lang="en-US"/>
          </a:p>
        </c:txPr>
        <c:crossAx val="98539392"/>
        <c:crosses val="autoZero"/>
        <c:crossBetween val="midCat"/>
        <c:majorUnit val="10"/>
      </c:valAx>
      <c:valAx>
        <c:axId val="98539392"/>
        <c:scaling>
          <c:orientation val="minMax"/>
          <c:max val="35"/>
          <c:min val="0"/>
        </c:scaling>
        <c:delete val="0"/>
        <c:axPos val="l"/>
        <c:majorGridlines>
          <c:spPr>
            <a:ln w="9360">
              <a:solidFill>
                <a:srgbClr val="E0E5EB"/>
              </a:solidFill>
              <a:round/>
            </a:ln>
          </c:spPr>
        </c:majorGridlines>
        <c:title>
          <c:tx>
            <c:rich>
              <a:bodyPr rot="-5400000"/>
              <a:lstStyle/>
              <a:p>
                <a:pPr>
                  <a:defRPr sz="1200" b="1" strike="noStrike" spc="-1">
                    <a:solidFill>
                      <a:srgbClr val="44546A"/>
                    </a:solidFill>
                    <a:latin typeface="Times New Roman"/>
                  </a:defRPr>
                </a:pPr>
                <a:r>
                  <a:rPr lang="en-US" sz="1200" b="1" strike="noStrike" spc="-1">
                    <a:solidFill>
                      <a:srgbClr val="44546A"/>
                    </a:solidFill>
                    <a:latin typeface="Times New Roman"/>
                  </a:rPr>
                  <a:t>Settling down distance, mm </a:t>
                </a:r>
              </a:p>
            </c:rich>
          </c:tx>
          <c:layout>
            <c:manualLayout>
              <c:xMode val="edge"/>
              <c:yMode val="edge"/>
              <c:x val="2.8994713727132373E-2"/>
              <c:y val="0.10388868797807067"/>
            </c:manualLayout>
          </c:layout>
          <c:overlay val="0"/>
        </c:title>
        <c:numFmt formatCode="General" sourceLinked="0"/>
        <c:majorTickMark val="none"/>
        <c:minorTickMark val="none"/>
        <c:tickLblPos val="nextTo"/>
        <c:spPr>
          <a:ln w="6480">
            <a:solidFill>
              <a:srgbClr val="ADB9CA"/>
            </a:solidFill>
            <a:round/>
          </a:ln>
        </c:spPr>
        <c:txPr>
          <a:bodyPr/>
          <a:lstStyle/>
          <a:p>
            <a:pPr>
              <a:defRPr sz="1000" b="1" strike="noStrike" spc="-1">
                <a:solidFill>
                  <a:srgbClr val="44546A"/>
                </a:solidFill>
                <a:latin typeface="Times New Roman"/>
              </a:defRPr>
            </a:pPr>
            <a:endParaRPr lang="en-US"/>
          </a:p>
        </c:txPr>
        <c:crossAx val="98537472"/>
        <c:crosses val="autoZero"/>
        <c:crossBetween val="midCat"/>
      </c:valAx>
      <c:spPr>
        <a:noFill/>
        <a:ln>
          <a:noFill/>
        </a:ln>
      </c:spPr>
    </c:plotArea>
    <c:legend>
      <c:legendPos val="b"/>
      <c:layout>
        <c:manualLayout>
          <c:xMode val="edge"/>
          <c:yMode val="edge"/>
          <c:x val="3.9005008293389751E-2"/>
          <c:y val="0.88102977683471784"/>
          <c:w val="0.94327751537032611"/>
          <c:h val="9.0352713802544699E-2"/>
        </c:manualLayout>
      </c:layout>
      <c:overlay val="0"/>
      <c:spPr>
        <a:noFill/>
        <a:ln>
          <a:noFill/>
        </a:ln>
      </c:spPr>
      <c:txPr>
        <a:bodyPr/>
        <a:lstStyle/>
        <a:p>
          <a:pPr>
            <a:defRPr sz="1000"/>
          </a:pPr>
          <a:endParaRPr lang="en-US"/>
        </a:p>
      </c:txPr>
    </c:legend>
    <c:plotVisOnly val="1"/>
    <c:dispBlanksAs val="gap"/>
    <c:showDLblsOverMax val="1"/>
  </c:chart>
  <c:spPr>
    <a:solidFill>
      <a:srgbClr val="FFFFFF"/>
    </a:solidFill>
    <a:ln w="9360">
      <a:solidFill>
        <a:srgbClr val="E0E5EB"/>
      </a:solidFill>
      <a:round/>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21138211382115"/>
          <c:y val="5.31173703328768E-2"/>
          <c:w val="0.81113821138211384"/>
          <c:h val="0.69881874742765127"/>
        </c:manualLayout>
      </c:layout>
      <c:scatterChart>
        <c:scatterStyle val="lineMarker"/>
        <c:varyColors val="0"/>
        <c:ser>
          <c:idx val="0"/>
          <c:order val="0"/>
          <c:tx>
            <c:strRef>
              <c:f>'Data sheet'!$X$5</c:f>
              <c:strCache>
                <c:ptCount val="1"/>
                <c:pt idx="0">
                  <c:v>20 wt.%</c:v>
                </c:pt>
              </c:strCache>
            </c:strRef>
          </c:tx>
          <c:spPr>
            <a:ln w="19080">
              <a:solidFill>
                <a:srgbClr val="5B9BD5"/>
              </a:solidFill>
              <a:round/>
            </a:ln>
          </c:spPr>
          <c:marker>
            <c:symbol val="circle"/>
            <c:size val="5"/>
            <c:spPr>
              <a:solidFill>
                <a:srgbClr val="5B9BD5"/>
              </a:solidFill>
            </c:spPr>
          </c:marker>
          <c:dLbls>
            <c:spPr>
              <a:noFill/>
              <a:ln>
                <a:noFill/>
              </a:ln>
              <a:effectLst/>
            </c:spPr>
            <c:dLblPos val="r"/>
            <c:showLegendKey val="0"/>
            <c:showVal val="0"/>
            <c:showCatName val="0"/>
            <c:showSerName val="0"/>
            <c:showPercent val="0"/>
            <c:showBubbleSize val="1"/>
            <c:showLeaderLines val="0"/>
            <c:extLst>
              <c:ext xmlns:c15="http://schemas.microsoft.com/office/drawing/2012/chart" uri="{CE6537A1-D6FC-4f65-9D91-7224C49458BB}">
                <c15:showLeaderLines val="0"/>
              </c:ext>
            </c:extLst>
          </c:dLbls>
          <c:xVal>
            <c:numRef>
              <c:f>'Data sheet'!$B$10:$B$27</c:f>
              <c:numCache>
                <c:formatCode>General</c:formatCode>
                <c:ptCount val="18"/>
                <c:pt idx="0">
                  <c:v>0</c:v>
                </c:pt>
                <c:pt idx="1">
                  <c:v>3</c:v>
                </c:pt>
                <c:pt idx="2">
                  <c:v>5</c:v>
                </c:pt>
                <c:pt idx="3">
                  <c:v>10</c:v>
                </c:pt>
                <c:pt idx="4">
                  <c:v>15</c:v>
                </c:pt>
                <c:pt idx="5">
                  <c:v>20</c:v>
                </c:pt>
                <c:pt idx="6">
                  <c:v>25</c:v>
                </c:pt>
                <c:pt idx="7">
                  <c:v>30</c:v>
                </c:pt>
                <c:pt idx="8">
                  <c:v>35</c:v>
                </c:pt>
                <c:pt idx="9">
                  <c:v>40</c:v>
                </c:pt>
                <c:pt idx="10">
                  <c:v>50</c:v>
                </c:pt>
                <c:pt idx="11">
                  <c:v>60</c:v>
                </c:pt>
                <c:pt idx="12">
                  <c:v>70</c:v>
                </c:pt>
                <c:pt idx="13">
                  <c:v>80</c:v>
                </c:pt>
                <c:pt idx="14">
                  <c:v>90</c:v>
                </c:pt>
                <c:pt idx="15">
                  <c:v>100</c:v>
                </c:pt>
                <c:pt idx="16">
                  <c:v>110</c:v>
                </c:pt>
                <c:pt idx="17">
                  <c:v>120</c:v>
                </c:pt>
              </c:numCache>
            </c:numRef>
          </c:xVal>
          <c:yVal>
            <c:numRef>
              <c:f>'Data sheet'!$X$10:$X$27</c:f>
              <c:numCache>
                <c:formatCode>General</c:formatCode>
                <c:ptCount val="18"/>
                <c:pt idx="0">
                  <c:v>0</c:v>
                </c:pt>
                <c:pt idx="1">
                  <c:v>4</c:v>
                </c:pt>
                <c:pt idx="2">
                  <c:v>6</c:v>
                </c:pt>
                <c:pt idx="3">
                  <c:v>10</c:v>
                </c:pt>
                <c:pt idx="4">
                  <c:v>14</c:v>
                </c:pt>
                <c:pt idx="5">
                  <c:v>16.5</c:v>
                </c:pt>
                <c:pt idx="6">
                  <c:v>18</c:v>
                </c:pt>
                <c:pt idx="7">
                  <c:v>19.5</c:v>
                </c:pt>
                <c:pt idx="8">
                  <c:v>20.5</c:v>
                </c:pt>
                <c:pt idx="9">
                  <c:v>21</c:v>
                </c:pt>
                <c:pt idx="10">
                  <c:v>21.25</c:v>
                </c:pt>
                <c:pt idx="11">
                  <c:v>21.5</c:v>
                </c:pt>
                <c:pt idx="12">
                  <c:v>22</c:v>
                </c:pt>
                <c:pt idx="13">
                  <c:v>22.5</c:v>
                </c:pt>
                <c:pt idx="14">
                  <c:v>23</c:v>
                </c:pt>
                <c:pt idx="15">
                  <c:v>23.5</c:v>
                </c:pt>
                <c:pt idx="16">
                  <c:v>24</c:v>
                </c:pt>
                <c:pt idx="17">
                  <c:v>24</c:v>
                </c:pt>
              </c:numCache>
            </c:numRef>
          </c:yVal>
          <c:smooth val="1"/>
          <c:extLst>
            <c:ext xmlns:c16="http://schemas.microsoft.com/office/drawing/2014/chart" uri="{C3380CC4-5D6E-409C-BE32-E72D297353CC}">
              <c16:uniqueId val="{00000000-74BA-497A-A884-688951C23ECC}"/>
            </c:ext>
          </c:extLst>
        </c:ser>
        <c:ser>
          <c:idx val="1"/>
          <c:order val="1"/>
          <c:tx>
            <c:strRef>
              <c:f>'Data sheet'!$AA$5</c:f>
              <c:strCache>
                <c:ptCount val="1"/>
                <c:pt idx="0">
                  <c:v>25 wt.%</c:v>
                </c:pt>
              </c:strCache>
            </c:strRef>
          </c:tx>
          <c:spPr>
            <a:ln w="19080">
              <a:solidFill>
                <a:srgbClr val="ED7D31"/>
              </a:solidFill>
              <a:round/>
            </a:ln>
          </c:spPr>
          <c:marker>
            <c:symbol val="circle"/>
            <c:size val="5"/>
            <c:spPr>
              <a:solidFill>
                <a:srgbClr val="ED7D31"/>
              </a:solidFill>
            </c:spPr>
          </c:marker>
          <c:dLbls>
            <c:spPr>
              <a:noFill/>
              <a:ln>
                <a:noFill/>
              </a:ln>
              <a:effectLst/>
            </c:spPr>
            <c:dLblPos val="r"/>
            <c:showLegendKey val="0"/>
            <c:showVal val="0"/>
            <c:showCatName val="0"/>
            <c:showSerName val="0"/>
            <c:showPercent val="0"/>
            <c:showBubbleSize val="1"/>
            <c:showLeaderLines val="0"/>
            <c:extLst>
              <c:ext xmlns:c15="http://schemas.microsoft.com/office/drawing/2012/chart" uri="{CE6537A1-D6FC-4f65-9D91-7224C49458BB}">
                <c15:showLeaderLines val="0"/>
              </c:ext>
            </c:extLst>
          </c:dLbls>
          <c:xVal>
            <c:numRef>
              <c:f>'Data sheet'!$B$11:$B$27</c:f>
              <c:numCache>
                <c:formatCode>General</c:formatCode>
                <c:ptCount val="17"/>
                <c:pt idx="0">
                  <c:v>3</c:v>
                </c:pt>
                <c:pt idx="1">
                  <c:v>5</c:v>
                </c:pt>
                <c:pt idx="2">
                  <c:v>10</c:v>
                </c:pt>
                <c:pt idx="3">
                  <c:v>15</c:v>
                </c:pt>
                <c:pt idx="4">
                  <c:v>20</c:v>
                </c:pt>
                <c:pt idx="5">
                  <c:v>25</c:v>
                </c:pt>
                <c:pt idx="6">
                  <c:v>30</c:v>
                </c:pt>
                <c:pt idx="7">
                  <c:v>35</c:v>
                </c:pt>
                <c:pt idx="8">
                  <c:v>40</c:v>
                </c:pt>
                <c:pt idx="9">
                  <c:v>50</c:v>
                </c:pt>
                <c:pt idx="10">
                  <c:v>60</c:v>
                </c:pt>
                <c:pt idx="11">
                  <c:v>70</c:v>
                </c:pt>
                <c:pt idx="12">
                  <c:v>80</c:v>
                </c:pt>
                <c:pt idx="13">
                  <c:v>90</c:v>
                </c:pt>
                <c:pt idx="14">
                  <c:v>100</c:v>
                </c:pt>
                <c:pt idx="15">
                  <c:v>110</c:v>
                </c:pt>
                <c:pt idx="16">
                  <c:v>120</c:v>
                </c:pt>
              </c:numCache>
            </c:numRef>
          </c:xVal>
          <c:yVal>
            <c:numRef>
              <c:f>'Data sheet'!$AA$11:$AA$28</c:f>
              <c:numCache>
                <c:formatCode>General</c:formatCode>
                <c:ptCount val="18"/>
                <c:pt idx="2">
                  <c:v>0</c:v>
                </c:pt>
                <c:pt idx="3">
                  <c:v>1</c:v>
                </c:pt>
                <c:pt idx="4">
                  <c:v>2</c:v>
                </c:pt>
                <c:pt idx="5">
                  <c:v>3</c:v>
                </c:pt>
                <c:pt idx="6">
                  <c:v>4</c:v>
                </c:pt>
                <c:pt idx="7">
                  <c:v>5</c:v>
                </c:pt>
                <c:pt idx="8">
                  <c:v>6</c:v>
                </c:pt>
                <c:pt idx="9">
                  <c:v>8</c:v>
                </c:pt>
                <c:pt idx="10">
                  <c:v>9.5</c:v>
                </c:pt>
                <c:pt idx="11">
                  <c:v>10</c:v>
                </c:pt>
                <c:pt idx="12">
                  <c:v>10</c:v>
                </c:pt>
                <c:pt idx="13">
                  <c:v>10</c:v>
                </c:pt>
                <c:pt idx="14">
                  <c:v>10</c:v>
                </c:pt>
                <c:pt idx="15">
                  <c:v>10</c:v>
                </c:pt>
                <c:pt idx="16">
                  <c:v>10</c:v>
                </c:pt>
              </c:numCache>
            </c:numRef>
          </c:yVal>
          <c:smooth val="1"/>
          <c:extLst>
            <c:ext xmlns:c16="http://schemas.microsoft.com/office/drawing/2014/chart" uri="{C3380CC4-5D6E-409C-BE32-E72D297353CC}">
              <c16:uniqueId val="{00000001-74BA-497A-A884-688951C23ECC}"/>
            </c:ext>
          </c:extLst>
        </c:ser>
        <c:ser>
          <c:idx val="2"/>
          <c:order val="2"/>
          <c:tx>
            <c:strRef>
              <c:f>'Data sheet'!$AC$5</c:f>
              <c:strCache>
                <c:ptCount val="1"/>
                <c:pt idx="0">
                  <c:v>30 wt.%</c:v>
                </c:pt>
              </c:strCache>
            </c:strRef>
          </c:tx>
          <c:spPr>
            <a:ln w="19080">
              <a:solidFill>
                <a:srgbClr val="A5A5A5"/>
              </a:solidFill>
              <a:round/>
            </a:ln>
          </c:spPr>
          <c:marker>
            <c:symbol val="circle"/>
            <c:size val="5"/>
            <c:spPr>
              <a:solidFill>
                <a:srgbClr val="A5A5A5"/>
              </a:solidFill>
            </c:spPr>
          </c:marker>
          <c:dLbls>
            <c:spPr>
              <a:noFill/>
              <a:ln>
                <a:noFill/>
              </a:ln>
              <a:effectLst/>
            </c:spPr>
            <c:dLblPos val="r"/>
            <c:showLegendKey val="0"/>
            <c:showVal val="0"/>
            <c:showCatName val="0"/>
            <c:showSerName val="0"/>
            <c:showPercent val="0"/>
            <c:showBubbleSize val="1"/>
            <c:showLeaderLines val="0"/>
            <c:extLst>
              <c:ext xmlns:c15="http://schemas.microsoft.com/office/drawing/2012/chart" uri="{CE6537A1-D6FC-4f65-9D91-7224C49458BB}">
                <c15:showLeaderLines val="0"/>
              </c:ext>
            </c:extLst>
          </c:dLbls>
          <c:xVal>
            <c:numRef>
              <c:f>'Data sheet'!$B$11:$B$27</c:f>
              <c:numCache>
                <c:formatCode>General</c:formatCode>
                <c:ptCount val="17"/>
                <c:pt idx="0">
                  <c:v>3</c:v>
                </c:pt>
                <c:pt idx="1">
                  <c:v>5</c:v>
                </c:pt>
                <c:pt idx="2">
                  <c:v>10</c:v>
                </c:pt>
                <c:pt idx="3">
                  <c:v>15</c:v>
                </c:pt>
                <c:pt idx="4">
                  <c:v>20</c:v>
                </c:pt>
                <c:pt idx="5">
                  <c:v>25</c:v>
                </c:pt>
                <c:pt idx="6">
                  <c:v>30</c:v>
                </c:pt>
                <c:pt idx="7">
                  <c:v>35</c:v>
                </c:pt>
                <c:pt idx="8">
                  <c:v>40</c:v>
                </c:pt>
                <c:pt idx="9">
                  <c:v>50</c:v>
                </c:pt>
                <c:pt idx="10">
                  <c:v>60</c:v>
                </c:pt>
                <c:pt idx="11">
                  <c:v>70</c:v>
                </c:pt>
                <c:pt idx="12">
                  <c:v>80</c:v>
                </c:pt>
                <c:pt idx="13">
                  <c:v>90</c:v>
                </c:pt>
                <c:pt idx="14">
                  <c:v>100</c:v>
                </c:pt>
                <c:pt idx="15">
                  <c:v>110</c:v>
                </c:pt>
                <c:pt idx="16">
                  <c:v>120</c:v>
                </c:pt>
              </c:numCache>
            </c:numRef>
          </c:xVal>
          <c:yVal>
            <c:numRef>
              <c:f>'Data sheet'!$AC$11:$AC$28</c:f>
              <c:numCache>
                <c:formatCode>General</c:formatCode>
                <c:ptCount val="18"/>
                <c:pt idx="4">
                  <c:v>0</c:v>
                </c:pt>
                <c:pt idx="5">
                  <c:v>0.5</c:v>
                </c:pt>
                <c:pt idx="6">
                  <c:v>1</c:v>
                </c:pt>
                <c:pt idx="7">
                  <c:v>1.5</c:v>
                </c:pt>
                <c:pt idx="8">
                  <c:v>2</c:v>
                </c:pt>
                <c:pt idx="9">
                  <c:v>3</c:v>
                </c:pt>
                <c:pt idx="10">
                  <c:v>3.5</c:v>
                </c:pt>
                <c:pt idx="11">
                  <c:v>4</c:v>
                </c:pt>
                <c:pt idx="12">
                  <c:v>4</c:v>
                </c:pt>
                <c:pt idx="13">
                  <c:v>4</c:v>
                </c:pt>
                <c:pt idx="14">
                  <c:v>4</c:v>
                </c:pt>
                <c:pt idx="15">
                  <c:v>4</c:v>
                </c:pt>
                <c:pt idx="16">
                  <c:v>4</c:v>
                </c:pt>
              </c:numCache>
            </c:numRef>
          </c:yVal>
          <c:smooth val="1"/>
          <c:extLst>
            <c:ext xmlns:c16="http://schemas.microsoft.com/office/drawing/2014/chart" uri="{C3380CC4-5D6E-409C-BE32-E72D297353CC}">
              <c16:uniqueId val="{00000002-74BA-497A-A884-688951C23ECC}"/>
            </c:ext>
          </c:extLst>
        </c:ser>
        <c:dLbls>
          <c:showLegendKey val="0"/>
          <c:showVal val="0"/>
          <c:showCatName val="0"/>
          <c:showSerName val="0"/>
          <c:showPercent val="0"/>
          <c:showBubbleSize val="0"/>
        </c:dLbls>
        <c:axId val="48708992"/>
        <c:axId val="48715264"/>
      </c:scatterChart>
      <c:valAx>
        <c:axId val="48708992"/>
        <c:scaling>
          <c:orientation val="minMax"/>
          <c:max val="120"/>
        </c:scaling>
        <c:delete val="0"/>
        <c:axPos val="b"/>
        <c:majorGridlines>
          <c:spPr>
            <a:ln w="9360">
              <a:solidFill>
                <a:srgbClr val="D9D9D9"/>
              </a:solidFill>
              <a:round/>
            </a:ln>
          </c:spPr>
        </c:majorGridlines>
        <c:title>
          <c:tx>
            <c:rich>
              <a:bodyPr rot="0"/>
              <a:lstStyle/>
              <a:p>
                <a:pPr>
                  <a:defRPr sz="1200" b="1" strike="noStrike" spc="-1">
                    <a:solidFill>
                      <a:srgbClr val="595959"/>
                    </a:solidFill>
                    <a:latin typeface="Times New Roman"/>
                  </a:defRPr>
                </a:pPr>
                <a:r>
                  <a:rPr lang="nb-NO" sz="1200" b="1" strike="noStrike" spc="-1">
                    <a:solidFill>
                      <a:srgbClr val="595959"/>
                    </a:solidFill>
                    <a:latin typeface="Times New Roman"/>
                  </a:rPr>
                  <a:t>Time, min</a:t>
                </a:r>
              </a:p>
            </c:rich>
          </c:tx>
          <c:layout>
            <c:manualLayout>
              <c:xMode val="edge"/>
              <c:yMode val="edge"/>
              <c:x val="0.47470179032498994"/>
              <c:y val="0.82419855377673368"/>
            </c:manualLayout>
          </c:layout>
          <c:overlay val="0"/>
        </c:title>
        <c:numFmt formatCode="General" sourceLinked="0"/>
        <c:majorTickMark val="none"/>
        <c:minorTickMark val="none"/>
        <c:tickLblPos val="nextTo"/>
        <c:spPr>
          <a:ln w="9360">
            <a:solidFill>
              <a:srgbClr val="BFBFBF"/>
            </a:solidFill>
            <a:round/>
          </a:ln>
        </c:spPr>
        <c:txPr>
          <a:bodyPr/>
          <a:lstStyle/>
          <a:p>
            <a:pPr>
              <a:defRPr sz="1000" b="1" strike="noStrike" spc="-1" baseline="0">
                <a:solidFill>
                  <a:srgbClr val="595959"/>
                </a:solidFill>
                <a:latin typeface="Times New Roman"/>
              </a:defRPr>
            </a:pPr>
            <a:endParaRPr lang="en-US"/>
          </a:p>
        </c:txPr>
        <c:crossAx val="48715264"/>
        <c:crosses val="autoZero"/>
        <c:crossBetween val="midCat"/>
        <c:majorUnit val="10"/>
        <c:minorUnit val="10"/>
      </c:valAx>
      <c:valAx>
        <c:axId val="48715264"/>
        <c:scaling>
          <c:orientation val="minMax"/>
          <c:max val="25"/>
        </c:scaling>
        <c:delete val="0"/>
        <c:axPos val="l"/>
        <c:majorGridlines>
          <c:spPr>
            <a:ln w="9360">
              <a:solidFill>
                <a:srgbClr val="D9D9D9"/>
              </a:solidFill>
              <a:round/>
            </a:ln>
          </c:spPr>
        </c:majorGridlines>
        <c:title>
          <c:tx>
            <c:rich>
              <a:bodyPr rot="-5400000"/>
              <a:lstStyle/>
              <a:p>
                <a:pPr>
                  <a:defRPr sz="1200" b="1" strike="noStrike" spc="-1" baseline="0">
                    <a:solidFill>
                      <a:srgbClr val="595959"/>
                    </a:solidFill>
                    <a:latin typeface="Times New Roman"/>
                  </a:defRPr>
                </a:pPr>
                <a:r>
                  <a:rPr lang="nb-NO" sz="1200" b="1" strike="noStrike" spc="-1" baseline="0">
                    <a:solidFill>
                      <a:srgbClr val="595959"/>
                    </a:solidFill>
                    <a:latin typeface="Times New Roman"/>
                  </a:rPr>
                  <a:t>Settling down distance, mm</a:t>
                </a:r>
              </a:p>
            </c:rich>
          </c:tx>
          <c:layout>
            <c:manualLayout>
              <c:xMode val="edge"/>
              <c:yMode val="edge"/>
              <c:x val="3.7676205108507776E-2"/>
              <c:y val="0.12194660329801392"/>
            </c:manualLayout>
          </c:layout>
          <c:overlay val="0"/>
        </c:title>
        <c:numFmt formatCode="General" sourceLinked="0"/>
        <c:majorTickMark val="none"/>
        <c:minorTickMark val="none"/>
        <c:tickLblPos val="nextTo"/>
        <c:spPr>
          <a:ln w="9360">
            <a:solidFill>
              <a:srgbClr val="BFBFBF"/>
            </a:solidFill>
            <a:round/>
          </a:ln>
        </c:spPr>
        <c:txPr>
          <a:bodyPr/>
          <a:lstStyle/>
          <a:p>
            <a:pPr>
              <a:defRPr sz="1000" b="1" strike="noStrike" spc="-1" baseline="0">
                <a:solidFill>
                  <a:srgbClr val="595959"/>
                </a:solidFill>
                <a:latin typeface="Times New Roman"/>
              </a:defRPr>
            </a:pPr>
            <a:endParaRPr lang="en-US"/>
          </a:p>
        </c:txPr>
        <c:crossAx val="48708992"/>
        <c:crosses val="autoZero"/>
        <c:crossBetween val="midCat"/>
      </c:valAx>
      <c:spPr>
        <a:noFill/>
        <a:ln>
          <a:noFill/>
        </a:ln>
      </c:spPr>
    </c:plotArea>
    <c:legend>
      <c:legendPos val="b"/>
      <c:layout>
        <c:manualLayout>
          <c:xMode val="edge"/>
          <c:yMode val="edge"/>
          <c:x val="0.22673431065019312"/>
          <c:y val="0.91070998326658992"/>
          <c:w val="0.5519514329001558"/>
          <c:h val="6.7260232046965865E-2"/>
        </c:manualLayout>
      </c:layout>
      <c:overlay val="0"/>
      <c:spPr>
        <a:noFill/>
        <a:ln>
          <a:noFill/>
        </a:ln>
      </c:spPr>
    </c:legend>
    <c:plotVisOnly val="1"/>
    <c:dispBlanksAs val="gap"/>
    <c:showDLblsOverMax val="1"/>
  </c:chart>
  <c:spPr>
    <a:solidFill>
      <a:srgbClr val="FFFFFF"/>
    </a:solidFill>
    <a:ln w="9360">
      <a:solidFill>
        <a:srgbClr val="D9D9D9"/>
      </a:solidFill>
      <a:round/>
    </a:ln>
  </c:spPr>
  <c:externalData r:id="rId1">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F956ED-6F7E-442A-9592-A40547477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4082</Words>
  <Characters>23273</Characters>
  <Application>Microsoft Office Word</Application>
  <DocSecurity>0</DocSecurity>
  <Lines>193</Lines>
  <Paragraphs>54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27301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Quang Khanh</cp:lastModifiedBy>
  <cp:revision>6</cp:revision>
  <cp:lastPrinted>2015-05-12T18:31:00Z</cp:lastPrinted>
  <dcterms:created xsi:type="dcterms:W3CDTF">2022-02-16T12:26:00Z</dcterms:created>
  <dcterms:modified xsi:type="dcterms:W3CDTF">2022-02-16T13:54:00Z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