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85E04" w:rsidRPr="00B57B36" w14:paraId="77EFAE2A" w14:textId="77777777" w:rsidTr="00E85E04">
        <w:trPr>
          <w:trHeight w:val="852"/>
          <w:jc w:val="center"/>
        </w:trPr>
        <w:tc>
          <w:tcPr>
            <w:tcW w:w="6946" w:type="dxa"/>
            <w:vMerge w:val="restart"/>
            <w:tcBorders>
              <w:right w:val="single" w:sz="4" w:space="0" w:color="auto"/>
            </w:tcBorders>
          </w:tcPr>
          <w:p w14:paraId="710E452E" w14:textId="77777777" w:rsidR="00E85E04" w:rsidRPr="00B57B36" w:rsidRDefault="00E85E04" w:rsidP="00E85E04">
            <w:pPr>
              <w:pStyle w:val="CETAcknowledgementstitle"/>
              <w:rPr>
                <w:sz w:val="12"/>
                <w:szCs w:val="12"/>
                <w:lang w:eastAsia="it-IT"/>
              </w:rPr>
            </w:pPr>
            <w:bookmarkStart w:id="0" w:name="_Hlk86150516"/>
            <w:bookmarkEnd w:id="0"/>
            <w:r w:rsidRPr="00B57B36">
              <w:rPr>
                <w:rFonts w:ascii="AdvP6960" w:hAnsi="AdvP6960" w:cs="AdvP6960"/>
                <w:noProof/>
                <w:color w:val="241F20"/>
                <w:szCs w:val="18"/>
                <w:lang w:val="it-IT" w:eastAsia="it-IT"/>
              </w:rPr>
              <w:drawing>
                <wp:inline distT="0" distB="0" distL="0" distR="0" wp14:anchorId="70B400C8" wp14:editId="448EDAF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80E01C" w14:textId="77777777" w:rsidR="00E85E04" w:rsidRPr="00B57B36" w:rsidRDefault="00E85E04" w:rsidP="00E85E04">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2A226951" w14:textId="77777777" w:rsidR="00E85E04" w:rsidRPr="00B57B36" w:rsidRDefault="00E85E04" w:rsidP="00E85E04">
            <w:pPr>
              <w:spacing w:line="140" w:lineRule="atLeast"/>
              <w:jc w:val="right"/>
              <w:rPr>
                <w:rFonts w:cs="Arial"/>
                <w:sz w:val="14"/>
                <w:szCs w:val="14"/>
              </w:rPr>
            </w:pPr>
            <w:r w:rsidRPr="00B57B36">
              <w:rPr>
                <w:rFonts w:cs="Arial"/>
                <w:sz w:val="14"/>
                <w:szCs w:val="14"/>
              </w:rPr>
              <w:t>A publication of</w:t>
            </w:r>
          </w:p>
          <w:p w14:paraId="052F056C" w14:textId="77777777" w:rsidR="00E85E04" w:rsidRPr="00B57B36" w:rsidRDefault="00E85E04" w:rsidP="00E85E04">
            <w:pPr>
              <w:jc w:val="right"/>
            </w:pPr>
            <w:r w:rsidRPr="00B57B36">
              <w:rPr>
                <w:noProof/>
                <w:lang w:val="it-IT" w:eastAsia="it-IT"/>
              </w:rPr>
              <w:drawing>
                <wp:inline distT="0" distB="0" distL="0" distR="0" wp14:anchorId="3772F532" wp14:editId="5035533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85E04" w:rsidRPr="00B57B36" w14:paraId="5C63A56B" w14:textId="77777777" w:rsidTr="00E85E04">
        <w:trPr>
          <w:trHeight w:val="567"/>
          <w:jc w:val="center"/>
        </w:trPr>
        <w:tc>
          <w:tcPr>
            <w:tcW w:w="6946" w:type="dxa"/>
            <w:vMerge/>
            <w:tcBorders>
              <w:right w:val="single" w:sz="4" w:space="0" w:color="auto"/>
            </w:tcBorders>
          </w:tcPr>
          <w:p w14:paraId="40F9685C" w14:textId="77777777" w:rsidR="00E85E04" w:rsidRPr="00B57B36" w:rsidRDefault="00E85E04" w:rsidP="00E85E04">
            <w:pPr>
              <w:tabs>
                <w:tab w:val="left" w:pos="-108"/>
              </w:tabs>
            </w:pPr>
          </w:p>
        </w:tc>
        <w:tc>
          <w:tcPr>
            <w:tcW w:w="1843" w:type="dxa"/>
            <w:tcBorders>
              <w:left w:val="single" w:sz="4" w:space="0" w:color="auto"/>
              <w:bottom w:val="nil"/>
              <w:right w:val="single" w:sz="4" w:space="0" w:color="auto"/>
            </w:tcBorders>
          </w:tcPr>
          <w:p w14:paraId="3B2568DD" w14:textId="77777777" w:rsidR="00E85E04" w:rsidRPr="00B57B36" w:rsidRDefault="00E85E04" w:rsidP="00E85E04">
            <w:pPr>
              <w:spacing w:line="140" w:lineRule="atLeast"/>
              <w:jc w:val="right"/>
              <w:rPr>
                <w:rFonts w:cs="Arial"/>
                <w:sz w:val="14"/>
                <w:szCs w:val="14"/>
              </w:rPr>
            </w:pPr>
            <w:r w:rsidRPr="00B57B36">
              <w:rPr>
                <w:rFonts w:cs="Arial"/>
                <w:sz w:val="14"/>
                <w:szCs w:val="14"/>
              </w:rPr>
              <w:t>The Italian Association</w:t>
            </w:r>
          </w:p>
          <w:p w14:paraId="2534BF27" w14:textId="77777777" w:rsidR="00E85E04" w:rsidRPr="00B57B36" w:rsidRDefault="00E85E04" w:rsidP="00E85E04">
            <w:pPr>
              <w:spacing w:line="140" w:lineRule="atLeast"/>
              <w:jc w:val="right"/>
              <w:rPr>
                <w:rFonts w:cs="Arial"/>
                <w:sz w:val="14"/>
                <w:szCs w:val="14"/>
              </w:rPr>
            </w:pPr>
            <w:r w:rsidRPr="00B57B36">
              <w:rPr>
                <w:rFonts w:cs="Arial"/>
                <w:sz w:val="14"/>
                <w:szCs w:val="14"/>
              </w:rPr>
              <w:t>of Chemical Engineering</w:t>
            </w:r>
          </w:p>
          <w:p w14:paraId="7395FEFA" w14:textId="77777777" w:rsidR="00E85E04" w:rsidRPr="00B57B36" w:rsidRDefault="00E85E04" w:rsidP="00E85E04">
            <w:pPr>
              <w:spacing w:line="140" w:lineRule="atLeast"/>
              <w:jc w:val="right"/>
              <w:rPr>
                <w:rFonts w:cs="Arial"/>
                <w:sz w:val="14"/>
                <w:szCs w:val="14"/>
              </w:rPr>
            </w:pPr>
            <w:r w:rsidRPr="000D0268">
              <w:rPr>
                <w:rFonts w:cs="Arial"/>
                <w:sz w:val="13"/>
                <w:szCs w:val="13"/>
              </w:rPr>
              <w:t>Online at www.cetjournal.it</w:t>
            </w:r>
          </w:p>
        </w:tc>
      </w:tr>
      <w:tr w:rsidR="00E85E04" w:rsidRPr="00B57B36" w14:paraId="14D7ED00" w14:textId="77777777" w:rsidTr="00E85E04">
        <w:trPr>
          <w:trHeight w:val="68"/>
          <w:jc w:val="center"/>
        </w:trPr>
        <w:tc>
          <w:tcPr>
            <w:tcW w:w="8789" w:type="dxa"/>
            <w:gridSpan w:val="2"/>
          </w:tcPr>
          <w:p w14:paraId="75CDE996" w14:textId="77777777" w:rsidR="00E85E04" w:rsidRPr="0014464F" w:rsidRDefault="00E85E04" w:rsidP="00E85E04">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 xml:space="preserve">Guest Editors: </w:t>
            </w:r>
          </w:p>
          <w:p w14:paraId="77871906" w14:textId="77777777" w:rsidR="00E85E04" w:rsidRPr="00B57B36" w:rsidRDefault="00E85E04" w:rsidP="00E85E04">
            <w:pPr>
              <w:tabs>
                <w:tab w:val="left" w:pos="-108"/>
              </w:tabs>
              <w:spacing w:line="140" w:lineRule="atLeast"/>
              <w:ind w:left="-108"/>
              <w:jc w:val="left"/>
            </w:pPr>
            <w:r>
              <w:rPr>
                <w:rFonts w:ascii="Tahoma" w:hAnsi="Tahoma" w:cs="Tahoma"/>
                <w:iCs/>
                <w:color w:val="333333"/>
                <w:sz w:val="14"/>
                <w:szCs w:val="14"/>
                <w:lang w:eastAsia="it-IT"/>
              </w:rPr>
              <w:t xml:space="preserve">Copyright © </w:t>
            </w:r>
            <w:r w:rsidRPr="00B57B36">
              <w:rPr>
                <w:rFonts w:ascii="Tahoma" w:hAnsi="Tahoma" w:cs="Tahoma"/>
                <w:iCs/>
                <w:color w:val="333333"/>
                <w:sz w:val="14"/>
                <w:szCs w:val="14"/>
                <w:lang w:eastAsia="it-IT"/>
              </w:rPr>
              <w:t xml:space="preserve">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333333"/>
                <w:sz w:val="14"/>
                <w:szCs w:val="14"/>
                <w:lang w:eastAsia="it-IT"/>
              </w:rPr>
              <w:t>IS</w:t>
            </w:r>
            <w:r>
              <w:rPr>
                <w:rFonts w:ascii="Tahoma" w:hAnsi="Tahoma" w:cs="Tahoma"/>
                <w:b/>
                <w:iCs/>
                <w:color w:val="333333"/>
                <w:sz w:val="14"/>
                <w:szCs w:val="14"/>
                <w:lang w:eastAsia="it-IT"/>
              </w:rPr>
              <w:t xml:space="preserve">BN </w:t>
            </w:r>
            <w:r w:rsidRPr="00D642A9">
              <w:rPr>
                <w:rFonts w:ascii="Tahoma" w:hAnsi="Tahoma" w:cs="Tahoma"/>
                <w:sz w:val="14"/>
                <w:szCs w:val="14"/>
                <w:lang w:val="en-US"/>
              </w:rPr>
              <w:t>978-88-95608</w:t>
            </w:r>
            <w:r>
              <w:rPr>
                <w:rFonts w:ascii="Tahoma" w:hAnsi="Tahoma" w:cs="Tahoma"/>
                <w:sz w:val="14"/>
                <w:szCs w:val="14"/>
                <w:lang w:val="en-US"/>
              </w:rPr>
              <w:t xml:space="preserve">-xx-x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AABC92E" w14:textId="77777777" w:rsidR="00E85E04" w:rsidRPr="00B57B36" w:rsidRDefault="00E85E04" w:rsidP="00E85E04">
      <w:pPr>
        <w:pStyle w:val="CETAuthors"/>
        <w:sectPr w:rsidR="00E85E04" w:rsidRPr="00B57B36" w:rsidSect="00E85E04">
          <w:footerReference w:type="default" r:id="rId9"/>
          <w:footerReference w:type="first" r:id="rId10"/>
          <w:pgSz w:w="11906" w:h="16838" w:code="9"/>
          <w:pgMar w:top="1701" w:right="1418" w:bottom="1701" w:left="1701" w:header="1701" w:footer="0" w:gutter="0"/>
          <w:cols w:space="708"/>
          <w:titlePg/>
          <w:docGrid w:linePitch="360"/>
        </w:sectPr>
      </w:pPr>
    </w:p>
    <w:p w14:paraId="6B51BBAE" w14:textId="6430FF30" w:rsidR="00E85E04" w:rsidRPr="00B57B36" w:rsidRDefault="00E85E04" w:rsidP="00E85E04">
      <w:pPr>
        <w:pStyle w:val="CETTitle"/>
      </w:pPr>
      <w:r>
        <w:t xml:space="preserve">Valorisation of Macroalgae Biomass </w:t>
      </w:r>
      <w:r w:rsidR="002A1679">
        <w:t>t</w:t>
      </w:r>
      <w:r>
        <w:t>hrough Hydrothermal Carbonization for Soil Improvement</w:t>
      </w:r>
    </w:p>
    <w:p w14:paraId="3999F779" w14:textId="63325252" w:rsidR="00E85E04" w:rsidRPr="001733D3" w:rsidRDefault="00E85E04" w:rsidP="00E85E04">
      <w:pPr>
        <w:pStyle w:val="CETAuthors"/>
        <w:rPr>
          <w:lang w:val="it-IT"/>
        </w:rPr>
      </w:pPr>
      <w:r w:rsidRPr="001733D3">
        <w:rPr>
          <w:lang w:val="it-IT"/>
        </w:rPr>
        <w:t>Arturo Di Fraia</w:t>
      </w:r>
      <w:r w:rsidRPr="001733D3">
        <w:rPr>
          <w:vertAlign w:val="superscript"/>
          <w:lang w:val="it-IT"/>
        </w:rPr>
        <w:t>a</w:t>
      </w:r>
      <w:r w:rsidR="007F0038">
        <w:rPr>
          <w:vertAlign w:val="superscript"/>
          <w:lang w:val="it-IT"/>
        </w:rPr>
        <w:t>*</w:t>
      </w:r>
      <w:r w:rsidRPr="001733D3">
        <w:rPr>
          <w:lang w:val="it-IT"/>
        </w:rPr>
        <w:t>, Edoardo Miliotti</w:t>
      </w:r>
      <w:r w:rsidRPr="001733D3">
        <w:rPr>
          <w:vertAlign w:val="superscript"/>
          <w:lang w:val="it-IT"/>
        </w:rPr>
        <w:t>a</w:t>
      </w:r>
      <w:r w:rsidRPr="001733D3">
        <w:rPr>
          <w:lang w:val="it-IT"/>
        </w:rPr>
        <w:t xml:space="preserve">, </w:t>
      </w:r>
      <w:r>
        <w:rPr>
          <w:lang w:val="it-IT"/>
        </w:rPr>
        <w:t>Andrea Maria Rizzo</w:t>
      </w:r>
      <w:r>
        <w:rPr>
          <w:vertAlign w:val="superscript"/>
          <w:lang w:val="it-IT"/>
        </w:rPr>
        <w:t>a,b</w:t>
      </w:r>
      <w:r>
        <w:rPr>
          <w:lang w:val="it-IT"/>
        </w:rPr>
        <w:t>, Giulia Lotti</w:t>
      </w:r>
      <w:r>
        <w:rPr>
          <w:vertAlign w:val="superscript"/>
          <w:lang w:val="it-IT"/>
        </w:rPr>
        <w:t>a</w:t>
      </w:r>
      <w:r>
        <w:rPr>
          <w:lang w:val="it-IT"/>
        </w:rPr>
        <w:t>, Luca Rosi</w:t>
      </w:r>
      <w:r>
        <w:rPr>
          <w:vertAlign w:val="superscript"/>
          <w:lang w:val="it-IT"/>
        </w:rPr>
        <w:t>c</w:t>
      </w:r>
      <w:r>
        <w:rPr>
          <w:lang w:val="it-IT"/>
        </w:rPr>
        <w:t>, David Chiaramonti</w:t>
      </w:r>
      <w:r>
        <w:rPr>
          <w:vertAlign w:val="superscript"/>
          <w:lang w:val="it-IT"/>
        </w:rPr>
        <w:t>a,d</w:t>
      </w:r>
    </w:p>
    <w:p w14:paraId="62B7C122" w14:textId="77777777" w:rsidR="00E85E04" w:rsidRPr="00B57B36" w:rsidRDefault="00E85E04" w:rsidP="00E85E04">
      <w:pPr>
        <w:pStyle w:val="CETAddress"/>
      </w:pPr>
      <w:r w:rsidRPr="00B57B36">
        <w:rPr>
          <w:vertAlign w:val="superscript"/>
        </w:rPr>
        <w:t>a</w:t>
      </w:r>
      <w:r>
        <w:rPr>
          <w:vertAlign w:val="superscript"/>
        </w:rPr>
        <w:t xml:space="preserve"> </w:t>
      </w:r>
      <w:r w:rsidRPr="007F5129">
        <w:t>RE-CORD, Viale Kennedy 182, Scarperia e San Piero, 50038 Florence, Italy</w:t>
      </w:r>
    </w:p>
    <w:p w14:paraId="3E792FEF" w14:textId="77777777" w:rsidR="00E85E04" w:rsidRDefault="00E85E04" w:rsidP="00E85E04">
      <w:pPr>
        <w:pStyle w:val="CETAddress"/>
      </w:pPr>
      <w:r w:rsidRPr="00B57B36">
        <w:rPr>
          <w:vertAlign w:val="superscript"/>
        </w:rPr>
        <w:t>b</w:t>
      </w:r>
      <w:r>
        <w:rPr>
          <w:vertAlign w:val="superscript"/>
        </w:rPr>
        <w:t xml:space="preserve"> </w:t>
      </w:r>
      <w:r w:rsidRPr="00EF5E30">
        <w:t>Department of Industrial Engineering, University of Florence, Viale Morgagni 40, 50135 Florence, Italy</w:t>
      </w:r>
    </w:p>
    <w:p w14:paraId="4A30C3F5" w14:textId="77777777" w:rsidR="00E85E04" w:rsidRDefault="00E85E04" w:rsidP="00E85E04">
      <w:pPr>
        <w:pStyle w:val="CETAddress"/>
        <w:rPr>
          <w:lang w:val="en-US"/>
        </w:rPr>
      </w:pPr>
      <w:r>
        <w:rPr>
          <w:vertAlign w:val="superscript"/>
        </w:rPr>
        <w:t xml:space="preserve">c </w:t>
      </w:r>
      <w:r>
        <w:rPr>
          <w:lang w:val="en-US"/>
        </w:rPr>
        <w:t xml:space="preserve">Department of Chemistry, University of Florence, </w:t>
      </w:r>
      <w:r w:rsidRPr="00662B81">
        <w:rPr>
          <w:lang w:val="en-US"/>
        </w:rPr>
        <w:t>Via della Lastruccia 3-13, Sesto Fiorentino, 50019 Florence, Italy</w:t>
      </w:r>
    </w:p>
    <w:p w14:paraId="4BDA6991" w14:textId="77777777" w:rsidR="00E85E04" w:rsidRPr="001733D3" w:rsidRDefault="00E85E04" w:rsidP="00E85E04">
      <w:pPr>
        <w:pStyle w:val="CETAddress"/>
        <w:rPr>
          <w:lang w:val="en-US"/>
        </w:rPr>
      </w:pPr>
      <w:r>
        <w:rPr>
          <w:vertAlign w:val="superscript"/>
        </w:rPr>
        <w:t>d</w:t>
      </w:r>
      <w:r>
        <w:t xml:space="preserve"> </w:t>
      </w:r>
      <w:r w:rsidRPr="001733D3">
        <w:t>“Galileo Ferraris” Energy Department, Polytechnic of Turin, Corso Duca degli Abruzzi 24, I-10129 Turin, Italy</w:t>
      </w:r>
    </w:p>
    <w:p w14:paraId="1510B82B" w14:textId="5829D41E" w:rsidR="00E85E04" w:rsidRDefault="007F0038" w:rsidP="00E85E04">
      <w:pPr>
        <w:pStyle w:val="CETemail"/>
      </w:pPr>
      <w:r>
        <w:t>*arturo.difraia@re-cord.org</w:t>
      </w:r>
    </w:p>
    <w:p w14:paraId="3D7610F4" w14:textId="53513EB4" w:rsidR="00E85E04" w:rsidRDefault="00E85E04" w:rsidP="00E85E04">
      <w:pPr>
        <w:pStyle w:val="CETBodytext"/>
        <w:rPr>
          <w:lang w:val="en-GB"/>
        </w:rPr>
      </w:pPr>
      <w:r w:rsidRPr="000876F6">
        <w:rPr>
          <w:lang w:val="en-GB"/>
        </w:rPr>
        <w:t>In recent years excessive macroalgal growth</w:t>
      </w:r>
      <w:r w:rsidR="00D86E90">
        <w:rPr>
          <w:lang w:val="en-GB"/>
        </w:rPr>
        <w:t xml:space="preserve"> was observed</w:t>
      </w:r>
      <w:r w:rsidRPr="000876F6">
        <w:rPr>
          <w:lang w:val="en-GB"/>
        </w:rPr>
        <w:t xml:space="preserve"> in </w:t>
      </w:r>
      <w:r>
        <w:rPr>
          <w:lang w:val="en-GB"/>
        </w:rPr>
        <w:t xml:space="preserve">the </w:t>
      </w:r>
      <w:proofErr w:type="spellStart"/>
      <w:r w:rsidRPr="000876F6">
        <w:rPr>
          <w:lang w:val="en-GB"/>
        </w:rPr>
        <w:t>Orbetello</w:t>
      </w:r>
      <w:proofErr w:type="spellEnd"/>
      <w:r w:rsidRPr="000876F6">
        <w:rPr>
          <w:lang w:val="en-GB"/>
        </w:rPr>
        <w:t xml:space="preserve"> lagoon (Tuscany, Italy) due to eutrophication. At present, macroalgae are harvested and landfilled as a waste product.</w:t>
      </w:r>
      <w:r>
        <w:rPr>
          <w:lang w:val="en-GB"/>
        </w:rPr>
        <w:t xml:space="preserve"> This work aims</w:t>
      </w:r>
      <w:r w:rsidRPr="000876F6">
        <w:rPr>
          <w:lang w:val="en-GB"/>
        </w:rPr>
        <w:t xml:space="preserve"> to investigate the valorisation of the macroalgae through hydrothermal carbonization (HTC) process. The influences of temperature (200 – 240 °C) and residence time (2 – 4 h) on yields and </w:t>
      </w:r>
      <w:r w:rsidR="00975C0E">
        <w:rPr>
          <w:lang w:val="en-GB"/>
        </w:rPr>
        <w:t xml:space="preserve">products </w:t>
      </w:r>
      <w:r w:rsidRPr="000876F6">
        <w:rPr>
          <w:lang w:val="en-GB"/>
        </w:rPr>
        <w:t xml:space="preserve">properties products were </w:t>
      </w:r>
      <w:r>
        <w:rPr>
          <w:lang w:val="en-GB"/>
        </w:rPr>
        <w:t>investigated</w:t>
      </w:r>
      <w:r w:rsidRPr="000876F6">
        <w:rPr>
          <w:lang w:val="en-GB"/>
        </w:rPr>
        <w:t xml:space="preserve">. </w:t>
      </w:r>
      <w:r w:rsidR="00C82FCB">
        <w:rPr>
          <w:lang w:val="en-GB"/>
        </w:rPr>
        <w:t>Considering the</w:t>
      </w:r>
      <w:r w:rsidR="00642233">
        <w:rPr>
          <w:lang w:val="en-GB"/>
        </w:rPr>
        <w:t xml:space="preserve"> </w:t>
      </w:r>
      <w:r w:rsidRPr="000876F6">
        <w:rPr>
          <w:lang w:val="en-GB"/>
        </w:rPr>
        <w:t xml:space="preserve">hydrochar yield, </w:t>
      </w:r>
      <w:r>
        <w:rPr>
          <w:lang w:val="en-GB"/>
        </w:rPr>
        <w:t xml:space="preserve">the </w:t>
      </w:r>
      <w:r w:rsidRPr="000876F6">
        <w:rPr>
          <w:lang w:val="en-GB"/>
        </w:rPr>
        <w:t>temperature was the most influencing parameter and the highest value (66.4 wt</w:t>
      </w:r>
      <w:r>
        <w:rPr>
          <w:lang w:val="en-GB"/>
        </w:rPr>
        <w:t>.</w:t>
      </w:r>
      <w:r w:rsidRPr="000876F6">
        <w:rPr>
          <w:lang w:val="en-GB"/>
        </w:rPr>
        <w:t>% dry basis) was achieved at 200</w:t>
      </w:r>
      <w:r>
        <w:rPr>
          <w:lang w:val="en-GB"/>
        </w:rPr>
        <w:t xml:space="preserve"> </w:t>
      </w:r>
      <w:r w:rsidRPr="000876F6">
        <w:rPr>
          <w:lang w:val="en-GB"/>
        </w:rPr>
        <w:t>°C and 4 h. The reaction conditions</w:t>
      </w:r>
      <w:r w:rsidR="0052373A">
        <w:rPr>
          <w:lang w:val="en-GB"/>
        </w:rPr>
        <w:t xml:space="preserve"> </w:t>
      </w:r>
      <w:r w:rsidR="00D9406D" w:rsidRPr="00D9406D">
        <w:rPr>
          <w:lang w:val="en-GB"/>
        </w:rPr>
        <w:t>slightly</w:t>
      </w:r>
      <w:r w:rsidR="00D9406D">
        <w:rPr>
          <w:lang w:val="en-GB"/>
        </w:rPr>
        <w:t xml:space="preserve"> </w:t>
      </w:r>
      <w:r w:rsidR="0052373A">
        <w:rPr>
          <w:lang w:val="en-GB"/>
        </w:rPr>
        <w:t>influenced</w:t>
      </w:r>
      <w:r w:rsidRPr="000876F6">
        <w:rPr>
          <w:lang w:val="en-GB"/>
        </w:rPr>
        <w:t xml:space="preserve"> the organic carbon content of the samples</w:t>
      </w:r>
      <w:r>
        <w:rPr>
          <w:lang w:val="en-GB"/>
        </w:rPr>
        <w:t>,</w:t>
      </w:r>
      <w:r w:rsidRPr="000876F6">
        <w:rPr>
          <w:lang w:val="en-GB"/>
        </w:rPr>
        <w:t xml:space="preserve"> rang</w:t>
      </w:r>
      <w:r>
        <w:rPr>
          <w:lang w:val="en-GB"/>
        </w:rPr>
        <w:t>ing</w:t>
      </w:r>
      <w:r w:rsidRPr="000876F6">
        <w:rPr>
          <w:lang w:val="en-GB"/>
        </w:rPr>
        <w:t xml:space="preserve"> between 38.8 and 41.4 wt.%, while the highest ash content (28.1 wt.%)</w:t>
      </w:r>
      <w:r>
        <w:rPr>
          <w:lang w:val="en-GB"/>
        </w:rPr>
        <w:t>,</w:t>
      </w:r>
      <w:r w:rsidRPr="000876F6">
        <w:rPr>
          <w:lang w:val="en-GB"/>
        </w:rPr>
        <w:t xml:space="preserve"> pH (7.0) </w:t>
      </w:r>
      <w:r>
        <w:rPr>
          <w:lang w:val="en-GB"/>
        </w:rPr>
        <w:t xml:space="preserve">and electrical conductivity (6.2 </w:t>
      </w:r>
      <w:r w:rsidRPr="000876F6">
        <w:rPr>
          <w:lang w:val="en-GB"/>
        </w:rPr>
        <w:t>mS cm</w:t>
      </w:r>
      <w:r w:rsidRPr="000876F6">
        <w:rPr>
          <w:vertAlign w:val="superscript"/>
          <w:lang w:val="en-GB"/>
        </w:rPr>
        <w:t>-1</w:t>
      </w:r>
      <w:r>
        <w:rPr>
          <w:lang w:val="en-GB"/>
        </w:rPr>
        <w:t>)</w:t>
      </w:r>
      <w:r>
        <w:rPr>
          <w:vertAlign w:val="superscript"/>
          <w:lang w:val="en-GB"/>
        </w:rPr>
        <w:t xml:space="preserve"> </w:t>
      </w:r>
      <w:r w:rsidRPr="000876F6">
        <w:rPr>
          <w:lang w:val="en-GB"/>
        </w:rPr>
        <w:t xml:space="preserve">were measured at harsher reaction conditions. </w:t>
      </w:r>
      <w:r>
        <w:rPr>
          <w:lang w:val="en-GB"/>
        </w:rPr>
        <w:t xml:space="preserve">This study investigated the possible application of </w:t>
      </w:r>
      <w:r w:rsidR="006A7A23">
        <w:rPr>
          <w:lang w:val="en-GB"/>
        </w:rPr>
        <w:t xml:space="preserve">macroalgae </w:t>
      </w:r>
      <w:r>
        <w:rPr>
          <w:lang w:val="en-GB"/>
        </w:rPr>
        <w:t xml:space="preserve">hydrochar (HC) as soil improver and green peat substitute. Both pH and carbon content of the HC met the limits imposed by the Italian legislation for neutral peat and the concentration of pollutants </w:t>
      </w:r>
      <w:r w:rsidR="000005A2">
        <w:rPr>
          <w:lang w:val="en-GB"/>
        </w:rPr>
        <w:t>comply with</w:t>
      </w:r>
      <w:r>
        <w:rPr>
          <w:lang w:val="en-GB"/>
        </w:rPr>
        <w:t xml:space="preserve"> the limit for utilization as green soil amendment. Moreover, the HC were rich in macronutrients (</w:t>
      </w:r>
      <w:r>
        <w:t>Ca, K, Mg) and micronutrients (Fe, Mn) and their concentration ranged between 6.5 and 7.5 wt.% suggesting the potential application as a nutrients source for plant growth.</w:t>
      </w:r>
    </w:p>
    <w:p w14:paraId="7575377B" w14:textId="77777777" w:rsidR="00E85E04" w:rsidRDefault="00E85E04" w:rsidP="00E85E04">
      <w:pPr>
        <w:pStyle w:val="CETHeading1"/>
        <w:rPr>
          <w:lang w:val="en-GB"/>
        </w:rPr>
      </w:pPr>
      <w:r w:rsidRPr="00B57B36">
        <w:rPr>
          <w:lang w:val="en-GB"/>
        </w:rPr>
        <w:t>Introduction</w:t>
      </w:r>
    </w:p>
    <w:p w14:paraId="2CDE5788" w14:textId="08C285DE" w:rsidR="00515E78" w:rsidRPr="00C44F55" w:rsidRDefault="00515E78" w:rsidP="00515E78">
      <w:pPr>
        <w:pStyle w:val="CETBodytext"/>
        <w:rPr>
          <w:lang w:val="en-GB"/>
        </w:rPr>
      </w:pPr>
      <w:r>
        <w:rPr>
          <w:lang w:val="en-GB"/>
        </w:rPr>
        <w:t xml:space="preserve">Eutrophication is the progressive enrichment of minerals and nutrients in a water ecosystem due to land-based pollution sources such as industrial, domestic and agricultural waste. The </w:t>
      </w:r>
      <w:proofErr w:type="spellStart"/>
      <w:r>
        <w:rPr>
          <w:lang w:val="en-GB"/>
        </w:rPr>
        <w:t>Orbetello</w:t>
      </w:r>
      <w:proofErr w:type="spellEnd"/>
      <w:r>
        <w:rPr>
          <w:lang w:val="en-GB"/>
        </w:rPr>
        <w:t xml:space="preserve"> lagoon located </w:t>
      </w:r>
      <w:r w:rsidR="00642233">
        <w:rPr>
          <w:lang w:val="en-GB"/>
        </w:rPr>
        <w:t xml:space="preserve">on </w:t>
      </w:r>
      <w:r>
        <w:rPr>
          <w:lang w:val="en-GB"/>
        </w:rPr>
        <w:t>the west coast of Italy has developed a considerable increment in the proliferation of two dominant species of macroalgae</w:t>
      </w:r>
      <w:r>
        <w:rPr>
          <w:i/>
        </w:rPr>
        <w:t xml:space="preserve"> </w:t>
      </w:r>
      <w:r>
        <w:rPr>
          <w:i/>
        </w:rPr>
        <w:fldChar w:fldCharType="begin" w:fldLock="1"/>
      </w:r>
      <w:r>
        <w:rPr>
          <w:i/>
        </w:rPr>
        <w:instrText>ADDIN CSL_CITATION {"citationItems":[{"id":"ITEM-1","itemData":{"DOI":"10.1016/j.biombioe.2012.03.030","ISSN":"09619534","abstract":"The anaerobic digestion of marine macroalgae biomass could meet two currently important needs, the mitigation of the eutrophication effects and the production of renewable energy. Because of the abundance of seaweed biomass its conversion can be highly desirable and convenient, mostly for countries with long coastlines or eutrophic environments. The aim of the present work is to carry out an exploratory study of biogas production from macroalgal biomass collected from the Orbetello lagoon (Tuscany, Italy) by solely exploiting the intrinsic degradation potential of the ecosystem. A fresh algae mix and sediments has been used, as both feed and inoculum of an anaerobic digestion process under psychro-mesophilic, mesophilic and thermophilic conditions, in batch reactors, without any washing and drying treatment. The presence of sediment proved to be crucial in order to achieve a good methane yield (methane yield of 380 dm3 kg-1 VSadded) comparable with literature data obtained through different approaches. The results gave evidence that such an approach will have to be considered when planning a selective anaerobic digestion of macroalgae that could be useful in local applications for coasts and eutrophic lagoons affected by seasonal or frequent algal blooms. © 2012 Elsevier Ltd.","author":[{"dropping-particle":"","family":"Migliore","given":"G.","non-dropping-particle":"","parse-names":false,"suffix":""},{"dropping-particle":"","family":"Alisi","given":"C.","non-dropping-particle":"","parse-names":false,"suffix":""},{"dropping-particle":"","family":"Sprocati","given":"A. R.","non-dropping-particle":"","parse-names":false,"suffix":""},{"dropping-particle":"","family":"Massi","given":"E.","non-dropping-particle":"","parse-names":false,"suffix":""},{"dropping-particle":"","family":"Ciccoli","given":"R.","non-dropping-particle":"","parse-names":false,"suffix":""},{"dropping-particle":"","family":"Lenzi","given":"M.","non-dropping-particle":"","parse-names":false,"suffix":""},{"dropping-particle":"","family":"Wang","given":"A.","non-dropping-particle":"","parse-names":false,"suffix":""},{"dropping-particle":"","family":"Cremisini","given":"C.","non-dropping-particle":"","parse-names":false,"suffix":""}],"container-title":"Biomass and Bioenergy","id":"ITEM-1","issued":{"date-parts":[["2012"]]},"page":"69-77","publisher":"Elsevier Ltd","title":"Anaerobic digestion of macroalgal biomass and sediments sourced from the Orbetello lagoon, Italy","type":"article-journal","volume":"42"},"uris":["http://www.mendeley.com/documents/?uuid=9d5c8771-73e3-4afc-8191-0ad63b3afa1c"]}],"mendeley":{"formattedCitation":"(Migliore et al., 2012)","plainTextFormattedCitation":"(Migliore et al., 2012)","previouslyFormattedCitation":"[1]"},"properties":{"noteIndex":0},"schema":"https://github.com/citation-style-language/schema/raw/master/csl-citation.json"}</w:instrText>
      </w:r>
      <w:r>
        <w:rPr>
          <w:i/>
        </w:rPr>
        <w:fldChar w:fldCharType="separate"/>
      </w:r>
      <w:r w:rsidRPr="00010B89">
        <w:rPr>
          <w:noProof/>
        </w:rPr>
        <w:t>(Migliore et al., 2012)</w:t>
      </w:r>
      <w:r>
        <w:rPr>
          <w:i/>
        </w:rPr>
        <w:fldChar w:fldCharType="end"/>
      </w:r>
      <w:r>
        <w:rPr>
          <w:lang w:val="en-GB"/>
        </w:rPr>
        <w:t xml:space="preserve">. </w:t>
      </w:r>
      <w:r>
        <w:t xml:space="preserve">In spring and summer, the decomposition of these macroalgae caused </w:t>
      </w:r>
      <w:r w:rsidR="00642233">
        <w:t xml:space="preserve">the </w:t>
      </w:r>
      <w:r>
        <w:t xml:space="preserve">accumulation of organic matter and consequently an oxygen deficiency and dystrophic crisis. To mitigate this environmental issue, approximately 5000 t of these macroalgae were harvested every year and landfilled with an annual cost of almost 600k€ </w:t>
      </w:r>
      <w:r>
        <w:fldChar w:fldCharType="begin" w:fldLock="1"/>
      </w:r>
      <w:r>
        <w:instrText>ADDIN CSL_CITATION {"citationItems":[{"id":"ITEM-1","itemData":{"DOI":"10.1016/j.biombioe.2012.03.030","ISSN":"09619534","abstract":"The anaerobic digestion of marine macroalgae biomass could meet two currently important needs, the mitigation of the eutrophication effects and the production of renewable energy. Because of the abundance of seaweed biomass its conversion can be highly desirable and convenient, mostly for countries with long coastlines or eutrophic environments. The aim of the present work is to carry out an exploratory study of biogas production from macroalgal biomass collected from the Orbetello lagoon (Tuscany, Italy) by solely exploiting the intrinsic degradation potential of the ecosystem. A fresh algae mix and sediments has been used, as both feed and inoculum of an anaerobic digestion process under psychro-mesophilic, mesophilic and thermophilic conditions, in batch reactors, without any washing and drying treatment. The presence of sediment proved to be crucial in order to achieve a good methane yield (methane yield of 380 dm3 kg-1 VSadded) comparable with literature data obtained through different approaches. The results gave evidence that such an approach will have to be considered when planning a selective anaerobic digestion of macroalgae that could be useful in local applications for coasts and eutrophic lagoons affected by seasonal or frequent algal blooms. © 2012 Elsevier Ltd.","author":[{"dropping-particle":"","family":"Migliore","given":"G.","non-dropping-particle":"","parse-names":false,"suffix":""},{"dropping-particle":"","family":"Alisi","given":"C.","non-dropping-particle":"","parse-names":false,"suffix":""},{"dropping-particle":"","family":"Sprocati","given":"A. R.","non-dropping-particle":"","parse-names":false,"suffix":""},{"dropping-particle":"","family":"Massi","given":"E.","non-dropping-particle":"","parse-names":false,"suffix":""},{"dropping-particle":"","family":"Ciccoli","given":"R.","non-dropping-particle":"","parse-names":false,"suffix":""},{"dropping-particle":"","family":"Lenzi","given":"M.","non-dropping-particle":"","parse-names":false,"suffix":""},{"dropping-particle":"","family":"Wang","given":"A.","non-dropping-particle":"","parse-names":false,"suffix":""},{"dropping-particle":"","family":"Cremisini","given":"C.","non-dropping-particle":"","parse-names":false,"suffix":""}],"container-title":"Biomass and Bioenergy","id":"ITEM-1","issued":{"date-parts":[["2012"]]},"page":"69-77","publisher":"Elsevier Ltd","title":"Anaerobic digestion of macroalgal biomass and sediments sourced from the Orbetello lagoon, Italy","type":"article-journal","volume":"42"},"uris":["http://www.mendeley.com/documents/?uuid=9d5c8771-73e3-4afc-8191-0ad63b3afa1c"]}],"mendeley":{"formattedCitation":"(Migliore et al., 2012)","plainTextFormattedCitation":"(Migliore et al., 2012)","previouslyFormattedCitation":"[1]"},"properties":{"noteIndex":0},"schema":"https://github.com/citation-style-language/schema/raw/master/csl-citation.json"}</w:instrText>
      </w:r>
      <w:r>
        <w:fldChar w:fldCharType="separate"/>
      </w:r>
      <w:r w:rsidRPr="00010B89">
        <w:rPr>
          <w:noProof/>
        </w:rPr>
        <w:t>(Migliore et al., 2012)</w:t>
      </w:r>
      <w:r>
        <w:fldChar w:fldCharType="end"/>
      </w:r>
      <w:r>
        <w:t xml:space="preserve">. Some attempts have been made for valorizing this material: biofuel production </w:t>
      </w:r>
      <w:r>
        <w:fldChar w:fldCharType="begin" w:fldLock="1"/>
      </w:r>
      <w:r>
        <w:instrText>ADDIN CSL_CITATION {"citationItems":[{"id":"ITEM-1","itemData":{"DOI":"10.1016/j.biombioe.2007.12.010","ISSN":"09619534","abstract":"The diversification of different types and sources of biofuels has become an important energy issue in recent times. The aim of this work is to evaluate the use of two kinds of renewable feedstocks in order to produce biodiesel. We have analyzed the potential production of oil from two species of macroalgae considered as waste coming out from a lagoon system involved in eutrophication and from sunflower seeds. We have tested oil extraction yields of both feedstock. Furthermore, a comparison has been carried out based on the emergy approach, in order to evaluate the sustainability and environmental performance of both processes. The results show that, under present conditions, considering oil extraction yields, the production of oil from sunflower seeds is feasible, because of the lower value of transformity of the final product with respect to macroalgae. On the other hand, the results demonstrate that with improvements of oil extraction methodology, macroalgae could be considered a good residual biomass usable for biofuel production. © 2007 Elsevier Ltd. All rights reserved.","author":[{"dropping-particle":"","family":"Bastianoni","given":"Simone","non-dropping-particle":"","parse-names":false,"suffix":""},{"dropping-particle":"","family":"Coppola","given":"Fazio","non-dropping-particle":"","parse-names":false,"suffix":""},{"dropping-particle":"","family":"Tiezzi","given":"Enzo","non-dropping-particle":"","parse-names":false,"suffix":""},{"dropping-particle":"","family":"Colacevich","given":"Andrea","non-dropping-particle":"","parse-names":false,"suffix":""},{"dropping-particle":"","family":"Borghini","given":"Francesca","non-dropping-particle":"","parse-names":false,"suffix":""},{"dropping-particle":"","family":"Focardi","given":"Silvano","non-dropping-particle":"","parse-names":false,"suffix":""}],"container-title":"Biomass and Bioenergy","id":"ITEM-1","issue":"7","issued":{"date-parts":[["2008"]]},"page":"619-628","title":"Biofuel potential production from the Orbetello lagoon macroalgae: A comparison with sunflower feedstock","type":"article-journal","volume":"32"},"uris":["http://www.mendeley.com/documents/?uuid=1a33ea4c-e267-4b67-8c61-8ba13e31c6f4"]}],"mendeley":{"formattedCitation":"(Bastianoni et al., 2008)","plainTextFormattedCitation":"(Bastianoni et al., 2008)","previouslyFormattedCitation":"[2]"},"properties":{"noteIndex":0},"schema":"https://github.com/citation-style-language/schema/raw/master/csl-citation.json"}</w:instrText>
      </w:r>
      <w:r>
        <w:fldChar w:fldCharType="separate"/>
      </w:r>
      <w:r w:rsidRPr="00010B89">
        <w:rPr>
          <w:noProof/>
        </w:rPr>
        <w:t>(Bastianoni et al., 2008)</w:t>
      </w:r>
      <w:r>
        <w:fldChar w:fldCharType="end"/>
      </w:r>
      <w:r>
        <w:t xml:space="preserve">, </w:t>
      </w:r>
      <w:r w:rsidR="006A7A23">
        <w:t>c</w:t>
      </w:r>
      <w:r>
        <w:t>onversion to CH</w:t>
      </w:r>
      <w:r>
        <w:rPr>
          <w:vertAlign w:val="subscript"/>
        </w:rPr>
        <w:t>4</w:t>
      </w:r>
      <w:r>
        <w:t xml:space="preserve"> via anaerobic digestion </w:t>
      </w:r>
      <w:r>
        <w:fldChar w:fldCharType="begin" w:fldLock="1"/>
      </w:r>
      <w:r>
        <w:instrText>ADDIN CSL_CITATION {"citationItems":[{"id":"ITEM-1","itemData":{"DOI":"10.1016/j.biombioe.2012.03.030","ISSN":"09619534","abstract":"The anaerobic digestion of marine macroalgae biomass could meet two currently important needs, the mitigation of the eutrophication effects and the production of renewable energy. Because of the abundance of seaweed biomass its conversion can be highly desirable and convenient, mostly for countries with long coastlines or eutrophic environments. The aim of the present work is to carry out an exploratory study of biogas production from macroalgal biomass collected from the Orbetello lagoon (Tuscany, Italy) by solely exploiting the intrinsic degradation potential of the ecosystem. A fresh algae mix and sediments has been used, as both feed and inoculum of an anaerobic digestion process under psychro-mesophilic, mesophilic and thermophilic conditions, in batch reactors, without any washing and drying treatment. The presence of sediment proved to be crucial in order to achieve a good methane yield (methane yield of 380 dm3 kg-1 VSadded) comparable with literature data obtained through different approaches. The results gave evidence that such an approach will have to be considered when planning a selective anaerobic digestion of macroalgae that could be useful in local applications for coasts and eutrophic lagoons affected by seasonal or frequent algal blooms. © 2012 Elsevier Ltd.","author":[{"dropping-particle":"","family":"Migliore","given":"G.","non-dropping-particle":"","parse-names":false,"suffix":""},{"dropping-particle":"","family":"Alisi","given":"C.","non-dropping-particle":"","parse-names":false,"suffix":""},{"dropping-particle":"","family":"Sprocati","given":"A. R.","non-dropping-particle":"","parse-names":false,"suffix":""},{"dropping-particle":"","family":"Massi","given":"E.","non-dropping-particle":"","parse-names":false,"suffix":""},{"dropping-particle":"","family":"Ciccoli","given":"R.","non-dropping-particle":"","parse-names":false,"suffix":""},{"dropping-particle":"","family":"Lenzi","given":"M.","non-dropping-particle":"","parse-names":false,"suffix":""},{"dropping-particle":"","family":"Wang","given":"A.","non-dropping-particle":"","parse-names":false,"suffix":""},{"dropping-particle":"","family":"Cremisini","given":"C.","non-dropping-particle":"","parse-names":false,"suffix":""}],"container-title":"Biomass and Bioenergy","id":"ITEM-1","issued":{"date-parts":[["2012"]]},"page":"69-77","publisher":"Elsevier Ltd","title":"Anaerobic digestion of macroalgal biomass and sediments sourced from the Orbetello lagoon, Italy","type":"article-journal","volume":"42"},"uris":["http://www.mendeley.com/documents/?uuid=9d5c8771-73e3-4afc-8191-0ad63b3afa1c"]}],"mendeley":{"formattedCitation":"(Migliore et al., 2012)","plainTextFormattedCitation":"(Migliore et al., 2012)","previouslyFormattedCitation":"[1]"},"properties":{"noteIndex":0},"schema":"https://github.com/citation-style-language/schema/raw/master/csl-citation.json"}</w:instrText>
      </w:r>
      <w:r>
        <w:fldChar w:fldCharType="separate"/>
      </w:r>
      <w:r w:rsidRPr="00010B89">
        <w:rPr>
          <w:noProof/>
        </w:rPr>
        <w:t>(Migliore et al., 2012)</w:t>
      </w:r>
      <w:r>
        <w:fldChar w:fldCharType="end"/>
      </w:r>
      <w:r>
        <w:t xml:space="preserve"> and hydrothermal processing for </w:t>
      </w:r>
      <w:proofErr w:type="spellStart"/>
      <w:r>
        <w:t>levulinic</w:t>
      </w:r>
      <w:proofErr w:type="spellEnd"/>
      <w:r>
        <w:t xml:space="preserve"> acid production </w:t>
      </w:r>
      <w:r>
        <w:fldChar w:fldCharType="begin" w:fldLock="1"/>
      </w:r>
      <w:r>
        <w:instrText>ADDIN CSL_CITATION {"citationItems":[{"id":"ITEM-1","itemData":{"DOI":"10.3303/CET1974018","ISBN":"9788895608716","ISSN":"22839216","abstract":"In recent years, the replacement of fossil resources with renewable ones has received great interest, especially as regards the production of new valuable bio-products and bio-fuels, in order to replace the traditional petroleum-based ones. In this context, the exploitation of waste biomasses into added-value biochemicals is strongly encouraged. Among these ones, the algae ones are attracting considerable attention, in particular macroalgae which cause eutrophication problems in estuaries and lagoons, due to the drastic reduction of dissolved oxygen during their decomposition. This is true for Orbetello lagoon (Italy), where a large amount of algal biomasses is removed every year through an expensive practice, with consequent environmentally serious disposal problems. In this work, for the first time, the acid-catalyzed conversion of two different macroalgae harvested in Orbetello lagoon, Chaetomorpha linum (Muller) Kutzing and Valonia aegagropila C. Agardh, into levulinic acid was studied and optimized, adopting a one-pot hydrothermal treatment, under microwave heating and in the presence of aqueous diluted mineral acids, H2SO4 and HCl. Levulinic acid is a versatile platform chemical, classified by the United States Department of Energy as one of the top-12 promising bio-based building blocks. The effect of the main reaction parameters to give levulinic acid was investigated and discussed, in particular the type and concentration of the acid catalyst, the temperature and the reaction time. The highest levulinic acid yields of 19 wt% for Chaetomorpha linum and 16 wt% for Valonia aegagropila, calculated respect to the weight of the starting dried biomass, were reached. The achieved results are very promising and confirm the significant potential of these green algae as renewable starting feedstocks for levulinic acid production.","author":[{"dropping-particle":"","family":"Galletti","given":"Anna Maria Raspolli","non-dropping-particle":"","parse-names":false,"suffix":""},{"dropping-particle":"","family":"Antonetti","given":"Claudia","non-dropping-particle":"","parse-names":false,"suffix":""},{"dropping-particle":"","family":"Licursi","given":"Domenico","non-dropping-particle":"","parse-names":false,"suffix":""},{"dropping-particle":"","family":"Mussi","given":"Luca","non-dropping-particle":"","parse-names":false,"suffix":""},{"dropping-particle":"","family":"Balestri","given":"Elena","non-dropping-particle":"","parse-names":false,"suffix":""},{"dropping-particle":"","family":"Lardicci","given":"Claudio","non-dropping-particle":"","parse-names":false,"suffix":""}],"container-title":"Chemical Engineering Transactions","id":"ITEM-1","issue":"March 2018","issued":{"date-parts":[["2019"]]},"page":"103-108","title":"Levulinic acid production from the green macroalgae chaetomorpha linum and valonia aegagropila harvested in the orbetello lagoon","type":"article-journal","volume":"74"},"uris":["http://www.mendeley.com/documents/?uuid=db58ef22-2e43-4d96-9fe6-fe3a264caced"]}],"mendeley":{"formattedCitation":"(Galletti et al., 2019)","plainTextFormattedCitation":"(Galletti et al., 2019)","previouslyFormattedCitation":"[3]"},"properties":{"noteIndex":0},"schema":"https://github.com/citation-style-language/schema/raw/master/csl-citation.json"}</w:instrText>
      </w:r>
      <w:r>
        <w:fldChar w:fldCharType="separate"/>
      </w:r>
      <w:r w:rsidRPr="00010B89">
        <w:rPr>
          <w:noProof/>
        </w:rPr>
        <w:t>(Galletti et al., 2019)</w:t>
      </w:r>
      <w:r>
        <w:fldChar w:fldCharType="end"/>
      </w:r>
      <w:r>
        <w:t>.</w:t>
      </w:r>
      <w:r>
        <w:rPr>
          <w:lang w:val="en-GB"/>
        </w:rPr>
        <w:t xml:space="preserve"> This work proposes an alternative pathway through hydrothermal carbonization (HTC). The process is performed in a water medium at mild reaction temperatures (180 – 250 °C) and the main product is hydrochar (HC). </w:t>
      </w:r>
      <w:r w:rsidR="006A7A23">
        <w:rPr>
          <w:lang w:val="en-GB"/>
        </w:rPr>
        <w:t>Unlike pyrolysis, in HTC</w:t>
      </w:r>
      <w:r>
        <w:rPr>
          <w:lang w:val="en-GB"/>
        </w:rPr>
        <w:t xml:space="preserve"> the macroalgae could be directly converted without an </w:t>
      </w:r>
      <w:r w:rsidRPr="000876F6">
        <w:rPr>
          <w:lang w:val="en-GB"/>
        </w:rPr>
        <w:t>energy</w:t>
      </w:r>
      <w:r>
        <w:rPr>
          <w:lang w:val="en-GB"/>
        </w:rPr>
        <w:t>-</w:t>
      </w:r>
      <w:r w:rsidRPr="000876F6">
        <w:rPr>
          <w:lang w:val="en-GB"/>
        </w:rPr>
        <w:t xml:space="preserve">consuming </w:t>
      </w:r>
      <w:r>
        <w:rPr>
          <w:lang w:val="en-GB"/>
        </w:rPr>
        <w:t>drying step.</w:t>
      </w:r>
      <w:r w:rsidRPr="00C368EB">
        <w:rPr>
          <w:lang w:val="en-GB"/>
        </w:rPr>
        <w:t xml:space="preserve"> </w:t>
      </w:r>
      <w:r>
        <w:rPr>
          <w:lang w:val="en-GB"/>
        </w:rPr>
        <w:t>HC has a higher heating value (HHV) between 22 – 25 MJ kg</w:t>
      </w:r>
      <w:r w:rsidRPr="009A18A4">
        <w:rPr>
          <w:vertAlign w:val="superscript"/>
          <w:lang w:val="en-GB"/>
        </w:rPr>
        <w:t>-1</w:t>
      </w:r>
      <w:r>
        <w:rPr>
          <w:lang w:val="en-GB"/>
        </w:rPr>
        <w:t xml:space="preserve"> and high carbon content (50 – 67 wt.%) </w:t>
      </w:r>
      <w:r>
        <w:fldChar w:fldCharType="begin" w:fldLock="1"/>
      </w:r>
      <w:r>
        <w:rPr>
          <w:lang w:val="en-GB"/>
        </w:rPr>
        <w:instrText>ADDIN CSL_CITATION {"citationItems":[{"id":"ITEM-1","itemData":{"DOI":"10.1016/j.algal.2016.02.026","ISSN":"22119264","abstract":"Macroalgae have emerged as a potential future source of feedstock for the production of chemicals and biofuels. The main drawbacks of macroalgae in terms of a biofuel feedstock are its low heating value (HHV), high halogen content, high ash content and high slagging and fouling propensity. In this investigation, three species of kelps; (i) Laminaria digitata (ii) Laminaria hyperborea and (iii) Alaria esculenta have been processed by hydrothermal carbonisation (HTC) in a batch reactor at two temperatures (200 °C and 250 °C). The yields and properties of the resulting hydrochars including their HHV, CHNS, mineral content and ash fusibility properties have been determined and compared to the starting material. Significant improvement in fuel quality is observed resulting in an increase in energy density from 10 MJ/kg to typically 25 MJ/kg, which is comparable to that of a low rank coal. The results indicate significant demineralisation of the fuel, in particular a significant removal of alkali salts and chlorine. This results in improved combustion properties due to a reduction in the slagging and fouling properties of the fuel. Analysis of the HTC water phase indicates the presence of high levels of soluble organic carbon consisting of sugars and organic acids, and high levels of potassium, magnesium and phosphorous. The potential for production of bio-methane and recovery of nutrients following anaerobic treatment of the water phase is assessed. A prediction of the bio-methane yields for the different seaweeds has been calculated. Processing of biomass collected throughout the growth season indicates the influence of seasonal variation on energy and nutrient recovery.","author":[{"dropping-particle":"","family":"Smith","given":"Aidan M.","non-dropping-particle":"","parse-names":false,"suffix":""},{"dropping-particle":"","family":"Ross","given":"Andrew B.","non-dropping-particle":"","parse-names":false,"suffix":""}],"container-title":"Algal Research","id":"ITEM-1","issued":{"date-parts":[["2016"]]},"page":"1-11","publisher":"The Authors","title":"Production of bio-coal, bio-methane and fertilizer from seaweed via hydrothermal carbonisation","type":"article-journal","volume":"16"},"uris":["http://www.mendeley.com/documents/?uuid=b7cad95a-0a45-4bda-a815-c3be385a686f"]}],"mendeley":{"formattedCitation":"(Smith and Ross, 2016)","plainTextFormattedCitation":"(Smith and Ross, 2016)","previouslyFormattedCitation":"[4]"},"properties":{"noteIndex":0},"schema":"https://github.com/citation-style-language/schema/raw/master/csl-citation.json"}</w:instrText>
      </w:r>
      <w:r>
        <w:fldChar w:fldCharType="separate"/>
      </w:r>
      <w:r w:rsidRPr="00010B89">
        <w:rPr>
          <w:noProof/>
          <w:lang w:val="en-GB"/>
        </w:rPr>
        <w:t>(Smith and Ross, 2016)</w:t>
      </w:r>
      <w:r>
        <w:fldChar w:fldCharType="end"/>
      </w:r>
      <w:r>
        <w:t xml:space="preserve">. However, there are several issues </w:t>
      </w:r>
      <w:r w:rsidR="00642233">
        <w:t xml:space="preserve">with </w:t>
      </w:r>
      <w:r>
        <w:t xml:space="preserve">its application as solid fuel </w:t>
      </w:r>
      <w:r>
        <w:rPr>
          <w:lang w:val="en-GB"/>
        </w:rPr>
        <w:t xml:space="preserve">such as the high chlorine, ash and alkali metal content that could produce bed agglomeration, fouling, corrosion and slagging </w:t>
      </w:r>
      <w:r>
        <w:fldChar w:fldCharType="begin" w:fldLock="1"/>
      </w:r>
      <w:r>
        <w:rPr>
          <w:lang w:val="en-GB"/>
        </w:rPr>
        <w:instrText>ADDIN CSL_CITATION {"citationItems":[{"id":"ITEM-1","itemData":{"DOI":"10.1016/j.biortech.2007.11.036","ISSN":"09608524","PMID":"18194859","abstract":"A preliminary classification of five macroalgae from the British Isles; Fucus vesiculosus, Chorda filum, Laminaria digitata, Fucus serratus, Laminaria hyperborea, and Macrocystis pyrifera from South America, has been presented in terms of a Van Krevelen diagram. The macroalgae have been characterised for proximate and ultimate analysis, inorganic content, and calorific value. The different options for thermal conversion and behaviour under combustion and pyrolysis have been evaluated and compared to several types of terrestrial biomass including Miscanthus, short rotation Willow coppice and Oat straw. Thermal treatment of the macroalgae has been investigated using thermogravimetry (TGA) and pyrolysis-gc-ms. Combustion behaviour is investigated using TGA in an oxidising atmosphere. The suitability of macroalgae for the different thermal processing routes is discussed. Ash chemistry restricts the use of macroalgae for direct combustion and gasification. Pyrolysis produces a range of pentosans and a significant proportion of nitrogen containing compounds. High char yields are produced. © 2007 Elsevier Ltd. All rights reserved.","author":[{"dropping-particle":"","family":"Ross","given":"A. B.","non-dropping-particle":"","parse-names":false,"suffix":""},{"dropping-particle":"","family":"Jones","given":"J. M.","non-dropping-particle":"","parse-names":false,"suffix":""},{"dropping-particle":"","family":"Kubacki","given":"M. L.","non-dropping-particle":"","parse-names":false,"suffix":""},{"dropping-particle":"","family":"Bridgeman","given":"T.","non-dropping-particle":"","parse-names":false,"suffix":""}],"container-title":"Bioresource Technology","id":"ITEM-1","issue":"14","issued":{"date-parts":[["2008"]]},"page":"6494-6504","title":"Classification of macroalgae as fuel and its thermochemical behaviour","type":"article-journal","volume":"99"},"uris":["http://www.mendeley.com/documents/?uuid=28ea9a12-f57f-471a-87fb-1b1ecd9b2ed1"]}],"mendeley":{"formattedCitation":"(Ross et al., 2008)","plainTextFormattedCitation":"(Ross et al., 2008)","previouslyFormattedCitation":"[5]"},"properties":{"noteIndex":0},"schema":"https://github.com/citation-style-language/schema/raw/master/csl-citation.json"}</w:instrText>
      </w:r>
      <w:r>
        <w:fldChar w:fldCharType="separate"/>
      </w:r>
      <w:r w:rsidRPr="00010B89">
        <w:rPr>
          <w:noProof/>
          <w:lang w:val="en-GB"/>
        </w:rPr>
        <w:t>(Ross et al., 2008)</w:t>
      </w:r>
      <w:r>
        <w:fldChar w:fldCharType="end"/>
      </w:r>
      <w:r>
        <w:rPr>
          <w:lang w:val="en-GB"/>
        </w:rPr>
        <w:t xml:space="preserve">. An alternative use of the HC is the application as soil improver </w:t>
      </w:r>
      <w:r w:rsidR="006E79C2">
        <w:rPr>
          <w:lang w:val="en-GB"/>
        </w:rPr>
        <w:t>as several</w:t>
      </w:r>
      <w:r>
        <w:rPr>
          <w:lang w:val="en-GB"/>
        </w:rPr>
        <w:t xml:space="preserve"> studies reported that hydrochar could significantly improve the soil’s physical and chemical properties particularly in degraded soil </w:t>
      </w:r>
      <w:r>
        <w:fldChar w:fldCharType="begin" w:fldLock="1"/>
      </w:r>
      <w:r>
        <w:rPr>
          <w:lang w:val="en-GB"/>
        </w:rPr>
        <w:instrText>ADDIN CSL_CITATION {"citationItems":[{"id":"ITEM-1","itemData":{"DOI":"10.1016/j.cej.2021.133142","ISSN":"13858947","abstract":"With the rapid global population growth and industrial development, the promotion of sustainable agricultural production and environmental conservation has attracted great public and research interests. Application of carbonaceous materials (e.g., activated carbon, biochar, and hydrochar) for soil improvement and environmental remediation is highly recommended because of their economic viability and applicability. Hydrochars, carbonaceous solid materials with unique physicochemical properties and produced by hydrothermal carbonization (HTC) of biomass, have received wide attention due to their increasing applications as soil amendments, slow-release fertilizers, adsorbents, and energy sources. This review highlights the production of hydrochars from dry and wet feedstocks and summarizes the physicochemical properties including surface structure, porosity, nutrient content, and stability. Applications of hydrochars for soil improvement and environmental remediation are systematically analyzed and reviewed on the aspects of improving soil physicochemical and biological properties, affecting greenhouse gas emission, and remediating heavy metals and organic pollutants in water and soil environments. Finally, the knowledge gaps in the production, characterization, and application of hydrochars are addressed and the future research directions toward the development of hydrochar technology are proposed.","author":[{"dropping-particle":"","family":"Khosravi","given":"Anahita","non-dropping-particle":"","parse-names":false,"suffix":""},{"dropping-particle":"","family":"Zheng","given":"Hao","non-dropping-particle":"","parse-names":false,"suffix":""},{"dropping-particle":"","family":"Liu","given":"Qiang","non-dropping-particle":"","parse-names":false,"suffix":""},{"dropping-particle":"","family":"Hashemi","given":"Masoud","non-dropping-particle":"","parse-names":false,"suffix":""},{"dropping-particle":"","family":"Tang","given":"Yuanzhi","non-dropping-particle":"","parse-names":false,"suffix":""},{"dropping-particle":"","family":"Xing","given":"Baoshan","non-dropping-particle":"","parse-names":false,"suffix":""}],"container-title":"Chemical Engineering Journal","id":"ITEM-1","issue":"P4","issued":{"date-parts":[["2022"]]},"page":"133142","publisher":"Elsevier B.V.","title":"Production and characterization of hydrochars and their application in soil improvement and environmental remediation","type":"article-journal","volume":"430"},"uris":["http://www.mendeley.com/documents/?uuid=acf333a8-fc1a-4ffa-b25f-d991e9ffb2fd"]}],"mendeley":{"formattedCitation":"(Khosravi et al., 2022)","plainTextFormattedCitation":"(Khosravi et al., 2022)","previouslyFormattedCitation":"[6]"},"properties":{"noteIndex":0},"schema":"https://github.com/citation-style-language/schema/raw/master/csl-citation.json"}</w:instrText>
      </w:r>
      <w:r>
        <w:fldChar w:fldCharType="separate"/>
      </w:r>
      <w:r w:rsidRPr="00010B89">
        <w:rPr>
          <w:noProof/>
        </w:rPr>
        <w:t>(Khosravi et al., 2022)</w:t>
      </w:r>
      <w:r>
        <w:fldChar w:fldCharType="end"/>
      </w:r>
      <w:r w:rsidRPr="00010B89">
        <w:t>.</w:t>
      </w:r>
    </w:p>
    <w:p w14:paraId="68D0BAF8" w14:textId="1E677D34" w:rsidR="00515E78" w:rsidRDefault="00515E78" w:rsidP="000076F6">
      <w:pPr>
        <w:pStyle w:val="CETHeading1"/>
        <w:numPr>
          <w:ilvl w:val="1"/>
          <w:numId w:val="1"/>
        </w:numPr>
        <w:rPr>
          <w:lang w:val="en-GB"/>
        </w:rPr>
      </w:pPr>
      <w:r>
        <w:rPr>
          <w:lang w:val="en-GB"/>
        </w:rPr>
        <w:lastRenderedPageBreak/>
        <w:t>Materials and methods</w:t>
      </w:r>
    </w:p>
    <w:p w14:paraId="2AA1AFA3" w14:textId="77777777" w:rsidR="00515E78" w:rsidRDefault="00515E78" w:rsidP="00515E78">
      <w:pPr>
        <w:pStyle w:val="CETheadingx"/>
      </w:pPr>
      <w:r>
        <w:t>Feedstock</w:t>
      </w:r>
    </w:p>
    <w:p w14:paraId="17DBB724" w14:textId="08040555" w:rsidR="00515E78" w:rsidRPr="00FF34C8" w:rsidRDefault="006E79C2" w:rsidP="00515E78">
      <w:pPr>
        <w:pStyle w:val="CETBodytext"/>
      </w:pPr>
      <w:r>
        <w:t xml:space="preserve">The </w:t>
      </w:r>
      <w:r w:rsidR="008727F7">
        <w:t>macroalgal</w:t>
      </w:r>
      <w:r w:rsidR="00515E78">
        <w:t xml:space="preserve"> sample </w:t>
      </w:r>
      <w:r w:rsidR="00642233">
        <w:t xml:space="preserve">for </w:t>
      </w:r>
      <w:r>
        <w:t xml:space="preserve">the HTC tests, mainly consisting of the two dominant species of macroalgae in </w:t>
      </w:r>
      <w:proofErr w:type="spellStart"/>
      <w:r>
        <w:t>Orbetello</w:t>
      </w:r>
      <w:proofErr w:type="spellEnd"/>
      <w:r>
        <w:t xml:space="preserve"> lagoon are </w:t>
      </w:r>
      <w:proofErr w:type="spellStart"/>
      <w:r w:rsidRPr="001F25B5">
        <w:rPr>
          <w:i/>
        </w:rPr>
        <w:t>Gracilariopsis</w:t>
      </w:r>
      <w:proofErr w:type="spellEnd"/>
      <w:r w:rsidRPr="001F25B5">
        <w:rPr>
          <w:i/>
        </w:rPr>
        <w:t xml:space="preserve"> longissimi</w:t>
      </w:r>
      <w:r>
        <w:rPr>
          <w:i/>
        </w:rPr>
        <w:t xml:space="preserve"> </w:t>
      </w:r>
      <w:r>
        <w:t xml:space="preserve">and </w:t>
      </w:r>
      <w:proofErr w:type="spellStart"/>
      <w:r w:rsidRPr="001F25B5">
        <w:rPr>
          <w:i/>
        </w:rPr>
        <w:t>Chaetomorpha</w:t>
      </w:r>
      <w:proofErr w:type="spellEnd"/>
      <w:r w:rsidRPr="001F25B5">
        <w:rPr>
          <w:i/>
        </w:rPr>
        <w:t xml:space="preserve"> </w:t>
      </w:r>
      <w:proofErr w:type="spellStart"/>
      <w:r w:rsidRPr="001F25B5">
        <w:rPr>
          <w:i/>
        </w:rPr>
        <w:t>linum</w:t>
      </w:r>
      <w:proofErr w:type="spellEnd"/>
      <w:r w:rsidRPr="001F25B5" w:rsidDel="00B22CD8">
        <w:rPr>
          <w:i/>
        </w:rPr>
        <w:t xml:space="preserve"> </w:t>
      </w:r>
      <w:r>
        <w:fldChar w:fldCharType="begin" w:fldLock="1"/>
      </w:r>
      <w:r>
        <w:instrText>ADDIN CSL_CITATION {"citationItems":[{"id":"ITEM-1","itemData":{"DOI":"10.1016/j.biombioe.2007.12.010","ISSN":"09619534","abstract":"The diversification of different types and sources of biofuels has become an important energy issue in recent times. The aim of this work is to evaluate the use of two kinds of renewable feedstocks in order to produce biodiesel. We have analyzed the potential production of oil from two species of macroalgae considered as waste coming out from a lagoon system involved in eutrophication and from sunflower seeds. We have tested oil extraction yields of both feedstock. Furthermore, a comparison has been carried out based on the emergy approach, in order to evaluate the sustainability and environmental performance of both processes. The results show that, under present conditions, considering oil extraction yields, the production of oil from sunflower seeds is feasible, because of the lower value of transformity of the final product with respect to macroalgae. On the other hand, the results demonstrate that with improvements of oil extraction methodology, macroalgae could be considered a good residual biomass usable for biofuel production. © 2007 Elsevier Ltd. All rights reserved.","author":[{"dropping-particle":"","family":"Bastianoni","given":"Simone","non-dropping-particle":"","parse-names":false,"suffix":""},{"dropping-particle":"","family":"Coppola","given":"Fazio","non-dropping-particle":"","parse-names":false,"suffix":""},{"dropping-particle":"","family":"Tiezzi","given":"Enzo","non-dropping-particle":"","parse-names":false,"suffix":""},{"dropping-particle":"","family":"Colacevich","given":"Andrea","non-dropping-particle":"","parse-names":false,"suffix":""},{"dropping-particle":"","family":"Borghini","given":"Francesca","non-dropping-particle":"","parse-names":false,"suffix":""},{"dropping-particle":"","family":"Focardi","given":"Silvano","non-dropping-particle":"","parse-names":false,"suffix":""}],"container-title":"Biomass and Bioenergy","id":"ITEM-1","issue":"7","issued":{"date-parts":[["2008"]]},"page":"619-628","title":"Biofuel potential production from the Orbetello lagoon macroalgae: A comparison with sunflower feedstock","type":"article-journal","volume":"32"},"uris":["http://www.mendeley.com/documents/?uuid=1a33ea4c-e267-4b67-8c61-8ba13e31c6f4"]},{"id":"ITEM-2","itemData":{"DOI":"10.1515/botm.1996.39.1-6.491","ISSN":"00068055","abstract":"Excessive growth of seaweeds is a response of the biocenose, in a particular biotope, to a supply of nutrients. This supply may be natural or of anthropogenic origin. In the latter case, excessive growths and drifts of algae are consequences of the disturbance in the environment. Such growths are becoming increasingly widespread as the result of the progressive eutrophication of coastal waters, and now occur in at least twenty five countries worldwide. For example, particularly significant accumulations of seaweed are observed annually in Italy (1 000 000 t fresh weight). France (100 000-200 000 t), and Australia (100 000-600 000 t). The densities range from 0.2 to 400 kg m-2 the thickness of the mats from 2 to 100cm. The first part of the present review describes the worldwide phenomenon and includes information on the localities affected and the density, biomass, annual production and harvesting time of the excessive algal growths. The second part tries to analyse the phenomenon and the problems posed by seaweed decay. Lagoons, bays and shallow estuaries near industrial, agricultural and urban areas are most affected by these increases in algal growth. In temperate waters, excessive growth of macroalgae is generally observed during the summer, while in tropical waters, it occurs during the winter. At first, the development of opportunist and tolerant seaweeds acts as a purifying system. Then, when the seaweed is stranded or the environmental conditions become unfavourable, the plants die and decompose. At this stage, a large biomass can become troublesome. In summary, the impact on the environment is as follows: an increase in the herbivore population, competition or toxicity towards flora and fauna, alteration of the sediment, recycling of nutrients and pollutants in the ecosystem, nuisance for local residents and reduction of tourism. Cast weed is sometimes collected from the beaches and dumped inland, but this method of disposal merely constitutes a transfer of pollution. Consequently, different ways of treatment were developed, including composting and methanisation.","author":[{"dropping-particle":"","family":"Morand","given":"P.","non-dropping-particle":"","parse-names":false,"suffix":""},{"dropping-particle":"","family":"Briand","given":"X.","non-dropping-particle":"","parse-names":false,"suffix":""}],"container-title":"Botanica Marina","id":"ITEM-2","issue":"6","issued":{"date-parts":[["1996"]]},"page":"491-516","title":"Excessive growth of macroalgae: A symptom of environmental disturbance","type":"article-journal","volume":"39"},"uris":["http://www.mendeley.com/documents/?uuid=edd42905-dacf-4c00-85b4-10b4c7664b9b"]}],"mendeley":{"formattedCitation":"(Bastianoni et al., 2008; Morand and Briand, 1996)","plainTextFormattedCitation":"(Bastianoni et al., 2008; Morand and Briand, 1996)","previouslyFormattedCitation":"[2,7]"},"properties":{"noteIndex":0},"schema":"https://github.com/citation-style-language/schema/raw/master/csl-citation.json"}</w:instrText>
      </w:r>
      <w:r>
        <w:fldChar w:fldCharType="separate"/>
      </w:r>
      <w:r w:rsidRPr="00010B89">
        <w:rPr>
          <w:noProof/>
        </w:rPr>
        <w:t>(Bastianoni et al., 2008; Morand and Briand, 1996)</w:t>
      </w:r>
      <w:r>
        <w:fldChar w:fldCharType="end"/>
      </w:r>
      <w:r>
        <w:t xml:space="preserve">, </w:t>
      </w:r>
      <w:r w:rsidR="00515E78">
        <w:t xml:space="preserve">was provided by the University of Siena. </w:t>
      </w:r>
      <w:r w:rsidR="00515E78" w:rsidRPr="00867510">
        <w:t xml:space="preserve">Before the analyses, a manual preliminary cleaning was performed </w:t>
      </w:r>
      <w:r w:rsidR="00515E78">
        <w:t>to remove the major impurities such as shellfish.</w:t>
      </w:r>
    </w:p>
    <w:p w14:paraId="630D9906" w14:textId="77777777" w:rsidR="00515E78" w:rsidRDefault="00515E78" w:rsidP="00515E78">
      <w:pPr>
        <w:pStyle w:val="CETheadingx"/>
      </w:pPr>
      <w:bookmarkStart w:id="1" w:name="_Ref86143171"/>
      <w:r>
        <w:t>Experimental equipment and procedure</w:t>
      </w:r>
      <w:bookmarkEnd w:id="1"/>
    </w:p>
    <w:p w14:paraId="1BB456D2" w14:textId="45CD2BF2" w:rsidR="00515E78" w:rsidRPr="002E2E33" w:rsidRDefault="00515E78" w:rsidP="00515E78">
      <w:pPr>
        <w:pStyle w:val="CETBodytext"/>
      </w:pPr>
      <w:r>
        <w:t xml:space="preserve">Before the HTC tests, the macroalgae were </w:t>
      </w:r>
      <w:r w:rsidR="008727F7">
        <w:t>washed in</w:t>
      </w:r>
      <w:r>
        <w:t xml:space="preserve"> a freshwater bath at 40 °C for 1 h and then filtered (Whatman GF/B glass microfiber filter, 1 µm) to remove the small impurities and chlorine from seawater. After the pre-treatment, the macroalgae were oven-dried at 105 °C until constant weight to obtain a dried sample and milled to reduce the particles dimension. </w:t>
      </w:r>
      <w:r w:rsidR="008727F7">
        <w:t>T</w:t>
      </w:r>
      <w:r>
        <w:t>his drying step was necessary</w:t>
      </w:r>
      <w:r w:rsidR="008727F7">
        <w:t xml:space="preserve"> at lab scale</w:t>
      </w:r>
      <w:r>
        <w:t xml:space="preserve"> to ensure the repeatability of the experiments </w:t>
      </w:r>
      <w:r w:rsidR="008727F7">
        <w:t>but it</w:t>
      </w:r>
      <w:r>
        <w:t xml:space="preserve"> won’t be performed at industrial scale, as the main advantage of HTC is the possibility to process wet materials. The batch HTC tests were performed using a 160 ml Parr autoclave (model 4564) equipped with a magnetic stirrer, pressure sensor and thermocouple. During each test, approximately 10 g of macroalgae were mixed with 100 g of DI water to obtain a biomass-to-water mass ratio (B/W) of 10 wt.%. The autoclave was purged with N</w:t>
      </w:r>
      <w:r>
        <w:rPr>
          <w:vertAlign w:val="subscript"/>
        </w:rPr>
        <w:t>2</w:t>
      </w:r>
      <w:r>
        <w:t xml:space="preserve"> to ensure an inert atmosphere and to provide an initial pressure of 5 bar. The magnetic stirrer was set to 100 rpm and the reactor was heated and maintained at the desired reaction temperature for the defined residence time (RT).</w:t>
      </w:r>
      <w:r w:rsidR="00642233">
        <w:t xml:space="preserve"> </w:t>
      </w:r>
      <w:proofErr w:type="gramStart"/>
      <w:r w:rsidR="00852FC3">
        <w:t>Then</w:t>
      </w:r>
      <w:proofErr w:type="gramEnd"/>
      <w:r w:rsidRPr="00677E50">
        <w:t xml:space="preserve"> the reactor </w:t>
      </w:r>
      <w:r>
        <w:t xml:space="preserve">was </w:t>
      </w:r>
      <w:r w:rsidRPr="00677E50">
        <w:t>cooled to room temperature</w:t>
      </w:r>
      <w:r>
        <w:t xml:space="preserve"> </w:t>
      </w:r>
      <w:r w:rsidRPr="00A111F7">
        <w:t xml:space="preserve">and the gas phase was </w:t>
      </w:r>
      <w:r>
        <w:t>vented out</w:t>
      </w:r>
      <w:r w:rsidRPr="00A111F7">
        <w:t>.</w:t>
      </w:r>
      <w:r>
        <w:t xml:space="preserve"> The products were collected and vacuum filtered over a Whatman glass microfiber filter (GF/B 1 </w:t>
      </w:r>
      <w:r>
        <w:rPr>
          <w:rFonts w:eastAsia="Arial Unicode MS" w:cs="Arial Unicode MS" w:hint="eastAsia"/>
        </w:rPr>
        <w:t>µ</w:t>
      </w:r>
      <w:r>
        <w:t>m) to separate the aqueous phase (AP) from HC. The latter was then dried at 105 °C to obtain a dried sample. The products yield was calculated with Eq</w:t>
      </w:r>
      <w:r>
        <w:fldChar w:fldCharType="begin"/>
      </w:r>
      <w:r>
        <w:instrText xml:space="preserve"> REF _Ref85473101 \h </w:instrText>
      </w:r>
      <w:r>
        <w:fldChar w:fldCharType="separate"/>
      </w:r>
      <w:r>
        <w:t>(</w:t>
      </w:r>
      <w:r>
        <w:rPr>
          <w:noProof/>
        </w:rPr>
        <w:t>1</w:t>
      </w:r>
      <w:r>
        <w:fldChar w:fldCharType="end"/>
      </w:r>
      <w:r>
        <w:t xml:space="preserve">), the hydrochar yield was calculated using dried mass while the gas yield was evaluated with ideal gas law. As decarboxylation is the main reaction in hydrothermal processes </w:t>
      </w:r>
      <w:r>
        <w:rPr>
          <w:vertAlign w:val="subscript"/>
        </w:rPr>
        <w:fldChar w:fldCharType="begin" w:fldLock="1"/>
      </w:r>
      <w:r>
        <w:rPr>
          <w:vertAlign w:val="subscript"/>
        </w:rPr>
        <w:instrText>ADDIN CSL_CITATION {"citationItems":[{"id":"ITEM-1","itemData":{"DOI":"10.1039/b810100k","ISSN":"1754-5692","abstract":"Hydrothermal technologies are broadly defined as chemical and physical transformations in high-temperature (200-600 degrees C), high-pressure (5-40 MPa) liquid or supercritical water. This thermochemical means of reforming biomass may have energetic advantages, since, when water is heated at high pressures a phase change to steam is avoided which avoids large enthalpic energy penalties. Biological chemicals undergo a range of reactions, including dehydration and decarboxylation reactions, which are influenced by the temperature, pressure, concentration, and presence of homogeneous or heterogeneous catalysts. Several biomass hydrothermal conversion processes are in development or demonstration. Liquefaction processes are generally lower temperature (200-400 degrees C) reactions which produce liquid products, often called \"bio-oil'' or \"bio-crude''. Gasification processes generally take place at higher temperatures (400-700 degrees C) and can produce methane or hydrogen gases in high yields.","author":[{"dropping-particle":"","family":"Peterson","given":"Andrew A.","non-dropping-particle":"","parse-names":false,"suffix":""},{"dropping-particle":"","family":"Vogel","given":"Frédéric","non-dropping-particle":"","parse-names":false,"suffix":""},{"dropping-particle":"","family":"Lachance","given":"Russell P.","non-dropping-particle":"","parse-names":false,"suffix":""},{"dropping-particle":"","family":"Fröling","given":"Morgan","non-dropping-particle":"","parse-names":false,"suffix":""},{"dropping-particle":"","family":"Antal, Jr.","given":"Michael Jerry","non-dropping-particle":"","parse-names":false,"suffix":""},{"dropping-particle":"","family":"Tester","given":"Jefferson W.","non-dropping-particle":"","parse-names":false,"suffix":""}],"container-title":"Energy &amp; Environmental Science","id":"ITEM-1","issue":"1","issued":{"date-parts":[["2008"]]},"note":"Riassunto di HTL, HTG catalitico (bassa T) e non catalitico (alta T).\nc'è un po' di tutto qua!\n\nProprietà acqua,\nDescrizione lignina, cellulosa, emicellulosa\n\nStato dell'arte \nBelle immagini\n\nViscosity (cps)\n15 000 @ 61 °C\n\nZrO2 used as a support for metal catalyst as ruthenium, rhodium, nickel in HTG","page":"32-65","title":"Thermochemical biofuel production in hydrothermal media: A review of sub- and supercritical water technologies","type":"article-journal","volume":"1"},"uris":["http://www.mendeley.com/documents/?uuid=17e3a0db-62b4-4b25-b7df-2ea22580f958"]}],"mendeley":{"formattedCitation":"(Peterson et al., 2008)","plainTextFormattedCitation":"(Peterson et al., 2008)","previouslyFormattedCitation":"[8]"},"properties":{"noteIndex":0},"schema":"https://github.com/citation-style-language/schema/raw/master/csl-citation.json"}</w:instrText>
      </w:r>
      <w:r>
        <w:rPr>
          <w:vertAlign w:val="subscript"/>
        </w:rPr>
        <w:fldChar w:fldCharType="separate"/>
      </w:r>
      <w:r w:rsidRPr="00010B89">
        <w:rPr>
          <w:noProof/>
        </w:rPr>
        <w:t>(Peterson et al., 2008)</w:t>
      </w:r>
      <w:r>
        <w:rPr>
          <w:vertAlign w:val="subscript"/>
        </w:rPr>
        <w:fldChar w:fldCharType="end"/>
      </w:r>
      <w:r>
        <w:t xml:space="preserve">, the gas was considered as composed only </w:t>
      </w:r>
      <w:r w:rsidR="00642233">
        <w:t xml:space="preserve">of </w:t>
      </w:r>
      <w:r w:rsidR="00852FC3">
        <w:t>by</w:t>
      </w:r>
      <w:r>
        <w:t>CO</w:t>
      </w:r>
      <w:r w:rsidRPr="002E2E33">
        <w:rPr>
          <w:vertAlign w:val="subscript"/>
        </w:rPr>
        <w:t>2</w:t>
      </w:r>
      <w:r>
        <w:t>.</w:t>
      </w:r>
      <w:r>
        <w:rPr>
          <w:rFonts w:cs="Arial"/>
        </w:rPr>
        <w:t xml:space="preserve"> The fraction of soluble organics (water-soluble organics – WSO) in the aqueous phase was calculated by difference, including the unrecovered fraction.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2"/>
        <w:gridCol w:w="1255"/>
      </w:tblGrid>
      <w:tr w:rsidR="00515E78" w:rsidRPr="00886FED" w14:paraId="616551A3" w14:textId="77777777" w:rsidTr="00864DF7">
        <w:tc>
          <w:tcPr>
            <w:tcW w:w="7532" w:type="dxa"/>
            <w:vAlign w:val="center"/>
          </w:tcPr>
          <w:p w14:paraId="70736F62" w14:textId="77777777" w:rsidR="00515E78" w:rsidRPr="006E6479" w:rsidRDefault="00515E78" w:rsidP="00864DF7">
            <w:pPr>
              <w:pStyle w:val="CETEquation"/>
            </w:pPr>
            <m:oMath>
              <m:r>
                <w:rPr>
                  <w:rFonts w:ascii="Cambria Math" w:eastAsia="Cambria Math" w:hAnsi="Cambria Math"/>
                </w:rPr>
                <m:t>Yield</m:t>
              </m:r>
              <m:r>
                <m:rPr>
                  <m:sty m:val="p"/>
                </m:rPr>
                <w:rPr>
                  <w:rFonts w:ascii="Cambria Math" w:eastAsia="Cambria Math" w:hAnsi="Cambria Math"/>
                </w:rPr>
                <m:t xml:space="preserve"> (%)= </m:t>
              </m:r>
              <m:f>
                <m:fPr>
                  <m:ctrlPr>
                    <w:rPr>
                      <w:rFonts w:ascii="Cambria Math" w:hAnsi="Cambria Math"/>
                    </w:rPr>
                  </m:ctrlPr>
                </m:fPr>
                <m:num>
                  <m:r>
                    <w:rPr>
                      <w:rFonts w:ascii="Cambria Math" w:eastAsia="Cambria Math" w:hAnsi="Cambria Math"/>
                    </w:rPr>
                    <m:t>product</m:t>
                  </m:r>
                  <m:r>
                    <m:rPr>
                      <m:sty m:val="p"/>
                    </m:rPr>
                    <w:rPr>
                      <w:rFonts w:ascii="Cambria Math" w:eastAsia="Cambria Math" w:hAnsi="Cambria Math"/>
                    </w:rPr>
                    <m:t xml:space="preserve"> </m:t>
                  </m:r>
                  <m:r>
                    <w:rPr>
                      <w:rFonts w:ascii="Cambria Math" w:eastAsia="Cambria Math" w:hAnsi="Cambria Math"/>
                    </w:rPr>
                    <m:t>mass</m:t>
                  </m:r>
                </m:num>
                <m:den>
                  <m:r>
                    <w:rPr>
                      <w:rFonts w:ascii="Cambria Math" w:eastAsia="Cambria Math" w:hAnsi="Cambria Math"/>
                    </w:rPr>
                    <m:t>feedstock</m:t>
                  </m:r>
                  <m:r>
                    <m:rPr>
                      <m:sty m:val="p"/>
                    </m:rPr>
                    <w:rPr>
                      <w:rFonts w:ascii="Cambria Math" w:eastAsia="Cambria Math" w:hAnsi="Cambria Math"/>
                    </w:rPr>
                    <m:t xml:space="preserve"> </m:t>
                  </m:r>
                  <m:r>
                    <w:rPr>
                      <w:rFonts w:ascii="Cambria Math" w:eastAsia="Cambria Math" w:hAnsi="Cambria Math"/>
                    </w:rPr>
                    <m:t>dry</m:t>
                  </m:r>
                  <m:r>
                    <m:rPr>
                      <m:sty m:val="p"/>
                    </m:rPr>
                    <w:rPr>
                      <w:rFonts w:ascii="Cambria Math" w:eastAsia="Cambria Math" w:hAnsi="Cambria Math"/>
                    </w:rPr>
                    <m:t xml:space="preserve"> </m:t>
                  </m:r>
                  <m:r>
                    <w:rPr>
                      <w:rFonts w:ascii="Cambria Math" w:eastAsia="Cambria Math" w:hAnsi="Cambria Math"/>
                    </w:rPr>
                    <m:t>mass</m:t>
                  </m:r>
                </m:den>
              </m:f>
            </m:oMath>
            <w:r w:rsidRPr="006E6479">
              <w:rPr>
                <w:rFonts w:eastAsia="Cambria Math"/>
              </w:rPr>
              <w:t xml:space="preserve"> </w:t>
            </w:r>
            <m:oMath>
              <m:r>
                <m:rPr>
                  <m:sty m:val="p"/>
                </m:rPr>
                <w:rPr>
                  <w:rFonts w:ascii="Cambria Math" w:hAnsi="Cambria Math"/>
                </w:rPr>
                <m:t>∙100</m:t>
              </m:r>
            </m:oMath>
          </w:p>
        </w:tc>
        <w:tc>
          <w:tcPr>
            <w:tcW w:w="1255" w:type="dxa"/>
            <w:vAlign w:val="center"/>
          </w:tcPr>
          <w:p w14:paraId="1784EC2E" w14:textId="77777777" w:rsidR="00515E78" w:rsidRPr="00886FED" w:rsidRDefault="00515E78" w:rsidP="00864DF7">
            <w:pPr>
              <w:pStyle w:val="CETEquation"/>
              <w:jc w:val="right"/>
            </w:pPr>
            <w:bookmarkStart w:id="2" w:name="_Ref85473101"/>
            <w:r>
              <w:t>(</w:t>
            </w:r>
            <w:r>
              <w:fldChar w:fldCharType="begin"/>
            </w:r>
            <w:r>
              <w:instrText xml:space="preserve"> SEQ Equation \* ARABIC </w:instrText>
            </w:r>
            <w:r>
              <w:fldChar w:fldCharType="separate"/>
            </w:r>
            <w:r>
              <w:rPr>
                <w:noProof/>
              </w:rPr>
              <w:t>1</w:t>
            </w:r>
            <w:r>
              <w:fldChar w:fldCharType="end"/>
            </w:r>
            <w:bookmarkEnd w:id="2"/>
            <w:r>
              <w:t>)</w:t>
            </w:r>
          </w:p>
        </w:tc>
      </w:tr>
    </w:tbl>
    <w:p w14:paraId="06F9CB83" w14:textId="66FB461D" w:rsidR="00515E78" w:rsidRDefault="00515E78" w:rsidP="00515E78">
      <w:r>
        <w:t>A full factorial experimental plan with two factors and two levels (temperature: 200-240</w:t>
      </w:r>
      <w:r w:rsidR="00185194">
        <w:t xml:space="preserve"> </w:t>
      </w:r>
      <w:bookmarkStart w:id="3" w:name="_GoBack"/>
      <w:bookmarkEnd w:id="3"/>
      <w:r>
        <w:t>°C; RT: 2-4 h) was defined and each experiment was at least duplicated. The influence of temperature, residence time and their mutual interaction on hydrochar yield was</w:t>
      </w:r>
      <w:r w:rsidRPr="00C141CB">
        <w:t xml:space="preserve"> assessed </w:t>
      </w:r>
      <w:r w:rsidR="00642233">
        <w:t>using</w:t>
      </w:r>
      <w:r w:rsidRPr="00C141CB">
        <w:t xml:space="preserve"> an analysis of variance (ANOVA)</w:t>
      </w:r>
      <w:r>
        <w:t>.</w:t>
      </w:r>
    </w:p>
    <w:p w14:paraId="38010648" w14:textId="77777777" w:rsidR="00515E78" w:rsidRDefault="00515E78" w:rsidP="00515E78">
      <w:pPr>
        <w:pStyle w:val="CETheadingx"/>
      </w:pPr>
      <w:r>
        <w:t>Analytical methods and chemicals</w:t>
      </w:r>
    </w:p>
    <w:p w14:paraId="1A5AB9A5" w14:textId="418E4DB1" w:rsidR="00515E78" w:rsidRDefault="00515E78" w:rsidP="00515E78">
      <w:pPr>
        <w:pStyle w:val="CETBodytext"/>
      </w:pPr>
      <w:r>
        <w:fldChar w:fldCharType="begin"/>
      </w:r>
      <w:r>
        <w:instrText xml:space="preserve"> REF _Ref92703735 \h </w:instrText>
      </w:r>
      <w:r>
        <w:fldChar w:fldCharType="separate"/>
      </w:r>
      <w:r w:rsidR="00D40EEB">
        <w:t xml:space="preserve">Table </w:t>
      </w:r>
      <w:r w:rsidR="00D40EEB">
        <w:rPr>
          <w:noProof/>
        </w:rPr>
        <w:t>1</w:t>
      </w:r>
      <w:r>
        <w:fldChar w:fldCharType="end"/>
      </w:r>
      <w:r>
        <w:t xml:space="preserve"> reports a list of norms and instruments used for each analysis, the oxygen content was determined by difference from ash, CHN and sulphur content.</w:t>
      </w:r>
    </w:p>
    <w:p w14:paraId="2590BF57" w14:textId="77777777" w:rsidR="00515E78" w:rsidRDefault="00515E78" w:rsidP="00515E78">
      <w:pPr>
        <w:pStyle w:val="CETTabletitle"/>
      </w:pPr>
      <w:bookmarkStart w:id="4" w:name="_Ref92703735"/>
      <w:r>
        <w:t xml:space="preserve">Table </w:t>
      </w:r>
      <w:r>
        <w:fldChar w:fldCharType="begin"/>
      </w:r>
      <w:r>
        <w:instrText xml:space="preserve"> SEQ Table \* ARABIC </w:instrText>
      </w:r>
      <w:r>
        <w:fldChar w:fldCharType="separate"/>
      </w:r>
      <w:r>
        <w:rPr>
          <w:noProof/>
        </w:rPr>
        <w:t>1</w:t>
      </w:r>
      <w:r>
        <w:fldChar w:fldCharType="end"/>
      </w:r>
      <w:bookmarkEnd w:id="4"/>
      <w:r>
        <w:t xml:space="preserve">: List of instruments and norms used for each analysis. (PAHs: </w:t>
      </w:r>
      <w:r>
        <w:rPr>
          <w:rFonts w:cs="Arial"/>
        </w:rPr>
        <w:t>P</w:t>
      </w:r>
      <w:r w:rsidRPr="00FF75EE">
        <w:rPr>
          <w:rFonts w:cs="Arial"/>
        </w:rPr>
        <w:t>olycyclic aromatic hydrocarbons</w:t>
      </w:r>
      <w:r>
        <w:rPr>
          <w:rFonts w:cs="Arial"/>
        </w:rPr>
        <w:t>)</w:t>
      </w:r>
    </w:p>
    <w:tbl>
      <w:tblPr>
        <w:tblW w:w="873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91"/>
        <w:gridCol w:w="2731"/>
        <w:gridCol w:w="3411"/>
      </w:tblGrid>
      <w:tr w:rsidR="00515E78" w:rsidRPr="00B57B36" w14:paraId="0626B17D" w14:textId="77777777" w:rsidTr="00864DF7">
        <w:tc>
          <w:tcPr>
            <w:tcW w:w="2591" w:type="dxa"/>
            <w:tcBorders>
              <w:top w:val="single" w:sz="12" w:space="0" w:color="008000"/>
              <w:bottom w:val="single" w:sz="6" w:space="0" w:color="008000"/>
            </w:tcBorders>
            <w:shd w:val="clear" w:color="auto" w:fill="FFFFFF"/>
          </w:tcPr>
          <w:p w14:paraId="3D0942A0" w14:textId="77777777" w:rsidR="00515E78" w:rsidRPr="002A1679" w:rsidRDefault="00515E78" w:rsidP="00864DF7">
            <w:pPr>
              <w:pStyle w:val="CETBodytext"/>
              <w:rPr>
                <w:lang w:val="en-GB"/>
              </w:rPr>
            </w:pPr>
            <w:r w:rsidRPr="002A1679">
              <w:rPr>
                <w:lang w:val="en-GB"/>
              </w:rPr>
              <w:t>Analysis</w:t>
            </w:r>
          </w:p>
        </w:tc>
        <w:tc>
          <w:tcPr>
            <w:tcW w:w="2731" w:type="dxa"/>
            <w:tcBorders>
              <w:top w:val="single" w:sz="12" w:space="0" w:color="008000"/>
              <w:bottom w:val="single" w:sz="6" w:space="0" w:color="008000"/>
            </w:tcBorders>
            <w:shd w:val="clear" w:color="auto" w:fill="FFFFFF"/>
          </w:tcPr>
          <w:p w14:paraId="274DBBAF" w14:textId="77777777" w:rsidR="00515E78" w:rsidRPr="002A1679" w:rsidRDefault="00515E78" w:rsidP="00864DF7">
            <w:pPr>
              <w:pStyle w:val="CETBodytext"/>
              <w:jc w:val="center"/>
              <w:rPr>
                <w:lang w:val="en-GB"/>
              </w:rPr>
            </w:pPr>
            <w:r w:rsidRPr="002A1679">
              <w:rPr>
                <w:lang w:val="en-GB"/>
              </w:rPr>
              <w:t>Instrument</w:t>
            </w:r>
          </w:p>
        </w:tc>
        <w:tc>
          <w:tcPr>
            <w:tcW w:w="3411" w:type="dxa"/>
            <w:tcBorders>
              <w:top w:val="single" w:sz="12" w:space="0" w:color="008000"/>
              <w:bottom w:val="single" w:sz="6" w:space="0" w:color="008000"/>
            </w:tcBorders>
            <w:shd w:val="clear" w:color="auto" w:fill="FFFFFF"/>
          </w:tcPr>
          <w:p w14:paraId="6C25EDF5" w14:textId="77777777" w:rsidR="00515E78" w:rsidRPr="002A1679" w:rsidRDefault="00515E78" w:rsidP="00864DF7">
            <w:pPr>
              <w:pStyle w:val="CETBodytext"/>
              <w:jc w:val="center"/>
              <w:rPr>
                <w:lang w:val="en-GB"/>
              </w:rPr>
            </w:pPr>
            <w:r w:rsidRPr="002A1679">
              <w:rPr>
                <w:lang w:val="en-GB"/>
              </w:rPr>
              <w:t>Norm</w:t>
            </w:r>
          </w:p>
        </w:tc>
      </w:tr>
      <w:tr w:rsidR="00515E78" w:rsidRPr="00B57B36" w14:paraId="429CFFE2" w14:textId="77777777" w:rsidTr="00864DF7">
        <w:tc>
          <w:tcPr>
            <w:tcW w:w="2591" w:type="dxa"/>
            <w:shd w:val="clear" w:color="auto" w:fill="FFFFFF"/>
          </w:tcPr>
          <w:p w14:paraId="1573C807" w14:textId="77777777" w:rsidR="00515E78" w:rsidRPr="00B57B36" w:rsidRDefault="00515E78" w:rsidP="00864DF7">
            <w:pPr>
              <w:pStyle w:val="CETBodytext"/>
              <w:rPr>
                <w:lang w:val="en-GB"/>
              </w:rPr>
            </w:pPr>
            <w:r>
              <w:rPr>
                <w:lang w:val="en-GB"/>
              </w:rPr>
              <w:t>Moisture</w:t>
            </w:r>
          </w:p>
        </w:tc>
        <w:tc>
          <w:tcPr>
            <w:tcW w:w="2731" w:type="dxa"/>
            <w:shd w:val="clear" w:color="auto" w:fill="FFFFFF"/>
          </w:tcPr>
          <w:p w14:paraId="15CD7030" w14:textId="77777777" w:rsidR="00515E78" w:rsidRPr="00B57B36" w:rsidRDefault="00515E78" w:rsidP="00864DF7">
            <w:pPr>
              <w:pStyle w:val="CETBodytext"/>
              <w:jc w:val="center"/>
              <w:rPr>
                <w:lang w:val="en-GB"/>
              </w:rPr>
            </w:pPr>
            <w:r>
              <w:rPr>
                <w:lang w:val="en-GB"/>
              </w:rPr>
              <w:t>Argo Lab TCN 200 plus</w:t>
            </w:r>
          </w:p>
        </w:tc>
        <w:tc>
          <w:tcPr>
            <w:tcW w:w="3411" w:type="dxa"/>
            <w:shd w:val="clear" w:color="auto" w:fill="FFFFFF"/>
          </w:tcPr>
          <w:p w14:paraId="0555AB65" w14:textId="77777777" w:rsidR="00515E78" w:rsidRPr="00B57B36" w:rsidRDefault="00515E78" w:rsidP="00864DF7">
            <w:pPr>
              <w:pStyle w:val="CETBodytext"/>
              <w:jc w:val="center"/>
              <w:rPr>
                <w:lang w:val="en-GB"/>
              </w:rPr>
            </w:pPr>
            <w:r>
              <w:t>UNI EN ISO 18134-2</w:t>
            </w:r>
          </w:p>
        </w:tc>
      </w:tr>
      <w:tr w:rsidR="00515E78" w:rsidRPr="00B57B36" w14:paraId="1FD51192" w14:textId="77777777" w:rsidTr="00864DF7">
        <w:tc>
          <w:tcPr>
            <w:tcW w:w="2591" w:type="dxa"/>
            <w:shd w:val="clear" w:color="auto" w:fill="FFFFFF"/>
          </w:tcPr>
          <w:p w14:paraId="1C1151CD" w14:textId="77777777" w:rsidR="00515E78" w:rsidRPr="00B57B36" w:rsidRDefault="00515E78" w:rsidP="00864DF7">
            <w:pPr>
              <w:pStyle w:val="CETBodytext"/>
              <w:ind w:right="-1"/>
              <w:rPr>
                <w:rFonts w:cs="Arial"/>
                <w:szCs w:val="18"/>
                <w:lang w:val="en-GB"/>
              </w:rPr>
            </w:pPr>
            <w:r>
              <w:rPr>
                <w:rFonts w:cs="Arial"/>
                <w:szCs w:val="18"/>
                <w:lang w:val="en-GB"/>
              </w:rPr>
              <w:t>Volatile matter</w:t>
            </w:r>
          </w:p>
        </w:tc>
        <w:tc>
          <w:tcPr>
            <w:tcW w:w="2731" w:type="dxa"/>
            <w:shd w:val="clear" w:color="auto" w:fill="FFFFFF"/>
          </w:tcPr>
          <w:p w14:paraId="5F7BF100" w14:textId="77777777" w:rsidR="00515E78" w:rsidRPr="00B57B36" w:rsidRDefault="00515E78" w:rsidP="00864DF7">
            <w:pPr>
              <w:pStyle w:val="CETBodytext"/>
              <w:ind w:right="-1"/>
              <w:jc w:val="center"/>
              <w:rPr>
                <w:rFonts w:cs="Arial"/>
                <w:szCs w:val="18"/>
                <w:lang w:val="en-GB"/>
              </w:rPr>
            </w:pPr>
            <w:r>
              <w:t>Leco TGA 701</w:t>
            </w:r>
          </w:p>
        </w:tc>
        <w:tc>
          <w:tcPr>
            <w:tcW w:w="3411" w:type="dxa"/>
            <w:shd w:val="clear" w:color="auto" w:fill="FFFFFF"/>
          </w:tcPr>
          <w:p w14:paraId="30D96A70" w14:textId="77777777" w:rsidR="00515E78" w:rsidRPr="00B57B36" w:rsidRDefault="00515E78" w:rsidP="00864DF7">
            <w:pPr>
              <w:pStyle w:val="CETBodytext"/>
              <w:ind w:right="-1"/>
              <w:jc w:val="center"/>
              <w:rPr>
                <w:rFonts w:cs="Arial"/>
                <w:szCs w:val="18"/>
                <w:lang w:val="en-GB"/>
              </w:rPr>
            </w:pPr>
            <w:r>
              <w:t xml:space="preserve">UNI </w:t>
            </w:r>
            <w:r w:rsidRPr="003321D2">
              <w:t>EN ISO 18123</w:t>
            </w:r>
          </w:p>
        </w:tc>
      </w:tr>
      <w:tr w:rsidR="00515E78" w:rsidRPr="00B57B36" w14:paraId="4E74998E" w14:textId="77777777" w:rsidTr="00864DF7">
        <w:tc>
          <w:tcPr>
            <w:tcW w:w="2591" w:type="dxa"/>
            <w:shd w:val="clear" w:color="auto" w:fill="FFFFFF"/>
          </w:tcPr>
          <w:p w14:paraId="4C0FE16F" w14:textId="77777777" w:rsidR="00515E78" w:rsidRDefault="00515E78" w:rsidP="00864DF7">
            <w:pPr>
              <w:pStyle w:val="CETBodytext"/>
              <w:ind w:right="-1"/>
              <w:rPr>
                <w:rFonts w:cs="Arial"/>
                <w:szCs w:val="18"/>
                <w:lang w:val="en-GB"/>
              </w:rPr>
            </w:pPr>
            <w:r>
              <w:rPr>
                <w:rFonts w:cs="Arial"/>
                <w:szCs w:val="18"/>
                <w:lang w:val="en-GB"/>
              </w:rPr>
              <w:t>Ash</w:t>
            </w:r>
          </w:p>
        </w:tc>
        <w:tc>
          <w:tcPr>
            <w:tcW w:w="2731" w:type="dxa"/>
            <w:shd w:val="clear" w:color="auto" w:fill="FFFFFF"/>
          </w:tcPr>
          <w:p w14:paraId="18483F89" w14:textId="77777777" w:rsidR="00515E78" w:rsidRDefault="00515E78" w:rsidP="00864DF7">
            <w:pPr>
              <w:pStyle w:val="CETBodytext"/>
              <w:ind w:right="-1"/>
              <w:jc w:val="center"/>
              <w:rPr>
                <w:rFonts w:cs="Arial"/>
                <w:szCs w:val="18"/>
                <w:lang w:val="en-GB"/>
              </w:rPr>
            </w:pPr>
            <w:r>
              <w:t>Leco TGA 701</w:t>
            </w:r>
          </w:p>
        </w:tc>
        <w:tc>
          <w:tcPr>
            <w:tcW w:w="3411" w:type="dxa"/>
            <w:shd w:val="clear" w:color="auto" w:fill="FFFFFF"/>
          </w:tcPr>
          <w:p w14:paraId="26BA26F0" w14:textId="77777777" w:rsidR="00515E78" w:rsidRDefault="00515E78" w:rsidP="00864DF7">
            <w:pPr>
              <w:pStyle w:val="CETBodytext"/>
              <w:ind w:right="-1"/>
              <w:jc w:val="center"/>
              <w:rPr>
                <w:rFonts w:cs="Arial"/>
                <w:szCs w:val="18"/>
                <w:lang w:val="en-GB"/>
              </w:rPr>
            </w:pPr>
            <w:r w:rsidRPr="003321D2">
              <w:t>UNI EN ISO 18122</w:t>
            </w:r>
          </w:p>
        </w:tc>
      </w:tr>
      <w:tr w:rsidR="00515E78" w:rsidRPr="00B57B36" w14:paraId="42088A7A" w14:textId="77777777" w:rsidTr="00864DF7">
        <w:tc>
          <w:tcPr>
            <w:tcW w:w="2591" w:type="dxa"/>
            <w:shd w:val="clear" w:color="auto" w:fill="FFFFFF"/>
          </w:tcPr>
          <w:p w14:paraId="6A33CAA7" w14:textId="77777777" w:rsidR="00515E78" w:rsidRDefault="00515E78" w:rsidP="00864DF7">
            <w:pPr>
              <w:pStyle w:val="CETBodytext"/>
              <w:ind w:right="-1"/>
              <w:rPr>
                <w:rFonts w:cs="Arial"/>
                <w:szCs w:val="18"/>
                <w:lang w:val="en-GB"/>
              </w:rPr>
            </w:pPr>
            <w:r>
              <w:rPr>
                <w:rFonts w:cs="Arial"/>
                <w:szCs w:val="18"/>
                <w:lang w:val="en-GB"/>
              </w:rPr>
              <w:t>Carbon, hydrogen and nitrogen</w:t>
            </w:r>
          </w:p>
        </w:tc>
        <w:tc>
          <w:tcPr>
            <w:tcW w:w="2731" w:type="dxa"/>
            <w:shd w:val="clear" w:color="auto" w:fill="FFFFFF"/>
          </w:tcPr>
          <w:p w14:paraId="5FF2625A" w14:textId="77777777" w:rsidR="00515E78" w:rsidRDefault="00515E78" w:rsidP="00864DF7">
            <w:pPr>
              <w:pStyle w:val="CETBodytext"/>
              <w:ind w:right="-1"/>
              <w:jc w:val="center"/>
              <w:rPr>
                <w:rFonts w:cs="Arial"/>
                <w:szCs w:val="18"/>
                <w:lang w:val="en-GB"/>
              </w:rPr>
            </w:pPr>
            <w:r w:rsidRPr="003321D2">
              <w:t>Leco T</w:t>
            </w:r>
            <w:r>
              <w:t>ru</w:t>
            </w:r>
            <w:r w:rsidRPr="003321D2">
              <w:t>S</w:t>
            </w:r>
            <w:r>
              <w:t>pec</w:t>
            </w:r>
            <w:r w:rsidRPr="003321D2">
              <w:t xml:space="preserve"> CHN</w:t>
            </w:r>
          </w:p>
        </w:tc>
        <w:tc>
          <w:tcPr>
            <w:tcW w:w="3411" w:type="dxa"/>
            <w:shd w:val="clear" w:color="auto" w:fill="FFFFFF"/>
          </w:tcPr>
          <w:p w14:paraId="70B3EFEF" w14:textId="77777777" w:rsidR="00515E78" w:rsidRDefault="00515E78" w:rsidP="00864DF7">
            <w:pPr>
              <w:pStyle w:val="CETBodytext"/>
              <w:ind w:right="-1"/>
              <w:jc w:val="center"/>
              <w:rPr>
                <w:rFonts w:cs="Arial"/>
                <w:szCs w:val="18"/>
                <w:lang w:val="en-GB"/>
              </w:rPr>
            </w:pPr>
            <w:r w:rsidRPr="003321D2">
              <w:t>UNI EN ISO 16948</w:t>
            </w:r>
          </w:p>
        </w:tc>
      </w:tr>
      <w:tr w:rsidR="00515E78" w:rsidRPr="00B57B36" w14:paraId="621AC8FD" w14:textId="77777777" w:rsidTr="00864DF7">
        <w:tc>
          <w:tcPr>
            <w:tcW w:w="2591" w:type="dxa"/>
            <w:shd w:val="clear" w:color="auto" w:fill="FFFFFF"/>
          </w:tcPr>
          <w:p w14:paraId="5CB53E77" w14:textId="77777777" w:rsidR="00515E78" w:rsidRDefault="00515E78" w:rsidP="00864DF7">
            <w:pPr>
              <w:pStyle w:val="CETBodytext"/>
              <w:ind w:right="-1"/>
              <w:rPr>
                <w:rFonts w:cs="Arial"/>
                <w:szCs w:val="18"/>
                <w:lang w:val="en-GB"/>
              </w:rPr>
            </w:pPr>
            <w:r>
              <w:rPr>
                <w:rFonts w:cs="Arial"/>
                <w:szCs w:val="18"/>
                <w:lang w:val="en-GB"/>
              </w:rPr>
              <w:t>Inorganic carbon</w:t>
            </w:r>
          </w:p>
        </w:tc>
        <w:tc>
          <w:tcPr>
            <w:tcW w:w="2731" w:type="dxa"/>
            <w:shd w:val="clear" w:color="auto" w:fill="FFFFFF"/>
          </w:tcPr>
          <w:p w14:paraId="302A3465" w14:textId="77777777" w:rsidR="00515E78" w:rsidRPr="003321D2" w:rsidRDefault="00515E78" w:rsidP="00864DF7">
            <w:pPr>
              <w:pStyle w:val="CETBodytext"/>
              <w:ind w:right="-1"/>
              <w:jc w:val="center"/>
            </w:pPr>
            <w:r>
              <w:t>Laboratory glassware</w:t>
            </w:r>
          </w:p>
        </w:tc>
        <w:tc>
          <w:tcPr>
            <w:tcW w:w="3411" w:type="dxa"/>
            <w:shd w:val="clear" w:color="auto" w:fill="FFFFFF"/>
          </w:tcPr>
          <w:p w14:paraId="5E28E660" w14:textId="77777777" w:rsidR="00515E78" w:rsidRPr="003321D2" w:rsidRDefault="00515E78" w:rsidP="00864DF7">
            <w:pPr>
              <w:pStyle w:val="CETBodytext"/>
              <w:ind w:right="-1"/>
              <w:jc w:val="center"/>
            </w:pPr>
            <w:r w:rsidRPr="008668E6">
              <w:t>D.M. 13/09/99 Met. V.1</w:t>
            </w:r>
          </w:p>
        </w:tc>
      </w:tr>
      <w:tr w:rsidR="00515E78" w:rsidRPr="00412B39" w14:paraId="41B0159D" w14:textId="77777777" w:rsidTr="00864DF7">
        <w:tc>
          <w:tcPr>
            <w:tcW w:w="2591" w:type="dxa"/>
            <w:shd w:val="clear" w:color="auto" w:fill="FFFFFF"/>
          </w:tcPr>
          <w:p w14:paraId="389D8321" w14:textId="77777777" w:rsidR="00515E78" w:rsidRDefault="00515E78" w:rsidP="00864DF7">
            <w:pPr>
              <w:pStyle w:val="CETBodytext"/>
              <w:ind w:right="-1"/>
              <w:rPr>
                <w:rFonts w:cs="Arial"/>
                <w:szCs w:val="18"/>
                <w:lang w:val="en-GB"/>
              </w:rPr>
            </w:pPr>
            <w:r>
              <w:rPr>
                <w:rFonts w:cs="Arial"/>
                <w:szCs w:val="18"/>
                <w:lang w:val="en-GB"/>
              </w:rPr>
              <w:t xml:space="preserve">Sulphur and chlorine </w:t>
            </w:r>
          </w:p>
        </w:tc>
        <w:tc>
          <w:tcPr>
            <w:tcW w:w="2731" w:type="dxa"/>
            <w:shd w:val="clear" w:color="auto" w:fill="FFFFFF"/>
          </w:tcPr>
          <w:p w14:paraId="0DBC4E13" w14:textId="77777777" w:rsidR="00515E78" w:rsidRDefault="00515E78" w:rsidP="00864DF7">
            <w:pPr>
              <w:pStyle w:val="CETBodytext"/>
              <w:ind w:right="-1"/>
              <w:jc w:val="center"/>
              <w:rPr>
                <w:rFonts w:cs="Arial"/>
                <w:szCs w:val="18"/>
                <w:lang w:val="en-GB"/>
              </w:rPr>
            </w:pPr>
            <w:r>
              <w:t>Metrohm 883 Basic IC plus</w:t>
            </w:r>
          </w:p>
        </w:tc>
        <w:tc>
          <w:tcPr>
            <w:tcW w:w="3411" w:type="dxa"/>
            <w:shd w:val="clear" w:color="auto" w:fill="FFFFFF"/>
          </w:tcPr>
          <w:p w14:paraId="0C0BF484" w14:textId="77777777" w:rsidR="00515E78" w:rsidRPr="00AA46B3" w:rsidRDefault="00515E78" w:rsidP="00864DF7">
            <w:pPr>
              <w:pStyle w:val="CETBodytext"/>
              <w:ind w:right="-1"/>
              <w:jc w:val="center"/>
              <w:rPr>
                <w:rFonts w:cs="Arial"/>
                <w:szCs w:val="18"/>
                <w:lang w:val="it-IT"/>
              </w:rPr>
            </w:pPr>
            <w:r w:rsidRPr="00AA46B3">
              <w:rPr>
                <w:lang w:val="it-IT"/>
              </w:rPr>
              <w:t>UNI EN ISO 16994;</w:t>
            </w:r>
            <w:r>
              <w:rPr>
                <w:lang w:val="it-IT"/>
              </w:rPr>
              <w:t xml:space="preserve"> </w:t>
            </w:r>
            <w:r w:rsidRPr="00AA46B3">
              <w:rPr>
                <w:lang w:val="it-IT"/>
              </w:rPr>
              <w:t>UNI EN ISO 10304-1</w:t>
            </w:r>
          </w:p>
        </w:tc>
      </w:tr>
      <w:tr w:rsidR="00515E78" w:rsidRPr="00412B39" w14:paraId="2E35042A" w14:textId="77777777" w:rsidTr="00864DF7">
        <w:tc>
          <w:tcPr>
            <w:tcW w:w="2591" w:type="dxa"/>
            <w:shd w:val="clear" w:color="auto" w:fill="FFFFFF"/>
          </w:tcPr>
          <w:p w14:paraId="1B3A0194" w14:textId="77777777" w:rsidR="00515E78" w:rsidRDefault="00515E78" w:rsidP="00864DF7">
            <w:pPr>
              <w:pStyle w:val="CETBodytext"/>
              <w:ind w:right="-1"/>
              <w:rPr>
                <w:rFonts w:cs="Arial"/>
                <w:szCs w:val="18"/>
                <w:lang w:val="en-GB"/>
              </w:rPr>
            </w:pPr>
            <w:r>
              <w:rPr>
                <w:rFonts w:cs="Arial"/>
                <w:szCs w:val="18"/>
                <w:lang w:val="en-GB"/>
              </w:rPr>
              <w:t>Inorganic elements</w:t>
            </w:r>
          </w:p>
        </w:tc>
        <w:tc>
          <w:tcPr>
            <w:tcW w:w="2731" w:type="dxa"/>
            <w:shd w:val="clear" w:color="auto" w:fill="FFFFFF"/>
          </w:tcPr>
          <w:p w14:paraId="1B5B4091" w14:textId="77777777" w:rsidR="00515E78" w:rsidRDefault="00515E78" w:rsidP="00864DF7">
            <w:pPr>
              <w:pStyle w:val="CETBodytext"/>
              <w:ind w:right="-1"/>
              <w:jc w:val="center"/>
              <w:rPr>
                <w:rFonts w:cs="Arial"/>
                <w:szCs w:val="18"/>
                <w:lang w:val="en-GB"/>
              </w:rPr>
            </w:pPr>
            <w:r w:rsidRPr="003321D2">
              <w:t>ICP-OES Agilent MP4200</w:t>
            </w:r>
          </w:p>
        </w:tc>
        <w:tc>
          <w:tcPr>
            <w:tcW w:w="3411" w:type="dxa"/>
            <w:shd w:val="clear" w:color="auto" w:fill="FFFFFF"/>
          </w:tcPr>
          <w:p w14:paraId="16C8BE30" w14:textId="77777777" w:rsidR="00515E78" w:rsidRPr="00AA46B3" w:rsidRDefault="00515E78" w:rsidP="00864DF7">
            <w:pPr>
              <w:pStyle w:val="CETBodytext"/>
              <w:ind w:right="-1"/>
              <w:jc w:val="center"/>
              <w:rPr>
                <w:rFonts w:cs="Arial"/>
                <w:szCs w:val="18"/>
                <w:lang w:val="it-IT"/>
              </w:rPr>
            </w:pPr>
            <w:r w:rsidRPr="00AA46B3">
              <w:rPr>
                <w:lang w:val="it-IT"/>
              </w:rPr>
              <w:t>UNI EN ISO 16967; UNI EN ISO 16968</w:t>
            </w:r>
          </w:p>
        </w:tc>
      </w:tr>
      <w:tr w:rsidR="00515E78" w:rsidRPr="00B57B36" w14:paraId="2007C117" w14:textId="77777777" w:rsidTr="00864DF7">
        <w:tc>
          <w:tcPr>
            <w:tcW w:w="2591" w:type="dxa"/>
            <w:shd w:val="clear" w:color="auto" w:fill="FFFFFF"/>
          </w:tcPr>
          <w:p w14:paraId="42ED9919" w14:textId="77777777" w:rsidR="00515E78" w:rsidRDefault="00515E78" w:rsidP="00864DF7">
            <w:pPr>
              <w:pStyle w:val="CETBodytext"/>
              <w:ind w:right="-1"/>
              <w:rPr>
                <w:rFonts w:cs="Arial"/>
                <w:szCs w:val="18"/>
                <w:lang w:val="en-GB"/>
              </w:rPr>
            </w:pPr>
            <w:r>
              <w:rPr>
                <w:rFonts w:cs="Arial"/>
                <w:szCs w:val="18"/>
                <w:lang w:val="en-GB"/>
              </w:rPr>
              <w:t>pH</w:t>
            </w:r>
          </w:p>
        </w:tc>
        <w:tc>
          <w:tcPr>
            <w:tcW w:w="2731" w:type="dxa"/>
            <w:shd w:val="clear" w:color="auto" w:fill="FFFFFF"/>
          </w:tcPr>
          <w:p w14:paraId="301725C1" w14:textId="77777777" w:rsidR="00515E78" w:rsidRDefault="00515E78" w:rsidP="00864DF7">
            <w:pPr>
              <w:pStyle w:val="CETBodytext"/>
              <w:ind w:right="-1"/>
              <w:jc w:val="center"/>
              <w:rPr>
                <w:rFonts w:cs="Arial"/>
                <w:szCs w:val="18"/>
                <w:lang w:val="en-GB"/>
              </w:rPr>
            </w:pPr>
            <w:r>
              <w:t>Metrohm 827 Ph-meter</w:t>
            </w:r>
          </w:p>
        </w:tc>
        <w:tc>
          <w:tcPr>
            <w:tcW w:w="3411" w:type="dxa"/>
            <w:shd w:val="clear" w:color="auto" w:fill="FFFFFF"/>
          </w:tcPr>
          <w:p w14:paraId="03103682" w14:textId="77777777" w:rsidR="00515E78" w:rsidRDefault="00515E78" w:rsidP="00864DF7">
            <w:pPr>
              <w:pStyle w:val="CETBodytext"/>
              <w:ind w:right="-1"/>
              <w:jc w:val="center"/>
              <w:rPr>
                <w:rFonts w:cs="Arial"/>
                <w:szCs w:val="18"/>
                <w:lang w:val="en-GB"/>
              </w:rPr>
            </w:pPr>
            <w:r>
              <w:t>ISO 10390</w:t>
            </w:r>
          </w:p>
        </w:tc>
      </w:tr>
      <w:tr w:rsidR="00515E78" w:rsidRPr="00B57B36" w14:paraId="759D6FE3" w14:textId="77777777" w:rsidTr="00864DF7">
        <w:tc>
          <w:tcPr>
            <w:tcW w:w="2591" w:type="dxa"/>
            <w:shd w:val="clear" w:color="auto" w:fill="FFFFFF"/>
          </w:tcPr>
          <w:p w14:paraId="64875B1C" w14:textId="77777777" w:rsidR="00515E78" w:rsidRDefault="00515E78" w:rsidP="00864DF7">
            <w:pPr>
              <w:pStyle w:val="CETBodytext"/>
              <w:ind w:right="-1"/>
              <w:rPr>
                <w:rFonts w:cs="Arial"/>
                <w:szCs w:val="18"/>
                <w:lang w:val="en-GB"/>
              </w:rPr>
            </w:pPr>
            <w:r>
              <w:rPr>
                <w:rFonts w:cs="Arial"/>
                <w:szCs w:val="18"/>
                <w:lang w:val="en-GB"/>
              </w:rPr>
              <w:t>Electrical conductivity</w:t>
            </w:r>
          </w:p>
        </w:tc>
        <w:tc>
          <w:tcPr>
            <w:tcW w:w="2731" w:type="dxa"/>
            <w:shd w:val="clear" w:color="auto" w:fill="FFFFFF"/>
          </w:tcPr>
          <w:p w14:paraId="37BF2427" w14:textId="77777777" w:rsidR="00515E78" w:rsidRDefault="00515E78" w:rsidP="00864DF7">
            <w:pPr>
              <w:pStyle w:val="CETBodytext"/>
              <w:ind w:right="-1"/>
              <w:jc w:val="center"/>
              <w:rPr>
                <w:rFonts w:cs="Arial"/>
                <w:szCs w:val="18"/>
                <w:lang w:val="en-GB"/>
              </w:rPr>
            </w:pPr>
            <w:proofErr w:type="spellStart"/>
            <w:r>
              <w:t>Eutech</w:t>
            </w:r>
            <w:proofErr w:type="spellEnd"/>
            <w:r>
              <w:t xml:space="preserve"> Cond 6+</w:t>
            </w:r>
          </w:p>
        </w:tc>
        <w:tc>
          <w:tcPr>
            <w:tcW w:w="3411" w:type="dxa"/>
            <w:shd w:val="clear" w:color="auto" w:fill="FFFFFF"/>
          </w:tcPr>
          <w:p w14:paraId="3ADAC3FC" w14:textId="77777777" w:rsidR="00515E78" w:rsidRDefault="00515E78" w:rsidP="00864DF7">
            <w:pPr>
              <w:pStyle w:val="CETBodytext"/>
              <w:ind w:right="-1"/>
              <w:jc w:val="center"/>
              <w:rPr>
                <w:rFonts w:cs="Arial"/>
                <w:szCs w:val="18"/>
                <w:lang w:val="en-GB"/>
              </w:rPr>
            </w:pPr>
            <w:r>
              <w:t>ISO 11265</w:t>
            </w:r>
          </w:p>
        </w:tc>
      </w:tr>
      <w:tr w:rsidR="00515E78" w:rsidRPr="00B57B36" w14:paraId="546E822A" w14:textId="77777777" w:rsidTr="00864DF7">
        <w:tc>
          <w:tcPr>
            <w:tcW w:w="2591" w:type="dxa"/>
            <w:shd w:val="clear" w:color="auto" w:fill="FFFFFF"/>
          </w:tcPr>
          <w:p w14:paraId="33DA5366" w14:textId="77777777" w:rsidR="00515E78" w:rsidRDefault="00515E78" w:rsidP="00864DF7">
            <w:pPr>
              <w:pStyle w:val="CETBodytext"/>
              <w:ind w:right="-1"/>
              <w:rPr>
                <w:rFonts w:cs="Arial"/>
                <w:szCs w:val="18"/>
                <w:lang w:val="en-GB"/>
              </w:rPr>
            </w:pPr>
            <w:r>
              <w:rPr>
                <w:rFonts w:cs="Arial"/>
                <w:szCs w:val="18"/>
                <w:lang w:val="en-GB"/>
              </w:rPr>
              <w:t>PAHs</w:t>
            </w:r>
          </w:p>
        </w:tc>
        <w:tc>
          <w:tcPr>
            <w:tcW w:w="2731" w:type="dxa"/>
            <w:shd w:val="clear" w:color="auto" w:fill="FFFFFF"/>
          </w:tcPr>
          <w:p w14:paraId="59BE3450" w14:textId="77777777" w:rsidR="00515E78" w:rsidRDefault="00515E78" w:rsidP="00864DF7">
            <w:pPr>
              <w:pStyle w:val="CETBodytext"/>
              <w:ind w:right="-1"/>
              <w:jc w:val="center"/>
              <w:rPr>
                <w:rFonts w:cs="Arial"/>
                <w:szCs w:val="18"/>
                <w:lang w:val="en-GB"/>
              </w:rPr>
            </w:pPr>
            <w:r w:rsidRPr="008668E6">
              <w:rPr>
                <w:rFonts w:cs="Arial"/>
                <w:szCs w:val="18"/>
                <w:lang w:val="en-GB"/>
              </w:rPr>
              <w:t>LC-20 AT Prominence Shimadzu</w:t>
            </w:r>
          </w:p>
        </w:tc>
        <w:tc>
          <w:tcPr>
            <w:tcW w:w="3411" w:type="dxa"/>
            <w:shd w:val="clear" w:color="auto" w:fill="FFFFFF"/>
          </w:tcPr>
          <w:p w14:paraId="70E9CD1B" w14:textId="77777777" w:rsidR="00515E78" w:rsidRDefault="00515E78" w:rsidP="00864DF7">
            <w:pPr>
              <w:pStyle w:val="CETBodytext"/>
              <w:ind w:right="-1"/>
              <w:jc w:val="center"/>
              <w:rPr>
                <w:rFonts w:cs="Arial"/>
                <w:szCs w:val="18"/>
                <w:lang w:val="en-GB"/>
              </w:rPr>
            </w:pPr>
            <w:r w:rsidRPr="004031CB">
              <w:rPr>
                <w:lang w:val="en-GB"/>
              </w:rPr>
              <w:t>CEN/TS 16181</w:t>
            </w:r>
          </w:p>
        </w:tc>
      </w:tr>
      <w:tr w:rsidR="00515E78" w:rsidRPr="00B57B36" w14:paraId="775F7353" w14:textId="77777777" w:rsidTr="00864DF7">
        <w:tc>
          <w:tcPr>
            <w:tcW w:w="2591" w:type="dxa"/>
            <w:shd w:val="clear" w:color="auto" w:fill="FFFFFF"/>
          </w:tcPr>
          <w:p w14:paraId="2E845AC1" w14:textId="77777777" w:rsidR="00515E78" w:rsidRDefault="00515E78" w:rsidP="00864DF7">
            <w:pPr>
              <w:pStyle w:val="CETBodytext"/>
              <w:ind w:right="-1"/>
              <w:rPr>
                <w:rFonts w:cs="Arial"/>
                <w:szCs w:val="18"/>
                <w:lang w:val="en-GB"/>
              </w:rPr>
            </w:pPr>
            <w:r>
              <w:rPr>
                <w:rFonts w:cs="Arial"/>
                <w:szCs w:val="18"/>
                <w:lang w:val="en-GB"/>
              </w:rPr>
              <w:t>FT-IR</w:t>
            </w:r>
          </w:p>
        </w:tc>
        <w:tc>
          <w:tcPr>
            <w:tcW w:w="2731" w:type="dxa"/>
            <w:shd w:val="clear" w:color="auto" w:fill="FFFFFF"/>
          </w:tcPr>
          <w:p w14:paraId="269A5B42" w14:textId="77777777" w:rsidR="00515E78" w:rsidRDefault="00515E78" w:rsidP="00864DF7">
            <w:pPr>
              <w:pStyle w:val="CETBodytext"/>
              <w:ind w:right="-1"/>
              <w:jc w:val="center"/>
              <w:rPr>
                <w:rFonts w:cs="Arial"/>
                <w:szCs w:val="18"/>
                <w:lang w:val="en-GB"/>
              </w:rPr>
            </w:pPr>
            <w:r w:rsidRPr="00077D10">
              <w:t>Shimadzu IRTracer-100</w:t>
            </w:r>
          </w:p>
        </w:tc>
        <w:tc>
          <w:tcPr>
            <w:tcW w:w="3411" w:type="dxa"/>
            <w:shd w:val="clear" w:color="auto" w:fill="FFFFFF"/>
          </w:tcPr>
          <w:p w14:paraId="0AABAED9" w14:textId="77777777" w:rsidR="00515E78" w:rsidRDefault="00515E78" w:rsidP="00864DF7">
            <w:pPr>
              <w:pStyle w:val="CETBodytext"/>
              <w:ind w:right="-1"/>
              <w:jc w:val="center"/>
              <w:rPr>
                <w:rFonts w:cs="Arial"/>
                <w:szCs w:val="18"/>
                <w:lang w:val="en-GB"/>
              </w:rPr>
            </w:pPr>
            <w:r>
              <w:rPr>
                <w:rFonts w:cs="Arial"/>
                <w:szCs w:val="18"/>
                <w:lang w:val="en-GB"/>
              </w:rPr>
              <w:t>n.d.</w:t>
            </w:r>
          </w:p>
        </w:tc>
      </w:tr>
    </w:tbl>
    <w:p w14:paraId="23D835B5" w14:textId="0492E43F" w:rsidR="00515E78" w:rsidRDefault="00515E78" w:rsidP="000076F6">
      <w:pPr>
        <w:pStyle w:val="CETHeading1"/>
        <w:numPr>
          <w:ilvl w:val="1"/>
          <w:numId w:val="1"/>
        </w:numPr>
      </w:pPr>
      <w:r>
        <w:t>Results and discussion</w:t>
      </w:r>
    </w:p>
    <w:p w14:paraId="389132A7" w14:textId="77777777" w:rsidR="00515E78" w:rsidRDefault="00515E78" w:rsidP="00515E78">
      <w:pPr>
        <w:pStyle w:val="CETheadingx"/>
      </w:pPr>
      <w:r>
        <w:t>Feedstock characterization</w:t>
      </w:r>
    </w:p>
    <w:p w14:paraId="3550F89A" w14:textId="5ECF50E6" w:rsidR="00515E78" w:rsidRPr="001A3355" w:rsidRDefault="00515E78" w:rsidP="00515E78">
      <w:pPr>
        <w:pStyle w:val="CETBodytext"/>
      </w:pPr>
      <w:r>
        <w:t xml:space="preserve">The macroalgae sample was provided as collected from the </w:t>
      </w:r>
      <w:proofErr w:type="spellStart"/>
      <w:r>
        <w:t>Orbetello</w:t>
      </w:r>
      <w:proofErr w:type="spellEnd"/>
      <w:r>
        <w:t xml:space="preserve"> lagoon and therefore it was rich in seawater</w:t>
      </w:r>
      <w:r w:rsidR="00852FC3">
        <w:t>,</w:t>
      </w:r>
      <w:r>
        <w:t xml:space="preserve"> </w:t>
      </w:r>
      <w:r w:rsidR="00852FC3">
        <w:t>i</w:t>
      </w:r>
      <w:r>
        <w:t xml:space="preserve">ndeed, its moisture content was 86.2 wt.% (w.b.). The sample was then pretreated as previously described. </w:t>
      </w:r>
      <w:r>
        <w:fldChar w:fldCharType="begin"/>
      </w:r>
      <w:r>
        <w:instrText xml:space="preserve"> REF _Ref90281188 \h </w:instrText>
      </w:r>
      <w:r>
        <w:fldChar w:fldCharType="separate"/>
      </w:r>
      <w:r w:rsidR="00D40EEB">
        <w:t xml:space="preserve">Table </w:t>
      </w:r>
      <w:r w:rsidR="00D40EEB">
        <w:rPr>
          <w:noProof/>
        </w:rPr>
        <w:t>2</w:t>
      </w:r>
      <w:r>
        <w:fldChar w:fldCharType="end"/>
      </w:r>
      <w:r>
        <w:t xml:space="preserve"> shows a comparison between the properties of the as-received and pre-treated macroalgae. </w:t>
      </w:r>
      <w:r>
        <w:lastRenderedPageBreak/>
        <w:t>The as-received sample was characterized by a high ash content (50.9 wt.% d.b.) and the pre-treatment almost halved ash concentration (26.9 wt.% d.b.). The chlorine content was above 25 wt.% d.a.f. and the pre-treatment almost completely</w:t>
      </w:r>
      <w:r w:rsidRPr="004973BD">
        <w:t xml:space="preserve"> </w:t>
      </w:r>
      <w:r>
        <w:t xml:space="preserve">removed it, decreasing it to 1.5 wt.% </w:t>
      </w:r>
      <w:proofErr w:type="gramStart"/>
      <w:r>
        <w:t>d.a.f..</w:t>
      </w:r>
      <w:proofErr w:type="gramEnd"/>
      <w:r>
        <w:t xml:space="preserve"> Other </w:t>
      </w:r>
      <w:r w:rsidR="003D6F0A">
        <w:t>relevant</w:t>
      </w:r>
      <w:r w:rsidR="00852FC3">
        <w:t xml:space="preserve"> </w:t>
      </w:r>
      <w:r>
        <w:t xml:space="preserve">effects of the </w:t>
      </w:r>
      <w:r w:rsidR="003D6F0A">
        <w:t xml:space="preserve">sample </w:t>
      </w:r>
      <w:r>
        <w:t xml:space="preserve">pre-treatment were the reduction of nitrogen and oxygen concentration and the increment of </w:t>
      </w:r>
      <w:r w:rsidR="00C325E8">
        <w:t>sulphur. This</w:t>
      </w:r>
      <w:r>
        <w:t xml:space="preserve"> pretreatment was</w:t>
      </w:r>
      <w:r w:rsidR="00C325E8">
        <w:t xml:space="preserve"> probably</w:t>
      </w:r>
      <w:r>
        <w:t xml:space="preserve"> too mild to extract sulphur-containing molecules, which were retained in the algae organic matrix.</w:t>
      </w:r>
    </w:p>
    <w:p w14:paraId="7E5DEDCE" w14:textId="6DBA33AF" w:rsidR="00515E78" w:rsidRDefault="00515E78" w:rsidP="00515E78">
      <w:pPr>
        <w:pStyle w:val="CETTabletitle"/>
      </w:pPr>
      <w:bookmarkStart w:id="5" w:name="_Ref90281188"/>
      <w:r>
        <w:t xml:space="preserve">Table </w:t>
      </w:r>
      <w:r>
        <w:fldChar w:fldCharType="begin"/>
      </w:r>
      <w:r>
        <w:instrText xml:space="preserve"> SEQ Table \* ARABIC </w:instrText>
      </w:r>
      <w:r>
        <w:fldChar w:fldCharType="separate"/>
      </w:r>
      <w:r w:rsidR="00D40EEB">
        <w:rPr>
          <w:noProof/>
        </w:rPr>
        <w:t>2</w:t>
      </w:r>
      <w:r>
        <w:fldChar w:fldCharType="end"/>
      </w:r>
      <w:bookmarkEnd w:id="5"/>
      <w:r>
        <w:t>: Elemental analysis of as-received and pre-treated macroalgae (values are in wt.% d.a.f.) and ash content (wt.% d.b.).</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412B39" w:rsidRPr="00B57B36" w14:paraId="53505452" w14:textId="77777777" w:rsidTr="00864DF7">
        <w:tc>
          <w:tcPr>
            <w:tcW w:w="1134" w:type="dxa"/>
            <w:tcBorders>
              <w:top w:val="single" w:sz="12" w:space="0" w:color="008000"/>
              <w:bottom w:val="single" w:sz="6" w:space="0" w:color="008000"/>
            </w:tcBorders>
            <w:shd w:val="clear" w:color="auto" w:fill="FFFFFF"/>
          </w:tcPr>
          <w:p w14:paraId="7478EB13" w14:textId="77777777" w:rsidR="00412B39" w:rsidRPr="00B57B36" w:rsidRDefault="00412B39" w:rsidP="00864DF7">
            <w:pPr>
              <w:pStyle w:val="CETBodytext"/>
              <w:rPr>
                <w:lang w:val="en-GB"/>
              </w:rPr>
            </w:pPr>
            <w:r w:rsidRPr="00677314">
              <w:t>Parameter</w:t>
            </w:r>
          </w:p>
        </w:tc>
        <w:tc>
          <w:tcPr>
            <w:tcW w:w="1134" w:type="dxa"/>
            <w:tcBorders>
              <w:top w:val="single" w:sz="12" w:space="0" w:color="008000"/>
              <w:bottom w:val="single" w:sz="6" w:space="0" w:color="008000"/>
            </w:tcBorders>
            <w:shd w:val="clear" w:color="auto" w:fill="FFFFFF"/>
          </w:tcPr>
          <w:p w14:paraId="5DDF1FD4" w14:textId="77777777" w:rsidR="00412B39" w:rsidRPr="00B57B36" w:rsidRDefault="00412B39" w:rsidP="00864DF7">
            <w:pPr>
              <w:pStyle w:val="CETBodytext"/>
              <w:rPr>
                <w:lang w:val="en-GB"/>
              </w:rPr>
            </w:pPr>
            <w:r w:rsidRPr="00677314">
              <w:t>As received</w:t>
            </w:r>
          </w:p>
        </w:tc>
        <w:tc>
          <w:tcPr>
            <w:tcW w:w="1134" w:type="dxa"/>
            <w:tcBorders>
              <w:top w:val="single" w:sz="12" w:space="0" w:color="008000"/>
              <w:bottom w:val="single" w:sz="6" w:space="0" w:color="008000"/>
            </w:tcBorders>
            <w:shd w:val="clear" w:color="auto" w:fill="FFFFFF"/>
          </w:tcPr>
          <w:p w14:paraId="53D4DF75" w14:textId="77777777" w:rsidR="00412B39" w:rsidRPr="00B57B36" w:rsidRDefault="00412B39" w:rsidP="00864DF7">
            <w:pPr>
              <w:pStyle w:val="CETBodytext"/>
              <w:rPr>
                <w:lang w:val="en-GB"/>
              </w:rPr>
            </w:pPr>
            <w:r w:rsidRPr="00677314">
              <w:t>Pre-treated</w:t>
            </w:r>
          </w:p>
        </w:tc>
      </w:tr>
      <w:tr w:rsidR="00412B39" w:rsidRPr="00B57B36" w14:paraId="0AA3ABD6" w14:textId="77777777" w:rsidTr="00864DF7">
        <w:tc>
          <w:tcPr>
            <w:tcW w:w="1134" w:type="dxa"/>
            <w:shd w:val="clear" w:color="auto" w:fill="FFFFFF"/>
          </w:tcPr>
          <w:p w14:paraId="4BBFB663" w14:textId="77777777" w:rsidR="00412B39" w:rsidRPr="00B57B36" w:rsidRDefault="00412B39" w:rsidP="00864DF7">
            <w:pPr>
              <w:pStyle w:val="CETBodytext"/>
              <w:rPr>
                <w:lang w:val="en-GB"/>
              </w:rPr>
            </w:pPr>
            <w:r>
              <w:rPr>
                <w:lang w:val="it-IT"/>
              </w:rPr>
              <w:t>C</w:t>
            </w:r>
            <w:proofErr w:type="spellStart"/>
            <w:r>
              <w:rPr>
                <w:lang w:val="en-GB"/>
              </w:rPr>
              <w:t>arbon</w:t>
            </w:r>
            <w:proofErr w:type="spellEnd"/>
          </w:p>
        </w:tc>
        <w:tc>
          <w:tcPr>
            <w:tcW w:w="1134" w:type="dxa"/>
            <w:shd w:val="clear" w:color="auto" w:fill="FFFFFF"/>
          </w:tcPr>
          <w:p w14:paraId="14C4E3B0" w14:textId="77777777" w:rsidR="00412B39" w:rsidRPr="00B57B36" w:rsidRDefault="00412B39" w:rsidP="00864DF7">
            <w:pPr>
              <w:pStyle w:val="CETBodytext"/>
              <w:rPr>
                <w:lang w:val="en-GB"/>
              </w:rPr>
            </w:pPr>
            <w:r w:rsidRPr="00827F73">
              <w:t>47.0</w:t>
            </w:r>
          </w:p>
        </w:tc>
        <w:tc>
          <w:tcPr>
            <w:tcW w:w="1134" w:type="dxa"/>
            <w:shd w:val="clear" w:color="auto" w:fill="FFFFFF"/>
          </w:tcPr>
          <w:p w14:paraId="605F83BE" w14:textId="77777777" w:rsidR="00412B39" w:rsidRPr="00B57B36" w:rsidRDefault="00412B39" w:rsidP="00864DF7">
            <w:pPr>
              <w:pStyle w:val="CETBodytext"/>
              <w:rPr>
                <w:lang w:val="en-GB"/>
              </w:rPr>
            </w:pPr>
            <w:r>
              <w:rPr>
                <w:noProof/>
              </w:rPr>
              <w:t>48.5</w:t>
            </w:r>
          </w:p>
        </w:tc>
      </w:tr>
      <w:tr w:rsidR="00412B39" w:rsidRPr="00B57B36" w14:paraId="540A1FF2" w14:textId="77777777" w:rsidTr="00864DF7">
        <w:tc>
          <w:tcPr>
            <w:tcW w:w="1134" w:type="dxa"/>
            <w:shd w:val="clear" w:color="auto" w:fill="FFFFFF"/>
          </w:tcPr>
          <w:p w14:paraId="4403DDA0" w14:textId="77777777" w:rsidR="00412B39" w:rsidRDefault="00412B39" w:rsidP="00864DF7">
            <w:pPr>
              <w:pStyle w:val="CETBodytext"/>
              <w:rPr>
                <w:lang w:val="it-IT"/>
              </w:rPr>
            </w:pPr>
            <w:r>
              <w:rPr>
                <w:lang w:val="it-IT"/>
              </w:rPr>
              <w:t>H</w:t>
            </w:r>
            <w:proofErr w:type="spellStart"/>
            <w:r>
              <w:rPr>
                <w:lang w:val="en-GB"/>
              </w:rPr>
              <w:t>ydrogen</w:t>
            </w:r>
            <w:proofErr w:type="spellEnd"/>
          </w:p>
        </w:tc>
        <w:tc>
          <w:tcPr>
            <w:tcW w:w="1134" w:type="dxa"/>
            <w:shd w:val="clear" w:color="auto" w:fill="FFFFFF"/>
          </w:tcPr>
          <w:p w14:paraId="635A1565" w14:textId="77777777" w:rsidR="00412B39" w:rsidRPr="00827F73" w:rsidRDefault="00412B39" w:rsidP="00864DF7">
            <w:pPr>
              <w:pStyle w:val="CETBodytext"/>
            </w:pPr>
            <w:r w:rsidRPr="00827F73">
              <w:t>6.1</w:t>
            </w:r>
          </w:p>
        </w:tc>
        <w:tc>
          <w:tcPr>
            <w:tcW w:w="1134" w:type="dxa"/>
            <w:shd w:val="clear" w:color="auto" w:fill="FFFFFF"/>
          </w:tcPr>
          <w:p w14:paraId="11F3AE78" w14:textId="77777777" w:rsidR="00412B39" w:rsidRDefault="00412B39" w:rsidP="00864DF7">
            <w:pPr>
              <w:pStyle w:val="CETBodytext"/>
              <w:rPr>
                <w:noProof/>
              </w:rPr>
            </w:pPr>
            <w:r>
              <w:rPr>
                <w:noProof/>
              </w:rPr>
              <w:t>6.5</w:t>
            </w:r>
          </w:p>
        </w:tc>
      </w:tr>
      <w:tr w:rsidR="00412B39" w:rsidRPr="00B57B36" w14:paraId="505FBA2F" w14:textId="77777777" w:rsidTr="00864DF7">
        <w:tc>
          <w:tcPr>
            <w:tcW w:w="1134" w:type="dxa"/>
            <w:shd w:val="clear" w:color="auto" w:fill="FFFFFF"/>
          </w:tcPr>
          <w:p w14:paraId="23785D15" w14:textId="77777777" w:rsidR="00412B39" w:rsidRDefault="00412B39" w:rsidP="00864DF7">
            <w:pPr>
              <w:pStyle w:val="CETBodytext"/>
              <w:rPr>
                <w:lang w:val="it-IT"/>
              </w:rPr>
            </w:pPr>
            <w:r>
              <w:rPr>
                <w:lang w:val="it-IT"/>
              </w:rPr>
              <w:t>N</w:t>
            </w:r>
            <w:proofErr w:type="spellStart"/>
            <w:r>
              <w:rPr>
                <w:lang w:val="en-GB"/>
              </w:rPr>
              <w:t>itrogen</w:t>
            </w:r>
            <w:proofErr w:type="spellEnd"/>
          </w:p>
        </w:tc>
        <w:tc>
          <w:tcPr>
            <w:tcW w:w="1134" w:type="dxa"/>
            <w:shd w:val="clear" w:color="auto" w:fill="FFFFFF"/>
          </w:tcPr>
          <w:p w14:paraId="5B97C41F" w14:textId="77777777" w:rsidR="00412B39" w:rsidRPr="00827F73" w:rsidRDefault="00412B39" w:rsidP="00864DF7">
            <w:pPr>
              <w:pStyle w:val="CETBodytext"/>
            </w:pPr>
            <w:r w:rsidRPr="00827F73">
              <w:t>4.5</w:t>
            </w:r>
          </w:p>
        </w:tc>
        <w:tc>
          <w:tcPr>
            <w:tcW w:w="1134" w:type="dxa"/>
            <w:shd w:val="clear" w:color="auto" w:fill="FFFFFF"/>
          </w:tcPr>
          <w:p w14:paraId="684BBCC4" w14:textId="77777777" w:rsidR="00412B39" w:rsidRDefault="00412B39" w:rsidP="00864DF7">
            <w:pPr>
              <w:pStyle w:val="CETBodytext"/>
              <w:rPr>
                <w:noProof/>
              </w:rPr>
            </w:pPr>
            <w:r>
              <w:rPr>
                <w:noProof/>
              </w:rPr>
              <w:t>2.7</w:t>
            </w:r>
          </w:p>
        </w:tc>
      </w:tr>
      <w:tr w:rsidR="00412B39" w:rsidRPr="00B57B36" w14:paraId="4E53E77D" w14:textId="77777777" w:rsidTr="00864DF7">
        <w:tc>
          <w:tcPr>
            <w:tcW w:w="1134" w:type="dxa"/>
            <w:shd w:val="clear" w:color="auto" w:fill="FFFFFF"/>
          </w:tcPr>
          <w:p w14:paraId="03767545" w14:textId="77777777" w:rsidR="00412B39" w:rsidRDefault="00412B39" w:rsidP="00864DF7">
            <w:pPr>
              <w:pStyle w:val="CETBodytext"/>
              <w:rPr>
                <w:lang w:val="it-IT"/>
              </w:rPr>
            </w:pPr>
            <w:r>
              <w:rPr>
                <w:lang w:val="it-IT"/>
              </w:rPr>
              <w:t>S</w:t>
            </w:r>
            <w:proofErr w:type="spellStart"/>
            <w:r>
              <w:rPr>
                <w:lang w:val="en-GB"/>
              </w:rPr>
              <w:t>ulphur</w:t>
            </w:r>
            <w:proofErr w:type="spellEnd"/>
          </w:p>
        </w:tc>
        <w:tc>
          <w:tcPr>
            <w:tcW w:w="1134" w:type="dxa"/>
            <w:shd w:val="clear" w:color="auto" w:fill="FFFFFF"/>
          </w:tcPr>
          <w:p w14:paraId="727D8386" w14:textId="77777777" w:rsidR="00412B39" w:rsidRPr="00827F73" w:rsidRDefault="00412B39" w:rsidP="00864DF7">
            <w:pPr>
              <w:pStyle w:val="CETBodytext"/>
            </w:pPr>
            <w:r>
              <w:rPr>
                <w:lang w:val="it-IT"/>
              </w:rPr>
              <w:t>2.7</w:t>
            </w:r>
          </w:p>
        </w:tc>
        <w:tc>
          <w:tcPr>
            <w:tcW w:w="1134" w:type="dxa"/>
            <w:shd w:val="clear" w:color="auto" w:fill="FFFFFF"/>
          </w:tcPr>
          <w:p w14:paraId="542B9301" w14:textId="77777777" w:rsidR="00412B39" w:rsidRDefault="00412B39" w:rsidP="00864DF7">
            <w:pPr>
              <w:pStyle w:val="CETBodytext"/>
              <w:rPr>
                <w:noProof/>
              </w:rPr>
            </w:pPr>
            <w:r>
              <w:rPr>
                <w:lang w:val="it-IT"/>
              </w:rPr>
              <w:t>5.7</w:t>
            </w:r>
          </w:p>
        </w:tc>
      </w:tr>
      <w:tr w:rsidR="00412B39" w:rsidRPr="00B57B36" w14:paraId="01536281" w14:textId="77777777" w:rsidTr="00864DF7">
        <w:tc>
          <w:tcPr>
            <w:tcW w:w="1134" w:type="dxa"/>
            <w:shd w:val="clear" w:color="auto" w:fill="FFFFFF"/>
          </w:tcPr>
          <w:p w14:paraId="03E48D97" w14:textId="77777777" w:rsidR="00412B39" w:rsidRDefault="00412B39" w:rsidP="00864DF7">
            <w:pPr>
              <w:pStyle w:val="CETBodytext"/>
              <w:rPr>
                <w:lang w:val="it-IT"/>
              </w:rPr>
            </w:pPr>
            <w:r>
              <w:rPr>
                <w:rFonts w:cs="Arial"/>
                <w:szCs w:val="18"/>
                <w:lang w:val="en-GB"/>
              </w:rPr>
              <w:t>Chl</w:t>
            </w:r>
            <w:r>
              <w:rPr>
                <w:lang w:val="en-GB"/>
              </w:rPr>
              <w:t>orine</w:t>
            </w:r>
          </w:p>
        </w:tc>
        <w:tc>
          <w:tcPr>
            <w:tcW w:w="1134" w:type="dxa"/>
            <w:shd w:val="clear" w:color="auto" w:fill="FFFFFF"/>
          </w:tcPr>
          <w:p w14:paraId="721891E6" w14:textId="77777777" w:rsidR="00412B39" w:rsidRPr="00827F73" w:rsidRDefault="00412B39" w:rsidP="00864DF7">
            <w:pPr>
              <w:pStyle w:val="CETBodytext"/>
            </w:pPr>
            <w:r>
              <w:rPr>
                <w:rFonts w:cs="Arial"/>
                <w:szCs w:val="18"/>
                <w:lang w:val="en-GB"/>
              </w:rPr>
              <w:t>25.9</w:t>
            </w:r>
          </w:p>
        </w:tc>
        <w:tc>
          <w:tcPr>
            <w:tcW w:w="1134" w:type="dxa"/>
            <w:shd w:val="clear" w:color="auto" w:fill="FFFFFF"/>
          </w:tcPr>
          <w:p w14:paraId="33A21FAA" w14:textId="77777777" w:rsidR="00412B39" w:rsidRDefault="00412B39" w:rsidP="00864DF7">
            <w:pPr>
              <w:pStyle w:val="CETBodytext"/>
              <w:rPr>
                <w:noProof/>
              </w:rPr>
            </w:pPr>
            <w:r>
              <w:rPr>
                <w:rFonts w:cs="Arial"/>
                <w:szCs w:val="18"/>
                <w:lang w:val="en-GB"/>
              </w:rPr>
              <w:t>1.5</w:t>
            </w:r>
          </w:p>
        </w:tc>
      </w:tr>
      <w:tr w:rsidR="00412B39" w:rsidRPr="00B57B36" w14:paraId="0120227A" w14:textId="77777777" w:rsidTr="00864DF7">
        <w:tc>
          <w:tcPr>
            <w:tcW w:w="1134" w:type="dxa"/>
            <w:shd w:val="clear" w:color="auto" w:fill="FFFFFF"/>
          </w:tcPr>
          <w:p w14:paraId="76F69FA3" w14:textId="77777777" w:rsidR="00412B39" w:rsidRDefault="00412B39" w:rsidP="00864DF7">
            <w:pPr>
              <w:pStyle w:val="CETBodytext"/>
              <w:rPr>
                <w:rFonts w:cs="Arial"/>
                <w:szCs w:val="18"/>
                <w:lang w:val="en-GB"/>
              </w:rPr>
            </w:pPr>
            <w:r>
              <w:rPr>
                <w:rFonts w:cs="Arial"/>
                <w:szCs w:val="18"/>
                <w:lang w:val="en-GB"/>
              </w:rPr>
              <w:t>O</w:t>
            </w:r>
            <w:r>
              <w:rPr>
                <w:lang w:val="en-GB"/>
              </w:rPr>
              <w:t>xygen</w:t>
            </w:r>
          </w:p>
        </w:tc>
        <w:tc>
          <w:tcPr>
            <w:tcW w:w="1134" w:type="dxa"/>
            <w:shd w:val="clear" w:color="auto" w:fill="FFFFFF"/>
          </w:tcPr>
          <w:p w14:paraId="6E5739EF" w14:textId="77777777" w:rsidR="00412B39" w:rsidRDefault="00412B39" w:rsidP="00864DF7">
            <w:pPr>
              <w:pStyle w:val="CETBodytext"/>
              <w:rPr>
                <w:rFonts w:cs="Arial"/>
                <w:szCs w:val="18"/>
                <w:lang w:val="en-GB"/>
              </w:rPr>
            </w:pPr>
            <w:r>
              <w:t>39.6</w:t>
            </w:r>
          </w:p>
        </w:tc>
        <w:tc>
          <w:tcPr>
            <w:tcW w:w="1134" w:type="dxa"/>
            <w:shd w:val="clear" w:color="auto" w:fill="FFFFFF"/>
          </w:tcPr>
          <w:p w14:paraId="235665A9" w14:textId="77777777" w:rsidR="00412B39" w:rsidRDefault="00412B39" w:rsidP="00864DF7">
            <w:pPr>
              <w:pStyle w:val="CETBodytext"/>
              <w:rPr>
                <w:rFonts w:cs="Arial"/>
                <w:szCs w:val="18"/>
                <w:lang w:val="en-GB"/>
              </w:rPr>
            </w:pPr>
            <w:r>
              <w:rPr>
                <w:rFonts w:cs="Arial"/>
                <w:szCs w:val="18"/>
                <w:lang w:val="en-GB"/>
              </w:rPr>
              <w:t>36.6</w:t>
            </w:r>
          </w:p>
        </w:tc>
      </w:tr>
      <w:tr w:rsidR="00412B39" w:rsidRPr="00B57B36" w14:paraId="4E9B8FA0" w14:textId="77777777" w:rsidTr="00864DF7">
        <w:tc>
          <w:tcPr>
            <w:tcW w:w="1134" w:type="dxa"/>
            <w:shd w:val="clear" w:color="auto" w:fill="FFFFFF"/>
          </w:tcPr>
          <w:p w14:paraId="48D76408" w14:textId="77777777" w:rsidR="00412B39" w:rsidRDefault="00412B39" w:rsidP="00864DF7">
            <w:pPr>
              <w:pStyle w:val="CETBodytext"/>
              <w:rPr>
                <w:rFonts w:cs="Arial"/>
                <w:szCs w:val="18"/>
                <w:lang w:val="en-GB"/>
              </w:rPr>
            </w:pPr>
            <w:r>
              <w:rPr>
                <w:rFonts w:cs="Arial"/>
                <w:szCs w:val="18"/>
                <w:lang w:val="en-GB"/>
              </w:rPr>
              <w:t>Ash</w:t>
            </w:r>
          </w:p>
        </w:tc>
        <w:tc>
          <w:tcPr>
            <w:tcW w:w="1134" w:type="dxa"/>
            <w:shd w:val="clear" w:color="auto" w:fill="FFFFFF"/>
          </w:tcPr>
          <w:p w14:paraId="0A256C37" w14:textId="77777777" w:rsidR="00412B39" w:rsidRDefault="00412B39" w:rsidP="00864DF7">
            <w:pPr>
              <w:pStyle w:val="CETBodytext"/>
              <w:rPr>
                <w:rFonts w:cs="Arial"/>
                <w:szCs w:val="18"/>
                <w:lang w:val="en-GB"/>
              </w:rPr>
            </w:pPr>
            <w:r>
              <w:t>50.9</w:t>
            </w:r>
          </w:p>
        </w:tc>
        <w:tc>
          <w:tcPr>
            <w:tcW w:w="1134" w:type="dxa"/>
            <w:shd w:val="clear" w:color="auto" w:fill="FFFFFF"/>
          </w:tcPr>
          <w:p w14:paraId="58B528BC" w14:textId="77777777" w:rsidR="00412B39" w:rsidRDefault="00412B39" w:rsidP="00864DF7">
            <w:pPr>
              <w:pStyle w:val="CETBodytext"/>
              <w:rPr>
                <w:rFonts w:cs="Arial"/>
                <w:szCs w:val="18"/>
                <w:lang w:val="en-GB"/>
              </w:rPr>
            </w:pPr>
            <w:r>
              <w:rPr>
                <w:rFonts w:cs="Arial"/>
                <w:szCs w:val="18"/>
                <w:lang w:val="en-GB"/>
              </w:rPr>
              <w:t>26.9</w:t>
            </w:r>
          </w:p>
        </w:tc>
      </w:tr>
    </w:tbl>
    <w:p w14:paraId="40E1CA1C" w14:textId="77777777" w:rsidR="00515E78" w:rsidRDefault="00515E78" w:rsidP="00515E78">
      <w:pPr>
        <w:pStyle w:val="CETheadingx"/>
      </w:pPr>
      <w:r>
        <w:t>Yields and influence of operating parameters</w:t>
      </w:r>
    </w:p>
    <w:p w14:paraId="31137DF9" w14:textId="3763D6A5" w:rsidR="00515E78" w:rsidRDefault="00515E78" w:rsidP="00515E78">
      <w:pPr>
        <w:pStyle w:val="CETBodytext"/>
      </w:pPr>
      <w:r>
        <w:fldChar w:fldCharType="begin"/>
      </w:r>
      <w:r>
        <w:instrText xml:space="preserve"> REF _Ref92036205 \h </w:instrText>
      </w:r>
      <w:r>
        <w:fldChar w:fldCharType="separate"/>
      </w:r>
      <w:r w:rsidR="00D40EEB">
        <w:t xml:space="preserve">Table </w:t>
      </w:r>
      <w:r w:rsidR="00D40EEB">
        <w:rPr>
          <w:noProof/>
        </w:rPr>
        <w:t>3</w:t>
      </w:r>
      <w:r>
        <w:fldChar w:fldCharType="end"/>
      </w:r>
      <w:r>
        <w:t xml:space="preserve"> reports the HTC products yields on a dry basis at different reaction conditions according to the experimental plan defined in section </w:t>
      </w:r>
      <w:r>
        <w:fldChar w:fldCharType="begin"/>
      </w:r>
      <w:r>
        <w:instrText xml:space="preserve"> REF _Ref86143171 \n \h </w:instrText>
      </w:r>
      <w:r>
        <w:fldChar w:fldCharType="separate"/>
      </w:r>
      <w:r>
        <w:t>2.2</w:t>
      </w:r>
      <w:r>
        <w:fldChar w:fldCharType="end"/>
      </w:r>
      <w:r>
        <w:t xml:space="preserve">. The highest hydrochar yield was obtained at reaction conditions of 200 °C and 4 h (66.4 wt.% d.b.), while the lowest </w:t>
      </w:r>
      <w:r w:rsidR="00642233">
        <w:t xml:space="preserve">was </w:t>
      </w:r>
      <w:r>
        <w:t xml:space="preserve">at 240 °C and 4 h. The decrease of the hydrochar yield at harsher reaction conditions was related to an increase </w:t>
      </w:r>
      <w:r w:rsidR="00642233">
        <w:t xml:space="preserve">in </w:t>
      </w:r>
      <w:r>
        <w:t>biomass volatilization, confirmed by the increase in gas yield from 3.6 wt.% at 200 °C and 2 h to 6.9 wt.% at 240 °C and 4 h.</w:t>
      </w:r>
    </w:p>
    <w:p w14:paraId="53D47F37" w14:textId="77777777" w:rsidR="00515E78" w:rsidRDefault="00515E78" w:rsidP="00515E78">
      <w:pPr>
        <w:pStyle w:val="CETTabletitle"/>
      </w:pPr>
      <w:bookmarkStart w:id="6" w:name="_Ref92036205"/>
      <w:r>
        <w:t xml:space="preserve">Table </w:t>
      </w:r>
      <w:r>
        <w:fldChar w:fldCharType="begin"/>
      </w:r>
      <w:r>
        <w:instrText xml:space="preserve"> SEQ Table \* ARABIC </w:instrText>
      </w:r>
      <w:r>
        <w:fldChar w:fldCharType="separate"/>
      </w:r>
      <w:r>
        <w:rPr>
          <w:noProof/>
        </w:rPr>
        <w:t>3</w:t>
      </w:r>
      <w:r>
        <w:fldChar w:fldCharType="end"/>
      </w:r>
      <w:bookmarkEnd w:id="6"/>
      <w:r>
        <w:t>: Products yield at different reaction conditions. (</w:t>
      </w:r>
      <w:proofErr w:type="spellStart"/>
      <w:r>
        <w:t>Unre</w:t>
      </w:r>
      <w:proofErr w:type="spellEnd"/>
      <w:r>
        <w:t>.: unrecovered).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033"/>
        <w:gridCol w:w="1134"/>
        <w:gridCol w:w="1134"/>
        <w:gridCol w:w="560"/>
      </w:tblGrid>
      <w:tr w:rsidR="00515E78" w:rsidRPr="00B57B36" w14:paraId="50060146" w14:textId="77777777" w:rsidTr="00864DF7">
        <w:tc>
          <w:tcPr>
            <w:tcW w:w="2127" w:type="dxa"/>
            <w:tcBorders>
              <w:top w:val="single" w:sz="12" w:space="0" w:color="008000"/>
              <w:bottom w:val="single" w:sz="6" w:space="0" w:color="008000"/>
            </w:tcBorders>
            <w:shd w:val="clear" w:color="auto" w:fill="FFFFFF"/>
          </w:tcPr>
          <w:p w14:paraId="1A213EF1" w14:textId="77777777" w:rsidR="00515E78" w:rsidRPr="00B57B36" w:rsidRDefault="00515E78" w:rsidP="00864DF7">
            <w:pPr>
              <w:pStyle w:val="CETBodytext"/>
              <w:rPr>
                <w:lang w:val="en-GB"/>
              </w:rPr>
            </w:pPr>
            <w:r w:rsidRPr="00677314">
              <w:t>Parameter</w:t>
            </w:r>
          </w:p>
        </w:tc>
        <w:tc>
          <w:tcPr>
            <w:tcW w:w="1033" w:type="dxa"/>
            <w:tcBorders>
              <w:top w:val="single" w:sz="12" w:space="0" w:color="008000"/>
              <w:bottom w:val="single" w:sz="6" w:space="0" w:color="008000"/>
            </w:tcBorders>
            <w:shd w:val="clear" w:color="auto" w:fill="FFFFFF"/>
          </w:tcPr>
          <w:p w14:paraId="087874DA" w14:textId="77777777" w:rsidR="00515E78" w:rsidRPr="00B57B36" w:rsidRDefault="00515E78" w:rsidP="00864DF7">
            <w:pPr>
              <w:pStyle w:val="CETBodytext"/>
              <w:rPr>
                <w:lang w:val="en-GB"/>
              </w:rPr>
            </w:pPr>
            <w:r w:rsidRPr="00677314">
              <w:t>200-2</w:t>
            </w:r>
          </w:p>
        </w:tc>
        <w:tc>
          <w:tcPr>
            <w:tcW w:w="1134" w:type="dxa"/>
            <w:tcBorders>
              <w:top w:val="single" w:sz="12" w:space="0" w:color="008000"/>
              <w:bottom w:val="single" w:sz="6" w:space="0" w:color="008000"/>
            </w:tcBorders>
            <w:shd w:val="clear" w:color="auto" w:fill="FFFFFF"/>
          </w:tcPr>
          <w:p w14:paraId="102785BF" w14:textId="77777777" w:rsidR="00515E78" w:rsidRPr="00B57B36" w:rsidRDefault="00515E78" w:rsidP="00864DF7">
            <w:pPr>
              <w:pStyle w:val="CETBodytext"/>
              <w:rPr>
                <w:lang w:val="en-GB"/>
              </w:rPr>
            </w:pPr>
            <w:r w:rsidRPr="00677314">
              <w:t>200-4</w:t>
            </w:r>
          </w:p>
        </w:tc>
        <w:tc>
          <w:tcPr>
            <w:tcW w:w="1134" w:type="dxa"/>
            <w:tcBorders>
              <w:top w:val="single" w:sz="12" w:space="0" w:color="008000"/>
              <w:bottom w:val="single" w:sz="6" w:space="0" w:color="008000"/>
            </w:tcBorders>
            <w:shd w:val="clear" w:color="auto" w:fill="FFFFFF"/>
          </w:tcPr>
          <w:p w14:paraId="5742ACDA" w14:textId="77777777" w:rsidR="00515E78" w:rsidRPr="00B57B36" w:rsidRDefault="00515E78" w:rsidP="00864DF7">
            <w:pPr>
              <w:pStyle w:val="CETBodytext"/>
              <w:ind w:right="-1"/>
              <w:rPr>
                <w:rFonts w:cs="Arial"/>
                <w:szCs w:val="18"/>
                <w:lang w:val="en-GB"/>
              </w:rPr>
            </w:pPr>
            <w:r w:rsidRPr="00677314">
              <w:t>240-2</w:t>
            </w:r>
          </w:p>
        </w:tc>
        <w:tc>
          <w:tcPr>
            <w:tcW w:w="560" w:type="dxa"/>
            <w:tcBorders>
              <w:top w:val="single" w:sz="12" w:space="0" w:color="008000"/>
              <w:bottom w:val="single" w:sz="6" w:space="0" w:color="008000"/>
            </w:tcBorders>
            <w:shd w:val="clear" w:color="auto" w:fill="FFFFFF"/>
          </w:tcPr>
          <w:p w14:paraId="33EE1770" w14:textId="77777777" w:rsidR="00515E78" w:rsidRPr="00677314" w:rsidRDefault="00515E78" w:rsidP="00864DF7">
            <w:pPr>
              <w:pStyle w:val="CETBodytext"/>
              <w:ind w:right="-1"/>
            </w:pPr>
            <w:r>
              <w:t>240-4</w:t>
            </w:r>
          </w:p>
        </w:tc>
      </w:tr>
      <w:tr w:rsidR="00515E78" w:rsidRPr="00B57B36" w14:paraId="0C23D5F0" w14:textId="77777777" w:rsidTr="00864DF7">
        <w:tc>
          <w:tcPr>
            <w:tcW w:w="2127" w:type="dxa"/>
            <w:shd w:val="clear" w:color="auto" w:fill="FFFFFF"/>
          </w:tcPr>
          <w:p w14:paraId="116BAF40" w14:textId="77777777" w:rsidR="00515E78" w:rsidRPr="00B57B36" w:rsidRDefault="00515E78" w:rsidP="00864DF7">
            <w:pPr>
              <w:pStyle w:val="CETBodytext"/>
              <w:rPr>
                <w:lang w:val="en-GB"/>
              </w:rPr>
            </w:pPr>
            <w:r>
              <w:rPr>
                <w:lang w:val="it-IT"/>
              </w:rPr>
              <w:t>Hydrochar yield [wt.%]</w:t>
            </w:r>
          </w:p>
        </w:tc>
        <w:tc>
          <w:tcPr>
            <w:tcW w:w="1033" w:type="dxa"/>
            <w:shd w:val="clear" w:color="auto" w:fill="FFFFFF"/>
          </w:tcPr>
          <w:p w14:paraId="6B2EF567" w14:textId="77777777" w:rsidR="00515E78" w:rsidRPr="00B57B36" w:rsidRDefault="00515E78" w:rsidP="00864DF7">
            <w:pPr>
              <w:pStyle w:val="CETBodytext"/>
              <w:rPr>
                <w:lang w:val="en-GB"/>
              </w:rPr>
            </w:pPr>
            <w:r w:rsidRPr="003B62DC">
              <w:t>65.</w:t>
            </w:r>
            <w:r>
              <w:t>8</w:t>
            </w:r>
          </w:p>
        </w:tc>
        <w:tc>
          <w:tcPr>
            <w:tcW w:w="1134" w:type="dxa"/>
            <w:shd w:val="clear" w:color="auto" w:fill="FFFFFF"/>
          </w:tcPr>
          <w:p w14:paraId="03895161" w14:textId="77777777" w:rsidR="00515E78" w:rsidRPr="00B57B36" w:rsidRDefault="00515E78" w:rsidP="00864DF7">
            <w:pPr>
              <w:pStyle w:val="CETBodytext"/>
              <w:rPr>
                <w:lang w:val="en-GB"/>
              </w:rPr>
            </w:pPr>
            <w:r w:rsidRPr="003B62DC">
              <w:t>66.</w:t>
            </w:r>
            <w:r>
              <w:t>4</w:t>
            </w:r>
          </w:p>
        </w:tc>
        <w:tc>
          <w:tcPr>
            <w:tcW w:w="1134" w:type="dxa"/>
            <w:shd w:val="clear" w:color="auto" w:fill="FFFFFF"/>
          </w:tcPr>
          <w:p w14:paraId="4603AB83" w14:textId="77777777" w:rsidR="00515E78" w:rsidRPr="00B57B36" w:rsidRDefault="00515E78" w:rsidP="00864DF7">
            <w:pPr>
              <w:pStyle w:val="CETBodytext"/>
              <w:ind w:right="-1"/>
              <w:rPr>
                <w:rFonts w:cs="Arial"/>
                <w:szCs w:val="18"/>
                <w:lang w:val="en-GB"/>
              </w:rPr>
            </w:pPr>
            <w:r w:rsidRPr="003B62DC">
              <w:t>61.</w:t>
            </w:r>
            <w:r>
              <w:t>1</w:t>
            </w:r>
          </w:p>
        </w:tc>
        <w:tc>
          <w:tcPr>
            <w:tcW w:w="560" w:type="dxa"/>
            <w:shd w:val="clear" w:color="auto" w:fill="FFFFFF"/>
          </w:tcPr>
          <w:p w14:paraId="15D7A00D" w14:textId="77777777" w:rsidR="00515E78" w:rsidRDefault="00515E78" w:rsidP="00864DF7">
            <w:pPr>
              <w:pStyle w:val="CETBodytext"/>
              <w:ind w:right="-1"/>
              <w:rPr>
                <w:lang w:val="it-IT"/>
              </w:rPr>
            </w:pPr>
            <w:r w:rsidRPr="003B62DC">
              <w:t>57.6</w:t>
            </w:r>
          </w:p>
        </w:tc>
      </w:tr>
      <w:tr w:rsidR="00515E78" w:rsidRPr="00B57B36" w14:paraId="7FE25387" w14:textId="77777777" w:rsidTr="00864DF7">
        <w:tc>
          <w:tcPr>
            <w:tcW w:w="2127" w:type="dxa"/>
            <w:shd w:val="clear" w:color="auto" w:fill="FFFFFF"/>
          </w:tcPr>
          <w:p w14:paraId="55D3090A" w14:textId="77777777" w:rsidR="00515E78" w:rsidRDefault="00515E78" w:rsidP="00864DF7">
            <w:pPr>
              <w:pStyle w:val="CETBodytext"/>
              <w:rPr>
                <w:lang w:val="it-IT"/>
              </w:rPr>
            </w:pPr>
            <w:r>
              <w:rPr>
                <w:lang w:val="it-IT"/>
              </w:rPr>
              <w:t>Gas yield [wt.%]</w:t>
            </w:r>
          </w:p>
        </w:tc>
        <w:tc>
          <w:tcPr>
            <w:tcW w:w="1033" w:type="dxa"/>
            <w:shd w:val="clear" w:color="auto" w:fill="FFFFFF"/>
          </w:tcPr>
          <w:p w14:paraId="1C0EAEF5" w14:textId="77777777" w:rsidR="00515E78" w:rsidRPr="00827F73" w:rsidRDefault="00515E78" w:rsidP="00864DF7">
            <w:pPr>
              <w:pStyle w:val="CETBodytext"/>
            </w:pPr>
            <w:r w:rsidRPr="003B62DC">
              <w:t>3.</w:t>
            </w:r>
            <w:r>
              <w:t>6</w:t>
            </w:r>
          </w:p>
        </w:tc>
        <w:tc>
          <w:tcPr>
            <w:tcW w:w="1134" w:type="dxa"/>
            <w:shd w:val="clear" w:color="auto" w:fill="FFFFFF"/>
          </w:tcPr>
          <w:p w14:paraId="7A5ABD2D" w14:textId="77777777" w:rsidR="00515E78" w:rsidRDefault="00515E78" w:rsidP="00864DF7">
            <w:pPr>
              <w:pStyle w:val="CETBodytext"/>
              <w:rPr>
                <w:noProof/>
              </w:rPr>
            </w:pPr>
            <w:r w:rsidRPr="003B62DC">
              <w:t>4.1</w:t>
            </w:r>
          </w:p>
        </w:tc>
        <w:tc>
          <w:tcPr>
            <w:tcW w:w="1134" w:type="dxa"/>
            <w:shd w:val="clear" w:color="auto" w:fill="FFFFFF"/>
          </w:tcPr>
          <w:p w14:paraId="06184ED4" w14:textId="77777777" w:rsidR="00515E78" w:rsidRDefault="00515E78" w:rsidP="00864DF7">
            <w:pPr>
              <w:pStyle w:val="CETBodytext"/>
              <w:ind w:right="-1"/>
              <w:rPr>
                <w:lang w:val="it-IT"/>
              </w:rPr>
            </w:pPr>
            <w:r w:rsidRPr="003B62DC">
              <w:t>5.4</w:t>
            </w:r>
          </w:p>
        </w:tc>
        <w:tc>
          <w:tcPr>
            <w:tcW w:w="560" w:type="dxa"/>
            <w:shd w:val="clear" w:color="auto" w:fill="FFFFFF"/>
          </w:tcPr>
          <w:p w14:paraId="6D94C8A5" w14:textId="77777777" w:rsidR="00515E78" w:rsidRDefault="00515E78" w:rsidP="00864DF7">
            <w:pPr>
              <w:pStyle w:val="CETBodytext"/>
              <w:ind w:right="-1"/>
              <w:rPr>
                <w:lang w:val="it-IT"/>
              </w:rPr>
            </w:pPr>
            <w:r w:rsidRPr="003B62DC">
              <w:t>6.9</w:t>
            </w:r>
          </w:p>
        </w:tc>
      </w:tr>
      <w:tr w:rsidR="00515E78" w:rsidRPr="00B57B36" w14:paraId="57B8271C" w14:textId="77777777" w:rsidTr="00864DF7">
        <w:tc>
          <w:tcPr>
            <w:tcW w:w="2127" w:type="dxa"/>
            <w:shd w:val="clear" w:color="auto" w:fill="FFFFFF"/>
          </w:tcPr>
          <w:p w14:paraId="28AB7055" w14:textId="77777777" w:rsidR="00515E78" w:rsidRDefault="00515E78" w:rsidP="00864DF7">
            <w:pPr>
              <w:pStyle w:val="CETBodytext"/>
              <w:rPr>
                <w:lang w:val="it-IT"/>
              </w:rPr>
            </w:pPr>
            <w:proofErr w:type="spellStart"/>
            <w:r w:rsidRPr="008D1A21">
              <w:rPr>
                <w:lang w:val="en-GB"/>
              </w:rPr>
              <w:t>Unre</w:t>
            </w:r>
            <w:proofErr w:type="spellEnd"/>
            <w:r w:rsidRPr="008D1A21">
              <w:rPr>
                <w:lang w:val="en-GB"/>
              </w:rPr>
              <w:t>.+liquid yield [wt.%]</w:t>
            </w:r>
          </w:p>
        </w:tc>
        <w:tc>
          <w:tcPr>
            <w:tcW w:w="1033" w:type="dxa"/>
            <w:shd w:val="clear" w:color="auto" w:fill="FFFFFF"/>
          </w:tcPr>
          <w:p w14:paraId="54014452" w14:textId="77777777" w:rsidR="00515E78" w:rsidRPr="00827F73" w:rsidRDefault="00515E78" w:rsidP="00864DF7">
            <w:pPr>
              <w:pStyle w:val="CETBodytext"/>
            </w:pPr>
            <w:r w:rsidRPr="008D1A21">
              <w:rPr>
                <w:lang w:val="en-GB"/>
              </w:rPr>
              <w:t>30.7</w:t>
            </w:r>
          </w:p>
        </w:tc>
        <w:tc>
          <w:tcPr>
            <w:tcW w:w="1134" w:type="dxa"/>
            <w:shd w:val="clear" w:color="auto" w:fill="FFFFFF"/>
          </w:tcPr>
          <w:p w14:paraId="4FA6D6A7" w14:textId="77777777" w:rsidR="00515E78" w:rsidRDefault="00515E78" w:rsidP="00864DF7">
            <w:pPr>
              <w:pStyle w:val="CETBodytext"/>
              <w:rPr>
                <w:noProof/>
              </w:rPr>
            </w:pPr>
            <w:r w:rsidRPr="008D1A21">
              <w:rPr>
                <w:lang w:val="en-GB"/>
              </w:rPr>
              <w:t>29.5</w:t>
            </w:r>
          </w:p>
        </w:tc>
        <w:tc>
          <w:tcPr>
            <w:tcW w:w="1134" w:type="dxa"/>
            <w:shd w:val="clear" w:color="auto" w:fill="FFFFFF"/>
          </w:tcPr>
          <w:p w14:paraId="4E85AED7" w14:textId="77777777" w:rsidR="00515E78" w:rsidRDefault="00515E78" w:rsidP="00864DF7">
            <w:pPr>
              <w:pStyle w:val="CETBodytext"/>
              <w:ind w:right="-1"/>
              <w:rPr>
                <w:lang w:val="it-IT"/>
              </w:rPr>
            </w:pPr>
            <w:r w:rsidRPr="008D1A21">
              <w:rPr>
                <w:lang w:val="en-GB"/>
              </w:rPr>
              <w:t>33.5</w:t>
            </w:r>
          </w:p>
        </w:tc>
        <w:tc>
          <w:tcPr>
            <w:tcW w:w="560" w:type="dxa"/>
            <w:shd w:val="clear" w:color="auto" w:fill="FFFFFF"/>
          </w:tcPr>
          <w:p w14:paraId="799156B4" w14:textId="77777777" w:rsidR="00515E78" w:rsidRDefault="00515E78" w:rsidP="00864DF7">
            <w:pPr>
              <w:pStyle w:val="CETBodytext"/>
              <w:ind w:right="-1"/>
              <w:rPr>
                <w:lang w:val="it-IT"/>
              </w:rPr>
            </w:pPr>
            <w:r w:rsidRPr="008D1A21">
              <w:rPr>
                <w:lang w:val="en-GB"/>
              </w:rPr>
              <w:t>35.4</w:t>
            </w:r>
          </w:p>
        </w:tc>
      </w:tr>
      <w:tr w:rsidR="00515E78" w:rsidRPr="00B57B36" w14:paraId="6E852E04" w14:textId="77777777" w:rsidTr="00864DF7">
        <w:tc>
          <w:tcPr>
            <w:tcW w:w="2127" w:type="dxa"/>
            <w:shd w:val="clear" w:color="auto" w:fill="FFFFFF"/>
          </w:tcPr>
          <w:p w14:paraId="4EC1306B" w14:textId="77777777" w:rsidR="00515E78" w:rsidRDefault="00515E78" w:rsidP="00864DF7">
            <w:pPr>
              <w:pStyle w:val="CETBodytext"/>
              <w:rPr>
                <w:lang w:val="it-IT"/>
              </w:rPr>
            </w:pPr>
            <w:r>
              <w:rPr>
                <w:lang w:val="it-IT"/>
              </w:rPr>
              <w:t>Hydrochar yield [wt.%]</w:t>
            </w:r>
          </w:p>
        </w:tc>
        <w:tc>
          <w:tcPr>
            <w:tcW w:w="1033" w:type="dxa"/>
            <w:shd w:val="clear" w:color="auto" w:fill="FFFFFF"/>
          </w:tcPr>
          <w:p w14:paraId="646B4B24" w14:textId="77777777" w:rsidR="00515E78" w:rsidRPr="00827F73" w:rsidRDefault="00515E78" w:rsidP="00864DF7">
            <w:pPr>
              <w:pStyle w:val="CETBodytext"/>
            </w:pPr>
            <w:r w:rsidRPr="003B62DC">
              <w:t>65.</w:t>
            </w:r>
            <w:r>
              <w:t>8</w:t>
            </w:r>
          </w:p>
        </w:tc>
        <w:tc>
          <w:tcPr>
            <w:tcW w:w="1134" w:type="dxa"/>
            <w:shd w:val="clear" w:color="auto" w:fill="FFFFFF"/>
          </w:tcPr>
          <w:p w14:paraId="032E8EDB" w14:textId="77777777" w:rsidR="00515E78" w:rsidRDefault="00515E78" w:rsidP="00864DF7">
            <w:pPr>
              <w:pStyle w:val="CETBodytext"/>
              <w:rPr>
                <w:noProof/>
              </w:rPr>
            </w:pPr>
            <w:r w:rsidRPr="003B62DC">
              <w:t>66.</w:t>
            </w:r>
            <w:r>
              <w:t>4</w:t>
            </w:r>
          </w:p>
        </w:tc>
        <w:tc>
          <w:tcPr>
            <w:tcW w:w="1134" w:type="dxa"/>
            <w:shd w:val="clear" w:color="auto" w:fill="FFFFFF"/>
          </w:tcPr>
          <w:p w14:paraId="2C2B14D1" w14:textId="77777777" w:rsidR="00515E78" w:rsidRDefault="00515E78" w:rsidP="00864DF7">
            <w:pPr>
              <w:pStyle w:val="CETBodytext"/>
              <w:ind w:right="-1"/>
              <w:rPr>
                <w:lang w:val="it-IT"/>
              </w:rPr>
            </w:pPr>
            <w:r w:rsidRPr="003B62DC">
              <w:t>61.</w:t>
            </w:r>
            <w:r>
              <w:t>1</w:t>
            </w:r>
          </w:p>
        </w:tc>
        <w:tc>
          <w:tcPr>
            <w:tcW w:w="560" w:type="dxa"/>
            <w:shd w:val="clear" w:color="auto" w:fill="FFFFFF"/>
          </w:tcPr>
          <w:p w14:paraId="0BCA64AE" w14:textId="77777777" w:rsidR="00515E78" w:rsidRDefault="00515E78" w:rsidP="00864DF7">
            <w:pPr>
              <w:pStyle w:val="CETBodytext"/>
              <w:ind w:right="-1"/>
              <w:rPr>
                <w:lang w:val="it-IT"/>
              </w:rPr>
            </w:pPr>
            <w:r w:rsidRPr="003B62DC">
              <w:t>57.6</w:t>
            </w:r>
          </w:p>
        </w:tc>
      </w:tr>
    </w:tbl>
    <w:p w14:paraId="627324B0" w14:textId="77777777" w:rsidR="00F97CF9" w:rsidRDefault="00F97CF9" w:rsidP="00515E78">
      <w:pPr>
        <w:pStyle w:val="CETBodytext"/>
      </w:pPr>
    </w:p>
    <w:p w14:paraId="0643423F" w14:textId="0C2E547B" w:rsidR="00515E78" w:rsidRDefault="00642233" w:rsidP="00515E78">
      <w:pPr>
        <w:pStyle w:val="CETBodytext"/>
      </w:pPr>
      <w:r>
        <w:t>Statistical</w:t>
      </w:r>
      <w:r w:rsidR="00515E78">
        <w:t xml:space="preserve"> analysis was performed for the determination of significant parameters (temperature, RT and their interaction) on hydrochar yield by considering a significance level of 5 %. The Pareto plot (</w:t>
      </w:r>
      <w:r w:rsidR="00515E78">
        <w:fldChar w:fldCharType="begin"/>
      </w:r>
      <w:r w:rsidR="00515E78">
        <w:instrText xml:space="preserve"> REF _Ref86151013 \h </w:instrText>
      </w:r>
      <w:r w:rsidR="00515E78">
        <w:fldChar w:fldCharType="separate"/>
      </w:r>
      <w:r w:rsidR="00D40EEB">
        <w:t xml:space="preserve">Figure </w:t>
      </w:r>
      <w:r w:rsidR="00D40EEB">
        <w:rPr>
          <w:noProof/>
        </w:rPr>
        <w:t>1</w:t>
      </w:r>
      <w:r w:rsidR="00515E78">
        <w:fldChar w:fldCharType="end"/>
      </w:r>
      <w:r w:rsidR="00515E78">
        <w:t xml:space="preserve">) reports the absolute standardized effect of the process parameters for the hydrochar yields and the reference line indicates the significance limit. It can be noticed that temperature is the only statistically significant parameter, while RT and their interaction are below the reference line. This result confirmed that temperature drives the reaction pathways, as reported in other studies concerning the hydrothermal carbonization of biomass </w:t>
      </w:r>
      <w:r w:rsidR="00515E78">
        <w:fldChar w:fldCharType="begin" w:fldLock="1"/>
      </w:r>
      <w:r w:rsidR="00515E78">
        <w:instrText>ADDIN CSL_CITATION {"citationItems":[{"id":"ITEM-1","itemData":{"DOI":"10.1016/j.wasman.2015.04.016","abstract":"In this work, the influence of the variables temperature, residence time, and biomass/water ratio on the hydrothermal carbonization (HTC) of tomato peel was investigated. The implementation of a Design of Experiments – Response Surface Methodology approach allowed to identify the importance of each variable, as well as their interactions, in both the reactivity (solid yield) and energy densification (increase in higher heating value). The HTC residence time and specially temperature had a major effect on the process, increasing the solid yield and promoting energy densification. Ratio had a minor effect although under certain temperature and time conditions, it was a decisive parameter. Solid yields in the range 27.6% and 87.7% with corresponding high heating values 23.6–34.6MJkg−1 were obtained. From the statistical processing of the experimental data obtained pseudo-second order models were developed. It was proven that these approaches envisaged the hydrochar final characteristics successfully. From the elemental analysis and the FTIR spectra, it was possible to investigate the HTC pathway, which was defined as a combination of several processes; considering dehydration and decarboxylation reactions and especially lignin depolimerization reactions, which lead to the formation of monomeric radicals. Moreover, the surface morphology of selected hydrochars by Scanning Electron Microscopy (SEM) showed the original structure scaffold, with minor changes between hydrochars prepared under different conditions.","author":[{"dropping-particle":"","family":"Sabio","given":"E.","non-dropping-particle":"","parse-names":false,"suffix":""},{"dropping-particle":"","family":"Álvarez-Murillo","given":"A.","non-dropping-particle":"","parse-names":false,"suffix":""},{"dropping-particle":"","family":"Román","given":"S.","non-dropping-particle":"","parse-names":false,"suffix":""},{"dropping-particle":"","family":"Ledesma","given":"B.","non-dropping-particle":"","parse-names":false,"suffix":""}],"container-title":"Waste Management","id":"ITEM-1","issued":{"date-parts":[["2016"]]},"note":"batch, 200ml teflon vessel in autoclave\nBiom/Water 1.6-15%\n1.6-18.4g dried tomato peel\n150-250°C, 1.6-18.4h\nTemperature, T, was undoubtedly the main processing variable affecting the SY of the HTC reaction, followed by the residence time, t, both causing decreases in SY as they themselves increased. There was an interaction between T and t, which means that the effects of these two variables cannot be analyzed separately. Moreover, although the biomass/water ratio, R, was observed to play a secondary role, it showed interactions with T and t that influenced the effect of the latter two variables.","page":"122-132","title":"Conversion of tomato-peel waste into solid fuel by hydrothermal carbonization: Influence of the processing variables","type":"article-journal","volume":"47"},"uris":["http://www.mendeley.com/documents/?uuid=e522ea02-f24a-4eb3-bfc8-05c18c25e492"]},{"id":"ITEM-2","itemData":{"DOI":"10.1016/j.biortech.2011.06.099","ISBN":"0960-8524","ISSN":"09608524","PMID":"21802284","abstract":"Hydrochars were prepared by hydrothermal carbonization (HTC) of maize silage previously treated at 55??C in a two-stage solid-state reactor system. The HTC was carried out in a 1-L stirred pressure reactor with pH regulation by citric acid. The treated silage carbonized at relatively mild conditions (190??C, 2h), and the hydrochars showed mainly amorphous macro-size features with a carbon content of 59-79% (ash-free, dry) and a higher heating value of 25-36MJkg -1. Temperature was the main influencing factor. The surface area according to Brunauer-Emmett-Teller (BET) analysis was highest at 190??C (12.3m 2g -1). Based on these results, the hydrochars are potentially interesting for applications such as an alternative fuel or a soil conditioner. ?? 2011 Elsevier Ltd.","author":[{"dropping-particle":"","family":"Mumme","given":"Jan","non-dropping-particle":"","parse-names":false,"suffix":""},{"dropping-particle":"","family":"Eckervogt","given":"Lion","non-dropping-particle":"","parse-names":false,"suffix":""},{"dropping-particle":"","family":"Pielert","given":"Judith","non-dropping-particle":"","parse-names":false,"suffix":""},{"dropping-particle":"","family":"Diakité","given":"Mamadou","non-dropping-particle":"","parse-names":false,"suffix":""},{"dropping-particle":"","family":"Rupp","given":"Fabian","non-dropping-particle":"","parse-names":false,"suffix":""},{"dropping-particle":"","family":"Kern","given":"Jürgen","non-dropping-particle":"","parse-names":false,"suffix":""}],"container-title":"Bioresource Technology","id":"ITEM-2","issue":"19","issued":{"date-parts":[["2011"]]},"note":"batch, 1 l parr reactor, stirred (90rpm), external resistance\ndigestate of maize silage, 302g+198g water (C conc 42.3g/l), blended and homogenized\ninitial pH adjusted with citric acid\nmax BET @190°C = 12.3m2/g\n190-230-270°C, 2-6-10h, initial pH 3-5-7\nTemperature main influencing factor\nBox-Behnken fractional design was employed to reduce the number of runs from 27 to 15 including 3 center point runs.\nThe lower temperatures required for carbonization of silage digestate despite high concentrations of cellulose (28% of volatile sol-ids, VS) and lignin (42.5% of VS), which are both recalcitrant to hydrolysis, is possibly due to the relative high ash (11.45% of dry weight) and thus metal ion content of the digestate\nhigher temperatures seem to reduce the surface area.","page":"9255-9260","publisher":"Elsevier Ltd","title":"Hydrothermal carbonization of anaerobically digested maize silage","type":"article-journal","volume":"102"},"uris":["http://www.mendeley.com/documents/?uuid=7d9b13b8-3d2a-4bbe-912d-fe6f19e1d1d4"]}],"mendeley":{"formattedCitation":"(Mumme et al., 2011; Sabio et al., 2016)","plainTextFormattedCitation":"(Mumme et al., 2011; Sabio et al., 2016)","previouslyFormattedCitation":"[9,10]"},"properties":{"noteIndex":0},"schema":"https://github.com/citation-style-language/schema/raw/master/csl-citation.json"}</w:instrText>
      </w:r>
      <w:r w:rsidR="00515E78">
        <w:fldChar w:fldCharType="separate"/>
      </w:r>
      <w:r w:rsidR="00515E78" w:rsidRPr="00010B89">
        <w:rPr>
          <w:noProof/>
        </w:rPr>
        <w:t>(Mumme et al., 2011; Sabio et al., 2016)</w:t>
      </w:r>
      <w:r w:rsidR="00515E78">
        <w:fldChar w:fldCharType="end"/>
      </w:r>
      <w:r w:rsidR="00515E78">
        <w:t>.</w:t>
      </w:r>
    </w:p>
    <w:p w14:paraId="5D5128DA" w14:textId="77777777" w:rsidR="00515E78" w:rsidRDefault="00515E78" w:rsidP="00515E78">
      <w:pPr>
        <w:keepNext/>
        <w:spacing w:before="240" w:after="240"/>
        <w:jc w:val="left"/>
      </w:pPr>
      <w:r>
        <w:rPr>
          <w:noProof/>
          <w:lang w:val="it-IT" w:eastAsia="it-IT"/>
        </w:rPr>
        <w:drawing>
          <wp:inline distT="0" distB="0" distL="0" distR="0" wp14:anchorId="57B8FBD5" wp14:editId="6EA1FCD5">
            <wp:extent cx="2334526" cy="1760879"/>
            <wp:effectExtent l="0" t="0" r="889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Effects Pareto for Solids yield [-].jpg"/>
                    <pic:cNvPicPr/>
                  </pic:nvPicPr>
                  <pic:blipFill>
                    <a:blip r:embed="rId11"/>
                    <a:stretch>
                      <a:fillRect/>
                    </a:stretch>
                  </pic:blipFill>
                  <pic:spPr bwMode="auto">
                    <a:xfrm>
                      <a:off x="0" y="0"/>
                      <a:ext cx="2334526" cy="1760879"/>
                    </a:xfrm>
                    <a:prstGeom prst="rect">
                      <a:avLst/>
                    </a:prstGeom>
                    <a:ln>
                      <a:noFill/>
                    </a:ln>
                    <a:extLst>
                      <a:ext uri="{53640926-AAD7-44D8-BBD7-CCE9431645EC}">
                        <a14:shadowObscured xmlns:a14="http://schemas.microsoft.com/office/drawing/2010/main"/>
                      </a:ext>
                    </a:extLst>
                  </pic:spPr>
                </pic:pic>
              </a:graphicData>
            </a:graphic>
          </wp:inline>
        </w:drawing>
      </w:r>
    </w:p>
    <w:p w14:paraId="0D99155B" w14:textId="6BD92311" w:rsidR="00515E78" w:rsidRPr="00C4545E" w:rsidRDefault="00515E78" w:rsidP="00515E78">
      <w:pPr>
        <w:pStyle w:val="CETCaption"/>
      </w:pPr>
      <w:bookmarkStart w:id="7" w:name="_Ref86151013"/>
      <w:r>
        <w:t xml:space="preserve">Figure </w:t>
      </w:r>
      <w:r>
        <w:fldChar w:fldCharType="begin"/>
      </w:r>
      <w:r>
        <w:instrText xml:space="preserve"> SEQ Figure \* ARABIC </w:instrText>
      </w:r>
      <w:r>
        <w:fldChar w:fldCharType="separate"/>
      </w:r>
      <w:r>
        <w:rPr>
          <w:noProof/>
        </w:rPr>
        <w:t>1</w:t>
      </w:r>
      <w:r>
        <w:fldChar w:fldCharType="end"/>
      </w:r>
      <w:bookmarkEnd w:id="7"/>
      <w:r>
        <w:t xml:space="preserve">: </w:t>
      </w:r>
      <w:r w:rsidR="00F97CF9">
        <w:t>N</w:t>
      </w:r>
      <w:r>
        <w:t>ormal plot of the standardized effects for hydrochar yield.</w:t>
      </w:r>
    </w:p>
    <w:p w14:paraId="44D4F596" w14:textId="77777777" w:rsidR="00515E78" w:rsidRDefault="00515E78" w:rsidP="00515E78">
      <w:pPr>
        <w:pStyle w:val="CETheadingx"/>
      </w:pPr>
      <w:r>
        <w:lastRenderedPageBreak/>
        <w:t>Hydrochar characterization</w:t>
      </w:r>
    </w:p>
    <w:p w14:paraId="38DE57CE" w14:textId="349DF3CC" w:rsidR="00515E78" w:rsidRDefault="00515E78" w:rsidP="00515E78">
      <w:pPr>
        <w:pStyle w:val="CETBodytext"/>
      </w:pPr>
      <w:r w:rsidRPr="009F267E">
        <w:t xml:space="preserve">It can be noticed from </w:t>
      </w:r>
      <w:r>
        <w:fldChar w:fldCharType="begin"/>
      </w:r>
      <w:r>
        <w:instrText xml:space="preserve"> REF _Ref91490937 \h </w:instrText>
      </w:r>
      <w:r>
        <w:fldChar w:fldCharType="separate"/>
      </w:r>
      <w:r w:rsidR="00927F8C">
        <w:t xml:space="preserve">Table </w:t>
      </w:r>
      <w:r w:rsidR="00927F8C">
        <w:rPr>
          <w:noProof/>
        </w:rPr>
        <w:t>4</w:t>
      </w:r>
      <w:r>
        <w:fldChar w:fldCharType="end"/>
      </w:r>
      <w:r>
        <w:t xml:space="preserve"> that the organic carbon content ranged between 38.3 wt.% to 41.4 wt.% d.b., while the inorganic carbon content increased with reaction severity from 0.6 wt.% to 1.0 wt.%. The hydrogen content was almost unaffected by reaction conditions and also sulphur (1.8 – 2.1 wt.%) and nitrogen (1.6 – 2.1 wt.%) content</w:t>
      </w:r>
      <w:r w:rsidR="00C325E8">
        <w:t>s</w:t>
      </w:r>
      <w:r>
        <w:t xml:space="preserve"> were only slightly influenced by temperature and residence time variation. The ash content in all the hydrochar samples was considerably high and it was related to the high ash content of the feedstock. Moreover, </w:t>
      </w:r>
      <w:r>
        <w:fldChar w:fldCharType="begin"/>
      </w:r>
      <w:r>
        <w:instrText xml:space="preserve"> REF _Ref91490937 \h </w:instrText>
      </w:r>
      <w:r>
        <w:fldChar w:fldCharType="separate"/>
      </w:r>
      <w:r>
        <w:t xml:space="preserve">Table </w:t>
      </w:r>
      <w:r>
        <w:rPr>
          <w:noProof/>
        </w:rPr>
        <w:t>5</w:t>
      </w:r>
      <w:r>
        <w:fldChar w:fldCharType="end"/>
      </w:r>
      <w:r>
        <w:t xml:space="preserve"> highlights the increase of ash content in hydrochar samples with increasing reaction temperature for both residence times (2 and 4 h). The samples were abundant in macronutrients (Ca, K, Mg) and micronutrients (Fe, Mn) with a concentration between 6.5 and 7.5 wt.% which suggested the application as a source of nutrients for plant growth. The pH of the substrate influences the availability of nutrients and, in this work, the measured pH was almost in the optimal range for plant growth (between 6.5 and 7.5) </w:t>
      </w:r>
      <w:r w:rsidR="00C325E8">
        <w:t>increasing</w:t>
      </w:r>
      <w:r>
        <w:t xml:space="preserve"> with reaction severity from 6.0 to 7.0 </w:t>
      </w:r>
      <w:r>
        <w:fldChar w:fldCharType="begin" w:fldLock="1"/>
      </w:r>
      <w:r>
        <w:instrText>ADDIN CSL_CITATION {"citationItems":[{"id":"ITEM-1","itemData":{"DOI":"10.2307/3237188","ISSN":"1100-9233","abstract":"We analysed the structure and diversity of the vegetation along an Arctic river to determine the relationship between species richness and plant community structure. We examined whether variation in species richness along the corridor is structured as (1) an increase in the number of communities due to increasing landscape heterogeneity, (2) an increase in the floristic distinctiveness (β-diversity) of communities, or (3) an increase in within-community richness (α-diversity) as species-poor communities are replaced by species-rich communities. We described 24 community types and analysed the relationship between site vascular species richness (γ-diversity) and β-diversity, α-diversity, site environmental heterogeneity, and the number of distinct plant communities. We also measured diversity patterns of vascular, bryophyte, and lichen species within communities and examined their relationship to community-level estimates of environmental factors. We found that an increase in site species richness correlated with an increase in the number of communities (r2 = 0.323, P=0.0173) and β-diversity (r2 =0.388, P=0.0075), rather than an increase in the α-diversity of individual communities. Moisture and pH controlled most of the differences in composition between communities. Measures of species richness and correlations with moisture and pH within communities differed among vascular, bryophyte, and lichen species. Bryophyte richness was positively correlated with moisture (r2 = 0.862, P = 0.0010) and lichen richness was negatively correlated with moisture (r2 = 0.809, P = 0.0031). Vascular plants had a peak in richness at pH 6.5 (r2 = 0.214, P &lt; 0.0001). We conclude that site variation in vascular richness in this region is controlled by landscape heterogeneity, and structured as variation in the number and distinctiveness of recognizable plant communities.","author":[{"dropping-particle":"","family":"Gould","given":"William A.","non-dropping-particle":"","parse-names":false,"suffix":""},{"dropping-particle":"","family":"Walker","given":"Marilyn D.","non-dropping-particle":"","parse-names":false,"suffix":""}],"container-title":"Journal of Vegetation Science","id":"ITEM-1","issue":"4","issued":{"date-parts":[["1999"]]},"page":"537-548","title":"Plant communities and landscape diversity along a Canadian Arctic river","type":"article-journal","volume":"10"},"uris":["http://www.mendeley.com/documents/?uuid=d0888aef-7943-467f-8a39-a0a712886894"]}],"mendeley":{"formattedCitation":"(Gould and Walker, 1999)","plainTextFormattedCitation":"(Gould and Walker, 1999)","previouslyFormattedCitation":"[11]"},"properties":{"noteIndex":0},"schema":"https://github.com/citation-style-language/schema/raw/master/csl-citation.json"}</w:instrText>
      </w:r>
      <w:r>
        <w:fldChar w:fldCharType="separate"/>
      </w:r>
      <w:r w:rsidRPr="00010B89">
        <w:rPr>
          <w:noProof/>
        </w:rPr>
        <w:t>(Gould and Walker, 1999)</w:t>
      </w:r>
      <w:r>
        <w:fldChar w:fldCharType="end"/>
      </w:r>
      <w:r>
        <w:t xml:space="preserve">. A similar trend was observed with electrical conductivity (EC), </w:t>
      </w:r>
      <w:r w:rsidR="00642233">
        <w:t xml:space="preserve">which </w:t>
      </w:r>
      <w:r>
        <w:t>increased with reaction temperature from 6.0 to 7.0 mS cm</w:t>
      </w:r>
      <w:r>
        <w:rPr>
          <w:vertAlign w:val="superscript"/>
        </w:rPr>
        <w:t xml:space="preserve">-1 </w:t>
      </w:r>
      <w:r>
        <w:t>(</w:t>
      </w:r>
      <w:r>
        <w:fldChar w:fldCharType="begin"/>
      </w:r>
      <w:r>
        <w:instrText xml:space="preserve"> REF _Ref91490937 \h </w:instrText>
      </w:r>
      <w:r>
        <w:fldChar w:fldCharType="separate"/>
      </w:r>
      <w:r>
        <w:t xml:space="preserve">Table </w:t>
      </w:r>
      <w:r>
        <w:rPr>
          <w:noProof/>
        </w:rPr>
        <w:t>4</w:t>
      </w:r>
      <w:r>
        <w:fldChar w:fldCharType="end"/>
      </w:r>
      <w:r>
        <w:t xml:space="preserve">), however, these values were low compared to HC from other feedstock suggesting low salt concentration </w:t>
      </w:r>
      <w:r>
        <w:fldChar w:fldCharType="begin" w:fldLock="1"/>
      </w:r>
      <w:r>
        <w:instrText>ADDIN CSL_CITATION {"citationItems":[{"id":"ITEM-1","itemData":{"DOI":"10.1016/j.jenvman.2020.111635","ISSN":"10958630","PMID":"33187784","abstract":"The management of digestate, the main by-product of the anaerobic digestion (AD) process, is one of the most serious environmental issues. Although digestate is used on arable land as a fertilizer, it can have a negative impact on the environment due to nitrate leaching into the groundwater and ammonia volatilization into the atmosphere, with high economic and environmental disposal costs. Therefore, hydrothermal carbonization (HTC), a thermochemical biomass conversion process, could represent a sustainable and efficient alternative for digestate management. Hydrochar, the solid product of the HTC process, has been recently proposed as a plant growing medium in soilless culture systems (SCS). Here, using cow manure digestate as feedstock, we investigated the influence of the HTC process reaction temperature (180, 220 and 250 °C) and residence time (1 and 3 h) on the physical-chemical properties (pH, electrical conductivity, and mineral element concentrations) of the resulting hydrochars. Furthermore, in order to fully valorize hydrochar as a growing medium, their possible phytotoxic effects and those of their water extracts (prepared at two different concentrations and at different pHs) were tested in germination tests with cress seeds (Lepidium sativum L.). Concentrations of nutrients, heavy metals, organic acids, sugars and furan compounds were determined in the water extracts. Characterization analysis of these hydrochars revealed that they can be distinguished from each other by their physical-chemical properties, which were significantly affected by the two process parameters. Specifically, the HTC temperature had a greater effect on the composition of hydrochars than the residence time. Germination tests found hydrochar water extracts to show significantly lower phytotoxicity than the hydrochars themselves. Notably, the phytotoxic effect of the extracts decreased with increasing extraction ratio and decreasing pH. The chromatographic characterization of extracts identified the presence of potential phytotoxins, such as furan compounds (i.e., hydroxymethylfurfural and furfural). However, before using hydrochars as potential and innovative growing media for plants, their phytotoxicity should be limited, for example through their dilution with other substrates. Overall, AD-HTC coupling could represent a valuable eco-sustainable expedient in the field of biomasses, green economy and waste conversion and, therefore, further investigations in this direc…","author":[{"dropping-particle":"","family":"Celletti","given":"Silvia","non-dropping-particle":"","parse-names":false,"suffix":""},{"dropping-particle":"","family":"Bergamo","given":"Alex","non-dropping-particle":"","parse-names":false,"suffix":""},{"dropping-particle":"","family":"Benedetti","given":"Vittoria","non-dropping-particle":"","parse-names":false,"suffix":""},{"dropping-particle":"","family":"Pecchi","given":"Matteo","non-dropping-particle":"","parse-names":false,"suffix":""},{"dropping-particle":"","family":"Patuzzi","given":"Francesco","non-dropping-particle":"","parse-names":false,"suffix":""},{"dropping-particle":"","family":"Basso","given":"Daniele","non-dropping-particle":"","parse-names":false,"suffix":""},{"dropping-particle":"","family":"Baratieri","given":"Marco","non-dropping-particle":"","parse-names":false,"suffix":""},{"dropping-particle":"","family":"Cesco","given":"Stefano","non-dropping-particle":"","parse-names":false,"suffix":""},{"dropping-particle":"","family":"Mimmo","given":"Tanja","non-dropping-particle":"","parse-names":false,"suffix":""}],"container-title":"Journal of Environmental Management","id":"ITEM-1","issue":"September 2020","issued":{"date-parts":[["2021"]]},"page":"111635","publisher":"Elsevier Ltd","title":"Phytotoxicity of hydrochars obtained by hydrothermal carbonization of manure-based digestate","type":"article-journal","volume":"280"},"uris":["http://www.mendeley.com/documents/?uuid=258f385e-2c1d-45d3-837e-a40e0bb59545"]}],"mendeley":{"formattedCitation":"(Celletti et al., 2021)","plainTextFormattedCitation":"(Celletti et al., 2021)","previouslyFormattedCitation":"[12]"},"properties":{"noteIndex":0},"schema":"https://github.com/citation-style-language/schema/raw/master/csl-citation.json"}</w:instrText>
      </w:r>
      <w:r>
        <w:fldChar w:fldCharType="separate"/>
      </w:r>
      <w:r w:rsidRPr="00010B89">
        <w:rPr>
          <w:noProof/>
        </w:rPr>
        <w:t>(Celletti et al., 2021)</w:t>
      </w:r>
      <w:r>
        <w:fldChar w:fldCharType="end"/>
      </w:r>
      <w:r>
        <w:t xml:space="preserve">. Polycyclic aromatic hydrocarbons (PAHs) are possible phytotoxic compounds that could inhibit plant growth and they were produced during the HTC process via degradation of the polymers of the feedstock. However, their concentration is generally lower in HC than in </w:t>
      </w:r>
      <w:r w:rsidR="00C15D9B">
        <w:t xml:space="preserve">pyrolysis </w:t>
      </w:r>
      <w:r w:rsidR="00642233">
        <w:t>biochar</w:t>
      </w:r>
      <w:r>
        <w:t xml:space="preserve">: </w:t>
      </w:r>
      <w:proofErr w:type="spellStart"/>
      <w:r>
        <w:t>Bargmann</w:t>
      </w:r>
      <w:proofErr w:type="spellEnd"/>
      <w:r>
        <w:t xml:space="preserve"> et al. </w:t>
      </w:r>
      <w:r>
        <w:fldChar w:fldCharType="begin" w:fldLock="1"/>
      </w:r>
      <w:r>
        <w:instrText>ADDIN CSL_CITATION {"citationItems":[{"id":"ITEM-1","itemData":{"DOI":"10.1111/jac.12024","ISSN":"09312250","abstract":"Within the framework of climate change mitigation by sequestrating recalcitrant carbon in soil, biochar is considered as a promising soil amendment. Testing any such soil additives is vitally important, as they should not cause abiotic stress for plants due to chemical constituents they may contain. Thus, germination tests with spring barley (Hordeum vulgare) were conducted to assess phytotoxic effects of biochar, hydrochar and process-water from hydrothermal carbonization (HTC) as soil amendments. Additionally, single-component tests with substances found in process-waters were carried out with cress (Lepidium sativum). While biochars generally had no effect on germination, hydrochars and process-waters significantly inhibited germination. The dissolved organic carbon content predicted the germination-inhibiting effects observed. Three compounds resulted in partial (guaiacol) or total (levulinic acid and glycolic acid) inhibition of cress seed germination, and three others (acetic acid, glycolaldehyde dimer and catechol) had a negative impact on growth. Phytotoxic substances in chars appeared to be mostly water soluble and volatile. Pre-treatments of hydrochars and process-waters (i.e. storage and washing) were able to reduce germination inhibition. While phytotoxic substances that are generated during HTC stay in the products, biochars from kiln carbonization of the same feedstocks had no negative effects on germination, likely because volatiles evaporate during the conversion. Our study highlights the importance of comprehensively testing carbonized products for their compatibility with agricultural and horticultural systems. © 2013 Blackwell Verlag GmbH.","author":[{"dropping-particle":"","family":"Bargmann","given":"I.","non-dropping-particle":"","parse-names":false,"suffix":""},{"dropping-particle":"","family":"Rillig","given":"M. C.","non-dropping-particle":"","parse-names":false,"suffix":""},{"dropping-particle":"","family":"Buss","given":"W.","non-dropping-particle":"","parse-names":false,"suffix":""},{"dropping-particle":"","family":"Kruse","given":"A.","non-dropping-particle":"","parse-names":false,"suffix":""},{"dropping-particle":"","family":"Kuecke","given":"M.","non-dropping-particle":"","parse-names":false,"suffix":""}],"container-title":"Journal of Agronomy and Crop Science","id":"ITEM-1","issue":"5","issued":{"date-parts":[["2013"]]},"page":"360-373","title":"Hydrochar and biochar effects on germination of spring barley","type":"article-journal","volume":"199"},"uris":["http://www.mendeley.com/documents/?uuid=c3a4914b-6ee7-4a51-8671-e7010e1c7335"]}],"mendeley":{"formattedCitation":"(Bargmann et al., 2013)","plainTextFormattedCitation":"(Bargmann et al., 2013)","previouslyFormattedCitation":"[13]"},"properties":{"noteIndex":0},"schema":"https://github.com/citation-style-language/schema/raw/master/csl-citation.json"}</w:instrText>
      </w:r>
      <w:r>
        <w:fldChar w:fldCharType="separate"/>
      </w:r>
      <w:r w:rsidRPr="00010B89">
        <w:rPr>
          <w:noProof/>
        </w:rPr>
        <w:t>(Bargmann et al., 2013)</w:t>
      </w:r>
      <w:r>
        <w:fldChar w:fldCharType="end"/>
      </w:r>
      <w:r>
        <w:t xml:space="preserve"> investigated the HTC and pyrolysis of various feedstock and observed that the amount of PAHs in hydrochars ranged from 0.3 to 4.9 mg kg</w:t>
      </w:r>
      <w:r w:rsidRPr="00D353FE">
        <w:rPr>
          <w:vertAlign w:val="superscript"/>
        </w:rPr>
        <w:t>-1</w:t>
      </w:r>
      <w:r>
        <w:t xml:space="preserve"> d.b., while in biochars ranged from 1.3 to 53.3 mg kg</w:t>
      </w:r>
      <w:r w:rsidRPr="00D353FE">
        <w:rPr>
          <w:vertAlign w:val="superscript"/>
        </w:rPr>
        <w:t>-1</w:t>
      </w:r>
      <w:r>
        <w:t xml:space="preserve"> d.b.. In the present study at all reaction conditions the measured PAHs in hydrochar were relatively low, ranging from 0.57 to 2.2 mg kg</w:t>
      </w:r>
      <w:r w:rsidRPr="002D74C5">
        <w:rPr>
          <w:vertAlign w:val="superscript"/>
        </w:rPr>
        <w:t>-1</w:t>
      </w:r>
      <w:r w:rsidRPr="002A3896">
        <w:t xml:space="preserve"> </w:t>
      </w:r>
      <w:r>
        <w:t xml:space="preserve">and below the Italian legislative limit for agricultural use (6 </w:t>
      </w:r>
      <w:r w:rsidRPr="00763B07">
        <w:t>mg</w:t>
      </w:r>
      <w:r>
        <w:t xml:space="preserve"> </w:t>
      </w:r>
      <w:r w:rsidRPr="00763B07">
        <w:t>kg</w:t>
      </w:r>
      <w:r w:rsidRPr="00572F9C">
        <w:rPr>
          <w:vertAlign w:val="superscript"/>
        </w:rPr>
        <w:t>-1</w:t>
      </w:r>
      <w:r w:rsidRPr="00763B07">
        <w:t xml:space="preserve"> </w:t>
      </w:r>
      <w:r>
        <w:t xml:space="preserve">d.b., see </w:t>
      </w:r>
      <w:r>
        <w:fldChar w:fldCharType="begin"/>
      </w:r>
      <w:r>
        <w:instrText xml:space="preserve"> REF _Ref91490937 \h </w:instrText>
      </w:r>
      <w:r>
        <w:fldChar w:fldCharType="separate"/>
      </w:r>
      <w:r>
        <w:t xml:space="preserve">Table </w:t>
      </w:r>
      <w:r>
        <w:rPr>
          <w:noProof/>
        </w:rPr>
        <w:t>5</w:t>
      </w:r>
      <w:r>
        <w:fldChar w:fldCharType="end"/>
      </w:r>
      <w:r>
        <w:t xml:space="preserve">). The H/C ratio ranged between 1.34 and 1.36, while O/C </w:t>
      </w:r>
      <w:r w:rsidR="00642233">
        <w:t xml:space="preserve">was </w:t>
      </w:r>
      <w:r>
        <w:t xml:space="preserve">between 0.42 and 0.57, suggesting a low degree of decarboxylation and demethylation reactions and low devolatilization and carbonization of initial biomass </w:t>
      </w:r>
      <w:r>
        <w:fldChar w:fldCharType="begin" w:fldLock="1"/>
      </w:r>
      <w:r>
        <w:instrText>ADDIN CSL_CITATION {"citationItems":[{"id":"ITEM-1","itemData":{"DOI":"10.1016/j.fuel.2011.10.059","ISSN":"00162361","abstract":"The use of biomass to provide energy has been fundamental to the development of civilisation. In recent times pressures on the global environment have led to calls for an increased use of renewable energy sources,in lieu of fossil fuels. Biomass is one potential source of renewable energy and the conversion of plant material into a suitable form of energy,usually electricity or as a fuel for an internal combustion engine,can be achieved using a number of different routes,each with specific pros and cons. A brief review of the main conversion processes is presented,with specific regard to the production of a fuel suitable for spark ignition gas engines.","author":[{"dropping-particle":"","family":"McKendry","given":"Peter","non-dropping-particle":"","parse-names":false,"suffix":""}],"container-title":"Bioresource Technology","id":"ITEM-1","issue":"July 2001","issued":{"date-parts":[["2001"]]},"page":"47-54","title":"Energy production from biomass (part 2): conversion technologies","type":"article-journal","volume":"95"},"uris":["http://www.mendeley.com/documents/?uuid=37ff67ee-1a40-449d-b923-68906449be40"]}],"mendeley":{"formattedCitation":"(McKendry, 2001)","plainTextFormattedCitation":"(McKendry, 2001)","previouslyFormattedCitation":"[14]"},"properties":{"noteIndex":0},"schema":"https://github.com/citation-style-language/schema/raw/master/csl-citation.json"}</w:instrText>
      </w:r>
      <w:r>
        <w:fldChar w:fldCharType="separate"/>
      </w:r>
      <w:r w:rsidRPr="00010B89">
        <w:rPr>
          <w:noProof/>
        </w:rPr>
        <w:t>(McKendry, 2001)</w:t>
      </w:r>
      <w:r>
        <w:fldChar w:fldCharType="end"/>
      </w:r>
      <w:r>
        <w:t xml:space="preserve">. As expected, the O/C ratio decreased moving to harsher reaction conditions, the same trend was observed by Smith and Ross although they obtained a higher degree of oxygen removal (O/C=0.2 – 0.34). Similar results were achieved by Xu et al. with the conversion con macroalgae </w:t>
      </w:r>
      <w:r w:rsidRPr="0078712F">
        <w:rPr>
          <w:i/>
        </w:rPr>
        <w:t>S.</w:t>
      </w:r>
      <w:r>
        <w:rPr>
          <w:i/>
        </w:rPr>
        <w:t xml:space="preserve"> </w:t>
      </w:r>
      <w:proofErr w:type="spellStart"/>
      <w:r w:rsidRPr="0078712F">
        <w:rPr>
          <w:i/>
        </w:rPr>
        <w:t>horneri</w:t>
      </w:r>
      <w:proofErr w:type="spellEnd"/>
      <w:r>
        <w:rPr>
          <w:i/>
        </w:rPr>
        <w:t xml:space="preserve"> </w:t>
      </w:r>
      <w:r>
        <w:fldChar w:fldCharType="begin" w:fldLock="1"/>
      </w:r>
      <w:r>
        <w:instrText>ADDIN CSL_CITATION {"citationItems":[{"id":"ITEM-1","itemData":{"DOI":"10.1021/sc400118f","ISSN":"21680485","abstract":"Hydrochars derived from macroalgae Sargassum horneri were characterized physically and chemically to elucidate their potential as a valuable resource. Hydrochars were prepared by hydrothermal carbonization (HTC) of Sargassum horneri at temperatures of 180-210 C with citric acid. The hydrochars were found to form mainly through a dehydration reaction pathway and had carbon contents of 36.8-50.5% and higher heating values of 19.0-25.1 MJ kg-1. The BET surface area of hydrochars remained low, in the range of 0.6-31.8 m2 g-1. On the basis of Taguchi's experimental design, reaction temperature, reaction time, and particle size of feedstock were found to be the most important control factors for the chemical and physical properties of the hydrochars. © 2013 American Chemical Society.","author":[{"dropping-particle":"","family":"Xu","given":"Qian","non-dropping-particle":"","parse-names":false,"suffix":""},{"dropping-particle":"","family":"Qian","given":"Qifeng","non-dropping-particle":"","parse-names":false,"suffix":""},{"dropping-particle":"","family":"Quek","given":"Augustine","non-dropping-particle":"","parse-names":false,"suffix":""},{"dropping-particle":"","family":"Ai","given":"Ning","non-dropping-particle":"","parse-names":false,"suffix":""},{"dropping-particle":"","family":"Zeng","given":"Ganning","non-dropping-particle":"","parse-names":false,"suffix":""},{"dropping-particle":"","family":"Wang","given":"Jiawei","non-dropping-particle":"","parse-names":false,"suffix":""}],"container-title":"ACS Sustainable Chemistry and Engineering","id":"ITEM-1","issue":"9","issued":{"date-parts":[["2013"]]},"page":"1092-1101","title":"Hydrothermal carbonization of macroalgae and the effects of experimental parameters on the properties of hydrochars","type":"article-journal","volume":"1"},"uris":["http://www.mendeley.com/documents/?uuid=d6930312-ca06-46d8-a32f-f90644953955"]}],"mendeley":{"formattedCitation":"(Xu et al., 2013)","plainTextFormattedCitation":"(Xu et al., 2013)","previouslyFormattedCitation":"[15]"},"properties":{"noteIndex":0},"schema":"https://github.com/citation-style-language/schema/raw/master/csl-citation.json"}</w:instrText>
      </w:r>
      <w:r>
        <w:fldChar w:fldCharType="separate"/>
      </w:r>
      <w:r w:rsidRPr="00010B89">
        <w:rPr>
          <w:noProof/>
        </w:rPr>
        <w:t>(Xu et al., 2013)</w:t>
      </w:r>
      <w:r>
        <w:fldChar w:fldCharType="end"/>
      </w:r>
      <w:r>
        <w:t>.</w:t>
      </w:r>
    </w:p>
    <w:p w14:paraId="44DB4B48" w14:textId="5B8B49D9" w:rsidR="00515E78" w:rsidRDefault="00515E78" w:rsidP="00515E78">
      <w:pPr>
        <w:rPr>
          <w:lang w:val="en-US"/>
        </w:rPr>
      </w:pPr>
      <w:r w:rsidRPr="006F1497">
        <w:t>The hydrochars FT-IR spectra (</w:t>
      </w:r>
      <w:r>
        <w:fldChar w:fldCharType="begin"/>
      </w:r>
      <w:r>
        <w:instrText xml:space="preserve"> REF _Ref92036073 \h </w:instrText>
      </w:r>
      <w:r>
        <w:fldChar w:fldCharType="separate"/>
      </w:r>
      <w:r>
        <w:t xml:space="preserve">Figure </w:t>
      </w:r>
      <w:r>
        <w:rPr>
          <w:noProof/>
        </w:rPr>
        <w:t>2</w:t>
      </w:r>
      <w:r>
        <w:fldChar w:fldCharType="end"/>
      </w:r>
      <w:r>
        <w:t xml:space="preserve">) </w:t>
      </w:r>
      <w:r w:rsidRPr="006F1497">
        <w:t>showed common peaks and functional</w:t>
      </w:r>
      <w:r w:rsidRPr="00042B67">
        <w:t xml:space="preserve"> groups regions</w:t>
      </w:r>
      <w:r>
        <w:t>:</w:t>
      </w:r>
      <w:r w:rsidRPr="00042B67">
        <w:t xml:space="preserve"> the zone 2800-3000 cm</w:t>
      </w:r>
      <w:r w:rsidRPr="00835CE3">
        <w:rPr>
          <w:vertAlign w:val="superscript"/>
        </w:rPr>
        <w:t>-1</w:t>
      </w:r>
      <w:r w:rsidR="00C325E8">
        <w:t>,</w:t>
      </w:r>
      <w:r>
        <w:t xml:space="preserve"> associated to</w:t>
      </w:r>
      <w:r w:rsidRPr="00042B67">
        <w:t xml:space="preserve"> the aliphatic stretching C</w:t>
      </w:r>
      <w:r>
        <w:t>-</w:t>
      </w:r>
      <w:r w:rsidRPr="00042B67">
        <w:t xml:space="preserve">H </w:t>
      </w:r>
      <w:r w:rsidRPr="006F1497">
        <w:rPr>
          <w:rFonts w:cstheme="minorHAnsi"/>
        </w:rPr>
        <w:fldChar w:fldCharType="begin" w:fldLock="1"/>
      </w:r>
      <w:r>
        <w:rPr>
          <w:rFonts w:cstheme="minorHAnsi"/>
        </w:rPr>
        <w:instrText>ADDIN CSL_CITATION {"citationItems":[{"id":"ITEM-1","itemData":{"DOI":"10.1016/j.biortech.2017.06.098","ISSN":"18732976","PMID":"28688323","abstract":"The aim of the present work is to develop processes for the production of bio-oil and bio-char from algae waste using the pyrolysis at controlled conditions. The pyrolysis was carried out at different temperatures 400–600 °C and different heating rates 5–50 °C/min. The algal waste, bio-oil and bio-char were successfully characterized using Elemental analysis, Chemical composition, TGA, FTIR, 1H NMR, GC–MS and SEM. At a temperature of 500 °C and a heating rate of 10 °C/min, the maximum yield of bio-oil and bio-char was found to be 24.10 and 44.01 wt%, respectively, which was found to be strongly influenced by the temperature variation, and weakly affected by the heating rate variation. Results show that the bio-oil cannot be used as bio-fuel, but can be used as a source of value-added chemicals. On the other hand, the bio-char is a promising candidate for solid fuel applications and for the production of carbon materials.","author":[{"dropping-particle":"","family":"Aboulkas","given":"A.","non-dropping-particle":"","parse-names":false,"suffix":""},{"dropping-particle":"","family":"Hammani","given":"H.","non-dropping-particle":"","parse-names":false,"suffix":""},{"dropping-particle":"","family":"Achaby","given":"M.","non-dropping-particle":"El","parse-names":false,"suffix":""},{"dropping-particle":"","family":"Bilal","given":"E.","non-dropping-particle":"","parse-names":false,"suffix":""},{"dropping-particle":"","family":"Barakat","given":"A.","non-dropping-particle":"","parse-names":false,"suffix":""},{"dropping-particle":"","family":"harfi","given":"K.","non-dropping-particle":"El","parse-names":false,"suffix":""}],"container-title":"Bioresource Technology","id":"ITEM-1","issued":{"date-parts":[["2017"]]},"page":"400-408","publisher":"Elsevier Ltd","title":"Valorization of algal waste via pyrolysis in a fixed-bed reactor: Production and characterization of bio-oil and bio-char","type":"article-journal","volume":"243"},"uris":["http://www.mendeley.com/documents/?uuid=9c90337b-45e5-4b30-8676-e439f496900b"]}],"mendeley":{"formattedCitation":"(Aboulkas et al., 2017)","plainTextFormattedCitation":"(Aboulkas et al., 2017)","previouslyFormattedCitation":"[16]"},"properties":{"noteIndex":0},"schema":"https://github.com/citation-style-language/schema/raw/master/csl-citation.json"}</w:instrText>
      </w:r>
      <w:r w:rsidRPr="006F1497">
        <w:rPr>
          <w:rFonts w:cstheme="minorHAnsi"/>
        </w:rPr>
        <w:fldChar w:fldCharType="separate"/>
      </w:r>
      <w:r w:rsidRPr="00010B89">
        <w:rPr>
          <w:rFonts w:cstheme="minorHAnsi"/>
          <w:noProof/>
        </w:rPr>
        <w:t>(Aboulkas et al., 2017)</w:t>
      </w:r>
      <w:r w:rsidRPr="006F1497">
        <w:rPr>
          <w:rFonts w:cstheme="minorHAnsi"/>
        </w:rPr>
        <w:fldChar w:fldCharType="end"/>
      </w:r>
      <w:r w:rsidR="00C325E8">
        <w:rPr>
          <w:rFonts w:cstheme="minorHAnsi"/>
        </w:rPr>
        <w:t>,</w:t>
      </w:r>
      <w:r w:rsidRPr="006F1497">
        <w:rPr>
          <w:rFonts w:cstheme="minorHAnsi"/>
        </w:rPr>
        <w:t xml:space="preserve"> and 3200-3500 cm</w:t>
      </w:r>
      <w:r w:rsidRPr="006F1497">
        <w:rPr>
          <w:rFonts w:cstheme="minorHAnsi"/>
          <w:vertAlign w:val="superscript"/>
        </w:rPr>
        <w:t>-1</w:t>
      </w:r>
      <w:r w:rsidR="00C325E8">
        <w:rPr>
          <w:rFonts w:cstheme="minorHAnsi"/>
        </w:rPr>
        <w:t>,</w:t>
      </w:r>
      <w:r w:rsidR="00642233">
        <w:rPr>
          <w:rFonts w:cstheme="minorHAnsi"/>
        </w:rPr>
        <w:t xml:space="preserve"> </w:t>
      </w:r>
      <w:r w:rsidRPr="003867D7">
        <w:rPr>
          <w:rFonts w:cstheme="minorHAnsi"/>
        </w:rPr>
        <w:t>typical of O-H bond stretching of alcohols and N-H of proteins and peptides</w:t>
      </w:r>
      <w:r>
        <w:rPr>
          <w:rFonts w:cstheme="minorHAnsi"/>
        </w:rPr>
        <w:t xml:space="preserve"> </w:t>
      </w:r>
      <w:r>
        <w:rPr>
          <w:rFonts w:cstheme="minorHAnsi"/>
        </w:rPr>
        <w:fldChar w:fldCharType="begin" w:fldLock="1"/>
      </w:r>
      <w:r>
        <w:rPr>
          <w:rFonts w:cstheme="minorHAnsi"/>
        </w:rPr>
        <w:instrText>ADDIN CSL_CITATION {"citationItems":[{"id":"ITEM-1","itemData":{"DOI":"10.1016/j.biortech.2017.06.098","ISSN":"18732976","PMID":"28688323","abstract":"The aim of the present work is to develop processes for the production of bio-oil and bio-char from algae waste using the pyrolysis at controlled conditions. The pyrolysis was carried out at different temperatures 400–600 °C and different heating rates 5–50 °C/min. The algal waste, bio-oil and bio-char were successfully characterized using Elemental analysis, Chemical composition, TGA, FTIR, 1H NMR, GC–MS and SEM. At a temperature of 500 °C and a heating rate of 10 °C/min, the maximum yield of bio-oil and bio-char was found to be 24.10 and 44.01 wt%, respectively, which was found to be strongly influenced by the temperature variation, and weakly affected by the heating rate variation. Results show that the bio-oil cannot be used as bio-fuel, but can be used as a source of value-added chemicals. On the other hand, the bio-char is a promising candidate for solid fuel applications and for the production of carbon materials.","author":[{"dropping-particle":"","family":"Aboulkas","given":"A.","non-dropping-particle":"","parse-names":false,"suffix":""},{"dropping-particle":"","family":"Hammani","given":"H.","non-dropping-particle":"","parse-names":false,"suffix":""},{"dropping-particle":"","family":"Achaby","given":"M.","non-dropping-particle":"El","parse-names":false,"suffix":""},{"dropping-particle":"","family":"Bilal","given":"E.","non-dropping-particle":"","parse-names":false,"suffix":""},{"dropping-particle":"","family":"Barakat","given":"A.","non-dropping-particle":"","parse-names":false,"suffix":""},{"dropping-particle":"","family":"harfi","given":"K.","non-dropping-particle":"El","parse-names":false,"suffix":""}],"container-title":"Bioresource Technology","id":"ITEM-1","issued":{"date-parts":[["2017"]]},"page":"400-408","publisher":"Elsevier Ltd","title":"Valorization of algal waste via pyrolysis in a fixed-bed reactor: Production and characterization of bio-oil and bio-char","type":"article-journal","volume":"243"},"uris":["http://www.mendeley.com/documents/?uuid=9c90337b-45e5-4b30-8676-e439f496900b"]}],"mendeley":{"formattedCitation":"(Aboulkas et al., 2017)","plainTextFormattedCitation":"(Aboulkas et al., 2017)","previouslyFormattedCitation":"[16]"},"properties":{"noteIndex":0},"schema":"https://github.com/citation-style-language/schema/raw/master/csl-citation.json"}</w:instrText>
      </w:r>
      <w:r>
        <w:rPr>
          <w:rFonts w:cstheme="minorHAnsi"/>
        </w:rPr>
        <w:fldChar w:fldCharType="separate"/>
      </w:r>
      <w:r w:rsidRPr="00010B89">
        <w:rPr>
          <w:rFonts w:cstheme="minorHAnsi"/>
          <w:noProof/>
        </w:rPr>
        <w:t>(Aboulkas et al., 2017)</w:t>
      </w:r>
      <w:r>
        <w:rPr>
          <w:rFonts w:cstheme="minorHAnsi"/>
        </w:rPr>
        <w:fldChar w:fldCharType="end"/>
      </w:r>
      <w:r w:rsidRPr="006F1497">
        <w:rPr>
          <w:rFonts w:cstheme="minorHAnsi"/>
        </w:rPr>
        <w:t xml:space="preserve">. </w:t>
      </w:r>
      <w:r>
        <w:t xml:space="preserve">On the other hand, a loss of the signal around 1600 </w:t>
      </w:r>
      <w:r w:rsidRPr="003867D7">
        <w:rPr>
          <w:rFonts w:cstheme="minorHAnsi"/>
        </w:rPr>
        <w:t>cm</w:t>
      </w:r>
      <w:r w:rsidRPr="003867D7">
        <w:rPr>
          <w:rFonts w:cstheme="minorHAnsi"/>
          <w:vertAlign w:val="superscript"/>
        </w:rPr>
        <w:t>-1</w:t>
      </w:r>
      <w:r>
        <w:rPr>
          <w:rFonts w:cstheme="minorHAnsi"/>
          <w:vertAlign w:val="superscript"/>
        </w:rPr>
        <w:t xml:space="preserve"> </w:t>
      </w:r>
      <w:r w:rsidRPr="006F1497">
        <w:rPr>
          <w:rFonts w:cstheme="minorHAnsi"/>
        </w:rPr>
        <w:t>toge</w:t>
      </w:r>
      <w:r>
        <w:rPr>
          <w:rFonts w:cstheme="minorHAnsi"/>
        </w:rPr>
        <w:t xml:space="preserve">ther with peaks </w:t>
      </w:r>
      <w:r w:rsidRPr="006F1497">
        <w:rPr>
          <w:rFonts w:cstheme="minorHAnsi"/>
        </w:rPr>
        <w:t>around 1055-1130 cm</w:t>
      </w:r>
      <w:r w:rsidRPr="006F1497">
        <w:rPr>
          <w:rFonts w:cstheme="minorHAnsi"/>
          <w:vertAlign w:val="superscript"/>
        </w:rPr>
        <w:t>-1</w:t>
      </w:r>
      <w:r>
        <w:rPr>
          <w:rFonts w:cstheme="minorHAnsi"/>
        </w:rPr>
        <w:t xml:space="preserve"> were observed in the samples</w:t>
      </w:r>
      <w:r w:rsidRPr="00E8476B">
        <w:rPr>
          <w:rFonts w:cstheme="minorHAnsi"/>
        </w:rPr>
        <w:t xml:space="preserve"> </w:t>
      </w:r>
      <w:r w:rsidRPr="003867D7">
        <w:rPr>
          <w:rFonts w:cstheme="minorHAnsi"/>
        </w:rPr>
        <w:t>produced at 240</w:t>
      </w:r>
      <w:r>
        <w:rPr>
          <w:rFonts w:cstheme="minorHAnsi"/>
        </w:rPr>
        <w:t xml:space="preserve"> </w:t>
      </w:r>
      <w:r w:rsidRPr="003867D7">
        <w:rPr>
          <w:rFonts w:cstheme="minorHAnsi"/>
        </w:rPr>
        <w:t>°C compared to those produced at 200</w:t>
      </w:r>
      <w:r>
        <w:rPr>
          <w:rFonts w:cstheme="minorHAnsi"/>
        </w:rPr>
        <w:t xml:space="preserve"> </w:t>
      </w:r>
      <w:r w:rsidRPr="003867D7">
        <w:rPr>
          <w:rFonts w:cstheme="minorHAnsi"/>
        </w:rPr>
        <w:t>°C</w:t>
      </w:r>
      <w:r>
        <w:rPr>
          <w:rFonts w:cstheme="minorHAnsi"/>
        </w:rPr>
        <w:t>. The former is related</w:t>
      </w:r>
      <w:r w:rsidRPr="003867D7">
        <w:rPr>
          <w:rFonts w:cstheme="minorHAnsi"/>
        </w:rPr>
        <w:t xml:space="preserve"> to the primary amides</w:t>
      </w:r>
      <w:r>
        <w:rPr>
          <w:rFonts w:cstheme="minorHAnsi"/>
        </w:rPr>
        <w:t xml:space="preserve"> </w:t>
      </w:r>
      <w:r>
        <w:rPr>
          <w:rFonts w:cstheme="minorHAnsi"/>
        </w:rPr>
        <w:fldChar w:fldCharType="begin" w:fldLock="1"/>
      </w:r>
      <w:r>
        <w:rPr>
          <w:rFonts w:cstheme="minorHAnsi"/>
        </w:rPr>
        <w:instrText>ADDIN CSL_CITATION {"citationItems":[{"id":"ITEM-1","itemData":{"DOI":"10.1111/j.1399-3054.2012.01636.x","ISSN":"00319317","PMID":"22540209","abstract":"Fourier transform infrared (FTIR) spectra were measured from cells of Microcystis aeruginosa and Protoceratium reticulatum, whose growth rates were manipulated by the availability of nutrients or light. As expected, the macromolecular composition changed in response to the treatments. These changes were species-specific and depended on the type of perturbation applied to the growth regime. Microcystis aeruginosa showed an increase in the carbohydrate-to-protein ratio with decreased growth rates, under nutrient limitation, whereas light limitation induced a decrease of the carbohydrate-to-protein ratio with decreasing proliferation rates. The macromolecular pools of P. reticulatum showed a higher degree of compositional homeostasis. Only when the lowest light irradiance and nutrient availability were supplied, an increase of the carbohydrate-to-protein FTIR absorbance ratio was observed. A species-specific partial least squares (PLS) model was developed using the whole FTIR spectra. This model afforded a very high correlation between the predicted and the measured growth rates, regardless of the growth conditions. On the contrary, the prediction based on absorption band ratios generally used in FTIR studies would strongly depend on growth conditions. This new computational method could constitute a substantial improvement in the early warning systems of algal blooms and, in general, for the study of algal growth, e.g. in biotechnology. Furthermore, these results confirm the suitability of FTIR spectroscopy as a tool to map complex biological processes like growth under different environmental conditions. © Physiologia Plantarum 2012.","author":[{"dropping-particle":"","family":"Jebsen","given":"Christian","non-dropping-particle":"","parse-names":false,"suffix":""},{"dropping-particle":"","family":"Norici","given":"Alessandra","non-dropping-particle":"","parse-names":false,"suffix":""},{"dropping-particle":"","family":"Wagner","given":"Heiko","non-dropping-particle":"","parse-names":false,"suffix":""},{"dropping-particle":"","family":"Palmucci","given":"Matteo","non-dropping-particle":"","parse-names":false,"suffix":""},{"dropping-particle":"","family":"Giordano","given":"Mario","non-dropping-particle":"","parse-names":false,"suffix":""},{"dropping-particle":"","family":"Wilhelm","given":"Christian","non-dropping-particle":"","parse-names":false,"suffix":""}],"container-title":"Physiologia Plantarum","id":"ITEM-1","issue":"4","issued":{"date-parts":[["2012"]]},"page":"427-438","title":"FTIR spectra of algal species can be used as physiological fingerprints to assess their actual growth potential","type":"article-journal","volume":"146"},"uris":["http://www.mendeley.com/documents/?uuid=d9e3f9d1-b0cf-4683-9d46-dea1664fa07d"]}],"mendeley":{"formattedCitation":"(Jebsen et al., 2012)","plainTextFormattedCitation":"(Jebsen et al., 2012)","previouslyFormattedCitation":"[17]"},"properties":{"noteIndex":0},"schema":"https://github.com/citation-style-language/schema/raw/master/csl-citation.json"}</w:instrText>
      </w:r>
      <w:r>
        <w:rPr>
          <w:rFonts w:cstheme="minorHAnsi"/>
        </w:rPr>
        <w:fldChar w:fldCharType="separate"/>
      </w:r>
      <w:r w:rsidRPr="00010B89">
        <w:rPr>
          <w:rFonts w:cstheme="minorHAnsi"/>
          <w:noProof/>
        </w:rPr>
        <w:t>(Jebsen et al., 2012)</w:t>
      </w:r>
      <w:r>
        <w:rPr>
          <w:rFonts w:cstheme="minorHAnsi"/>
        </w:rPr>
        <w:fldChar w:fldCharType="end"/>
      </w:r>
      <w:r w:rsidRPr="003867D7">
        <w:rPr>
          <w:rFonts w:cstheme="minorHAnsi"/>
        </w:rPr>
        <w:t xml:space="preserve"> </w:t>
      </w:r>
      <w:r w:rsidRPr="006F1497">
        <w:rPr>
          <w:rFonts w:cstheme="minorHAnsi"/>
        </w:rPr>
        <w:t xml:space="preserve">and to </w:t>
      </w:r>
      <w:r w:rsidRPr="003867D7">
        <w:rPr>
          <w:rFonts w:cstheme="minorHAnsi"/>
        </w:rPr>
        <w:t>the presence of carbonyl groups</w:t>
      </w:r>
      <w:r w:rsidRPr="006F1497">
        <w:rPr>
          <w:rFonts w:cstheme="minorHAnsi"/>
        </w:rPr>
        <w:t xml:space="preserve"> </w:t>
      </w:r>
      <w:r w:rsidRPr="006F1497">
        <w:rPr>
          <w:rFonts w:cstheme="minorHAnsi"/>
        </w:rPr>
        <w:fldChar w:fldCharType="begin" w:fldLock="1"/>
      </w:r>
      <w:r>
        <w:rPr>
          <w:rFonts w:cstheme="minorHAnsi"/>
        </w:rPr>
        <w:instrText>ADDIN CSL_CITATION {"citationItems":[{"id":"ITEM-1","itemData":{"DOI":"10.1016/j.biortech.2017.06.098","ISSN":"18732976","PMID":"28688323","abstract":"The aim of the present work is to develop processes for the production of bio-oil and bio-char from algae waste using the pyrolysis at controlled conditions. The pyrolysis was carried out at different temperatures 400–600 °C and different heating rates 5–50 °C/min. The algal waste, bio-oil and bio-char were successfully characterized using Elemental analysis, Chemical composition, TGA, FTIR, 1H NMR, GC–MS and SEM. At a temperature of 500 °C and a heating rate of 10 °C/min, the maximum yield of bio-oil and bio-char was found to be 24.10 and 44.01 wt%, respectively, which was found to be strongly influenced by the temperature variation, and weakly affected by the heating rate variation. Results show that the bio-oil cannot be used as bio-fuel, but can be used as a source of value-added chemicals. On the other hand, the bio-char is a promising candidate for solid fuel applications and for the production of carbon materials.","author":[{"dropping-particle":"","family":"Aboulkas","given":"A.","non-dropping-particle":"","parse-names":false,"suffix":""},{"dropping-particle":"","family":"Hammani","given":"H.","non-dropping-particle":"","parse-names":false,"suffix":""},{"dropping-particle":"","family":"Achaby","given":"M.","non-dropping-particle":"El","parse-names":false,"suffix":""},{"dropping-particle":"","family":"Bilal","given":"E.","non-dropping-particle":"","parse-names":false,"suffix":""},{"dropping-particle":"","family":"Barakat","given":"A.","non-dropping-particle":"","parse-names":false,"suffix":""},{"dropping-particle":"","family":"harfi","given":"K.","non-dropping-particle":"El","parse-names":false,"suffix":""}],"container-title":"Bioresource Technology","id":"ITEM-1","issued":{"date-parts":[["2017"]]},"page":"400-408","publisher":"Elsevier Ltd","title":"Valorization of algal waste via pyrolysis in a fixed-bed reactor: Production and characterization of bio-oil and bio-char","type":"article-journal","volume":"243"},"uris":["http://www.mendeley.com/documents/?uuid=9c90337b-45e5-4b30-8676-e439f496900b"]}],"mendeley":{"formattedCitation":"(Aboulkas et al., 2017)","plainTextFormattedCitation":"(Aboulkas et al., 2017)","previouslyFormattedCitation":"[16]"},"properties":{"noteIndex":0},"schema":"https://github.com/citation-style-language/schema/raw/master/csl-citation.json"}</w:instrText>
      </w:r>
      <w:r w:rsidRPr="006F1497">
        <w:rPr>
          <w:rFonts w:cstheme="minorHAnsi"/>
        </w:rPr>
        <w:fldChar w:fldCharType="separate"/>
      </w:r>
      <w:r w:rsidRPr="00010B89">
        <w:rPr>
          <w:rFonts w:cstheme="minorHAnsi"/>
          <w:noProof/>
        </w:rPr>
        <w:t>(Aboulkas et al., 2017)</w:t>
      </w:r>
      <w:r w:rsidRPr="006F1497">
        <w:rPr>
          <w:rFonts w:cstheme="minorHAnsi"/>
        </w:rPr>
        <w:fldChar w:fldCharType="end"/>
      </w:r>
      <w:r>
        <w:rPr>
          <w:rFonts w:cstheme="minorHAnsi"/>
        </w:rPr>
        <w:t xml:space="preserve">, while the latter is in the </w:t>
      </w:r>
      <w:r w:rsidRPr="003867D7">
        <w:rPr>
          <w:rFonts w:cstheme="minorHAnsi"/>
        </w:rPr>
        <w:t>typical</w:t>
      </w:r>
      <w:r>
        <w:rPr>
          <w:rFonts w:cstheme="minorHAnsi"/>
        </w:rPr>
        <w:t xml:space="preserve"> </w:t>
      </w:r>
      <w:r w:rsidRPr="003867D7">
        <w:rPr>
          <w:rFonts w:cstheme="minorHAnsi"/>
        </w:rPr>
        <w:t>carbohydrates region</w:t>
      </w:r>
      <w:r>
        <w:rPr>
          <w:rFonts w:cstheme="minorHAnsi"/>
        </w:rPr>
        <w:t xml:space="preserve"> </w:t>
      </w:r>
      <w:r w:rsidRPr="00042B67">
        <w:rPr>
          <w:rFonts w:cstheme="minorHAnsi"/>
        </w:rPr>
        <w:fldChar w:fldCharType="begin" w:fldLock="1"/>
      </w:r>
      <w:r>
        <w:rPr>
          <w:rFonts w:cstheme="minorHAnsi"/>
        </w:rPr>
        <w:instrText>ADDIN CSL_CITATION {"citationItems":[{"id":"ITEM-1","itemData":{"DOI":"10.1016/j.biortech.2017.06.098","ISSN":"18732976","PMID":"28688323","abstract":"The aim of the present work is to develop processes for the production of bio-oil and bio-char from algae waste using the pyrolysis at controlled conditions. The pyrolysis was carried out at different temperatures 400–600 °C and different heating rates 5–50 °C/min. The algal waste, bio-oil and bio-char were successfully characterized using Elemental analysis, Chemical composition, TGA, FTIR, 1H NMR, GC–MS and SEM. At a temperature of 500 °C and a heating rate of 10 °C/min, the maximum yield of bio-oil and bio-char was found to be 24.10 and 44.01 wt%, respectively, which was found to be strongly influenced by the temperature variation, and weakly affected by the heating rate variation. Results show that the bio-oil cannot be used as bio-fuel, but can be used as a source of value-added chemicals. On the other hand, the bio-char is a promising candidate for solid fuel applications and for the production of carbon materials.","author":[{"dropping-particle":"","family":"Aboulkas","given":"A.","non-dropping-particle":"","parse-names":false,"suffix":""},{"dropping-particle":"","family":"Hammani","given":"H.","non-dropping-particle":"","parse-names":false,"suffix":""},{"dropping-particle":"","family":"Achaby","given":"M.","non-dropping-particle":"El","parse-names":false,"suffix":""},{"dropping-particle":"","family":"Bilal","given":"E.","non-dropping-particle":"","parse-names":false,"suffix":""},{"dropping-particle":"","family":"Barakat","given":"A.","non-dropping-particle":"","parse-names":false,"suffix":""},{"dropping-particle":"","family":"harfi","given":"K.","non-dropping-particle":"El","parse-names":false,"suffix":""}],"container-title":"Bioresource Technology","id":"ITEM-1","issued":{"date-parts":[["2017"]]},"page":"400-408","publisher":"Elsevier Ltd","title":"Valorization of algal waste via pyrolysis in a fixed-bed reactor: Production and characterization of bio-oil and bio-char","type":"article-journal","volume":"243"},"uris":["http://www.mendeley.com/documents/?uuid=9c90337b-45e5-4b30-8676-e439f496900b"]},{"id":"ITEM-2","itemData":{"DOI":"10.1111/j.1399-3054.2012.01636.x","ISSN":"00319317","PMID":"22540209","abstract":"Fourier transform infrared (FTIR) spectra were measured from cells of Microcystis aeruginosa and Protoceratium reticulatum, whose growth rates were manipulated by the availability of nutrients or light. As expected, the macromolecular composition changed in response to the treatments. These changes were species-specific and depended on the type of perturbation applied to the growth regime. Microcystis aeruginosa showed an increase in the carbohydrate-to-protein ratio with decreased growth rates, under nutrient limitation, whereas light limitation induced a decrease of the carbohydrate-to-protein ratio with decreasing proliferation rates. The macromolecular pools of P. reticulatum showed a higher degree of compositional homeostasis. Only when the lowest light irradiance and nutrient availability were supplied, an increase of the carbohydrate-to-protein FTIR absorbance ratio was observed. A species-specific partial least squares (PLS) model was developed using the whole FTIR spectra. This model afforded a very high correlation between the predicted and the measured growth rates, regardless of the growth conditions. On the contrary, the prediction based on absorption band ratios generally used in FTIR studies would strongly depend on growth conditions. This new computational method could constitute a substantial improvement in the early warning systems of algal blooms and, in general, for the study of algal growth, e.g. in biotechnology. Furthermore, these results confirm the suitability of FTIR spectroscopy as a tool to map complex biological processes like growth under different environmental conditions. © Physiologia Plantarum 2012.","author":[{"dropping-particle":"","family":"Jebsen","given":"Christian","non-dropping-particle":"","parse-names":false,"suffix":""},{"dropping-particle":"","family":"Norici","given":"Alessandra","non-dropping-particle":"","parse-names":false,"suffix":""},{"dropping-particle":"","family":"Wagner","given":"Heiko","non-dropping-particle":"","parse-names":false,"suffix":""},{"dropping-particle":"","family":"Palmucci","given":"Matteo","non-dropping-particle":"","parse-names":false,"suffix":""},{"dropping-particle":"","family":"Giordano","given":"Mario","non-dropping-particle":"","parse-names":false,"suffix":""},{"dropping-particle":"","family":"Wilhelm","given":"Christian","non-dropping-particle":"","parse-names":false,"suffix":""}],"container-title":"Physiologia Plantarum","id":"ITEM-2","issue":"4","issued":{"date-parts":[["2012"]]},"page":"427-438","title":"FTIR spectra of algal species can be used as physiological fingerprints to assess their actual growth potential","type":"article-journal","volume":"146"},"uris":["http://www.mendeley.com/documents/?uuid=d9e3f9d1-b0cf-4683-9d46-dea1664fa07d"]}],"mendeley":{"formattedCitation":"(Aboulkas et al., 2017; Jebsen et al., 2012)","plainTextFormattedCitation":"(Aboulkas et al., 2017; Jebsen et al., 2012)","previouslyFormattedCitation":"[16,17]"},"properties":{"noteIndex":0},"schema":"https://github.com/citation-style-language/schema/raw/master/csl-citation.json"}</w:instrText>
      </w:r>
      <w:r w:rsidRPr="00042B67">
        <w:rPr>
          <w:rFonts w:cstheme="minorHAnsi"/>
        </w:rPr>
        <w:fldChar w:fldCharType="separate"/>
      </w:r>
      <w:r w:rsidRPr="00010B89">
        <w:rPr>
          <w:rFonts w:cstheme="minorHAnsi"/>
          <w:noProof/>
        </w:rPr>
        <w:t>(Aboulkas et al., 2017; Jebsen et al., 2012)</w:t>
      </w:r>
      <w:r w:rsidRPr="00042B67">
        <w:rPr>
          <w:rFonts w:cstheme="minorHAnsi"/>
        </w:rPr>
        <w:fldChar w:fldCharType="end"/>
      </w:r>
      <w:r w:rsidR="00C325E8">
        <w:rPr>
          <w:rFonts w:cstheme="minorHAnsi"/>
        </w:rPr>
        <w:t>.</w:t>
      </w:r>
      <w:r w:rsidR="00642233">
        <w:rPr>
          <w:rFonts w:cstheme="minorHAnsi"/>
        </w:rPr>
        <w:t xml:space="preserve"> </w:t>
      </w:r>
      <w:r w:rsidR="00A54A03">
        <w:rPr>
          <w:rFonts w:cstheme="minorHAnsi"/>
        </w:rPr>
        <w:t>This behaviour</w:t>
      </w:r>
      <w:r>
        <w:rPr>
          <w:rFonts w:cstheme="minorHAnsi"/>
        </w:rPr>
        <w:t xml:space="preserve"> can be attributed to a loss of bonds and oxygenated groups. T</w:t>
      </w:r>
      <w:r w:rsidRPr="005841E1">
        <w:rPr>
          <w:rFonts w:cstheme="minorHAnsi"/>
        </w:rPr>
        <w:t xml:space="preserve">he sample produced </w:t>
      </w:r>
      <w:r>
        <w:rPr>
          <w:rFonts w:cstheme="minorHAnsi"/>
        </w:rPr>
        <w:t xml:space="preserve">at the highest </w:t>
      </w:r>
      <w:r w:rsidRPr="005841E1">
        <w:rPr>
          <w:rFonts w:cstheme="minorHAnsi"/>
        </w:rPr>
        <w:t>severity conditions</w:t>
      </w:r>
      <w:r>
        <w:rPr>
          <w:rFonts w:cstheme="minorHAnsi"/>
        </w:rPr>
        <w:t xml:space="preserve"> presents also a</w:t>
      </w:r>
      <w:r w:rsidRPr="005841E1">
        <w:rPr>
          <w:rFonts w:cstheme="minorHAnsi"/>
        </w:rPr>
        <w:t xml:space="preserve"> </w:t>
      </w:r>
      <w:r>
        <w:rPr>
          <w:rFonts w:cstheme="minorHAnsi"/>
        </w:rPr>
        <w:t xml:space="preserve">significant </w:t>
      </w:r>
      <w:r w:rsidRPr="005841E1">
        <w:rPr>
          <w:rFonts w:cstheme="minorHAnsi"/>
        </w:rPr>
        <w:t>loss of the signal around 1315 cm</w:t>
      </w:r>
      <w:r w:rsidRPr="003867D7">
        <w:rPr>
          <w:rFonts w:cstheme="minorHAnsi"/>
          <w:vertAlign w:val="superscript"/>
        </w:rPr>
        <w:t>-1</w:t>
      </w:r>
      <w:r>
        <w:rPr>
          <w:rFonts w:cstheme="minorHAnsi"/>
        </w:rPr>
        <w:t>,</w:t>
      </w:r>
      <w:r w:rsidRPr="00ED4771">
        <w:rPr>
          <w:rFonts w:cstheme="minorHAnsi"/>
        </w:rPr>
        <w:t xml:space="preserve"> </w:t>
      </w:r>
      <w:r>
        <w:rPr>
          <w:rFonts w:cstheme="minorHAnsi"/>
        </w:rPr>
        <w:t xml:space="preserve">which is </w:t>
      </w:r>
      <w:r w:rsidRPr="005841E1">
        <w:rPr>
          <w:rFonts w:cstheme="minorHAnsi"/>
        </w:rPr>
        <w:t>associated with both the C-O stretching and the vibrations of the -OH group and of the tertiary amides</w:t>
      </w:r>
      <w:r>
        <w:rPr>
          <w:rFonts w:cstheme="minorHAnsi"/>
        </w:rPr>
        <w:t xml:space="preserve"> </w:t>
      </w:r>
      <w:r w:rsidRPr="00A6019B">
        <w:rPr>
          <w:rFonts w:cstheme="minorHAnsi"/>
        </w:rPr>
        <w:fldChar w:fldCharType="begin" w:fldLock="1"/>
      </w:r>
      <w:r>
        <w:rPr>
          <w:rFonts w:cstheme="minorHAnsi"/>
          <w:lang w:val="en-US"/>
        </w:rPr>
        <w:instrText>ADDIN CSL_CITATION {"citationItems":[{"id":"ITEM-1","itemData":{"DOI":"10.1039/C5RA25983E","ISSN":"2046-2069","abstract":"The aim of present study is to investigate the combination of Fourier transform infrared spectroscopy with pattern recognition to recognize the standard saffron from those which have been adulterated with various types of food colorants.","author":[{"dropping-particle":"","family":"Karimi","given":"Sadegh","non-dropping-particle":"","parse-names":false,"suffix":""},{"dropping-particle":"","family":"Feizy","given":"Javad","non-dropping-particle":"","parse-names":false,"suffix":""},{"dropping-particle":"","family":"Mehrjo","given":"Fatemeh","non-dropping-particle":"","parse-names":false,"suffix":""},{"dropping-particle":"","family":"Farrokhnia","given":"Maryam","non-dropping-particle":"","parse-names":false,"suffix":""}],"container-title":"RSC Advances","id":"ITEM-1","issue":"27","issued":{"date-parts":[["2016"]]},"page":"23085-23093","title":"Detection and quantification of food colorant adulteration in saffron sample using chemometric analysis of FT-IR spectra","type":"article-journal","volume":"6"},"uris":["http://www.mendeley.com/documents/?uuid=c856aef6-64e2-46f8-ab1a-f24eba2b894a"]}],"mendeley":{"formattedCitation":"(Karimi et al., 2016)","plainTextFormattedCitation":"(Karimi et al., 2016)","previouslyFormattedCitation":"[18]"},"properties":{"noteIndex":0},"schema":"https://github.com/citation-style-language/schema/raw/master/csl-citation.json"}</w:instrText>
      </w:r>
      <w:r w:rsidRPr="00A6019B">
        <w:rPr>
          <w:rFonts w:cstheme="minorHAnsi"/>
        </w:rPr>
        <w:fldChar w:fldCharType="separate"/>
      </w:r>
      <w:r w:rsidRPr="00010B89">
        <w:rPr>
          <w:rFonts w:cstheme="minorHAnsi"/>
          <w:noProof/>
          <w:lang w:val="en-US"/>
        </w:rPr>
        <w:t>(Karimi et al., 2016)</w:t>
      </w:r>
      <w:r w:rsidRPr="00A6019B">
        <w:rPr>
          <w:rFonts w:cstheme="minorHAnsi"/>
        </w:rPr>
        <w:fldChar w:fldCharType="end"/>
      </w:r>
      <w:r w:rsidRPr="003867D7">
        <w:rPr>
          <w:rFonts w:cstheme="minorHAnsi"/>
          <w:lang w:val="en-US"/>
        </w:rPr>
        <w:t>.</w:t>
      </w:r>
    </w:p>
    <w:p w14:paraId="2BE3F401" w14:textId="099CDF24" w:rsidR="00515E78" w:rsidRPr="003867D7" w:rsidRDefault="00515E78" w:rsidP="00515E78">
      <w:pPr>
        <w:rPr>
          <w:rFonts w:cstheme="minorHAnsi"/>
          <w:lang w:val="en-US"/>
        </w:rPr>
      </w:pPr>
      <w:r>
        <w:fldChar w:fldCharType="begin"/>
      </w:r>
      <w:r>
        <w:instrText xml:space="preserve"> REF _Ref91490937 \h </w:instrText>
      </w:r>
      <w:r>
        <w:fldChar w:fldCharType="separate"/>
      </w:r>
      <w:r>
        <w:t xml:space="preserve">Table </w:t>
      </w:r>
      <w:r>
        <w:rPr>
          <w:noProof/>
        </w:rPr>
        <w:t>5</w:t>
      </w:r>
      <w:r>
        <w:fldChar w:fldCharType="end"/>
      </w:r>
      <w:r>
        <w:t xml:space="preserve"> shows a comparison between the measured chemical and physical parameters of HC samples and the limit imposed by Italian legislation for green soil improver, biochar and neutral peat.</w:t>
      </w:r>
      <w:r w:rsidRPr="00F94ECA">
        <w:t xml:space="preserve"> </w:t>
      </w:r>
      <w:r>
        <w:t xml:space="preserve">Despite HC had comparable characteristics to biochar from pyrolysis in terms of carbon and ash content, EC and pH, its application </w:t>
      </w:r>
      <w:r w:rsidR="00C325E8">
        <w:t>was limited by</w:t>
      </w:r>
      <w:r>
        <w:t xml:space="preserve"> the </w:t>
      </w:r>
      <w:r w:rsidR="00C325E8">
        <w:t xml:space="preserve">considerably higher </w:t>
      </w:r>
      <w:r>
        <w:t xml:space="preserve">H/C ratio (1.32 – 1.36) </w:t>
      </w:r>
      <w:r w:rsidR="00C325E8">
        <w:t>exceeding the</w:t>
      </w:r>
      <w:r>
        <w:t xml:space="preserve"> imposed limit (0.7).</w:t>
      </w:r>
      <w:r w:rsidRPr="00F94ECA">
        <w:t xml:space="preserve"> </w:t>
      </w:r>
      <w:r>
        <w:t>On the other hand, the HC from macroalgae could be proposed as a possible green and sustainable alternative to peat.</w:t>
      </w:r>
      <w:r w:rsidRPr="00F94ECA">
        <w:t xml:space="preserve"> </w:t>
      </w:r>
      <w:r>
        <w:t xml:space="preserve">At present day, peat is widely used in agriculture both as fertilizer and for the preparation of nutrient soil in horticulture </w:t>
      </w:r>
      <w:r>
        <w:fldChar w:fldCharType="begin" w:fldLock="1"/>
      </w:r>
      <w:r>
        <w:instrText>ADDIN CSL_CITATION {"citationItems":[{"id":"ITEM-1","itemData":{"author":[{"dropping-particle":"","family":"Alexander","given":"P D","non-dropping-particle":"","parse-names":false,"suffix":""},{"dropping-particle":"","family":"Bragg","given":"N C","non-dropping-particle":"","parse-names":false,"suffix":""},{"dropping-particle":"","family":"Meade","given":"R","non-dropping-particle":"","parse-names":false,"suffix":""},{"dropping-particle":"","family":"Padelopoulos","given":"G","non-dropping-particle":"","parse-names":false,"suffix":""},{"dropping-particle":"","family":"Watts","given":"O","non-dropping-particle":"","parse-names":false,"suffix":""}],"container-title":"Mires and Peat","id":"ITEM-1","issued":{"date-parts":[["2008"]]},"page":"1-10","title":"Peat in Horticulture and Conservation","type":"article-journal","volume":"3"},"uris":["http://www.mendeley.com/documents/?uuid=e0fcf598-be2c-415d-b3e0-72e542cdb9d2"]}],"mendeley":{"formattedCitation":"(Alexander et al., 2008)","plainTextFormattedCitation":"(Alexander et al., 2008)","previouslyFormattedCitation":"[19]"},"properties":{"noteIndex":0},"schema":"https://github.com/citation-style-language/schema/raw/master/csl-citation.json"}</w:instrText>
      </w:r>
      <w:r>
        <w:fldChar w:fldCharType="separate"/>
      </w:r>
      <w:r w:rsidRPr="00010B89">
        <w:rPr>
          <w:noProof/>
        </w:rPr>
        <w:t>(Alexander et al., 2008)</w:t>
      </w:r>
      <w:r>
        <w:fldChar w:fldCharType="end"/>
      </w:r>
      <w:r>
        <w:t>.</w:t>
      </w:r>
    </w:p>
    <w:p w14:paraId="33D0009C" w14:textId="5A956519" w:rsidR="00515E78" w:rsidRDefault="00D40EEB" w:rsidP="00642233">
      <w:pPr>
        <w:pStyle w:val="Testocommento"/>
      </w:pPr>
      <w:r>
        <w:t>Peat is</w:t>
      </w:r>
      <w:r w:rsidR="00515E78">
        <w:t xml:space="preserve"> generally rich in organic matter and nutrients (e.g. potassium, phosphorus and nitrogen) and it could improve the physical and chemical characteristics of soil </w:t>
      </w:r>
      <w:r w:rsidR="00515E78">
        <w:fldChar w:fldCharType="begin" w:fldLock="1"/>
      </w:r>
      <w:r w:rsidR="00515E78">
        <w:instrText>ADDIN CSL_CITATION {"citationItems":[{"id":"ITEM-1","itemData":{"DOI":"10.1088/1755-1315/384/1/012174","ISSN":"17551315","abstract":"Peat has excellent permeability, good hydrophilicity and strong activitya and wide range of applications in agriculture, which is a loose fibrous natural biomass material, in the paper, the research and application of peat as soil amendment, fertilizer and horticulture were elaborated in detail, and the application prospect of peat in agriculture was prospected.","author":[{"dropping-particle":"","family":"Cao","given":"Shiliu","non-dropping-particle":"","parse-names":false,"suffix":""}],"container-title":"IOP Conference Series: Earth and Environmental Science","id":"ITEM-1","issue":"1","issued":{"date-parts":[["2019"]]},"title":"Research and Application of Peat in Agriculture","type":"article-journal","volume":"384"},"uris":["http://www.mendeley.com/documents/?uuid=9b9cbb70-f4f8-4dbe-9177-5a2ed1203740"]}],"mendeley":{"formattedCitation":"(Cao, 2019)","plainTextFormattedCitation":"(Cao, 2019)","previouslyFormattedCitation":"[20]"},"properties":{"noteIndex":0},"schema":"https://github.com/citation-style-language/schema/raw/master/csl-citation.json"}</w:instrText>
      </w:r>
      <w:r w:rsidR="00515E78">
        <w:fldChar w:fldCharType="separate"/>
      </w:r>
      <w:r w:rsidR="00515E78" w:rsidRPr="00010B89">
        <w:rPr>
          <w:noProof/>
        </w:rPr>
        <w:t>(Cao, 2019)</w:t>
      </w:r>
      <w:r w:rsidR="00515E78">
        <w:fldChar w:fldCharType="end"/>
      </w:r>
      <w:r w:rsidR="00515E78">
        <w:t xml:space="preserve">. However, peat bogs are important habitats for wildlife and biodiversity and the extraction methods cause irreversible damage to the ecosystem. </w:t>
      </w:r>
      <w:r w:rsidR="00401ADF" w:rsidRPr="0011099D">
        <w:rPr>
          <w:lang w:val="en-US"/>
        </w:rPr>
        <w:t>Peat soil stored a large quantity of ca</w:t>
      </w:r>
      <w:r w:rsidR="00401ADF">
        <w:rPr>
          <w:lang w:val="en-US"/>
        </w:rPr>
        <w:t xml:space="preserve">rbon and its extraction could negatively affect carbon reduction in the atmosphere </w:t>
      </w:r>
      <w:r w:rsidR="00515E78" w:rsidRPr="00642233">
        <w:fldChar w:fldCharType="begin" w:fldLock="1"/>
      </w:r>
      <w:r w:rsidR="00515E78" w:rsidRPr="00401ADF">
        <w:instrText>ADDIN CSL_CITATION {"citationItems":[{"id":"ITEM-1","itemData":{"author":[{"dropping-particle":"","family":"Alexander","given":"P D","non-dropping-particle":"","parse-names":false,"suffix":""},{"dropping-particle":"","family":"Bragg","given":"N C","non-dropping-particle":"","parse-names":false,"suffix":""},{"dropping-particle":"","family":"Meade","given":"R","non-dropping-particle":"","parse-names":false,"suffix":""},{"dropping-particle":"","family":"Padelopoulos","given":"G","non-dropping-particle":"","parse-names":false,"suffix":""},{"dropping-particle":"","family":"Watts","given":"O","non-dropping-particle":"","parse-names":false,"suffix":""}],"container-title":"Mires and Peat","id":"ITEM-1","issued":{"date-parts":[["2008"]]},"page":"1-10","title":"Peat in Horticulture and Conservation","type":"article-journal","volume":"3"},"uris":["http://www.mendeley.com/documents/?uuid=e0fcf598-be2c-415d-b3e0-72e542cdb9d2"]}],"mendeley":{"formattedCitation":"(Alexander et al., 2008)","plainTextFormattedCitation":"(Alexander et al., 2008)","previouslyFormattedCitation":"[19]"},"properties":{"noteIndex":0},"schema":"https://github.com/citation-style-language/schema/raw/master/csl-citation.json"}</w:instrText>
      </w:r>
      <w:r w:rsidR="00515E78" w:rsidRPr="00642233">
        <w:fldChar w:fldCharType="separate"/>
      </w:r>
      <w:r w:rsidR="00515E78" w:rsidRPr="00401ADF">
        <w:rPr>
          <w:noProof/>
        </w:rPr>
        <w:t>(Alexander et al., 2008)</w:t>
      </w:r>
      <w:r w:rsidR="00515E78" w:rsidRPr="00642233">
        <w:fldChar w:fldCharType="end"/>
      </w:r>
      <w:r w:rsidR="00515E78">
        <w:t xml:space="preserve">. The hydrochar produced from HTC of macroalgae </w:t>
      </w:r>
      <w:r w:rsidR="00B72076">
        <w:t xml:space="preserve">shows </w:t>
      </w:r>
      <w:r w:rsidR="00412B39">
        <w:t>a</w:t>
      </w:r>
      <w:r w:rsidR="00412B39">
        <w:t xml:space="preserve"> </w:t>
      </w:r>
      <w:r w:rsidR="00515E78">
        <w:t xml:space="preserve">higher nitrogen content than peat </w:t>
      </w:r>
      <w:r w:rsidR="00515E78">
        <w:fldChar w:fldCharType="begin" w:fldLock="1"/>
      </w:r>
      <w:r w:rsidR="00515E78">
        <w:instrText>ADDIN CSL_CITATION {"citationItems":[{"id":"ITEM-1","itemData":{"DOI":"10.1088/1755-1315/384/1/012174","ISSN":"17551315","abstract":"Peat has excellent permeability, good hydrophilicity and strong activitya and wide range of applications in agriculture, which is a loose fibrous natural biomass material, in the paper, the research and application of peat as soil amendment, fertilizer and horticulture were elaborated in detail, and the application prospect of peat in agriculture was prospected.","author":[{"dropping-particle":"","family":"Cao","given":"Shiliu","non-dropping-particle":"","parse-names":false,"suffix":""}],"container-title":"IOP Conference Series: Earth and Environmental Science","id":"ITEM-1","issue":"1","issued":{"date-parts":[["2019"]]},"title":"Research and Application of Peat in Agriculture","type":"article-journal","volume":"384"},"uris":["http://www.mendeley.com/documents/?uuid=9b9cbb70-f4f8-4dbe-9177-5a2ed1203740"]}],"mendeley":{"formattedCitation":"(Cao, 2019)","plainTextFormattedCitation":"(Cao, 2019)","previouslyFormattedCitation":"[20]"},"properties":{"noteIndex":0},"schema":"https://github.com/citation-style-language/schema/raw/master/csl-citation.json"}</w:instrText>
      </w:r>
      <w:r w:rsidR="00515E78">
        <w:fldChar w:fldCharType="separate"/>
      </w:r>
      <w:r w:rsidR="00515E78" w:rsidRPr="00010B89">
        <w:rPr>
          <w:noProof/>
        </w:rPr>
        <w:t>(Cao, 2019)</w:t>
      </w:r>
      <w:r w:rsidR="00515E78">
        <w:fldChar w:fldCharType="end"/>
      </w:r>
      <w:r w:rsidR="00515E78">
        <w:t xml:space="preserve"> and it also ha</w:t>
      </w:r>
      <w:r w:rsidR="00B72076">
        <w:t>s</w:t>
      </w:r>
      <w:r w:rsidR="00515E78">
        <w:t xml:space="preserve"> a </w:t>
      </w:r>
      <w:r w:rsidR="0011099D">
        <w:t>relevant</w:t>
      </w:r>
      <w:r w:rsidR="00515E78">
        <w:t xml:space="preserve"> content of nutrients and organic </w:t>
      </w:r>
      <w:r w:rsidR="0011099D">
        <w:t xml:space="preserve">carbon. </w:t>
      </w:r>
      <w:r w:rsidR="00515E78">
        <w:t>Moreover, the</w:t>
      </w:r>
      <w:r w:rsidR="00412B39">
        <w:t xml:space="preserve"> </w:t>
      </w:r>
      <w:proofErr w:type="spellStart"/>
      <w:r w:rsidR="003D3805">
        <w:t>hydrochars</w:t>
      </w:r>
      <w:proofErr w:type="spellEnd"/>
      <w:r w:rsidR="003D3805">
        <w:t xml:space="preserve"> </w:t>
      </w:r>
      <w:r w:rsidR="00515E78">
        <w:t xml:space="preserve">pH and the </w:t>
      </w:r>
      <w:r w:rsidR="00927F8C">
        <w:t xml:space="preserve">organic </w:t>
      </w:r>
      <w:r w:rsidR="00515E78">
        <w:t>carbon content</w:t>
      </w:r>
      <w:r w:rsidR="00E50CCF">
        <w:t xml:space="preserve"> respect the</w:t>
      </w:r>
      <w:r w:rsidR="00515E78">
        <w:t xml:space="preserve"> limit</w:t>
      </w:r>
      <w:r w:rsidR="00E50CCF">
        <w:t>s</w:t>
      </w:r>
      <w:r w:rsidR="00515E78">
        <w:t xml:space="preserve"> imposed by Italian legislation for peat</w:t>
      </w:r>
      <w:r w:rsidR="00E50CCF">
        <w:t>,</w:t>
      </w:r>
      <w:r w:rsidR="00412B39">
        <w:t xml:space="preserve"> </w:t>
      </w:r>
      <w:r w:rsidR="00515E78">
        <w:t xml:space="preserve">the pollutants (e.g. heavy metals) and the C/N ratio in HC samples </w:t>
      </w:r>
      <w:r w:rsidR="003D3805">
        <w:t>comply with green</w:t>
      </w:r>
      <w:r w:rsidR="00515E78">
        <w:t xml:space="preserve"> soil improver</w:t>
      </w:r>
      <w:r w:rsidR="003D3805">
        <w:t xml:space="preserve"> limits</w:t>
      </w:r>
      <w:r w:rsidR="00515E78">
        <w:t xml:space="preserve"> </w:t>
      </w:r>
      <w:r w:rsidR="00515E78">
        <w:fldChar w:fldCharType="begin" w:fldLock="1"/>
      </w:r>
      <w:r w:rsidR="00515E78">
        <w:instrText>ADDIN CSL_CITATION {"citationItems":[{"id":"ITEM-1","itemData":{"author":[{"dropping-particle":"","family":"D.Lgs n.75","given":"","non-dropping-particle":"","parse-names":false,"suffix":""}],"container-title":"Gazzetta Ufficiale n.121, 26 May 2010, Roma","id":"ITEM-1","issued":{"date-parts":[["2010"]]},"page":"1-146","title":"Riordino e revisione della disciplina in materia di fertilizzanti a norma dell'articolo 13 della legge 7 luglio 2009, n. 88.","type":"article-journal"},"uris":["http://www.mendeley.com/documents/?uuid=22bdb803-f754-4b36-b2d8-2a2d37131f84"]}],"mendeley":{"formattedCitation":"(D.Lgs n.75, 2010)","plainTextFormattedCitation":"(D.Lgs n.75, 2010)","previouslyFormattedCitation":"[21]"},"properties":{"noteIndex":0},"schema":"https://github.com/citation-style-language/schema/raw/master/csl-citation.json"}</w:instrText>
      </w:r>
      <w:r w:rsidR="00515E78">
        <w:fldChar w:fldCharType="separate"/>
      </w:r>
      <w:r w:rsidR="00515E78" w:rsidRPr="00010B89">
        <w:rPr>
          <w:noProof/>
        </w:rPr>
        <w:t>(D.Lgs n.75, 2010)</w:t>
      </w:r>
      <w:r w:rsidR="00515E78">
        <w:fldChar w:fldCharType="end"/>
      </w:r>
      <w:r w:rsidR="00515E78">
        <w:t>.</w:t>
      </w:r>
    </w:p>
    <w:p w14:paraId="30545CCE" w14:textId="2F7913D1" w:rsidR="00412B39" w:rsidRDefault="00412B39" w:rsidP="00642233">
      <w:pPr>
        <w:pStyle w:val="Testocommento"/>
        <w:rPr>
          <w:lang w:val="en-US"/>
        </w:rPr>
      </w:pPr>
    </w:p>
    <w:p w14:paraId="70BF90E9" w14:textId="77777777" w:rsidR="00412B39" w:rsidRDefault="00412B39" w:rsidP="00412B39">
      <w:pPr>
        <w:rPr>
          <w:lang w:val="en-US"/>
        </w:rPr>
      </w:pPr>
      <w:r>
        <w:rPr>
          <w:noProof/>
          <w:lang w:val="it-IT" w:eastAsia="it-IT"/>
        </w:rPr>
        <w:lastRenderedPageBreak/>
        <w:drawing>
          <wp:inline distT="0" distB="0" distL="0" distR="0" wp14:anchorId="79184A76" wp14:editId="038D93E4">
            <wp:extent cx="2895775" cy="23749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95775" cy="2374900"/>
                    </a:xfrm>
                    <a:prstGeom prst="rect">
                      <a:avLst/>
                    </a:prstGeom>
                    <a:ln>
                      <a:noFill/>
                    </a:ln>
                    <a:extLst>
                      <a:ext uri="{53640926-AAD7-44D8-BBD7-CCE9431645EC}">
                        <a14:shadowObscured xmlns:a14="http://schemas.microsoft.com/office/drawing/2010/main"/>
                      </a:ext>
                    </a:extLst>
                  </pic:spPr>
                </pic:pic>
              </a:graphicData>
            </a:graphic>
          </wp:inline>
        </w:drawing>
      </w:r>
    </w:p>
    <w:p w14:paraId="00272738" w14:textId="77777777" w:rsidR="00412B39" w:rsidRDefault="00412B39" w:rsidP="00412B39">
      <w:pPr>
        <w:pStyle w:val="CETCaption"/>
      </w:pPr>
      <w:r>
        <w:t xml:space="preserve">Figure </w:t>
      </w:r>
      <w:r>
        <w:rPr>
          <w:b/>
          <w:bCs/>
        </w:rPr>
        <w:fldChar w:fldCharType="begin"/>
      </w:r>
      <w:r>
        <w:instrText xml:space="preserve"> SEQ Figure \* ARABIC </w:instrText>
      </w:r>
      <w:r>
        <w:rPr>
          <w:b/>
          <w:bCs/>
        </w:rPr>
        <w:fldChar w:fldCharType="separate"/>
      </w:r>
      <w:r>
        <w:rPr>
          <w:noProof/>
        </w:rPr>
        <w:t>2</w:t>
      </w:r>
      <w:r>
        <w:rPr>
          <w:b/>
          <w:bCs/>
        </w:rPr>
        <w:fldChar w:fldCharType="end"/>
      </w:r>
      <w:r>
        <w:t>: FT-IR spectra of hydrochar samples.</w:t>
      </w:r>
    </w:p>
    <w:p w14:paraId="4DB432A5" w14:textId="37F7DD3D" w:rsidR="00515E78" w:rsidRDefault="00515E78" w:rsidP="00515E78">
      <w:pPr>
        <w:pStyle w:val="CETTabletitle"/>
      </w:pPr>
      <w:bookmarkStart w:id="8" w:name="_Ref91490937"/>
      <w:bookmarkStart w:id="9" w:name="_Ref91762189"/>
      <w:r>
        <w:t xml:space="preserve">Table </w:t>
      </w:r>
      <w:r>
        <w:fldChar w:fldCharType="begin"/>
      </w:r>
      <w:r>
        <w:instrText xml:space="preserve"> SEQ Table \* ARABIC </w:instrText>
      </w:r>
      <w:r>
        <w:fldChar w:fldCharType="separate"/>
      </w:r>
      <w:r w:rsidR="00927F8C">
        <w:rPr>
          <w:noProof/>
        </w:rPr>
        <w:t>4</w:t>
      </w:r>
      <w:r>
        <w:fldChar w:fldCharType="end"/>
      </w:r>
      <w:bookmarkEnd w:id="8"/>
      <w:r>
        <w:t>: Summary of the main properties of hydrochar samples.</w:t>
      </w:r>
      <w:bookmarkEnd w:id="9"/>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552"/>
        <w:gridCol w:w="567"/>
        <w:gridCol w:w="567"/>
        <w:gridCol w:w="709"/>
        <w:gridCol w:w="567"/>
        <w:gridCol w:w="1275"/>
        <w:gridCol w:w="1418"/>
        <w:gridCol w:w="1134"/>
      </w:tblGrid>
      <w:tr w:rsidR="00515E78" w:rsidRPr="00A4637A" w14:paraId="7D96DC2F" w14:textId="77777777" w:rsidTr="00864DF7">
        <w:tc>
          <w:tcPr>
            <w:tcW w:w="2552" w:type="dxa"/>
            <w:tcBorders>
              <w:top w:val="single" w:sz="12" w:space="0" w:color="008000"/>
              <w:bottom w:val="single" w:sz="6" w:space="0" w:color="008000"/>
            </w:tcBorders>
            <w:shd w:val="clear" w:color="auto" w:fill="FFFFFF"/>
          </w:tcPr>
          <w:p w14:paraId="1507B2D8" w14:textId="77777777" w:rsidR="00515E78" w:rsidRPr="008D444C" w:rsidRDefault="00515E78" w:rsidP="00864DF7">
            <w:pPr>
              <w:pStyle w:val="CETBodytext"/>
              <w:rPr>
                <w:lang w:val="en-GB"/>
              </w:rPr>
            </w:pPr>
            <w:r w:rsidRPr="008D444C">
              <w:rPr>
                <w:lang w:val="en-GB"/>
              </w:rPr>
              <w:t>Parameter</w:t>
            </w:r>
          </w:p>
        </w:tc>
        <w:tc>
          <w:tcPr>
            <w:tcW w:w="567" w:type="dxa"/>
            <w:tcBorders>
              <w:top w:val="single" w:sz="12" w:space="0" w:color="008000"/>
              <w:bottom w:val="single" w:sz="6" w:space="0" w:color="008000"/>
            </w:tcBorders>
            <w:shd w:val="clear" w:color="auto" w:fill="FFFFFF"/>
          </w:tcPr>
          <w:p w14:paraId="6364C635" w14:textId="77777777" w:rsidR="00515E78" w:rsidRPr="008D444C" w:rsidRDefault="00515E78" w:rsidP="00864DF7">
            <w:pPr>
              <w:pStyle w:val="CETBodytext"/>
              <w:jc w:val="center"/>
              <w:rPr>
                <w:lang w:val="en-GB"/>
              </w:rPr>
            </w:pPr>
            <w:r w:rsidRPr="008D444C">
              <w:rPr>
                <w:lang w:val="en-GB"/>
              </w:rPr>
              <w:t>200-2</w:t>
            </w:r>
          </w:p>
        </w:tc>
        <w:tc>
          <w:tcPr>
            <w:tcW w:w="567" w:type="dxa"/>
            <w:tcBorders>
              <w:top w:val="single" w:sz="12" w:space="0" w:color="008000"/>
              <w:bottom w:val="single" w:sz="6" w:space="0" w:color="008000"/>
            </w:tcBorders>
            <w:shd w:val="clear" w:color="auto" w:fill="FFFFFF"/>
          </w:tcPr>
          <w:p w14:paraId="2C14D2DF" w14:textId="77777777" w:rsidR="00515E78" w:rsidRPr="008D444C" w:rsidRDefault="00515E78" w:rsidP="00864DF7">
            <w:pPr>
              <w:pStyle w:val="CETBodytext"/>
              <w:jc w:val="center"/>
              <w:rPr>
                <w:lang w:val="en-GB"/>
              </w:rPr>
            </w:pPr>
            <w:r w:rsidRPr="008D444C">
              <w:rPr>
                <w:lang w:val="en-GB"/>
              </w:rPr>
              <w:t>200-4</w:t>
            </w:r>
          </w:p>
        </w:tc>
        <w:tc>
          <w:tcPr>
            <w:tcW w:w="709" w:type="dxa"/>
            <w:tcBorders>
              <w:top w:val="single" w:sz="12" w:space="0" w:color="008000"/>
              <w:bottom w:val="single" w:sz="6" w:space="0" w:color="008000"/>
            </w:tcBorders>
            <w:shd w:val="clear" w:color="auto" w:fill="FFFFFF"/>
          </w:tcPr>
          <w:p w14:paraId="35EA72E7" w14:textId="77777777" w:rsidR="00515E78" w:rsidRPr="008D444C" w:rsidRDefault="00515E78" w:rsidP="00864DF7">
            <w:pPr>
              <w:pStyle w:val="CETBodytext"/>
              <w:jc w:val="center"/>
              <w:rPr>
                <w:lang w:val="en-GB"/>
              </w:rPr>
            </w:pPr>
            <w:r w:rsidRPr="008D444C">
              <w:rPr>
                <w:lang w:val="en-GB"/>
              </w:rPr>
              <w:t>240-2</w:t>
            </w:r>
          </w:p>
        </w:tc>
        <w:tc>
          <w:tcPr>
            <w:tcW w:w="567" w:type="dxa"/>
            <w:tcBorders>
              <w:top w:val="single" w:sz="12" w:space="0" w:color="008000"/>
              <w:bottom w:val="single" w:sz="6" w:space="0" w:color="008000"/>
            </w:tcBorders>
            <w:shd w:val="clear" w:color="auto" w:fill="FFFFFF"/>
          </w:tcPr>
          <w:p w14:paraId="7E46E31A" w14:textId="77777777" w:rsidR="00515E78" w:rsidRPr="008D444C" w:rsidRDefault="00515E78" w:rsidP="00864DF7">
            <w:pPr>
              <w:pStyle w:val="CETBodytext"/>
              <w:jc w:val="center"/>
              <w:rPr>
                <w:lang w:val="en-GB"/>
              </w:rPr>
            </w:pPr>
            <w:r w:rsidRPr="008D444C">
              <w:rPr>
                <w:lang w:val="en-GB"/>
              </w:rPr>
              <w:t>240-4</w:t>
            </w:r>
          </w:p>
        </w:tc>
        <w:tc>
          <w:tcPr>
            <w:tcW w:w="1275" w:type="dxa"/>
            <w:tcBorders>
              <w:top w:val="single" w:sz="12" w:space="0" w:color="008000"/>
              <w:bottom w:val="single" w:sz="6" w:space="0" w:color="008000"/>
            </w:tcBorders>
            <w:shd w:val="clear" w:color="auto" w:fill="FFFFFF"/>
          </w:tcPr>
          <w:p w14:paraId="00835ED3" w14:textId="77777777" w:rsidR="00515E78" w:rsidRPr="008D444C" w:rsidRDefault="00515E78" w:rsidP="00864DF7">
            <w:pPr>
              <w:pStyle w:val="CETBodytext"/>
              <w:jc w:val="center"/>
              <w:rPr>
                <w:lang w:val="en-GB"/>
              </w:rPr>
            </w:pPr>
            <w:r w:rsidRPr="008D444C">
              <w:rPr>
                <w:lang w:val="en-GB"/>
              </w:rPr>
              <w:t>Neutral peat***</w:t>
            </w:r>
          </w:p>
        </w:tc>
        <w:tc>
          <w:tcPr>
            <w:tcW w:w="1418" w:type="dxa"/>
            <w:tcBorders>
              <w:top w:val="single" w:sz="12" w:space="0" w:color="008000"/>
              <w:bottom w:val="single" w:sz="6" w:space="0" w:color="008000"/>
            </w:tcBorders>
            <w:shd w:val="clear" w:color="auto" w:fill="FFFFFF"/>
          </w:tcPr>
          <w:p w14:paraId="4AD97A3A" w14:textId="77777777" w:rsidR="00515E78" w:rsidRPr="008D444C" w:rsidRDefault="00515E78" w:rsidP="00864DF7">
            <w:pPr>
              <w:pStyle w:val="CETBodytext"/>
              <w:jc w:val="center"/>
              <w:rPr>
                <w:lang w:val="en-GB"/>
              </w:rPr>
            </w:pPr>
            <w:r w:rsidRPr="008D444C">
              <w:rPr>
                <w:lang w:val="en-GB"/>
              </w:rPr>
              <w:t>Soil improver***</w:t>
            </w:r>
          </w:p>
        </w:tc>
        <w:tc>
          <w:tcPr>
            <w:tcW w:w="1134" w:type="dxa"/>
            <w:tcBorders>
              <w:top w:val="single" w:sz="12" w:space="0" w:color="008000"/>
              <w:bottom w:val="single" w:sz="6" w:space="0" w:color="008000"/>
            </w:tcBorders>
            <w:shd w:val="clear" w:color="auto" w:fill="FFFFFF"/>
          </w:tcPr>
          <w:p w14:paraId="1432D80B" w14:textId="77777777" w:rsidR="00515E78" w:rsidRPr="008D444C" w:rsidRDefault="00515E78" w:rsidP="00864DF7">
            <w:pPr>
              <w:pStyle w:val="CETBodytext"/>
              <w:jc w:val="center"/>
              <w:rPr>
                <w:lang w:val="en-GB"/>
              </w:rPr>
            </w:pPr>
            <w:r w:rsidRPr="008D444C">
              <w:rPr>
                <w:lang w:val="en-GB"/>
              </w:rPr>
              <w:t>Biochar***</w:t>
            </w:r>
          </w:p>
        </w:tc>
      </w:tr>
      <w:tr w:rsidR="00515E78" w:rsidRPr="00B57B36" w14:paraId="5A32CF0D" w14:textId="77777777" w:rsidTr="00864DF7">
        <w:tc>
          <w:tcPr>
            <w:tcW w:w="2552" w:type="dxa"/>
            <w:shd w:val="clear" w:color="auto" w:fill="FFFFFF"/>
            <w:vAlign w:val="center"/>
          </w:tcPr>
          <w:p w14:paraId="1F89EE23" w14:textId="77777777" w:rsidR="00515E78" w:rsidRDefault="00515E78" w:rsidP="00864DF7">
            <w:pPr>
              <w:pStyle w:val="CETBodytext"/>
              <w:jc w:val="left"/>
              <w:rPr>
                <w:lang w:val="en-GB"/>
              </w:rPr>
            </w:pPr>
            <w:r>
              <w:rPr>
                <w:lang w:val="en-GB"/>
              </w:rPr>
              <w:t>Ash [wt.% d.b.]</w:t>
            </w:r>
          </w:p>
        </w:tc>
        <w:tc>
          <w:tcPr>
            <w:tcW w:w="567" w:type="dxa"/>
            <w:shd w:val="clear" w:color="auto" w:fill="FFFFFF"/>
            <w:vAlign w:val="center"/>
          </w:tcPr>
          <w:p w14:paraId="09818052" w14:textId="77777777" w:rsidR="00515E78" w:rsidRDefault="00515E78" w:rsidP="00864DF7">
            <w:pPr>
              <w:pStyle w:val="CETBodytext"/>
              <w:jc w:val="center"/>
              <w:rPr>
                <w:lang w:val="en-GB"/>
              </w:rPr>
            </w:pPr>
            <w:r w:rsidRPr="00BC613B">
              <w:t>23</w:t>
            </w:r>
            <w:r>
              <w:t>.</w:t>
            </w:r>
            <w:r w:rsidRPr="00BC613B">
              <w:t>2</w:t>
            </w:r>
          </w:p>
        </w:tc>
        <w:tc>
          <w:tcPr>
            <w:tcW w:w="567" w:type="dxa"/>
            <w:shd w:val="clear" w:color="auto" w:fill="FFFFFF"/>
            <w:vAlign w:val="center"/>
          </w:tcPr>
          <w:p w14:paraId="482487D4" w14:textId="77777777" w:rsidR="00515E78" w:rsidRDefault="00515E78" w:rsidP="00864DF7">
            <w:pPr>
              <w:pStyle w:val="CETBodytext"/>
              <w:jc w:val="center"/>
              <w:rPr>
                <w:lang w:val="en-GB"/>
              </w:rPr>
            </w:pPr>
            <w:r w:rsidRPr="00BC613B">
              <w:t>21</w:t>
            </w:r>
            <w:r>
              <w:t>.</w:t>
            </w:r>
            <w:r w:rsidRPr="00BC613B">
              <w:t>8</w:t>
            </w:r>
          </w:p>
        </w:tc>
        <w:tc>
          <w:tcPr>
            <w:tcW w:w="709" w:type="dxa"/>
            <w:shd w:val="clear" w:color="auto" w:fill="FFFFFF"/>
            <w:vAlign w:val="center"/>
          </w:tcPr>
          <w:p w14:paraId="3C7BB924" w14:textId="77777777" w:rsidR="00515E78" w:rsidRDefault="00515E78" w:rsidP="00864DF7">
            <w:pPr>
              <w:pStyle w:val="CETBodytext"/>
              <w:jc w:val="center"/>
              <w:rPr>
                <w:noProof/>
              </w:rPr>
            </w:pPr>
            <w:r w:rsidRPr="00BC613B">
              <w:t>26</w:t>
            </w:r>
            <w:r>
              <w:t>.</w:t>
            </w:r>
            <w:r w:rsidRPr="00BC613B">
              <w:t>0</w:t>
            </w:r>
          </w:p>
        </w:tc>
        <w:tc>
          <w:tcPr>
            <w:tcW w:w="567" w:type="dxa"/>
            <w:shd w:val="clear" w:color="auto" w:fill="FFFFFF"/>
            <w:vAlign w:val="center"/>
          </w:tcPr>
          <w:p w14:paraId="717A6DD8" w14:textId="77777777" w:rsidR="00515E78" w:rsidRDefault="00515E78" w:rsidP="00864DF7">
            <w:pPr>
              <w:pStyle w:val="CETBodytext"/>
              <w:jc w:val="center"/>
              <w:rPr>
                <w:noProof/>
              </w:rPr>
            </w:pPr>
            <w:r w:rsidRPr="00BC613B">
              <w:t>28</w:t>
            </w:r>
            <w:r>
              <w:t>.</w:t>
            </w:r>
            <w:r w:rsidRPr="00BC613B">
              <w:t>1</w:t>
            </w:r>
          </w:p>
        </w:tc>
        <w:tc>
          <w:tcPr>
            <w:tcW w:w="1275" w:type="dxa"/>
            <w:shd w:val="clear" w:color="auto" w:fill="FFFFFF"/>
            <w:vAlign w:val="center"/>
          </w:tcPr>
          <w:p w14:paraId="00D4FA86" w14:textId="77777777" w:rsidR="00515E78" w:rsidRPr="00BC613B" w:rsidRDefault="00515E78" w:rsidP="00864DF7">
            <w:pPr>
              <w:pStyle w:val="CETBodytext"/>
              <w:jc w:val="center"/>
            </w:pPr>
          </w:p>
        </w:tc>
        <w:tc>
          <w:tcPr>
            <w:tcW w:w="1418" w:type="dxa"/>
            <w:shd w:val="clear" w:color="auto" w:fill="FFFFFF"/>
            <w:vAlign w:val="center"/>
          </w:tcPr>
          <w:p w14:paraId="059B8E52" w14:textId="77777777" w:rsidR="00515E78" w:rsidRPr="00BC613B" w:rsidRDefault="00515E78" w:rsidP="00864DF7">
            <w:pPr>
              <w:pStyle w:val="CETBodytext"/>
              <w:jc w:val="center"/>
            </w:pPr>
          </w:p>
        </w:tc>
        <w:tc>
          <w:tcPr>
            <w:tcW w:w="1134" w:type="dxa"/>
            <w:shd w:val="clear" w:color="auto" w:fill="FFFFFF"/>
            <w:vAlign w:val="center"/>
          </w:tcPr>
          <w:p w14:paraId="3BAF96A3" w14:textId="77777777" w:rsidR="00515E78" w:rsidRPr="00BC613B" w:rsidRDefault="00515E78" w:rsidP="00864DF7">
            <w:pPr>
              <w:pStyle w:val="CETBodytext"/>
              <w:jc w:val="center"/>
            </w:pPr>
            <w:r>
              <w:rPr>
                <w:rFonts w:cs="Arial"/>
              </w:rPr>
              <w:t>≤60*</w:t>
            </w:r>
          </w:p>
        </w:tc>
      </w:tr>
      <w:tr w:rsidR="00515E78" w:rsidRPr="00DB0BA1" w14:paraId="4E8708C0" w14:textId="77777777" w:rsidTr="00864DF7">
        <w:tc>
          <w:tcPr>
            <w:tcW w:w="2552" w:type="dxa"/>
            <w:shd w:val="clear" w:color="auto" w:fill="FFFFFF"/>
            <w:vAlign w:val="center"/>
          </w:tcPr>
          <w:p w14:paraId="6A3E0C86" w14:textId="77777777" w:rsidR="00515E78" w:rsidRPr="00DB0BA1" w:rsidRDefault="00515E78" w:rsidP="00864DF7">
            <w:pPr>
              <w:pStyle w:val="CETBodytext"/>
              <w:jc w:val="left"/>
              <w:rPr>
                <w:lang w:val="it-IT"/>
              </w:rPr>
            </w:pPr>
            <w:r w:rsidRPr="00DB0BA1">
              <w:rPr>
                <w:lang w:val="it-IT"/>
              </w:rPr>
              <w:t xml:space="preserve">Volatile </w:t>
            </w:r>
            <w:proofErr w:type="spellStart"/>
            <w:r w:rsidRPr="00DB0BA1">
              <w:rPr>
                <w:lang w:val="it-IT"/>
              </w:rPr>
              <w:t>matter</w:t>
            </w:r>
            <w:proofErr w:type="spellEnd"/>
            <w:r w:rsidRPr="00DB0BA1">
              <w:rPr>
                <w:lang w:val="it-IT"/>
              </w:rPr>
              <w:t xml:space="preserve"> [</w:t>
            </w:r>
            <w:proofErr w:type="spellStart"/>
            <w:r w:rsidRPr="00DB0BA1">
              <w:rPr>
                <w:lang w:val="it-IT"/>
              </w:rPr>
              <w:t>wt</w:t>
            </w:r>
            <w:proofErr w:type="spellEnd"/>
            <w:r w:rsidRPr="00DB0BA1">
              <w:rPr>
                <w:lang w:val="it-IT"/>
              </w:rPr>
              <w:t>.% d.b.]</w:t>
            </w:r>
          </w:p>
        </w:tc>
        <w:tc>
          <w:tcPr>
            <w:tcW w:w="567" w:type="dxa"/>
            <w:shd w:val="clear" w:color="auto" w:fill="FFFFFF"/>
            <w:vAlign w:val="center"/>
          </w:tcPr>
          <w:p w14:paraId="6973529C" w14:textId="77777777" w:rsidR="00515E78" w:rsidRPr="00DB0BA1" w:rsidRDefault="00515E78" w:rsidP="00864DF7">
            <w:pPr>
              <w:pStyle w:val="CETBodytext"/>
              <w:jc w:val="center"/>
              <w:rPr>
                <w:lang w:val="it-IT"/>
              </w:rPr>
            </w:pPr>
            <w:r>
              <w:rPr>
                <w:lang w:val="it-IT"/>
              </w:rPr>
              <w:t>70.0</w:t>
            </w:r>
          </w:p>
        </w:tc>
        <w:tc>
          <w:tcPr>
            <w:tcW w:w="567" w:type="dxa"/>
            <w:shd w:val="clear" w:color="auto" w:fill="FFFFFF"/>
            <w:vAlign w:val="center"/>
          </w:tcPr>
          <w:p w14:paraId="08351406" w14:textId="77777777" w:rsidR="00515E78" w:rsidRPr="00DB0BA1" w:rsidRDefault="00515E78" w:rsidP="00864DF7">
            <w:pPr>
              <w:pStyle w:val="CETBodytext"/>
              <w:jc w:val="center"/>
              <w:rPr>
                <w:lang w:val="it-IT"/>
              </w:rPr>
            </w:pPr>
            <w:r>
              <w:rPr>
                <w:lang w:val="it-IT"/>
              </w:rPr>
              <w:t>n.d.</w:t>
            </w:r>
          </w:p>
        </w:tc>
        <w:tc>
          <w:tcPr>
            <w:tcW w:w="709" w:type="dxa"/>
            <w:shd w:val="clear" w:color="auto" w:fill="FFFFFF"/>
            <w:vAlign w:val="center"/>
          </w:tcPr>
          <w:p w14:paraId="774DEC7D" w14:textId="77777777" w:rsidR="00515E78" w:rsidRDefault="00515E78" w:rsidP="00864DF7">
            <w:pPr>
              <w:pStyle w:val="CETBodytext"/>
              <w:jc w:val="center"/>
              <w:rPr>
                <w:lang w:val="it-IT"/>
              </w:rPr>
            </w:pPr>
            <w:r>
              <w:rPr>
                <w:lang w:val="it-IT"/>
              </w:rPr>
              <w:t>67.2</w:t>
            </w:r>
          </w:p>
        </w:tc>
        <w:tc>
          <w:tcPr>
            <w:tcW w:w="567" w:type="dxa"/>
            <w:shd w:val="clear" w:color="auto" w:fill="FFFFFF"/>
            <w:vAlign w:val="center"/>
          </w:tcPr>
          <w:p w14:paraId="03766E1A" w14:textId="77777777" w:rsidR="00515E78" w:rsidRDefault="00515E78" w:rsidP="00864DF7">
            <w:pPr>
              <w:pStyle w:val="CETBodytext"/>
              <w:jc w:val="center"/>
              <w:rPr>
                <w:lang w:val="it-IT"/>
              </w:rPr>
            </w:pPr>
            <w:r>
              <w:rPr>
                <w:lang w:val="it-IT"/>
              </w:rPr>
              <w:t>n.d.</w:t>
            </w:r>
          </w:p>
        </w:tc>
        <w:tc>
          <w:tcPr>
            <w:tcW w:w="1275" w:type="dxa"/>
            <w:shd w:val="clear" w:color="auto" w:fill="FFFFFF"/>
            <w:vAlign w:val="center"/>
          </w:tcPr>
          <w:p w14:paraId="716A8421" w14:textId="77777777" w:rsidR="00515E78" w:rsidRDefault="00515E78" w:rsidP="00864DF7">
            <w:pPr>
              <w:pStyle w:val="CETBodytext"/>
              <w:jc w:val="center"/>
              <w:rPr>
                <w:lang w:val="it-IT"/>
              </w:rPr>
            </w:pPr>
          </w:p>
        </w:tc>
        <w:tc>
          <w:tcPr>
            <w:tcW w:w="1418" w:type="dxa"/>
            <w:shd w:val="clear" w:color="auto" w:fill="FFFFFF"/>
            <w:vAlign w:val="center"/>
          </w:tcPr>
          <w:p w14:paraId="1E5BD808" w14:textId="77777777" w:rsidR="00515E78" w:rsidRDefault="00515E78" w:rsidP="00864DF7">
            <w:pPr>
              <w:pStyle w:val="CETBodytext"/>
              <w:jc w:val="center"/>
              <w:rPr>
                <w:lang w:val="it-IT"/>
              </w:rPr>
            </w:pPr>
          </w:p>
        </w:tc>
        <w:tc>
          <w:tcPr>
            <w:tcW w:w="1134" w:type="dxa"/>
            <w:shd w:val="clear" w:color="auto" w:fill="FFFFFF"/>
            <w:vAlign w:val="center"/>
          </w:tcPr>
          <w:p w14:paraId="447B7011" w14:textId="77777777" w:rsidR="00515E78" w:rsidRDefault="00515E78" w:rsidP="00864DF7">
            <w:pPr>
              <w:pStyle w:val="CETBodytext"/>
              <w:jc w:val="center"/>
              <w:rPr>
                <w:lang w:val="it-IT"/>
              </w:rPr>
            </w:pPr>
          </w:p>
        </w:tc>
      </w:tr>
      <w:tr w:rsidR="00515E78" w:rsidRPr="00DB0BA1" w14:paraId="18612EC2" w14:textId="77777777" w:rsidTr="00864DF7">
        <w:tc>
          <w:tcPr>
            <w:tcW w:w="2552" w:type="dxa"/>
            <w:shd w:val="clear" w:color="auto" w:fill="FFFFFF"/>
            <w:vAlign w:val="center"/>
          </w:tcPr>
          <w:p w14:paraId="2D67A004" w14:textId="77777777" w:rsidR="00515E78" w:rsidRPr="00DB0BA1" w:rsidRDefault="00515E78" w:rsidP="00864DF7">
            <w:pPr>
              <w:pStyle w:val="CETBodytext"/>
              <w:jc w:val="left"/>
              <w:rPr>
                <w:lang w:val="en-GB"/>
              </w:rPr>
            </w:pPr>
            <w:r w:rsidRPr="00DB0BA1">
              <w:rPr>
                <w:lang w:val="en-GB"/>
              </w:rPr>
              <w:t xml:space="preserve">Fixed carbon </w:t>
            </w:r>
            <w:r>
              <w:rPr>
                <w:lang w:val="en-GB"/>
              </w:rPr>
              <w:t>[wt.% d.b.]</w:t>
            </w:r>
          </w:p>
        </w:tc>
        <w:tc>
          <w:tcPr>
            <w:tcW w:w="567" w:type="dxa"/>
            <w:shd w:val="clear" w:color="auto" w:fill="FFFFFF"/>
            <w:vAlign w:val="center"/>
          </w:tcPr>
          <w:p w14:paraId="7B72935D" w14:textId="77777777" w:rsidR="00515E78" w:rsidRPr="00DB0BA1" w:rsidRDefault="00515E78" w:rsidP="00864DF7">
            <w:pPr>
              <w:pStyle w:val="CETBodytext"/>
              <w:jc w:val="center"/>
              <w:rPr>
                <w:lang w:val="en-GB"/>
              </w:rPr>
            </w:pPr>
            <w:r>
              <w:rPr>
                <w:lang w:val="en-GB"/>
              </w:rPr>
              <w:t>6.8</w:t>
            </w:r>
          </w:p>
        </w:tc>
        <w:tc>
          <w:tcPr>
            <w:tcW w:w="567" w:type="dxa"/>
            <w:shd w:val="clear" w:color="auto" w:fill="FFFFFF"/>
            <w:vAlign w:val="center"/>
          </w:tcPr>
          <w:p w14:paraId="758C55C9" w14:textId="77777777" w:rsidR="00515E78" w:rsidRPr="00DB0BA1" w:rsidRDefault="00515E78" w:rsidP="00864DF7">
            <w:pPr>
              <w:pStyle w:val="CETBodytext"/>
              <w:jc w:val="center"/>
              <w:rPr>
                <w:lang w:val="en-GB"/>
              </w:rPr>
            </w:pPr>
            <w:r>
              <w:rPr>
                <w:lang w:val="it-IT"/>
              </w:rPr>
              <w:t>n.d.</w:t>
            </w:r>
          </w:p>
        </w:tc>
        <w:tc>
          <w:tcPr>
            <w:tcW w:w="709" w:type="dxa"/>
            <w:shd w:val="clear" w:color="auto" w:fill="FFFFFF"/>
            <w:vAlign w:val="center"/>
          </w:tcPr>
          <w:p w14:paraId="23C3FBBA" w14:textId="77777777" w:rsidR="00515E78" w:rsidRDefault="00515E78" w:rsidP="00864DF7">
            <w:pPr>
              <w:pStyle w:val="CETBodytext"/>
              <w:jc w:val="center"/>
              <w:rPr>
                <w:lang w:val="en-GB"/>
              </w:rPr>
            </w:pPr>
            <w:r>
              <w:rPr>
                <w:lang w:val="en-GB"/>
              </w:rPr>
              <w:t>6.8</w:t>
            </w:r>
          </w:p>
        </w:tc>
        <w:tc>
          <w:tcPr>
            <w:tcW w:w="567" w:type="dxa"/>
            <w:shd w:val="clear" w:color="auto" w:fill="FFFFFF"/>
            <w:vAlign w:val="center"/>
          </w:tcPr>
          <w:p w14:paraId="309CE437" w14:textId="77777777" w:rsidR="00515E78" w:rsidRDefault="00515E78" w:rsidP="00864DF7">
            <w:pPr>
              <w:pStyle w:val="CETBodytext"/>
              <w:jc w:val="center"/>
              <w:rPr>
                <w:lang w:val="en-GB"/>
              </w:rPr>
            </w:pPr>
            <w:r>
              <w:rPr>
                <w:lang w:val="it-IT"/>
              </w:rPr>
              <w:t>n.d.</w:t>
            </w:r>
          </w:p>
        </w:tc>
        <w:tc>
          <w:tcPr>
            <w:tcW w:w="1275" w:type="dxa"/>
            <w:shd w:val="clear" w:color="auto" w:fill="FFFFFF"/>
            <w:vAlign w:val="center"/>
          </w:tcPr>
          <w:p w14:paraId="0DEBDD10" w14:textId="77777777" w:rsidR="00515E78" w:rsidRDefault="00515E78" w:rsidP="00864DF7">
            <w:pPr>
              <w:pStyle w:val="CETBodytext"/>
              <w:jc w:val="center"/>
              <w:rPr>
                <w:lang w:val="it-IT"/>
              </w:rPr>
            </w:pPr>
          </w:p>
        </w:tc>
        <w:tc>
          <w:tcPr>
            <w:tcW w:w="1418" w:type="dxa"/>
            <w:shd w:val="clear" w:color="auto" w:fill="FFFFFF"/>
            <w:vAlign w:val="center"/>
          </w:tcPr>
          <w:p w14:paraId="2C8C6271" w14:textId="77777777" w:rsidR="00515E78" w:rsidRDefault="00515E78" w:rsidP="00864DF7">
            <w:pPr>
              <w:pStyle w:val="CETBodytext"/>
              <w:jc w:val="center"/>
              <w:rPr>
                <w:lang w:val="it-IT"/>
              </w:rPr>
            </w:pPr>
          </w:p>
        </w:tc>
        <w:tc>
          <w:tcPr>
            <w:tcW w:w="1134" w:type="dxa"/>
            <w:shd w:val="clear" w:color="auto" w:fill="FFFFFF"/>
            <w:vAlign w:val="center"/>
          </w:tcPr>
          <w:p w14:paraId="20A9424C" w14:textId="77777777" w:rsidR="00515E78" w:rsidRDefault="00515E78" w:rsidP="00864DF7">
            <w:pPr>
              <w:pStyle w:val="CETBodytext"/>
              <w:jc w:val="center"/>
              <w:rPr>
                <w:lang w:val="it-IT"/>
              </w:rPr>
            </w:pPr>
          </w:p>
        </w:tc>
      </w:tr>
      <w:tr w:rsidR="00515E78" w:rsidRPr="00DB0BA1" w14:paraId="221B08C2" w14:textId="77777777" w:rsidTr="00864DF7">
        <w:tc>
          <w:tcPr>
            <w:tcW w:w="2552" w:type="dxa"/>
            <w:shd w:val="clear" w:color="auto" w:fill="FFFFFF"/>
            <w:vAlign w:val="center"/>
          </w:tcPr>
          <w:p w14:paraId="634B9773" w14:textId="77777777" w:rsidR="00515E78" w:rsidRPr="00DB0BA1" w:rsidRDefault="00515E78" w:rsidP="00864DF7">
            <w:pPr>
              <w:pStyle w:val="CETBodytext"/>
              <w:jc w:val="left"/>
              <w:rPr>
                <w:lang w:val="en-GB"/>
              </w:rPr>
            </w:pPr>
            <w:r>
              <w:rPr>
                <w:lang w:val="en-GB"/>
              </w:rPr>
              <w:t>pH [-]</w:t>
            </w:r>
          </w:p>
        </w:tc>
        <w:tc>
          <w:tcPr>
            <w:tcW w:w="567" w:type="dxa"/>
            <w:shd w:val="clear" w:color="auto" w:fill="FFFFFF"/>
            <w:vAlign w:val="center"/>
          </w:tcPr>
          <w:p w14:paraId="65FE01D9" w14:textId="77777777" w:rsidR="00515E78" w:rsidRDefault="00515E78" w:rsidP="00864DF7">
            <w:pPr>
              <w:pStyle w:val="CETBodytext"/>
              <w:jc w:val="center"/>
              <w:rPr>
                <w:lang w:val="en-GB"/>
              </w:rPr>
            </w:pPr>
            <w:r w:rsidRPr="00DC5DC3">
              <w:t>6</w:t>
            </w:r>
            <w:r>
              <w:t>.</w:t>
            </w:r>
            <w:r w:rsidRPr="00DC5DC3">
              <w:t>0</w:t>
            </w:r>
          </w:p>
        </w:tc>
        <w:tc>
          <w:tcPr>
            <w:tcW w:w="567" w:type="dxa"/>
            <w:shd w:val="clear" w:color="auto" w:fill="FFFFFF"/>
            <w:vAlign w:val="center"/>
          </w:tcPr>
          <w:p w14:paraId="5C99D153" w14:textId="77777777" w:rsidR="00515E78" w:rsidRDefault="00515E78" w:rsidP="00864DF7">
            <w:pPr>
              <w:pStyle w:val="CETBodytext"/>
              <w:jc w:val="center"/>
              <w:rPr>
                <w:lang w:val="it-IT"/>
              </w:rPr>
            </w:pPr>
            <w:r w:rsidRPr="00DC5DC3">
              <w:t>6</w:t>
            </w:r>
            <w:r>
              <w:t>.</w:t>
            </w:r>
            <w:r w:rsidRPr="00DC5DC3">
              <w:t>3</w:t>
            </w:r>
          </w:p>
        </w:tc>
        <w:tc>
          <w:tcPr>
            <w:tcW w:w="709" w:type="dxa"/>
            <w:shd w:val="clear" w:color="auto" w:fill="FFFFFF"/>
            <w:vAlign w:val="center"/>
          </w:tcPr>
          <w:p w14:paraId="140041C9" w14:textId="77777777" w:rsidR="00515E78" w:rsidRDefault="00515E78" w:rsidP="00864DF7">
            <w:pPr>
              <w:pStyle w:val="CETBodytext"/>
              <w:jc w:val="center"/>
              <w:rPr>
                <w:lang w:val="en-GB"/>
              </w:rPr>
            </w:pPr>
            <w:r w:rsidRPr="00DC5DC3">
              <w:t>6</w:t>
            </w:r>
            <w:r>
              <w:t>.</w:t>
            </w:r>
            <w:r w:rsidRPr="00DC5DC3">
              <w:t>7</w:t>
            </w:r>
          </w:p>
        </w:tc>
        <w:tc>
          <w:tcPr>
            <w:tcW w:w="567" w:type="dxa"/>
            <w:shd w:val="clear" w:color="auto" w:fill="FFFFFF"/>
            <w:vAlign w:val="center"/>
          </w:tcPr>
          <w:p w14:paraId="68E86D52" w14:textId="77777777" w:rsidR="00515E78" w:rsidRDefault="00515E78" w:rsidP="00864DF7">
            <w:pPr>
              <w:pStyle w:val="CETBodytext"/>
              <w:jc w:val="center"/>
              <w:rPr>
                <w:lang w:val="it-IT"/>
              </w:rPr>
            </w:pPr>
            <w:r w:rsidRPr="00DC5DC3">
              <w:t>7</w:t>
            </w:r>
            <w:r>
              <w:t>.</w:t>
            </w:r>
            <w:r w:rsidRPr="00DC5DC3">
              <w:t>0</w:t>
            </w:r>
          </w:p>
        </w:tc>
        <w:tc>
          <w:tcPr>
            <w:tcW w:w="1275" w:type="dxa"/>
            <w:shd w:val="clear" w:color="auto" w:fill="FFFFFF"/>
            <w:vAlign w:val="center"/>
          </w:tcPr>
          <w:p w14:paraId="37B6D08F" w14:textId="77777777" w:rsidR="00515E78" w:rsidRPr="00DC5DC3" w:rsidRDefault="00515E78" w:rsidP="00864DF7">
            <w:pPr>
              <w:pStyle w:val="CETBodytext"/>
              <w:jc w:val="center"/>
            </w:pPr>
            <w:r>
              <w:t>&gt;5</w:t>
            </w:r>
          </w:p>
        </w:tc>
        <w:tc>
          <w:tcPr>
            <w:tcW w:w="1418" w:type="dxa"/>
            <w:shd w:val="clear" w:color="auto" w:fill="FFFFFF"/>
            <w:vAlign w:val="center"/>
          </w:tcPr>
          <w:p w14:paraId="7B6BDBC2" w14:textId="77777777" w:rsidR="00515E78" w:rsidRDefault="00515E78" w:rsidP="00864DF7">
            <w:pPr>
              <w:pStyle w:val="CETBodytext"/>
              <w:jc w:val="center"/>
            </w:pPr>
            <w:r>
              <w:t>6 – 8.5</w:t>
            </w:r>
          </w:p>
        </w:tc>
        <w:tc>
          <w:tcPr>
            <w:tcW w:w="1134" w:type="dxa"/>
            <w:shd w:val="clear" w:color="auto" w:fill="FFFFFF"/>
            <w:vAlign w:val="center"/>
          </w:tcPr>
          <w:p w14:paraId="73DA8B33" w14:textId="77777777" w:rsidR="00515E78" w:rsidRDefault="00515E78" w:rsidP="00864DF7">
            <w:pPr>
              <w:pStyle w:val="CETBodytext"/>
              <w:jc w:val="center"/>
            </w:pPr>
            <w:r>
              <w:t>4 – 12</w:t>
            </w:r>
          </w:p>
        </w:tc>
      </w:tr>
      <w:tr w:rsidR="00515E78" w:rsidRPr="00DB0BA1" w14:paraId="6F5F0651" w14:textId="77777777" w:rsidTr="00864DF7">
        <w:tc>
          <w:tcPr>
            <w:tcW w:w="2552" w:type="dxa"/>
            <w:shd w:val="clear" w:color="auto" w:fill="FFFFFF"/>
            <w:vAlign w:val="center"/>
          </w:tcPr>
          <w:p w14:paraId="022BBD3E" w14:textId="77777777" w:rsidR="00515E78" w:rsidRDefault="00515E78" w:rsidP="00864DF7">
            <w:pPr>
              <w:pStyle w:val="CETBodytext"/>
              <w:jc w:val="left"/>
              <w:rPr>
                <w:lang w:val="en-GB"/>
              </w:rPr>
            </w:pPr>
            <w:r>
              <w:rPr>
                <w:lang w:val="en-GB"/>
              </w:rPr>
              <w:t>Electrical conductivity [</w:t>
            </w:r>
            <w:r w:rsidRPr="00A7427E">
              <w:rPr>
                <w:lang w:val="en-GB"/>
              </w:rPr>
              <w:t>mS cm</w:t>
            </w:r>
            <w:r w:rsidRPr="00A7427E">
              <w:rPr>
                <w:vertAlign w:val="superscript"/>
                <w:lang w:val="en-GB"/>
              </w:rPr>
              <w:t>-1</w:t>
            </w:r>
            <w:r>
              <w:rPr>
                <w:lang w:val="en-GB"/>
              </w:rPr>
              <w:t>]</w:t>
            </w:r>
          </w:p>
        </w:tc>
        <w:tc>
          <w:tcPr>
            <w:tcW w:w="567" w:type="dxa"/>
            <w:shd w:val="clear" w:color="auto" w:fill="FFFFFF"/>
            <w:vAlign w:val="center"/>
          </w:tcPr>
          <w:p w14:paraId="6307A0EE" w14:textId="77777777" w:rsidR="00515E78" w:rsidRPr="00DC5DC3" w:rsidRDefault="00515E78" w:rsidP="00864DF7">
            <w:pPr>
              <w:pStyle w:val="CETBodytext"/>
              <w:jc w:val="center"/>
            </w:pPr>
            <w:r>
              <w:t>n.d.</w:t>
            </w:r>
          </w:p>
        </w:tc>
        <w:tc>
          <w:tcPr>
            <w:tcW w:w="567" w:type="dxa"/>
            <w:shd w:val="clear" w:color="auto" w:fill="FFFFFF"/>
            <w:vAlign w:val="center"/>
          </w:tcPr>
          <w:p w14:paraId="36B5A727" w14:textId="77777777" w:rsidR="00515E78" w:rsidRPr="00DC5DC3" w:rsidRDefault="00515E78" w:rsidP="00864DF7">
            <w:pPr>
              <w:pStyle w:val="CETBodytext"/>
              <w:jc w:val="center"/>
            </w:pPr>
            <w:r>
              <w:t>6.0</w:t>
            </w:r>
          </w:p>
        </w:tc>
        <w:tc>
          <w:tcPr>
            <w:tcW w:w="709" w:type="dxa"/>
            <w:shd w:val="clear" w:color="auto" w:fill="FFFFFF"/>
            <w:vAlign w:val="center"/>
          </w:tcPr>
          <w:p w14:paraId="71DA41BB" w14:textId="77777777" w:rsidR="00515E78" w:rsidRPr="00DC5DC3" w:rsidRDefault="00515E78" w:rsidP="00864DF7">
            <w:pPr>
              <w:pStyle w:val="CETBodytext"/>
              <w:jc w:val="center"/>
            </w:pPr>
            <w:r>
              <w:t>n.d.</w:t>
            </w:r>
          </w:p>
        </w:tc>
        <w:tc>
          <w:tcPr>
            <w:tcW w:w="567" w:type="dxa"/>
            <w:shd w:val="clear" w:color="auto" w:fill="FFFFFF"/>
            <w:vAlign w:val="center"/>
          </w:tcPr>
          <w:p w14:paraId="5D189679" w14:textId="77777777" w:rsidR="00515E78" w:rsidRPr="00DC5DC3" w:rsidRDefault="00515E78" w:rsidP="00864DF7">
            <w:pPr>
              <w:pStyle w:val="CETBodytext"/>
              <w:jc w:val="center"/>
            </w:pPr>
            <w:r>
              <w:t>7.0</w:t>
            </w:r>
          </w:p>
        </w:tc>
        <w:tc>
          <w:tcPr>
            <w:tcW w:w="1275" w:type="dxa"/>
            <w:shd w:val="clear" w:color="auto" w:fill="FFFFFF"/>
            <w:vAlign w:val="center"/>
          </w:tcPr>
          <w:p w14:paraId="13517D65" w14:textId="77777777" w:rsidR="00515E78" w:rsidRDefault="00515E78" w:rsidP="00864DF7">
            <w:pPr>
              <w:pStyle w:val="CETBodytext"/>
              <w:jc w:val="center"/>
            </w:pPr>
          </w:p>
        </w:tc>
        <w:tc>
          <w:tcPr>
            <w:tcW w:w="1418" w:type="dxa"/>
            <w:shd w:val="clear" w:color="auto" w:fill="FFFFFF"/>
            <w:vAlign w:val="center"/>
          </w:tcPr>
          <w:p w14:paraId="38445293" w14:textId="77777777" w:rsidR="00515E78" w:rsidRDefault="00515E78" w:rsidP="00864DF7">
            <w:pPr>
              <w:pStyle w:val="CETBodytext"/>
              <w:jc w:val="center"/>
            </w:pPr>
          </w:p>
        </w:tc>
        <w:tc>
          <w:tcPr>
            <w:tcW w:w="1134" w:type="dxa"/>
            <w:shd w:val="clear" w:color="auto" w:fill="FFFFFF"/>
            <w:vAlign w:val="center"/>
          </w:tcPr>
          <w:p w14:paraId="3020A4CC" w14:textId="77777777" w:rsidR="00515E78" w:rsidRDefault="00515E78" w:rsidP="00864DF7">
            <w:pPr>
              <w:pStyle w:val="CETBodytext"/>
              <w:jc w:val="center"/>
            </w:pPr>
            <w:r>
              <w:t>&lt;1000</w:t>
            </w:r>
          </w:p>
        </w:tc>
      </w:tr>
      <w:tr w:rsidR="00515E78" w:rsidRPr="00DB0BA1" w14:paraId="297B918E" w14:textId="77777777" w:rsidTr="00864DF7">
        <w:tc>
          <w:tcPr>
            <w:tcW w:w="2552" w:type="dxa"/>
            <w:shd w:val="clear" w:color="auto" w:fill="FFFFFF"/>
            <w:vAlign w:val="center"/>
          </w:tcPr>
          <w:p w14:paraId="2B8233F5" w14:textId="77777777" w:rsidR="00515E78" w:rsidRPr="007213FE" w:rsidRDefault="00515E78" w:rsidP="00864DF7">
            <w:pPr>
              <w:pStyle w:val="CETBodytext"/>
              <w:jc w:val="left"/>
              <w:rPr>
                <w:lang w:val="en-GB"/>
              </w:rPr>
            </w:pPr>
            <w:r>
              <w:rPr>
                <w:lang w:val="en-GB"/>
              </w:rPr>
              <w:t>PAHs [mg kg</w:t>
            </w:r>
            <w:r w:rsidRPr="007213FE">
              <w:rPr>
                <w:vertAlign w:val="superscript"/>
                <w:lang w:val="en-GB"/>
              </w:rPr>
              <w:t>-1</w:t>
            </w:r>
            <w:r>
              <w:rPr>
                <w:lang w:val="en-GB"/>
              </w:rPr>
              <w:t>]</w:t>
            </w:r>
          </w:p>
        </w:tc>
        <w:tc>
          <w:tcPr>
            <w:tcW w:w="567" w:type="dxa"/>
            <w:shd w:val="clear" w:color="auto" w:fill="FFFFFF"/>
            <w:vAlign w:val="center"/>
          </w:tcPr>
          <w:p w14:paraId="3D101273" w14:textId="77777777" w:rsidR="00515E78" w:rsidRDefault="00515E78" w:rsidP="00864DF7">
            <w:pPr>
              <w:pStyle w:val="CETBodytext"/>
              <w:jc w:val="center"/>
            </w:pPr>
            <w:r>
              <w:t>1.9</w:t>
            </w:r>
          </w:p>
        </w:tc>
        <w:tc>
          <w:tcPr>
            <w:tcW w:w="567" w:type="dxa"/>
            <w:shd w:val="clear" w:color="auto" w:fill="FFFFFF"/>
            <w:vAlign w:val="center"/>
          </w:tcPr>
          <w:p w14:paraId="2CA09474" w14:textId="77777777" w:rsidR="00515E78" w:rsidRDefault="00515E78" w:rsidP="00864DF7">
            <w:pPr>
              <w:pStyle w:val="CETBodytext"/>
              <w:jc w:val="center"/>
            </w:pPr>
            <w:r>
              <w:t>0.57</w:t>
            </w:r>
          </w:p>
        </w:tc>
        <w:tc>
          <w:tcPr>
            <w:tcW w:w="709" w:type="dxa"/>
            <w:shd w:val="clear" w:color="auto" w:fill="FFFFFF"/>
            <w:vAlign w:val="center"/>
          </w:tcPr>
          <w:p w14:paraId="276BF557" w14:textId="77777777" w:rsidR="00515E78" w:rsidRDefault="00515E78" w:rsidP="00864DF7">
            <w:pPr>
              <w:pStyle w:val="CETBodytext"/>
              <w:jc w:val="center"/>
            </w:pPr>
            <w:r>
              <w:t>0.68</w:t>
            </w:r>
          </w:p>
        </w:tc>
        <w:tc>
          <w:tcPr>
            <w:tcW w:w="567" w:type="dxa"/>
            <w:shd w:val="clear" w:color="auto" w:fill="FFFFFF"/>
            <w:vAlign w:val="center"/>
          </w:tcPr>
          <w:p w14:paraId="73AFE438" w14:textId="77777777" w:rsidR="00515E78" w:rsidRDefault="00515E78" w:rsidP="00864DF7">
            <w:pPr>
              <w:pStyle w:val="CETBodytext"/>
              <w:jc w:val="center"/>
            </w:pPr>
            <w:r>
              <w:t>2.2</w:t>
            </w:r>
          </w:p>
        </w:tc>
        <w:tc>
          <w:tcPr>
            <w:tcW w:w="1275" w:type="dxa"/>
            <w:shd w:val="clear" w:color="auto" w:fill="FFFFFF"/>
            <w:vAlign w:val="center"/>
          </w:tcPr>
          <w:p w14:paraId="3DD31B79" w14:textId="77777777" w:rsidR="00515E78" w:rsidRDefault="00515E78" w:rsidP="00864DF7">
            <w:pPr>
              <w:pStyle w:val="CETBodytext"/>
              <w:jc w:val="center"/>
            </w:pPr>
          </w:p>
        </w:tc>
        <w:tc>
          <w:tcPr>
            <w:tcW w:w="1418" w:type="dxa"/>
            <w:shd w:val="clear" w:color="auto" w:fill="FFFFFF"/>
            <w:vAlign w:val="center"/>
          </w:tcPr>
          <w:p w14:paraId="66D1D6C8" w14:textId="77777777" w:rsidR="00515E78" w:rsidRDefault="00515E78" w:rsidP="00864DF7">
            <w:pPr>
              <w:pStyle w:val="CETBodytext"/>
              <w:jc w:val="center"/>
            </w:pPr>
          </w:p>
        </w:tc>
        <w:tc>
          <w:tcPr>
            <w:tcW w:w="1134" w:type="dxa"/>
            <w:shd w:val="clear" w:color="auto" w:fill="FFFFFF"/>
            <w:vAlign w:val="center"/>
          </w:tcPr>
          <w:p w14:paraId="1B29B117" w14:textId="77777777" w:rsidR="00515E78" w:rsidRDefault="00515E78" w:rsidP="00864DF7">
            <w:pPr>
              <w:pStyle w:val="CETBodytext"/>
              <w:jc w:val="center"/>
            </w:pPr>
            <w:r>
              <w:t>&lt;6</w:t>
            </w:r>
          </w:p>
        </w:tc>
      </w:tr>
      <w:tr w:rsidR="00515E78" w:rsidRPr="00DB0BA1" w14:paraId="0BCCD7D1" w14:textId="77777777" w:rsidTr="00864DF7">
        <w:trPr>
          <w:trHeight w:val="276"/>
        </w:trPr>
        <w:tc>
          <w:tcPr>
            <w:tcW w:w="2552" w:type="dxa"/>
            <w:shd w:val="clear" w:color="auto" w:fill="FFFFFF"/>
            <w:vAlign w:val="center"/>
          </w:tcPr>
          <w:p w14:paraId="048BB208" w14:textId="77777777" w:rsidR="00515E78" w:rsidRPr="00DB0BA1" w:rsidRDefault="00515E78" w:rsidP="00864DF7">
            <w:pPr>
              <w:pStyle w:val="CETBodytext"/>
              <w:jc w:val="left"/>
              <w:rPr>
                <w:lang w:val="it-IT"/>
              </w:rPr>
            </w:pPr>
            <w:r>
              <w:rPr>
                <w:lang w:val="it-IT"/>
              </w:rPr>
              <w:t xml:space="preserve">C </w:t>
            </w:r>
            <w:proofErr w:type="spellStart"/>
            <w:r>
              <w:rPr>
                <w:lang w:val="it-IT"/>
              </w:rPr>
              <w:t>org</w:t>
            </w:r>
            <w:proofErr w:type="spellEnd"/>
            <w:r>
              <w:rPr>
                <w:lang w:val="it-IT"/>
              </w:rPr>
              <w:t xml:space="preserve">. </w:t>
            </w:r>
            <w:r>
              <w:rPr>
                <w:lang w:val="en-GB"/>
              </w:rPr>
              <w:t>[wt.% d.b.]</w:t>
            </w:r>
          </w:p>
        </w:tc>
        <w:tc>
          <w:tcPr>
            <w:tcW w:w="567" w:type="dxa"/>
            <w:shd w:val="clear" w:color="auto" w:fill="FFFFFF"/>
            <w:vAlign w:val="center"/>
          </w:tcPr>
          <w:p w14:paraId="7E398E48" w14:textId="77777777" w:rsidR="00515E78" w:rsidRPr="00DB0BA1" w:rsidRDefault="00515E78" w:rsidP="00864DF7">
            <w:pPr>
              <w:pStyle w:val="CETBodytext"/>
              <w:jc w:val="center"/>
              <w:rPr>
                <w:lang w:val="it-IT"/>
              </w:rPr>
            </w:pPr>
            <w:r w:rsidRPr="004C69FF">
              <w:t>38</w:t>
            </w:r>
            <w:r>
              <w:t>.</w:t>
            </w:r>
            <w:r w:rsidRPr="004C69FF">
              <w:t>3</w:t>
            </w:r>
          </w:p>
        </w:tc>
        <w:tc>
          <w:tcPr>
            <w:tcW w:w="567" w:type="dxa"/>
            <w:shd w:val="clear" w:color="auto" w:fill="FFFFFF"/>
            <w:vAlign w:val="center"/>
          </w:tcPr>
          <w:p w14:paraId="011454E6" w14:textId="77777777" w:rsidR="00515E78" w:rsidRPr="00DB0BA1" w:rsidRDefault="00515E78" w:rsidP="00864DF7">
            <w:pPr>
              <w:pStyle w:val="CETBodytext"/>
              <w:jc w:val="center"/>
              <w:rPr>
                <w:lang w:val="it-IT"/>
              </w:rPr>
            </w:pPr>
            <w:r w:rsidRPr="004C69FF">
              <w:t>41</w:t>
            </w:r>
            <w:r>
              <w:t>.</w:t>
            </w:r>
            <w:r w:rsidRPr="004C69FF">
              <w:t>4</w:t>
            </w:r>
          </w:p>
        </w:tc>
        <w:tc>
          <w:tcPr>
            <w:tcW w:w="709" w:type="dxa"/>
            <w:shd w:val="clear" w:color="auto" w:fill="FFFFFF"/>
            <w:vAlign w:val="center"/>
          </w:tcPr>
          <w:p w14:paraId="0409AF09" w14:textId="77777777" w:rsidR="00515E78" w:rsidRPr="006177C2" w:rsidRDefault="00515E78" w:rsidP="00864DF7">
            <w:pPr>
              <w:pStyle w:val="CETBodytext"/>
              <w:jc w:val="center"/>
              <w:rPr>
                <w:lang w:val="it-IT"/>
              </w:rPr>
            </w:pPr>
            <w:r w:rsidRPr="004C69FF">
              <w:t>39</w:t>
            </w:r>
            <w:r>
              <w:t>.</w:t>
            </w:r>
            <w:r w:rsidRPr="004C69FF">
              <w:t>5</w:t>
            </w:r>
          </w:p>
        </w:tc>
        <w:tc>
          <w:tcPr>
            <w:tcW w:w="567" w:type="dxa"/>
            <w:shd w:val="clear" w:color="auto" w:fill="FFFFFF"/>
            <w:vAlign w:val="center"/>
          </w:tcPr>
          <w:p w14:paraId="028C9795" w14:textId="77777777" w:rsidR="00515E78" w:rsidRPr="006177C2" w:rsidRDefault="00515E78" w:rsidP="00864DF7">
            <w:pPr>
              <w:pStyle w:val="CETBodytext"/>
              <w:jc w:val="center"/>
              <w:rPr>
                <w:lang w:val="it-IT"/>
              </w:rPr>
            </w:pPr>
            <w:r w:rsidRPr="004C69FF">
              <w:t>39</w:t>
            </w:r>
            <w:r>
              <w:t>.</w:t>
            </w:r>
            <w:r w:rsidRPr="004C69FF">
              <w:t>8</w:t>
            </w:r>
          </w:p>
        </w:tc>
        <w:tc>
          <w:tcPr>
            <w:tcW w:w="1275" w:type="dxa"/>
            <w:shd w:val="clear" w:color="auto" w:fill="FFFFFF"/>
            <w:vAlign w:val="center"/>
          </w:tcPr>
          <w:p w14:paraId="669FEDA6" w14:textId="77777777" w:rsidR="00515E78" w:rsidRPr="004C69FF" w:rsidRDefault="00515E78" w:rsidP="00864DF7">
            <w:pPr>
              <w:pStyle w:val="CETBodytext"/>
              <w:jc w:val="center"/>
            </w:pPr>
            <w:r>
              <w:t>&gt;20</w:t>
            </w:r>
          </w:p>
        </w:tc>
        <w:tc>
          <w:tcPr>
            <w:tcW w:w="1418" w:type="dxa"/>
            <w:shd w:val="clear" w:color="auto" w:fill="FFFFFF"/>
            <w:vAlign w:val="center"/>
          </w:tcPr>
          <w:p w14:paraId="206CF4EB" w14:textId="77777777" w:rsidR="00515E78" w:rsidRDefault="00515E78" w:rsidP="00864DF7">
            <w:pPr>
              <w:pStyle w:val="CETBodytext"/>
              <w:jc w:val="center"/>
            </w:pPr>
            <w:r>
              <w:t>&gt;20</w:t>
            </w:r>
          </w:p>
        </w:tc>
        <w:tc>
          <w:tcPr>
            <w:tcW w:w="1134" w:type="dxa"/>
            <w:shd w:val="clear" w:color="auto" w:fill="FFFFFF"/>
            <w:vAlign w:val="center"/>
          </w:tcPr>
          <w:p w14:paraId="0EFC9AD7" w14:textId="77777777" w:rsidR="00515E78" w:rsidRDefault="00515E78" w:rsidP="00864DF7">
            <w:pPr>
              <w:pStyle w:val="CETBodytext"/>
              <w:jc w:val="center"/>
            </w:pPr>
            <w:r>
              <w:rPr>
                <w:rFonts w:cs="Arial"/>
              </w:rPr>
              <w:t>≥</w:t>
            </w:r>
            <w:r>
              <w:t>20**</w:t>
            </w:r>
          </w:p>
        </w:tc>
      </w:tr>
      <w:tr w:rsidR="00515E78" w:rsidRPr="00DB0BA1" w14:paraId="2DC17DD3" w14:textId="77777777" w:rsidTr="00864DF7">
        <w:tc>
          <w:tcPr>
            <w:tcW w:w="2552" w:type="dxa"/>
            <w:shd w:val="clear" w:color="auto" w:fill="FFFFFF"/>
            <w:vAlign w:val="center"/>
          </w:tcPr>
          <w:p w14:paraId="4C8018C2" w14:textId="77777777" w:rsidR="00515E78" w:rsidRDefault="00515E78" w:rsidP="00864DF7">
            <w:pPr>
              <w:pStyle w:val="CETBodytext"/>
              <w:jc w:val="left"/>
              <w:rPr>
                <w:lang w:val="it-IT"/>
              </w:rPr>
            </w:pPr>
            <w:r>
              <w:rPr>
                <w:lang w:val="it-IT"/>
              </w:rPr>
              <w:t xml:space="preserve">C </w:t>
            </w:r>
            <w:proofErr w:type="spellStart"/>
            <w:r>
              <w:rPr>
                <w:lang w:val="it-IT"/>
              </w:rPr>
              <w:t>inorg</w:t>
            </w:r>
            <w:proofErr w:type="spellEnd"/>
            <w:r>
              <w:rPr>
                <w:lang w:val="it-IT"/>
              </w:rPr>
              <w:t xml:space="preserve">. </w:t>
            </w:r>
            <w:r>
              <w:rPr>
                <w:lang w:val="en-GB"/>
              </w:rPr>
              <w:t>[wt.% d.b.]</w:t>
            </w:r>
          </w:p>
        </w:tc>
        <w:tc>
          <w:tcPr>
            <w:tcW w:w="567" w:type="dxa"/>
            <w:shd w:val="clear" w:color="auto" w:fill="FFFFFF"/>
            <w:vAlign w:val="center"/>
          </w:tcPr>
          <w:p w14:paraId="6942AE47" w14:textId="77777777" w:rsidR="00515E78" w:rsidRPr="00DB0BA1" w:rsidRDefault="00515E78" w:rsidP="00864DF7">
            <w:pPr>
              <w:pStyle w:val="CETBodytext"/>
              <w:jc w:val="center"/>
              <w:rPr>
                <w:lang w:val="it-IT"/>
              </w:rPr>
            </w:pPr>
            <w:r w:rsidRPr="004C69FF">
              <w:t>0</w:t>
            </w:r>
            <w:r>
              <w:t>.</w:t>
            </w:r>
            <w:r w:rsidRPr="004C69FF">
              <w:t>6</w:t>
            </w:r>
          </w:p>
        </w:tc>
        <w:tc>
          <w:tcPr>
            <w:tcW w:w="567" w:type="dxa"/>
            <w:shd w:val="clear" w:color="auto" w:fill="FFFFFF"/>
            <w:vAlign w:val="center"/>
          </w:tcPr>
          <w:p w14:paraId="3E24D7E6" w14:textId="77777777" w:rsidR="00515E78" w:rsidRPr="00DB0BA1" w:rsidRDefault="00515E78" w:rsidP="00864DF7">
            <w:pPr>
              <w:pStyle w:val="CETBodytext"/>
              <w:jc w:val="center"/>
              <w:rPr>
                <w:lang w:val="it-IT"/>
              </w:rPr>
            </w:pPr>
            <w:r w:rsidRPr="004C69FF">
              <w:t>0</w:t>
            </w:r>
            <w:r>
              <w:t>.</w:t>
            </w:r>
            <w:r w:rsidRPr="004C69FF">
              <w:t>7</w:t>
            </w:r>
          </w:p>
        </w:tc>
        <w:tc>
          <w:tcPr>
            <w:tcW w:w="709" w:type="dxa"/>
            <w:shd w:val="clear" w:color="auto" w:fill="FFFFFF"/>
            <w:vAlign w:val="center"/>
          </w:tcPr>
          <w:p w14:paraId="267B60EE" w14:textId="77777777" w:rsidR="00515E78" w:rsidRPr="006177C2" w:rsidRDefault="00515E78" w:rsidP="00864DF7">
            <w:pPr>
              <w:pStyle w:val="CETBodytext"/>
              <w:jc w:val="center"/>
              <w:rPr>
                <w:lang w:val="it-IT"/>
              </w:rPr>
            </w:pPr>
            <w:r w:rsidRPr="004C69FF">
              <w:t>0</w:t>
            </w:r>
            <w:r>
              <w:t>.</w:t>
            </w:r>
            <w:r w:rsidRPr="004C69FF">
              <w:t>7</w:t>
            </w:r>
          </w:p>
        </w:tc>
        <w:tc>
          <w:tcPr>
            <w:tcW w:w="567" w:type="dxa"/>
            <w:shd w:val="clear" w:color="auto" w:fill="FFFFFF"/>
            <w:vAlign w:val="center"/>
          </w:tcPr>
          <w:p w14:paraId="66426426" w14:textId="77777777" w:rsidR="00515E78" w:rsidRPr="006177C2" w:rsidRDefault="00515E78" w:rsidP="00864DF7">
            <w:pPr>
              <w:pStyle w:val="CETBodytext"/>
              <w:jc w:val="center"/>
              <w:rPr>
                <w:lang w:val="it-IT"/>
              </w:rPr>
            </w:pPr>
            <w:r w:rsidRPr="004C69FF">
              <w:t>1</w:t>
            </w:r>
            <w:r>
              <w:t>.</w:t>
            </w:r>
            <w:r w:rsidRPr="004C69FF">
              <w:t>0</w:t>
            </w:r>
          </w:p>
        </w:tc>
        <w:tc>
          <w:tcPr>
            <w:tcW w:w="1275" w:type="dxa"/>
            <w:shd w:val="clear" w:color="auto" w:fill="FFFFFF"/>
            <w:vAlign w:val="center"/>
          </w:tcPr>
          <w:p w14:paraId="1C08EFE8" w14:textId="77777777" w:rsidR="00515E78" w:rsidRPr="004C69FF" w:rsidRDefault="00515E78" w:rsidP="00864DF7">
            <w:pPr>
              <w:pStyle w:val="CETBodytext"/>
              <w:jc w:val="center"/>
            </w:pPr>
          </w:p>
        </w:tc>
        <w:tc>
          <w:tcPr>
            <w:tcW w:w="1418" w:type="dxa"/>
            <w:shd w:val="clear" w:color="auto" w:fill="FFFFFF"/>
            <w:vAlign w:val="center"/>
          </w:tcPr>
          <w:p w14:paraId="1DE8528D" w14:textId="77777777" w:rsidR="00515E78" w:rsidRPr="004C69FF" w:rsidRDefault="00515E78" w:rsidP="00864DF7">
            <w:pPr>
              <w:pStyle w:val="CETBodytext"/>
              <w:jc w:val="center"/>
            </w:pPr>
          </w:p>
        </w:tc>
        <w:tc>
          <w:tcPr>
            <w:tcW w:w="1134" w:type="dxa"/>
            <w:shd w:val="clear" w:color="auto" w:fill="FFFFFF"/>
            <w:vAlign w:val="center"/>
          </w:tcPr>
          <w:p w14:paraId="74B3B8B2" w14:textId="77777777" w:rsidR="00515E78" w:rsidRPr="004C69FF" w:rsidRDefault="00515E78" w:rsidP="00864DF7">
            <w:pPr>
              <w:pStyle w:val="CETBodytext"/>
              <w:jc w:val="center"/>
            </w:pPr>
          </w:p>
        </w:tc>
      </w:tr>
      <w:tr w:rsidR="00515E78" w:rsidRPr="00DB0BA1" w14:paraId="2431D62F" w14:textId="77777777" w:rsidTr="00864DF7">
        <w:tc>
          <w:tcPr>
            <w:tcW w:w="2552" w:type="dxa"/>
            <w:shd w:val="clear" w:color="auto" w:fill="FFFFFF"/>
            <w:vAlign w:val="center"/>
          </w:tcPr>
          <w:p w14:paraId="7304D68D" w14:textId="77777777" w:rsidR="00515E78" w:rsidRPr="00DB0BA1" w:rsidRDefault="00515E78" w:rsidP="00864DF7">
            <w:pPr>
              <w:pStyle w:val="CETBodytext"/>
              <w:jc w:val="left"/>
              <w:rPr>
                <w:lang w:val="it-IT"/>
              </w:rPr>
            </w:pPr>
            <w:r>
              <w:rPr>
                <w:lang w:val="it-IT"/>
              </w:rPr>
              <w:t xml:space="preserve">H </w:t>
            </w:r>
            <w:r>
              <w:rPr>
                <w:lang w:val="en-GB"/>
              </w:rPr>
              <w:t>[wt.% d.b.]</w:t>
            </w:r>
          </w:p>
        </w:tc>
        <w:tc>
          <w:tcPr>
            <w:tcW w:w="567" w:type="dxa"/>
            <w:shd w:val="clear" w:color="auto" w:fill="FFFFFF"/>
            <w:vAlign w:val="center"/>
          </w:tcPr>
          <w:p w14:paraId="1BA7C354" w14:textId="77777777" w:rsidR="00515E78" w:rsidRPr="00DB0BA1" w:rsidRDefault="00515E78" w:rsidP="00864DF7">
            <w:pPr>
              <w:pStyle w:val="CETBodytext"/>
              <w:jc w:val="center"/>
              <w:rPr>
                <w:lang w:val="it-IT"/>
              </w:rPr>
            </w:pPr>
            <w:r w:rsidRPr="004C69FF">
              <w:t>4</w:t>
            </w:r>
            <w:r>
              <w:t>.</w:t>
            </w:r>
            <w:r w:rsidRPr="004C69FF">
              <w:t>4</w:t>
            </w:r>
          </w:p>
        </w:tc>
        <w:tc>
          <w:tcPr>
            <w:tcW w:w="567" w:type="dxa"/>
            <w:shd w:val="clear" w:color="auto" w:fill="FFFFFF"/>
            <w:vAlign w:val="center"/>
          </w:tcPr>
          <w:p w14:paraId="0DFD3AC5" w14:textId="77777777" w:rsidR="00515E78" w:rsidRPr="00DB0BA1" w:rsidRDefault="00515E78" w:rsidP="00864DF7">
            <w:pPr>
              <w:pStyle w:val="CETBodytext"/>
              <w:jc w:val="center"/>
              <w:rPr>
                <w:lang w:val="it-IT"/>
              </w:rPr>
            </w:pPr>
            <w:r w:rsidRPr="004C69FF">
              <w:t>4</w:t>
            </w:r>
            <w:r>
              <w:t>.</w:t>
            </w:r>
            <w:r w:rsidRPr="004C69FF">
              <w:t>7</w:t>
            </w:r>
          </w:p>
        </w:tc>
        <w:tc>
          <w:tcPr>
            <w:tcW w:w="709" w:type="dxa"/>
            <w:shd w:val="clear" w:color="auto" w:fill="FFFFFF"/>
            <w:vAlign w:val="center"/>
          </w:tcPr>
          <w:p w14:paraId="46C45575" w14:textId="77777777" w:rsidR="00515E78" w:rsidRPr="006177C2" w:rsidRDefault="00515E78" w:rsidP="00864DF7">
            <w:pPr>
              <w:pStyle w:val="CETBodytext"/>
              <w:jc w:val="center"/>
              <w:rPr>
                <w:lang w:val="it-IT"/>
              </w:rPr>
            </w:pPr>
            <w:r w:rsidRPr="004C69FF">
              <w:t>4</w:t>
            </w:r>
            <w:r>
              <w:t>.</w:t>
            </w:r>
            <w:r w:rsidRPr="004C69FF">
              <w:t>4</w:t>
            </w:r>
          </w:p>
        </w:tc>
        <w:tc>
          <w:tcPr>
            <w:tcW w:w="567" w:type="dxa"/>
            <w:shd w:val="clear" w:color="auto" w:fill="FFFFFF"/>
            <w:vAlign w:val="center"/>
          </w:tcPr>
          <w:p w14:paraId="750F44B0" w14:textId="77777777" w:rsidR="00515E78" w:rsidRPr="006177C2" w:rsidRDefault="00515E78" w:rsidP="00864DF7">
            <w:pPr>
              <w:pStyle w:val="CETBodytext"/>
              <w:jc w:val="center"/>
              <w:rPr>
                <w:lang w:val="it-IT"/>
              </w:rPr>
            </w:pPr>
            <w:r w:rsidRPr="004C69FF">
              <w:t>4</w:t>
            </w:r>
            <w:r>
              <w:t>.</w:t>
            </w:r>
            <w:r w:rsidRPr="004C69FF">
              <w:t>5</w:t>
            </w:r>
          </w:p>
        </w:tc>
        <w:tc>
          <w:tcPr>
            <w:tcW w:w="1275" w:type="dxa"/>
            <w:shd w:val="clear" w:color="auto" w:fill="FFFFFF"/>
            <w:vAlign w:val="center"/>
          </w:tcPr>
          <w:p w14:paraId="65CB1650" w14:textId="77777777" w:rsidR="00515E78" w:rsidRPr="004C69FF" w:rsidRDefault="00515E78" w:rsidP="00864DF7">
            <w:pPr>
              <w:pStyle w:val="CETBodytext"/>
              <w:jc w:val="center"/>
            </w:pPr>
          </w:p>
        </w:tc>
        <w:tc>
          <w:tcPr>
            <w:tcW w:w="1418" w:type="dxa"/>
            <w:shd w:val="clear" w:color="auto" w:fill="FFFFFF"/>
            <w:vAlign w:val="center"/>
          </w:tcPr>
          <w:p w14:paraId="3B23D700" w14:textId="77777777" w:rsidR="00515E78" w:rsidRPr="004C69FF" w:rsidRDefault="00515E78" w:rsidP="00864DF7">
            <w:pPr>
              <w:pStyle w:val="CETBodytext"/>
              <w:jc w:val="center"/>
            </w:pPr>
          </w:p>
        </w:tc>
        <w:tc>
          <w:tcPr>
            <w:tcW w:w="1134" w:type="dxa"/>
            <w:shd w:val="clear" w:color="auto" w:fill="FFFFFF"/>
            <w:vAlign w:val="center"/>
          </w:tcPr>
          <w:p w14:paraId="68FBEFF7" w14:textId="77777777" w:rsidR="00515E78" w:rsidRPr="004C69FF" w:rsidRDefault="00515E78" w:rsidP="00864DF7">
            <w:pPr>
              <w:pStyle w:val="CETBodytext"/>
              <w:jc w:val="center"/>
            </w:pPr>
          </w:p>
        </w:tc>
      </w:tr>
      <w:tr w:rsidR="00515E78" w:rsidRPr="00DB0BA1" w14:paraId="2047B383" w14:textId="77777777" w:rsidTr="00864DF7">
        <w:tc>
          <w:tcPr>
            <w:tcW w:w="2552" w:type="dxa"/>
            <w:shd w:val="clear" w:color="auto" w:fill="FFFFFF"/>
            <w:vAlign w:val="center"/>
          </w:tcPr>
          <w:p w14:paraId="26F2A1CB" w14:textId="77777777" w:rsidR="00515E78" w:rsidRPr="00DB0BA1" w:rsidRDefault="00515E78" w:rsidP="00864DF7">
            <w:pPr>
              <w:pStyle w:val="CETBodytext"/>
              <w:jc w:val="left"/>
              <w:rPr>
                <w:lang w:val="it-IT"/>
              </w:rPr>
            </w:pPr>
            <w:r>
              <w:rPr>
                <w:lang w:val="it-IT"/>
              </w:rPr>
              <w:t xml:space="preserve">N </w:t>
            </w:r>
            <w:r>
              <w:rPr>
                <w:lang w:val="en-GB"/>
              </w:rPr>
              <w:t>[wt.% d.b.]</w:t>
            </w:r>
          </w:p>
        </w:tc>
        <w:tc>
          <w:tcPr>
            <w:tcW w:w="567" w:type="dxa"/>
            <w:shd w:val="clear" w:color="auto" w:fill="FFFFFF"/>
            <w:vAlign w:val="center"/>
          </w:tcPr>
          <w:p w14:paraId="45359E9F" w14:textId="77777777" w:rsidR="00515E78" w:rsidRPr="00DB0BA1" w:rsidRDefault="00515E78" w:rsidP="00864DF7">
            <w:pPr>
              <w:pStyle w:val="CETBodytext"/>
              <w:jc w:val="center"/>
              <w:rPr>
                <w:lang w:val="it-IT"/>
              </w:rPr>
            </w:pPr>
            <w:r w:rsidRPr="004C69FF">
              <w:t>2</w:t>
            </w:r>
            <w:r>
              <w:t>.</w:t>
            </w:r>
            <w:r w:rsidRPr="004C69FF">
              <w:t>0</w:t>
            </w:r>
          </w:p>
        </w:tc>
        <w:tc>
          <w:tcPr>
            <w:tcW w:w="567" w:type="dxa"/>
            <w:shd w:val="clear" w:color="auto" w:fill="FFFFFF"/>
            <w:vAlign w:val="center"/>
          </w:tcPr>
          <w:p w14:paraId="3513043E" w14:textId="77777777" w:rsidR="00515E78" w:rsidRPr="00DB0BA1" w:rsidRDefault="00515E78" w:rsidP="00864DF7">
            <w:pPr>
              <w:pStyle w:val="CETBodytext"/>
              <w:jc w:val="center"/>
              <w:rPr>
                <w:lang w:val="it-IT"/>
              </w:rPr>
            </w:pPr>
            <w:r w:rsidRPr="004C69FF">
              <w:t>2</w:t>
            </w:r>
            <w:r>
              <w:t>.</w:t>
            </w:r>
            <w:r w:rsidRPr="004C69FF">
              <w:t>1</w:t>
            </w:r>
          </w:p>
        </w:tc>
        <w:tc>
          <w:tcPr>
            <w:tcW w:w="709" w:type="dxa"/>
            <w:shd w:val="clear" w:color="auto" w:fill="FFFFFF"/>
            <w:vAlign w:val="center"/>
          </w:tcPr>
          <w:p w14:paraId="35968721" w14:textId="77777777" w:rsidR="00515E78" w:rsidRPr="006177C2" w:rsidRDefault="00515E78" w:rsidP="00864DF7">
            <w:pPr>
              <w:pStyle w:val="CETBodytext"/>
              <w:jc w:val="center"/>
              <w:rPr>
                <w:lang w:val="it-IT"/>
              </w:rPr>
            </w:pPr>
            <w:r w:rsidRPr="004C69FF">
              <w:t>1</w:t>
            </w:r>
            <w:r>
              <w:t>.</w:t>
            </w:r>
            <w:r w:rsidRPr="004C69FF">
              <w:t>8</w:t>
            </w:r>
          </w:p>
        </w:tc>
        <w:tc>
          <w:tcPr>
            <w:tcW w:w="567" w:type="dxa"/>
            <w:shd w:val="clear" w:color="auto" w:fill="FFFFFF"/>
            <w:vAlign w:val="center"/>
          </w:tcPr>
          <w:p w14:paraId="6ACAD733" w14:textId="77777777" w:rsidR="00515E78" w:rsidRPr="006177C2" w:rsidRDefault="00515E78" w:rsidP="00864DF7">
            <w:pPr>
              <w:pStyle w:val="CETBodytext"/>
              <w:jc w:val="center"/>
              <w:rPr>
                <w:lang w:val="it-IT"/>
              </w:rPr>
            </w:pPr>
            <w:r w:rsidRPr="004C69FF">
              <w:t>1</w:t>
            </w:r>
            <w:r>
              <w:t>.</w:t>
            </w:r>
            <w:r w:rsidRPr="004C69FF">
              <w:t>8</w:t>
            </w:r>
          </w:p>
        </w:tc>
        <w:tc>
          <w:tcPr>
            <w:tcW w:w="1275" w:type="dxa"/>
            <w:shd w:val="clear" w:color="auto" w:fill="FFFFFF"/>
            <w:vAlign w:val="center"/>
          </w:tcPr>
          <w:p w14:paraId="02AEB40B" w14:textId="77777777" w:rsidR="00515E78" w:rsidRPr="004C69FF" w:rsidRDefault="00515E78" w:rsidP="00864DF7">
            <w:pPr>
              <w:pStyle w:val="CETBodytext"/>
              <w:jc w:val="center"/>
            </w:pPr>
          </w:p>
        </w:tc>
        <w:tc>
          <w:tcPr>
            <w:tcW w:w="1418" w:type="dxa"/>
            <w:shd w:val="clear" w:color="auto" w:fill="FFFFFF"/>
            <w:vAlign w:val="center"/>
          </w:tcPr>
          <w:p w14:paraId="033DCEDC" w14:textId="77777777" w:rsidR="00515E78" w:rsidRPr="00572F9C" w:rsidRDefault="00515E78" w:rsidP="00864DF7">
            <w:pPr>
              <w:pStyle w:val="CETBodytext"/>
              <w:jc w:val="center"/>
              <w:rPr>
                <w:vertAlign w:val="subscript"/>
              </w:rPr>
            </w:pPr>
          </w:p>
        </w:tc>
        <w:tc>
          <w:tcPr>
            <w:tcW w:w="1134" w:type="dxa"/>
            <w:shd w:val="clear" w:color="auto" w:fill="FFFFFF"/>
            <w:vAlign w:val="center"/>
          </w:tcPr>
          <w:p w14:paraId="75357EA0" w14:textId="77777777" w:rsidR="00515E78" w:rsidDel="00E00E45" w:rsidRDefault="00515E78" w:rsidP="00864DF7">
            <w:pPr>
              <w:pStyle w:val="CETBodytext"/>
              <w:jc w:val="center"/>
            </w:pPr>
          </w:p>
        </w:tc>
      </w:tr>
      <w:tr w:rsidR="00515E78" w:rsidRPr="00DB0BA1" w14:paraId="0637AC96" w14:textId="77777777" w:rsidTr="00864DF7">
        <w:tc>
          <w:tcPr>
            <w:tcW w:w="2552" w:type="dxa"/>
            <w:shd w:val="clear" w:color="auto" w:fill="FFFFFF"/>
            <w:vAlign w:val="center"/>
          </w:tcPr>
          <w:p w14:paraId="79BE7071" w14:textId="77777777" w:rsidR="00515E78" w:rsidRPr="00DB0BA1" w:rsidRDefault="00515E78" w:rsidP="00864DF7">
            <w:pPr>
              <w:pStyle w:val="CETBodytext"/>
              <w:jc w:val="left"/>
              <w:rPr>
                <w:lang w:val="it-IT"/>
              </w:rPr>
            </w:pPr>
            <w:r>
              <w:rPr>
                <w:lang w:val="it-IT"/>
              </w:rPr>
              <w:t xml:space="preserve">S </w:t>
            </w:r>
            <w:r>
              <w:rPr>
                <w:lang w:val="en-GB"/>
              </w:rPr>
              <w:t>[wt.% d.b.]</w:t>
            </w:r>
          </w:p>
        </w:tc>
        <w:tc>
          <w:tcPr>
            <w:tcW w:w="567" w:type="dxa"/>
            <w:shd w:val="clear" w:color="auto" w:fill="FFFFFF"/>
            <w:vAlign w:val="center"/>
          </w:tcPr>
          <w:p w14:paraId="19ECA6AC" w14:textId="77777777" w:rsidR="00515E78" w:rsidRPr="00DB0BA1" w:rsidRDefault="00515E78" w:rsidP="00864DF7">
            <w:pPr>
              <w:pStyle w:val="CETBodytext"/>
              <w:jc w:val="center"/>
              <w:rPr>
                <w:lang w:val="it-IT"/>
              </w:rPr>
            </w:pPr>
            <w:r w:rsidRPr="004C69FF">
              <w:t>1</w:t>
            </w:r>
            <w:r>
              <w:t>.</w:t>
            </w:r>
            <w:r w:rsidRPr="004C69FF">
              <w:t>9</w:t>
            </w:r>
          </w:p>
        </w:tc>
        <w:tc>
          <w:tcPr>
            <w:tcW w:w="567" w:type="dxa"/>
            <w:shd w:val="clear" w:color="auto" w:fill="FFFFFF"/>
            <w:vAlign w:val="center"/>
          </w:tcPr>
          <w:p w14:paraId="26C2E5A2" w14:textId="77777777" w:rsidR="00515E78" w:rsidRPr="00DB0BA1" w:rsidRDefault="00515E78" w:rsidP="00864DF7">
            <w:pPr>
              <w:pStyle w:val="CETBodytext"/>
              <w:jc w:val="center"/>
              <w:rPr>
                <w:lang w:val="it-IT"/>
              </w:rPr>
            </w:pPr>
            <w:r w:rsidRPr="004C69FF">
              <w:t>1</w:t>
            </w:r>
            <w:r>
              <w:t>.</w:t>
            </w:r>
            <w:r w:rsidRPr="004C69FF">
              <w:t>6</w:t>
            </w:r>
          </w:p>
        </w:tc>
        <w:tc>
          <w:tcPr>
            <w:tcW w:w="709" w:type="dxa"/>
            <w:shd w:val="clear" w:color="auto" w:fill="FFFFFF"/>
            <w:vAlign w:val="center"/>
          </w:tcPr>
          <w:p w14:paraId="1DF046D4" w14:textId="77777777" w:rsidR="00515E78" w:rsidRDefault="00515E78" w:rsidP="00864DF7">
            <w:pPr>
              <w:pStyle w:val="CETBodytext"/>
              <w:jc w:val="center"/>
              <w:rPr>
                <w:lang w:val="it-IT"/>
              </w:rPr>
            </w:pPr>
            <w:r w:rsidRPr="004C69FF">
              <w:t>1</w:t>
            </w:r>
            <w:r>
              <w:t>.</w:t>
            </w:r>
            <w:r w:rsidRPr="004C69FF">
              <w:t>9</w:t>
            </w:r>
          </w:p>
        </w:tc>
        <w:tc>
          <w:tcPr>
            <w:tcW w:w="567" w:type="dxa"/>
            <w:shd w:val="clear" w:color="auto" w:fill="FFFFFF"/>
            <w:vAlign w:val="center"/>
          </w:tcPr>
          <w:p w14:paraId="25D9F7BA" w14:textId="77777777" w:rsidR="00515E78" w:rsidRDefault="00515E78" w:rsidP="00864DF7">
            <w:pPr>
              <w:pStyle w:val="CETBodytext"/>
              <w:jc w:val="center"/>
              <w:rPr>
                <w:lang w:val="it-IT"/>
              </w:rPr>
            </w:pPr>
            <w:r w:rsidRPr="004C69FF">
              <w:t>2</w:t>
            </w:r>
            <w:r>
              <w:t>.</w:t>
            </w:r>
            <w:r w:rsidRPr="004C69FF">
              <w:t>1</w:t>
            </w:r>
          </w:p>
        </w:tc>
        <w:tc>
          <w:tcPr>
            <w:tcW w:w="1275" w:type="dxa"/>
            <w:shd w:val="clear" w:color="auto" w:fill="FFFFFF"/>
            <w:vAlign w:val="center"/>
          </w:tcPr>
          <w:p w14:paraId="360163B4" w14:textId="77777777" w:rsidR="00515E78" w:rsidRPr="004C69FF" w:rsidRDefault="00515E78" w:rsidP="00864DF7">
            <w:pPr>
              <w:pStyle w:val="CETBodytext"/>
              <w:jc w:val="center"/>
            </w:pPr>
          </w:p>
        </w:tc>
        <w:tc>
          <w:tcPr>
            <w:tcW w:w="1418" w:type="dxa"/>
            <w:shd w:val="clear" w:color="auto" w:fill="FFFFFF"/>
            <w:vAlign w:val="center"/>
          </w:tcPr>
          <w:p w14:paraId="6E5AAEA7" w14:textId="77777777" w:rsidR="00515E78" w:rsidRPr="004C69FF" w:rsidRDefault="00515E78" w:rsidP="00864DF7">
            <w:pPr>
              <w:pStyle w:val="CETBodytext"/>
              <w:jc w:val="center"/>
            </w:pPr>
          </w:p>
        </w:tc>
        <w:tc>
          <w:tcPr>
            <w:tcW w:w="1134" w:type="dxa"/>
            <w:shd w:val="clear" w:color="auto" w:fill="FFFFFF"/>
            <w:vAlign w:val="center"/>
          </w:tcPr>
          <w:p w14:paraId="27EB3AB3" w14:textId="77777777" w:rsidR="00515E78" w:rsidRPr="004C69FF" w:rsidRDefault="00515E78" w:rsidP="00864DF7">
            <w:pPr>
              <w:pStyle w:val="CETBodytext"/>
              <w:jc w:val="center"/>
            </w:pPr>
          </w:p>
        </w:tc>
      </w:tr>
      <w:tr w:rsidR="00515E78" w:rsidRPr="00B57B36" w14:paraId="6164098F" w14:textId="77777777" w:rsidTr="00864DF7">
        <w:tc>
          <w:tcPr>
            <w:tcW w:w="2552" w:type="dxa"/>
            <w:shd w:val="clear" w:color="auto" w:fill="FFFFFF"/>
            <w:vAlign w:val="center"/>
          </w:tcPr>
          <w:p w14:paraId="20E4BBE1" w14:textId="77777777" w:rsidR="00515E78" w:rsidRDefault="00515E78" w:rsidP="00864DF7">
            <w:pPr>
              <w:pStyle w:val="CETBodytext"/>
              <w:ind w:right="-1"/>
              <w:jc w:val="left"/>
              <w:rPr>
                <w:rFonts w:cs="Arial"/>
                <w:szCs w:val="18"/>
                <w:lang w:val="en-GB"/>
              </w:rPr>
            </w:pPr>
            <w:r>
              <w:rPr>
                <w:rFonts w:cs="Arial"/>
                <w:szCs w:val="18"/>
                <w:lang w:val="en-GB"/>
              </w:rPr>
              <w:t xml:space="preserve">O </w:t>
            </w:r>
            <w:r>
              <w:rPr>
                <w:lang w:val="en-GB"/>
              </w:rPr>
              <w:t>[wt.% d.b.]</w:t>
            </w:r>
          </w:p>
        </w:tc>
        <w:tc>
          <w:tcPr>
            <w:tcW w:w="567" w:type="dxa"/>
            <w:shd w:val="clear" w:color="auto" w:fill="FFFFFF"/>
            <w:vAlign w:val="center"/>
          </w:tcPr>
          <w:p w14:paraId="020861DC" w14:textId="77777777" w:rsidR="00515E78" w:rsidRPr="006177C2" w:rsidRDefault="00515E78" w:rsidP="00864DF7">
            <w:pPr>
              <w:pStyle w:val="CETBodytext"/>
              <w:jc w:val="center"/>
              <w:rPr>
                <w:lang w:val="it-IT"/>
              </w:rPr>
            </w:pPr>
            <w:r w:rsidRPr="004C69FF">
              <w:t>29</w:t>
            </w:r>
            <w:r>
              <w:t>.</w:t>
            </w:r>
            <w:r w:rsidRPr="004C69FF">
              <w:t>6</w:t>
            </w:r>
          </w:p>
        </w:tc>
        <w:tc>
          <w:tcPr>
            <w:tcW w:w="567" w:type="dxa"/>
            <w:shd w:val="clear" w:color="auto" w:fill="FFFFFF"/>
            <w:vAlign w:val="center"/>
          </w:tcPr>
          <w:p w14:paraId="169EF477" w14:textId="77777777" w:rsidR="00515E78" w:rsidRPr="006177C2" w:rsidRDefault="00515E78" w:rsidP="00864DF7">
            <w:pPr>
              <w:pStyle w:val="CETBodytext"/>
              <w:jc w:val="center"/>
              <w:rPr>
                <w:lang w:val="it-IT"/>
              </w:rPr>
            </w:pPr>
            <w:r w:rsidRPr="004C69FF">
              <w:t>27</w:t>
            </w:r>
            <w:r>
              <w:t>.</w:t>
            </w:r>
            <w:r w:rsidRPr="004C69FF">
              <w:t>6</w:t>
            </w:r>
          </w:p>
        </w:tc>
        <w:tc>
          <w:tcPr>
            <w:tcW w:w="709" w:type="dxa"/>
            <w:shd w:val="clear" w:color="auto" w:fill="FFFFFF"/>
            <w:vAlign w:val="center"/>
          </w:tcPr>
          <w:p w14:paraId="6B152DE8" w14:textId="77777777" w:rsidR="00515E78" w:rsidRPr="006177C2" w:rsidRDefault="00515E78" w:rsidP="00864DF7">
            <w:pPr>
              <w:pStyle w:val="CETBodytext"/>
              <w:jc w:val="center"/>
              <w:rPr>
                <w:lang w:val="it-IT"/>
              </w:rPr>
            </w:pPr>
            <w:r w:rsidRPr="004C69FF">
              <w:t>25</w:t>
            </w:r>
            <w:r>
              <w:t>.</w:t>
            </w:r>
            <w:r w:rsidRPr="004C69FF">
              <w:t>7</w:t>
            </w:r>
          </w:p>
        </w:tc>
        <w:tc>
          <w:tcPr>
            <w:tcW w:w="567" w:type="dxa"/>
            <w:shd w:val="clear" w:color="auto" w:fill="FFFFFF"/>
            <w:vAlign w:val="center"/>
          </w:tcPr>
          <w:p w14:paraId="268F025D" w14:textId="77777777" w:rsidR="00515E78" w:rsidRPr="006177C2" w:rsidRDefault="00515E78" w:rsidP="00864DF7">
            <w:pPr>
              <w:pStyle w:val="CETBodytext"/>
              <w:jc w:val="center"/>
              <w:rPr>
                <w:lang w:val="it-IT"/>
              </w:rPr>
            </w:pPr>
            <w:r w:rsidRPr="004C69FF">
              <w:t>22</w:t>
            </w:r>
            <w:r>
              <w:t>.</w:t>
            </w:r>
            <w:r w:rsidRPr="004C69FF">
              <w:t>6</w:t>
            </w:r>
          </w:p>
        </w:tc>
        <w:tc>
          <w:tcPr>
            <w:tcW w:w="1275" w:type="dxa"/>
            <w:shd w:val="clear" w:color="auto" w:fill="FFFFFF"/>
            <w:vAlign w:val="center"/>
          </w:tcPr>
          <w:p w14:paraId="575A5E9C" w14:textId="77777777" w:rsidR="00515E78" w:rsidRPr="004C69FF" w:rsidRDefault="00515E78" w:rsidP="00864DF7">
            <w:pPr>
              <w:pStyle w:val="CETBodytext"/>
              <w:jc w:val="center"/>
            </w:pPr>
          </w:p>
        </w:tc>
        <w:tc>
          <w:tcPr>
            <w:tcW w:w="1418" w:type="dxa"/>
            <w:shd w:val="clear" w:color="auto" w:fill="FFFFFF"/>
            <w:vAlign w:val="center"/>
          </w:tcPr>
          <w:p w14:paraId="40EC62AF" w14:textId="77777777" w:rsidR="00515E78" w:rsidRPr="004C69FF" w:rsidRDefault="00515E78" w:rsidP="00864DF7">
            <w:pPr>
              <w:pStyle w:val="CETBodytext"/>
              <w:jc w:val="center"/>
            </w:pPr>
          </w:p>
        </w:tc>
        <w:tc>
          <w:tcPr>
            <w:tcW w:w="1134" w:type="dxa"/>
            <w:shd w:val="clear" w:color="auto" w:fill="FFFFFF"/>
            <w:vAlign w:val="center"/>
          </w:tcPr>
          <w:p w14:paraId="4792AF83" w14:textId="77777777" w:rsidR="00515E78" w:rsidRPr="004C69FF" w:rsidRDefault="00515E78" w:rsidP="00864DF7">
            <w:pPr>
              <w:pStyle w:val="CETBodytext"/>
              <w:jc w:val="center"/>
            </w:pPr>
          </w:p>
        </w:tc>
      </w:tr>
      <w:tr w:rsidR="00515E78" w:rsidRPr="00B57B36" w14:paraId="78F5C5A2" w14:textId="77777777" w:rsidTr="00864DF7">
        <w:tc>
          <w:tcPr>
            <w:tcW w:w="2552" w:type="dxa"/>
            <w:shd w:val="clear" w:color="auto" w:fill="FFFFFF"/>
          </w:tcPr>
          <w:p w14:paraId="55CF8C0A" w14:textId="77777777" w:rsidR="00515E78" w:rsidRPr="00E4314C" w:rsidRDefault="00515E78" w:rsidP="00864DF7">
            <w:pPr>
              <w:pStyle w:val="CETBodytext"/>
              <w:ind w:right="-1"/>
              <w:rPr>
                <w:rFonts w:cs="Arial"/>
                <w:szCs w:val="18"/>
                <w:lang w:val="en-GB"/>
              </w:rPr>
            </w:pPr>
            <w:r>
              <w:rPr>
                <w:rFonts w:cs="Arial"/>
                <w:szCs w:val="18"/>
                <w:lang w:val="en-GB"/>
              </w:rPr>
              <w:t>H/C</w:t>
            </w:r>
            <w:r>
              <w:rPr>
                <w:rFonts w:cs="Arial"/>
                <w:szCs w:val="18"/>
                <w:vertAlign w:val="subscript"/>
                <w:lang w:val="en-GB"/>
              </w:rPr>
              <w:t xml:space="preserve">org </w:t>
            </w:r>
          </w:p>
        </w:tc>
        <w:tc>
          <w:tcPr>
            <w:tcW w:w="567" w:type="dxa"/>
            <w:shd w:val="clear" w:color="auto" w:fill="FFFFFF"/>
          </w:tcPr>
          <w:p w14:paraId="163C345A" w14:textId="77777777" w:rsidR="00515E78" w:rsidRPr="004C69FF" w:rsidRDefault="00515E78" w:rsidP="00864DF7">
            <w:pPr>
              <w:pStyle w:val="CETBodytext"/>
              <w:jc w:val="center"/>
            </w:pPr>
            <w:r w:rsidRPr="00BC51EA">
              <w:t>1.39</w:t>
            </w:r>
          </w:p>
        </w:tc>
        <w:tc>
          <w:tcPr>
            <w:tcW w:w="567" w:type="dxa"/>
            <w:shd w:val="clear" w:color="auto" w:fill="FFFFFF"/>
          </w:tcPr>
          <w:p w14:paraId="1EB11692" w14:textId="77777777" w:rsidR="00515E78" w:rsidRPr="004C69FF" w:rsidRDefault="00515E78" w:rsidP="00864DF7">
            <w:pPr>
              <w:pStyle w:val="CETBodytext"/>
              <w:jc w:val="center"/>
            </w:pPr>
            <w:r w:rsidRPr="00BC51EA">
              <w:t>1.37</w:t>
            </w:r>
          </w:p>
        </w:tc>
        <w:tc>
          <w:tcPr>
            <w:tcW w:w="709" w:type="dxa"/>
            <w:shd w:val="clear" w:color="auto" w:fill="FFFFFF"/>
          </w:tcPr>
          <w:p w14:paraId="0ABBA985" w14:textId="77777777" w:rsidR="00515E78" w:rsidRPr="004C69FF" w:rsidRDefault="00515E78" w:rsidP="00864DF7">
            <w:pPr>
              <w:pStyle w:val="CETBodytext"/>
              <w:jc w:val="center"/>
            </w:pPr>
            <w:r w:rsidRPr="00BC51EA">
              <w:t>1.35</w:t>
            </w:r>
          </w:p>
        </w:tc>
        <w:tc>
          <w:tcPr>
            <w:tcW w:w="567" w:type="dxa"/>
            <w:shd w:val="clear" w:color="auto" w:fill="FFFFFF"/>
          </w:tcPr>
          <w:p w14:paraId="5C631BEC" w14:textId="77777777" w:rsidR="00515E78" w:rsidRPr="004C69FF" w:rsidRDefault="00515E78" w:rsidP="00864DF7">
            <w:pPr>
              <w:pStyle w:val="CETBodytext"/>
              <w:jc w:val="center"/>
            </w:pPr>
            <w:r w:rsidRPr="00BC51EA">
              <w:t>1.37</w:t>
            </w:r>
          </w:p>
        </w:tc>
        <w:tc>
          <w:tcPr>
            <w:tcW w:w="1275" w:type="dxa"/>
            <w:shd w:val="clear" w:color="auto" w:fill="FFFFFF"/>
          </w:tcPr>
          <w:p w14:paraId="613306F2" w14:textId="77777777" w:rsidR="00515E78" w:rsidRPr="00BC51EA" w:rsidRDefault="00515E78" w:rsidP="00864DF7">
            <w:pPr>
              <w:pStyle w:val="CETBodytext"/>
              <w:jc w:val="center"/>
            </w:pPr>
          </w:p>
        </w:tc>
        <w:tc>
          <w:tcPr>
            <w:tcW w:w="1418" w:type="dxa"/>
            <w:shd w:val="clear" w:color="auto" w:fill="FFFFFF"/>
          </w:tcPr>
          <w:p w14:paraId="7D9E666D" w14:textId="77777777" w:rsidR="00515E78" w:rsidRPr="00BC51EA" w:rsidRDefault="00515E78" w:rsidP="00864DF7">
            <w:pPr>
              <w:pStyle w:val="CETBodytext"/>
              <w:jc w:val="center"/>
            </w:pPr>
          </w:p>
        </w:tc>
        <w:tc>
          <w:tcPr>
            <w:tcW w:w="1134" w:type="dxa"/>
            <w:shd w:val="clear" w:color="auto" w:fill="FFFFFF"/>
          </w:tcPr>
          <w:p w14:paraId="40CC4EBF" w14:textId="77777777" w:rsidR="00515E78" w:rsidRPr="00BC51EA" w:rsidRDefault="00515E78" w:rsidP="00864DF7">
            <w:pPr>
              <w:pStyle w:val="CETBodytext"/>
              <w:jc w:val="center"/>
            </w:pPr>
            <w:r>
              <w:rPr>
                <w:rFonts w:cs="Arial"/>
              </w:rPr>
              <w:t>≤0.7</w:t>
            </w:r>
          </w:p>
        </w:tc>
      </w:tr>
      <w:tr w:rsidR="00515E78" w:rsidRPr="00B57B36" w14:paraId="166610FE" w14:textId="77777777" w:rsidTr="00864DF7">
        <w:tc>
          <w:tcPr>
            <w:tcW w:w="2552" w:type="dxa"/>
            <w:shd w:val="clear" w:color="auto" w:fill="FFFFFF"/>
          </w:tcPr>
          <w:p w14:paraId="07ABC64D" w14:textId="77777777" w:rsidR="00515E78" w:rsidRPr="00572F9C" w:rsidRDefault="00515E78" w:rsidP="00864DF7">
            <w:pPr>
              <w:pStyle w:val="CETBodytext"/>
              <w:ind w:right="-1"/>
              <w:rPr>
                <w:rFonts w:cs="Arial"/>
                <w:szCs w:val="18"/>
                <w:vertAlign w:val="subscript"/>
                <w:lang w:val="en-GB"/>
              </w:rPr>
            </w:pPr>
            <w:r>
              <w:rPr>
                <w:rFonts w:cs="Arial"/>
                <w:szCs w:val="18"/>
                <w:lang w:val="en-GB"/>
              </w:rPr>
              <w:t>O/C</w:t>
            </w:r>
            <w:r>
              <w:rPr>
                <w:rFonts w:cs="Arial"/>
                <w:szCs w:val="18"/>
                <w:vertAlign w:val="subscript"/>
                <w:lang w:val="en-GB"/>
              </w:rPr>
              <w:t>org</w:t>
            </w:r>
          </w:p>
        </w:tc>
        <w:tc>
          <w:tcPr>
            <w:tcW w:w="567" w:type="dxa"/>
            <w:shd w:val="clear" w:color="auto" w:fill="FFFFFF"/>
          </w:tcPr>
          <w:p w14:paraId="63E3218E" w14:textId="77777777" w:rsidR="00515E78" w:rsidRPr="004C69FF" w:rsidRDefault="00515E78" w:rsidP="00864DF7">
            <w:pPr>
              <w:pStyle w:val="CETBodytext"/>
              <w:jc w:val="center"/>
            </w:pPr>
            <w:r w:rsidRPr="004F4172">
              <w:t>0.58</w:t>
            </w:r>
          </w:p>
        </w:tc>
        <w:tc>
          <w:tcPr>
            <w:tcW w:w="567" w:type="dxa"/>
            <w:shd w:val="clear" w:color="auto" w:fill="FFFFFF"/>
          </w:tcPr>
          <w:p w14:paraId="1B8B3D86" w14:textId="77777777" w:rsidR="00515E78" w:rsidRPr="004C69FF" w:rsidRDefault="00515E78" w:rsidP="00864DF7">
            <w:pPr>
              <w:pStyle w:val="CETBodytext"/>
              <w:jc w:val="center"/>
            </w:pPr>
            <w:r w:rsidRPr="004F4172">
              <w:t>0.50</w:t>
            </w:r>
          </w:p>
        </w:tc>
        <w:tc>
          <w:tcPr>
            <w:tcW w:w="709" w:type="dxa"/>
            <w:shd w:val="clear" w:color="auto" w:fill="FFFFFF"/>
          </w:tcPr>
          <w:p w14:paraId="47C3F799" w14:textId="77777777" w:rsidR="00515E78" w:rsidRPr="004C69FF" w:rsidRDefault="00515E78" w:rsidP="00864DF7">
            <w:pPr>
              <w:pStyle w:val="CETBodytext"/>
              <w:jc w:val="center"/>
            </w:pPr>
            <w:r w:rsidRPr="004F4172">
              <w:t>0.49</w:t>
            </w:r>
          </w:p>
        </w:tc>
        <w:tc>
          <w:tcPr>
            <w:tcW w:w="567" w:type="dxa"/>
            <w:shd w:val="clear" w:color="auto" w:fill="FFFFFF"/>
          </w:tcPr>
          <w:p w14:paraId="43FE9215" w14:textId="77777777" w:rsidR="00515E78" w:rsidRPr="004C69FF" w:rsidRDefault="00515E78" w:rsidP="00864DF7">
            <w:pPr>
              <w:pStyle w:val="CETBodytext"/>
              <w:jc w:val="center"/>
            </w:pPr>
            <w:r w:rsidRPr="004F4172">
              <w:t>0.43</w:t>
            </w:r>
          </w:p>
        </w:tc>
        <w:tc>
          <w:tcPr>
            <w:tcW w:w="1275" w:type="dxa"/>
            <w:shd w:val="clear" w:color="auto" w:fill="FFFFFF"/>
          </w:tcPr>
          <w:p w14:paraId="1836FFE1" w14:textId="77777777" w:rsidR="00515E78" w:rsidRPr="004F4172" w:rsidRDefault="00515E78" w:rsidP="00864DF7">
            <w:pPr>
              <w:pStyle w:val="CETBodytext"/>
              <w:jc w:val="center"/>
            </w:pPr>
          </w:p>
        </w:tc>
        <w:tc>
          <w:tcPr>
            <w:tcW w:w="1418" w:type="dxa"/>
            <w:shd w:val="clear" w:color="auto" w:fill="FFFFFF"/>
          </w:tcPr>
          <w:p w14:paraId="110322D3" w14:textId="77777777" w:rsidR="00515E78" w:rsidRPr="004F4172" w:rsidRDefault="00515E78" w:rsidP="00864DF7">
            <w:pPr>
              <w:pStyle w:val="CETBodytext"/>
              <w:jc w:val="center"/>
            </w:pPr>
          </w:p>
        </w:tc>
        <w:tc>
          <w:tcPr>
            <w:tcW w:w="1134" w:type="dxa"/>
            <w:shd w:val="clear" w:color="auto" w:fill="FFFFFF"/>
          </w:tcPr>
          <w:p w14:paraId="405BA217" w14:textId="77777777" w:rsidR="00515E78" w:rsidRPr="004F4172" w:rsidRDefault="00515E78" w:rsidP="00864DF7">
            <w:pPr>
              <w:pStyle w:val="CETBodytext"/>
              <w:jc w:val="center"/>
            </w:pPr>
          </w:p>
        </w:tc>
      </w:tr>
      <w:tr w:rsidR="00515E78" w:rsidRPr="00B57B36" w14:paraId="0C5A806C" w14:textId="77777777" w:rsidTr="00864DF7">
        <w:tc>
          <w:tcPr>
            <w:tcW w:w="2552" w:type="dxa"/>
            <w:shd w:val="clear" w:color="auto" w:fill="FFFFFF"/>
          </w:tcPr>
          <w:p w14:paraId="64A6A26F" w14:textId="77777777" w:rsidR="00515E78" w:rsidRDefault="00515E78" w:rsidP="00864DF7">
            <w:pPr>
              <w:pStyle w:val="CETBodytext"/>
              <w:ind w:right="-1"/>
              <w:rPr>
                <w:rFonts w:cs="Arial"/>
                <w:szCs w:val="18"/>
                <w:lang w:val="en-GB"/>
              </w:rPr>
            </w:pPr>
            <w:r>
              <w:rPr>
                <w:rFonts w:cs="Arial"/>
                <w:szCs w:val="18"/>
                <w:lang w:val="en-GB"/>
              </w:rPr>
              <w:t>C/N</w:t>
            </w:r>
          </w:p>
        </w:tc>
        <w:tc>
          <w:tcPr>
            <w:tcW w:w="567" w:type="dxa"/>
            <w:shd w:val="clear" w:color="auto" w:fill="FFFFFF"/>
          </w:tcPr>
          <w:p w14:paraId="67B26512" w14:textId="77777777" w:rsidR="00515E78" w:rsidRPr="004F4172" w:rsidRDefault="00515E78" w:rsidP="00864DF7">
            <w:pPr>
              <w:pStyle w:val="CETBodytext"/>
              <w:jc w:val="center"/>
            </w:pPr>
            <w:r w:rsidRPr="00265658">
              <w:t>19.5</w:t>
            </w:r>
          </w:p>
        </w:tc>
        <w:tc>
          <w:tcPr>
            <w:tcW w:w="567" w:type="dxa"/>
            <w:shd w:val="clear" w:color="auto" w:fill="FFFFFF"/>
          </w:tcPr>
          <w:p w14:paraId="41DC6132" w14:textId="77777777" w:rsidR="00515E78" w:rsidRPr="004F4172" w:rsidRDefault="00515E78" w:rsidP="00864DF7">
            <w:pPr>
              <w:pStyle w:val="CETBodytext"/>
              <w:jc w:val="center"/>
            </w:pPr>
            <w:r w:rsidRPr="00265658">
              <w:t>20.0</w:t>
            </w:r>
          </w:p>
        </w:tc>
        <w:tc>
          <w:tcPr>
            <w:tcW w:w="709" w:type="dxa"/>
            <w:shd w:val="clear" w:color="auto" w:fill="FFFFFF"/>
          </w:tcPr>
          <w:p w14:paraId="3E898618" w14:textId="77777777" w:rsidR="00515E78" w:rsidRPr="004F4172" w:rsidRDefault="00515E78" w:rsidP="00864DF7">
            <w:pPr>
              <w:pStyle w:val="CETBodytext"/>
              <w:jc w:val="center"/>
            </w:pPr>
            <w:r w:rsidRPr="00265658">
              <w:t>22.3</w:t>
            </w:r>
          </w:p>
        </w:tc>
        <w:tc>
          <w:tcPr>
            <w:tcW w:w="567" w:type="dxa"/>
            <w:shd w:val="clear" w:color="auto" w:fill="FFFFFF"/>
          </w:tcPr>
          <w:p w14:paraId="3CEA12C5" w14:textId="77777777" w:rsidR="00515E78" w:rsidRPr="004F4172" w:rsidRDefault="00515E78" w:rsidP="00864DF7">
            <w:pPr>
              <w:pStyle w:val="CETBodytext"/>
              <w:jc w:val="center"/>
            </w:pPr>
            <w:r w:rsidRPr="00265658">
              <w:t>22.7</w:t>
            </w:r>
          </w:p>
        </w:tc>
        <w:tc>
          <w:tcPr>
            <w:tcW w:w="1275" w:type="dxa"/>
            <w:shd w:val="clear" w:color="auto" w:fill="FFFFFF"/>
          </w:tcPr>
          <w:p w14:paraId="7ADEF76A" w14:textId="77777777" w:rsidR="00515E78" w:rsidRPr="004F4172" w:rsidRDefault="00515E78" w:rsidP="00864DF7">
            <w:pPr>
              <w:pStyle w:val="CETBodytext"/>
              <w:jc w:val="center"/>
            </w:pPr>
          </w:p>
        </w:tc>
        <w:tc>
          <w:tcPr>
            <w:tcW w:w="1418" w:type="dxa"/>
            <w:shd w:val="clear" w:color="auto" w:fill="FFFFFF"/>
          </w:tcPr>
          <w:p w14:paraId="56C69445" w14:textId="77777777" w:rsidR="00515E78" w:rsidRPr="004F4172" w:rsidRDefault="00515E78" w:rsidP="00864DF7">
            <w:pPr>
              <w:pStyle w:val="CETBodytext"/>
              <w:jc w:val="center"/>
            </w:pPr>
            <w:r>
              <w:t>&lt;50</w:t>
            </w:r>
          </w:p>
        </w:tc>
        <w:tc>
          <w:tcPr>
            <w:tcW w:w="1134" w:type="dxa"/>
            <w:shd w:val="clear" w:color="auto" w:fill="FFFFFF"/>
          </w:tcPr>
          <w:p w14:paraId="1B32F129" w14:textId="77777777" w:rsidR="00515E78" w:rsidRDefault="00515E78" w:rsidP="00864DF7">
            <w:pPr>
              <w:pStyle w:val="CETBodytext"/>
              <w:jc w:val="center"/>
            </w:pPr>
          </w:p>
        </w:tc>
      </w:tr>
      <w:tr w:rsidR="00515E78" w:rsidRPr="00B57B36" w14:paraId="7CBA93AF" w14:textId="77777777" w:rsidTr="00864DF7">
        <w:tc>
          <w:tcPr>
            <w:tcW w:w="2552" w:type="dxa"/>
            <w:shd w:val="clear" w:color="auto" w:fill="FFFFFF"/>
          </w:tcPr>
          <w:p w14:paraId="06FD7080" w14:textId="77777777" w:rsidR="00515E78" w:rsidRDefault="00515E78" w:rsidP="00864DF7">
            <w:pPr>
              <w:pStyle w:val="CETBodytext"/>
              <w:ind w:right="-1"/>
              <w:rPr>
                <w:rFonts w:cs="Arial"/>
                <w:szCs w:val="18"/>
                <w:lang w:val="en-GB"/>
              </w:rPr>
            </w:pPr>
            <w:r w:rsidRPr="00C54210">
              <w:t>Cd</w:t>
            </w:r>
            <w:r>
              <w:t xml:space="preserve"> [</w:t>
            </w:r>
            <w:r w:rsidRPr="00763B07">
              <w:t>mg</w:t>
            </w:r>
            <w:r>
              <w:t xml:space="preserve"> </w:t>
            </w:r>
            <w:r w:rsidRPr="00763B07">
              <w:t>kg</w:t>
            </w:r>
            <w:r w:rsidRPr="00572F9C">
              <w:rPr>
                <w:vertAlign w:val="superscript"/>
              </w:rPr>
              <w:t>-1</w:t>
            </w:r>
            <w:r w:rsidRPr="00763B07">
              <w:t xml:space="preserve"> d</w:t>
            </w:r>
            <w:r>
              <w:t>.</w:t>
            </w:r>
            <w:r w:rsidRPr="00763B07">
              <w:t>b</w:t>
            </w:r>
            <w:r>
              <w:t>.]</w:t>
            </w:r>
          </w:p>
        </w:tc>
        <w:tc>
          <w:tcPr>
            <w:tcW w:w="567" w:type="dxa"/>
            <w:shd w:val="clear" w:color="auto" w:fill="FFFFFF"/>
          </w:tcPr>
          <w:p w14:paraId="43D199FE" w14:textId="77777777" w:rsidR="00515E78" w:rsidRPr="004C69FF" w:rsidRDefault="00515E78" w:rsidP="00864DF7">
            <w:pPr>
              <w:pStyle w:val="CETBodytext"/>
              <w:jc w:val="center"/>
            </w:pPr>
            <w:r w:rsidRPr="00C54210">
              <w:t>0</w:t>
            </w:r>
          </w:p>
        </w:tc>
        <w:tc>
          <w:tcPr>
            <w:tcW w:w="567" w:type="dxa"/>
            <w:shd w:val="clear" w:color="auto" w:fill="FFFFFF"/>
          </w:tcPr>
          <w:p w14:paraId="5B0D87A7" w14:textId="77777777" w:rsidR="00515E78" w:rsidRPr="004C69FF" w:rsidRDefault="00515E78" w:rsidP="00864DF7">
            <w:pPr>
              <w:pStyle w:val="CETBodytext"/>
              <w:jc w:val="center"/>
            </w:pPr>
            <w:r w:rsidRPr="00C54210">
              <w:t>1</w:t>
            </w:r>
          </w:p>
        </w:tc>
        <w:tc>
          <w:tcPr>
            <w:tcW w:w="709" w:type="dxa"/>
            <w:shd w:val="clear" w:color="auto" w:fill="FFFFFF"/>
          </w:tcPr>
          <w:p w14:paraId="3119FE77" w14:textId="77777777" w:rsidR="00515E78" w:rsidRPr="004C69FF" w:rsidRDefault="00515E78" w:rsidP="00864DF7">
            <w:pPr>
              <w:pStyle w:val="CETBodytext"/>
              <w:jc w:val="center"/>
            </w:pPr>
            <w:r w:rsidRPr="00C54210">
              <w:t>0</w:t>
            </w:r>
          </w:p>
        </w:tc>
        <w:tc>
          <w:tcPr>
            <w:tcW w:w="567" w:type="dxa"/>
            <w:shd w:val="clear" w:color="auto" w:fill="FFFFFF"/>
          </w:tcPr>
          <w:p w14:paraId="4D43EB2E" w14:textId="77777777" w:rsidR="00515E78" w:rsidRPr="004C69FF" w:rsidRDefault="00515E78" w:rsidP="00864DF7">
            <w:pPr>
              <w:pStyle w:val="CETBodytext"/>
              <w:jc w:val="center"/>
            </w:pPr>
            <w:r w:rsidRPr="00C54210">
              <w:t>1</w:t>
            </w:r>
          </w:p>
        </w:tc>
        <w:tc>
          <w:tcPr>
            <w:tcW w:w="1275" w:type="dxa"/>
            <w:shd w:val="clear" w:color="auto" w:fill="FFFFFF"/>
          </w:tcPr>
          <w:p w14:paraId="41A21648" w14:textId="77777777" w:rsidR="00515E78" w:rsidRPr="00C54210" w:rsidRDefault="00515E78" w:rsidP="00864DF7">
            <w:pPr>
              <w:pStyle w:val="CETBodytext"/>
              <w:jc w:val="center"/>
            </w:pPr>
          </w:p>
        </w:tc>
        <w:tc>
          <w:tcPr>
            <w:tcW w:w="1418" w:type="dxa"/>
            <w:shd w:val="clear" w:color="auto" w:fill="FFFFFF"/>
          </w:tcPr>
          <w:p w14:paraId="023DA871" w14:textId="77777777" w:rsidR="00515E78" w:rsidRPr="00C54210" w:rsidRDefault="00515E78" w:rsidP="00864DF7">
            <w:pPr>
              <w:pStyle w:val="CETBodytext"/>
              <w:jc w:val="center"/>
            </w:pPr>
            <w:r>
              <w:rPr>
                <w:rFonts w:cs="Arial"/>
              </w:rPr>
              <w:t>≤</w:t>
            </w:r>
            <w:r>
              <w:t>1.5</w:t>
            </w:r>
          </w:p>
        </w:tc>
        <w:tc>
          <w:tcPr>
            <w:tcW w:w="1134" w:type="dxa"/>
            <w:shd w:val="clear" w:color="auto" w:fill="FFFFFF"/>
          </w:tcPr>
          <w:p w14:paraId="1273BA31" w14:textId="77777777" w:rsidR="00515E78" w:rsidRDefault="00515E78" w:rsidP="00864DF7">
            <w:pPr>
              <w:pStyle w:val="CETBodytext"/>
              <w:jc w:val="center"/>
            </w:pPr>
            <w:r>
              <w:rPr>
                <w:rFonts w:cs="Arial"/>
              </w:rPr>
              <w:t>≤</w:t>
            </w:r>
            <w:r>
              <w:t>1.5</w:t>
            </w:r>
          </w:p>
        </w:tc>
      </w:tr>
      <w:tr w:rsidR="00515E78" w:rsidRPr="00B57B36" w14:paraId="7D7D4C58" w14:textId="77777777" w:rsidTr="00864DF7">
        <w:tc>
          <w:tcPr>
            <w:tcW w:w="2552" w:type="dxa"/>
            <w:shd w:val="clear" w:color="auto" w:fill="FFFFFF"/>
          </w:tcPr>
          <w:p w14:paraId="1CC0A606" w14:textId="77777777" w:rsidR="00515E78" w:rsidRDefault="00515E78" w:rsidP="00864DF7">
            <w:pPr>
              <w:pStyle w:val="CETBodytext"/>
              <w:ind w:right="-1"/>
              <w:rPr>
                <w:rFonts w:cs="Arial"/>
                <w:szCs w:val="18"/>
                <w:lang w:val="en-GB"/>
              </w:rPr>
            </w:pPr>
            <w:r w:rsidRPr="00C54210">
              <w:t>Cu</w:t>
            </w:r>
            <w:r>
              <w:t xml:space="preserve"> [</w:t>
            </w:r>
            <w:r w:rsidRPr="00763B07">
              <w:t>mg</w:t>
            </w:r>
            <w:r>
              <w:t xml:space="preserve"> </w:t>
            </w:r>
            <w:r w:rsidRPr="00763B07">
              <w:t>kg</w:t>
            </w:r>
            <w:r w:rsidRPr="002908DC">
              <w:rPr>
                <w:vertAlign w:val="superscript"/>
              </w:rPr>
              <w:t>-1</w:t>
            </w:r>
            <w:r w:rsidRPr="00763B07">
              <w:t xml:space="preserve"> d</w:t>
            </w:r>
            <w:r>
              <w:t>.</w:t>
            </w:r>
            <w:r w:rsidRPr="00763B07">
              <w:t>b</w:t>
            </w:r>
            <w:r>
              <w:t>.]</w:t>
            </w:r>
          </w:p>
        </w:tc>
        <w:tc>
          <w:tcPr>
            <w:tcW w:w="567" w:type="dxa"/>
            <w:shd w:val="clear" w:color="auto" w:fill="FFFFFF"/>
          </w:tcPr>
          <w:p w14:paraId="25ADFAFD" w14:textId="77777777" w:rsidR="00515E78" w:rsidRPr="004C69FF" w:rsidRDefault="00515E78" w:rsidP="00864DF7">
            <w:pPr>
              <w:pStyle w:val="CETBodytext"/>
              <w:jc w:val="center"/>
            </w:pPr>
            <w:r w:rsidRPr="00C54210">
              <w:t>18</w:t>
            </w:r>
          </w:p>
        </w:tc>
        <w:tc>
          <w:tcPr>
            <w:tcW w:w="567" w:type="dxa"/>
            <w:shd w:val="clear" w:color="auto" w:fill="FFFFFF"/>
          </w:tcPr>
          <w:p w14:paraId="1E828857" w14:textId="77777777" w:rsidR="00515E78" w:rsidRPr="004C69FF" w:rsidRDefault="00515E78" w:rsidP="00864DF7">
            <w:pPr>
              <w:pStyle w:val="CETBodytext"/>
              <w:jc w:val="center"/>
            </w:pPr>
            <w:r w:rsidRPr="00C54210">
              <w:t>16</w:t>
            </w:r>
          </w:p>
        </w:tc>
        <w:tc>
          <w:tcPr>
            <w:tcW w:w="709" w:type="dxa"/>
            <w:shd w:val="clear" w:color="auto" w:fill="FFFFFF"/>
          </w:tcPr>
          <w:p w14:paraId="10B52F93" w14:textId="77777777" w:rsidR="00515E78" w:rsidRPr="004C69FF" w:rsidRDefault="00515E78" w:rsidP="00864DF7">
            <w:pPr>
              <w:pStyle w:val="CETBodytext"/>
              <w:jc w:val="center"/>
            </w:pPr>
            <w:r w:rsidRPr="00C54210">
              <w:t>19</w:t>
            </w:r>
          </w:p>
        </w:tc>
        <w:tc>
          <w:tcPr>
            <w:tcW w:w="567" w:type="dxa"/>
            <w:shd w:val="clear" w:color="auto" w:fill="FFFFFF"/>
          </w:tcPr>
          <w:p w14:paraId="11EED633" w14:textId="77777777" w:rsidR="00515E78" w:rsidRPr="004C69FF" w:rsidRDefault="00515E78" w:rsidP="00864DF7">
            <w:pPr>
              <w:pStyle w:val="CETBodytext"/>
              <w:jc w:val="center"/>
            </w:pPr>
            <w:r w:rsidRPr="00C54210">
              <w:t>16</w:t>
            </w:r>
          </w:p>
        </w:tc>
        <w:tc>
          <w:tcPr>
            <w:tcW w:w="1275" w:type="dxa"/>
            <w:shd w:val="clear" w:color="auto" w:fill="FFFFFF"/>
          </w:tcPr>
          <w:p w14:paraId="129C140F" w14:textId="77777777" w:rsidR="00515E78" w:rsidRPr="00C54210" w:rsidRDefault="00515E78" w:rsidP="00864DF7">
            <w:pPr>
              <w:pStyle w:val="CETBodytext"/>
              <w:jc w:val="center"/>
            </w:pPr>
          </w:p>
        </w:tc>
        <w:tc>
          <w:tcPr>
            <w:tcW w:w="1418" w:type="dxa"/>
            <w:shd w:val="clear" w:color="auto" w:fill="FFFFFF"/>
          </w:tcPr>
          <w:p w14:paraId="08BA3967" w14:textId="77777777" w:rsidR="00515E78" w:rsidRPr="00C54210" w:rsidRDefault="00515E78" w:rsidP="00864DF7">
            <w:pPr>
              <w:pStyle w:val="CETBodytext"/>
              <w:jc w:val="center"/>
            </w:pPr>
            <w:r>
              <w:rPr>
                <w:rFonts w:cs="Arial"/>
              </w:rPr>
              <w:t>≤</w:t>
            </w:r>
            <w:r>
              <w:t>230</w:t>
            </w:r>
          </w:p>
        </w:tc>
        <w:tc>
          <w:tcPr>
            <w:tcW w:w="1134" w:type="dxa"/>
            <w:shd w:val="clear" w:color="auto" w:fill="FFFFFF"/>
          </w:tcPr>
          <w:p w14:paraId="6B38CF80" w14:textId="77777777" w:rsidR="00515E78" w:rsidRDefault="00515E78" w:rsidP="00864DF7">
            <w:pPr>
              <w:pStyle w:val="CETBodytext"/>
              <w:jc w:val="center"/>
            </w:pPr>
            <w:r>
              <w:rPr>
                <w:rFonts w:cs="Arial"/>
              </w:rPr>
              <w:t>≤</w:t>
            </w:r>
            <w:r>
              <w:t>230</w:t>
            </w:r>
          </w:p>
        </w:tc>
      </w:tr>
      <w:tr w:rsidR="00515E78" w:rsidRPr="00B57B36" w14:paraId="042CBE99" w14:textId="77777777" w:rsidTr="00864DF7">
        <w:tc>
          <w:tcPr>
            <w:tcW w:w="2552" w:type="dxa"/>
            <w:shd w:val="clear" w:color="auto" w:fill="FFFFFF"/>
          </w:tcPr>
          <w:p w14:paraId="4AE6CD12" w14:textId="77777777" w:rsidR="00515E78" w:rsidRDefault="00515E78" w:rsidP="00864DF7">
            <w:pPr>
              <w:pStyle w:val="CETBodytext"/>
              <w:ind w:right="-1"/>
              <w:rPr>
                <w:rFonts w:cs="Arial"/>
                <w:szCs w:val="18"/>
                <w:lang w:val="en-GB"/>
              </w:rPr>
            </w:pPr>
            <w:r w:rsidRPr="00C54210">
              <w:t>Ni</w:t>
            </w:r>
            <w:r>
              <w:t xml:space="preserve"> [</w:t>
            </w:r>
            <w:r w:rsidRPr="00763B07">
              <w:t>mg</w:t>
            </w:r>
            <w:r>
              <w:t xml:space="preserve"> </w:t>
            </w:r>
            <w:r w:rsidRPr="00763B07">
              <w:t>kg</w:t>
            </w:r>
            <w:r w:rsidRPr="002908DC">
              <w:rPr>
                <w:vertAlign w:val="superscript"/>
              </w:rPr>
              <w:t>-1</w:t>
            </w:r>
            <w:r w:rsidRPr="00763B07">
              <w:t xml:space="preserve"> d</w:t>
            </w:r>
            <w:r>
              <w:t>.</w:t>
            </w:r>
            <w:r w:rsidRPr="00763B07">
              <w:t>b</w:t>
            </w:r>
            <w:r>
              <w:t>.]</w:t>
            </w:r>
          </w:p>
        </w:tc>
        <w:tc>
          <w:tcPr>
            <w:tcW w:w="567" w:type="dxa"/>
            <w:shd w:val="clear" w:color="auto" w:fill="FFFFFF"/>
          </w:tcPr>
          <w:p w14:paraId="1356042F" w14:textId="77777777" w:rsidR="00515E78" w:rsidRPr="004C69FF" w:rsidRDefault="00515E78" w:rsidP="00864DF7">
            <w:pPr>
              <w:pStyle w:val="CETBodytext"/>
              <w:jc w:val="center"/>
            </w:pPr>
            <w:r w:rsidRPr="00C54210">
              <w:t>69</w:t>
            </w:r>
          </w:p>
        </w:tc>
        <w:tc>
          <w:tcPr>
            <w:tcW w:w="567" w:type="dxa"/>
            <w:shd w:val="clear" w:color="auto" w:fill="FFFFFF"/>
          </w:tcPr>
          <w:p w14:paraId="65EB2DFA" w14:textId="77777777" w:rsidR="00515E78" w:rsidRPr="004C69FF" w:rsidRDefault="00515E78" w:rsidP="00864DF7">
            <w:pPr>
              <w:pStyle w:val="CETBodytext"/>
              <w:jc w:val="center"/>
            </w:pPr>
            <w:r w:rsidRPr="00C54210">
              <w:t>71</w:t>
            </w:r>
          </w:p>
        </w:tc>
        <w:tc>
          <w:tcPr>
            <w:tcW w:w="709" w:type="dxa"/>
            <w:shd w:val="clear" w:color="auto" w:fill="FFFFFF"/>
          </w:tcPr>
          <w:p w14:paraId="0A4FC4C9" w14:textId="77777777" w:rsidR="00515E78" w:rsidRPr="004C69FF" w:rsidRDefault="00515E78" w:rsidP="00864DF7">
            <w:pPr>
              <w:pStyle w:val="CETBodytext"/>
              <w:jc w:val="center"/>
            </w:pPr>
            <w:r w:rsidRPr="00C54210">
              <w:t>69</w:t>
            </w:r>
          </w:p>
        </w:tc>
        <w:tc>
          <w:tcPr>
            <w:tcW w:w="567" w:type="dxa"/>
            <w:shd w:val="clear" w:color="auto" w:fill="FFFFFF"/>
          </w:tcPr>
          <w:p w14:paraId="313D1B40" w14:textId="77777777" w:rsidR="00515E78" w:rsidRPr="004C69FF" w:rsidRDefault="00515E78" w:rsidP="00864DF7">
            <w:pPr>
              <w:pStyle w:val="CETBodytext"/>
              <w:jc w:val="center"/>
            </w:pPr>
            <w:r w:rsidRPr="00C54210">
              <w:t>67</w:t>
            </w:r>
          </w:p>
        </w:tc>
        <w:tc>
          <w:tcPr>
            <w:tcW w:w="1275" w:type="dxa"/>
            <w:shd w:val="clear" w:color="auto" w:fill="FFFFFF"/>
          </w:tcPr>
          <w:p w14:paraId="104B43FD" w14:textId="77777777" w:rsidR="00515E78" w:rsidRPr="00C54210" w:rsidRDefault="00515E78" w:rsidP="00864DF7">
            <w:pPr>
              <w:pStyle w:val="CETBodytext"/>
              <w:jc w:val="center"/>
            </w:pPr>
          </w:p>
        </w:tc>
        <w:tc>
          <w:tcPr>
            <w:tcW w:w="1418" w:type="dxa"/>
            <w:shd w:val="clear" w:color="auto" w:fill="FFFFFF"/>
          </w:tcPr>
          <w:p w14:paraId="327BFD4E" w14:textId="77777777" w:rsidR="00515E78" w:rsidRPr="00C54210" w:rsidRDefault="00515E78" w:rsidP="00864DF7">
            <w:pPr>
              <w:pStyle w:val="CETBodytext"/>
              <w:jc w:val="center"/>
            </w:pPr>
            <w:r>
              <w:rPr>
                <w:rFonts w:cs="Arial"/>
              </w:rPr>
              <w:t>≤</w:t>
            </w:r>
            <w:r>
              <w:t>100</w:t>
            </w:r>
          </w:p>
        </w:tc>
        <w:tc>
          <w:tcPr>
            <w:tcW w:w="1134" w:type="dxa"/>
            <w:shd w:val="clear" w:color="auto" w:fill="FFFFFF"/>
          </w:tcPr>
          <w:p w14:paraId="59B15C3F" w14:textId="77777777" w:rsidR="00515E78" w:rsidRDefault="00515E78" w:rsidP="00864DF7">
            <w:pPr>
              <w:pStyle w:val="CETBodytext"/>
              <w:jc w:val="center"/>
            </w:pPr>
            <w:r>
              <w:rPr>
                <w:rFonts w:cs="Arial"/>
              </w:rPr>
              <w:t>≤</w:t>
            </w:r>
            <w:r>
              <w:t>100</w:t>
            </w:r>
          </w:p>
        </w:tc>
      </w:tr>
      <w:tr w:rsidR="00515E78" w:rsidRPr="00B57B36" w14:paraId="4916DB6A" w14:textId="77777777" w:rsidTr="00864DF7">
        <w:tc>
          <w:tcPr>
            <w:tcW w:w="2552" w:type="dxa"/>
            <w:shd w:val="clear" w:color="auto" w:fill="FFFFFF"/>
          </w:tcPr>
          <w:p w14:paraId="4398A1AA" w14:textId="77777777" w:rsidR="00515E78" w:rsidRDefault="00515E78" w:rsidP="00864DF7">
            <w:pPr>
              <w:pStyle w:val="CETBodytext"/>
              <w:ind w:right="-1"/>
              <w:rPr>
                <w:rFonts w:cs="Arial"/>
                <w:szCs w:val="18"/>
                <w:lang w:val="en-GB"/>
              </w:rPr>
            </w:pPr>
            <w:r w:rsidRPr="00C54210">
              <w:t>Pb</w:t>
            </w:r>
            <w:r>
              <w:t xml:space="preserve"> [</w:t>
            </w:r>
            <w:r w:rsidRPr="00763B07">
              <w:t>mg</w:t>
            </w:r>
            <w:r>
              <w:t xml:space="preserve"> </w:t>
            </w:r>
            <w:r w:rsidRPr="00763B07">
              <w:t>kg</w:t>
            </w:r>
            <w:r w:rsidRPr="002908DC">
              <w:rPr>
                <w:vertAlign w:val="superscript"/>
              </w:rPr>
              <w:t>-1</w:t>
            </w:r>
            <w:r w:rsidRPr="00763B07">
              <w:t xml:space="preserve"> d</w:t>
            </w:r>
            <w:r>
              <w:t>.</w:t>
            </w:r>
            <w:r w:rsidRPr="00763B07">
              <w:t>b</w:t>
            </w:r>
            <w:r>
              <w:t>.]</w:t>
            </w:r>
          </w:p>
        </w:tc>
        <w:tc>
          <w:tcPr>
            <w:tcW w:w="567" w:type="dxa"/>
            <w:shd w:val="clear" w:color="auto" w:fill="FFFFFF"/>
          </w:tcPr>
          <w:p w14:paraId="517EC56F" w14:textId="77777777" w:rsidR="00515E78" w:rsidRPr="004C69FF" w:rsidRDefault="00515E78" w:rsidP="00864DF7">
            <w:pPr>
              <w:pStyle w:val="CETBodytext"/>
              <w:jc w:val="center"/>
            </w:pPr>
            <w:r w:rsidRPr="00C54210">
              <w:t>0</w:t>
            </w:r>
          </w:p>
        </w:tc>
        <w:tc>
          <w:tcPr>
            <w:tcW w:w="567" w:type="dxa"/>
            <w:shd w:val="clear" w:color="auto" w:fill="FFFFFF"/>
          </w:tcPr>
          <w:p w14:paraId="07690287" w14:textId="77777777" w:rsidR="00515E78" w:rsidRPr="004C69FF" w:rsidRDefault="00515E78" w:rsidP="00864DF7">
            <w:pPr>
              <w:pStyle w:val="CETBodytext"/>
              <w:jc w:val="center"/>
            </w:pPr>
            <w:r w:rsidRPr="00C54210">
              <w:t>21</w:t>
            </w:r>
          </w:p>
        </w:tc>
        <w:tc>
          <w:tcPr>
            <w:tcW w:w="709" w:type="dxa"/>
            <w:shd w:val="clear" w:color="auto" w:fill="FFFFFF"/>
          </w:tcPr>
          <w:p w14:paraId="6292A84B" w14:textId="77777777" w:rsidR="00515E78" w:rsidRPr="004C69FF" w:rsidRDefault="00515E78" w:rsidP="00864DF7">
            <w:pPr>
              <w:pStyle w:val="CETBodytext"/>
              <w:jc w:val="center"/>
            </w:pPr>
            <w:r w:rsidRPr="00C54210">
              <w:t>0</w:t>
            </w:r>
          </w:p>
        </w:tc>
        <w:tc>
          <w:tcPr>
            <w:tcW w:w="567" w:type="dxa"/>
            <w:shd w:val="clear" w:color="auto" w:fill="FFFFFF"/>
          </w:tcPr>
          <w:p w14:paraId="2F4F2861" w14:textId="77777777" w:rsidR="00515E78" w:rsidRPr="004C69FF" w:rsidRDefault="00515E78" w:rsidP="00864DF7">
            <w:pPr>
              <w:pStyle w:val="CETBodytext"/>
              <w:jc w:val="center"/>
            </w:pPr>
            <w:r w:rsidRPr="00C54210">
              <w:t>0</w:t>
            </w:r>
          </w:p>
        </w:tc>
        <w:tc>
          <w:tcPr>
            <w:tcW w:w="1275" w:type="dxa"/>
            <w:shd w:val="clear" w:color="auto" w:fill="FFFFFF"/>
          </w:tcPr>
          <w:p w14:paraId="0ACCD0A2" w14:textId="77777777" w:rsidR="00515E78" w:rsidRPr="00C54210" w:rsidRDefault="00515E78" w:rsidP="00864DF7">
            <w:pPr>
              <w:pStyle w:val="CETBodytext"/>
              <w:jc w:val="center"/>
            </w:pPr>
          </w:p>
        </w:tc>
        <w:tc>
          <w:tcPr>
            <w:tcW w:w="1418" w:type="dxa"/>
            <w:shd w:val="clear" w:color="auto" w:fill="FFFFFF"/>
          </w:tcPr>
          <w:p w14:paraId="6E6C7D96" w14:textId="77777777" w:rsidR="00515E78" w:rsidRPr="00C54210" w:rsidRDefault="00515E78" w:rsidP="00864DF7">
            <w:pPr>
              <w:pStyle w:val="CETBodytext"/>
              <w:jc w:val="center"/>
            </w:pPr>
            <w:r>
              <w:rPr>
                <w:rFonts w:cs="Arial"/>
              </w:rPr>
              <w:t>≤</w:t>
            </w:r>
            <w:r>
              <w:t>140</w:t>
            </w:r>
          </w:p>
        </w:tc>
        <w:tc>
          <w:tcPr>
            <w:tcW w:w="1134" w:type="dxa"/>
            <w:shd w:val="clear" w:color="auto" w:fill="FFFFFF"/>
          </w:tcPr>
          <w:p w14:paraId="531AE02C" w14:textId="77777777" w:rsidR="00515E78" w:rsidRDefault="00515E78" w:rsidP="00864DF7">
            <w:pPr>
              <w:pStyle w:val="CETBodytext"/>
              <w:jc w:val="center"/>
            </w:pPr>
            <w:r>
              <w:rPr>
                <w:rFonts w:cs="Arial"/>
              </w:rPr>
              <w:t>≤</w:t>
            </w:r>
            <w:r>
              <w:t>140</w:t>
            </w:r>
          </w:p>
        </w:tc>
      </w:tr>
      <w:tr w:rsidR="00515E78" w:rsidRPr="00B57B36" w14:paraId="360F4D8E" w14:textId="77777777" w:rsidTr="00864DF7">
        <w:tc>
          <w:tcPr>
            <w:tcW w:w="2552" w:type="dxa"/>
            <w:shd w:val="clear" w:color="auto" w:fill="FFFFFF"/>
          </w:tcPr>
          <w:p w14:paraId="0CEC4CC6" w14:textId="77777777" w:rsidR="00515E78" w:rsidRDefault="00515E78" w:rsidP="00864DF7">
            <w:pPr>
              <w:pStyle w:val="CETBodytext"/>
              <w:ind w:right="-1"/>
              <w:rPr>
                <w:rFonts w:cs="Arial"/>
                <w:szCs w:val="18"/>
                <w:lang w:val="en-GB"/>
              </w:rPr>
            </w:pPr>
            <w:r w:rsidRPr="00C54210">
              <w:t>Zn</w:t>
            </w:r>
            <w:r>
              <w:t xml:space="preserve"> [</w:t>
            </w:r>
            <w:r w:rsidRPr="00763B07">
              <w:t>mg</w:t>
            </w:r>
            <w:r>
              <w:t xml:space="preserve"> </w:t>
            </w:r>
            <w:r w:rsidRPr="00763B07">
              <w:t>kg</w:t>
            </w:r>
            <w:r w:rsidRPr="002908DC">
              <w:rPr>
                <w:vertAlign w:val="superscript"/>
              </w:rPr>
              <w:t>-1</w:t>
            </w:r>
            <w:r w:rsidRPr="00763B07">
              <w:t xml:space="preserve"> d</w:t>
            </w:r>
            <w:r>
              <w:t>.</w:t>
            </w:r>
            <w:r w:rsidRPr="00763B07">
              <w:t>b</w:t>
            </w:r>
            <w:r>
              <w:t>.]</w:t>
            </w:r>
          </w:p>
        </w:tc>
        <w:tc>
          <w:tcPr>
            <w:tcW w:w="567" w:type="dxa"/>
            <w:shd w:val="clear" w:color="auto" w:fill="FFFFFF"/>
          </w:tcPr>
          <w:p w14:paraId="604A048C" w14:textId="77777777" w:rsidR="00515E78" w:rsidRPr="004C69FF" w:rsidRDefault="00515E78" w:rsidP="00864DF7">
            <w:pPr>
              <w:pStyle w:val="CETBodytext"/>
              <w:jc w:val="center"/>
            </w:pPr>
            <w:r w:rsidRPr="00C54210">
              <w:t>80</w:t>
            </w:r>
          </w:p>
        </w:tc>
        <w:tc>
          <w:tcPr>
            <w:tcW w:w="567" w:type="dxa"/>
            <w:shd w:val="clear" w:color="auto" w:fill="FFFFFF"/>
          </w:tcPr>
          <w:p w14:paraId="129D46AE" w14:textId="77777777" w:rsidR="00515E78" w:rsidRPr="004C69FF" w:rsidRDefault="00515E78" w:rsidP="00864DF7">
            <w:pPr>
              <w:pStyle w:val="CETBodytext"/>
              <w:jc w:val="center"/>
            </w:pPr>
            <w:r w:rsidRPr="00C54210">
              <w:t>75</w:t>
            </w:r>
          </w:p>
        </w:tc>
        <w:tc>
          <w:tcPr>
            <w:tcW w:w="709" w:type="dxa"/>
            <w:shd w:val="clear" w:color="auto" w:fill="FFFFFF"/>
          </w:tcPr>
          <w:p w14:paraId="36AD3031" w14:textId="77777777" w:rsidR="00515E78" w:rsidRPr="004C69FF" w:rsidRDefault="00515E78" w:rsidP="00864DF7">
            <w:pPr>
              <w:pStyle w:val="CETBodytext"/>
              <w:jc w:val="center"/>
            </w:pPr>
            <w:r w:rsidRPr="00C54210">
              <w:t>83</w:t>
            </w:r>
          </w:p>
        </w:tc>
        <w:tc>
          <w:tcPr>
            <w:tcW w:w="567" w:type="dxa"/>
            <w:shd w:val="clear" w:color="auto" w:fill="FFFFFF"/>
          </w:tcPr>
          <w:p w14:paraId="2D1E9D5F" w14:textId="77777777" w:rsidR="00515E78" w:rsidRPr="004C69FF" w:rsidRDefault="00515E78" w:rsidP="00864DF7">
            <w:pPr>
              <w:pStyle w:val="CETBodytext"/>
              <w:jc w:val="center"/>
            </w:pPr>
            <w:r w:rsidRPr="00C54210">
              <w:t>99</w:t>
            </w:r>
          </w:p>
        </w:tc>
        <w:tc>
          <w:tcPr>
            <w:tcW w:w="1275" w:type="dxa"/>
            <w:shd w:val="clear" w:color="auto" w:fill="FFFFFF"/>
          </w:tcPr>
          <w:p w14:paraId="0A8809A0" w14:textId="77777777" w:rsidR="00515E78" w:rsidRPr="00C54210" w:rsidRDefault="00515E78" w:rsidP="00864DF7">
            <w:pPr>
              <w:pStyle w:val="CETBodytext"/>
              <w:jc w:val="center"/>
            </w:pPr>
          </w:p>
        </w:tc>
        <w:tc>
          <w:tcPr>
            <w:tcW w:w="1418" w:type="dxa"/>
            <w:shd w:val="clear" w:color="auto" w:fill="FFFFFF"/>
          </w:tcPr>
          <w:p w14:paraId="1FE5F6E0" w14:textId="77777777" w:rsidR="00515E78" w:rsidRPr="00C54210" w:rsidRDefault="00515E78" w:rsidP="00864DF7">
            <w:pPr>
              <w:pStyle w:val="CETBodytext"/>
              <w:jc w:val="center"/>
            </w:pPr>
            <w:r>
              <w:rPr>
                <w:rFonts w:cs="Arial"/>
              </w:rPr>
              <w:t>≤</w:t>
            </w:r>
            <w:r>
              <w:t>500</w:t>
            </w:r>
          </w:p>
        </w:tc>
        <w:tc>
          <w:tcPr>
            <w:tcW w:w="1134" w:type="dxa"/>
            <w:shd w:val="clear" w:color="auto" w:fill="FFFFFF"/>
          </w:tcPr>
          <w:p w14:paraId="543CA83F" w14:textId="77777777" w:rsidR="00515E78" w:rsidRDefault="00515E78" w:rsidP="00864DF7">
            <w:pPr>
              <w:pStyle w:val="CETBodytext"/>
              <w:jc w:val="center"/>
            </w:pPr>
            <w:r>
              <w:rPr>
                <w:rFonts w:cs="Arial"/>
              </w:rPr>
              <w:t>≤</w:t>
            </w:r>
            <w:r>
              <w:t>500</w:t>
            </w:r>
          </w:p>
        </w:tc>
      </w:tr>
    </w:tbl>
    <w:p w14:paraId="041F242B" w14:textId="77777777" w:rsidR="00515E78" w:rsidRPr="00D21281" w:rsidRDefault="00515E78" w:rsidP="00515E78">
      <w:pPr>
        <w:pStyle w:val="CETBodytext"/>
      </w:pPr>
      <w:r>
        <w:t>*max. limit for ash content; **min. limit for organic carbon content, ***</w:t>
      </w:r>
      <w:proofErr w:type="gramStart"/>
      <w:r>
        <w:t>D.Lgs</w:t>
      </w:r>
      <w:proofErr w:type="gramEnd"/>
      <w:r>
        <w:t xml:space="preserve"> n.75 2010.</w:t>
      </w:r>
    </w:p>
    <w:p w14:paraId="39BB4875" w14:textId="1FCD17E0" w:rsidR="00515E78" w:rsidRPr="000076F6" w:rsidRDefault="00515E78" w:rsidP="000076F6">
      <w:pPr>
        <w:pStyle w:val="CETHeading1"/>
        <w:numPr>
          <w:ilvl w:val="1"/>
          <w:numId w:val="1"/>
        </w:numPr>
        <w:rPr>
          <w:lang w:val="en-GB"/>
        </w:rPr>
      </w:pPr>
      <w:r w:rsidRPr="000076F6">
        <w:rPr>
          <w:lang w:val="en-GB"/>
        </w:rPr>
        <w:t>Conclusions</w:t>
      </w:r>
    </w:p>
    <w:p w14:paraId="60D78B3E" w14:textId="1EAD5AA3" w:rsidR="00515E78" w:rsidRDefault="00515E78" w:rsidP="00515E78">
      <w:pPr>
        <w:pStyle w:val="CETBodytext"/>
        <w:rPr>
          <w:lang w:val="en-GB"/>
        </w:rPr>
      </w:pPr>
      <w:r>
        <w:rPr>
          <w:lang w:val="en-GB"/>
        </w:rPr>
        <w:t xml:space="preserve">The HTC process is a promising alternative for the conversion of the macroalgae of </w:t>
      </w:r>
      <w:proofErr w:type="spellStart"/>
      <w:r>
        <w:rPr>
          <w:lang w:val="en-GB"/>
        </w:rPr>
        <w:t>Orbetello</w:t>
      </w:r>
      <w:proofErr w:type="spellEnd"/>
      <w:r>
        <w:rPr>
          <w:lang w:val="en-GB"/>
        </w:rPr>
        <w:t xml:space="preserve"> lagoon into a valuable product </w:t>
      </w:r>
      <w:r w:rsidR="003D3805">
        <w:rPr>
          <w:lang w:val="en-GB"/>
        </w:rPr>
        <w:t>helping also</w:t>
      </w:r>
      <w:r>
        <w:rPr>
          <w:lang w:val="en-GB"/>
        </w:rPr>
        <w:t xml:space="preserve"> in the management of this solid waste. </w:t>
      </w:r>
      <w:r w:rsidRPr="00946BE1">
        <w:rPr>
          <w:lang w:val="en-GB"/>
        </w:rPr>
        <w:t>The h</w:t>
      </w:r>
      <w:r w:rsidRPr="002D74C5">
        <w:rPr>
          <w:lang w:val="en-GB"/>
        </w:rPr>
        <w:t xml:space="preserve">ydrochar obtained </w:t>
      </w:r>
      <w:r>
        <w:rPr>
          <w:lang w:val="en-GB"/>
        </w:rPr>
        <w:t>from macroalgae</w:t>
      </w:r>
      <w:r w:rsidRPr="002D74C5">
        <w:rPr>
          <w:lang w:val="en-GB"/>
        </w:rPr>
        <w:t xml:space="preserve"> </w:t>
      </w:r>
      <w:r>
        <w:rPr>
          <w:lang w:val="en-GB"/>
        </w:rPr>
        <w:t>represent</w:t>
      </w:r>
      <w:r w:rsidRPr="00946BE1">
        <w:rPr>
          <w:lang w:val="en-GB"/>
        </w:rPr>
        <w:t xml:space="preserve"> </w:t>
      </w:r>
      <w:r>
        <w:rPr>
          <w:lang w:val="en-GB"/>
        </w:rPr>
        <w:t>green and sustainable substitute to peat</w:t>
      </w:r>
      <w:r w:rsidR="003D3805">
        <w:rPr>
          <w:lang w:val="en-GB"/>
        </w:rPr>
        <w:t>,</w:t>
      </w:r>
      <w:r w:rsidR="00412B39">
        <w:rPr>
          <w:lang w:val="en-GB"/>
        </w:rPr>
        <w:t xml:space="preserve"> </w:t>
      </w:r>
      <w:r>
        <w:rPr>
          <w:lang w:val="en-GB"/>
        </w:rPr>
        <w:t>widely used</w:t>
      </w:r>
      <w:r w:rsidR="003D3805">
        <w:rPr>
          <w:lang w:val="en-GB"/>
        </w:rPr>
        <w:t xml:space="preserve"> products for</w:t>
      </w:r>
      <w:r>
        <w:rPr>
          <w:lang w:val="en-GB"/>
        </w:rPr>
        <w:t xml:space="preserve"> agriculture and horticulture due to its chemical and physical characteristics</w:t>
      </w:r>
      <w:r w:rsidR="00412B39">
        <w:rPr>
          <w:lang w:val="en-GB"/>
        </w:rPr>
        <w:t>.</w:t>
      </w:r>
      <w:r w:rsidR="00412B39">
        <w:rPr>
          <w:lang w:val="en-GB"/>
        </w:rPr>
        <w:t xml:space="preserve"> </w:t>
      </w:r>
      <w:r>
        <w:rPr>
          <w:lang w:val="en-GB"/>
        </w:rPr>
        <w:t>The hydrochar obtained in this work complies with all the prescribed limits of the Italian legislation for neutral peat and green soil improver (except for the H/C</w:t>
      </w:r>
      <w:r w:rsidRPr="00D353FE">
        <w:rPr>
          <w:vertAlign w:val="subscript"/>
          <w:lang w:val="en-GB"/>
        </w:rPr>
        <w:t>org</w:t>
      </w:r>
      <w:r>
        <w:rPr>
          <w:lang w:val="en-GB"/>
        </w:rPr>
        <w:t xml:space="preserve"> ratio). As all the operating conditions produced hydrochars with properties compliant with legislative limits, adopting the lower temperature and shortest residence time, i.e. 200 °C and 2 h would be </w:t>
      </w:r>
      <w:r w:rsidR="002B0B2C">
        <w:rPr>
          <w:lang w:val="en-GB"/>
        </w:rPr>
        <w:t xml:space="preserve">an economically and environmentally </w:t>
      </w:r>
      <w:r>
        <w:rPr>
          <w:lang w:val="en-GB"/>
        </w:rPr>
        <w:t>recommended</w:t>
      </w:r>
      <w:r w:rsidR="002B0B2C">
        <w:rPr>
          <w:lang w:val="en-GB"/>
        </w:rPr>
        <w:t xml:space="preserve"> solution</w:t>
      </w:r>
      <w:r>
        <w:rPr>
          <w:lang w:val="en-GB"/>
        </w:rPr>
        <w:t xml:space="preserve">. </w:t>
      </w:r>
      <w:proofErr w:type="spellStart"/>
      <w:r w:rsidR="003D3805">
        <w:rPr>
          <w:lang w:val="en-GB"/>
        </w:rPr>
        <w:t>Hydrochars</w:t>
      </w:r>
      <w:proofErr w:type="spellEnd"/>
      <w:r w:rsidR="003D3805">
        <w:rPr>
          <w:lang w:val="en-GB"/>
        </w:rPr>
        <w:t xml:space="preserve"> resulted</w:t>
      </w:r>
      <w:r w:rsidRPr="00442E2A">
        <w:rPr>
          <w:lang w:val="en-GB"/>
        </w:rPr>
        <w:t xml:space="preserve"> rich in macro </w:t>
      </w:r>
      <w:r w:rsidRPr="002D74C5">
        <w:rPr>
          <w:lang w:val="en-GB"/>
        </w:rPr>
        <w:t xml:space="preserve">and </w:t>
      </w:r>
      <w:r>
        <w:rPr>
          <w:lang w:val="en-GB"/>
        </w:rPr>
        <w:t xml:space="preserve">micronutrients </w:t>
      </w:r>
      <w:r w:rsidR="003D3805">
        <w:rPr>
          <w:lang w:val="en-GB"/>
        </w:rPr>
        <w:t>important</w:t>
      </w:r>
      <w:r>
        <w:rPr>
          <w:lang w:val="en-GB"/>
        </w:rPr>
        <w:t xml:space="preserve"> for plant growth and</w:t>
      </w:r>
      <w:r w:rsidR="009357BF">
        <w:rPr>
          <w:lang w:val="en-GB"/>
        </w:rPr>
        <w:t xml:space="preserve"> presented very low</w:t>
      </w:r>
      <w:r>
        <w:rPr>
          <w:lang w:val="en-GB"/>
        </w:rPr>
        <w:t xml:space="preserve"> </w:t>
      </w:r>
      <w:r w:rsidR="00085D75">
        <w:rPr>
          <w:lang w:val="en-GB"/>
        </w:rPr>
        <w:t xml:space="preserve">phytotoxic </w:t>
      </w:r>
      <w:r>
        <w:rPr>
          <w:lang w:val="en-GB"/>
        </w:rPr>
        <w:t xml:space="preserve">pollutants </w:t>
      </w:r>
      <w:r w:rsidR="003D3805">
        <w:rPr>
          <w:lang w:val="en-GB"/>
        </w:rPr>
        <w:t xml:space="preserve">concentration </w:t>
      </w:r>
      <w:r>
        <w:rPr>
          <w:lang w:val="en-GB"/>
        </w:rPr>
        <w:t xml:space="preserve">(e.g. heavy metals and </w:t>
      </w:r>
      <w:r w:rsidRPr="00442E2A">
        <w:rPr>
          <w:lang w:val="en-GB"/>
        </w:rPr>
        <w:t>polycyclic aromatics</w:t>
      </w:r>
      <w:r>
        <w:rPr>
          <w:lang w:val="en-GB"/>
        </w:rPr>
        <w:t xml:space="preserve"> hydrocarbons). Moreover</w:t>
      </w:r>
      <w:r w:rsidR="00412B39">
        <w:rPr>
          <w:lang w:val="en-GB"/>
        </w:rPr>
        <w:t>,</w:t>
      </w:r>
      <w:r w:rsidR="009357BF">
        <w:rPr>
          <w:lang w:val="en-GB"/>
        </w:rPr>
        <w:t xml:space="preserve"> as peat isn’t a renewable resource and its extraction caused irreversible damage to fragile ecosystems rich in biodiversity</w:t>
      </w:r>
      <w:r>
        <w:rPr>
          <w:lang w:val="en-GB"/>
        </w:rPr>
        <w:t xml:space="preserve"> substituting the natural peat with green alternative produced from solid waste could contribute to preserve these carbon stores and mitigate climate change.</w:t>
      </w:r>
    </w:p>
    <w:p w14:paraId="4805A217" w14:textId="77777777" w:rsidR="00515E78" w:rsidRPr="0035058A" w:rsidRDefault="00515E78" w:rsidP="00515E78">
      <w:pPr>
        <w:pStyle w:val="CETAcknowledgementstitle"/>
      </w:pPr>
      <w:r>
        <w:lastRenderedPageBreak/>
        <w:t>Acknowledgements</w:t>
      </w:r>
    </w:p>
    <w:p w14:paraId="1B281AA8" w14:textId="7B7AEB90" w:rsidR="00515E78" w:rsidRPr="00B57B36" w:rsidRDefault="00412B39" w:rsidP="00515E78">
      <w:pPr>
        <w:pStyle w:val="CETBodytext"/>
        <w:rPr>
          <w:lang w:val="en-GB"/>
        </w:rPr>
      </w:pPr>
      <w:r>
        <w:rPr>
          <w:lang w:val="en-GB"/>
        </w:rPr>
        <w:t>The authors</w:t>
      </w:r>
      <w:r>
        <w:rPr>
          <w:lang w:val="en-GB"/>
        </w:rPr>
        <w:t xml:space="preserve"> </w:t>
      </w:r>
      <w:r w:rsidR="00515E78">
        <w:rPr>
          <w:lang w:val="en-GB"/>
        </w:rPr>
        <w:t xml:space="preserve">wish to acknowledge Prof. Annalisa Santucci from the University of Siena for having provided the algae sample. </w:t>
      </w:r>
      <w:r w:rsidR="00515E78" w:rsidRPr="00B13033">
        <w:rPr>
          <w:lang w:val="en-GB"/>
        </w:rPr>
        <w:t xml:space="preserve">This work </w:t>
      </w:r>
      <w:r w:rsidR="00515E78">
        <w:rPr>
          <w:lang w:val="en-GB"/>
        </w:rPr>
        <w:t>was</w:t>
      </w:r>
      <w:r w:rsidR="00515E78" w:rsidRPr="00B13033">
        <w:rPr>
          <w:lang w:val="en-GB"/>
        </w:rPr>
        <w:t xml:space="preserve"> carried out within the </w:t>
      </w:r>
      <w:r w:rsidR="00515E78">
        <w:rPr>
          <w:lang w:val="en-GB"/>
        </w:rPr>
        <w:t xml:space="preserve">framework of the </w:t>
      </w:r>
      <w:r w:rsidR="00515E78" w:rsidRPr="00B13033">
        <w:rPr>
          <w:lang w:val="en-GB"/>
        </w:rPr>
        <w:t>“</w:t>
      </w:r>
      <w:proofErr w:type="spellStart"/>
      <w:r w:rsidR="00515E78" w:rsidRPr="00B13033">
        <w:rPr>
          <w:lang w:val="en-GB"/>
        </w:rPr>
        <w:t>Prodotti</w:t>
      </w:r>
      <w:proofErr w:type="spellEnd"/>
      <w:r w:rsidR="00515E78" w:rsidRPr="00B13033">
        <w:rPr>
          <w:lang w:val="en-GB"/>
        </w:rPr>
        <w:t xml:space="preserve"> </w:t>
      </w:r>
      <w:proofErr w:type="spellStart"/>
      <w:r w:rsidR="00515E78" w:rsidRPr="00B13033">
        <w:rPr>
          <w:lang w:val="en-GB"/>
        </w:rPr>
        <w:t>bioattivi</w:t>
      </w:r>
      <w:proofErr w:type="spellEnd"/>
      <w:r w:rsidR="00515E78" w:rsidRPr="00B13033">
        <w:rPr>
          <w:lang w:val="en-GB"/>
        </w:rPr>
        <w:t xml:space="preserve"> da </w:t>
      </w:r>
      <w:proofErr w:type="spellStart"/>
      <w:r w:rsidR="00515E78" w:rsidRPr="00B13033">
        <w:rPr>
          <w:lang w:val="en-GB"/>
        </w:rPr>
        <w:t>alghe</w:t>
      </w:r>
      <w:proofErr w:type="spellEnd"/>
      <w:r w:rsidR="00515E78" w:rsidRPr="00B13033">
        <w:rPr>
          <w:lang w:val="en-GB"/>
        </w:rPr>
        <w:t xml:space="preserve"> </w:t>
      </w:r>
      <w:proofErr w:type="spellStart"/>
      <w:r w:rsidR="00515E78" w:rsidRPr="00B13033">
        <w:rPr>
          <w:lang w:val="en-GB"/>
        </w:rPr>
        <w:t>infestanti</w:t>
      </w:r>
      <w:proofErr w:type="spellEnd"/>
      <w:r w:rsidR="00515E78" w:rsidRPr="00B13033">
        <w:rPr>
          <w:lang w:val="en-GB"/>
        </w:rPr>
        <w:t>”</w:t>
      </w:r>
      <w:r w:rsidR="00515E78">
        <w:rPr>
          <w:lang w:val="en-GB"/>
        </w:rPr>
        <w:t xml:space="preserve"> project</w:t>
      </w:r>
      <w:r w:rsidR="00515E78" w:rsidRPr="00B13033">
        <w:rPr>
          <w:lang w:val="en-GB"/>
        </w:rPr>
        <w:t>, funded by the Italian Ministry of the Environment and Land and Sea Protection (MATTM).</w:t>
      </w:r>
    </w:p>
    <w:p w14:paraId="6C9371C0" w14:textId="77777777" w:rsidR="00E85E04" w:rsidRPr="00FB1F04" w:rsidRDefault="00E85E04" w:rsidP="00E85E04">
      <w:pPr>
        <w:pStyle w:val="CETReference"/>
      </w:pPr>
      <w:r w:rsidRPr="00FB1F04">
        <w:t>References</w:t>
      </w:r>
    </w:p>
    <w:p w14:paraId="6F7FC0F8" w14:textId="77777777" w:rsidR="00E85E04" w:rsidRPr="008668E6" w:rsidRDefault="00E85E04" w:rsidP="00E85E04">
      <w:pPr>
        <w:pStyle w:val="CETReferencetext"/>
        <w:ind w:left="0" w:firstLine="0"/>
        <w:rPr>
          <w:sz w:val="2"/>
          <w:szCs w:val="2"/>
        </w:rPr>
      </w:pPr>
    </w:p>
    <w:p w14:paraId="131ACB6E" w14:textId="77777777" w:rsidR="00E85E04" w:rsidRDefault="00E85E04" w:rsidP="00E85E04">
      <w:pPr>
        <w:ind w:left="284" w:hanging="284"/>
      </w:pPr>
      <w:proofErr w:type="spellStart"/>
      <w:r>
        <w:t>Aboulkas</w:t>
      </w:r>
      <w:proofErr w:type="spellEnd"/>
      <w:r>
        <w:t xml:space="preserve"> A., </w:t>
      </w:r>
      <w:proofErr w:type="spellStart"/>
      <w:r>
        <w:t>Hammani</w:t>
      </w:r>
      <w:proofErr w:type="spellEnd"/>
      <w:r>
        <w:t xml:space="preserve"> H., El </w:t>
      </w:r>
      <w:proofErr w:type="spellStart"/>
      <w:r>
        <w:t>Achaby</w:t>
      </w:r>
      <w:proofErr w:type="spellEnd"/>
      <w:r>
        <w:t xml:space="preserve"> M., Bilal E., Barakat A., El </w:t>
      </w:r>
      <w:proofErr w:type="spellStart"/>
      <w:r>
        <w:t>harfi</w:t>
      </w:r>
      <w:proofErr w:type="spellEnd"/>
      <w:r>
        <w:t xml:space="preserve"> K., 2017, </w:t>
      </w:r>
      <w:proofErr w:type="spellStart"/>
      <w:r>
        <w:t>Valorization</w:t>
      </w:r>
      <w:proofErr w:type="spellEnd"/>
      <w:r>
        <w:t xml:space="preserve"> of Algal Waste via Pyrolysis in a Fixed-Bed Reactor: Production and Characterization of Bio-Oil and Bio-Char, Bioresource Technology</w:t>
      </w:r>
      <w:r w:rsidR="000E1E91">
        <w:t>,</w:t>
      </w:r>
      <w:r>
        <w:t xml:space="preserve"> 243, 400–408.</w:t>
      </w:r>
    </w:p>
    <w:p w14:paraId="05FAECA4" w14:textId="77777777" w:rsidR="00E85E04" w:rsidRDefault="00E85E04" w:rsidP="00E85E04">
      <w:pPr>
        <w:ind w:left="284" w:hanging="284"/>
      </w:pPr>
      <w:r>
        <w:t xml:space="preserve">Alexander P.D., Bragg N.C., Meade R., </w:t>
      </w:r>
      <w:proofErr w:type="spellStart"/>
      <w:r>
        <w:t>Padelopoulos</w:t>
      </w:r>
      <w:proofErr w:type="spellEnd"/>
      <w:r>
        <w:t xml:space="preserve"> G., Watts O., 2008, Peat in Horticulture and Conservation, Mires and Peat</w:t>
      </w:r>
      <w:r w:rsidR="000E1E91">
        <w:t>,</w:t>
      </w:r>
      <w:r>
        <w:t xml:space="preserve"> 3, 1–10.</w:t>
      </w:r>
    </w:p>
    <w:p w14:paraId="06551378" w14:textId="77777777" w:rsidR="00E85E04" w:rsidRDefault="00E85E04" w:rsidP="00E85E04">
      <w:pPr>
        <w:ind w:left="284" w:hanging="284"/>
      </w:pPr>
      <w:proofErr w:type="spellStart"/>
      <w:r>
        <w:t>Bargmann</w:t>
      </w:r>
      <w:proofErr w:type="spellEnd"/>
      <w:r>
        <w:t xml:space="preserve"> I., </w:t>
      </w:r>
      <w:proofErr w:type="spellStart"/>
      <w:r>
        <w:t>Rillig</w:t>
      </w:r>
      <w:proofErr w:type="spellEnd"/>
      <w:r>
        <w:t xml:space="preserve"> M.C., Buss W., Kruse A., </w:t>
      </w:r>
      <w:proofErr w:type="spellStart"/>
      <w:r>
        <w:t>Kuecke</w:t>
      </w:r>
      <w:proofErr w:type="spellEnd"/>
      <w:r>
        <w:t xml:space="preserve"> M., 2013, Hydrochar and Biochar Effects on Germination of Spring Barley, Journal of Agronomy and Crop Science</w:t>
      </w:r>
      <w:r w:rsidR="000E1E91">
        <w:t>,</w:t>
      </w:r>
      <w:r>
        <w:t xml:space="preserve"> 199, 5, 360–73.</w:t>
      </w:r>
    </w:p>
    <w:p w14:paraId="08D88570" w14:textId="77777777" w:rsidR="00E85E04" w:rsidRDefault="00E85E04" w:rsidP="00E85E04">
      <w:pPr>
        <w:ind w:left="284" w:hanging="284"/>
      </w:pPr>
      <w:proofErr w:type="spellStart"/>
      <w:r>
        <w:t>Bastianoni</w:t>
      </w:r>
      <w:proofErr w:type="spellEnd"/>
      <w:r>
        <w:t xml:space="preserve"> S., Coppola F., </w:t>
      </w:r>
      <w:proofErr w:type="spellStart"/>
      <w:r>
        <w:t>Tiezzi</w:t>
      </w:r>
      <w:proofErr w:type="spellEnd"/>
      <w:r>
        <w:t xml:space="preserve"> E., </w:t>
      </w:r>
      <w:proofErr w:type="spellStart"/>
      <w:r>
        <w:t>Colacevich</w:t>
      </w:r>
      <w:proofErr w:type="spellEnd"/>
      <w:r>
        <w:t xml:space="preserve"> A., </w:t>
      </w:r>
      <w:proofErr w:type="spellStart"/>
      <w:r>
        <w:t>Borghini</w:t>
      </w:r>
      <w:proofErr w:type="spellEnd"/>
      <w:r>
        <w:t xml:space="preserve"> F, </w:t>
      </w:r>
      <w:proofErr w:type="spellStart"/>
      <w:r>
        <w:t>Silvano</w:t>
      </w:r>
      <w:proofErr w:type="spellEnd"/>
      <w:r>
        <w:t xml:space="preserve"> F</w:t>
      </w:r>
      <w:r w:rsidR="000E1E91">
        <w:t>.</w:t>
      </w:r>
      <w:r>
        <w:t xml:space="preserve">, 2008, Biofuel Potential Production from the </w:t>
      </w:r>
      <w:proofErr w:type="spellStart"/>
      <w:r>
        <w:t>Orbetello</w:t>
      </w:r>
      <w:proofErr w:type="spellEnd"/>
      <w:r>
        <w:t xml:space="preserve"> Lagoon Macroalgae: A Comparison with Sunflower Feedstock</w:t>
      </w:r>
      <w:r w:rsidR="000E1E91">
        <w:t>,</w:t>
      </w:r>
      <w:r>
        <w:t xml:space="preserve"> Biomass and Bioenergy</w:t>
      </w:r>
      <w:r w:rsidR="000E1E91">
        <w:t>,</w:t>
      </w:r>
      <w:r>
        <w:t xml:space="preserve"> 32, 7, 619–28.</w:t>
      </w:r>
    </w:p>
    <w:p w14:paraId="7583DEEB" w14:textId="77777777" w:rsidR="00E85E04" w:rsidRDefault="00E85E04" w:rsidP="00E85E04">
      <w:pPr>
        <w:ind w:left="284" w:hanging="284"/>
      </w:pPr>
      <w:r>
        <w:t>Cao S</w:t>
      </w:r>
      <w:r w:rsidR="000E1E91">
        <w:t>.</w:t>
      </w:r>
      <w:r>
        <w:t>, 2019, Research and Application of Peat in Agriculture</w:t>
      </w:r>
      <w:r w:rsidR="000E1E91">
        <w:t>,</w:t>
      </w:r>
      <w:r>
        <w:t xml:space="preserve"> IOP Conference Series: Earth and Environmental Science</w:t>
      </w:r>
      <w:r w:rsidR="000E1E91">
        <w:t>,</w:t>
      </w:r>
      <w:r>
        <w:t xml:space="preserve"> 384, 1.</w:t>
      </w:r>
    </w:p>
    <w:p w14:paraId="5F0BD747" w14:textId="77777777" w:rsidR="00E85E04" w:rsidRPr="000E1E91" w:rsidRDefault="00E85E04" w:rsidP="00E85E04">
      <w:pPr>
        <w:ind w:left="284" w:hanging="284"/>
        <w:rPr>
          <w:lang w:val="en-US"/>
        </w:rPr>
      </w:pPr>
      <w:proofErr w:type="spellStart"/>
      <w:r>
        <w:t>Celletti</w:t>
      </w:r>
      <w:proofErr w:type="spellEnd"/>
      <w:r>
        <w:t xml:space="preserve"> S</w:t>
      </w:r>
      <w:r w:rsidR="000E1E91">
        <w:t>.</w:t>
      </w:r>
      <w:r>
        <w:t>, Bergamo</w:t>
      </w:r>
      <w:r w:rsidR="000E1E91">
        <w:t xml:space="preserve"> A.</w:t>
      </w:r>
      <w:r>
        <w:t>, Benedetti</w:t>
      </w:r>
      <w:r w:rsidR="000E1E91">
        <w:t xml:space="preserve"> V.</w:t>
      </w:r>
      <w:r>
        <w:t xml:space="preserve">, Matteo </w:t>
      </w:r>
      <w:proofErr w:type="spellStart"/>
      <w:r>
        <w:t>Pecchi</w:t>
      </w:r>
      <w:proofErr w:type="spellEnd"/>
      <w:r>
        <w:t xml:space="preserve">, </w:t>
      </w:r>
      <w:proofErr w:type="spellStart"/>
      <w:r>
        <w:t>Patuzzi</w:t>
      </w:r>
      <w:proofErr w:type="spellEnd"/>
      <w:r w:rsidR="000E1E91">
        <w:t xml:space="preserve"> F.</w:t>
      </w:r>
      <w:r>
        <w:t>, Basso</w:t>
      </w:r>
      <w:r w:rsidR="000E1E91">
        <w:t xml:space="preserve"> D.</w:t>
      </w:r>
      <w:r>
        <w:t xml:space="preserve">, </w:t>
      </w:r>
      <w:proofErr w:type="spellStart"/>
      <w:r>
        <w:t>Baratieri</w:t>
      </w:r>
      <w:proofErr w:type="spellEnd"/>
      <w:r w:rsidR="000E1E91">
        <w:t xml:space="preserve"> M</w:t>
      </w:r>
      <w:r>
        <w:t xml:space="preserve">, </w:t>
      </w:r>
      <w:proofErr w:type="spellStart"/>
      <w:r>
        <w:t>Cesco</w:t>
      </w:r>
      <w:proofErr w:type="spellEnd"/>
      <w:r w:rsidR="000E1E91">
        <w:t xml:space="preserve"> S.</w:t>
      </w:r>
      <w:r>
        <w:t xml:space="preserve">, </w:t>
      </w:r>
      <w:proofErr w:type="spellStart"/>
      <w:r>
        <w:t>Mimmo</w:t>
      </w:r>
      <w:proofErr w:type="spellEnd"/>
      <w:r w:rsidR="000E1E91">
        <w:t xml:space="preserve"> T.</w:t>
      </w:r>
      <w:r>
        <w:t>, 2021, Phytotoxicity of Hydrochars Obtained by Hydrothermal Carbonization of Manure-Based Digestate</w:t>
      </w:r>
      <w:r w:rsidR="000E1E91">
        <w:t>,</w:t>
      </w:r>
      <w:r>
        <w:t xml:space="preserve"> </w:t>
      </w:r>
      <w:r w:rsidRPr="000E1E91">
        <w:rPr>
          <w:lang w:val="en-US"/>
        </w:rPr>
        <w:t>Journal of Environmental Management</w:t>
      </w:r>
      <w:r w:rsidR="000E1E91">
        <w:rPr>
          <w:lang w:val="en-US"/>
        </w:rPr>
        <w:t>,</w:t>
      </w:r>
      <w:r w:rsidRPr="000E1E91">
        <w:rPr>
          <w:lang w:val="en-US"/>
        </w:rPr>
        <w:t xml:space="preserve"> 280, 111635.</w:t>
      </w:r>
    </w:p>
    <w:p w14:paraId="644EAD03" w14:textId="77777777" w:rsidR="00E85E04" w:rsidRPr="00E85E04" w:rsidRDefault="00E85E04" w:rsidP="00E85E04">
      <w:pPr>
        <w:ind w:left="284" w:hanging="284"/>
        <w:rPr>
          <w:lang w:val="it-IT"/>
        </w:rPr>
      </w:pPr>
      <w:r w:rsidRPr="00E85E04">
        <w:rPr>
          <w:lang w:val="it-IT"/>
        </w:rPr>
        <w:t>D.Lgs n.75, 2010, Riordino e Revisione Della Disciplina in Materia Di Fertilizzanti a Norma Dell’articolo 13 Della Legge 7 Luglio 2009, n. 88. Gazzetta Ufficiale n.121, Roma 1–146.</w:t>
      </w:r>
    </w:p>
    <w:p w14:paraId="39502D59" w14:textId="77777777" w:rsidR="00E85E04" w:rsidRPr="007F0038" w:rsidRDefault="00E85E04" w:rsidP="00E85E04">
      <w:pPr>
        <w:ind w:left="284" w:hanging="284"/>
        <w:rPr>
          <w:lang w:val="it-IT"/>
        </w:rPr>
      </w:pPr>
      <w:r w:rsidRPr="007F0038">
        <w:rPr>
          <w:lang w:val="it-IT"/>
        </w:rPr>
        <w:t>Raspolli</w:t>
      </w:r>
      <w:r w:rsidR="000E1E91" w:rsidRPr="007F0038">
        <w:rPr>
          <w:lang w:val="it-IT"/>
        </w:rPr>
        <w:t xml:space="preserve"> Galletti A.M.</w:t>
      </w:r>
      <w:r w:rsidRPr="007F0038">
        <w:rPr>
          <w:lang w:val="it-IT"/>
        </w:rPr>
        <w:t>, Antonetti</w:t>
      </w:r>
      <w:r w:rsidR="000E1E91" w:rsidRPr="007F0038">
        <w:rPr>
          <w:lang w:val="it-IT"/>
        </w:rPr>
        <w:t xml:space="preserve"> C.</w:t>
      </w:r>
      <w:r w:rsidRPr="007F0038">
        <w:rPr>
          <w:lang w:val="it-IT"/>
        </w:rPr>
        <w:t>, Licursi</w:t>
      </w:r>
      <w:r w:rsidR="000E1E91" w:rsidRPr="007F0038">
        <w:rPr>
          <w:lang w:val="it-IT"/>
        </w:rPr>
        <w:t xml:space="preserve"> D.</w:t>
      </w:r>
      <w:r w:rsidRPr="007F0038">
        <w:rPr>
          <w:lang w:val="it-IT"/>
        </w:rPr>
        <w:t>, Mussi</w:t>
      </w:r>
      <w:r w:rsidR="000E1E91" w:rsidRPr="007F0038">
        <w:rPr>
          <w:lang w:val="it-IT"/>
        </w:rPr>
        <w:t xml:space="preserve"> L.</w:t>
      </w:r>
      <w:r w:rsidRPr="007F0038">
        <w:rPr>
          <w:lang w:val="it-IT"/>
        </w:rPr>
        <w:t>, Balestri</w:t>
      </w:r>
      <w:r w:rsidR="000E1E91" w:rsidRPr="007F0038">
        <w:rPr>
          <w:lang w:val="it-IT"/>
        </w:rPr>
        <w:t xml:space="preserve"> E.</w:t>
      </w:r>
      <w:r w:rsidRPr="007F0038">
        <w:rPr>
          <w:lang w:val="it-IT"/>
        </w:rPr>
        <w:t xml:space="preserve">, </w:t>
      </w:r>
      <w:proofErr w:type="spellStart"/>
      <w:r w:rsidRPr="007F0038">
        <w:rPr>
          <w:lang w:val="it-IT"/>
        </w:rPr>
        <w:t>Lardicci</w:t>
      </w:r>
      <w:proofErr w:type="spellEnd"/>
      <w:r w:rsidR="000E1E91" w:rsidRPr="007F0038">
        <w:rPr>
          <w:lang w:val="it-IT"/>
        </w:rPr>
        <w:t xml:space="preserve"> C.</w:t>
      </w:r>
      <w:r w:rsidRPr="007F0038">
        <w:rPr>
          <w:lang w:val="it-IT"/>
        </w:rPr>
        <w:t xml:space="preserve">, 2019, </w:t>
      </w:r>
      <w:proofErr w:type="spellStart"/>
      <w:r w:rsidRPr="007F0038">
        <w:rPr>
          <w:lang w:val="it-IT"/>
        </w:rPr>
        <w:t>Levulinic</w:t>
      </w:r>
      <w:proofErr w:type="spellEnd"/>
      <w:r w:rsidRPr="007F0038">
        <w:rPr>
          <w:lang w:val="it-IT"/>
        </w:rPr>
        <w:t xml:space="preserve"> Acid Production from the Green </w:t>
      </w:r>
      <w:proofErr w:type="spellStart"/>
      <w:r w:rsidRPr="007F0038">
        <w:rPr>
          <w:lang w:val="it-IT"/>
        </w:rPr>
        <w:t>Macroalgae</w:t>
      </w:r>
      <w:proofErr w:type="spellEnd"/>
      <w:r w:rsidRPr="007F0038">
        <w:rPr>
          <w:lang w:val="it-IT"/>
        </w:rPr>
        <w:t xml:space="preserve"> </w:t>
      </w:r>
      <w:proofErr w:type="spellStart"/>
      <w:r w:rsidRPr="007F0038">
        <w:rPr>
          <w:lang w:val="it-IT"/>
        </w:rPr>
        <w:t>Chaetomorpha</w:t>
      </w:r>
      <w:proofErr w:type="spellEnd"/>
      <w:r w:rsidRPr="007F0038">
        <w:rPr>
          <w:lang w:val="it-IT"/>
        </w:rPr>
        <w:t xml:space="preserve"> </w:t>
      </w:r>
      <w:proofErr w:type="spellStart"/>
      <w:r w:rsidRPr="007F0038">
        <w:rPr>
          <w:lang w:val="it-IT"/>
        </w:rPr>
        <w:t>Linum</w:t>
      </w:r>
      <w:proofErr w:type="spellEnd"/>
      <w:r w:rsidRPr="007F0038">
        <w:rPr>
          <w:lang w:val="it-IT"/>
        </w:rPr>
        <w:t xml:space="preserve"> and </w:t>
      </w:r>
      <w:proofErr w:type="spellStart"/>
      <w:r w:rsidRPr="007F0038">
        <w:rPr>
          <w:lang w:val="it-IT"/>
        </w:rPr>
        <w:t>Valonia</w:t>
      </w:r>
      <w:proofErr w:type="spellEnd"/>
      <w:r w:rsidRPr="007F0038">
        <w:rPr>
          <w:lang w:val="it-IT"/>
        </w:rPr>
        <w:t xml:space="preserve"> </w:t>
      </w:r>
      <w:proofErr w:type="spellStart"/>
      <w:r w:rsidRPr="007F0038">
        <w:rPr>
          <w:lang w:val="it-IT"/>
        </w:rPr>
        <w:t>Aegagropila</w:t>
      </w:r>
      <w:proofErr w:type="spellEnd"/>
      <w:r w:rsidRPr="007F0038">
        <w:rPr>
          <w:lang w:val="it-IT"/>
        </w:rPr>
        <w:t xml:space="preserve"> </w:t>
      </w:r>
      <w:proofErr w:type="spellStart"/>
      <w:r w:rsidRPr="007F0038">
        <w:rPr>
          <w:lang w:val="it-IT"/>
        </w:rPr>
        <w:t>Harvested</w:t>
      </w:r>
      <w:proofErr w:type="spellEnd"/>
      <w:r w:rsidRPr="007F0038">
        <w:rPr>
          <w:lang w:val="it-IT"/>
        </w:rPr>
        <w:t xml:space="preserve"> in the Orbetello </w:t>
      </w:r>
      <w:proofErr w:type="spellStart"/>
      <w:r w:rsidRPr="007F0038">
        <w:rPr>
          <w:lang w:val="it-IT"/>
        </w:rPr>
        <w:t>Lagoon</w:t>
      </w:r>
      <w:proofErr w:type="spellEnd"/>
      <w:r w:rsidR="000E1E91" w:rsidRPr="007F0038">
        <w:rPr>
          <w:lang w:val="it-IT"/>
        </w:rPr>
        <w:t>,</w:t>
      </w:r>
      <w:r w:rsidRPr="007F0038">
        <w:rPr>
          <w:lang w:val="it-IT"/>
        </w:rPr>
        <w:t xml:space="preserve"> Chemical Engineering Transactions</w:t>
      </w:r>
      <w:r w:rsidR="000E1E91" w:rsidRPr="007F0038">
        <w:rPr>
          <w:lang w:val="it-IT"/>
        </w:rPr>
        <w:t>,</w:t>
      </w:r>
      <w:r w:rsidRPr="007F0038">
        <w:rPr>
          <w:lang w:val="it-IT"/>
        </w:rPr>
        <w:t xml:space="preserve"> 74, March 2018, 103–8.</w:t>
      </w:r>
    </w:p>
    <w:p w14:paraId="53E88054" w14:textId="77777777" w:rsidR="00E85E04" w:rsidRDefault="00E85E04" w:rsidP="00E85E04">
      <w:pPr>
        <w:ind w:left="284" w:hanging="284"/>
      </w:pPr>
      <w:r>
        <w:t xml:space="preserve">Gould </w:t>
      </w:r>
      <w:r w:rsidR="000E1E91">
        <w:t>W.</w:t>
      </w:r>
      <w:r>
        <w:t>A.</w:t>
      </w:r>
      <w:r w:rsidR="000E1E91">
        <w:t>,</w:t>
      </w:r>
      <w:r>
        <w:t xml:space="preserve"> Walker</w:t>
      </w:r>
      <w:r w:rsidR="000E1E91" w:rsidRPr="000E1E91">
        <w:t xml:space="preserve"> </w:t>
      </w:r>
      <w:r w:rsidR="000E1E91">
        <w:t>M.D.</w:t>
      </w:r>
      <w:r>
        <w:t>, 1999, Plant Communities and Landscape Diversity along a Canadian Arctic River</w:t>
      </w:r>
      <w:r w:rsidR="000E1E91">
        <w:t>,</w:t>
      </w:r>
      <w:r>
        <w:t xml:space="preserve"> Journal of Vegetation Science</w:t>
      </w:r>
      <w:r w:rsidR="000E1E91">
        <w:t>,</w:t>
      </w:r>
      <w:r>
        <w:t xml:space="preserve"> 10, 4, 537–48.</w:t>
      </w:r>
    </w:p>
    <w:p w14:paraId="198FFDEB" w14:textId="77777777" w:rsidR="00E85E04" w:rsidRDefault="00E85E04" w:rsidP="00E85E04">
      <w:pPr>
        <w:ind w:left="284" w:hanging="284"/>
      </w:pPr>
      <w:proofErr w:type="spellStart"/>
      <w:r>
        <w:t>Jebsen</w:t>
      </w:r>
      <w:proofErr w:type="spellEnd"/>
      <w:r>
        <w:t xml:space="preserve"> C</w:t>
      </w:r>
      <w:r w:rsidR="000E1E91">
        <w:t>.</w:t>
      </w:r>
      <w:r>
        <w:t xml:space="preserve">, </w:t>
      </w:r>
      <w:proofErr w:type="spellStart"/>
      <w:r>
        <w:t>Norici</w:t>
      </w:r>
      <w:proofErr w:type="spellEnd"/>
      <w:r w:rsidR="000E1E91">
        <w:t xml:space="preserve"> A.</w:t>
      </w:r>
      <w:r>
        <w:t>, Wagner</w:t>
      </w:r>
      <w:r w:rsidR="000E1E91">
        <w:t xml:space="preserve"> H.</w:t>
      </w:r>
      <w:r>
        <w:t xml:space="preserve">, </w:t>
      </w:r>
      <w:proofErr w:type="spellStart"/>
      <w:r>
        <w:t>Palmucci</w:t>
      </w:r>
      <w:proofErr w:type="spellEnd"/>
      <w:r w:rsidR="000E1E91">
        <w:t xml:space="preserve"> M.</w:t>
      </w:r>
      <w:r>
        <w:t>, Giordano</w:t>
      </w:r>
      <w:r w:rsidR="000E1E91">
        <w:t xml:space="preserve"> M.</w:t>
      </w:r>
      <w:r>
        <w:t>, Wilhelm</w:t>
      </w:r>
      <w:r w:rsidR="000E1E91">
        <w:t xml:space="preserve"> C.</w:t>
      </w:r>
      <w:r>
        <w:t>, 2012, FTIR Spectra of Algal Species Can Be Used as Physiological Fingerprints to Assess Their Actual Growth Potential</w:t>
      </w:r>
      <w:r w:rsidR="000E1E91">
        <w:t>,</w:t>
      </w:r>
      <w:r>
        <w:t xml:space="preserve"> </w:t>
      </w:r>
      <w:proofErr w:type="spellStart"/>
      <w:r>
        <w:t>Physiologia</w:t>
      </w:r>
      <w:proofErr w:type="spellEnd"/>
      <w:r>
        <w:t xml:space="preserve"> Plantarum</w:t>
      </w:r>
      <w:r w:rsidR="000E1E91">
        <w:t>,</w:t>
      </w:r>
      <w:r>
        <w:t xml:space="preserve"> 146, 4, 427–38.</w:t>
      </w:r>
    </w:p>
    <w:p w14:paraId="440CED53" w14:textId="77777777" w:rsidR="00E85E04" w:rsidRDefault="00E85E04" w:rsidP="00E85E04">
      <w:pPr>
        <w:ind w:left="284" w:hanging="284"/>
      </w:pPr>
      <w:r>
        <w:t>Karimi</w:t>
      </w:r>
      <w:r w:rsidR="000E1E91">
        <w:t xml:space="preserve"> S.</w:t>
      </w:r>
      <w:r>
        <w:t xml:space="preserve">, </w:t>
      </w:r>
      <w:proofErr w:type="spellStart"/>
      <w:r>
        <w:t>Feizy</w:t>
      </w:r>
      <w:proofErr w:type="spellEnd"/>
      <w:r w:rsidR="000E1E91">
        <w:t xml:space="preserve"> J.</w:t>
      </w:r>
      <w:r>
        <w:t xml:space="preserve">, </w:t>
      </w:r>
      <w:proofErr w:type="spellStart"/>
      <w:r>
        <w:t>Mehrjo</w:t>
      </w:r>
      <w:proofErr w:type="spellEnd"/>
      <w:r w:rsidR="000E1E91">
        <w:t xml:space="preserve"> F.</w:t>
      </w:r>
      <w:r>
        <w:t xml:space="preserve">, </w:t>
      </w:r>
      <w:proofErr w:type="spellStart"/>
      <w:r>
        <w:t>Farrokhnia</w:t>
      </w:r>
      <w:proofErr w:type="spellEnd"/>
      <w:r w:rsidR="000E1E91">
        <w:t xml:space="preserve"> M.</w:t>
      </w:r>
      <w:r>
        <w:t>, 2016, Detection and Quantification of Food Colorant Adulteration in Saffron Sample Using Chemometric Analysis of FT-IR Spectra</w:t>
      </w:r>
      <w:r w:rsidR="000E1E91">
        <w:t>,</w:t>
      </w:r>
      <w:r>
        <w:t xml:space="preserve"> RSC Advances</w:t>
      </w:r>
      <w:r w:rsidR="000E1E91">
        <w:t>,</w:t>
      </w:r>
      <w:r>
        <w:t xml:space="preserve"> 6, 27, 23085–93.</w:t>
      </w:r>
    </w:p>
    <w:p w14:paraId="3EF95189" w14:textId="77777777" w:rsidR="00E85E04" w:rsidRDefault="00E85E04" w:rsidP="00E85E04">
      <w:pPr>
        <w:ind w:left="284" w:hanging="284"/>
      </w:pPr>
      <w:proofErr w:type="spellStart"/>
      <w:r>
        <w:t>Khosravi</w:t>
      </w:r>
      <w:proofErr w:type="spellEnd"/>
      <w:r>
        <w:t xml:space="preserve"> A</w:t>
      </w:r>
      <w:r w:rsidR="000E1E91">
        <w:t>.</w:t>
      </w:r>
      <w:r>
        <w:t>, Zheng</w:t>
      </w:r>
      <w:r w:rsidR="000E1E91">
        <w:t xml:space="preserve"> H.</w:t>
      </w:r>
      <w:r>
        <w:t>, Liu</w:t>
      </w:r>
      <w:r w:rsidR="000E1E91">
        <w:t xml:space="preserve"> Q.</w:t>
      </w:r>
      <w:r>
        <w:t>, Hashemi</w:t>
      </w:r>
      <w:r w:rsidR="000E1E91">
        <w:t xml:space="preserve"> M.</w:t>
      </w:r>
      <w:r>
        <w:t>, Tang</w:t>
      </w:r>
      <w:r w:rsidR="000E1E91">
        <w:t xml:space="preserve"> Y.</w:t>
      </w:r>
      <w:r>
        <w:t>, Xing</w:t>
      </w:r>
      <w:r w:rsidR="000E1E91">
        <w:t xml:space="preserve"> B.</w:t>
      </w:r>
      <w:r>
        <w:t>, 2022, Production and Characterization of Hydrochars and Their Application in Soil Improvement and Environmental Remediation</w:t>
      </w:r>
      <w:r w:rsidR="000E1E91">
        <w:t>,</w:t>
      </w:r>
      <w:r>
        <w:t xml:space="preserve"> Chemical Engineering Journal</w:t>
      </w:r>
      <w:r w:rsidR="000E1E91">
        <w:t>,</w:t>
      </w:r>
      <w:r>
        <w:t xml:space="preserve"> 430, P4, 133142.</w:t>
      </w:r>
    </w:p>
    <w:p w14:paraId="7DB9BA13" w14:textId="77777777" w:rsidR="00E85E04" w:rsidRDefault="00E85E04" w:rsidP="00E85E04">
      <w:pPr>
        <w:ind w:left="284" w:hanging="284"/>
      </w:pPr>
      <w:r>
        <w:t>McKendry P</w:t>
      </w:r>
      <w:r w:rsidR="000E1E91">
        <w:t>.</w:t>
      </w:r>
      <w:r>
        <w:t>, 2001, Energy Production from Biomass (Part 2): Conversion Technologies</w:t>
      </w:r>
      <w:r w:rsidR="000E1E91">
        <w:t>,</w:t>
      </w:r>
      <w:r>
        <w:t xml:space="preserve"> Bioresource Technology</w:t>
      </w:r>
      <w:r w:rsidR="000E1E91">
        <w:t>,</w:t>
      </w:r>
      <w:r>
        <w:t xml:space="preserve"> 95, July 2001, 47–54.</w:t>
      </w:r>
    </w:p>
    <w:p w14:paraId="59246BC7" w14:textId="77777777" w:rsidR="00E85E04" w:rsidRDefault="00E85E04" w:rsidP="00E85E04">
      <w:pPr>
        <w:ind w:left="284" w:hanging="284"/>
      </w:pPr>
      <w:proofErr w:type="spellStart"/>
      <w:r>
        <w:t>Migliore</w:t>
      </w:r>
      <w:proofErr w:type="spellEnd"/>
      <w:r>
        <w:t xml:space="preserve"> G., </w:t>
      </w:r>
      <w:proofErr w:type="spellStart"/>
      <w:r>
        <w:t>Alisi</w:t>
      </w:r>
      <w:proofErr w:type="spellEnd"/>
      <w:r w:rsidR="000E1E91">
        <w:t xml:space="preserve"> C.</w:t>
      </w:r>
      <w:r>
        <w:t xml:space="preserve">, </w:t>
      </w:r>
      <w:proofErr w:type="spellStart"/>
      <w:r>
        <w:t>Sprocati</w:t>
      </w:r>
      <w:proofErr w:type="spellEnd"/>
      <w:r w:rsidR="000E1E91">
        <w:t xml:space="preserve"> A.R.</w:t>
      </w:r>
      <w:r>
        <w:t xml:space="preserve">, </w:t>
      </w:r>
      <w:proofErr w:type="spellStart"/>
      <w:r>
        <w:t>Massi</w:t>
      </w:r>
      <w:proofErr w:type="spellEnd"/>
      <w:r w:rsidR="000E1E91">
        <w:t xml:space="preserve"> E.</w:t>
      </w:r>
      <w:r>
        <w:t xml:space="preserve">, </w:t>
      </w:r>
      <w:proofErr w:type="spellStart"/>
      <w:r>
        <w:t>Ciccoli</w:t>
      </w:r>
      <w:proofErr w:type="spellEnd"/>
      <w:r w:rsidR="000E1E91">
        <w:t xml:space="preserve"> R.</w:t>
      </w:r>
      <w:r>
        <w:t xml:space="preserve">, </w:t>
      </w:r>
      <w:proofErr w:type="spellStart"/>
      <w:r>
        <w:t>Lenzi</w:t>
      </w:r>
      <w:proofErr w:type="spellEnd"/>
      <w:r w:rsidR="000E1E91">
        <w:t xml:space="preserve"> M.</w:t>
      </w:r>
      <w:r>
        <w:t>, Wang</w:t>
      </w:r>
      <w:r w:rsidR="000E1E91">
        <w:t xml:space="preserve"> A.</w:t>
      </w:r>
      <w:r>
        <w:t xml:space="preserve">, </w:t>
      </w:r>
      <w:proofErr w:type="spellStart"/>
      <w:r>
        <w:t>Cremisini</w:t>
      </w:r>
      <w:proofErr w:type="spellEnd"/>
      <w:r w:rsidR="000E1E91">
        <w:t xml:space="preserve"> C.</w:t>
      </w:r>
      <w:r>
        <w:t xml:space="preserve">, 2012, Anaerobic Digestion of Macroalgal Biomass and Sediments Sourced from the </w:t>
      </w:r>
      <w:proofErr w:type="spellStart"/>
      <w:r>
        <w:t>Orbetello</w:t>
      </w:r>
      <w:proofErr w:type="spellEnd"/>
      <w:r>
        <w:t xml:space="preserve"> Lagoon, Italy</w:t>
      </w:r>
      <w:r w:rsidR="000E1E91">
        <w:t>,</w:t>
      </w:r>
      <w:r>
        <w:t xml:space="preserve"> Biomass and Bioenergy</w:t>
      </w:r>
      <w:r w:rsidR="000E1E91">
        <w:t>,</w:t>
      </w:r>
      <w:r>
        <w:t xml:space="preserve"> 42, 69–77.</w:t>
      </w:r>
    </w:p>
    <w:p w14:paraId="65479B51" w14:textId="77777777" w:rsidR="00E85E04" w:rsidRDefault="00E85E04" w:rsidP="00E85E04">
      <w:pPr>
        <w:ind w:left="284" w:hanging="284"/>
      </w:pPr>
      <w:proofErr w:type="spellStart"/>
      <w:r>
        <w:t>Morand</w:t>
      </w:r>
      <w:proofErr w:type="spellEnd"/>
      <w:r>
        <w:t xml:space="preserve"> P.</w:t>
      </w:r>
      <w:r w:rsidR="000E1E91">
        <w:t>,</w:t>
      </w:r>
      <w:r>
        <w:t xml:space="preserve"> Briand</w:t>
      </w:r>
      <w:r w:rsidR="000E1E91">
        <w:t xml:space="preserve"> X.</w:t>
      </w:r>
      <w:r>
        <w:t>, 1996, Excessive Growth of Macroalgae: A Symptom of Environmental Disturbance.</w:t>
      </w:r>
      <w:r w:rsidR="000E1E91">
        <w:t xml:space="preserve">, </w:t>
      </w:r>
      <w:r>
        <w:t>Botanica Marina</w:t>
      </w:r>
      <w:r w:rsidR="000E1E91">
        <w:t>,</w:t>
      </w:r>
      <w:r>
        <w:t xml:space="preserve"> 39, 6, 491–516.</w:t>
      </w:r>
    </w:p>
    <w:p w14:paraId="071E4D18" w14:textId="77777777" w:rsidR="00E85E04" w:rsidRDefault="00E85E04" w:rsidP="00E85E04">
      <w:pPr>
        <w:ind w:left="284" w:hanging="284"/>
      </w:pPr>
      <w:r>
        <w:t>Mumme J</w:t>
      </w:r>
      <w:r w:rsidR="000E1E91">
        <w:t>.</w:t>
      </w:r>
      <w:r>
        <w:t xml:space="preserve">, </w:t>
      </w:r>
      <w:proofErr w:type="spellStart"/>
      <w:r>
        <w:t>Eckervogt</w:t>
      </w:r>
      <w:proofErr w:type="spellEnd"/>
      <w:r w:rsidR="000E1E91">
        <w:t xml:space="preserve"> L.</w:t>
      </w:r>
      <w:r>
        <w:t xml:space="preserve">, </w:t>
      </w:r>
      <w:proofErr w:type="spellStart"/>
      <w:r>
        <w:t>Pielert</w:t>
      </w:r>
      <w:proofErr w:type="spellEnd"/>
      <w:r w:rsidR="000E1E91">
        <w:t xml:space="preserve"> J.</w:t>
      </w:r>
      <w:r>
        <w:t>, Diakité</w:t>
      </w:r>
      <w:r w:rsidR="000E1E91">
        <w:t xml:space="preserve"> M.</w:t>
      </w:r>
      <w:r>
        <w:t>, Rupp</w:t>
      </w:r>
      <w:r w:rsidR="000E1E91">
        <w:t xml:space="preserve"> F.</w:t>
      </w:r>
      <w:r>
        <w:t>, Kern</w:t>
      </w:r>
      <w:r w:rsidR="000E1E91">
        <w:t xml:space="preserve"> J.</w:t>
      </w:r>
      <w:r>
        <w:t>, 2011, Hydrothermal Carbonization of Anaerobically Digested Maize Silage</w:t>
      </w:r>
      <w:r w:rsidR="000E1E91">
        <w:t>,</w:t>
      </w:r>
      <w:r>
        <w:t xml:space="preserve"> Bioresource Technology</w:t>
      </w:r>
      <w:r w:rsidR="000E1E91">
        <w:t>,</w:t>
      </w:r>
      <w:r>
        <w:t xml:space="preserve"> 102, 19, 9255–60.</w:t>
      </w:r>
    </w:p>
    <w:p w14:paraId="30803CF4" w14:textId="77777777" w:rsidR="00E85E04" w:rsidRDefault="00E85E04" w:rsidP="00E85E04">
      <w:pPr>
        <w:ind w:left="284" w:hanging="284"/>
      </w:pPr>
      <w:r>
        <w:t xml:space="preserve">Peterson </w:t>
      </w:r>
      <w:r w:rsidR="000E1E91">
        <w:t>A.</w:t>
      </w:r>
      <w:r>
        <w:t>A., Vogel</w:t>
      </w:r>
      <w:r w:rsidR="000E1E91">
        <w:t xml:space="preserve"> F.</w:t>
      </w:r>
      <w:r>
        <w:t>, Lachance</w:t>
      </w:r>
      <w:r w:rsidR="000E1E91">
        <w:t xml:space="preserve"> R.P.</w:t>
      </w:r>
      <w:r>
        <w:t xml:space="preserve">, </w:t>
      </w:r>
      <w:proofErr w:type="spellStart"/>
      <w:r>
        <w:t>Fröling</w:t>
      </w:r>
      <w:proofErr w:type="spellEnd"/>
      <w:r w:rsidR="000E1E91">
        <w:t xml:space="preserve"> M.</w:t>
      </w:r>
      <w:r>
        <w:t xml:space="preserve">, </w:t>
      </w:r>
      <w:proofErr w:type="spellStart"/>
      <w:r>
        <w:t>Antal</w:t>
      </w:r>
      <w:proofErr w:type="spellEnd"/>
      <w:r w:rsidR="000E1E91">
        <w:t xml:space="preserve"> M.J.</w:t>
      </w:r>
      <w:r>
        <w:t xml:space="preserve"> Jr., Tester</w:t>
      </w:r>
      <w:r w:rsidR="000E1E91">
        <w:t xml:space="preserve"> J.W.</w:t>
      </w:r>
      <w:r>
        <w:t>, 2008, Thermochemical Biofuel Production in Hydrothermal Media: A Review of Sub- and Supercritical Water Technologies</w:t>
      </w:r>
      <w:r w:rsidR="000E1E91">
        <w:t>,</w:t>
      </w:r>
      <w:r>
        <w:t xml:space="preserve"> Energy &amp; Environmental Science</w:t>
      </w:r>
      <w:r w:rsidR="000E1E91">
        <w:t>,</w:t>
      </w:r>
      <w:r>
        <w:t xml:space="preserve"> 1, 1, 32–65.</w:t>
      </w:r>
    </w:p>
    <w:p w14:paraId="42AF2F10" w14:textId="77777777" w:rsidR="00E85E04" w:rsidRDefault="00E85E04" w:rsidP="00E85E04">
      <w:pPr>
        <w:ind w:left="284" w:hanging="284"/>
      </w:pPr>
      <w:r>
        <w:t>Ross A.B., Jones</w:t>
      </w:r>
      <w:r w:rsidR="000E1E91">
        <w:t xml:space="preserve"> J.M.</w:t>
      </w:r>
      <w:r>
        <w:t xml:space="preserve">, </w:t>
      </w:r>
      <w:proofErr w:type="spellStart"/>
      <w:r>
        <w:t>Kubacki</w:t>
      </w:r>
      <w:proofErr w:type="spellEnd"/>
      <w:r w:rsidR="000E1E91">
        <w:t xml:space="preserve"> M.L.</w:t>
      </w:r>
      <w:r>
        <w:t>, Bridgeman</w:t>
      </w:r>
      <w:r w:rsidR="000E1E91">
        <w:t xml:space="preserve"> T.</w:t>
      </w:r>
      <w:r>
        <w:t>, 2008, Classification of Macroalgae as Fuel and Its Thermochemical Behaviour</w:t>
      </w:r>
      <w:r w:rsidR="000E1E91">
        <w:t>,</w:t>
      </w:r>
      <w:r>
        <w:t xml:space="preserve"> Bioresource Technology</w:t>
      </w:r>
      <w:r w:rsidR="000E1E91">
        <w:t>,</w:t>
      </w:r>
      <w:r>
        <w:t xml:space="preserve"> 99, 14, 6494–6504.</w:t>
      </w:r>
    </w:p>
    <w:p w14:paraId="55AD4B28" w14:textId="77777777" w:rsidR="00E85E04" w:rsidRDefault="00E85E04" w:rsidP="00E85E04">
      <w:pPr>
        <w:ind w:left="284" w:hanging="284"/>
      </w:pPr>
      <w:proofErr w:type="spellStart"/>
      <w:r>
        <w:t>Sabio</w:t>
      </w:r>
      <w:proofErr w:type="spellEnd"/>
      <w:r>
        <w:t xml:space="preserve"> E., Álvarez-Murillo</w:t>
      </w:r>
      <w:r w:rsidR="000E1E91">
        <w:t xml:space="preserve"> A.</w:t>
      </w:r>
      <w:r>
        <w:t>, Román</w:t>
      </w:r>
      <w:r w:rsidR="000E1E91">
        <w:t xml:space="preserve"> S.</w:t>
      </w:r>
      <w:r>
        <w:t>, Ledesma</w:t>
      </w:r>
      <w:r w:rsidR="000E1E91">
        <w:t xml:space="preserve"> B.</w:t>
      </w:r>
      <w:r>
        <w:t>, 2016, Conversion of Tomato-Peel Waste into Solid Fuel by Hydrothermal Carbonization: Influence of the Processing Variables</w:t>
      </w:r>
      <w:r w:rsidR="00515E78">
        <w:t>,</w:t>
      </w:r>
      <w:r>
        <w:t xml:space="preserve"> Waste Management</w:t>
      </w:r>
      <w:r w:rsidR="00515E78">
        <w:t>,</w:t>
      </w:r>
      <w:r>
        <w:t xml:space="preserve"> 47, 122–32.</w:t>
      </w:r>
    </w:p>
    <w:p w14:paraId="74292F45" w14:textId="77777777" w:rsidR="00E85E04" w:rsidRDefault="00E85E04" w:rsidP="00E85E04">
      <w:pPr>
        <w:ind w:left="284" w:hanging="284"/>
      </w:pPr>
      <w:r>
        <w:t>Smith A</w:t>
      </w:r>
      <w:r w:rsidR="00515E78">
        <w:t>.</w:t>
      </w:r>
      <w:r>
        <w:t>M.</w:t>
      </w:r>
      <w:r w:rsidR="00515E78">
        <w:t>,</w:t>
      </w:r>
      <w:r>
        <w:t xml:space="preserve"> Ross</w:t>
      </w:r>
      <w:r w:rsidR="00515E78">
        <w:t xml:space="preserve"> A.B.</w:t>
      </w:r>
      <w:r>
        <w:t>, 2016, Production of Bio-Coal, Bio-Methane and Fertilizer from Seaweed via Hydrothermal Carbonisation</w:t>
      </w:r>
      <w:r w:rsidR="00515E78">
        <w:t>,</w:t>
      </w:r>
      <w:r>
        <w:t xml:space="preserve"> Algal Research</w:t>
      </w:r>
      <w:r w:rsidR="00515E78">
        <w:t>,</w:t>
      </w:r>
      <w:r>
        <w:t xml:space="preserve"> 16, 1–11.</w:t>
      </w:r>
    </w:p>
    <w:p w14:paraId="6B075FED" w14:textId="77777777" w:rsidR="00E85E04" w:rsidRDefault="00E85E04" w:rsidP="00E85E04">
      <w:pPr>
        <w:ind w:left="284" w:hanging="284"/>
      </w:pPr>
      <w:r>
        <w:t>Xu Q</w:t>
      </w:r>
      <w:r w:rsidR="00515E78">
        <w:t>.</w:t>
      </w:r>
      <w:r>
        <w:t>, Qian</w:t>
      </w:r>
      <w:r w:rsidR="00515E78">
        <w:t xml:space="preserve"> Q.</w:t>
      </w:r>
      <w:r>
        <w:t>, Quek</w:t>
      </w:r>
      <w:r w:rsidR="00515E78">
        <w:t xml:space="preserve"> A.</w:t>
      </w:r>
      <w:r>
        <w:t>, Ai</w:t>
      </w:r>
      <w:r w:rsidR="00515E78">
        <w:t xml:space="preserve"> N.</w:t>
      </w:r>
      <w:r>
        <w:t>, Zeng</w:t>
      </w:r>
      <w:r w:rsidR="00515E78">
        <w:t xml:space="preserve"> G.</w:t>
      </w:r>
      <w:r>
        <w:t>, Wang</w:t>
      </w:r>
      <w:r w:rsidR="00515E78">
        <w:t xml:space="preserve"> J.</w:t>
      </w:r>
      <w:r>
        <w:t>, 2013, Hydrothermal Carbonization of Macroalgae and the Effects of Experimental Parameters on the Properties of Hydrochars</w:t>
      </w:r>
      <w:r w:rsidR="00515E78">
        <w:t>,</w:t>
      </w:r>
      <w:r>
        <w:t xml:space="preserve"> ACS Sustainable Chemistry and Engineering</w:t>
      </w:r>
      <w:r w:rsidR="00515E78">
        <w:t>,</w:t>
      </w:r>
      <w:r>
        <w:t xml:space="preserve"> 1, 9, 1092–1101.</w:t>
      </w:r>
    </w:p>
    <w:p w14:paraId="14F7FCAA" w14:textId="77777777" w:rsidR="00E85E04" w:rsidRDefault="00E85E04" w:rsidP="00E85E04">
      <w:pPr>
        <w:ind w:left="284" w:hanging="284"/>
      </w:pPr>
    </w:p>
    <w:sectPr w:rsidR="00E85E04" w:rsidSect="00E85E0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B1A74" w14:textId="77777777" w:rsidR="00CC0FEA" w:rsidRDefault="00CC0FEA">
      <w:pPr>
        <w:spacing w:line="240" w:lineRule="auto"/>
      </w:pPr>
      <w:r>
        <w:separator/>
      </w:r>
    </w:p>
  </w:endnote>
  <w:endnote w:type="continuationSeparator" w:id="0">
    <w:p w14:paraId="387562ED" w14:textId="77777777" w:rsidR="00CC0FEA" w:rsidRDefault="00CC0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D91A" w14:textId="77777777" w:rsidR="00642233" w:rsidRDefault="006422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380796"/>
      <w:docPartObj>
        <w:docPartGallery w:val="Page Numbers (Bottom of Page)"/>
        <w:docPartUnique/>
      </w:docPartObj>
    </w:sdtPr>
    <w:sdtContent>
      <w:p w14:paraId="469606C4" w14:textId="4DFB8FB5" w:rsidR="00642233" w:rsidRDefault="00642233">
        <w:pPr>
          <w:pStyle w:val="Pidipagina"/>
          <w:jc w:val="center"/>
        </w:pPr>
        <w:r>
          <w:fldChar w:fldCharType="begin"/>
        </w:r>
        <w:r>
          <w:instrText>PAGE   \* MERGEFORMAT</w:instrText>
        </w:r>
        <w:r>
          <w:fldChar w:fldCharType="separate"/>
        </w:r>
        <w:r w:rsidRPr="005D4668">
          <w:rPr>
            <w:noProof/>
            <w:lang w:val="it-IT"/>
          </w:rPr>
          <w:t>1</w:t>
        </w:r>
        <w:r>
          <w:fldChar w:fldCharType="end"/>
        </w:r>
      </w:p>
    </w:sdtContent>
  </w:sdt>
  <w:p w14:paraId="048E62A0" w14:textId="77777777" w:rsidR="00642233" w:rsidRDefault="006422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B7CD" w14:textId="77777777" w:rsidR="00CC0FEA" w:rsidRDefault="00CC0FEA">
      <w:pPr>
        <w:spacing w:line="240" w:lineRule="auto"/>
      </w:pPr>
      <w:r>
        <w:separator/>
      </w:r>
    </w:p>
  </w:footnote>
  <w:footnote w:type="continuationSeparator" w:id="0">
    <w:p w14:paraId="648188B6" w14:textId="77777777" w:rsidR="00CC0FEA" w:rsidRDefault="00CC0F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B28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608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F86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AD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4426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2BE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E8A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A8DA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D2C9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F32674"/>
    <w:multiLevelType w:val="hybridMultilevel"/>
    <w:tmpl w:val="C6B6E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0674112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ascii="Arial" w:eastAsia="Times New Roman" w:hAnsi="Arial" w:cs="Times New Roman"/>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0961D7"/>
    <w:multiLevelType w:val="hybridMultilevel"/>
    <w:tmpl w:val="9814A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BC2EFF"/>
    <w:multiLevelType w:val="hybridMultilevel"/>
    <w:tmpl w:val="B360032E"/>
    <w:lvl w:ilvl="0" w:tplc="01405C4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842D03"/>
    <w:multiLevelType w:val="hybridMultilevel"/>
    <w:tmpl w:val="EC3EA802"/>
    <w:lvl w:ilvl="0" w:tplc="364EAE1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9"/>
  </w:num>
  <w:num w:numId="20">
    <w:abstractNumId w:val="18"/>
  </w:num>
  <w:num w:numId="21">
    <w:abstractNumId w:val="16"/>
  </w:num>
  <w:num w:numId="22">
    <w:abstractNumId w:val="17"/>
  </w:num>
  <w:num w:numId="23">
    <w:abstractNumId w:val="15"/>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04"/>
    <w:rsid w:val="000005A2"/>
    <w:rsid w:val="000076F6"/>
    <w:rsid w:val="00085D75"/>
    <w:rsid w:val="000E1E91"/>
    <w:rsid w:val="0011099D"/>
    <w:rsid w:val="001222C3"/>
    <w:rsid w:val="0013436B"/>
    <w:rsid w:val="00171C7B"/>
    <w:rsid w:val="00185194"/>
    <w:rsid w:val="002A1679"/>
    <w:rsid w:val="002B0B2C"/>
    <w:rsid w:val="003D3805"/>
    <w:rsid w:val="003D6F0A"/>
    <w:rsid w:val="00401ADF"/>
    <w:rsid w:val="0040224C"/>
    <w:rsid w:val="00412B39"/>
    <w:rsid w:val="00515E78"/>
    <w:rsid w:val="0052373A"/>
    <w:rsid w:val="0053296D"/>
    <w:rsid w:val="00550FC9"/>
    <w:rsid w:val="005D4668"/>
    <w:rsid w:val="005D72C5"/>
    <w:rsid w:val="00642233"/>
    <w:rsid w:val="006A7A23"/>
    <w:rsid w:val="006E79C2"/>
    <w:rsid w:val="00710C1C"/>
    <w:rsid w:val="007C73E0"/>
    <w:rsid w:val="007F0038"/>
    <w:rsid w:val="007F02DA"/>
    <w:rsid w:val="00852FC3"/>
    <w:rsid w:val="00864DF7"/>
    <w:rsid w:val="008727F7"/>
    <w:rsid w:val="008806E5"/>
    <w:rsid w:val="008F3609"/>
    <w:rsid w:val="00927F8C"/>
    <w:rsid w:val="009357BF"/>
    <w:rsid w:val="00975C0E"/>
    <w:rsid w:val="00A54A03"/>
    <w:rsid w:val="00B72076"/>
    <w:rsid w:val="00C15D9B"/>
    <w:rsid w:val="00C325E8"/>
    <w:rsid w:val="00C82FCB"/>
    <w:rsid w:val="00CC0FEA"/>
    <w:rsid w:val="00D40EEB"/>
    <w:rsid w:val="00D86E90"/>
    <w:rsid w:val="00D9406D"/>
    <w:rsid w:val="00E50CCF"/>
    <w:rsid w:val="00E85E04"/>
    <w:rsid w:val="00F97CF9"/>
    <w:rsid w:val="00FB3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307C"/>
  <w15:chartTrackingRefBased/>
  <w15:docId w15:val="{57BFDB9F-4085-48F4-80AB-F8CB6954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E85E04"/>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E85E04"/>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E85E0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E85E04"/>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E85E04"/>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E85E04"/>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E85E04"/>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E85E04"/>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85E04"/>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E85E0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rsid w:val="00E85E04"/>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E85E04"/>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E85E04"/>
    <w:rPr>
      <w:rFonts w:ascii="Arial" w:eastAsia="Times New Roman" w:hAnsi="Arial" w:cs="Times New Roman"/>
      <w:sz w:val="18"/>
      <w:szCs w:val="20"/>
      <w:lang w:val="en-US"/>
    </w:rPr>
  </w:style>
  <w:style w:type="character" w:customStyle="1" w:styleId="Titolo1Carattere">
    <w:name w:val="Titolo 1 Carattere"/>
    <w:basedOn w:val="Carpredefinitoparagrafo"/>
    <w:link w:val="Titolo1"/>
    <w:uiPriority w:val="9"/>
    <w:rsid w:val="00E85E04"/>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E85E04"/>
    <w:rPr>
      <w:rFonts w:asciiTheme="majorHAnsi" w:eastAsiaTheme="majorEastAsia" w:hAnsiTheme="majorHAnsi" w:cstheme="majorBidi"/>
      <w:b/>
      <w:bCs/>
      <w:color w:val="4472C4" w:themeColor="accent1"/>
      <w:sz w:val="26"/>
      <w:szCs w:val="26"/>
      <w:lang w:val="en-GB"/>
    </w:rPr>
  </w:style>
  <w:style w:type="character" w:customStyle="1" w:styleId="Titolo3Carattere">
    <w:name w:val="Titolo 3 Carattere"/>
    <w:basedOn w:val="Carpredefinitoparagrafo"/>
    <w:link w:val="Titolo3"/>
    <w:uiPriority w:val="9"/>
    <w:semiHidden/>
    <w:rsid w:val="00E85E04"/>
    <w:rPr>
      <w:rFonts w:asciiTheme="majorHAnsi" w:eastAsiaTheme="majorEastAsia" w:hAnsiTheme="majorHAnsi" w:cstheme="majorBidi"/>
      <w:b/>
      <w:bCs/>
      <w:color w:val="4472C4" w:themeColor="accent1"/>
      <w:sz w:val="18"/>
      <w:szCs w:val="20"/>
      <w:lang w:val="en-GB"/>
    </w:rPr>
  </w:style>
  <w:style w:type="character" w:customStyle="1" w:styleId="Titolo4Carattere">
    <w:name w:val="Titolo 4 Carattere"/>
    <w:basedOn w:val="Carpredefinitoparagrafo"/>
    <w:link w:val="Titolo4"/>
    <w:uiPriority w:val="9"/>
    <w:semiHidden/>
    <w:rsid w:val="00E85E04"/>
    <w:rPr>
      <w:rFonts w:asciiTheme="majorHAnsi" w:eastAsiaTheme="majorEastAsia" w:hAnsiTheme="majorHAnsi" w:cstheme="majorBidi"/>
      <w:b/>
      <w:bCs/>
      <w:i/>
      <w:iCs/>
      <w:color w:val="4472C4" w:themeColor="accent1"/>
      <w:sz w:val="18"/>
      <w:szCs w:val="20"/>
      <w:lang w:val="en-GB"/>
    </w:rPr>
  </w:style>
  <w:style w:type="character" w:customStyle="1" w:styleId="Titolo5Carattere">
    <w:name w:val="Titolo 5 Carattere"/>
    <w:basedOn w:val="Carpredefinitoparagrafo"/>
    <w:link w:val="Titolo5"/>
    <w:uiPriority w:val="9"/>
    <w:semiHidden/>
    <w:rsid w:val="00E85E04"/>
    <w:rPr>
      <w:rFonts w:asciiTheme="majorHAnsi" w:eastAsiaTheme="majorEastAsia" w:hAnsiTheme="majorHAnsi" w:cstheme="majorBidi"/>
      <w:color w:val="1F3763" w:themeColor="accent1" w:themeShade="7F"/>
      <w:sz w:val="18"/>
      <w:szCs w:val="20"/>
      <w:lang w:val="en-GB"/>
    </w:rPr>
  </w:style>
  <w:style w:type="character" w:customStyle="1" w:styleId="Titolo6Carattere">
    <w:name w:val="Titolo 6 Carattere"/>
    <w:basedOn w:val="Carpredefinitoparagrafo"/>
    <w:link w:val="Titolo6"/>
    <w:uiPriority w:val="9"/>
    <w:semiHidden/>
    <w:rsid w:val="00E85E04"/>
    <w:rPr>
      <w:rFonts w:asciiTheme="majorHAnsi" w:eastAsiaTheme="majorEastAsia" w:hAnsiTheme="majorHAnsi" w:cstheme="majorBidi"/>
      <w:i/>
      <w:iCs/>
      <w:color w:val="1F3763" w:themeColor="accent1" w:themeShade="7F"/>
      <w:sz w:val="18"/>
      <w:szCs w:val="20"/>
      <w:lang w:val="en-GB"/>
    </w:rPr>
  </w:style>
  <w:style w:type="character" w:customStyle="1" w:styleId="Titolo7Carattere">
    <w:name w:val="Titolo 7 Carattere"/>
    <w:basedOn w:val="Carpredefinitoparagrafo"/>
    <w:link w:val="Titolo7"/>
    <w:uiPriority w:val="9"/>
    <w:semiHidden/>
    <w:rsid w:val="00E85E04"/>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E85E04"/>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E85E04"/>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E85E04"/>
    <w:pPr>
      <w:keepNext/>
      <w:suppressAutoHyphens/>
      <w:spacing w:after="120"/>
    </w:pPr>
    <w:rPr>
      <w:noProof/>
      <w:sz w:val="24"/>
      <w:lang w:val="en-GB"/>
    </w:rPr>
  </w:style>
  <w:style w:type="character" w:customStyle="1" w:styleId="CETAuthorsCarattere">
    <w:name w:val="CET Authors Carattere"/>
    <w:link w:val="CETAuthors"/>
    <w:rsid w:val="00E85E04"/>
    <w:rPr>
      <w:rFonts w:ascii="Arial" w:eastAsia="Times New Roman" w:hAnsi="Arial" w:cs="Times New Roman"/>
      <w:noProof/>
      <w:sz w:val="24"/>
      <w:szCs w:val="20"/>
      <w:lang w:val="en-GB"/>
    </w:rPr>
  </w:style>
  <w:style w:type="paragraph" w:customStyle="1" w:styleId="CETTitle">
    <w:name w:val="CET Title"/>
    <w:next w:val="CETAuthors"/>
    <w:link w:val="CETTitleCarattere"/>
    <w:rsid w:val="00E85E04"/>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E85E04"/>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E85E0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character" w:customStyle="1" w:styleId="CETheadingxCarattere">
    <w:name w:val="CET headingx Carattere"/>
    <w:link w:val="CETheadingx"/>
    <w:rsid w:val="00E85E04"/>
    <w:rPr>
      <w:rFonts w:ascii="Arial" w:eastAsia="Times New Roman" w:hAnsi="Arial" w:cs="Times New Roman"/>
      <w:b/>
      <w:sz w:val="18"/>
      <w:szCs w:val="20"/>
      <w:lang w:val="en-US"/>
    </w:rPr>
  </w:style>
  <w:style w:type="paragraph" w:customStyle="1" w:styleId="CETAddress">
    <w:name w:val="CET Address"/>
    <w:link w:val="CETAddressCarattere"/>
    <w:qFormat/>
    <w:rsid w:val="00E85E04"/>
    <w:pPr>
      <w:keepNext/>
      <w:suppressAutoHyphens/>
      <w:spacing w:after="0" w:line="276" w:lineRule="auto"/>
      <w:contextualSpacing/>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E85E04"/>
    <w:rPr>
      <w:rFonts w:ascii="Arial" w:eastAsia="Times New Roman" w:hAnsi="Arial" w:cs="Times New Roman"/>
      <w:noProof/>
      <w:sz w:val="16"/>
      <w:szCs w:val="20"/>
      <w:lang w:val="en-GB"/>
    </w:rPr>
  </w:style>
  <w:style w:type="paragraph" w:customStyle="1" w:styleId="CETReference">
    <w:name w:val="CET Reference"/>
    <w:qFormat/>
    <w:rsid w:val="00E85E04"/>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E85E04"/>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E85E04"/>
    <w:rPr>
      <w:rFonts w:ascii="Arial" w:eastAsia="Times New Roman" w:hAnsi="Arial" w:cs="Times New Roman"/>
      <w:i/>
      <w:sz w:val="18"/>
      <w:szCs w:val="20"/>
      <w:lang w:val="en-GB"/>
    </w:rPr>
  </w:style>
  <w:style w:type="paragraph" w:customStyle="1" w:styleId="CETBodytextItalic">
    <w:name w:val="CET Body text (Italic)"/>
    <w:basedOn w:val="CETBodytext"/>
    <w:qFormat/>
    <w:rsid w:val="00E85E04"/>
    <w:rPr>
      <w:i/>
      <w:lang w:val="en-GB"/>
    </w:rPr>
  </w:style>
  <w:style w:type="character" w:styleId="Rimandocommento">
    <w:name w:val="annotation reference"/>
    <w:basedOn w:val="Carpredefinitoparagrafo"/>
    <w:uiPriority w:val="99"/>
    <w:semiHidden/>
    <w:unhideWhenUsed/>
    <w:rsid w:val="00E85E04"/>
    <w:rPr>
      <w:sz w:val="16"/>
      <w:szCs w:val="16"/>
    </w:rPr>
  </w:style>
  <w:style w:type="paragraph" w:styleId="Testofumetto">
    <w:name w:val="Balloon Text"/>
    <w:basedOn w:val="Normale"/>
    <w:link w:val="TestofumettoCarattere"/>
    <w:uiPriority w:val="99"/>
    <w:semiHidden/>
    <w:unhideWhenUsed/>
    <w:rsid w:val="00E85E0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E04"/>
    <w:rPr>
      <w:rFonts w:ascii="Tahoma" w:eastAsia="Times New Roman" w:hAnsi="Tahoma" w:cs="Tahoma"/>
      <w:sz w:val="16"/>
      <w:szCs w:val="16"/>
      <w:lang w:val="en-GB"/>
    </w:rPr>
  </w:style>
  <w:style w:type="paragraph" w:styleId="Bibliografia">
    <w:name w:val="Bibliography"/>
    <w:basedOn w:val="CETReferencetext"/>
    <w:uiPriority w:val="37"/>
    <w:unhideWhenUsed/>
    <w:rsid w:val="00E85E04"/>
    <w:pPr>
      <w:spacing w:line="240" w:lineRule="auto"/>
      <w:ind w:left="720" w:hanging="720"/>
    </w:pPr>
  </w:style>
  <w:style w:type="paragraph" w:customStyle="1" w:styleId="CETReferencetext">
    <w:name w:val="CET Reference text"/>
    <w:qFormat/>
    <w:rsid w:val="00E85E04"/>
    <w:pPr>
      <w:spacing w:after="0" w:line="264" w:lineRule="auto"/>
      <w:ind w:left="284" w:hanging="284"/>
      <w:jc w:val="both"/>
    </w:pPr>
    <w:rPr>
      <w:rFonts w:ascii="Arial" w:eastAsia="Times New Roman" w:hAnsi="Arial" w:cs="Times New Roman"/>
      <w:sz w:val="18"/>
      <w:szCs w:val="20"/>
      <w:lang w:val="en-GB"/>
    </w:rPr>
  </w:style>
  <w:style w:type="character" w:customStyle="1" w:styleId="Corpodeltesto2Carattere">
    <w:name w:val="Corpo del testo 2 Carattere"/>
    <w:basedOn w:val="Carpredefinitoparagrafo"/>
    <w:link w:val="Corpodeltesto2"/>
    <w:uiPriority w:val="99"/>
    <w:semiHidden/>
    <w:rsid w:val="00E85E04"/>
    <w:rPr>
      <w:rFonts w:ascii="Arial" w:eastAsia="Times New Roman" w:hAnsi="Arial" w:cs="Times New Roman"/>
      <w:sz w:val="18"/>
      <w:szCs w:val="20"/>
      <w:lang w:val="en-GB"/>
    </w:rPr>
  </w:style>
  <w:style w:type="paragraph" w:styleId="Corpodeltesto2">
    <w:name w:val="Body Text 2"/>
    <w:basedOn w:val="Normale"/>
    <w:link w:val="Corpodeltesto2Carattere"/>
    <w:uiPriority w:val="99"/>
    <w:semiHidden/>
    <w:unhideWhenUsed/>
    <w:rsid w:val="00E85E04"/>
    <w:pPr>
      <w:spacing w:after="120" w:line="480" w:lineRule="auto"/>
    </w:pPr>
  </w:style>
  <w:style w:type="character" w:customStyle="1" w:styleId="Corpodeltesto3Carattere">
    <w:name w:val="Corpo del testo 3 Carattere"/>
    <w:basedOn w:val="Carpredefinitoparagrafo"/>
    <w:link w:val="Corpodeltesto3"/>
    <w:uiPriority w:val="99"/>
    <w:semiHidden/>
    <w:rsid w:val="00E85E04"/>
    <w:rPr>
      <w:rFonts w:ascii="Arial" w:eastAsia="Times New Roman" w:hAnsi="Arial" w:cs="Times New Roman"/>
      <w:sz w:val="16"/>
      <w:szCs w:val="16"/>
      <w:lang w:val="en-GB"/>
    </w:rPr>
  </w:style>
  <w:style w:type="paragraph" w:styleId="Corpodeltesto3">
    <w:name w:val="Body Text 3"/>
    <w:basedOn w:val="Normale"/>
    <w:link w:val="Corpodeltesto3Carattere"/>
    <w:uiPriority w:val="99"/>
    <w:semiHidden/>
    <w:unhideWhenUsed/>
    <w:rsid w:val="00E85E04"/>
    <w:pPr>
      <w:spacing w:after="120"/>
    </w:pPr>
    <w:rPr>
      <w:sz w:val="16"/>
      <w:szCs w:val="16"/>
    </w:rPr>
  </w:style>
  <w:style w:type="paragraph" w:styleId="Corpotesto">
    <w:name w:val="Body Text"/>
    <w:basedOn w:val="Normale"/>
    <w:link w:val="CorpotestoCarattere"/>
    <w:uiPriority w:val="99"/>
    <w:semiHidden/>
    <w:unhideWhenUsed/>
    <w:rsid w:val="00E85E04"/>
    <w:pPr>
      <w:spacing w:after="120"/>
    </w:pPr>
  </w:style>
  <w:style w:type="character" w:customStyle="1" w:styleId="CorpotestoCarattere">
    <w:name w:val="Corpo testo Carattere"/>
    <w:basedOn w:val="Carpredefinitoparagrafo"/>
    <w:link w:val="Corpotesto"/>
    <w:uiPriority w:val="99"/>
    <w:semiHidden/>
    <w:rsid w:val="00E85E04"/>
    <w:rPr>
      <w:rFonts w:ascii="Arial" w:eastAsia="Times New Roman" w:hAnsi="Arial" w:cs="Times New Roman"/>
      <w:sz w:val="18"/>
      <w:szCs w:val="20"/>
      <w:lang w:val="en-GB"/>
    </w:rPr>
  </w:style>
  <w:style w:type="character" w:customStyle="1" w:styleId="DataCarattere">
    <w:name w:val="Data Carattere"/>
    <w:basedOn w:val="Carpredefinitoparagrafo"/>
    <w:link w:val="Data"/>
    <w:uiPriority w:val="99"/>
    <w:semiHidden/>
    <w:rsid w:val="00E85E04"/>
    <w:rPr>
      <w:rFonts w:ascii="Arial" w:eastAsia="Times New Roman" w:hAnsi="Arial" w:cs="Times New Roman"/>
      <w:sz w:val="18"/>
      <w:szCs w:val="20"/>
      <w:lang w:val="en-GB"/>
    </w:rPr>
  </w:style>
  <w:style w:type="paragraph" w:styleId="Data">
    <w:name w:val="Date"/>
    <w:basedOn w:val="Normale"/>
    <w:next w:val="Normale"/>
    <w:link w:val="DataCarattere"/>
    <w:uiPriority w:val="99"/>
    <w:semiHidden/>
    <w:unhideWhenUsed/>
    <w:rsid w:val="00E85E04"/>
  </w:style>
  <w:style w:type="paragraph" w:styleId="Didascalia">
    <w:name w:val="caption"/>
    <w:basedOn w:val="Normale"/>
    <w:next w:val="Normale"/>
    <w:uiPriority w:val="35"/>
    <w:unhideWhenUsed/>
    <w:qFormat/>
    <w:rsid w:val="00E85E04"/>
    <w:pPr>
      <w:spacing w:line="240" w:lineRule="auto"/>
    </w:pPr>
    <w:rPr>
      <w:b/>
      <w:bCs/>
      <w:color w:val="4472C4" w:themeColor="accent1"/>
      <w:szCs w:val="18"/>
    </w:rPr>
  </w:style>
  <w:style w:type="paragraph" w:styleId="Elenco">
    <w:name w:val="List"/>
    <w:basedOn w:val="Normale"/>
    <w:uiPriority w:val="99"/>
    <w:semiHidden/>
    <w:unhideWhenUsed/>
    <w:rsid w:val="00E85E04"/>
    <w:pPr>
      <w:ind w:left="283" w:hanging="283"/>
      <w:contextualSpacing/>
    </w:pPr>
  </w:style>
  <w:style w:type="character" w:customStyle="1" w:styleId="FirmaCarattere">
    <w:name w:val="Firma Carattere"/>
    <w:basedOn w:val="Carpredefinitoparagrafo"/>
    <w:link w:val="Firma"/>
    <w:uiPriority w:val="99"/>
    <w:semiHidden/>
    <w:rsid w:val="00E85E04"/>
    <w:rPr>
      <w:rFonts w:ascii="Arial" w:eastAsia="Times New Roman" w:hAnsi="Arial" w:cs="Times New Roman"/>
      <w:sz w:val="18"/>
      <w:szCs w:val="20"/>
      <w:lang w:val="en-GB"/>
    </w:rPr>
  </w:style>
  <w:style w:type="paragraph" w:styleId="Firma">
    <w:name w:val="Signature"/>
    <w:basedOn w:val="Normale"/>
    <w:link w:val="FirmaCarattere"/>
    <w:uiPriority w:val="99"/>
    <w:semiHidden/>
    <w:unhideWhenUsed/>
    <w:rsid w:val="00E85E04"/>
    <w:pPr>
      <w:spacing w:line="240" w:lineRule="auto"/>
      <w:ind w:left="4252"/>
    </w:pPr>
  </w:style>
  <w:style w:type="character" w:customStyle="1" w:styleId="FirmadipostaelettronicaCarattere">
    <w:name w:val="Firma di posta elettronica Carattere"/>
    <w:basedOn w:val="Carpredefinitoparagrafo"/>
    <w:link w:val="Firmadipostaelettronica"/>
    <w:uiPriority w:val="99"/>
    <w:semiHidden/>
    <w:rsid w:val="00E85E04"/>
    <w:rPr>
      <w:rFonts w:ascii="Arial" w:eastAsia="Times New Roman" w:hAnsi="Arial" w:cs="Times New Roman"/>
      <w:sz w:val="18"/>
      <w:szCs w:val="20"/>
      <w:lang w:val="en-GB"/>
    </w:rPr>
  </w:style>
  <w:style w:type="paragraph" w:styleId="Firmadipostaelettronica">
    <w:name w:val="E-mail Signature"/>
    <w:basedOn w:val="Normale"/>
    <w:link w:val="FirmadipostaelettronicaCarattere"/>
    <w:uiPriority w:val="99"/>
    <w:semiHidden/>
    <w:unhideWhenUsed/>
    <w:rsid w:val="00E85E04"/>
    <w:pPr>
      <w:spacing w:line="240" w:lineRule="auto"/>
    </w:pPr>
  </w:style>
  <w:style w:type="character" w:customStyle="1" w:styleId="FormuladiaperturaCarattere">
    <w:name w:val="Formula di apertura Carattere"/>
    <w:basedOn w:val="Carpredefinitoparagrafo"/>
    <w:link w:val="Formuladiapertura"/>
    <w:uiPriority w:val="99"/>
    <w:semiHidden/>
    <w:rsid w:val="00E85E04"/>
    <w:rPr>
      <w:rFonts w:ascii="Arial" w:eastAsia="Times New Roman" w:hAnsi="Arial" w:cs="Times New Roman"/>
      <w:sz w:val="18"/>
      <w:szCs w:val="20"/>
      <w:lang w:val="en-GB"/>
    </w:rPr>
  </w:style>
  <w:style w:type="paragraph" w:styleId="Formuladiapertura">
    <w:name w:val="Salutation"/>
    <w:basedOn w:val="Normale"/>
    <w:next w:val="Normale"/>
    <w:link w:val="FormuladiaperturaCarattere"/>
    <w:uiPriority w:val="99"/>
    <w:semiHidden/>
    <w:unhideWhenUsed/>
    <w:rsid w:val="00E85E04"/>
  </w:style>
  <w:style w:type="character" w:customStyle="1" w:styleId="FormuladichiusuraCarattere">
    <w:name w:val="Formula di chiusura Carattere"/>
    <w:basedOn w:val="Carpredefinitoparagrafo"/>
    <w:link w:val="Formuladichiusura"/>
    <w:uiPriority w:val="99"/>
    <w:semiHidden/>
    <w:rsid w:val="00E85E04"/>
    <w:rPr>
      <w:rFonts w:ascii="Arial" w:eastAsia="Times New Roman" w:hAnsi="Arial" w:cs="Times New Roman"/>
      <w:sz w:val="18"/>
      <w:szCs w:val="20"/>
      <w:lang w:val="en-GB"/>
    </w:rPr>
  </w:style>
  <w:style w:type="paragraph" w:styleId="Formuladichiusura">
    <w:name w:val="Closing"/>
    <w:basedOn w:val="Normale"/>
    <w:link w:val="FormuladichiusuraCarattere"/>
    <w:uiPriority w:val="99"/>
    <w:semiHidden/>
    <w:unhideWhenUsed/>
    <w:rsid w:val="00E85E04"/>
    <w:pPr>
      <w:spacing w:line="240" w:lineRule="auto"/>
      <w:ind w:left="4252"/>
    </w:pPr>
  </w:style>
  <w:style w:type="paragraph" w:styleId="Indice1">
    <w:name w:val="index 1"/>
    <w:basedOn w:val="Normale"/>
    <w:next w:val="Normale"/>
    <w:autoRedefine/>
    <w:uiPriority w:val="99"/>
    <w:semiHidden/>
    <w:unhideWhenUsed/>
    <w:rsid w:val="00E85E04"/>
    <w:pPr>
      <w:spacing w:line="240" w:lineRule="auto"/>
      <w:ind w:left="220" w:hanging="220"/>
    </w:pPr>
  </w:style>
  <w:style w:type="paragraph" w:styleId="Indirizzodestinatario">
    <w:name w:val="envelope address"/>
    <w:basedOn w:val="Normale"/>
    <w:uiPriority w:val="99"/>
    <w:semiHidden/>
    <w:unhideWhenUsed/>
    <w:rsid w:val="00E85E0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customStyle="1" w:styleId="IndirizzoHTMLCarattere">
    <w:name w:val="Indirizzo HTML Carattere"/>
    <w:basedOn w:val="Carpredefinitoparagrafo"/>
    <w:link w:val="IndirizzoHTML"/>
    <w:uiPriority w:val="99"/>
    <w:semiHidden/>
    <w:rsid w:val="00E85E04"/>
    <w:rPr>
      <w:rFonts w:ascii="Arial" w:eastAsia="Times New Roman" w:hAnsi="Arial" w:cs="Times New Roman"/>
      <w:i/>
      <w:iCs/>
      <w:sz w:val="18"/>
      <w:szCs w:val="20"/>
      <w:lang w:val="en-GB"/>
    </w:rPr>
  </w:style>
  <w:style w:type="paragraph" w:styleId="IndirizzoHTML">
    <w:name w:val="HTML Address"/>
    <w:basedOn w:val="Normale"/>
    <w:link w:val="IndirizzoHTMLCarattere"/>
    <w:uiPriority w:val="99"/>
    <w:semiHidden/>
    <w:unhideWhenUsed/>
    <w:rsid w:val="00E85E04"/>
    <w:pPr>
      <w:spacing w:line="240" w:lineRule="auto"/>
    </w:pPr>
    <w:rPr>
      <w:i/>
      <w:iCs/>
    </w:rPr>
  </w:style>
  <w:style w:type="character" w:customStyle="1" w:styleId="IntestazionemessaggioCarattere">
    <w:name w:val="Intestazione messaggio Carattere"/>
    <w:basedOn w:val="Carpredefinitoparagrafo"/>
    <w:link w:val="Intestazionemessaggio"/>
    <w:uiPriority w:val="99"/>
    <w:semiHidden/>
    <w:rsid w:val="00E85E04"/>
    <w:rPr>
      <w:rFonts w:asciiTheme="majorHAnsi" w:eastAsiaTheme="majorEastAsia" w:hAnsiTheme="majorHAnsi" w:cstheme="majorBidi"/>
      <w:sz w:val="24"/>
      <w:szCs w:val="24"/>
      <w:shd w:val="pct20" w:color="auto" w:fill="auto"/>
      <w:lang w:val="en-GB"/>
    </w:rPr>
  </w:style>
  <w:style w:type="paragraph" w:styleId="Intestazionemessaggio">
    <w:name w:val="Message Header"/>
    <w:basedOn w:val="Normale"/>
    <w:link w:val="IntestazionemessaggioCarattere"/>
    <w:uiPriority w:val="99"/>
    <w:semiHidden/>
    <w:unhideWhenUsed/>
    <w:rsid w:val="00E85E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notaCarattere">
    <w:name w:val="Intestazione nota Carattere"/>
    <w:basedOn w:val="Carpredefinitoparagrafo"/>
    <w:link w:val="Intestazionenota"/>
    <w:uiPriority w:val="99"/>
    <w:semiHidden/>
    <w:rsid w:val="00E85E04"/>
    <w:rPr>
      <w:rFonts w:ascii="Arial" w:eastAsia="Times New Roman" w:hAnsi="Arial" w:cs="Times New Roman"/>
      <w:sz w:val="18"/>
      <w:szCs w:val="20"/>
      <w:lang w:val="en-GB"/>
    </w:rPr>
  </w:style>
  <w:style w:type="paragraph" w:styleId="Intestazionenota">
    <w:name w:val="Note Heading"/>
    <w:basedOn w:val="Normale"/>
    <w:next w:val="Normale"/>
    <w:link w:val="IntestazionenotaCarattere"/>
    <w:uiPriority w:val="99"/>
    <w:semiHidden/>
    <w:unhideWhenUsed/>
    <w:rsid w:val="00E85E04"/>
    <w:pPr>
      <w:spacing w:line="240" w:lineRule="auto"/>
    </w:pPr>
  </w:style>
  <w:style w:type="character" w:customStyle="1" w:styleId="MappadocumentoCarattere">
    <w:name w:val="Mappa documento Carattere"/>
    <w:basedOn w:val="Carpredefinitoparagrafo"/>
    <w:link w:val="Mappadocumento"/>
    <w:uiPriority w:val="99"/>
    <w:semiHidden/>
    <w:rsid w:val="00E85E04"/>
    <w:rPr>
      <w:rFonts w:ascii="Tahoma" w:eastAsia="Times New Roman" w:hAnsi="Tahoma" w:cs="Tahoma"/>
      <w:sz w:val="16"/>
      <w:szCs w:val="16"/>
      <w:lang w:val="en-GB"/>
    </w:rPr>
  </w:style>
  <w:style w:type="paragraph" w:styleId="Mappadocumento">
    <w:name w:val="Document Map"/>
    <w:basedOn w:val="Normale"/>
    <w:link w:val="MappadocumentoCarattere"/>
    <w:uiPriority w:val="99"/>
    <w:semiHidden/>
    <w:unhideWhenUsed/>
    <w:rsid w:val="00E85E04"/>
    <w:pPr>
      <w:spacing w:line="240" w:lineRule="auto"/>
    </w:pPr>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rsid w:val="00E85E04"/>
    <w:rPr>
      <w:rFonts w:ascii="Consolas" w:eastAsia="Times New Roman" w:hAnsi="Consolas" w:cs="Consolas"/>
      <w:sz w:val="18"/>
      <w:szCs w:val="20"/>
      <w:lang w:val="en-GB"/>
    </w:rPr>
  </w:style>
  <w:style w:type="paragraph" w:styleId="PreformattatoHTML">
    <w:name w:val="HTML Preformatted"/>
    <w:basedOn w:val="Normale"/>
    <w:link w:val="PreformattatoHTMLCarattere"/>
    <w:uiPriority w:val="99"/>
    <w:semiHidden/>
    <w:unhideWhenUsed/>
    <w:rsid w:val="00E85E04"/>
    <w:pPr>
      <w:spacing w:line="240" w:lineRule="auto"/>
    </w:pPr>
    <w:rPr>
      <w:rFonts w:ascii="Consolas" w:hAnsi="Consolas" w:cs="Consolas"/>
    </w:rPr>
  </w:style>
  <w:style w:type="character" w:customStyle="1" w:styleId="PrimorientrocorpodeltestoCarattere">
    <w:name w:val="Primo rientro corpo del testo Carattere"/>
    <w:basedOn w:val="CorpotestoCarattere"/>
    <w:link w:val="Primorientrocorpodeltesto"/>
    <w:uiPriority w:val="99"/>
    <w:semiHidden/>
    <w:rsid w:val="00E85E04"/>
    <w:rPr>
      <w:rFonts w:ascii="Arial" w:eastAsia="Times New Roman" w:hAnsi="Arial" w:cs="Times New Roman"/>
      <w:sz w:val="18"/>
      <w:szCs w:val="20"/>
      <w:lang w:val="en-GB"/>
    </w:rPr>
  </w:style>
  <w:style w:type="paragraph" w:styleId="Primorientrocorpodeltesto">
    <w:name w:val="Body Text First Indent"/>
    <w:basedOn w:val="Corpotesto"/>
    <w:link w:val="PrimorientrocorpodeltestoCarattere"/>
    <w:uiPriority w:val="99"/>
    <w:semiHidden/>
    <w:unhideWhenUsed/>
    <w:rsid w:val="00E85E04"/>
    <w:pPr>
      <w:spacing w:after="200"/>
      <w:ind w:firstLine="360"/>
    </w:pPr>
  </w:style>
  <w:style w:type="character" w:customStyle="1" w:styleId="RientrocorpodeltestoCarattere">
    <w:name w:val="Rientro corpo del testo Carattere"/>
    <w:basedOn w:val="Carpredefinitoparagrafo"/>
    <w:link w:val="Rientrocorpodeltesto"/>
    <w:uiPriority w:val="99"/>
    <w:semiHidden/>
    <w:rsid w:val="00E85E04"/>
    <w:rPr>
      <w:rFonts w:ascii="Arial" w:eastAsia="Times New Roman" w:hAnsi="Arial" w:cs="Times New Roman"/>
      <w:sz w:val="18"/>
      <w:szCs w:val="20"/>
      <w:lang w:val="en-GB"/>
    </w:rPr>
  </w:style>
  <w:style w:type="paragraph" w:styleId="Rientrocorpodeltesto">
    <w:name w:val="Body Text Indent"/>
    <w:basedOn w:val="Normale"/>
    <w:link w:val="RientrocorpodeltestoCarattere"/>
    <w:uiPriority w:val="99"/>
    <w:semiHidden/>
    <w:unhideWhenUsed/>
    <w:rsid w:val="00E85E04"/>
    <w:pPr>
      <w:spacing w:after="120"/>
      <w:ind w:left="283"/>
    </w:pPr>
  </w:style>
  <w:style w:type="character" w:customStyle="1" w:styleId="Primorientrocorpodeltesto2Carattere">
    <w:name w:val="Primo rientro corpo del testo 2 Carattere"/>
    <w:basedOn w:val="RientrocorpodeltestoCarattere"/>
    <w:link w:val="Primorientrocorpodeltesto2"/>
    <w:uiPriority w:val="99"/>
    <w:semiHidden/>
    <w:rsid w:val="00E85E04"/>
    <w:rPr>
      <w:rFonts w:ascii="Arial" w:eastAsia="Times New Roman" w:hAnsi="Arial" w:cs="Times New Roman"/>
      <w:sz w:val="18"/>
      <w:szCs w:val="20"/>
      <w:lang w:val="en-GB"/>
    </w:rPr>
  </w:style>
  <w:style w:type="paragraph" w:styleId="Primorientrocorpodeltesto2">
    <w:name w:val="Body Text First Indent 2"/>
    <w:basedOn w:val="Rientrocorpodeltesto"/>
    <w:link w:val="Primorientrocorpodeltesto2Carattere"/>
    <w:uiPriority w:val="99"/>
    <w:semiHidden/>
    <w:unhideWhenUsed/>
    <w:rsid w:val="00E85E04"/>
    <w:pPr>
      <w:spacing w:after="200"/>
      <w:ind w:left="360" w:firstLine="360"/>
    </w:pPr>
  </w:style>
  <w:style w:type="paragraph" w:styleId="Puntoelenco">
    <w:name w:val="List Bullet"/>
    <w:basedOn w:val="Normale"/>
    <w:uiPriority w:val="99"/>
    <w:semiHidden/>
    <w:unhideWhenUsed/>
    <w:rsid w:val="00E85E04"/>
    <w:pPr>
      <w:numPr>
        <w:numId w:val="7"/>
      </w:numPr>
      <w:contextualSpacing/>
    </w:pPr>
  </w:style>
  <w:style w:type="character" w:customStyle="1" w:styleId="Rientrocorpodeltesto2Carattere">
    <w:name w:val="Rientro corpo del testo 2 Carattere"/>
    <w:basedOn w:val="Carpredefinitoparagrafo"/>
    <w:link w:val="Rientrocorpodeltesto2"/>
    <w:uiPriority w:val="99"/>
    <w:semiHidden/>
    <w:rsid w:val="00E85E04"/>
    <w:rPr>
      <w:rFonts w:ascii="Arial" w:eastAsia="Times New Roman" w:hAnsi="Arial" w:cs="Times New Roman"/>
      <w:sz w:val="18"/>
      <w:szCs w:val="20"/>
      <w:lang w:val="en-GB"/>
    </w:rPr>
  </w:style>
  <w:style w:type="paragraph" w:styleId="Rientrocorpodeltesto2">
    <w:name w:val="Body Text Indent 2"/>
    <w:basedOn w:val="Normale"/>
    <w:link w:val="Rientrocorpodeltesto2Carattere"/>
    <w:uiPriority w:val="99"/>
    <w:semiHidden/>
    <w:unhideWhenUsed/>
    <w:rsid w:val="00E85E04"/>
    <w:pPr>
      <w:spacing w:after="120" w:line="480" w:lineRule="auto"/>
      <w:ind w:left="283"/>
    </w:pPr>
  </w:style>
  <w:style w:type="character" w:customStyle="1" w:styleId="Rientrocorpodeltesto3Carattere">
    <w:name w:val="Rientro corpo del testo 3 Carattere"/>
    <w:basedOn w:val="Carpredefinitoparagrafo"/>
    <w:link w:val="Rientrocorpodeltesto3"/>
    <w:uiPriority w:val="99"/>
    <w:semiHidden/>
    <w:rsid w:val="00E85E04"/>
    <w:rPr>
      <w:rFonts w:ascii="Arial" w:eastAsia="Times New Roman" w:hAnsi="Arial" w:cs="Times New Roman"/>
      <w:sz w:val="16"/>
      <w:szCs w:val="16"/>
      <w:lang w:val="en-GB"/>
    </w:rPr>
  </w:style>
  <w:style w:type="paragraph" w:styleId="Rientrocorpodeltesto3">
    <w:name w:val="Body Text Indent 3"/>
    <w:basedOn w:val="Normale"/>
    <w:link w:val="Rientrocorpodeltesto3Carattere"/>
    <w:uiPriority w:val="99"/>
    <w:semiHidden/>
    <w:unhideWhenUsed/>
    <w:rsid w:val="00E85E04"/>
    <w:pPr>
      <w:spacing w:after="120"/>
      <w:ind w:left="283"/>
    </w:pPr>
    <w:rPr>
      <w:sz w:val="16"/>
      <w:szCs w:val="16"/>
    </w:rPr>
  </w:style>
  <w:style w:type="paragraph" w:styleId="Rientronormale">
    <w:name w:val="Normal Indent"/>
    <w:basedOn w:val="Normale"/>
    <w:uiPriority w:val="99"/>
    <w:semiHidden/>
    <w:unhideWhenUsed/>
    <w:rsid w:val="00E85E04"/>
    <w:pPr>
      <w:ind w:left="720"/>
    </w:pPr>
  </w:style>
  <w:style w:type="paragraph" w:styleId="Testocommento">
    <w:name w:val="annotation text"/>
    <w:basedOn w:val="Normale"/>
    <w:link w:val="TestocommentoCarattere"/>
    <w:uiPriority w:val="99"/>
    <w:unhideWhenUsed/>
    <w:rsid w:val="00E85E04"/>
    <w:pPr>
      <w:spacing w:line="240" w:lineRule="auto"/>
    </w:pPr>
  </w:style>
  <w:style w:type="character" w:customStyle="1" w:styleId="TestocommentoCarattere">
    <w:name w:val="Testo commento Carattere"/>
    <w:basedOn w:val="Carpredefinitoparagrafo"/>
    <w:link w:val="Testocommento"/>
    <w:uiPriority w:val="99"/>
    <w:rsid w:val="00E85E04"/>
    <w:rPr>
      <w:rFonts w:ascii="Arial" w:eastAsia="Times New Roman" w:hAnsi="Arial" w:cs="Times New Roman"/>
      <w:sz w:val="18"/>
      <w:szCs w:val="20"/>
      <w:lang w:val="en-GB"/>
    </w:rPr>
  </w:style>
  <w:style w:type="character" w:customStyle="1" w:styleId="SoggettocommentoCarattere">
    <w:name w:val="Soggetto commento Carattere"/>
    <w:basedOn w:val="TestocommentoCarattere"/>
    <w:link w:val="Soggettocommento"/>
    <w:uiPriority w:val="99"/>
    <w:semiHidden/>
    <w:rsid w:val="00E85E04"/>
    <w:rPr>
      <w:rFonts w:ascii="Arial" w:eastAsia="Times New Roman" w:hAnsi="Arial" w:cs="Times New Roman"/>
      <w:b/>
      <w:bCs/>
      <w:sz w:val="18"/>
      <w:szCs w:val="20"/>
      <w:lang w:val="en-GB"/>
    </w:rPr>
  </w:style>
  <w:style w:type="paragraph" w:styleId="Soggettocommento">
    <w:name w:val="annotation subject"/>
    <w:basedOn w:val="Testocommento"/>
    <w:next w:val="Testocommento"/>
    <w:link w:val="SoggettocommentoCarattere"/>
    <w:uiPriority w:val="99"/>
    <w:semiHidden/>
    <w:unhideWhenUsed/>
    <w:rsid w:val="00E85E04"/>
    <w:rPr>
      <w:b/>
      <w:bCs/>
    </w:rPr>
  </w:style>
  <w:style w:type="paragraph" w:styleId="Sommario1">
    <w:name w:val="toc 1"/>
    <w:basedOn w:val="Normale"/>
    <w:next w:val="Normale"/>
    <w:autoRedefine/>
    <w:uiPriority w:val="39"/>
    <w:semiHidden/>
    <w:unhideWhenUsed/>
    <w:rsid w:val="00E85E04"/>
    <w:pPr>
      <w:spacing w:after="100"/>
    </w:pPr>
  </w:style>
  <w:style w:type="character" w:customStyle="1" w:styleId="TestomacroCarattere">
    <w:name w:val="Testo macro Carattere"/>
    <w:basedOn w:val="Carpredefinitoparagrafo"/>
    <w:link w:val="Testomacro"/>
    <w:uiPriority w:val="99"/>
    <w:semiHidden/>
    <w:rsid w:val="00E85E04"/>
    <w:rPr>
      <w:rFonts w:ascii="Consolas" w:hAnsi="Consolas" w:cs="Consolas"/>
      <w:sz w:val="20"/>
      <w:szCs w:val="20"/>
    </w:rPr>
  </w:style>
  <w:style w:type="paragraph" w:styleId="Testomacro">
    <w:name w:val="macro"/>
    <w:link w:val="TestomacroCarattere"/>
    <w:uiPriority w:val="99"/>
    <w:semiHidden/>
    <w:unhideWhenUsed/>
    <w:rsid w:val="00E85E0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rsid w:val="00E85E04"/>
    <w:rPr>
      <w:rFonts w:ascii="Consolas" w:eastAsia="Times New Roman" w:hAnsi="Consolas" w:cs="Consolas"/>
      <w:sz w:val="21"/>
      <w:szCs w:val="21"/>
      <w:lang w:val="en-GB"/>
    </w:rPr>
  </w:style>
  <w:style w:type="paragraph" w:styleId="Testonormale">
    <w:name w:val="Plain Text"/>
    <w:basedOn w:val="Normale"/>
    <w:link w:val="TestonormaleCarattere"/>
    <w:uiPriority w:val="99"/>
    <w:semiHidden/>
    <w:unhideWhenUsed/>
    <w:rsid w:val="00E85E04"/>
    <w:pPr>
      <w:spacing w:line="240" w:lineRule="auto"/>
    </w:pPr>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rsid w:val="00E85E04"/>
    <w:rPr>
      <w:rFonts w:ascii="Arial" w:eastAsia="Times New Roman" w:hAnsi="Arial" w:cs="Times New Roman"/>
      <w:sz w:val="18"/>
      <w:szCs w:val="20"/>
      <w:lang w:val="en-GB"/>
    </w:rPr>
  </w:style>
  <w:style w:type="paragraph" w:styleId="Testonotaapidipagina">
    <w:name w:val="footnote text"/>
    <w:basedOn w:val="Normale"/>
    <w:link w:val="TestonotaapidipaginaCarattere"/>
    <w:uiPriority w:val="99"/>
    <w:semiHidden/>
    <w:unhideWhenUsed/>
    <w:rsid w:val="00E85E04"/>
    <w:pPr>
      <w:spacing w:line="240" w:lineRule="auto"/>
    </w:pPr>
  </w:style>
  <w:style w:type="character" w:customStyle="1" w:styleId="TestonotadichiusuraCarattere">
    <w:name w:val="Testo nota di chiusura Carattere"/>
    <w:basedOn w:val="Carpredefinitoparagrafo"/>
    <w:link w:val="Testonotadichiusura"/>
    <w:uiPriority w:val="99"/>
    <w:semiHidden/>
    <w:rsid w:val="00E85E04"/>
    <w:rPr>
      <w:rFonts w:ascii="Arial" w:eastAsia="Times New Roman" w:hAnsi="Arial" w:cs="Times New Roman"/>
      <w:sz w:val="18"/>
      <w:szCs w:val="20"/>
      <w:lang w:val="en-GB"/>
    </w:rPr>
  </w:style>
  <w:style w:type="paragraph" w:styleId="Testonotadichiusura">
    <w:name w:val="endnote text"/>
    <w:basedOn w:val="Normale"/>
    <w:link w:val="TestonotadichiusuraCarattere"/>
    <w:uiPriority w:val="99"/>
    <w:semiHidden/>
    <w:unhideWhenUsed/>
    <w:rsid w:val="00E85E04"/>
    <w:pPr>
      <w:spacing w:line="240" w:lineRule="auto"/>
    </w:pPr>
  </w:style>
  <w:style w:type="paragraph" w:customStyle="1" w:styleId="CETemail">
    <w:name w:val="CET email"/>
    <w:next w:val="CETBodytext"/>
    <w:rsid w:val="00E85E04"/>
    <w:pPr>
      <w:spacing w:after="240" w:line="276" w:lineRule="auto"/>
    </w:pPr>
    <w:rPr>
      <w:rFonts w:ascii="Arial" w:eastAsia="Times New Roman" w:hAnsi="Arial" w:cs="Times New Roman"/>
      <w:noProof/>
      <w:sz w:val="16"/>
      <w:szCs w:val="20"/>
      <w:lang w:val="en-GB"/>
    </w:rPr>
  </w:style>
  <w:style w:type="paragraph" w:customStyle="1" w:styleId="CETBodytextBold">
    <w:name w:val="CET Body text (Bold)"/>
    <w:basedOn w:val="CETBodytext"/>
    <w:rsid w:val="00E85E04"/>
    <w:rPr>
      <w:b/>
    </w:rPr>
  </w:style>
  <w:style w:type="paragraph" w:customStyle="1" w:styleId="CETnumberingbullets">
    <w:name w:val="CET numbering (bullets)"/>
    <w:rsid w:val="00E85E04"/>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E85E04"/>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E85E04"/>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E85E04"/>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85E04"/>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E85E04"/>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85E04"/>
    <w:rPr>
      <w:rFonts w:ascii="Arial" w:eastAsia="Times New Roman" w:hAnsi="Arial" w:cs="Times New Roman"/>
      <w:sz w:val="18"/>
      <w:szCs w:val="20"/>
      <w:lang w:val="en-GB"/>
    </w:rPr>
  </w:style>
  <w:style w:type="table" w:styleId="Grigliatabella">
    <w:name w:val="Table Grid"/>
    <w:basedOn w:val="Tabellanormale"/>
    <w:uiPriority w:val="59"/>
    <w:rsid w:val="00E85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E04"/>
    <w:rPr>
      <w:color w:val="0563C1" w:themeColor="hyperlink"/>
      <w:u w:val="single"/>
    </w:rPr>
  </w:style>
  <w:style w:type="character" w:customStyle="1" w:styleId="eudoraheader">
    <w:name w:val="eudoraheader"/>
    <w:basedOn w:val="Carpredefinitoparagrafo"/>
    <w:rsid w:val="00E85E04"/>
  </w:style>
  <w:style w:type="paragraph" w:customStyle="1" w:styleId="CETListbullets">
    <w:name w:val="CET List bullets"/>
    <w:qFormat/>
    <w:rsid w:val="00E85E04"/>
    <w:pPr>
      <w:spacing w:after="0" w:line="264" w:lineRule="auto"/>
      <w:ind w:left="340" w:hanging="227"/>
      <w:jc w:val="both"/>
    </w:pPr>
    <w:rPr>
      <w:rFonts w:ascii="Arial" w:eastAsia="Times New Roman" w:hAnsi="Arial" w:cs="Times New Roman"/>
      <w:sz w:val="18"/>
      <w:szCs w:val="20"/>
      <w:lang w:val="en-GB"/>
    </w:rPr>
  </w:style>
  <w:style w:type="paragraph" w:customStyle="1" w:styleId="CETTabletitle">
    <w:name w:val="CET Table title"/>
    <w:qFormat/>
    <w:rsid w:val="00E85E04"/>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E85E04"/>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E85E04"/>
    <w:pPr>
      <w:spacing w:before="120" w:after="120"/>
      <w:jc w:val="left"/>
    </w:pPr>
    <w:rPr>
      <w:lang w:val="en-GB"/>
    </w:rPr>
  </w:style>
  <w:style w:type="paragraph" w:customStyle="1" w:styleId="CETHeadingxx">
    <w:name w:val="CET Headingxx"/>
    <w:basedOn w:val="CETheadingx"/>
    <w:link w:val="CETHeadingxxChar"/>
    <w:qFormat/>
    <w:rsid w:val="00E85E04"/>
    <w:pPr>
      <w:numPr>
        <w:ilvl w:val="0"/>
        <w:numId w:val="0"/>
      </w:numPr>
    </w:pPr>
  </w:style>
  <w:style w:type="character" w:customStyle="1" w:styleId="CETHeadingxxChar">
    <w:name w:val="CET Headingxx Char"/>
    <w:basedOn w:val="CETheadingxCarattere"/>
    <w:link w:val="CETHeadingxx"/>
    <w:rsid w:val="00E85E04"/>
    <w:rPr>
      <w:rFonts w:ascii="Arial" w:eastAsia="Times New Roman" w:hAnsi="Arial" w:cs="Times New Roman"/>
      <w:b/>
      <w:sz w:val="18"/>
      <w:szCs w:val="20"/>
      <w:lang w:val="en-US"/>
    </w:rPr>
  </w:style>
  <w:style w:type="paragraph" w:styleId="Nessunaspaziatura">
    <w:name w:val="No Spacing"/>
    <w:uiPriority w:val="1"/>
    <w:qFormat/>
    <w:rsid w:val="00E85E04"/>
    <w:pPr>
      <w:tabs>
        <w:tab w:val="right" w:pos="7100"/>
      </w:tabs>
      <w:spacing w:after="0" w:line="240" w:lineRule="auto"/>
      <w:jc w:val="both"/>
    </w:pPr>
    <w:rPr>
      <w:rFonts w:ascii="Arial" w:eastAsia="Times New Roman" w:hAnsi="Arial" w:cs="Times New Roman"/>
      <w:sz w:val="18"/>
      <w:szCs w:val="20"/>
      <w:lang w:val="en-GB"/>
    </w:rPr>
  </w:style>
  <w:style w:type="paragraph" w:customStyle="1" w:styleId="equzione">
    <w:name w:val="equzione"/>
    <w:basedOn w:val="Normale"/>
    <w:link w:val="equzioneCarattere"/>
    <w:qFormat/>
    <w:rsid w:val="00E85E04"/>
    <w:pPr>
      <w:tabs>
        <w:tab w:val="clear" w:pos="7100"/>
      </w:tabs>
      <w:autoSpaceDE w:val="0"/>
      <w:autoSpaceDN w:val="0"/>
      <w:adjustRightInd w:val="0"/>
      <w:spacing w:after="240" w:line="240" w:lineRule="auto"/>
    </w:pPr>
    <w:rPr>
      <w:rFonts w:ascii="Cambria Math" w:eastAsiaTheme="minorHAnsi" w:hAnsi="Cambria Math" w:cstheme="minorHAnsi"/>
      <w:i/>
      <w:sz w:val="22"/>
      <w:szCs w:val="22"/>
      <w:lang w:val="it-IT"/>
    </w:rPr>
  </w:style>
  <w:style w:type="character" w:customStyle="1" w:styleId="equzioneCarattere">
    <w:name w:val="equzione Carattere"/>
    <w:basedOn w:val="Carpredefinitoparagrafo"/>
    <w:link w:val="equzione"/>
    <w:rsid w:val="00E85E04"/>
    <w:rPr>
      <w:rFonts w:ascii="Cambria Math" w:hAnsi="Cambria Math" w:cstheme="minorHAnsi"/>
      <w:i/>
    </w:rPr>
  </w:style>
  <w:style w:type="table" w:styleId="Tabellasemplice1">
    <w:name w:val="Table Simple 1"/>
    <w:basedOn w:val="Tabellanormale"/>
    <w:semiHidden/>
    <w:rsid w:val="00515E78"/>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lenco2">
    <w:name w:val="List 2"/>
    <w:basedOn w:val="Normale"/>
    <w:uiPriority w:val="99"/>
    <w:semiHidden/>
    <w:unhideWhenUsed/>
    <w:rsid w:val="00515E78"/>
    <w:pPr>
      <w:ind w:left="566" w:hanging="283"/>
      <w:contextualSpacing/>
    </w:pPr>
  </w:style>
  <w:style w:type="paragraph" w:styleId="Elenco3">
    <w:name w:val="List 3"/>
    <w:basedOn w:val="Normale"/>
    <w:uiPriority w:val="99"/>
    <w:semiHidden/>
    <w:unhideWhenUsed/>
    <w:rsid w:val="00515E78"/>
    <w:pPr>
      <w:ind w:left="849" w:hanging="283"/>
      <w:contextualSpacing/>
    </w:pPr>
  </w:style>
  <w:style w:type="paragraph" w:styleId="Elenco4">
    <w:name w:val="List 4"/>
    <w:basedOn w:val="Normale"/>
    <w:uiPriority w:val="99"/>
    <w:semiHidden/>
    <w:unhideWhenUsed/>
    <w:rsid w:val="00515E78"/>
    <w:pPr>
      <w:ind w:left="1132" w:hanging="283"/>
      <w:contextualSpacing/>
    </w:pPr>
  </w:style>
  <w:style w:type="paragraph" w:styleId="Elenco5">
    <w:name w:val="List 5"/>
    <w:basedOn w:val="Normale"/>
    <w:uiPriority w:val="99"/>
    <w:semiHidden/>
    <w:unhideWhenUsed/>
    <w:rsid w:val="00515E78"/>
    <w:pPr>
      <w:ind w:left="1415" w:hanging="283"/>
      <w:contextualSpacing/>
    </w:pPr>
  </w:style>
  <w:style w:type="paragraph" w:styleId="Elencocontinua">
    <w:name w:val="List Continue"/>
    <w:basedOn w:val="Normale"/>
    <w:uiPriority w:val="99"/>
    <w:semiHidden/>
    <w:unhideWhenUsed/>
    <w:rsid w:val="00515E78"/>
    <w:pPr>
      <w:spacing w:after="120"/>
      <w:ind w:left="283"/>
      <w:contextualSpacing/>
    </w:pPr>
  </w:style>
  <w:style w:type="paragraph" w:styleId="Elencocontinua2">
    <w:name w:val="List Continue 2"/>
    <w:basedOn w:val="Normale"/>
    <w:uiPriority w:val="99"/>
    <w:semiHidden/>
    <w:unhideWhenUsed/>
    <w:rsid w:val="00515E78"/>
    <w:pPr>
      <w:spacing w:after="120"/>
      <w:ind w:left="566"/>
      <w:contextualSpacing/>
    </w:pPr>
  </w:style>
  <w:style w:type="paragraph" w:styleId="Elencocontinua3">
    <w:name w:val="List Continue 3"/>
    <w:basedOn w:val="Normale"/>
    <w:uiPriority w:val="99"/>
    <w:semiHidden/>
    <w:unhideWhenUsed/>
    <w:rsid w:val="00515E78"/>
    <w:pPr>
      <w:spacing w:after="120"/>
      <w:ind w:left="849"/>
      <w:contextualSpacing/>
    </w:pPr>
  </w:style>
  <w:style w:type="paragraph" w:styleId="Elencocontinua4">
    <w:name w:val="List Continue 4"/>
    <w:basedOn w:val="Normale"/>
    <w:uiPriority w:val="99"/>
    <w:semiHidden/>
    <w:unhideWhenUsed/>
    <w:rsid w:val="00515E78"/>
    <w:pPr>
      <w:spacing w:after="120"/>
      <w:ind w:left="1132"/>
      <w:contextualSpacing/>
    </w:pPr>
  </w:style>
  <w:style w:type="paragraph" w:styleId="Elencocontinua5">
    <w:name w:val="List Continue 5"/>
    <w:basedOn w:val="Normale"/>
    <w:uiPriority w:val="99"/>
    <w:semiHidden/>
    <w:unhideWhenUsed/>
    <w:rsid w:val="00515E78"/>
    <w:pPr>
      <w:spacing w:after="120"/>
      <w:ind w:left="1415"/>
      <w:contextualSpacing/>
    </w:pPr>
  </w:style>
  <w:style w:type="paragraph" w:styleId="Indice2">
    <w:name w:val="index 2"/>
    <w:basedOn w:val="Normale"/>
    <w:next w:val="Normale"/>
    <w:autoRedefine/>
    <w:uiPriority w:val="99"/>
    <w:semiHidden/>
    <w:unhideWhenUsed/>
    <w:rsid w:val="00515E78"/>
    <w:pPr>
      <w:spacing w:line="240" w:lineRule="auto"/>
      <w:ind w:left="440" w:hanging="220"/>
    </w:pPr>
  </w:style>
  <w:style w:type="paragraph" w:styleId="Indice3">
    <w:name w:val="index 3"/>
    <w:basedOn w:val="Normale"/>
    <w:next w:val="Normale"/>
    <w:autoRedefine/>
    <w:uiPriority w:val="99"/>
    <w:semiHidden/>
    <w:unhideWhenUsed/>
    <w:rsid w:val="00515E78"/>
    <w:pPr>
      <w:spacing w:line="240" w:lineRule="auto"/>
      <w:ind w:left="660" w:hanging="220"/>
    </w:pPr>
  </w:style>
  <w:style w:type="paragraph" w:styleId="Indice4">
    <w:name w:val="index 4"/>
    <w:basedOn w:val="Normale"/>
    <w:next w:val="Normale"/>
    <w:autoRedefine/>
    <w:uiPriority w:val="99"/>
    <w:semiHidden/>
    <w:unhideWhenUsed/>
    <w:rsid w:val="00515E78"/>
    <w:pPr>
      <w:spacing w:line="240" w:lineRule="auto"/>
      <w:ind w:left="880" w:hanging="220"/>
    </w:pPr>
  </w:style>
  <w:style w:type="paragraph" w:styleId="Indice5">
    <w:name w:val="index 5"/>
    <w:basedOn w:val="Normale"/>
    <w:next w:val="Normale"/>
    <w:autoRedefine/>
    <w:uiPriority w:val="99"/>
    <w:semiHidden/>
    <w:unhideWhenUsed/>
    <w:rsid w:val="00515E78"/>
    <w:pPr>
      <w:spacing w:line="240" w:lineRule="auto"/>
      <w:ind w:left="1100" w:hanging="220"/>
    </w:pPr>
  </w:style>
  <w:style w:type="paragraph" w:styleId="Indice6">
    <w:name w:val="index 6"/>
    <w:basedOn w:val="Normale"/>
    <w:next w:val="Normale"/>
    <w:autoRedefine/>
    <w:uiPriority w:val="99"/>
    <w:semiHidden/>
    <w:unhideWhenUsed/>
    <w:rsid w:val="00515E78"/>
    <w:pPr>
      <w:spacing w:line="240" w:lineRule="auto"/>
      <w:ind w:left="1320" w:hanging="220"/>
    </w:pPr>
  </w:style>
  <w:style w:type="paragraph" w:styleId="Indice7">
    <w:name w:val="index 7"/>
    <w:basedOn w:val="Normale"/>
    <w:next w:val="Normale"/>
    <w:autoRedefine/>
    <w:uiPriority w:val="99"/>
    <w:semiHidden/>
    <w:unhideWhenUsed/>
    <w:rsid w:val="00515E78"/>
    <w:pPr>
      <w:spacing w:line="240" w:lineRule="auto"/>
      <w:ind w:left="1540" w:hanging="220"/>
    </w:pPr>
  </w:style>
  <w:style w:type="paragraph" w:styleId="Indice8">
    <w:name w:val="index 8"/>
    <w:basedOn w:val="Normale"/>
    <w:next w:val="Normale"/>
    <w:autoRedefine/>
    <w:uiPriority w:val="99"/>
    <w:semiHidden/>
    <w:unhideWhenUsed/>
    <w:rsid w:val="00515E78"/>
    <w:pPr>
      <w:spacing w:line="240" w:lineRule="auto"/>
      <w:ind w:left="1760" w:hanging="220"/>
    </w:pPr>
  </w:style>
  <w:style w:type="paragraph" w:styleId="Indice9">
    <w:name w:val="index 9"/>
    <w:basedOn w:val="Normale"/>
    <w:next w:val="Normale"/>
    <w:autoRedefine/>
    <w:uiPriority w:val="99"/>
    <w:semiHidden/>
    <w:unhideWhenUsed/>
    <w:rsid w:val="00515E78"/>
    <w:pPr>
      <w:spacing w:line="240" w:lineRule="auto"/>
      <w:ind w:left="1980" w:hanging="220"/>
    </w:pPr>
  </w:style>
  <w:style w:type="paragraph" w:styleId="Indicedellefigure">
    <w:name w:val="table of figures"/>
    <w:basedOn w:val="Normale"/>
    <w:next w:val="Normale"/>
    <w:uiPriority w:val="99"/>
    <w:semiHidden/>
    <w:unhideWhenUsed/>
    <w:rsid w:val="00515E78"/>
  </w:style>
  <w:style w:type="paragraph" w:styleId="Indicefonti">
    <w:name w:val="table of authorities"/>
    <w:basedOn w:val="Normale"/>
    <w:next w:val="Normale"/>
    <w:uiPriority w:val="99"/>
    <w:semiHidden/>
    <w:unhideWhenUsed/>
    <w:rsid w:val="00515E78"/>
    <w:pPr>
      <w:ind w:left="220" w:hanging="220"/>
    </w:pPr>
  </w:style>
  <w:style w:type="paragraph" w:styleId="Indirizzomittente">
    <w:name w:val="envelope return"/>
    <w:basedOn w:val="Normale"/>
    <w:uiPriority w:val="99"/>
    <w:semiHidden/>
    <w:unhideWhenUsed/>
    <w:rsid w:val="00515E78"/>
    <w:pPr>
      <w:spacing w:line="240" w:lineRule="auto"/>
    </w:pPr>
    <w:rPr>
      <w:rFonts w:asciiTheme="majorHAnsi" w:eastAsiaTheme="majorEastAsia" w:hAnsiTheme="majorHAnsi" w:cstheme="majorBidi"/>
    </w:rPr>
  </w:style>
  <w:style w:type="paragraph" w:styleId="NormaleWeb">
    <w:name w:val="Normal (Web)"/>
    <w:basedOn w:val="Normale"/>
    <w:uiPriority w:val="99"/>
    <w:semiHidden/>
    <w:unhideWhenUsed/>
    <w:rsid w:val="00515E78"/>
    <w:rPr>
      <w:sz w:val="24"/>
      <w:szCs w:val="24"/>
    </w:rPr>
  </w:style>
  <w:style w:type="paragraph" w:styleId="Numeroelenco">
    <w:name w:val="List Number"/>
    <w:basedOn w:val="Normale"/>
    <w:uiPriority w:val="99"/>
    <w:semiHidden/>
    <w:unhideWhenUsed/>
    <w:rsid w:val="00515E78"/>
    <w:pPr>
      <w:tabs>
        <w:tab w:val="num" w:pos="360"/>
      </w:tabs>
      <w:ind w:left="360" w:hanging="360"/>
      <w:contextualSpacing/>
    </w:pPr>
  </w:style>
  <w:style w:type="paragraph" w:styleId="Numeroelenco2">
    <w:name w:val="List Number 2"/>
    <w:basedOn w:val="Normale"/>
    <w:uiPriority w:val="99"/>
    <w:semiHidden/>
    <w:unhideWhenUsed/>
    <w:rsid w:val="00515E78"/>
    <w:pPr>
      <w:tabs>
        <w:tab w:val="num" w:pos="643"/>
      </w:tabs>
      <w:ind w:left="643" w:hanging="360"/>
      <w:contextualSpacing/>
    </w:pPr>
  </w:style>
  <w:style w:type="paragraph" w:styleId="Numeroelenco3">
    <w:name w:val="List Number 3"/>
    <w:basedOn w:val="Normale"/>
    <w:uiPriority w:val="99"/>
    <w:semiHidden/>
    <w:unhideWhenUsed/>
    <w:rsid w:val="00515E78"/>
    <w:pPr>
      <w:tabs>
        <w:tab w:val="num" w:pos="926"/>
      </w:tabs>
      <w:ind w:left="926" w:hanging="360"/>
      <w:contextualSpacing/>
    </w:pPr>
  </w:style>
  <w:style w:type="paragraph" w:styleId="Numeroelenco4">
    <w:name w:val="List Number 4"/>
    <w:basedOn w:val="Normale"/>
    <w:uiPriority w:val="99"/>
    <w:semiHidden/>
    <w:unhideWhenUsed/>
    <w:rsid w:val="00515E78"/>
    <w:pPr>
      <w:tabs>
        <w:tab w:val="num" w:pos="1209"/>
      </w:tabs>
      <w:ind w:left="1209" w:hanging="360"/>
      <w:contextualSpacing/>
    </w:pPr>
  </w:style>
  <w:style w:type="paragraph" w:styleId="Numeroelenco5">
    <w:name w:val="List Number 5"/>
    <w:basedOn w:val="Normale"/>
    <w:uiPriority w:val="99"/>
    <w:semiHidden/>
    <w:unhideWhenUsed/>
    <w:rsid w:val="00515E78"/>
    <w:pPr>
      <w:tabs>
        <w:tab w:val="num" w:pos="1492"/>
      </w:tabs>
      <w:ind w:left="1492" w:hanging="360"/>
      <w:contextualSpacing/>
    </w:pPr>
  </w:style>
  <w:style w:type="paragraph" w:styleId="Puntoelenco2">
    <w:name w:val="List Bullet 2"/>
    <w:basedOn w:val="Normale"/>
    <w:uiPriority w:val="99"/>
    <w:semiHidden/>
    <w:unhideWhenUsed/>
    <w:rsid w:val="00515E78"/>
    <w:pPr>
      <w:tabs>
        <w:tab w:val="num" w:pos="643"/>
      </w:tabs>
      <w:ind w:left="643" w:hanging="360"/>
      <w:contextualSpacing/>
    </w:pPr>
  </w:style>
  <w:style w:type="paragraph" w:styleId="Puntoelenco3">
    <w:name w:val="List Bullet 3"/>
    <w:basedOn w:val="Normale"/>
    <w:uiPriority w:val="99"/>
    <w:semiHidden/>
    <w:unhideWhenUsed/>
    <w:rsid w:val="00515E78"/>
    <w:pPr>
      <w:tabs>
        <w:tab w:val="num" w:pos="926"/>
      </w:tabs>
      <w:ind w:left="926" w:hanging="360"/>
      <w:contextualSpacing/>
    </w:pPr>
  </w:style>
  <w:style w:type="paragraph" w:styleId="Puntoelenco4">
    <w:name w:val="List Bullet 4"/>
    <w:basedOn w:val="Normale"/>
    <w:uiPriority w:val="99"/>
    <w:semiHidden/>
    <w:unhideWhenUsed/>
    <w:rsid w:val="00515E78"/>
    <w:pPr>
      <w:tabs>
        <w:tab w:val="num" w:pos="1209"/>
      </w:tabs>
      <w:ind w:left="1209" w:hanging="360"/>
      <w:contextualSpacing/>
    </w:pPr>
  </w:style>
  <w:style w:type="paragraph" w:styleId="Puntoelenco5">
    <w:name w:val="List Bullet 5"/>
    <w:basedOn w:val="Normale"/>
    <w:uiPriority w:val="99"/>
    <w:semiHidden/>
    <w:unhideWhenUsed/>
    <w:rsid w:val="00515E78"/>
    <w:pPr>
      <w:tabs>
        <w:tab w:val="num" w:pos="1492"/>
      </w:tabs>
      <w:ind w:left="1492" w:hanging="360"/>
      <w:contextualSpacing/>
    </w:pPr>
  </w:style>
  <w:style w:type="paragraph" w:styleId="Sommario2">
    <w:name w:val="toc 2"/>
    <w:basedOn w:val="Normale"/>
    <w:next w:val="Normale"/>
    <w:autoRedefine/>
    <w:uiPriority w:val="39"/>
    <w:semiHidden/>
    <w:unhideWhenUsed/>
    <w:rsid w:val="00515E78"/>
    <w:pPr>
      <w:spacing w:after="100"/>
      <w:ind w:left="220"/>
    </w:pPr>
  </w:style>
  <w:style w:type="paragraph" w:styleId="Sommario3">
    <w:name w:val="toc 3"/>
    <w:basedOn w:val="Normale"/>
    <w:next w:val="Normale"/>
    <w:autoRedefine/>
    <w:uiPriority w:val="39"/>
    <w:semiHidden/>
    <w:unhideWhenUsed/>
    <w:rsid w:val="00515E78"/>
    <w:pPr>
      <w:spacing w:after="100"/>
      <w:ind w:left="440"/>
    </w:pPr>
  </w:style>
  <w:style w:type="paragraph" w:styleId="Sommario4">
    <w:name w:val="toc 4"/>
    <w:basedOn w:val="Normale"/>
    <w:next w:val="Normale"/>
    <w:autoRedefine/>
    <w:uiPriority w:val="39"/>
    <w:semiHidden/>
    <w:unhideWhenUsed/>
    <w:rsid w:val="00515E78"/>
    <w:pPr>
      <w:spacing w:after="100"/>
      <w:ind w:left="660"/>
    </w:pPr>
  </w:style>
  <w:style w:type="paragraph" w:styleId="Sommario5">
    <w:name w:val="toc 5"/>
    <w:basedOn w:val="Normale"/>
    <w:next w:val="Normale"/>
    <w:autoRedefine/>
    <w:uiPriority w:val="39"/>
    <w:semiHidden/>
    <w:unhideWhenUsed/>
    <w:rsid w:val="00515E78"/>
    <w:pPr>
      <w:spacing w:after="100"/>
      <w:ind w:left="880"/>
    </w:pPr>
  </w:style>
  <w:style w:type="paragraph" w:styleId="Sommario6">
    <w:name w:val="toc 6"/>
    <w:basedOn w:val="Normale"/>
    <w:next w:val="Normale"/>
    <w:autoRedefine/>
    <w:uiPriority w:val="39"/>
    <w:semiHidden/>
    <w:unhideWhenUsed/>
    <w:rsid w:val="00515E78"/>
    <w:pPr>
      <w:spacing w:after="100"/>
      <w:ind w:left="1100"/>
    </w:pPr>
  </w:style>
  <w:style w:type="paragraph" w:styleId="Sommario7">
    <w:name w:val="toc 7"/>
    <w:basedOn w:val="Normale"/>
    <w:next w:val="Normale"/>
    <w:autoRedefine/>
    <w:uiPriority w:val="39"/>
    <w:semiHidden/>
    <w:unhideWhenUsed/>
    <w:rsid w:val="00515E78"/>
    <w:pPr>
      <w:spacing w:after="100"/>
      <w:ind w:left="1320"/>
    </w:pPr>
  </w:style>
  <w:style w:type="paragraph" w:styleId="Sommario8">
    <w:name w:val="toc 8"/>
    <w:basedOn w:val="Normale"/>
    <w:next w:val="Normale"/>
    <w:autoRedefine/>
    <w:uiPriority w:val="39"/>
    <w:semiHidden/>
    <w:unhideWhenUsed/>
    <w:rsid w:val="00515E78"/>
    <w:pPr>
      <w:spacing w:after="100"/>
      <w:ind w:left="1540"/>
    </w:pPr>
  </w:style>
  <w:style w:type="paragraph" w:styleId="Sommario9">
    <w:name w:val="toc 9"/>
    <w:basedOn w:val="Normale"/>
    <w:next w:val="Normale"/>
    <w:autoRedefine/>
    <w:uiPriority w:val="39"/>
    <w:semiHidden/>
    <w:unhideWhenUsed/>
    <w:rsid w:val="00515E78"/>
    <w:pPr>
      <w:spacing w:after="100"/>
      <w:ind w:left="1760"/>
    </w:pPr>
  </w:style>
  <w:style w:type="paragraph" w:styleId="Testodelblocco">
    <w:name w:val="Block Text"/>
    <w:basedOn w:val="Normale"/>
    <w:uiPriority w:val="99"/>
    <w:semiHidden/>
    <w:unhideWhenUsed/>
    <w:rsid w:val="00515E7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itoloindice">
    <w:name w:val="index heading"/>
    <w:basedOn w:val="Normale"/>
    <w:next w:val="Indice1"/>
    <w:uiPriority w:val="99"/>
    <w:semiHidden/>
    <w:unhideWhenUsed/>
    <w:rsid w:val="00515E78"/>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515E78"/>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515E78"/>
    <w:pPr>
      <w:outlineLvl w:val="9"/>
    </w:pPr>
  </w:style>
  <w:style w:type="character" w:customStyle="1" w:styleId="Menzionenonrisolta1">
    <w:name w:val="Menzione non risolta1"/>
    <w:basedOn w:val="Carpredefinitoparagrafo"/>
    <w:uiPriority w:val="99"/>
    <w:semiHidden/>
    <w:unhideWhenUsed/>
    <w:rsid w:val="00515E78"/>
    <w:rPr>
      <w:color w:val="605E5C"/>
      <w:shd w:val="clear" w:color="auto" w:fill="E1DFDD"/>
    </w:rPr>
  </w:style>
  <w:style w:type="character" w:styleId="Testosegnaposto">
    <w:name w:val="Placeholder Text"/>
    <w:basedOn w:val="Carpredefinitoparagrafo"/>
    <w:uiPriority w:val="99"/>
    <w:semiHidden/>
    <w:rsid w:val="00515E78"/>
    <w:rPr>
      <w:color w:val="808080"/>
    </w:rPr>
  </w:style>
  <w:style w:type="paragraph" w:styleId="Revisione">
    <w:name w:val="Revision"/>
    <w:hidden/>
    <w:uiPriority w:val="99"/>
    <w:semiHidden/>
    <w:rsid w:val="00515E7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14639</Words>
  <Characters>83445</Characters>
  <Application>Microsoft Office Word</Application>
  <DocSecurity>0</DocSecurity>
  <Lines>695</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Miliotti</dc:creator>
  <cp:keywords/>
  <dc:description/>
  <cp:lastModifiedBy>Arturo Di Fraia</cp:lastModifiedBy>
  <cp:revision>32</cp:revision>
  <dcterms:created xsi:type="dcterms:W3CDTF">2022-03-29T08:13:00Z</dcterms:created>
  <dcterms:modified xsi:type="dcterms:W3CDTF">2022-03-29T13:54:00Z</dcterms:modified>
</cp:coreProperties>
</file>