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247F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A247F0" w:rsidRDefault="000A03B2" w:rsidP="00DE264A">
            <w:pPr>
              <w:tabs>
                <w:tab w:val="left" w:pos="-108"/>
              </w:tabs>
              <w:ind w:left="-108"/>
              <w:jc w:val="left"/>
              <w:rPr>
                <w:rFonts w:cs="Arial"/>
                <w:b/>
                <w:bCs/>
                <w:i/>
                <w:iCs/>
                <w:color w:val="000066"/>
                <w:sz w:val="12"/>
                <w:szCs w:val="12"/>
                <w:lang w:val="en-US" w:eastAsia="it-IT"/>
              </w:rPr>
            </w:pPr>
            <w:r w:rsidRPr="00A247F0">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247F0">
              <w:rPr>
                <w:rFonts w:ascii="AdvP6960" w:hAnsi="AdvP6960" w:cs="AdvP6960"/>
                <w:color w:val="241F20"/>
                <w:szCs w:val="18"/>
                <w:lang w:val="en-US" w:eastAsia="it-IT"/>
              </w:rPr>
              <w:t xml:space="preserve"> </w:t>
            </w:r>
            <w:r w:rsidRPr="00A247F0">
              <w:rPr>
                <w:rFonts w:cs="Arial"/>
                <w:b/>
                <w:bCs/>
                <w:i/>
                <w:iCs/>
                <w:color w:val="000066"/>
                <w:sz w:val="24"/>
                <w:szCs w:val="24"/>
                <w:lang w:val="en-US" w:eastAsia="it-IT"/>
              </w:rPr>
              <w:t>CHEMICAL ENGINEERING</w:t>
            </w:r>
            <w:r w:rsidRPr="00A247F0">
              <w:rPr>
                <w:rFonts w:cs="Arial"/>
                <w:b/>
                <w:bCs/>
                <w:i/>
                <w:iCs/>
                <w:color w:val="0033FF"/>
                <w:sz w:val="24"/>
                <w:szCs w:val="24"/>
                <w:lang w:val="en-US" w:eastAsia="it-IT"/>
              </w:rPr>
              <w:t xml:space="preserve"> </w:t>
            </w:r>
            <w:r w:rsidRPr="00A247F0">
              <w:rPr>
                <w:rFonts w:cs="Arial"/>
                <w:b/>
                <w:bCs/>
                <w:i/>
                <w:iCs/>
                <w:color w:val="666666"/>
                <w:sz w:val="24"/>
                <w:szCs w:val="24"/>
                <w:lang w:val="en-US" w:eastAsia="it-IT"/>
              </w:rPr>
              <w:t>TRANSACTIONS</w:t>
            </w:r>
            <w:r w:rsidRPr="00A247F0">
              <w:rPr>
                <w:color w:val="333333"/>
                <w:sz w:val="24"/>
                <w:szCs w:val="24"/>
                <w:lang w:val="en-US" w:eastAsia="it-IT"/>
              </w:rPr>
              <w:t xml:space="preserve"> </w:t>
            </w:r>
            <w:r w:rsidRPr="00A247F0">
              <w:rPr>
                <w:rFonts w:cs="Arial"/>
                <w:b/>
                <w:bCs/>
                <w:i/>
                <w:iCs/>
                <w:color w:val="000066"/>
                <w:sz w:val="27"/>
                <w:szCs w:val="27"/>
                <w:lang w:val="en-US" w:eastAsia="it-IT"/>
              </w:rPr>
              <w:br/>
            </w:r>
          </w:p>
          <w:p w14:paraId="4B780582" w14:textId="65D5BBBB" w:rsidR="000A03B2" w:rsidRPr="00A247F0" w:rsidRDefault="00A76EFC" w:rsidP="001D21AF">
            <w:pPr>
              <w:tabs>
                <w:tab w:val="left" w:pos="-108"/>
              </w:tabs>
              <w:ind w:left="-108"/>
              <w:rPr>
                <w:rFonts w:cs="Arial"/>
                <w:b/>
                <w:bCs/>
                <w:i/>
                <w:iCs/>
                <w:color w:val="000066"/>
                <w:sz w:val="22"/>
                <w:szCs w:val="22"/>
                <w:lang w:val="en-US" w:eastAsia="it-IT"/>
              </w:rPr>
            </w:pPr>
            <w:r w:rsidRPr="00A247F0">
              <w:rPr>
                <w:rFonts w:cs="Arial"/>
                <w:b/>
                <w:bCs/>
                <w:i/>
                <w:iCs/>
                <w:color w:val="000066"/>
                <w:sz w:val="22"/>
                <w:szCs w:val="22"/>
                <w:lang w:val="en-US" w:eastAsia="it-IT"/>
              </w:rPr>
              <w:t xml:space="preserve">VOL. </w:t>
            </w:r>
            <w:r w:rsidR="00D46B7E" w:rsidRPr="00A247F0">
              <w:rPr>
                <w:rFonts w:cs="Arial"/>
                <w:b/>
                <w:bCs/>
                <w:i/>
                <w:iCs/>
                <w:color w:val="000066"/>
                <w:sz w:val="22"/>
                <w:szCs w:val="22"/>
                <w:lang w:val="en-US" w:eastAsia="it-IT"/>
              </w:rPr>
              <w:t>9</w:t>
            </w:r>
            <w:r w:rsidR="001D21AF" w:rsidRPr="00A247F0">
              <w:rPr>
                <w:rFonts w:cs="Arial"/>
                <w:b/>
                <w:bCs/>
                <w:i/>
                <w:iCs/>
                <w:color w:val="000066"/>
                <w:sz w:val="22"/>
                <w:szCs w:val="22"/>
                <w:lang w:val="en-US" w:eastAsia="it-IT"/>
              </w:rPr>
              <w:t>2</w:t>
            </w:r>
            <w:r w:rsidR="007B48F9" w:rsidRPr="00A247F0">
              <w:rPr>
                <w:rFonts w:cs="Arial"/>
                <w:b/>
                <w:bCs/>
                <w:i/>
                <w:iCs/>
                <w:color w:val="000066"/>
                <w:sz w:val="22"/>
                <w:szCs w:val="22"/>
                <w:lang w:val="en-US" w:eastAsia="it-IT"/>
              </w:rPr>
              <w:t>,</w:t>
            </w:r>
            <w:r w:rsidR="00FA5F5F" w:rsidRPr="00A247F0">
              <w:rPr>
                <w:rFonts w:cs="Arial"/>
                <w:b/>
                <w:bCs/>
                <w:i/>
                <w:iCs/>
                <w:color w:val="000066"/>
                <w:sz w:val="22"/>
                <w:szCs w:val="22"/>
                <w:lang w:val="en-US" w:eastAsia="it-IT"/>
              </w:rPr>
              <w:t xml:space="preserve"> 20</w:t>
            </w:r>
            <w:r w:rsidR="00DF5072" w:rsidRPr="00A247F0">
              <w:rPr>
                <w:rFonts w:cs="Arial"/>
                <w:b/>
                <w:bCs/>
                <w:i/>
                <w:iCs/>
                <w:color w:val="000066"/>
                <w:sz w:val="22"/>
                <w:szCs w:val="22"/>
                <w:lang w:val="en-US" w:eastAsia="it-IT"/>
              </w:rPr>
              <w:t>2</w:t>
            </w:r>
            <w:r w:rsidR="007B48F9" w:rsidRPr="00A247F0">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A247F0" w:rsidRDefault="000A03B2" w:rsidP="00CD5FE2">
            <w:pPr>
              <w:spacing w:line="140" w:lineRule="atLeast"/>
              <w:jc w:val="right"/>
              <w:rPr>
                <w:rFonts w:cs="Arial"/>
                <w:sz w:val="14"/>
                <w:szCs w:val="14"/>
                <w:lang w:val="en-US"/>
              </w:rPr>
            </w:pPr>
            <w:r w:rsidRPr="00A247F0">
              <w:rPr>
                <w:rFonts w:cs="Arial"/>
                <w:sz w:val="14"/>
                <w:szCs w:val="14"/>
                <w:lang w:val="en-US"/>
              </w:rPr>
              <w:t>A publication of</w:t>
            </w:r>
          </w:p>
          <w:p w14:paraId="599E5441" w14:textId="77777777" w:rsidR="000A03B2" w:rsidRPr="00A247F0" w:rsidRDefault="000A03B2" w:rsidP="00CD5FE2">
            <w:pPr>
              <w:jc w:val="right"/>
              <w:rPr>
                <w:lang w:val="en-US"/>
              </w:rPr>
            </w:pPr>
            <w:r w:rsidRPr="00A247F0">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247F0" w14:paraId="380FA3CD" w14:textId="77777777" w:rsidTr="00DE264A">
        <w:trPr>
          <w:trHeight w:val="567"/>
          <w:jc w:val="center"/>
        </w:trPr>
        <w:tc>
          <w:tcPr>
            <w:tcW w:w="6946" w:type="dxa"/>
            <w:vMerge/>
            <w:tcBorders>
              <w:right w:val="single" w:sz="4" w:space="0" w:color="auto"/>
            </w:tcBorders>
          </w:tcPr>
          <w:p w14:paraId="39E5E4C1" w14:textId="77777777" w:rsidR="000A03B2" w:rsidRPr="00A247F0"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A247F0" w:rsidRDefault="000A03B2" w:rsidP="00CD5FE2">
            <w:pPr>
              <w:spacing w:line="140" w:lineRule="atLeast"/>
              <w:jc w:val="right"/>
              <w:rPr>
                <w:rFonts w:cs="Arial"/>
                <w:sz w:val="14"/>
                <w:szCs w:val="14"/>
                <w:lang w:val="en-US"/>
              </w:rPr>
            </w:pPr>
            <w:r w:rsidRPr="00A247F0">
              <w:rPr>
                <w:rFonts w:cs="Arial"/>
                <w:sz w:val="14"/>
                <w:szCs w:val="14"/>
                <w:lang w:val="en-US"/>
              </w:rPr>
              <w:t>The Italian Association</w:t>
            </w:r>
          </w:p>
          <w:p w14:paraId="7522B1D2" w14:textId="77777777" w:rsidR="000A03B2" w:rsidRPr="00A247F0" w:rsidRDefault="000A03B2" w:rsidP="00CD5FE2">
            <w:pPr>
              <w:spacing w:line="140" w:lineRule="atLeast"/>
              <w:jc w:val="right"/>
              <w:rPr>
                <w:rFonts w:cs="Arial"/>
                <w:sz w:val="14"/>
                <w:szCs w:val="14"/>
                <w:lang w:val="en-US"/>
              </w:rPr>
            </w:pPr>
            <w:r w:rsidRPr="00A247F0">
              <w:rPr>
                <w:rFonts w:cs="Arial"/>
                <w:sz w:val="14"/>
                <w:szCs w:val="14"/>
                <w:lang w:val="en-US"/>
              </w:rPr>
              <w:t>of Chemical Engineering</w:t>
            </w:r>
          </w:p>
          <w:p w14:paraId="4F0CC5DE" w14:textId="47FDB2FC" w:rsidR="000A03B2" w:rsidRPr="00A247F0" w:rsidRDefault="000D0268" w:rsidP="00CD5FE2">
            <w:pPr>
              <w:spacing w:line="140" w:lineRule="atLeast"/>
              <w:jc w:val="right"/>
              <w:rPr>
                <w:rFonts w:cs="Arial"/>
                <w:sz w:val="13"/>
                <w:szCs w:val="13"/>
                <w:lang w:val="en-US"/>
              </w:rPr>
            </w:pPr>
            <w:r w:rsidRPr="00A247F0">
              <w:rPr>
                <w:rFonts w:cs="Arial"/>
                <w:sz w:val="13"/>
                <w:szCs w:val="13"/>
                <w:lang w:val="en-US"/>
              </w:rPr>
              <w:t>Online at www.cetjournal.it</w:t>
            </w:r>
          </w:p>
        </w:tc>
      </w:tr>
      <w:tr w:rsidR="000A03B2" w:rsidRPr="00A247F0" w14:paraId="2D1B7169" w14:textId="77777777" w:rsidTr="00DE264A">
        <w:trPr>
          <w:trHeight w:val="68"/>
          <w:jc w:val="center"/>
        </w:trPr>
        <w:tc>
          <w:tcPr>
            <w:tcW w:w="8789" w:type="dxa"/>
            <w:gridSpan w:val="2"/>
          </w:tcPr>
          <w:p w14:paraId="4B0BB442" w14:textId="14967F0F" w:rsidR="00300E56" w:rsidRPr="00A247F0" w:rsidRDefault="00300E56" w:rsidP="00B57E6F">
            <w:pPr>
              <w:ind w:left="-107"/>
              <w:outlineLvl w:val="2"/>
              <w:rPr>
                <w:rFonts w:ascii="Tahoma" w:hAnsi="Tahoma" w:cs="Tahoma"/>
                <w:bCs/>
                <w:color w:val="000000"/>
                <w:sz w:val="14"/>
                <w:szCs w:val="14"/>
                <w:lang w:val="en-US" w:eastAsia="it-IT"/>
              </w:rPr>
            </w:pPr>
            <w:r w:rsidRPr="00A247F0">
              <w:rPr>
                <w:rFonts w:ascii="Tahoma" w:hAnsi="Tahoma" w:cs="Tahoma"/>
                <w:iCs/>
                <w:color w:val="333333"/>
                <w:sz w:val="14"/>
                <w:szCs w:val="14"/>
                <w:lang w:val="en-US" w:eastAsia="it-IT"/>
              </w:rPr>
              <w:t>Guest Editors:</w:t>
            </w:r>
            <w:r w:rsidR="001D21AF" w:rsidRPr="00A247F0">
              <w:rPr>
                <w:rFonts w:ascii="Tahoma" w:hAnsi="Tahoma" w:cs="Tahoma"/>
                <w:color w:val="000000"/>
                <w:sz w:val="14"/>
                <w:szCs w:val="14"/>
                <w:shd w:val="clear" w:color="auto" w:fill="FFFFFF"/>
                <w:lang w:val="en-US"/>
              </w:rPr>
              <w:t xml:space="preserve"> Rubens </w:t>
            </w:r>
            <w:proofErr w:type="spellStart"/>
            <w:r w:rsidR="001D21AF" w:rsidRPr="00A247F0">
              <w:rPr>
                <w:rFonts w:ascii="Tahoma" w:hAnsi="Tahoma" w:cs="Tahoma"/>
                <w:color w:val="000000"/>
                <w:sz w:val="14"/>
                <w:szCs w:val="14"/>
                <w:shd w:val="clear" w:color="auto" w:fill="FFFFFF"/>
                <w:lang w:val="en-US"/>
              </w:rPr>
              <w:t>Maciel</w:t>
            </w:r>
            <w:proofErr w:type="spellEnd"/>
            <w:r w:rsidR="001D21AF" w:rsidRPr="00A247F0">
              <w:rPr>
                <w:rFonts w:ascii="Tahoma" w:hAnsi="Tahoma" w:cs="Tahoma"/>
                <w:color w:val="000000"/>
                <w:sz w:val="14"/>
                <w:szCs w:val="14"/>
                <w:shd w:val="clear" w:color="auto" w:fill="FFFFFF"/>
                <w:lang w:val="en-US"/>
              </w:rPr>
              <w:t xml:space="preserve"> Filho</w:t>
            </w:r>
            <w:r w:rsidR="00964A45" w:rsidRPr="00A247F0">
              <w:rPr>
                <w:rFonts w:ascii="Tahoma" w:hAnsi="Tahoma" w:cs="Tahoma"/>
                <w:color w:val="000000"/>
                <w:sz w:val="14"/>
                <w:szCs w:val="14"/>
                <w:shd w:val="clear" w:color="auto" w:fill="FFFFFF"/>
                <w:lang w:val="en-US"/>
              </w:rPr>
              <w:t xml:space="preserve">, Eliseo </w:t>
            </w:r>
            <w:proofErr w:type="spellStart"/>
            <w:r w:rsidR="00964A45" w:rsidRPr="00A247F0">
              <w:rPr>
                <w:rFonts w:ascii="Tahoma" w:hAnsi="Tahoma" w:cs="Tahoma"/>
                <w:color w:val="000000"/>
                <w:sz w:val="14"/>
                <w:szCs w:val="14"/>
                <w:shd w:val="clear" w:color="auto" w:fill="FFFFFF"/>
                <w:lang w:val="en-US"/>
              </w:rPr>
              <w:t>Ranzi</w:t>
            </w:r>
            <w:proofErr w:type="spellEnd"/>
            <w:r w:rsidR="00964A45" w:rsidRPr="00A247F0">
              <w:rPr>
                <w:rFonts w:ascii="Tahoma" w:hAnsi="Tahoma" w:cs="Tahoma"/>
                <w:color w:val="000000"/>
                <w:sz w:val="14"/>
                <w:szCs w:val="14"/>
                <w:shd w:val="clear" w:color="auto" w:fill="FFFFFF"/>
                <w:lang w:val="en-US"/>
              </w:rPr>
              <w:t xml:space="preserve">, Leonardo </w:t>
            </w:r>
            <w:proofErr w:type="spellStart"/>
            <w:r w:rsidR="00964A45" w:rsidRPr="00A247F0">
              <w:rPr>
                <w:rFonts w:ascii="Tahoma" w:hAnsi="Tahoma" w:cs="Tahoma"/>
                <w:color w:val="000000"/>
                <w:sz w:val="14"/>
                <w:szCs w:val="14"/>
                <w:shd w:val="clear" w:color="auto" w:fill="FFFFFF"/>
                <w:lang w:val="en-US"/>
              </w:rPr>
              <w:t>Tognotti</w:t>
            </w:r>
            <w:proofErr w:type="spellEnd"/>
          </w:p>
          <w:p w14:paraId="1B0F1814" w14:textId="4A78A049" w:rsidR="000A03B2" w:rsidRPr="00A247F0" w:rsidRDefault="00FA5F5F" w:rsidP="001D21AF">
            <w:pPr>
              <w:tabs>
                <w:tab w:val="left" w:pos="-108"/>
              </w:tabs>
              <w:spacing w:line="140" w:lineRule="atLeast"/>
              <w:ind w:left="-107"/>
              <w:jc w:val="left"/>
              <w:rPr>
                <w:lang w:val="en-US"/>
              </w:rPr>
            </w:pPr>
            <w:r w:rsidRPr="00A247F0">
              <w:rPr>
                <w:rFonts w:ascii="Tahoma" w:hAnsi="Tahoma" w:cs="Tahoma"/>
                <w:iCs/>
                <w:color w:val="333333"/>
                <w:sz w:val="14"/>
                <w:szCs w:val="14"/>
                <w:lang w:val="en-US" w:eastAsia="it-IT"/>
              </w:rPr>
              <w:t>Copyright © 20</w:t>
            </w:r>
            <w:r w:rsidR="00DF5072" w:rsidRPr="00A247F0">
              <w:rPr>
                <w:rFonts w:ascii="Tahoma" w:hAnsi="Tahoma" w:cs="Tahoma"/>
                <w:iCs/>
                <w:color w:val="333333"/>
                <w:sz w:val="14"/>
                <w:szCs w:val="14"/>
                <w:lang w:val="en-US" w:eastAsia="it-IT"/>
              </w:rPr>
              <w:t>2</w:t>
            </w:r>
            <w:r w:rsidR="00E72EAD" w:rsidRPr="00A247F0">
              <w:rPr>
                <w:rFonts w:ascii="Tahoma" w:hAnsi="Tahoma" w:cs="Tahoma"/>
                <w:iCs/>
                <w:color w:val="333333"/>
                <w:sz w:val="14"/>
                <w:szCs w:val="14"/>
                <w:lang w:val="en-US" w:eastAsia="it-IT"/>
              </w:rPr>
              <w:t>2</w:t>
            </w:r>
            <w:r w:rsidR="00904C62" w:rsidRPr="00A247F0">
              <w:rPr>
                <w:rFonts w:ascii="Tahoma" w:hAnsi="Tahoma" w:cs="Tahoma"/>
                <w:iCs/>
                <w:color w:val="333333"/>
                <w:sz w:val="14"/>
                <w:szCs w:val="14"/>
                <w:lang w:val="en-US" w:eastAsia="it-IT"/>
              </w:rPr>
              <w:t xml:space="preserve">, AIDIC </w:t>
            </w:r>
            <w:proofErr w:type="spellStart"/>
            <w:r w:rsidR="00904C62" w:rsidRPr="00A247F0">
              <w:rPr>
                <w:rFonts w:ascii="Tahoma" w:hAnsi="Tahoma" w:cs="Tahoma"/>
                <w:iCs/>
                <w:color w:val="333333"/>
                <w:sz w:val="14"/>
                <w:szCs w:val="14"/>
                <w:lang w:val="en-US" w:eastAsia="it-IT"/>
              </w:rPr>
              <w:t>Servizi</w:t>
            </w:r>
            <w:proofErr w:type="spellEnd"/>
            <w:r w:rsidR="00904C62" w:rsidRPr="00A247F0">
              <w:rPr>
                <w:rFonts w:ascii="Tahoma" w:hAnsi="Tahoma" w:cs="Tahoma"/>
                <w:iCs/>
                <w:color w:val="333333"/>
                <w:sz w:val="14"/>
                <w:szCs w:val="14"/>
                <w:lang w:val="en-US" w:eastAsia="it-IT"/>
              </w:rPr>
              <w:t xml:space="preserve"> </w:t>
            </w:r>
            <w:proofErr w:type="spellStart"/>
            <w:r w:rsidR="00904C62" w:rsidRPr="00A247F0">
              <w:rPr>
                <w:rFonts w:ascii="Tahoma" w:hAnsi="Tahoma" w:cs="Tahoma"/>
                <w:iCs/>
                <w:color w:val="333333"/>
                <w:sz w:val="14"/>
                <w:szCs w:val="14"/>
                <w:lang w:val="en-US" w:eastAsia="it-IT"/>
              </w:rPr>
              <w:t>S.r.l</w:t>
            </w:r>
            <w:proofErr w:type="spellEnd"/>
            <w:r w:rsidR="00904C62" w:rsidRPr="00A247F0">
              <w:rPr>
                <w:rFonts w:ascii="Tahoma" w:hAnsi="Tahoma" w:cs="Tahoma"/>
                <w:iCs/>
                <w:color w:val="333333"/>
                <w:sz w:val="14"/>
                <w:szCs w:val="14"/>
                <w:lang w:val="en-US" w:eastAsia="it-IT"/>
              </w:rPr>
              <w:t>.</w:t>
            </w:r>
            <w:r w:rsidR="00300E56" w:rsidRPr="00A247F0">
              <w:rPr>
                <w:rFonts w:ascii="Tahoma" w:hAnsi="Tahoma" w:cs="Tahoma"/>
                <w:iCs/>
                <w:color w:val="333333"/>
                <w:sz w:val="14"/>
                <w:szCs w:val="14"/>
                <w:lang w:val="en-US" w:eastAsia="it-IT"/>
              </w:rPr>
              <w:br/>
            </w:r>
            <w:r w:rsidR="00300E56" w:rsidRPr="00A247F0">
              <w:rPr>
                <w:rFonts w:ascii="Tahoma" w:hAnsi="Tahoma" w:cs="Tahoma"/>
                <w:b/>
                <w:iCs/>
                <w:color w:val="000000"/>
                <w:sz w:val="14"/>
                <w:szCs w:val="14"/>
                <w:lang w:val="en-US" w:eastAsia="it-IT"/>
              </w:rPr>
              <w:t>ISBN</w:t>
            </w:r>
            <w:r w:rsidR="00300E56" w:rsidRPr="00A247F0">
              <w:rPr>
                <w:rFonts w:ascii="Tahoma" w:hAnsi="Tahoma" w:cs="Tahoma"/>
                <w:iCs/>
                <w:color w:val="000000"/>
                <w:sz w:val="14"/>
                <w:szCs w:val="14"/>
                <w:lang w:val="en-US" w:eastAsia="it-IT"/>
              </w:rPr>
              <w:t xml:space="preserve"> </w:t>
            </w:r>
            <w:r w:rsidR="008D32B9" w:rsidRPr="00A247F0">
              <w:rPr>
                <w:rFonts w:ascii="Tahoma" w:hAnsi="Tahoma" w:cs="Tahoma"/>
                <w:sz w:val="14"/>
                <w:szCs w:val="14"/>
                <w:lang w:val="en-US"/>
              </w:rPr>
              <w:t>978-88-95608</w:t>
            </w:r>
            <w:r w:rsidR="00D46B7E" w:rsidRPr="00A247F0">
              <w:rPr>
                <w:rFonts w:ascii="Tahoma" w:hAnsi="Tahoma" w:cs="Tahoma"/>
                <w:sz w:val="14"/>
                <w:szCs w:val="14"/>
                <w:lang w:val="en-US"/>
              </w:rPr>
              <w:t>-</w:t>
            </w:r>
            <w:r w:rsidR="001D21AF" w:rsidRPr="00A247F0">
              <w:rPr>
                <w:rFonts w:ascii="Tahoma" w:hAnsi="Tahoma" w:cs="Tahoma"/>
                <w:sz w:val="14"/>
                <w:szCs w:val="14"/>
                <w:lang w:val="en-US"/>
              </w:rPr>
              <w:t>90</w:t>
            </w:r>
            <w:r w:rsidR="00D46B7E" w:rsidRPr="00A247F0">
              <w:rPr>
                <w:rFonts w:ascii="Tahoma" w:hAnsi="Tahoma" w:cs="Tahoma"/>
                <w:sz w:val="14"/>
                <w:szCs w:val="14"/>
                <w:lang w:val="en-US"/>
              </w:rPr>
              <w:t>-</w:t>
            </w:r>
            <w:r w:rsidR="001D21AF" w:rsidRPr="00A247F0">
              <w:rPr>
                <w:rFonts w:ascii="Tahoma" w:hAnsi="Tahoma" w:cs="Tahoma"/>
                <w:sz w:val="14"/>
                <w:szCs w:val="14"/>
                <w:lang w:val="en-US"/>
              </w:rPr>
              <w:t>7</w:t>
            </w:r>
            <w:r w:rsidR="007B48F9" w:rsidRPr="00A247F0">
              <w:rPr>
                <w:rFonts w:ascii="Tahoma" w:hAnsi="Tahoma" w:cs="Tahoma"/>
                <w:iCs/>
                <w:color w:val="333333"/>
                <w:sz w:val="14"/>
                <w:szCs w:val="14"/>
                <w:lang w:val="en-US" w:eastAsia="it-IT"/>
              </w:rPr>
              <w:t>;</w:t>
            </w:r>
            <w:r w:rsidR="00300E56" w:rsidRPr="00A247F0">
              <w:rPr>
                <w:rFonts w:ascii="Tahoma" w:hAnsi="Tahoma" w:cs="Tahoma"/>
                <w:iCs/>
                <w:color w:val="333333"/>
                <w:sz w:val="14"/>
                <w:szCs w:val="14"/>
                <w:lang w:val="en-US" w:eastAsia="it-IT"/>
              </w:rPr>
              <w:t xml:space="preserve"> </w:t>
            </w:r>
            <w:r w:rsidR="00300E56" w:rsidRPr="00A247F0">
              <w:rPr>
                <w:rFonts w:ascii="Tahoma" w:hAnsi="Tahoma" w:cs="Tahoma"/>
                <w:b/>
                <w:iCs/>
                <w:color w:val="333333"/>
                <w:sz w:val="14"/>
                <w:szCs w:val="14"/>
                <w:lang w:val="en-US" w:eastAsia="it-IT"/>
              </w:rPr>
              <w:t>ISSN</w:t>
            </w:r>
            <w:r w:rsidR="00300E56" w:rsidRPr="00A247F0">
              <w:rPr>
                <w:rFonts w:ascii="Tahoma" w:hAnsi="Tahoma" w:cs="Tahoma"/>
                <w:iCs/>
                <w:color w:val="333333"/>
                <w:sz w:val="14"/>
                <w:szCs w:val="14"/>
                <w:lang w:val="en-US" w:eastAsia="it-IT"/>
              </w:rPr>
              <w:t xml:space="preserve"> 2283-9216</w:t>
            </w:r>
          </w:p>
        </w:tc>
      </w:tr>
    </w:tbl>
    <w:p w14:paraId="10DAA130" w14:textId="77777777" w:rsidR="000A03B2" w:rsidRPr="00A247F0" w:rsidRDefault="000A03B2" w:rsidP="000A03B2">
      <w:pPr>
        <w:pStyle w:val="CETAuthors"/>
        <w:rPr>
          <w:noProof w:val="0"/>
          <w:lang w:val="en-US"/>
        </w:rPr>
        <w:sectPr w:rsidR="000A03B2" w:rsidRPr="00A247F0" w:rsidSect="00CD5FE2">
          <w:type w:val="continuous"/>
          <w:pgSz w:w="11906" w:h="16838" w:code="9"/>
          <w:pgMar w:top="1701" w:right="1418" w:bottom="1701" w:left="1701" w:header="1701" w:footer="0" w:gutter="0"/>
          <w:cols w:space="708"/>
          <w:titlePg/>
          <w:docGrid w:linePitch="360"/>
        </w:sectPr>
      </w:pPr>
    </w:p>
    <w:p w14:paraId="2E667253" w14:textId="485F7DE6" w:rsidR="00E978D0" w:rsidRPr="00A247F0" w:rsidRDefault="000C4BED" w:rsidP="00E978D0">
      <w:pPr>
        <w:pStyle w:val="CETTitle"/>
        <w:rPr>
          <w:lang w:val="en-US"/>
        </w:rPr>
      </w:pPr>
      <w:r w:rsidRPr="00A247F0">
        <w:rPr>
          <w:lang w:val="en-US"/>
        </w:rPr>
        <w:t>Hydrothermal Liquefaction of Bark-containing Nordic Biomass</w:t>
      </w:r>
      <w:r w:rsidR="00600535" w:rsidRPr="00A247F0">
        <w:rPr>
          <w:lang w:val="en-US"/>
        </w:rPr>
        <w:t xml:space="preserve"> </w:t>
      </w:r>
    </w:p>
    <w:p w14:paraId="0488FED2" w14:textId="1976A430" w:rsidR="00B57E6F" w:rsidRPr="00A247F0" w:rsidRDefault="00CC64F9" w:rsidP="00B57E6F">
      <w:pPr>
        <w:pStyle w:val="CETAuthors"/>
        <w:rPr>
          <w:noProof w:val="0"/>
          <w:lang w:val="en-US"/>
        </w:rPr>
      </w:pPr>
      <w:r w:rsidRPr="00A247F0">
        <w:rPr>
          <w:noProof w:val="0"/>
          <w:lang w:val="en-US"/>
        </w:rPr>
        <w:t>Judit Sandquist*, Nikalet Everson</w:t>
      </w:r>
      <w:r w:rsidR="000C3E3D">
        <w:rPr>
          <w:noProof w:val="0"/>
          <w:lang w:val="en-US"/>
        </w:rPr>
        <w:t>, Asmira Delic</w:t>
      </w:r>
      <w:r w:rsidRPr="00A247F0">
        <w:rPr>
          <w:noProof w:val="0"/>
          <w:lang w:val="en-US"/>
        </w:rPr>
        <w:t xml:space="preserve"> and Maria N.P. Olsen</w:t>
      </w:r>
    </w:p>
    <w:p w14:paraId="6B2D21B3" w14:textId="62DCDB33" w:rsidR="00B57E6F" w:rsidRPr="00A247F0" w:rsidRDefault="007E55C0" w:rsidP="00B57E6F">
      <w:pPr>
        <w:pStyle w:val="CETAddress"/>
        <w:rPr>
          <w:noProof w:val="0"/>
          <w:lang w:val="en-US"/>
        </w:rPr>
      </w:pPr>
      <w:r w:rsidRPr="00A247F0">
        <w:rPr>
          <w:noProof w:val="0"/>
          <w:lang w:val="en-US"/>
        </w:rPr>
        <w:t xml:space="preserve">SINTEF Energy Research, </w:t>
      </w:r>
      <w:proofErr w:type="spellStart"/>
      <w:r w:rsidR="008D570A" w:rsidRPr="00A247F0">
        <w:rPr>
          <w:noProof w:val="0"/>
          <w:lang w:val="en-US"/>
        </w:rPr>
        <w:t>Postboks</w:t>
      </w:r>
      <w:proofErr w:type="spellEnd"/>
      <w:r w:rsidR="008D570A" w:rsidRPr="00A247F0">
        <w:rPr>
          <w:noProof w:val="0"/>
          <w:lang w:val="en-US"/>
        </w:rPr>
        <w:t xml:space="preserve"> 4761 </w:t>
      </w:r>
      <w:proofErr w:type="spellStart"/>
      <w:r w:rsidR="008D570A" w:rsidRPr="00A247F0">
        <w:rPr>
          <w:noProof w:val="0"/>
          <w:lang w:val="en-US"/>
        </w:rPr>
        <w:t>Torgarden</w:t>
      </w:r>
      <w:proofErr w:type="spellEnd"/>
      <w:r w:rsidR="008D570A" w:rsidRPr="00A247F0">
        <w:rPr>
          <w:noProof w:val="0"/>
          <w:lang w:val="en-US"/>
        </w:rPr>
        <w:t xml:space="preserve">, </w:t>
      </w:r>
      <w:r w:rsidRPr="00A247F0">
        <w:rPr>
          <w:noProof w:val="0"/>
          <w:lang w:val="en-US"/>
        </w:rPr>
        <w:t>Trondheim, Norway</w:t>
      </w:r>
    </w:p>
    <w:p w14:paraId="73F1267A" w14:textId="4FD4EB97" w:rsidR="00B57E6F" w:rsidRPr="00A247F0" w:rsidRDefault="005838AB" w:rsidP="00B57E6F">
      <w:pPr>
        <w:pStyle w:val="CETemail"/>
        <w:rPr>
          <w:noProof w:val="0"/>
          <w:lang w:val="en-US"/>
        </w:rPr>
      </w:pPr>
      <w:hyperlink r:id="rId13" w:history="1">
        <w:r w:rsidR="00A34DFB" w:rsidRPr="00DF5965">
          <w:rPr>
            <w:rStyle w:val="Hyperlink"/>
            <w:noProof w:val="0"/>
            <w:lang w:val="en-US"/>
          </w:rPr>
          <w:t>Judit.Sandquist@sintef.no</w:t>
        </w:r>
      </w:hyperlink>
    </w:p>
    <w:p w14:paraId="798C7A37" w14:textId="07649939" w:rsidR="002D6EF3" w:rsidRPr="00A247F0" w:rsidRDefault="00955F18" w:rsidP="002D6EF3">
      <w:pPr>
        <w:pStyle w:val="CETBodytext"/>
      </w:pPr>
      <w:r w:rsidRPr="00A247F0">
        <w:t xml:space="preserve">Hydrothermal liquefaction (HTL) is a thermochemical process that takes advantage of the water </w:t>
      </w:r>
      <w:r w:rsidR="00A23946">
        <w:t xml:space="preserve">present </w:t>
      </w:r>
      <w:r w:rsidRPr="00A247F0">
        <w:t xml:space="preserve">in the feedstock </w:t>
      </w:r>
      <w:r>
        <w:t>under</w:t>
      </w:r>
      <w:r w:rsidRPr="00A247F0">
        <w:t xml:space="preserve"> process conditions where </w:t>
      </w:r>
      <w:r w:rsidR="00A23946">
        <w:t xml:space="preserve">the </w:t>
      </w:r>
      <w:r w:rsidRPr="00BB60BE">
        <w:t>water is kept as a liquid solvent using pressurized systems, avoiding energy losses to heat of evaporation and allowing for high carbon conversion to liquid fuels</w:t>
      </w:r>
      <w:r w:rsidRPr="00A247F0">
        <w:t xml:space="preserve">. </w:t>
      </w:r>
      <w:r w:rsidR="002D6EF3" w:rsidRPr="00A247F0">
        <w:t xml:space="preserve">In the Nordic countries, woody biomass residues, originating from pine and spruce, are seen as an abundant biomass feedstock for biofuels and bioenergy production due to the extensive forest industry and the by-products </w:t>
      </w:r>
      <w:r w:rsidR="0064401F">
        <w:t>they generate</w:t>
      </w:r>
      <w:r w:rsidR="002D6EF3" w:rsidRPr="00A247F0">
        <w:t xml:space="preserve">. </w:t>
      </w:r>
      <w:r w:rsidR="004578B4">
        <w:t>By u</w:t>
      </w:r>
      <w:r w:rsidR="002D6EF3" w:rsidRPr="00A247F0">
        <w:t>sing by-products and wastes as the source material, the fuel product become</w:t>
      </w:r>
      <w:r w:rsidR="00D67B59">
        <w:t>s</w:t>
      </w:r>
      <w:r w:rsidR="008D10B8">
        <w:t xml:space="preserve"> more</w:t>
      </w:r>
      <w:r w:rsidR="002D6EF3" w:rsidRPr="00A247F0">
        <w:t xml:space="preserve"> sustainable.</w:t>
      </w:r>
      <w:r w:rsidR="00A34DFB">
        <w:t xml:space="preserve"> </w:t>
      </w:r>
      <w:r w:rsidR="006D60BE">
        <w:t>Bark is not often included in woody biomass feedstocks for HTL, therefor</w:t>
      </w:r>
      <w:r w:rsidR="0012421B">
        <w:t>e</w:t>
      </w:r>
      <w:r w:rsidR="006D60BE">
        <w:t xml:space="preserve"> investigating its addition can provide opportunities for a more effective use of this waste stream.</w:t>
      </w:r>
    </w:p>
    <w:p w14:paraId="1D3977AF" w14:textId="13011B20" w:rsidR="002D6EF3" w:rsidRPr="00A247F0" w:rsidRDefault="002D6EF3" w:rsidP="002D6EF3">
      <w:pPr>
        <w:pStyle w:val="CETBodytext"/>
      </w:pPr>
      <w:r w:rsidRPr="00A247F0">
        <w:t>Spruce and pine stem wood</w:t>
      </w:r>
      <w:r w:rsidR="00ED45F2">
        <w:t>,</w:t>
      </w:r>
      <w:r w:rsidRPr="00A247F0">
        <w:t xml:space="preserve"> as well as their bark fractions</w:t>
      </w:r>
      <w:r w:rsidR="00A533F2">
        <w:t>,</w:t>
      </w:r>
      <w:r w:rsidRPr="00A247F0">
        <w:t xml:space="preserve"> received from a Norwegian wood products company </w:t>
      </w:r>
      <w:r w:rsidR="00ED45F2">
        <w:t>w</w:t>
      </w:r>
      <w:r w:rsidR="004578B4">
        <w:t>as</w:t>
      </w:r>
      <w:r w:rsidR="00ED45F2" w:rsidRPr="00A247F0">
        <w:t xml:space="preserve"> </w:t>
      </w:r>
      <w:r w:rsidRPr="00A247F0">
        <w:t>milled</w:t>
      </w:r>
      <w:r w:rsidR="00D67B59">
        <w:t xml:space="preserve"> and</w:t>
      </w:r>
      <w:r w:rsidRPr="00A247F0">
        <w:t xml:space="preserve"> mixed with water to obtain slurries</w:t>
      </w:r>
      <w:r w:rsidR="00D67B59">
        <w:t xml:space="preserve"> serving as the source material in this study</w:t>
      </w:r>
      <w:r w:rsidRPr="00A247F0">
        <w:t xml:space="preserve">. </w:t>
      </w:r>
      <w:r w:rsidR="00D67B59">
        <w:t>Th</w:t>
      </w:r>
      <w:r w:rsidR="009B0090">
        <w:t>e</w:t>
      </w:r>
      <w:r w:rsidR="00D67B59">
        <w:t xml:space="preserve"> s</w:t>
      </w:r>
      <w:r w:rsidRPr="00A247F0">
        <w:t>tem wood underwent sub- and supercritical HTL conversion, at 350 and 400 °C respectively, in a 1L CSTR reactor operated in batch mode. The bark fractions were mixed with the stem wood at varying percentages</w:t>
      </w:r>
      <w:r w:rsidR="00E91E4C">
        <w:t xml:space="preserve"> </w:t>
      </w:r>
      <w:r w:rsidRPr="00A247F0">
        <w:t xml:space="preserve">to study the effect of bark presence in the slurry </w:t>
      </w:r>
      <w:r w:rsidR="00E45033">
        <w:t>at</w:t>
      </w:r>
      <w:r w:rsidR="003B3529">
        <w:t xml:space="preserve"> supercritical (</w:t>
      </w:r>
      <w:r w:rsidRPr="00A247F0">
        <w:t>400 °C</w:t>
      </w:r>
      <w:r w:rsidR="003B3529">
        <w:t>) conditions</w:t>
      </w:r>
      <w:r w:rsidRPr="00A247F0">
        <w:t>.</w:t>
      </w:r>
    </w:p>
    <w:p w14:paraId="2787AD4B" w14:textId="2D00009A" w:rsidR="001B0BC9" w:rsidRPr="00A247F0" w:rsidRDefault="002D6EF3" w:rsidP="001B0BC9">
      <w:pPr>
        <w:pStyle w:val="CETBodytext"/>
      </w:pPr>
      <w:r w:rsidRPr="00A247F0">
        <w:t xml:space="preserve">Both the proportions of the HTL products (gaseous, liquid, and solid) </w:t>
      </w:r>
      <w:r w:rsidR="0064401F">
        <w:t>and</w:t>
      </w:r>
      <w:r w:rsidRPr="00A247F0">
        <w:t xml:space="preserve"> the </w:t>
      </w:r>
      <w:r w:rsidR="003B3529">
        <w:t xml:space="preserve">product </w:t>
      </w:r>
      <w:r w:rsidRPr="00A247F0">
        <w:t xml:space="preserve">components </w:t>
      </w:r>
      <w:r w:rsidR="00C21409">
        <w:t xml:space="preserve">displayed differences </w:t>
      </w:r>
      <w:r w:rsidRPr="00A247F0">
        <w:t xml:space="preserve">when the experiments </w:t>
      </w:r>
      <w:r w:rsidR="0064401F">
        <w:t>were</w:t>
      </w:r>
      <w:r w:rsidR="0064401F" w:rsidRPr="00A247F0">
        <w:t xml:space="preserve"> </w:t>
      </w:r>
      <w:r w:rsidRPr="00A247F0">
        <w:t>performed at sub- and supercritical conditions. Bark addition seem</w:t>
      </w:r>
      <w:r w:rsidR="00132C44">
        <w:t>ed</w:t>
      </w:r>
      <w:r w:rsidRPr="00A247F0">
        <w:t xml:space="preserve"> to increase the gas yields</w:t>
      </w:r>
      <w:r w:rsidR="00FA35F7">
        <w:t xml:space="preserve"> and lower the char yields</w:t>
      </w:r>
      <w:r w:rsidRPr="00A247F0">
        <w:t xml:space="preserve"> </w:t>
      </w:r>
      <w:r w:rsidR="00B57A6E">
        <w:t>but did not</w:t>
      </w:r>
      <w:r w:rsidRPr="00A247F0">
        <w:t xml:space="preserve"> alter the properties of the liquid products</w:t>
      </w:r>
      <w:r w:rsidR="00BC7774">
        <w:t xml:space="preserve"> significantly</w:t>
      </w:r>
      <w:r w:rsidRPr="00A247F0">
        <w:t>.</w:t>
      </w:r>
      <w:r w:rsidR="008F2237">
        <w:t xml:space="preserve"> </w:t>
      </w:r>
      <w:r w:rsidR="00FD779C">
        <w:t>The results</w:t>
      </w:r>
      <w:r w:rsidR="005338DA">
        <w:t xml:space="preserve"> show that bark </w:t>
      </w:r>
      <w:r w:rsidR="00B33026">
        <w:t>in the feedsto</w:t>
      </w:r>
      <w:r w:rsidR="00FD779C">
        <w:t>c</w:t>
      </w:r>
      <w:r w:rsidR="00B33026">
        <w:t>k d</w:t>
      </w:r>
      <w:r w:rsidR="00561D6E">
        <w:t>id</w:t>
      </w:r>
      <w:r w:rsidR="00B33026">
        <w:t xml:space="preserve"> not affect the investigated properties negatively</w:t>
      </w:r>
      <w:r w:rsidR="00FD779C">
        <w:t>,</w:t>
      </w:r>
      <w:r w:rsidR="007E65B3">
        <w:t xml:space="preserve"> </w:t>
      </w:r>
      <w:r w:rsidR="001B0BC9">
        <w:t>which is</w:t>
      </w:r>
      <w:r w:rsidR="007E65B3">
        <w:t xml:space="preserve"> promising for </w:t>
      </w:r>
      <w:r w:rsidR="005338DA">
        <w:t>biofuel production via HTL</w:t>
      </w:r>
      <w:r w:rsidR="001B0BC9">
        <w:t>.</w:t>
      </w:r>
      <w:r w:rsidRPr="00A247F0">
        <w:t xml:space="preserve"> </w:t>
      </w:r>
    </w:p>
    <w:p w14:paraId="476B2F2E" w14:textId="77777777" w:rsidR="00600535" w:rsidRPr="00A247F0" w:rsidRDefault="00600535" w:rsidP="00600535">
      <w:pPr>
        <w:pStyle w:val="CETHeading1"/>
      </w:pPr>
      <w:r w:rsidRPr="00A247F0">
        <w:t>Introduction</w:t>
      </w:r>
    </w:p>
    <w:p w14:paraId="457703DE" w14:textId="77A56F0E" w:rsidR="0054314C" w:rsidRPr="00A247F0" w:rsidRDefault="0054314C" w:rsidP="0054314C">
      <w:pPr>
        <w:pStyle w:val="CETBodytext"/>
      </w:pPr>
      <w:r w:rsidRPr="00A247F0">
        <w:t>Hydrothermal liquefaction</w:t>
      </w:r>
      <w:r w:rsidR="00120A40">
        <w:t xml:space="preserve"> (HTL)</w:t>
      </w:r>
      <w:r w:rsidRPr="00A247F0">
        <w:t xml:space="preserve"> is seen as a promising technology for </w:t>
      </w:r>
      <w:r w:rsidR="00014FC5">
        <w:t xml:space="preserve">the </w:t>
      </w:r>
      <w:r w:rsidRPr="00A247F0">
        <w:t xml:space="preserve">future production of high energy density biofuels from biomass and waste feedstocks due to its relatively short reaction time and </w:t>
      </w:r>
      <w:r w:rsidR="00561D6E">
        <w:t>a</w:t>
      </w:r>
      <w:r w:rsidRPr="00A247F0">
        <w:t xml:space="preserve"> product </w:t>
      </w:r>
      <w:r w:rsidR="00132C44">
        <w:t>containing</w:t>
      </w:r>
      <w:r w:rsidR="00132C44" w:rsidRPr="00A247F0">
        <w:t xml:space="preserve"> </w:t>
      </w:r>
      <w:r w:rsidRPr="00A247F0">
        <w:t xml:space="preserve">high energy density </w:t>
      </w:r>
      <w:r w:rsidR="00561D6E">
        <w:t>with</w:t>
      </w:r>
      <w:r w:rsidR="00561D6E" w:rsidRPr="00A247F0">
        <w:t xml:space="preserve"> </w:t>
      </w:r>
      <w:r w:rsidRPr="00A247F0">
        <w:t xml:space="preserve">relatively low oxygen content (Grande et al., 2021). </w:t>
      </w:r>
      <w:r w:rsidR="00120A40">
        <w:t>HTL</w:t>
      </w:r>
      <w:r w:rsidRPr="00A247F0">
        <w:t xml:space="preserve"> involves chemical reactions of the feedstock constituents </w:t>
      </w:r>
      <w:r w:rsidR="00132C44">
        <w:t>under</w:t>
      </w:r>
      <w:r w:rsidRPr="00A247F0">
        <w:t xml:space="preserve"> sub-</w:t>
      </w:r>
      <w:r w:rsidR="0073232D">
        <w:t xml:space="preserve"> </w:t>
      </w:r>
      <w:r w:rsidRPr="00A247F0">
        <w:t>or supercritical conditions, typically at temperatures between 250-450 °C and pressures between 100-350 bar (Castello et al., 2018). The products of the reactions are gaseous</w:t>
      </w:r>
      <w:r w:rsidR="00576115">
        <w:t>,</w:t>
      </w:r>
      <w:r w:rsidRPr="00A247F0">
        <w:t xml:space="preserve"> </w:t>
      </w:r>
      <w:proofErr w:type="gramStart"/>
      <w:r w:rsidRPr="00A247F0">
        <w:t>solid</w:t>
      </w:r>
      <w:proofErr w:type="gramEnd"/>
      <w:r w:rsidRPr="00A247F0">
        <w:t xml:space="preserve"> and liquid, </w:t>
      </w:r>
      <w:r w:rsidR="00132C44">
        <w:t xml:space="preserve">the </w:t>
      </w:r>
      <w:r w:rsidR="00232E1C">
        <w:t xml:space="preserve">last </w:t>
      </w:r>
      <w:r w:rsidR="00132C44">
        <w:t>of which</w:t>
      </w:r>
      <w:r w:rsidRPr="00A247F0">
        <w:t xml:space="preserve"> separates </w:t>
      </w:r>
      <w:r w:rsidR="00014FC5">
        <w:t>in</w:t>
      </w:r>
      <w:r w:rsidRPr="00A247F0">
        <w:t>to an aqueous and a crude phase. The crude</w:t>
      </w:r>
      <w:r w:rsidR="00561D6E">
        <w:t xml:space="preserve"> phase</w:t>
      </w:r>
      <w:r w:rsidRPr="00A247F0">
        <w:t xml:space="preserve"> </w:t>
      </w:r>
      <w:r w:rsidR="00561D6E">
        <w:t>then requires</w:t>
      </w:r>
      <w:r w:rsidR="00BC4333">
        <w:t xml:space="preserve"> </w:t>
      </w:r>
      <w:r w:rsidRPr="00A247F0">
        <w:t>upgrading to achieve liquid biofuel quality</w:t>
      </w:r>
      <w:r w:rsidRPr="00E3462F">
        <w:t>. The exact</w:t>
      </w:r>
      <w:r w:rsidR="003C5E54" w:rsidRPr="00E3462F">
        <w:t xml:space="preserve"> reaction</w:t>
      </w:r>
      <w:r w:rsidRPr="00E3462F">
        <w:t xml:space="preserve"> pathways </w:t>
      </w:r>
      <w:r w:rsidR="00771131" w:rsidRPr="00E3462F">
        <w:t xml:space="preserve">during </w:t>
      </w:r>
      <w:r w:rsidR="00120A40" w:rsidRPr="00E3462F">
        <w:t xml:space="preserve">the </w:t>
      </w:r>
      <w:r w:rsidR="00771131" w:rsidRPr="00E3462F">
        <w:t>HTL</w:t>
      </w:r>
      <w:r w:rsidRPr="00E3462F">
        <w:t xml:space="preserve"> are still unclear, but there are some suggestions presented in literature based</w:t>
      </w:r>
      <w:r w:rsidR="00561D6E">
        <w:t xml:space="preserve"> primarily</w:t>
      </w:r>
      <w:r w:rsidRPr="00E3462F">
        <w:t xml:space="preserve"> on model compounds</w:t>
      </w:r>
      <w:r w:rsidR="0001585E" w:rsidRPr="00E3462F">
        <w:t xml:space="preserve"> (</w:t>
      </w:r>
      <w:r w:rsidR="00C07679">
        <w:t xml:space="preserve">Obeid et al., 2019; </w:t>
      </w:r>
      <w:r w:rsidR="00E3462F" w:rsidRPr="00E3462F">
        <w:t>Yang et al., 2018</w:t>
      </w:r>
      <w:r w:rsidR="0001585E" w:rsidRPr="00E3462F">
        <w:t>)</w:t>
      </w:r>
      <w:r w:rsidRPr="00E3462F">
        <w:t xml:space="preserve">. </w:t>
      </w:r>
      <w:r w:rsidR="00561D6E">
        <w:t xml:space="preserve">Both </w:t>
      </w:r>
      <w:r w:rsidRPr="00E3462F">
        <w:t>the biomass feedstock and its reaction products are complex</w:t>
      </w:r>
      <w:r w:rsidR="00561D6E">
        <w:t>,</w:t>
      </w:r>
      <w:r w:rsidRPr="00A247F0">
        <w:t xml:space="preserve"> and there are several competing reaction pathways </w:t>
      </w:r>
      <w:r w:rsidR="00132C44">
        <w:t xml:space="preserve">which </w:t>
      </w:r>
      <w:r w:rsidRPr="00A247F0">
        <w:t>are possible. The basic reaction mechanisms involve a depolymerization step followed by decomposition of the monomers and recombination of the reactive fragments (Toor et al., 2011)</w:t>
      </w:r>
      <w:r w:rsidR="00285422" w:rsidRPr="00A247F0">
        <w:t>.</w:t>
      </w:r>
      <w:r w:rsidRPr="00A247F0">
        <w:t xml:space="preserve"> Feng et al. (2014) studied the hydrothermal liquefaction of bark material from different tree species, including pine and spruce</w:t>
      </w:r>
      <w:r w:rsidR="00016654">
        <w:t>,</w:t>
      </w:r>
      <w:r w:rsidRPr="00A247F0">
        <w:t xml:space="preserve"> in a 100 mL stirred reactor </w:t>
      </w:r>
      <w:r w:rsidR="00016654">
        <w:t>with</w:t>
      </w:r>
      <w:r w:rsidRPr="00A247F0">
        <w:t xml:space="preserve"> a </w:t>
      </w:r>
      <w:r w:rsidR="00543B70" w:rsidRPr="00A247F0">
        <w:t>water</w:t>
      </w:r>
      <w:r w:rsidR="00543B70">
        <w:t>-</w:t>
      </w:r>
      <w:r w:rsidRPr="00A247F0">
        <w:t>ethanol solvent mix. They found that the conversion efficiency increased with ash content and decreased with lignin content, while de-</w:t>
      </w:r>
      <w:proofErr w:type="spellStart"/>
      <w:r w:rsidRPr="00A247F0">
        <w:t>ashing</w:t>
      </w:r>
      <w:proofErr w:type="spellEnd"/>
      <w:r w:rsidRPr="00A247F0">
        <w:t xml:space="preserve"> the barks resulted in bio-crudes</w:t>
      </w:r>
      <w:r w:rsidR="00A34DFB">
        <w:t xml:space="preserve"> which were</w:t>
      </w:r>
      <w:r w:rsidRPr="00A247F0">
        <w:t xml:space="preserve"> richer in higher molecular weight compounds. </w:t>
      </w:r>
    </w:p>
    <w:p w14:paraId="0930AC91" w14:textId="392B5208" w:rsidR="00285422" w:rsidRPr="00A247F0" w:rsidRDefault="0054314C" w:rsidP="0054314C">
      <w:pPr>
        <w:pStyle w:val="CETBodytext"/>
      </w:pPr>
      <w:r w:rsidRPr="00A247F0">
        <w:t>In this work, the effect of sub- and supercritical conditions</w:t>
      </w:r>
      <w:r w:rsidR="00D94431">
        <w:t xml:space="preserve"> </w:t>
      </w:r>
      <w:r w:rsidR="00A34DFB">
        <w:t xml:space="preserve">on </w:t>
      </w:r>
      <w:r w:rsidR="00D94431">
        <w:t>the HTL of</w:t>
      </w:r>
      <w:r w:rsidR="00A34DFB">
        <w:t xml:space="preserve"> pine and spruce</w:t>
      </w:r>
      <w:r w:rsidR="00D94431">
        <w:t xml:space="preserve"> stem wood</w:t>
      </w:r>
      <w:r w:rsidR="00A34DFB">
        <w:t>,</w:t>
      </w:r>
      <w:r w:rsidR="00D94431">
        <w:t xml:space="preserve"> as well as </w:t>
      </w:r>
      <w:r w:rsidR="00A34DFB">
        <w:t xml:space="preserve">the effect of </w:t>
      </w:r>
      <w:r w:rsidR="00D94431">
        <w:t xml:space="preserve">increasing the </w:t>
      </w:r>
      <w:r w:rsidR="00D94431" w:rsidRPr="00A247F0">
        <w:t xml:space="preserve">bark content in </w:t>
      </w:r>
      <w:r w:rsidR="00A34DFB">
        <w:t>the</w:t>
      </w:r>
      <w:r w:rsidR="00D94431" w:rsidRPr="00A247F0">
        <w:t xml:space="preserve"> feedstock</w:t>
      </w:r>
      <w:r w:rsidR="00A34DFB">
        <w:t>,</w:t>
      </w:r>
      <w:r w:rsidR="00D94431" w:rsidRPr="00A247F0">
        <w:t xml:space="preserve"> is investigated</w:t>
      </w:r>
      <w:r w:rsidR="00ED45F2">
        <w:t>.</w:t>
      </w:r>
      <w:r w:rsidRPr="00A247F0">
        <w:t xml:space="preserve"> The mass balance, product yields, </w:t>
      </w:r>
      <w:r w:rsidR="00A34DFB">
        <w:t xml:space="preserve">biocrude qualities and </w:t>
      </w:r>
      <w:r w:rsidRPr="00A247F0">
        <w:t>carbon content of the aqueous phase are evaluated.</w:t>
      </w:r>
    </w:p>
    <w:p w14:paraId="1FDC2788" w14:textId="5664DA37" w:rsidR="00EF1EB1" w:rsidRPr="00A247F0" w:rsidRDefault="00057E61" w:rsidP="00EF1EB1">
      <w:pPr>
        <w:pStyle w:val="CETHeading1"/>
      </w:pPr>
      <w:r w:rsidRPr="00A247F0">
        <w:lastRenderedPageBreak/>
        <w:t>Materials and Methods</w:t>
      </w:r>
    </w:p>
    <w:p w14:paraId="7DCCE920" w14:textId="1C458185" w:rsidR="00057E61" w:rsidRPr="00A247F0" w:rsidRDefault="00B674B7" w:rsidP="00D75207">
      <w:pPr>
        <w:pStyle w:val="CETheadingx"/>
      </w:pPr>
      <w:r w:rsidRPr="00A247F0">
        <w:t>Biomass feedstock and slurry preparation</w:t>
      </w:r>
    </w:p>
    <w:p w14:paraId="4BC3568C" w14:textId="3352279C" w:rsidR="00EF1EB1" w:rsidRPr="00A247F0" w:rsidRDefault="00963BC7" w:rsidP="0054314C">
      <w:pPr>
        <w:pStyle w:val="CETBodytext"/>
      </w:pPr>
      <w:r w:rsidRPr="00A247F0">
        <w:t xml:space="preserve">The biomass feedstock consisted of wood chips and bark </w:t>
      </w:r>
      <w:r w:rsidR="00022EA5">
        <w:t xml:space="preserve">received </w:t>
      </w:r>
      <w:r w:rsidRPr="00A247F0">
        <w:t xml:space="preserve">from a Norwegian wood product company. Two species of wood were tested, pine and spruce. Each species was tested alone and with varying percentages of bark from the respective species. </w:t>
      </w:r>
      <w:r w:rsidR="00CB7F78">
        <w:t xml:space="preserve">Before </w:t>
      </w:r>
      <w:r w:rsidRPr="00A247F0">
        <w:t xml:space="preserve">the experiments, the wood and bark samples were </w:t>
      </w:r>
      <w:r w:rsidR="00CB7F78" w:rsidRPr="00A247F0">
        <w:t>air</w:t>
      </w:r>
      <w:r w:rsidR="00CB7F78">
        <w:t>-</w:t>
      </w:r>
      <w:r w:rsidRPr="00A247F0">
        <w:t>dried to avoid decomposition during storage and</w:t>
      </w:r>
      <w:r w:rsidR="0037119C">
        <w:t xml:space="preserve"> additionally</w:t>
      </w:r>
      <w:r w:rsidRPr="00A247F0">
        <w:t xml:space="preserve"> milled in a ball mill. Thereafter</w:t>
      </w:r>
      <w:r w:rsidR="000A2DEA">
        <w:t>,</w:t>
      </w:r>
      <w:r w:rsidRPr="00A247F0">
        <w:t xml:space="preserve"> the feedstock was sifted down to </w:t>
      </w:r>
      <w:r w:rsidR="001A12F0">
        <w:t>particle size</w:t>
      </w:r>
      <w:r w:rsidR="00F35083">
        <w:t>s</w:t>
      </w:r>
      <w:r w:rsidR="001A12F0">
        <w:t xml:space="preserve"> less than</w:t>
      </w:r>
      <w:r w:rsidRPr="00A247F0">
        <w:t xml:space="preserve">180 </w:t>
      </w:r>
      <w:proofErr w:type="spellStart"/>
      <w:r w:rsidRPr="00A247F0">
        <w:t>μm</w:t>
      </w:r>
      <w:proofErr w:type="spellEnd"/>
      <w:r w:rsidRPr="00A247F0">
        <w:t>. The moisture content of the feedstock wood and chips was measured after 24</w:t>
      </w:r>
      <w:r w:rsidR="000A2DEA">
        <w:t>h</w:t>
      </w:r>
      <w:r w:rsidRPr="00A247F0">
        <w:t xml:space="preserve"> at 105</w:t>
      </w:r>
      <w:r w:rsidR="00691093">
        <w:t xml:space="preserve"> </w:t>
      </w:r>
      <w:r w:rsidRPr="00A247F0">
        <w:t xml:space="preserve">°C in a muffle furnace. </w:t>
      </w:r>
      <w:r w:rsidR="00E718DD" w:rsidRPr="00A247F0">
        <w:t>The HTL reactions were run in a 1 L Continuously Stirred Tank Reactor (CS</w:t>
      </w:r>
      <w:r w:rsidR="00EC6953">
        <w:t>T</w:t>
      </w:r>
      <w:r w:rsidR="00E718DD" w:rsidRPr="00A247F0">
        <w:t xml:space="preserve">R) operated under batch conditions. </w:t>
      </w:r>
      <w:r w:rsidRPr="00A247F0">
        <w:t>The slurry for each experiment contained tap water with 10 wt.% dry biomass and K</w:t>
      </w:r>
      <w:r w:rsidRPr="00A247F0">
        <w:rPr>
          <w:vertAlign w:val="subscript"/>
        </w:rPr>
        <w:t>2</w:t>
      </w:r>
      <w:r w:rsidRPr="00A247F0">
        <w:t>CO</w:t>
      </w:r>
      <w:r w:rsidRPr="00A247F0">
        <w:rPr>
          <w:vertAlign w:val="subscript"/>
        </w:rPr>
        <w:t>3</w:t>
      </w:r>
      <w:r w:rsidRPr="00A247F0">
        <w:t xml:space="preserve"> </w:t>
      </w:r>
      <w:r w:rsidR="000A2DEA">
        <w:t xml:space="preserve">as a </w:t>
      </w:r>
      <w:r w:rsidRPr="00A247F0">
        <w:t xml:space="preserve">catalyst (10 wt.% of dry biomass). The components of the slurry </w:t>
      </w:r>
      <w:r w:rsidR="00D05355">
        <w:t>(</w:t>
      </w:r>
      <w:r w:rsidR="009B30A3">
        <w:t>shown in Table 1</w:t>
      </w:r>
      <w:r w:rsidR="00D05355">
        <w:t>)</w:t>
      </w:r>
      <w:r w:rsidR="009B30A3">
        <w:t xml:space="preserve"> </w:t>
      </w:r>
      <w:r w:rsidRPr="00A247F0">
        <w:t xml:space="preserve">were </w:t>
      </w:r>
      <w:r w:rsidR="00675B9E">
        <w:t>weighed</w:t>
      </w:r>
      <w:r w:rsidR="00675B9E" w:rsidRPr="00A247F0">
        <w:t xml:space="preserve"> </w:t>
      </w:r>
      <w:r w:rsidRPr="00A247F0">
        <w:t xml:space="preserve">separately, then combined and thoroughly mixed. The amount of slurry prepared was calculated </w:t>
      </w:r>
      <w:r w:rsidR="000A2DEA">
        <w:t>using</w:t>
      </w:r>
      <w:r w:rsidR="000A2DEA" w:rsidRPr="00A247F0">
        <w:t xml:space="preserve"> </w:t>
      </w:r>
      <w:r w:rsidRPr="00A247F0">
        <w:t xml:space="preserve">water densities at target temperatures and pressures </w:t>
      </w:r>
      <w:r w:rsidR="000A2DEA">
        <w:t xml:space="preserve">within the 1 L </w:t>
      </w:r>
      <w:r w:rsidR="00C0576A">
        <w:t>reactor,</w:t>
      </w:r>
      <w:r w:rsidR="000A2DEA">
        <w:t xml:space="preserve"> </w:t>
      </w:r>
      <w:r w:rsidRPr="00A247F0">
        <w:t>assuming the slurry without catalyst ha</w:t>
      </w:r>
      <w:r w:rsidR="00C0576A">
        <w:t>d</w:t>
      </w:r>
      <w:r w:rsidRPr="00A247F0">
        <w:t xml:space="preserve"> the same density as water</w:t>
      </w:r>
      <w:r w:rsidR="00C0576A">
        <w:t>.</w:t>
      </w:r>
      <w:r w:rsidRPr="00A247F0">
        <w:t xml:space="preserve"> </w:t>
      </w:r>
      <w:r w:rsidR="00C0576A">
        <w:t>Resulting weights used were</w:t>
      </w:r>
      <w:r w:rsidR="00874D6F">
        <w:t xml:space="preserve"> </w:t>
      </w:r>
      <w:r w:rsidRPr="00A247F0">
        <w:t>350</w:t>
      </w:r>
      <w:r w:rsidR="00691093">
        <w:t xml:space="preserve"> </w:t>
      </w:r>
      <w:r w:rsidRPr="00A247F0">
        <w:t>g slurry for reactions at 400</w:t>
      </w:r>
      <w:r w:rsidR="00691093">
        <w:t xml:space="preserve"> </w:t>
      </w:r>
      <w:r w:rsidRPr="00A247F0">
        <w:t>°C and 650</w:t>
      </w:r>
      <w:r w:rsidR="00691093">
        <w:t xml:space="preserve"> </w:t>
      </w:r>
      <w:r w:rsidRPr="00A247F0">
        <w:t>g for reactions at 350</w:t>
      </w:r>
      <w:r w:rsidR="00691093">
        <w:t xml:space="preserve"> </w:t>
      </w:r>
      <w:r w:rsidRPr="00A247F0">
        <w:t xml:space="preserve">°C. </w:t>
      </w:r>
    </w:p>
    <w:p w14:paraId="74F8D2CB" w14:textId="33056346" w:rsidR="00651109" w:rsidRPr="00A247F0" w:rsidRDefault="00A60702" w:rsidP="00D75207">
      <w:pPr>
        <w:pStyle w:val="CETheadingx"/>
      </w:pPr>
      <w:r w:rsidRPr="00A247F0">
        <w:t>Experimental procedures</w:t>
      </w:r>
    </w:p>
    <w:p w14:paraId="5EDA7525" w14:textId="4DF6CB22" w:rsidR="00057E61" w:rsidRDefault="00C100FA" w:rsidP="0054314C">
      <w:pPr>
        <w:pStyle w:val="CETBodytext"/>
      </w:pPr>
      <w:r w:rsidRPr="00A247F0">
        <w:t>The slurry was prepared</w:t>
      </w:r>
      <w:r w:rsidR="00983D50">
        <w:t>,</w:t>
      </w:r>
      <w:r w:rsidRPr="00A247F0">
        <w:t xml:space="preserve"> added to the reactor, and the pH was recorded. </w:t>
      </w:r>
      <w:r w:rsidR="006A0323">
        <w:t>Next, t</w:t>
      </w:r>
      <w:r w:rsidR="005F66E5" w:rsidRPr="00A247F0">
        <w:t>he CSTR vessel was closed and sealed. The headspace in the closed reactor was purged using a small flow of nitrogen for 5 minutes and tested for leaks by maintaining a pressure of approximately 10 bar for 5 minutes</w:t>
      </w:r>
      <w:r w:rsidR="0060530C">
        <w:t>. The pressure was released</w:t>
      </w:r>
      <w:r w:rsidR="005F66E5" w:rsidRPr="00A247F0">
        <w:t xml:space="preserve"> before warming up. Cooling water was supplied for the stirrer and stirring at 500 rpm was used during the experiments.</w:t>
      </w:r>
      <w:r w:rsidR="005F66E5">
        <w:t xml:space="preserve"> </w:t>
      </w:r>
      <w:r w:rsidRPr="00A247F0">
        <w:t>It took approximately 1 hour to heat the reactor to the target temperature. The reactor was then held</w:t>
      </w:r>
      <w:r w:rsidR="006B7A5B">
        <w:t xml:space="preserve"> at target temperature</w:t>
      </w:r>
      <w:r w:rsidR="0004372A">
        <w:t xml:space="preserve"> for</w:t>
      </w:r>
      <w:r w:rsidRPr="00A247F0">
        <w:t xml:space="preserve"> 1 hour. The heating was subsequently turned off and the system was allowed to cool overnight. Cooling water was left on while the stirring motor was off during overnight cooling. The slurry contents</w:t>
      </w:r>
      <w:r w:rsidR="00CB7F78">
        <w:t>, as well as pressures and temperatures reached,</w:t>
      </w:r>
      <w:r w:rsidRPr="00A247F0">
        <w:t xml:space="preserve"> are seen in Table 1 for the experiments conducted in this study.</w:t>
      </w:r>
    </w:p>
    <w:p w14:paraId="6F87A6B8" w14:textId="77F74BE6" w:rsidR="00530DC7" w:rsidRPr="00A247F0" w:rsidRDefault="00530DC7" w:rsidP="00530DC7">
      <w:pPr>
        <w:pStyle w:val="CETTabletitle"/>
        <w:rPr>
          <w:lang w:val="en-US"/>
        </w:rPr>
      </w:pPr>
      <w:r w:rsidRPr="00A247F0">
        <w:rPr>
          <w:lang w:val="en-US"/>
        </w:rPr>
        <w:t xml:space="preserve">Table 1: </w:t>
      </w:r>
      <w:r w:rsidR="002B2F54" w:rsidRPr="002B2F54">
        <w:rPr>
          <w:lang w:val="en-US"/>
        </w:rPr>
        <w:t>Experiment conditions of the reactions in this study. SC indicates spruce and PC indicates pine stem wood, percentages in experiment names refer to bark percentages of wood component of slurry by weight percent. Observed temperatures did not differ from target temperatures</w:t>
      </w:r>
      <w:r w:rsidR="00E22D73">
        <w:rPr>
          <w:lang w:val="en-US"/>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6"/>
        <w:gridCol w:w="993"/>
        <w:gridCol w:w="1134"/>
        <w:gridCol w:w="991"/>
        <w:gridCol w:w="991"/>
        <w:gridCol w:w="1135"/>
        <w:gridCol w:w="991"/>
        <w:gridCol w:w="1416"/>
      </w:tblGrid>
      <w:tr w:rsidR="00C5219B" w:rsidRPr="00A247F0" w14:paraId="1DC849B4" w14:textId="4ECBA220" w:rsidTr="00C5219B">
        <w:tc>
          <w:tcPr>
            <w:tcW w:w="646" w:type="pct"/>
            <w:tcBorders>
              <w:top w:val="single" w:sz="12" w:space="0" w:color="008000"/>
              <w:bottom w:val="single" w:sz="6" w:space="0" w:color="008000"/>
            </w:tcBorders>
            <w:shd w:val="clear" w:color="auto" w:fill="FFFFFF"/>
          </w:tcPr>
          <w:p w14:paraId="4213C626" w14:textId="5E3723E9" w:rsidR="00385124" w:rsidRPr="00A247F0" w:rsidRDefault="00385124" w:rsidP="00CD64D6">
            <w:pPr>
              <w:pStyle w:val="CETBodytext"/>
              <w:jc w:val="left"/>
            </w:pPr>
            <w:r>
              <w:t>Experiment</w:t>
            </w:r>
            <w:r w:rsidRPr="00A247F0">
              <w:t xml:space="preserve"> </w:t>
            </w:r>
          </w:p>
        </w:tc>
        <w:tc>
          <w:tcPr>
            <w:tcW w:w="565" w:type="pct"/>
            <w:tcBorders>
              <w:top w:val="single" w:sz="12" w:space="0" w:color="008000"/>
              <w:bottom w:val="single" w:sz="6" w:space="0" w:color="008000"/>
            </w:tcBorders>
            <w:shd w:val="clear" w:color="auto" w:fill="FFFFFF"/>
          </w:tcPr>
          <w:p w14:paraId="0BA56976" w14:textId="2281A2A5" w:rsidR="00385124" w:rsidRPr="00A247F0" w:rsidRDefault="00385124" w:rsidP="00CD64D6">
            <w:pPr>
              <w:pStyle w:val="CETBodytext"/>
              <w:jc w:val="left"/>
            </w:pPr>
            <w:r>
              <w:t>Chips</w:t>
            </w:r>
            <w:r w:rsidR="006A0323">
              <w:t>,</w:t>
            </w:r>
            <w:r>
              <w:t xml:space="preserve"> wet weight (g)</w:t>
            </w:r>
          </w:p>
        </w:tc>
        <w:tc>
          <w:tcPr>
            <w:tcW w:w="645" w:type="pct"/>
            <w:tcBorders>
              <w:top w:val="single" w:sz="12" w:space="0" w:color="008000"/>
              <w:bottom w:val="single" w:sz="6" w:space="0" w:color="008000"/>
            </w:tcBorders>
            <w:shd w:val="clear" w:color="auto" w:fill="FFFFFF"/>
          </w:tcPr>
          <w:p w14:paraId="300356B0" w14:textId="5A199C7B" w:rsidR="00385124" w:rsidRPr="00A247F0" w:rsidRDefault="00385124" w:rsidP="00CD64D6">
            <w:pPr>
              <w:pStyle w:val="CETBodytext"/>
              <w:jc w:val="left"/>
            </w:pPr>
            <w:r>
              <w:t>Bark, wet weight (g)</w:t>
            </w:r>
          </w:p>
        </w:tc>
        <w:tc>
          <w:tcPr>
            <w:tcW w:w="564" w:type="pct"/>
            <w:tcBorders>
              <w:top w:val="single" w:sz="12" w:space="0" w:color="008000"/>
              <w:bottom w:val="single" w:sz="6" w:space="0" w:color="008000"/>
            </w:tcBorders>
            <w:shd w:val="clear" w:color="auto" w:fill="FFFFFF"/>
          </w:tcPr>
          <w:p w14:paraId="0B215863" w14:textId="64DD2910" w:rsidR="00385124" w:rsidRPr="00A247F0" w:rsidRDefault="00385124" w:rsidP="00CD64D6">
            <w:pPr>
              <w:pStyle w:val="CETBodytext"/>
              <w:jc w:val="left"/>
            </w:pPr>
            <w:r>
              <w:t>Water (g)</w:t>
            </w:r>
          </w:p>
        </w:tc>
        <w:tc>
          <w:tcPr>
            <w:tcW w:w="564" w:type="pct"/>
            <w:tcBorders>
              <w:top w:val="single" w:sz="12" w:space="0" w:color="008000"/>
              <w:bottom w:val="single" w:sz="6" w:space="0" w:color="008000"/>
            </w:tcBorders>
            <w:shd w:val="clear" w:color="auto" w:fill="FFFFFF"/>
          </w:tcPr>
          <w:p w14:paraId="0FCF20D0" w14:textId="56AFD255" w:rsidR="00385124" w:rsidRPr="00A247F0" w:rsidRDefault="00385124" w:rsidP="00CD64D6">
            <w:pPr>
              <w:pStyle w:val="CETBodytext"/>
              <w:jc w:val="left"/>
            </w:pPr>
            <w:r>
              <w:t>Catalyst (g)</w:t>
            </w:r>
          </w:p>
        </w:tc>
        <w:tc>
          <w:tcPr>
            <w:tcW w:w="646" w:type="pct"/>
            <w:tcBorders>
              <w:top w:val="single" w:sz="12" w:space="0" w:color="008000"/>
              <w:bottom w:val="single" w:sz="6" w:space="0" w:color="008000"/>
            </w:tcBorders>
            <w:shd w:val="clear" w:color="auto" w:fill="FFFFFF"/>
          </w:tcPr>
          <w:p w14:paraId="0E0CD807" w14:textId="7F21D18B" w:rsidR="00385124" w:rsidRPr="00A247F0" w:rsidRDefault="00385124" w:rsidP="00CD64D6">
            <w:pPr>
              <w:pStyle w:val="CETBodytext"/>
              <w:ind w:right="-1"/>
              <w:jc w:val="left"/>
              <w:rPr>
                <w:rFonts w:cs="Arial"/>
                <w:szCs w:val="18"/>
              </w:rPr>
            </w:pPr>
            <w:r>
              <w:rPr>
                <w:rFonts w:cs="Arial"/>
                <w:szCs w:val="18"/>
              </w:rPr>
              <w:t>Target temperature (</w:t>
            </w:r>
            <w:r w:rsidRPr="00A247F0">
              <w:t>°C</w:t>
            </w:r>
            <w:r>
              <w:rPr>
                <w:rFonts w:cs="Arial"/>
                <w:szCs w:val="18"/>
              </w:rPr>
              <w:t xml:space="preserve">) </w:t>
            </w:r>
          </w:p>
        </w:tc>
        <w:tc>
          <w:tcPr>
            <w:tcW w:w="564" w:type="pct"/>
            <w:tcBorders>
              <w:top w:val="single" w:sz="12" w:space="0" w:color="008000"/>
              <w:bottom w:val="single" w:sz="6" w:space="0" w:color="008000"/>
            </w:tcBorders>
            <w:shd w:val="clear" w:color="auto" w:fill="FFFFFF"/>
          </w:tcPr>
          <w:p w14:paraId="33B62654" w14:textId="582AF622" w:rsidR="00385124" w:rsidRPr="00A247F0" w:rsidRDefault="00385124" w:rsidP="00CD64D6">
            <w:pPr>
              <w:pStyle w:val="CETBodytext"/>
              <w:ind w:right="-1"/>
              <w:jc w:val="left"/>
              <w:rPr>
                <w:rFonts w:cs="Arial"/>
                <w:szCs w:val="18"/>
              </w:rPr>
            </w:pPr>
            <w:r>
              <w:rPr>
                <w:rFonts w:cs="Arial"/>
                <w:szCs w:val="18"/>
              </w:rPr>
              <w:t>Target pressure (bar)</w:t>
            </w:r>
          </w:p>
        </w:tc>
        <w:tc>
          <w:tcPr>
            <w:tcW w:w="806" w:type="pct"/>
            <w:tcBorders>
              <w:top w:val="single" w:sz="12" w:space="0" w:color="008000"/>
              <w:bottom w:val="single" w:sz="6" w:space="0" w:color="008000"/>
            </w:tcBorders>
            <w:shd w:val="clear" w:color="auto" w:fill="FFFFFF"/>
          </w:tcPr>
          <w:p w14:paraId="75177246" w14:textId="61547C77" w:rsidR="00385124" w:rsidRPr="00A247F0" w:rsidRDefault="00D37FC0" w:rsidP="00CD64D6">
            <w:pPr>
              <w:pStyle w:val="CETBodytext"/>
              <w:ind w:right="-1"/>
              <w:jc w:val="left"/>
              <w:rPr>
                <w:rFonts w:cs="Arial"/>
                <w:szCs w:val="18"/>
              </w:rPr>
            </w:pPr>
            <w:r>
              <w:rPr>
                <w:rFonts w:cs="Arial"/>
                <w:szCs w:val="18"/>
              </w:rPr>
              <w:t>Reaction pressure</w:t>
            </w:r>
            <w:r w:rsidR="005D195D">
              <w:rPr>
                <w:rFonts w:cs="Arial"/>
                <w:szCs w:val="18"/>
              </w:rPr>
              <w:t xml:space="preserve"> observed</w:t>
            </w:r>
            <w:r>
              <w:rPr>
                <w:rFonts w:cs="Arial"/>
                <w:szCs w:val="18"/>
              </w:rPr>
              <w:t xml:space="preserve"> (bar)</w:t>
            </w:r>
          </w:p>
        </w:tc>
      </w:tr>
      <w:tr w:rsidR="00A665CD" w:rsidRPr="00A247F0" w14:paraId="4F9EB52F" w14:textId="59DB4CFA" w:rsidTr="00C5219B">
        <w:tc>
          <w:tcPr>
            <w:tcW w:w="646" w:type="pct"/>
            <w:shd w:val="clear" w:color="auto" w:fill="FFFFFF"/>
          </w:tcPr>
          <w:p w14:paraId="27C04AF8" w14:textId="26BF38AA" w:rsidR="00A665CD" w:rsidRPr="00A247F0" w:rsidRDefault="00A665CD" w:rsidP="00A665CD">
            <w:pPr>
              <w:pStyle w:val="CETBodytext"/>
            </w:pPr>
            <w:r>
              <w:t>SC350</w:t>
            </w:r>
          </w:p>
        </w:tc>
        <w:tc>
          <w:tcPr>
            <w:tcW w:w="565" w:type="pct"/>
            <w:shd w:val="clear" w:color="auto" w:fill="FFFFFF"/>
          </w:tcPr>
          <w:p w14:paraId="1708D800" w14:textId="551D6716" w:rsidR="00A665CD" w:rsidRPr="00A247F0" w:rsidRDefault="00A665CD" w:rsidP="00A665CD">
            <w:pPr>
              <w:pStyle w:val="CETBodytext"/>
            </w:pPr>
            <w:r>
              <w:t>68.4</w:t>
            </w:r>
          </w:p>
        </w:tc>
        <w:tc>
          <w:tcPr>
            <w:tcW w:w="645" w:type="pct"/>
            <w:shd w:val="clear" w:color="auto" w:fill="FFFFFF"/>
          </w:tcPr>
          <w:p w14:paraId="58F7A98D" w14:textId="6973F282" w:rsidR="00A665CD" w:rsidRPr="00A247F0" w:rsidRDefault="00E22D73" w:rsidP="00A665CD">
            <w:pPr>
              <w:pStyle w:val="CETBodytext"/>
            </w:pPr>
            <w:r>
              <w:t>0</w:t>
            </w:r>
          </w:p>
        </w:tc>
        <w:tc>
          <w:tcPr>
            <w:tcW w:w="564" w:type="pct"/>
            <w:shd w:val="clear" w:color="auto" w:fill="FFFFFF"/>
          </w:tcPr>
          <w:p w14:paraId="30307A70" w14:textId="3ECDB017" w:rsidR="00A665CD" w:rsidRPr="00A247F0" w:rsidRDefault="00A665CD" w:rsidP="00A665CD">
            <w:pPr>
              <w:pStyle w:val="CETBodytext"/>
            </w:pPr>
            <w:r>
              <w:t>571.6</w:t>
            </w:r>
          </w:p>
        </w:tc>
        <w:tc>
          <w:tcPr>
            <w:tcW w:w="564" w:type="pct"/>
            <w:shd w:val="clear" w:color="auto" w:fill="FFFFFF"/>
          </w:tcPr>
          <w:p w14:paraId="75371A4C" w14:textId="4F42F105" w:rsidR="00A665CD" w:rsidRPr="00A247F0" w:rsidRDefault="00A665CD" w:rsidP="00A665CD">
            <w:pPr>
              <w:pStyle w:val="CETBodytext"/>
            </w:pPr>
            <w:r>
              <w:t>6.8</w:t>
            </w:r>
          </w:p>
        </w:tc>
        <w:tc>
          <w:tcPr>
            <w:tcW w:w="646" w:type="pct"/>
            <w:shd w:val="clear" w:color="auto" w:fill="FFFFFF"/>
          </w:tcPr>
          <w:p w14:paraId="0F872B8F" w14:textId="3F5794B1" w:rsidR="00A665CD" w:rsidRPr="00A247F0" w:rsidRDefault="00A665CD" w:rsidP="00A665CD">
            <w:pPr>
              <w:pStyle w:val="CETBodytext"/>
              <w:ind w:right="-1"/>
              <w:rPr>
                <w:rFonts w:cs="Arial"/>
                <w:szCs w:val="18"/>
              </w:rPr>
            </w:pPr>
            <w:r>
              <w:rPr>
                <w:rFonts w:cs="Arial"/>
                <w:szCs w:val="18"/>
              </w:rPr>
              <w:t>350</w:t>
            </w:r>
          </w:p>
        </w:tc>
        <w:tc>
          <w:tcPr>
            <w:tcW w:w="564" w:type="pct"/>
            <w:shd w:val="clear" w:color="auto" w:fill="FFFFFF"/>
          </w:tcPr>
          <w:p w14:paraId="531F5B44" w14:textId="37BE00E7"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4D2502B0" w14:textId="4DB40CCC" w:rsidR="00A665CD" w:rsidRPr="00A247F0" w:rsidRDefault="00A665CD" w:rsidP="00A665CD">
            <w:pPr>
              <w:pStyle w:val="CETBodytext"/>
              <w:ind w:right="-1"/>
              <w:rPr>
                <w:rFonts w:cs="Arial"/>
                <w:szCs w:val="18"/>
              </w:rPr>
            </w:pPr>
            <w:r w:rsidRPr="0018284F">
              <w:t>269.0 - 272.0</w:t>
            </w:r>
          </w:p>
        </w:tc>
      </w:tr>
      <w:tr w:rsidR="00A665CD" w:rsidRPr="00A247F0" w14:paraId="2267A54C" w14:textId="77777777" w:rsidTr="00C5219B">
        <w:tc>
          <w:tcPr>
            <w:tcW w:w="646" w:type="pct"/>
            <w:shd w:val="clear" w:color="auto" w:fill="FFFFFF"/>
          </w:tcPr>
          <w:p w14:paraId="422A72EC" w14:textId="3040AE32" w:rsidR="00A665CD" w:rsidRPr="00A247F0" w:rsidRDefault="00A665CD" w:rsidP="00A665CD">
            <w:pPr>
              <w:pStyle w:val="CETBodytext"/>
            </w:pPr>
            <w:r>
              <w:t>SC400</w:t>
            </w:r>
          </w:p>
        </w:tc>
        <w:tc>
          <w:tcPr>
            <w:tcW w:w="565" w:type="pct"/>
            <w:shd w:val="clear" w:color="auto" w:fill="FFFFFF"/>
          </w:tcPr>
          <w:p w14:paraId="71878F70" w14:textId="5390B971" w:rsidR="00A665CD" w:rsidRPr="00A247F0" w:rsidRDefault="00A665CD" w:rsidP="00A665CD">
            <w:pPr>
              <w:pStyle w:val="CETBodytext"/>
            </w:pPr>
            <w:r>
              <w:t>37.4</w:t>
            </w:r>
          </w:p>
        </w:tc>
        <w:tc>
          <w:tcPr>
            <w:tcW w:w="645" w:type="pct"/>
            <w:shd w:val="clear" w:color="auto" w:fill="FFFFFF"/>
          </w:tcPr>
          <w:p w14:paraId="7896B55E" w14:textId="612C140F" w:rsidR="00A665CD" w:rsidRPr="00A247F0" w:rsidRDefault="00E22D73" w:rsidP="00A665CD">
            <w:pPr>
              <w:pStyle w:val="CETBodytext"/>
            </w:pPr>
            <w:r>
              <w:t>0</w:t>
            </w:r>
          </w:p>
        </w:tc>
        <w:tc>
          <w:tcPr>
            <w:tcW w:w="564" w:type="pct"/>
            <w:shd w:val="clear" w:color="auto" w:fill="FFFFFF"/>
          </w:tcPr>
          <w:p w14:paraId="48B8D6C0" w14:textId="362D7AAC" w:rsidR="00A665CD" w:rsidRPr="00A247F0" w:rsidRDefault="00A665CD" w:rsidP="00A665CD">
            <w:pPr>
              <w:pStyle w:val="CETBodytext"/>
            </w:pPr>
            <w:r>
              <w:t>312.6</w:t>
            </w:r>
          </w:p>
        </w:tc>
        <w:tc>
          <w:tcPr>
            <w:tcW w:w="564" w:type="pct"/>
            <w:shd w:val="clear" w:color="auto" w:fill="FFFFFF"/>
          </w:tcPr>
          <w:p w14:paraId="76136A79" w14:textId="443631DD" w:rsidR="00A665CD" w:rsidRPr="00A247F0" w:rsidRDefault="00A665CD" w:rsidP="00A665CD">
            <w:pPr>
              <w:pStyle w:val="CETBodytext"/>
            </w:pPr>
            <w:r>
              <w:t>3.7</w:t>
            </w:r>
          </w:p>
        </w:tc>
        <w:tc>
          <w:tcPr>
            <w:tcW w:w="646" w:type="pct"/>
            <w:shd w:val="clear" w:color="auto" w:fill="FFFFFF"/>
          </w:tcPr>
          <w:p w14:paraId="346CAA2B" w14:textId="359C5BF2"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47C8FF39" w14:textId="1EC10757"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04F4121D" w14:textId="0F5BB9CA" w:rsidR="00A665CD" w:rsidRPr="00A247F0" w:rsidRDefault="00A665CD" w:rsidP="00A665CD">
            <w:pPr>
              <w:pStyle w:val="CETBodytext"/>
              <w:ind w:right="-1"/>
              <w:rPr>
                <w:rFonts w:cs="Arial"/>
                <w:szCs w:val="18"/>
              </w:rPr>
            </w:pPr>
            <w:r w:rsidRPr="0018284F">
              <w:t>301.2 - 312.9</w:t>
            </w:r>
          </w:p>
        </w:tc>
      </w:tr>
      <w:tr w:rsidR="00A665CD" w:rsidRPr="00A247F0" w14:paraId="03684B85" w14:textId="77777777" w:rsidTr="00C5219B">
        <w:tc>
          <w:tcPr>
            <w:tcW w:w="646" w:type="pct"/>
            <w:shd w:val="clear" w:color="auto" w:fill="FFFFFF"/>
          </w:tcPr>
          <w:p w14:paraId="264069E2" w14:textId="7BC24787" w:rsidR="00A665CD" w:rsidRPr="00A247F0" w:rsidRDefault="00A665CD" w:rsidP="00A665CD">
            <w:pPr>
              <w:pStyle w:val="CETBodytext"/>
            </w:pPr>
            <w:r>
              <w:t>S10%</w:t>
            </w:r>
          </w:p>
        </w:tc>
        <w:tc>
          <w:tcPr>
            <w:tcW w:w="565" w:type="pct"/>
            <w:shd w:val="clear" w:color="auto" w:fill="FFFFFF"/>
          </w:tcPr>
          <w:p w14:paraId="102AD1C8" w14:textId="2084C118" w:rsidR="00A665CD" w:rsidRPr="00A247F0" w:rsidRDefault="00A665CD" w:rsidP="00A665CD">
            <w:pPr>
              <w:pStyle w:val="CETBodytext"/>
            </w:pPr>
            <w:r>
              <w:t>33.7</w:t>
            </w:r>
          </w:p>
        </w:tc>
        <w:tc>
          <w:tcPr>
            <w:tcW w:w="645" w:type="pct"/>
            <w:shd w:val="clear" w:color="auto" w:fill="FFFFFF"/>
          </w:tcPr>
          <w:p w14:paraId="55BE8E7E" w14:textId="6BD49C20" w:rsidR="00A665CD" w:rsidRPr="00A247F0" w:rsidRDefault="00A665CD" w:rsidP="00A665CD">
            <w:pPr>
              <w:pStyle w:val="CETBodytext"/>
            </w:pPr>
            <w:r>
              <w:t>3.7</w:t>
            </w:r>
          </w:p>
        </w:tc>
        <w:tc>
          <w:tcPr>
            <w:tcW w:w="564" w:type="pct"/>
            <w:shd w:val="clear" w:color="auto" w:fill="FFFFFF"/>
          </w:tcPr>
          <w:p w14:paraId="0A6D5164" w14:textId="1DDEC663" w:rsidR="00A665CD" w:rsidRPr="00A247F0" w:rsidRDefault="00A665CD" w:rsidP="00A665CD">
            <w:pPr>
              <w:pStyle w:val="CETBodytext"/>
            </w:pPr>
            <w:r>
              <w:t>312.6</w:t>
            </w:r>
          </w:p>
        </w:tc>
        <w:tc>
          <w:tcPr>
            <w:tcW w:w="564" w:type="pct"/>
            <w:shd w:val="clear" w:color="auto" w:fill="FFFFFF"/>
          </w:tcPr>
          <w:p w14:paraId="1ED82619" w14:textId="4723F924" w:rsidR="00A665CD" w:rsidRPr="00A247F0" w:rsidRDefault="00A665CD" w:rsidP="00A665CD">
            <w:pPr>
              <w:pStyle w:val="CETBodytext"/>
            </w:pPr>
            <w:r>
              <w:t>3.7</w:t>
            </w:r>
          </w:p>
        </w:tc>
        <w:tc>
          <w:tcPr>
            <w:tcW w:w="646" w:type="pct"/>
            <w:shd w:val="clear" w:color="auto" w:fill="FFFFFF"/>
          </w:tcPr>
          <w:p w14:paraId="45A794C4" w14:textId="6EAC59C8"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490306A2" w14:textId="73B905C5"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1422501E" w14:textId="2AD3C455" w:rsidR="00A665CD" w:rsidRPr="00A247F0" w:rsidRDefault="00A665CD" w:rsidP="00A665CD">
            <w:pPr>
              <w:pStyle w:val="CETBodytext"/>
              <w:ind w:right="-1"/>
              <w:rPr>
                <w:rFonts w:cs="Arial"/>
                <w:szCs w:val="18"/>
              </w:rPr>
            </w:pPr>
            <w:r w:rsidRPr="0018284F">
              <w:t>300.4 - 313.0</w:t>
            </w:r>
          </w:p>
        </w:tc>
      </w:tr>
      <w:tr w:rsidR="00A665CD" w:rsidRPr="00A247F0" w14:paraId="1C738566" w14:textId="77777777" w:rsidTr="00C5219B">
        <w:tc>
          <w:tcPr>
            <w:tcW w:w="646" w:type="pct"/>
            <w:shd w:val="clear" w:color="auto" w:fill="FFFFFF"/>
          </w:tcPr>
          <w:p w14:paraId="0359131E" w14:textId="5DB1F154" w:rsidR="00A665CD" w:rsidRPr="00A247F0" w:rsidRDefault="00A665CD" w:rsidP="00A665CD">
            <w:pPr>
              <w:pStyle w:val="CETBodytext"/>
            </w:pPr>
            <w:r>
              <w:t>S20%</w:t>
            </w:r>
          </w:p>
        </w:tc>
        <w:tc>
          <w:tcPr>
            <w:tcW w:w="565" w:type="pct"/>
            <w:shd w:val="clear" w:color="auto" w:fill="FFFFFF"/>
          </w:tcPr>
          <w:p w14:paraId="0B3F1DCC" w14:textId="15726FB8" w:rsidR="00A665CD" w:rsidRPr="00A247F0" w:rsidRDefault="00A665CD" w:rsidP="00A665CD">
            <w:pPr>
              <w:pStyle w:val="CETBodytext"/>
            </w:pPr>
            <w:r>
              <w:t>29.9</w:t>
            </w:r>
          </w:p>
        </w:tc>
        <w:tc>
          <w:tcPr>
            <w:tcW w:w="645" w:type="pct"/>
            <w:shd w:val="clear" w:color="auto" w:fill="FFFFFF"/>
          </w:tcPr>
          <w:p w14:paraId="0F66E1EB" w14:textId="7D9EC39F" w:rsidR="00A665CD" w:rsidRPr="00A247F0" w:rsidRDefault="00A665CD" w:rsidP="00A665CD">
            <w:pPr>
              <w:pStyle w:val="CETBodytext"/>
            </w:pPr>
            <w:r>
              <w:t>7.5</w:t>
            </w:r>
          </w:p>
        </w:tc>
        <w:tc>
          <w:tcPr>
            <w:tcW w:w="564" w:type="pct"/>
            <w:shd w:val="clear" w:color="auto" w:fill="FFFFFF"/>
          </w:tcPr>
          <w:p w14:paraId="78F5C0CB" w14:textId="066D8C33" w:rsidR="00A665CD" w:rsidRPr="00A247F0" w:rsidRDefault="00A665CD" w:rsidP="00A665CD">
            <w:pPr>
              <w:pStyle w:val="CETBodytext"/>
            </w:pPr>
            <w:r>
              <w:t>312.6</w:t>
            </w:r>
          </w:p>
        </w:tc>
        <w:tc>
          <w:tcPr>
            <w:tcW w:w="564" w:type="pct"/>
            <w:shd w:val="clear" w:color="auto" w:fill="FFFFFF"/>
          </w:tcPr>
          <w:p w14:paraId="06F23671" w14:textId="1DB4C74C" w:rsidR="00A665CD" w:rsidRPr="00A247F0" w:rsidRDefault="00A665CD" w:rsidP="00A665CD">
            <w:pPr>
              <w:pStyle w:val="CETBodytext"/>
            </w:pPr>
            <w:r>
              <w:t>3.7</w:t>
            </w:r>
          </w:p>
        </w:tc>
        <w:tc>
          <w:tcPr>
            <w:tcW w:w="646" w:type="pct"/>
            <w:shd w:val="clear" w:color="auto" w:fill="FFFFFF"/>
          </w:tcPr>
          <w:p w14:paraId="048935A1" w14:textId="483F9170"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1EDB0D06" w14:textId="46D3ED67"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548F671C" w14:textId="191FC507" w:rsidR="00A665CD" w:rsidRPr="00A247F0" w:rsidRDefault="00A665CD" w:rsidP="00A665CD">
            <w:pPr>
              <w:pStyle w:val="CETBodytext"/>
              <w:ind w:right="-1"/>
              <w:rPr>
                <w:rFonts w:cs="Arial"/>
                <w:szCs w:val="18"/>
              </w:rPr>
            </w:pPr>
            <w:r w:rsidRPr="0018284F">
              <w:t>301.5 - 313.3</w:t>
            </w:r>
          </w:p>
        </w:tc>
      </w:tr>
      <w:tr w:rsidR="00A665CD" w:rsidRPr="00A247F0" w14:paraId="0DFE7696" w14:textId="77777777" w:rsidTr="00C5219B">
        <w:tc>
          <w:tcPr>
            <w:tcW w:w="646" w:type="pct"/>
            <w:shd w:val="clear" w:color="auto" w:fill="FFFFFF"/>
          </w:tcPr>
          <w:p w14:paraId="37F25BB4" w14:textId="44416E3C" w:rsidR="00A665CD" w:rsidRPr="00A247F0" w:rsidRDefault="00A665CD" w:rsidP="00A665CD">
            <w:pPr>
              <w:pStyle w:val="CETBodytext"/>
            </w:pPr>
            <w:r>
              <w:t>PC350</w:t>
            </w:r>
          </w:p>
        </w:tc>
        <w:tc>
          <w:tcPr>
            <w:tcW w:w="565" w:type="pct"/>
            <w:shd w:val="clear" w:color="auto" w:fill="FFFFFF"/>
          </w:tcPr>
          <w:p w14:paraId="67B4D437" w14:textId="1232A571" w:rsidR="00A665CD" w:rsidRPr="00A247F0" w:rsidRDefault="00A665CD" w:rsidP="00A665CD">
            <w:pPr>
              <w:pStyle w:val="CETBodytext"/>
            </w:pPr>
            <w:r>
              <w:t>67.8</w:t>
            </w:r>
          </w:p>
        </w:tc>
        <w:tc>
          <w:tcPr>
            <w:tcW w:w="645" w:type="pct"/>
            <w:shd w:val="clear" w:color="auto" w:fill="FFFFFF"/>
          </w:tcPr>
          <w:p w14:paraId="1F3E3B4B" w14:textId="609AD88D" w:rsidR="00A665CD" w:rsidRPr="00A247F0" w:rsidRDefault="00E22D73" w:rsidP="00A665CD">
            <w:pPr>
              <w:pStyle w:val="CETBodytext"/>
            </w:pPr>
            <w:r>
              <w:t>0</w:t>
            </w:r>
          </w:p>
        </w:tc>
        <w:tc>
          <w:tcPr>
            <w:tcW w:w="564" w:type="pct"/>
            <w:shd w:val="clear" w:color="auto" w:fill="FFFFFF"/>
          </w:tcPr>
          <w:p w14:paraId="317562A5" w14:textId="700F4FC6" w:rsidR="00A665CD" w:rsidRPr="00A247F0" w:rsidRDefault="00A665CD" w:rsidP="00A665CD">
            <w:pPr>
              <w:pStyle w:val="CETBodytext"/>
            </w:pPr>
            <w:r>
              <w:t>572.2</w:t>
            </w:r>
          </w:p>
        </w:tc>
        <w:tc>
          <w:tcPr>
            <w:tcW w:w="564" w:type="pct"/>
            <w:shd w:val="clear" w:color="auto" w:fill="FFFFFF"/>
          </w:tcPr>
          <w:p w14:paraId="7F5628D5" w14:textId="27F5B3F5" w:rsidR="00A665CD" w:rsidRPr="00A247F0" w:rsidRDefault="00A665CD" w:rsidP="00A665CD">
            <w:pPr>
              <w:pStyle w:val="CETBodytext"/>
            </w:pPr>
            <w:r>
              <w:t>6.8</w:t>
            </w:r>
          </w:p>
        </w:tc>
        <w:tc>
          <w:tcPr>
            <w:tcW w:w="646" w:type="pct"/>
            <w:shd w:val="clear" w:color="auto" w:fill="FFFFFF"/>
          </w:tcPr>
          <w:p w14:paraId="68CBB31F" w14:textId="7989FB38" w:rsidR="00A665CD" w:rsidRPr="00A247F0" w:rsidRDefault="00A665CD" w:rsidP="00A665CD">
            <w:pPr>
              <w:pStyle w:val="CETBodytext"/>
              <w:ind w:right="-1"/>
              <w:rPr>
                <w:rFonts w:cs="Arial"/>
                <w:szCs w:val="18"/>
              </w:rPr>
            </w:pPr>
            <w:r>
              <w:rPr>
                <w:rFonts w:cs="Arial"/>
                <w:szCs w:val="18"/>
              </w:rPr>
              <w:t>350</w:t>
            </w:r>
          </w:p>
        </w:tc>
        <w:tc>
          <w:tcPr>
            <w:tcW w:w="564" w:type="pct"/>
            <w:shd w:val="clear" w:color="auto" w:fill="FFFFFF"/>
          </w:tcPr>
          <w:p w14:paraId="69A3A0A0" w14:textId="23F6EF03"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4555F756" w14:textId="72D65057" w:rsidR="00A665CD" w:rsidRPr="00A247F0" w:rsidRDefault="00A665CD" w:rsidP="00A665CD">
            <w:pPr>
              <w:pStyle w:val="CETBodytext"/>
              <w:ind w:right="-1"/>
              <w:rPr>
                <w:rFonts w:cs="Arial"/>
                <w:szCs w:val="18"/>
              </w:rPr>
            </w:pPr>
            <w:r w:rsidRPr="0018284F">
              <w:t>246.1 - 273.6</w:t>
            </w:r>
          </w:p>
        </w:tc>
      </w:tr>
      <w:tr w:rsidR="00A665CD" w:rsidRPr="00A247F0" w14:paraId="2D8429E0" w14:textId="77777777" w:rsidTr="00C5219B">
        <w:tc>
          <w:tcPr>
            <w:tcW w:w="646" w:type="pct"/>
            <w:shd w:val="clear" w:color="auto" w:fill="FFFFFF"/>
          </w:tcPr>
          <w:p w14:paraId="38F065A8" w14:textId="7DEEE39C" w:rsidR="00A665CD" w:rsidRPr="00A247F0" w:rsidRDefault="00A665CD" w:rsidP="00A665CD">
            <w:pPr>
              <w:pStyle w:val="CETBodytext"/>
            </w:pPr>
            <w:r>
              <w:t>PC400</w:t>
            </w:r>
          </w:p>
        </w:tc>
        <w:tc>
          <w:tcPr>
            <w:tcW w:w="565" w:type="pct"/>
            <w:shd w:val="clear" w:color="auto" w:fill="FFFFFF"/>
          </w:tcPr>
          <w:p w14:paraId="7978B312" w14:textId="37AABEE8" w:rsidR="00A665CD" w:rsidRPr="00A247F0" w:rsidRDefault="00A665CD" w:rsidP="00A665CD">
            <w:pPr>
              <w:pStyle w:val="CETBodytext"/>
            </w:pPr>
            <w:r>
              <w:t>37.1</w:t>
            </w:r>
          </w:p>
        </w:tc>
        <w:tc>
          <w:tcPr>
            <w:tcW w:w="645" w:type="pct"/>
            <w:shd w:val="clear" w:color="auto" w:fill="FFFFFF"/>
          </w:tcPr>
          <w:p w14:paraId="267ABFF6" w14:textId="75AA13CA" w:rsidR="00A665CD" w:rsidRPr="00A247F0" w:rsidRDefault="00E22D73" w:rsidP="00A665CD">
            <w:pPr>
              <w:pStyle w:val="CETBodytext"/>
            </w:pPr>
            <w:r>
              <w:t>0</w:t>
            </w:r>
          </w:p>
        </w:tc>
        <w:tc>
          <w:tcPr>
            <w:tcW w:w="564" w:type="pct"/>
            <w:shd w:val="clear" w:color="auto" w:fill="FFFFFF"/>
          </w:tcPr>
          <w:p w14:paraId="4E23151C" w14:textId="4B56A0F9" w:rsidR="00A665CD" w:rsidRPr="00A247F0" w:rsidRDefault="00A665CD" w:rsidP="00A665CD">
            <w:pPr>
              <w:pStyle w:val="CETBodytext"/>
            </w:pPr>
            <w:r>
              <w:t>312.9</w:t>
            </w:r>
          </w:p>
        </w:tc>
        <w:tc>
          <w:tcPr>
            <w:tcW w:w="564" w:type="pct"/>
            <w:shd w:val="clear" w:color="auto" w:fill="FFFFFF"/>
          </w:tcPr>
          <w:p w14:paraId="32EDBDB9" w14:textId="18310646" w:rsidR="00A665CD" w:rsidRPr="00A247F0" w:rsidRDefault="00A665CD" w:rsidP="00A665CD">
            <w:pPr>
              <w:pStyle w:val="CETBodytext"/>
            </w:pPr>
            <w:r>
              <w:t>3.7</w:t>
            </w:r>
          </w:p>
        </w:tc>
        <w:tc>
          <w:tcPr>
            <w:tcW w:w="646" w:type="pct"/>
            <w:shd w:val="clear" w:color="auto" w:fill="FFFFFF"/>
          </w:tcPr>
          <w:p w14:paraId="20EED1E1" w14:textId="1BBCD2C0"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04F65E83" w14:textId="3A3BFB3E"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7A947CC9" w14:textId="22D51FA7" w:rsidR="00A665CD" w:rsidRPr="00A247F0" w:rsidRDefault="00A665CD" w:rsidP="00A665CD">
            <w:pPr>
              <w:pStyle w:val="CETBodytext"/>
              <w:ind w:right="-1"/>
              <w:rPr>
                <w:rFonts w:cs="Arial"/>
                <w:szCs w:val="18"/>
              </w:rPr>
            </w:pPr>
            <w:r w:rsidRPr="0018284F">
              <w:t>300.3 - 313.0</w:t>
            </w:r>
          </w:p>
        </w:tc>
      </w:tr>
      <w:tr w:rsidR="00A665CD" w:rsidRPr="00A247F0" w14:paraId="2FF31E90" w14:textId="77777777" w:rsidTr="00C5219B">
        <w:tc>
          <w:tcPr>
            <w:tcW w:w="646" w:type="pct"/>
            <w:shd w:val="clear" w:color="auto" w:fill="FFFFFF"/>
          </w:tcPr>
          <w:p w14:paraId="6A3FFEE8" w14:textId="4BB3EE84" w:rsidR="00A665CD" w:rsidRPr="00A247F0" w:rsidRDefault="00A665CD" w:rsidP="00A665CD">
            <w:pPr>
              <w:pStyle w:val="CETBodytext"/>
              <w:ind w:right="-1"/>
              <w:rPr>
                <w:rFonts w:cs="Arial"/>
                <w:szCs w:val="18"/>
              </w:rPr>
            </w:pPr>
            <w:r>
              <w:rPr>
                <w:rFonts w:cs="Arial"/>
                <w:szCs w:val="18"/>
              </w:rPr>
              <w:t>P10%</w:t>
            </w:r>
          </w:p>
        </w:tc>
        <w:tc>
          <w:tcPr>
            <w:tcW w:w="565" w:type="pct"/>
            <w:shd w:val="clear" w:color="auto" w:fill="FFFFFF"/>
          </w:tcPr>
          <w:p w14:paraId="3422E8D8" w14:textId="66D9E804" w:rsidR="00A665CD" w:rsidRPr="00A247F0" w:rsidRDefault="00A665CD" w:rsidP="00A665CD">
            <w:pPr>
              <w:pStyle w:val="CETBodytext"/>
              <w:ind w:right="-1"/>
              <w:rPr>
                <w:rFonts w:cs="Arial"/>
                <w:szCs w:val="18"/>
              </w:rPr>
            </w:pPr>
            <w:r>
              <w:rPr>
                <w:rFonts w:cs="Arial"/>
                <w:szCs w:val="18"/>
              </w:rPr>
              <w:t>33.4</w:t>
            </w:r>
          </w:p>
        </w:tc>
        <w:tc>
          <w:tcPr>
            <w:tcW w:w="645" w:type="pct"/>
            <w:shd w:val="clear" w:color="auto" w:fill="FFFFFF"/>
          </w:tcPr>
          <w:p w14:paraId="3A4B62C9" w14:textId="5E6ECB83" w:rsidR="00A665CD" w:rsidRPr="00A247F0" w:rsidRDefault="00A665CD" w:rsidP="00A665CD">
            <w:pPr>
              <w:pStyle w:val="CETBodytext"/>
              <w:ind w:right="-1"/>
              <w:rPr>
                <w:rFonts w:cs="Arial"/>
                <w:szCs w:val="18"/>
              </w:rPr>
            </w:pPr>
            <w:r>
              <w:rPr>
                <w:rFonts w:cs="Arial"/>
                <w:szCs w:val="18"/>
              </w:rPr>
              <w:t>3.7</w:t>
            </w:r>
          </w:p>
        </w:tc>
        <w:tc>
          <w:tcPr>
            <w:tcW w:w="564" w:type="pct"/>
            <w:shd w:val="clear" w:color="auto" w:fill="FFFFFF"/>
          </w:tcPr>
          <w:p w14:paraId="79199B53" w14:textId="323CF487" w:rsidR="00A665CD" w:rsidRPr="00A247F0" w:rsidRDefault="00A665CD" w:rsidP="00A665CD">
            <w:pPr>
              <w:pStyle w:val="CETBodytext"/>
              <w:ind w:right="-1"/>
              <w:rPr>
                <w:rFonts w:cs="Arial"/>
                <w:szCs w:val="18"/>
              </w:rPr>
            </w:pPr>
            <w:r>
              <w:t>312.9</w:t>
            </w:r>
          </w:p>
        </w:tc>
        <w:tc>
          <w:tcPr>
            <w:tcW w:w="564" w:type="pct"/>
            <w:shd w:val="clear" w:color="auto" w:fill="FFFFFF"/>
          </w:tcPr>
          <w:p w14:paraId="6668A4FA" w14:textId="6AE7AB0A" w:rsidR="00A665CD" w:rsidRPr="00A247F0" w:rsidRDefault="00A665CD" w:rsidP="00A665CD">
            <w:pPr>
              <w:pStyle w:val="CETBodytext"/>
              <w:ind w:right="-1"/>
              <w:rPr>
                <w:rFonts w:cs="Arial"/>
                <w:szCs w:val="18"/>
              </w:rPr>
            </w:pPr>
            <w:r>
              <w:rPr>
                <w:rFonts w:cs="Arial"/>
                <w:szCs w:val="18"/>
              </w:rPr>
              <w:t>3.7</w:t>
            </w:r>
          </w:p>
        </w:tc>
        <w:tc>
          <w:tcPr>
            <w:tcW w:w="646" w:type="pct"/>
            <w:shd w:val="clear" w:color="auto" w:fill="FFFFFF"/>
          </w:tcPr>
          <w:p w14:paraId="0D1132E6" w14:textId="07BFC8CA"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67DA5361" w14:textId="33FF809C"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3DBDA86C" w14:textId="691BC6BE" w:rsidR="00A665CD" w:rsidRPr="00A247F0" w:rsidRDefault="00A665CD" w:rsidP="00A665CD">
            <w:pPr>
              <w:pStyle w:val="CETBodytext"/>
              <w:ind w:right="-1"/>
              <w:rPr>
                <w:rFonts w:cs="Arial"/>
                <w:szCs w:val="18"/>
              </w:rPr>
            </w:pPr>
            <w:r w:rsidRPr="0018284F">
              <w:t>301.0 - 313.5</w:t>
            </w:r>
          </w:p>
        </w:tc>
      </w:tr>
      <w:tr w:rsidR="00A665CD" w:rsidRPr="00A247F0" w14:paraId="2524CBB9" w14:textId="75B8FE83" w:rsidTr="00C5219B">
        <w:tc>
          <w:tcPr>
            <w:tcW w:w="646" w:type="pct"/>
            <w:shd w:val="clear" w:color="auto" w:fill="FFFFFF"/>
          </w:tcPr>
          <w:p w14:paraId="1699BAAC" w14:textId="786A4751" w:rsidR="00A665CD" w:rsidRPr="00A247F0" w:rsidRDefault="00A665CD" w:rsidP="00A665CD">
            <w:pPr>
              <w:pStyle w:val="CETBodytext"/>
              <w:ind w:right="-1"/>
              <w:rPr>
                <w:rFonts w:cs="Arial"/>
                <w:szCs w:val="18"/>
              </w:rPr>
            </w:pPr>
            <w:r>
              <w:rPr>
                <w:rFonts w:cs="Arial"/>
                <w:szCs w:val="18"/>
              </w:rPr>
              <w:t>P20%</w:t>
            </w:r>
          </w:p>
        </w:tc>
        <w:tc>
          <w:tcPr>
            <w:tcW w:w="565" w:type="pct"/>
            <w:shd w:val="clear" w:color="auto" w:fill="FFFFFF"/>
          </w:tcPr>
          <w:p w14:paraId="229B0FDC" w14:textId="10DE9ECD" w:rsidR="00A665CD" w:rsidRPr="00A247F0" w:rsidRDefault="00A665CD" w:rsidP="00A665CD">
            <w:pPr>
              <w:pStyle w:val="CETBodytext"/>
              <w:ind w:right="-1"/>
              <w:rPr>
                <w:rFonts w:cs="Arial"/>
                <w:szCs w:val="18"/>
              </w:rPr>
            </w:pPr>
            <w:r>
              <w:rPr>
                <w:rFonts w:cs="Arial"/>
                <w:szCs w:val="18"/>
              </w:rPr>
              <w:t>29.7</w:t>
            </w:r>
          </w:p>
        </w:tc>
        <w:tc>
          <w:tcPr>
            <w:tcW w:w="645" w:type="pct"/>
            <w:shd w:val="clear" w:color="auto" w:fill="FFFFFF"/>
          </w:tcPr>
          <w:p w14:paraId="15A14DA6" w14:textId="7040E6A8" w:rsidR="00A665CD" w:rsidRPr="00A247F0" w:rsidRDefault="00A665CD" w:rsidP="00A665CD">
            <w:pPr>
              <w:pStyle w:val="CETBodytext"/>
              <w:ind w:right="-1"/>
              <w:rPr>
                <w:rFonts w:cs="Arial"/>
                <w:szCs w:val="18"/>
              </w:rPr>
            </w:pPr>
            <w:r>
              <w:rPr>
                <w:rFonts w:cs="Arial"/>
                <w:szCs w:val="18"/>
              </w:rPr>
              <w:t>7.4</w:t>
            </w:r>
          </w:p>
        </w:tc>
        <w:tc>
          <w:tcPr>
            <w:tcW w:w="564" w:type="pct"/>
            <w:shd w:val="clear" w:color="auto" w:fill="FFFFFF"/>
          </w:tcPr>
          <w:p w14:paraId="682CA2E2" w14:textId="677DA03A" w:rsidR="00A665CD" w:rsidRPr="00A247F0" w:rsidRDefault="00A665CD" w:rsidP="00A665CD">
            <w:pPr>
              <w:pStyle w:val="CETBodytext"/>
              <w:ind w:right="-1"/>
              <w:rPr>
                <w:rFonts w:cs="Arial"/>
                <w:szCs w:val="18"/>
              </w:rPr>
            </w:pPr>
            <w:r>
              <w:t>312.9</w:t>
            </w:r>
          </w:p>
        </w:tc>
        <w:tc>
          <w:tcPr>
            <w:tcW w:w="564" w:type="pct"/>
            <w:shd w:val="clear" w:color="auto" w:fill="FFFFFF"/>
          </w:tcPr>
          <w:p w14:paraId="7974AB95" w14:textId="1E114172" w:rsidR="00A665CD" w:rsidRPr="00A247F0" w:rsidRDefault="00A665CD" w:rsidP="00A665CD">
            <w:pPr>
              <w:pStyle w:val="CETBodytext"/>
              <w:ind w:right="-1"/>
              <w:rPr>
                <w:rFonts w:cs="Arial"/>
                <w:szCs w:val="18"/>
              </w:rPr>
            </w:pPr>
            <w:r>
              <w:rPr>
                <w:rFonts w:cs="Arial"/>
                <w:szCs w:val="18"/>
              </w:rPr>
              <w:t>3.7</w:t>
            </w:r>
          </w:p>
        </w:tc>
        <w:tc>
          <w:tcPr>
            <w:tcW w:w="646" w:type="pct"/>
            <w:shd w:val="clear" w:color="auto" w:fill="FFFFFF"/>
          </w:tcPr>
          <w:p w14:paraId="33CEF1F3" w14:textId="541052BA" w:rsidR="00A665CD" w:rsidRPr="00A247F0" w:rsidRDefault="00A665CD" w:rsidP="00A665CD">
            <w:pPr>
              <w:pStyle w:val="CETBodytext"/>
              <w:ind w:right="-1"/>
              <w:rPr>
                <w:rFonts w:cs="Arial"/>
                <w:szCs w:val="18"/>
              </w:rPr>
            </w:pPr>
            <w:r>
              <w:rPr>
                <w:rFonts w:cs="Arial"/>
                <w:szCs w:val="18"/>
              </w:rPr>
              <w:t>400</w:t>
            </w:r>
          </w:p>
        </w:tc>
        <w:tc>
          <w:tcPr>
            <w:tcW w:w="564" w:type="pct"/>
            <w:shd w:val="clear" w:color="auto" w:fill="FFFFFF"/>
          </w:tcPr>
          <w:p w14:paraId="7DC7DBF9" w14:textId="64D80191" w:rsidR="00A665CD" w:rsidRPr="00A247F0" w:rsidRDefault="00A665CD" w:rsidP="00A665CD">
            <w:pPr>
              <w:pStyle w:val="CETBodytext"/>
              <w:ind w:right="-1"/>
              <w:rPr>
                <w:rFonts w:cs="Arial"/>
                <w:szCs w:val="18"/>
              </w:rPr>
            </w:pPr>
            <w:r>
              <w:rPr>
                <w:rFonts w:cs="Arial"/>
                <w:szCs w:val="18"/>
              </w:rPr>
              <w:t>300</w:t>
            </w:r>
          </w:p>
        </w:tc>
        <w:tc>
          <w:tcPr>
            <w:tcW w:w="806" w:type="pct"/>
            <w:shd w:val="clear" w:color="auto" w:fill="FFFFFF"/>
          </w:tcPr>
          <w:p w14:paraId="5508DA27" w14:textId="69A44E59" w:rsidR="00A665CD" w:rsidRPr="00A247F0" w:rsidRDefault="00A665CD" w:rsidP="00A665CD">
            <w:pPr>
              <w:pStyle w:val="CETBodytext"/>
              <w:ind w:right="-1"/>
              <w:rPr>
                <w:rFonts w:cs="Arial"/>
                <w:szCs w:val="18"/>
              </w:rPr>
            </w:pPr>
            <w:r w:rsidRPr="0018284F">
              <w:t>300.8 - 312.5</w:t>
            </w:r>
          </w:p>
        </w:tc>
      </w:tr>
    </w:tbl>
    <w:p w14:paraId="59C63DF6" w14:textId="77777777" w:rsidR="006E3036" w:rsidRDefault="006E3036" w:rsidP="006E3036">
      <w:pPr>
        <w:pStyle w:val="CETBodytextItalic"/>
      </w:pPr>
    </w:p>
    <w:p w14:paraId="6E603149" w14:textId="4E8EDD22" w:rsidR="00C100FA" w:rsidRPr="00A247F0" w:rsidRDefault="0038085C" w:rsidP="00154163">
      <w:pPr>
        <w:pStyle w:val="CETheadingx"/>
      </w:pPr>
      <w:r w:rsidRPr="00A247F0">
        <w:t>Product Separation</w:t>
      </w:r>
    </w:p>
    <w:p w14:paraId="24460B62" w14:textId="6C466A8C" w:rsidR="00467B06" w:rsidRPr="00A247F0" w:rsidRDefault="00117D2C" w:rsidP="00E03289">
      <w:pPr>
        <w:rPr>
          <w:lang w:val="en-US"/>
        </w:rPr>
      </w:pPr>
      <w:r w:rsidRPr="00A247F0">
        <w:rPr>
          <w:lang w:val="en-US"/>
        </w:rPr>
        <w:t xml:space="preserve">The contents of the reactor were removed by first decanting of the aqueous phase, then removing the remaining non-soluble contents using solvent (acetone or toluene). Both the aqueous and non-aqueous phases were filtered through a 120 </w:t>
      </w:r>
      <w:proofErr w:type="spellStart"/>
      <w:r w:rsidRPr="00A247F0">
        <w:rPr>
          <w:lang w:val="en-US"/>
        </w:rPr>
        <w:t>μm</w:t>
      </w:r>
      <w:proofErr w:type="spellEnd"/>
      <w:r w:rsidRPr="00A247F0">
        <w:rPr>
          <w:lang w:val="en-US"/>
        </w:rPr>
        <w:t xml:space="preserve"> filter paper using vacuum filtration to separate char. Char removed from the aqueous phase was rinsed with the same solvent used to filter the crude oil from the char of the non-aqueous phase. In some cases (SC350, SC400, and PC350) filtration of crude oil from char was not possible due to filter clogging. In these cases, acetone was added to the char/crude mixture and centrifuged, repeated multiple times. A 2 x 1:1 toluene extraction was performed on the filtered aqueous layer to remove dissolved organic compounds from the HTL water. </w:t>
      </w:r>
      <w:r w:rsidR="00CB7F78">
        <w:rPr>
          <w:lang w:val="en-US"/>
        </w:rPr>
        <w:t>The s</w:t>
      </w:r>
      <w:r w:rsidR="00CB7F78" w:rsidRPr="00A247F0">
        <w:rPr>
          <w:lang w:val="en-US"/>
        </w:rPr>
        <w:t xml:space="preserve">olvent </w:t>
      </w:r>
      <w:r w:rsidRPr="00A247F0">
        <w:rPr>
          <w:lang w:val="en-US"/>
        </w:rPr>
        <w:t xml:space="preserve">was evaporated from both fractions (aqueous and </w:t>
      </w:r>
      <w:r w:rsidR="0004372A">
        <w:rPr>
          <w:lang w:val="en-US"/>
        </w:rPr>
        <w:t>biocrude</w:t>
      </w:r>
      <w:r w:rsidRPr="00A247F0">
        <w:rPr>
          <w:lang w:val="en-US"/>
        </w:rPr>
        <w:t xml:space="preserve">) in a ventilated hood before weights were measured. Filtered char was allowed to dry overnight </w:t>
      </w:r>
      <w:r w:rsidR="000A4256">
        <w:rPr>
          <w:lang w:val="en-US"/>
        </w:rPr>
        <w:t xml:space="preserve">at room temperature </w:t>
      </w:r>
      <w:r w:rsidRPr="00A247F0">
        <w:rPr>
          <w:lang w:val="en-US"/>
        </w:rPr>
        <w:t>before being weighed.</w:t>
      </w:r>
      <w:r w:rsidR="00537A14">
        <w:rPr>
          <w:lang w:val="en-US"/>
        </w:rPr>
        <w:t xml:space="preserve"> </w:t>
      </w:r>
    </w:p>
    <w:p w14:paraId="2265865F" w14:textId="7F292598" w:rsidR="00651109" w:rsidRPr="00A247F0" w:rsidRDefault="00CB7F78" w:rsidP="00E03289">
      <w:pPr>
        <w:rPr>
          <w:lang w:val="en-US"/>
        </w:rPr>
      </w:pPr>
      <w:r>
        <w:rPr>
          <w:lang w:val="en-US"/>
        </w:rPr>
        <w:t>The s</w:t>
      </w:r>
      <w:r w:rsidRPr="00A247F0">
        <w:rPr>
          <w:lang w:val="en-US"/>
        </w:rPr>
        <w:t xml:space="preserve">olvent </w:t>
      </w:r>
      <w:r w:rsidR="00117D2C" w:rsidRPr="00A247F0">
        <w:rPr>
          <w:lang w:val="en-US"/>
        </w:rPr>
        <w:t xml:space="preserve">variety between experiments was a result of difficulties faced in </w:t>
      </w:r>
      <w:r>
        <w:rPr>
          <w:lang w:val="en-US"/>
        </w:rPr>
        <w:t xml:space="preserve">the </w:t>
      </w:r>
      <w:r w:rsidR="00117D2C" w:rsidRPr="00A247F0">
        <w:rPr>
          <w:lang w:val="en-US"/>
        </w:rPr>
        <w:t>separation of each reaction. The initial plan had been to use toluene as a solvent</w:t>
      </w:r>
      <w:r>
        <w:rPr>
          <w:lang w:val="en-US"/>
        </w:rPr>
        <w:t xml:space="preserve">, </w:t>
      </w:r>
      <w:r w:rsidR="00117D2C" w:rsidRPr="00A247F0">
        <w:rPr>
          <w:lang w:val="en-US"/>
        </w:rPr>
        <w:t xml:space="preserve">based on previous work that indicated </w:t>
      </w:r>
      <w:r>
        <w:rPr>
          <w:lang w:val="en-US"/>
        </w:rPr>
        <w:t xml:space="preserve">the </w:t>
      </w:r>
      <w:r w:rsidR="00117D2C" w:rsidRPr="00A247F0">
        <w:rPr>
          <w:lang w:val="en-US"/>
        </w:rPr>
        <w:t>success of toluene as an extraction solvent (</w:t>
      </w:r>
      <w:r w:rsidR="00342612">
        <w:rPr>
          <w:lang w:val="en-US"/>
        </w:rPr>
        <w:t>Watson et al., 2019; Chan et al., 2014</w:t>
      </w:r>
      <w:r w:rsidR="00117D2C" w:rsidRPr="00A247F0">
        <w:rPr>
          <w:lang w:val="en-US"/>
        </w:rPr>
        <w:t>). However</w:t>
      </w:r>
      <w:r w:rsidR="00CE5812">
        <w:rPr>
          <w:lang w:val="en-US"/>
        </w:rPr>
        <w:t>, in this work</w:t>
      </w:r>
      <w:r>
        <w:rPr>
          <w:lang w:val="en-US"/>
        </w:rPr>
        <w:t>,</w:t>
      </w:r>
      <w:r w:rsidR="00117D2C" w:rsidRPr="00A247F0">
        <w:rPr>
          <w:lang w:val="en-US"/>
        </w:rPr>
        <w:t xml:space="preserve"> many experiments revealed difficulties in transfer </w:t>
      </w:r>
      <w:r w:rsidR="007134FC">
        <w:rPr>
          <w:lang w:val="en-US"/>
        </w:rPr>
        <w:t>using</w:t>
      </w:r>
      <w:r w:rsidR="007134FC" w:rsidRPr="00A247F0">
        <w:rPr>
          <w:lang w:val="en-US"/>
        </w:rPr>
        <w:t xml:space="preserve"> </w:t>
      </w:r>
      <w:r w:rsidR="00117D2C" w:rsidRPr="00A247F0">
        <w:rPr>
          <w:lang w:val="en-US"/>
        </w:rPr>
        <w:t xml:space="preserve">toluene and often acetone was used instead. In the S10% </w:t>
      </w:r>
      <w:r w:rsidR="00117D2C" w:rsidRPr="00A247F0">
        <w:rPr>
          <w:lang w:val="en-US"/>
        </w:rPr>
        <w:lastRenderedPageBreak/>
        <w:t>experiment,</w:t>
      </w:r>
      <w:r w:rsidR="006A0323">
        <w:rPr>
          <w:lang w:val="en-US"/>
        </w:rPr>
        <w:t xml:space="preserve"> the</w:t>
      </w:r>
      <w:r w:rsidR="00117D2C" w:rsidRPr="00A247F0">
        <w:rPr>
          <w:lang w:val="en-US"/>
        </w:rPr>
        <w:t xml:space="preserve"> crude</w:t>
      </w:r>
      <w:r w:rsidR="006A0323">
        <w:rPr>
          <w:lang w:val="en-US"/>
        </w:rPr>
        <w:t xml:space="preserve"> fraction</w:t>
      </w:r>
      <w:r w:rsidR="00117D2C" w:rsidRPr="00A247F0">
        <w:rPr>
          <w:lang w:val="en-US"/>
        </w:rPr>
        <w:t xml:space="preserve"> was filtered from char with toluene and then additionally with acetone to reveal 0.2</w:t>
      </w:r>
      <w:r w:rsidR="00CE5812">
        <w:rPr>
          <w:lang w:val="en-US"/>
        </w:rPr>
        <w:t xml:space="preserve"> </w:t>
      </w:r>
      <w:r w:rsidR="00117D2C" w:rsidRPr="00A247F0">
        <w:rPr>
          <w:lang w:val="en-US"/>
        </w:rPr>
        <w:t xml:space="preserve">g additional removal of oil from char with acetone. </w:t>
      </w:r>
      <w:r w:rsidR="0046619F">
        <w:rPr>
          <w:lang w:val="en-US"/>
        </w:rPr>
        <w:t>Based on this</w:t>
      </w:r>
      <w:r w:rsidR="00117D2C" w:rsidRPr="00A247F0">
        <w:rPr>
          <w:lang w:val="en-US"/>
        </w:rPr>
        <w:t xml:space="preserve"> information, it is likely </w:t>
      </w:r>
      <w:r w:rsidR="001757E1">
        <w:rPr>
          <w:lang w:val="en-US"/>
        </w:rPr>
        <w:t>that</w:t>
      </w:r>
      <w:r w:rsidR="00117D2C" w:rsidRPr="00A247F0">
        <w:rPr>
          <w:lang w:val="en-US"/>
        </w:rPr>
        <w:t xml:space="preserve"> any differences between crude yield filtered with acetone </w:t>
      </w:r>
      <w:r w:rsidRPr="00A247F0">
        <w:rPr>
          <w:lang w:val="en-US"/>
        </w:rPr>
        <w:t>vers</w:t>
      </w:r>
      <w:r>
        <w:rPr>
          <w:lang w:val="en-US"/>
        </w:rPr>
        <w:t>u</w:t>
      </w:r>
      <w:r w:rsidRPr="00A247F0">
        <w:rPr>
          <w:lang w:val="en-US"/>
        </w:rPr>
        <w:t xml:space="preserve">s </w:t>
      </w:r>
      <w:r w:rsidR="00117D2C" w:rsidRPr="00A247F0">
        <w:rPr>
          <w:lang w:val="en-US"/>
        </w:rPr>
        <w:t xml:space="preserve">toluene filtration are quite small. The use of toluene </w:t>
      </w:r>
      <w:r w:rsidR="007B71D8">
        <w:rPr>
          <w:lang w:val="en-US"/>
        </w:rPr>
        <w:t>resulted in longer</w:t>
      </w:r>
      <w:r w:rsidR="007134FC">
        <w:rPr>
          <w:lang w:val="en-US"/>
        </w:rPr>
        <w:t xml:space="preserve"> filtration and evaporation </w:t>
      </w:r>
      <w:r w:rsidR="00EF6E45">
        <w:rPr>
          <w:lang w:val="en-US"/>
        </w:rPr>
        <w:t>time</w:t>
      </w:r>
      <w:r w:rsidR="007B71D8">
        <w:rPr>
          <w:lang w:val="en-US"/>
        </w:rPr>
        <w:t>s</w:t>
      </w:r>
      <w:r w:rsidR="00117D2C" w:rsidRPr="00A247F0">
        <w:rPr>
          <w:lang w:val="en-US"/>
        </w:rPr>
        <w:t xml:space="preserve"> than acetone, and acetone was generally easier to work with for </w:t>
      </w:r>
      <w:r>
        <w:rPr>
          <w:lang w:val="en-US"/>
        </w:rPr>
        <w:t xml:space="preserve">the </w:t>
      </w:r>
      <w:r w:rsidR="00117D2C" w:rsidRPr="00A247F0">
        <w:rPr>
          <w:lang w:val="en-US"/>
        </w:rPr>
        <w:t>transfer of crude.</w:t>
      </w:r>
    </w:p>
    <w:p w14:paraId="1C702ABE" w14:textId="3826F536" w:rsidR="00C100FA" w:rsidRPr="00A247F0" w:rsidRDefault="00E837F3" w:rsidP="00E03289">
      <w:pPr>
        <w:pStyle w:val="CETheadingx"/>
      </w:pPr>
      <w:r w:rsidRPr="00A247F0">
        <w:t>Product analysis</w:t>
      </w:r>
    </w:p>
    <w:p w14:paraId="2AC4382F" w14:textId="3F9566C8" w:rsidR="00BB202E" w:rsidRPr="00A247F0" w:rsidRDefault="005F1025" w:rsidP="00BB202E">
      <w:pPr>
        <w:rPr>
          <w:lang w:val="en-US"/>
        </w:rPr>
      </w:pPr>
      <w:r w:rsidRPr="005F1025">
        <w:rPr>
          <w:lang w:val="en-US"/>
        </w:rPr>
        <w:t>Fourier-transform infrared (FTIR) spectra were recorded using a VERTEX 80v vacuum spectrometer (Bruker Optics), equipped with a Platinum ATR diamond sampling accessory. For each FTIR spectrum, 128 scans with a resolution of 4 cm</w:t>
      </w:r>
      <w:r w:rsidRPr="00B60C24">
        <w:rPr>
          <w:vertAlign w:val="superscript"/>
          <w:lang w:val="en-US"/>
        </w:rPr>
        <w:t>-1</w:t>
      </w:r>
      <w:r w:rsidRPr="005F1025">
        <w:rPr>
          <w:lang w:val="en-US"/>
        </w:rPr>
        <w:t xml:space="preserve"> were acquired.</w:t>
      </w:r>
    </w:p>
    <w:p w14:paraId="6A378DBF" w14:textId="606A5DE6" w:rsidR="00BC23A5" w:rsidRPr="00A247F0" w:rsidRDefault="00BB202E" w:rsidP="00BB202E">
      <w:pPr>
        <w:rPr>
          <w:lang w:val="en-US"/>
        </w:rPr>
      </w:pPr>
      <w:r w:rsidRPr="00A247F0">
        <w:rPr>
          <w:lang w:val="en-US"/>
        </w:rPr>
        <w:t xml:space="preserve">Simulated distillation of the crude phase was performed in a NETZSCH STA 449 F3 Jupiter. The simulated distillation method developed for TGA </w:t>
      </w:r>
      <w:r w:rsidR="008F4B45">
        <w:rPr>
          <w:lang w:val="en-US"/>
        </w:rPr>
        <w:t>was</w:t>
      </w:r>
      <w:r w:rsidRPr="00A247F0">
        <w:rPr>
          <w:lang w:val="en-US"/>
        </w:rPr>
        <w:t xml:space="preserve"> employed </w:t>
      </w:r>
      <w:r w:rsidR="00B050D6">
        <w:rPr>
          <w:lang w:val="en-US"/>
        </w:rPr>
        <w:t xml:space="preserve">as described </w:t>
      </w:r>
      <w:r w:rsidRPr="00A247F0">
        <w:rPr>
          <w:lang w:val="en-US"/>
        </w:rPr>
        <w:t>in a publication by French et al. (2021)</w:t>
      </w:r>
      <w:r w:rsidR="004870E2">
        <w:rPr>
          <w:lang w:val="en-US"/>
        </w:rPr>
        <w:t xml:space="preserve">. </w:t>
      </w:r>
      <w:r w:rsidR="009D3B4D">
        <w:rPr>
          <w:lang w:val="en-US"/>
        </w:rPr>
        <w:t>Due to instrument failure</w:t>
      </w:r>
      <w:r w:rsidR="004600D1">
        <w:rPr>
          <w:lang w:val="en-US"/>
        </w:rPr>
        <w:t>,</w:t>
      </w:r>
      <w:r w:rsidR="009D3B4D">
        <w:rPr>
          <w:lang w:val="en-US"/>
        </w:rPr>
        <w:t xml:space="preserve"> </w:t>
      </w:r>
      <w:r w:rsidR="004600D1">
        <w:rPr>
          <w:lang w:val="en-US"/>
        </w:rPr>
        <w:t>some</w:t>
      </w:r>
      <w:r w:rsidR="009D3B4D">
        <w:rPr>
          <w:lang w:val="en-US"/>
        </w:rPr>
        <w:t xml:space="preserve"> analys</w:t>
      </w:r>
      <w:r w:rsidR="004600D1">
        <w:rPr>
          <w:lang w:val="en-US"/>
        </w:rPr>
        <w:t>e</w:t>
      </w:r>
      <w:r w:rsidR="009D3B4D">
        <w:rPr>
          <w:lang w:val="en-US"/>
        </w:rPr>
        <w:t xml:space="preserve">s </w:t>
      </w:r>
      <w:r w:rsidR="004600D1">
        <w:rPr>
          <w:lang w:val="en-US"/>
        </w:rPr>
        <w:t xml:space="preserve">could not be performed. </w:t>
      </w:r>
      <w:r w:rsidRPr="00A247F0">
        <w:rPr>
          <w:lang w:val="en-US"/>
        </w:rPr>
        <w:t xml:space="preserve"> </w:t>
      </w:r>
    </w:p>
    <w:p w14:paraId="1247CCCA" w14:textId="235F4DA5" w:rsidR="00C100FA" w:rsidRDefault="00BB202E" w:rsidP="00BB202E">
      <w:pPr>
        <w:rPr>
          <w:lang w:val="en-US"/>
        </w:rPr>
      </w:pPr>
      <w:r w:rsidRPr="00A247F0">
        <w:rPr>
          <w:lang w:val="en-US"/>
        </w:rPr>
        <w:t>The aqueous phase was analyzed for total organic carbon (TOC) by using a HACH LCK 387 TOC cuvette test kit with a range of 300-3000 m</w:t>
      </w:r>
      <w:r w:rsidR="00F21BAB">
        <w:rPr>
          <w:lang w:val="en-US"/>
        </w:rPr>
        <w:t>g</w:t>
      </w:r>
      <w:r w:rsidRPr="00A247F0">
        <w:rPr>
          <w:lang w:val="en-US"/>
        </w:rPr>
        <w:t>/L and a HACH DR 3900 spectrophotometer. All aqueous phase samples were diluted 1:10 before the analysis.</w:t>
      </w:r>
    </w:p>
    <w:p w14:paraId="11E9A5DC" w14:textId="133A32AC" w:rsidR="00E53E2D" w:rsidRDefault="00E53E2D" w:rsidP="00E53E2D">
      <w:pPr>
        <w:pStyle w:val="CETHeading1"/>
      </w:pPr>
      <w:r>
        <w:t>Results and Discussion</w:t>
      </w:r>
    </w:p>
    <w:p w14:paraId="3AB6BBA3" w14:textId="618F5BF7" w:rsidR="00202961" w:rsidRPr="00202961" w:rsidRDefault="00202961" w:rsidP="00202961">
      <w:pPr>
        <w:pStyle w:val="CETheadingx"/>
      </w:pPr>
      <w:r>
        <w:t>Mass balance</w:t>
      </w:r>
    </w:p>
    <w:p w14:paraId="3FC29E00" w14:textId="0FDBA31B" w:rsidR="00BB202E" w:rsidRDefault="009604DB" w:rsidP="00BB202E">
      <w:pPr>
        <w:rPr>
          <w:lang w:val="en-US"/>
        </w:rPr>
      </w:pPr>
      <w:r w:rsidRPr="009604DB">
        <w:rPr>
          <w:lang w:val="en-US"/>
        </w:rPr>
        <w:t xml:space="preserve">The mass balance after each run based on the slurry </w:t>
      </w:r>
      <w:r w:rsidR="00D76F23">
        <w:rPr>
          <w:lang w:val="en-US"/>
        </w:rPr>
        <w:t xml:space="preserve">input is </w:t>
      </w:r>
      <w:r w:rsidRPr="009604DB">
        <w:rPr>
          <w:lang w:val="en-US"/>
        </w:rPr>
        <w:t xml:space="preserve">depicted in Figure 1. As the slurry originally contained </w:t>
      </w:r>
      <w:r w:rsidR="008130E1">
        <w:rPr>
          <w:lang w:val="en-US"/>
        </w:rPr>
        <w:t>only</w:t>
      </w:r>
      <w:r w:rsidRPr="009604DB">
        <w:rPr>
          <w:lang w:val="en-US"/>
        </w:rPr>
        <w:t xml:space="preserve"> 10% </w:t>
      </w:r>
      <w:r w:rsidR="00925018">
        <w:rPr>
          <w:lang w:val="en-US"/>
        </w:rPr>
        <w:t>dry biomass</w:t>
      </w:r>
      <w:r w:rsidRPr="009604DB">
        <w:rPr>
          <w:lang w:val="en-US"/>
        </w:rPr>
        <w:t xml:space="preserve">, the largest part of the product is </w:t>
      </w:r>
      <w:r w:rsidR="007B6694">
        <w:rPr>
          <w:lang w:val="en-US"/>
        </w:rPr>
        <w:t xml:space="preserve">the </w:t>
      </w:r>
      <w:r w:rsidRPr="009604DB">
        <w:rPr>
          <w:lang w:val="en-US"/>
        </w:rPr>
        <w:t xml:space="preserve">aqueous phase. There </w:t>
      </w:r>
      <w:r w:rsidR="005D3EDD">
        <w:rPr>
          <w:lang w:val="en-US"/>
        </w:rPr>
        <w:t>were</w:t>
      </w:r>
      <w:r w:rsidR="005D3EDD" w:rsidRPr="009604DB">
        <w:rPr>
          <w:lang w:val="en-US"/>
        </w:rPr>
        <w:t xml:space="preserve"> </w:t>
      </w:r>
      <w:r w:rsidRPr="009604DB">
        <w:rPr>
          <w:lang w:val="en-US"/>
        </w:rPr>
        <w:t>significant differences in gas yields, which increas</w:t>
      </w:r>
      <w:r w:rsidR="007134FC">
        <w:rPr>
          <w:lang w:val="en-US"/>
        </w:rPr>
        <w:t>e</w:t>
      </w:r>
      <w:r w:rsidR="00A127B9">
        <w:rPr>
          <w:lang w:val="en-US"/>
        </w:rPr>
        <w:t>d</w:t>
      </w:r>
      <w:r w:rsidRPr="009604DB">
        <w:rPr>
          <w:lang w:val="en-US"/>
        </w:rPr>
        <w:t xml:space="preserve"> with increasing temperature and bark content. </w:t>
      </w:r>
      <w:r w:rsidR="00B92018">
        <w:rPr>
          <w:lang w:val="en-US"/>
        </w:rPr>
        <w:t>At higher temperatures, the</w:t>
      </w:r>
      <w:r w:rsidR="00EE341B">
        <w:rPr>
          <w:lang w:val="en-US"/>
        </w:rPr>
        <w:t xml:space="preserve"> balance of the</w:t>
      </w:r>
      <w:r w:rsidR="00B92018">
        <w:rPr>
          <w:lang w:val="en-US"/>
        </w:rPr>
        <w:t xml:space="preserve"> </w:t>
      </w:r>
      <w:r w:rsidR="002B14A1">
        <w:rPr>
          <w:lang w:val="en-US"/>
        </w:rPr>
        <w:t xml:space="preserve">reaction pathways </w:t>
      </w:r>
      <w:r w:rsidR="00603506">
        <w:rPr>
          <w:lang w:val="en-US"/>
        </w:rPr>
        <w:t xml:space="preserve">in HTL </w:t>
      </w:r>
      <w:r w:rsidR="00EE341B">
        <w:rPr>
          <w:lang w:val="en-US"/>
        </w:rPr>
        <w:t>shifts</w:t>
      </w:r>
      <w:r w:rsidR="002B14A1">
        <w:rPr>
          <w:lang w:val="en-US"/>
        </w:rPr>
        <w:t xml:space="preserve"> towards </w:t>
      </w:r>
      <w:r w:rsidR="00EE341B">
        <w:rPr>
          <w:lang w:val="en-US"/>
        </w:rPr>
        <w:t xml:space="preserve">more </w:t>
      </w:r>
      <w:r w:rsidR="002B14A1">
        <w:rPr>
          <w:lang w:val="en-US"/>
        </w:rPr>
        <w:t>radical reaction</w:t>
      </w:r>
      <w:r w:rsidR="00394311">
        <w:rPr>
          <w:lang w:val="en-US"/>
        </w:rPr>
        <w:t>s</w:t>
      </w:r>
      <w:r w:rsidR="002B14A1">
        <w:rPr>
          <w:lang w:val="en-US"/>
        </w:rPr>
        <w:t xml:space="preserve"> </w:t>
      </w:r>
      <w:r w:rsidR="00EE341B">
        <w:rPr>
          <w:lang w:val="en-US"/>
        </w:rPr>
        <w:t>resulting</w:t>
      </w:r>
      <w:r w:rsidR="002B14A1">
        <w:rPr>
          <w:lang w:val="en-US"/>
        </w:rPr>
        <w:t xml:space="preserve"> in increased </w:t>
      </w:r>
      <w:r w:rsidR="00A30A94">
        <w:rPr>
          <w:lang w:val="en-US"/>
        </w:rPr>
        <w:t>gas and char formation</w:t>
      </w:r>
      <w:r w:rsidR="00394311">
        <w:rPr>
          <w:lang w:val="en-US"/>
        </w:rPr>
        <w:t xml:space="preserve"> </w:t>
      </w:r>
      <w:r w:rsidR="00394311" w:rsidRPr="00394311">
        <w:rPr>
          <w:lang w:val="en-US"/>
        </w:rPr>
        <w:t>(Jensen et al., 2017)</w:t>
      </w:r>
      <w:r w:rsidR="002B14A1">
        <w:rPr>
          <w:lang w:val="en-US"/>
        </w:rPr>
        <w:t xml:space="preserve"> </w:t>
      </w:r>
      <w:r w:rsidR="00394311">
        <w:rPr>
          <w:lang w:val="en-US"/>
        </w:rPr>
        <w:t xml:space="preserve">which </w:t>
      </w:r>
      <w:r w:rsidR="006A0323">
        <w:rPr>
          <w:lang w:val="en-US"/>
        </w:rPr>
        <w:t>was observed in this study as well</w:t>
      </w:r>
      <w:r w:rsidR="002B14A1">
        <w:rPr>
          <w:lang w:val="en-US"/>
        </w:rPr>
        <w:t xml:space="preserve">. Bark </w:t>
      </w:r>
      <w:r w:rsidR="00394311">
        <w:rPr>
          <w:lang w:val="en-US"/>
        </w:rPr>
        <w:t>addition,</w:t>
      </w:r>
      <w:r w:rsidR="002B14A1">
        <w:rPr>
          <w:lang w:val="en-US"/>
        </w:rPr>
        <w:t xml:space="preserve"> however</w:t>
      </w:r>
      <w:r w:rsidR="00394311">
        <w:rPr>
          <w:lang w:val="en-US"/>
        </w:rPr>
        <w:t>,</w:t>
      </w:r>
      <w:r w:rsidR="002B14A1">
        <w:rPr>
          <w:lang w:val="en-US"/>
        </w:rPr>
        <w:t xml:space="preserve"> reduce</w:t>
      </w:r>
      <w:r w:rsidR="00F23359">
        <w:rPr>
          <w:lang w:val="en-US"/>
        </w:rPr>
        <w:t>d</w:t>
      </w:r>
      <w:r w:rsidR="002B14A1">
        <w:rPr>
          <w:lang w:val="en-US"/>
        </w:rPr>
        <w:t xml:space="preserve"> the amount of char</w:t>
      </w:r>
      <w:r w:rsidR="00394311">
        <w:rPr>
          <w:lang w:val="en-US"/>
        </w:rPr>
        <w:t>, but further increase</w:t>
      </w:r>
      <w:r w:rsidR="00F23359">
        <w:rPr>
          <w:lang w:val="en-US"/>
        </w:rPr>
        <w:t>d</w:t>
      </w:r>
      <w:r w:rsidR="00394311">
        <w:rPr>
          <w:lang w:val="en-US"/>
        </w:rPr>
        <w:t xml:space="preserve"> the gas yields. </w:t>
      </w:r>
      <w:r w:rsidR="00881BA8">
        <w:rPr>
          <w:lang w:val="en-US"/>
        </w:rPr>
        <w:t>B</w:t>
      </w:r>
      <w:r w:rsidR="00C14A23">
        <w:rPr>
          <w:lang w:val="en-US"/>
        </w:rPr>
        <w:t xml:space="preserve">arks </w:t>
      </w:r>
      <w:r w:rsidR="00B172D3">
        <w:rPr>
          <w:lang w:val="en-US"/>
        </w:rPr>
        <w:t xml:space="preserve">contain more ash </w:t>
      </w:r>
      <w:r w:rsidR="00881BA8">
        <w:rPr>
          <w:lang w:val="en-US"/>
        </w:rPr>
        <w:t>compared to stem wood and ash components</w:t>
      </w:r>
      <w:r w:rsidR="00B172D3">
        <w:rPr>
          <w:lang w:val="en-US"/>
        </w:rPr>
        <w:t xml:space="preserve"> can catalyze </w:t>
      </w:r>
      <w:r w:rsidR="007B6694">
        <w:rPr>
          <w:lang w:val="en-US"/>
        </w:rPr>
        <w:t>gas-</w:t>
      </w:r>
      <w:r w:rsidR="00B172D3">
        <w:rPr>
          <w:lang w:val="en-US"/>
        </w:rPr>
        <w:t xml:space="preserve">forming reactions which can </w:t>
      </w:r>
      <w:r w:rsidR="00BF3197">
        <w:rPr>
          <w:lang w:val="en-US"/>
        </w:rPr>
        <w:t>contribute to</w:t>
      </w:r>
      <w:r w:rsidR="00B172D3">
        <w:rPr>
          <w:lang w:val="en-US"/>
        </w:rPr>
        <w:t xml:space="preserve"> </w:t>
      </w:r>
      <w:r w:rsidR="0004270E">
        <w:rPr>
          <w:lang w:val="en-US"/>
        </w:rPr>
        <w:t>the</w:t>
      </w:r>
      <w:r w:rsidR="00B172D3">
        <w:rPr>
          <w:lang w:val="en-US"/>
        </w:rPr>
        <w:t xml:space="preserve"> increased gas production with increasing bark content. </w:t>
      </w:r>
    </w:p>
    <w:p w14:paraId="0D8C1386" w14:textId="77777777" w:rsidR="00411F7C" w:rsidRDefault="00411F7C" w:rsidP="00BB202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1"/>
        <w:gridCol w:w="3246"/>
      </w:tblGrid>
      <w:tr w:rsidR="00462D7C" w14:paraId="49DF4B6F" w14:textId="77777777" w:rsidTr="00947083">
        <w:tc>
          <w:tcPr>
            <w:tcW w:w="5406" w:type="dxa"/>
          </w:tcPr>
          <w:p w14:paraId="111F3DAC" w14:textId="6505C3E1" w:rsidR="009E00A8" w:rsidRDefault="00083DDA" w:rsidP="005612A3">
            <w:pPr>
              <w:rPr>
                <w:lang w:val="en-US"/>
              </w:rPr>
            </w:pPr>
            <w:r>
              <w:rPr>
                <w:noProof/>
                <w:lang w:val="en-US"/>
              </w:rPr>
              <w:drawing>
                <wp:inline distT="0" distB="0" distL="0" distR="0" wp14:anchorId="293873E5" wp14:editId="1F1B9A4E">
                  <wp:extent cx="3381375" cy="2088665"/>
                  <wp:effectExtent l="0" t="0" r="0" b="698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4"/>
                          <a:stretch>
                            <a:fillRect/>
                          </a:stretch>
                        </pic:blipFill>
                        <pic:spPr>
                          <a:xfrm>
                            <a:off x="0" y="0"/>
                            <a:ext cx="3392826" cy="2095739"/>
                          </a:xfrm>
                          <a:prstGeom prst="rect">
                            <a:avLst/>
                          </a:prstGeom>
                        </pic:spPr>
                      </pic:pic>
                    </a:graphicData>
                  </a:graphic>
                </wp:inline>
              </w:drawing>
            </w:r>
          </w:p>
        </w:tc>
        <w:tc>
          <w:tcPr>
            <w:tcW w:w="3381" w:type="dxa"/>
          </w:tcPr>
          <w:p w14:paraId="401D6A6D" w14:textId="77777777" w:rsidR="00E30154" w:rsidRDefault="00E30154" w:rsidP="005612A3">
            <w:pPr>
              <w:rPr>
                <w:rStyle w:val="CETCaptionCarattere"/>
                <w:lang w:val="en-US"/>
              </w:rPr>
            </w:pPr>
          </w:p>
          <w:p w14:paraId="768DB11E" w14:textId="3D675465" w:rsidR="009E00A8" w:rsidRDefault="009E00A8" w:rsidP="005612A3">
            <w:pPr>
              <w:rPr>
                <w:lang w:val="en-US"/>
              </w:rPr>
            </w:pPr>
            <w:r w:rsidRPr="00A247F0">
              <w:rPr>
                <w:rStyle w:val="CETCaptionCarattere"/>
                <w:lang w:val="en-US"/>
              </w:rPr>
              <w:t xml:space="preserve">Figure 1: </w:t>
            </w:r>
            <w:r w:rsidRPr="00494D2F">
              <w:rPr>
                <w:rStyle w:val="CETCaptionCarattere"/>
                <w:lang w:val="en-US"/>
              </w:rPr>
              <w:t xml:space="preserve">Yield percentages of the slurry components after the experiments. The values for </w:t>
            </w:r>
            <w:r>
              <w:rPr>
                <w:rStyle w:val="CETCaptionCarattere"/>
                <w:lang w:val="en-US"/>
              </w:rPr>
              <w:t xml:space="preserve">the </w:t>
            </w:r>
            <w:r w:rsidRPr="00494D2F">
              <w:rPr>
                <w:rStyle w:val="CETCaptionCarattere"/>
                <w:lang w:val="en-US"/>
              </w:rPr>
              <w:t>aqueous phase are presented on the left Y-axis and the values of crude, char and gas yields are on the right Y-axis</w:t>
            </w:r>
            <w:r>
              <w:rPr>
                <w:rStyle w:val="CETCaptionCarattere"/>
                <w:lang w:val="en-US"/>
              </w:rPr>
              <w:t>.</w:t>
            </w:r>
          </w:p>
          <w:p w14:paraId="34D0D099" w14:textId="77777777" w:rsidR="009E00A8" w:rsidRDefault="009E00A8" w:rsidP="005612A3">
            <w:pPr>
              <w:rPr>
                <w:lang w:val="en-US"/>
              </w:rPr>
            </w:pPr>
          </w:p>
        </w:tc>
      </w:tr>
    </w:tbl>
    <w:p w14:paraId="0F1BEE38" w14:textId="77777777" w:rsidR="00411F7C" w:rsidRDefault="00411F7C" w:rsidP="00202961">
      <w:pPr>
        <w:pStyle w:val="CETBodytext"/>
      </w:pPr>
    </w:p>
    <w:p w14:paraId="2AA3FFE3" w14:textId="6A503A1A" w:rsidR="00202961" w:rsidRDefault="004C2163" w:rsidP="00202961">
      <w:pPr>
        <w:pStyle w:val="CETBodytext"/>
      </w:pPr>
      <w:r w:rsidRPr="004C2163">
        <w:t xml:space="preserve">Due to differences in separation and solvent use between the experiments, differences in results must be considered carefully, but </w:t>
      </w:r>
      <w:r w:rsidR="006A0323">
        <w:t>the results indicate</w:t>
      </w:r>
      <w:r w:rsidR="002B09A7">
        <w:t>d</w:t>
      </w:r>
      <w:r w:rsidRPr="004C2163">
        <w:t xml:space="preserve"> that the crude yield</w:t>
      </w:r>
      <w:r w:rsidRPr="004C2163" w:rsidDel="004C2163">
        <w:t xml:space="preserve"> </w:t>
      </w:r>
      <w:r w:rsidR="002B09A7">
        <w:t>was</w:t>
      </w:r>
      <w:r w:rsidR="006A0323">
        <w:t xml:space="preserve"> generally</w:t>
      </w:r>
      <w:r w:rsidR="00202961" w:rsidRPr="003E428C">
        <w:t xml:space="preserve"> higher at subcritical conditions</w:t>
      </w:r>
      <w:r w:rsidR="00DF50EB">
        <w:t xml:space="preserve"> and more </w:t>
      </w:r>
      <w:r w:rsidR="00E9660E">
        <w:t>pronounced</w:t>
      </w:r>
      <w:r w:rsidR="00DF50EB">
        <w:t xml:space="preserve"> for</w:t>
      </w:r>
      <w:r w:rsidR="00A463E1">
        <w:t xml:space="preserve"> spruce</w:t>
      </w:r>
      <w:r w:rsidR="00202961" w:rsidRPr="003E428C">
        <w:t>.</w:t>
      </w:r>
      <w:r w:rsidR="00A463E1">
        <w:t xml:space="preserve"> </w:t>
      </w:r>
      <w:r w:rsidR="001B1804">
        <w:t xml:space="preserve">No clear trends </w:t>
      </w:r>
      <w:r w:rsidR="005A6809">
        <w:t xml:space="preserve">in crude yields </w:t>
      </w:r>
      <w:r w:rsidR="005413B9">
        <w:t>were</w:t>
      </w:r>
      <w:r w:rsidR="001B1804">
        <w:t xml:space="preserve"> observed </w:t>
      </w:r>
      <w:r w:rsidR="005413B9">
        <w:t>with</w:t>
      </w:r>
      <w:r w:rsidR="00BC4333">
        <w:t xml:space="preserve"> </w:t>
      </w:r>
      <w:r w:rsidR="001B1804">
        <w:t xml:space="preserve">increasing </w:t>
      </w:r>
      <w:r w:rsidR="003D3DB4">
        <w:t xml:space="preserve">the </w:t>
      </w:r>
      <w:r w:rsidR="002E5869">
        <w:t xml:space="preserve">spruce </w:t>
      </w:r>
      <w:r w:rsidR="001B1804">
        <w:t xml:space="preserve">bark </w:t>
      </w:r>
      <w:r w:rsidR="00CB59FC">
        <w:t>content.</w:t>
      </w:r>
      <w:r w:rsidR="00A463E1">
        <w:t xml:space="preserve"> For p</w:t>
      </w:r>
      <w:r w:rsidR="00202961" w:rsidRPr="003E428C">
        <w:t>ine</w:t>
      </w:r>
      <w:r w:rsidR="00A463E1">
        <w:t xml:space="preserve">, </w:t>
      </w:r>
      <w:r w:rsidR="00485D00">
        <w:t xml:space="preserve">the </w:t>
      </w:r>
      <w:r w:rsidR="00202961" w:rsidRPr="003E428C">
        <w:t>crude yield increase</w:t>
      </w:r>
      <w:r w:rsidR="005413B9">
        <w:t>d</w:t>
      </w:r>
      <w:r w:rsidR="00202961" w:rsidRPr="003E428C">
        <w:t xml:space="preserve"> with increasing bark concentration. </w:t>
      </w:r>
      <w:r w:rsidR="004E13F1">
        <w:t>Feng et al. (20</w:t>
      </w:r>
      <w:r w:rsidR="00CE61F6">
        <w:t xml:space="preserve">14) found that </w:t>
      </w:r>
      <w:r w:rsidR="002E5869">
        <w:t>potassium (K</w:t>
      </w:r>
      <w:r w:rsidR="002E5869">
        <w:rPr>
          <w:vertAlign w:val="superscript"/>
        </w:rPr>
        <w:t>+</w:t>
      </w:r>
      <w:r w:rsidR="002E5869">
        <w:t>)</w:t>
      </w:r>
      <w:r w:rsidR="00725B9A">
        <w:t xml:space="preserve"> and </w:t>
      </w:r>
      <w:r w:rsidR="002E5869">
        <w:t>calcium (Ca</w:t>
      </w:r>
      <w:r w:rsidR="002E5869">
        <w:rPr>
          <w:vertAlign w:val="superscript"/>
        </w:rPr>
        <w:t>2+</w:t>
      </w:r>
      <w:r w:rsidR="002E5869">
        <w:t xml:space="preserve">) </w:t>
      </w:r>
      <w:r w:rsidR="00725B9A">
        <w:t xml:space="preserve">in bark ashes </w:t>
      </w:r>
      <w:r w:rsidR="005C73D0">
        <w:t>can catalyze certain react</w:t>
      </w:r>
      <w:r w:rsidR="00CC56C3">
        <w:t xml:space="preserve">ions that would </w:t>
      </w:r>
      <w:r w:rsidR="002E5869">
        <w:t xml:space="preserve">result in </w:t>
      </w:r>
      <w:r w:rsidR="00CC56C3">
        <w:t xml:space="preserve">increased </w:t>
      </w:r>
      <w:r w:rsidR="00390B37">
        <w:t>biocrude yields</w:t>
      </w:r>
      <w:r w:rsidR="00834B03">
        <w:t>. Th</w:t>
      </w:r>
      <w:r w:rsidR="003D3DCD">
        <w:t>e catalytic</w:t>
      </w:r>
      <w:r w:rsidR="00834B03">
        <w:t xml:space="preserve"> effect </w:t>
      </w:r>
      <w:r w:rsidR="003D3DCD">
        <w:t xml:space="preserve">of </w:t>
      </w:r>
      <w:r w:rsidR="00A31954">
        <w:t>K</w:t>
      </w:r>
      <w:r w:rsidR="002E5869">
        <w:rPr>
          <w:vertAlign w:val="superscript"/>
        </w:rPr>
        <w:t>+</w:t>
      </w:r>
      <w:r w:rsidR="00A31954">
        <w:t xml:space="preserve"> in </w:t>
      </w:r>
      <w:r w:rsidR="003D3DCD">
        <w:t>bark ashes,</w:t>
      </w:r>
      <w:r w:rsidR="00834B03">
        <w:t xml:space="preserve"> however</w:t>
      </w:r>
      <w:r w:rsidR="003D3DCD">
        <w:t>,</w:t>
      </w:r>
      <w:r w:rsidR="00834B03">
        <w:t xml:space="preserve"> </w:t>
      </w:r>
      <w:r w:rsidR="009562DC">
        <w:t xml:space="preserve">is expected to be </w:t>
      </w:r>
      <w:r w:rsidR="003D3DCD">
        <w:t>less</w:t>
      </w:r>
      <w:r w:rsidR="009562DC">
        <w:t xml:space="preserve"> </w:t>
      </w:r>
      <w:r w:rsidR="00090D83">
        <w:t>pronounced</w:t>
      </w:r>
      <w:r w:rsidR="009562DC">
        <w:t xml:space="preserve"> in this work, as the amount of bark </w:t>
      </w:r>
      <w:r w:rsidR="00271328">
        <w:t xml:space="preserve">used </w:t>
      </w:r>
      <w:r w:rsidR="009562DC">
        <w:t>in th</w:t>
      </w:r>
      <w:r w:rsidR="00271328">
        <w:t>is</w:t>
      </w:r>
      <w:r w:rsidR="00834B03">
        <w:t xml:space="preserve"> </w:t>
      </w:r>
      <w:r w:rsidR="003D3DCD">
        <w:t>s</w:t>
      </w:r>
      <w:r w:rsidR="00271328">
        <w:t>tudy</w:t>
      </w:r>
      <w:r w:rsidR="003D3DCD">
        <w:t xml:space="preserve"> was</w:t>
      </w:r>
      <w:r w:rsidR="00085DF4">
        <w:t xml:space="preserve"> only up to 20 </w:t>
      </w:r>
      <w:proofErr w:type="spellStart"/>
      <w:r w:rsidR="00085DF4">
        <w:t>wt</w:t>
      </w:r>
      <w:proofErr w:type="spellEnd"/>
      <w:r w:rsidR="00085DF4">
        <w:t>%</w:t>
      </w:r>
      <w:r w:rsidR="003D3DCD">
        <w:t>.</w:t>
      </w:r>
      <w:r w:rsidR="00202961" w:rsidRPr="003E428C">
        <w:t xml:space="preserve"> </w:t>
      </w:r>
      <w:r w:rsidR="00090D83">
        <w:t>In addition, K</w:t>
      </w:r>
      <w:r w:rsidR="00090D83" w:rsidRPr="00090D83">
        <w:rPr>
          <w:vertAlign w:val="subscript"/>
        </w:rPr>
        <w:t>2</w:t>
      </w:r>
      <w:r w:rsidR="00090D83">
        <w:t>CO</w:t>
      </w:r>
      <w:r w:rsidR="00090D83" w:rsidRPr="00090D83">
        <w:rPr>
          <w:vertAlign w:val="subscript"/>
        </w:rPr>
        <w:t>3</w:t>
      </w:r>
      <w:r w:rsidR="00090D83">
        <w:t xml:space="preserve"> </w:t>
      </w:r>
      <w:r w:rsidR="00E272B2">
        <w:t>was</w:t>
      </w:r>
      <w:r w:rsidR="00090D83">
        <w:t xml:space="preserve"> added as </w:t>
      </w:r>
      <w:r w:rsidR="000D75C5">
        <w:t xml:space="preserve">a </w:t>
      </w:r>
      <w:r w:rsidR="00090D83">
        <w:t>catalyst</w:t>
      </w:r>
      <w:r w:rsidR="00AB410D">
        <w:t xml:space="preserve"> to the slurry that ensure</w:t>
      </w:r>
      <w:r w:rsidR="00194610">
        <w:t>d</w:t>
      </w:r>
      <w:r w:rsidR="00AB410D">
        <w:t xml:space="preserve"> </w:t>
      </w:r>
      <w:r w:rsidR="00CD2902">
        <w:t>good access to K ions in the reaction mixture for all the samples.</w:t>
      </w:r>
      <w:r w:rsidR="00202961" w:rsidRPr="003E428C">
        <w:t xml:space="preserve"> </w:t>
      </w:r>
      <w:r w:rsidR="00FA4832">
        <w:t xml:space="preserve">The increased biocrude yields are </w:t>
      </w:r>
      <w:r w:rsidR="002B09A7">
        <w:t xml:space="preserve">likely </w:t>
      </w:r>
      <w:r w:rsidR="00FA4832">
        <w:t xml:space="preserve">better explained by the higher </w:t>
      </w:r>
      <w:r w:rsidR="003133B6">
        <w:t>share</w:t>
      </w:r>
      <w:r w:rsidR="008334F6">
        <w:t xml:space="preserve"> of</w:t>
      </w:r>
      <w:r w:rsidR="00FA4832">
        <w:t xml:space="preserve"> </w:t>
      </w:r>
      <w:r w:rsidR="004D777E">
        <w:t>extractives found in bark compared with stem wood.</w:t>
      </w:r>
      <w:r w:rsidR="00881BA8">
        <w:t xml:space="preserve"> Compared to the stem wood, both spruce and pine barks reportedly contain significantly more extractives and lower amounts of cellulose, </w:t>
      </w:r>
      <w:proofErr w:type="gramStart"/>
      <w:r w:rsidR="00881BA8">
        <w:t>hemicellulose</w:t>
      </w:r>
      <w:proofErr w:type="gramEnd"/>
      <w:r w:rsidR="00881BA8">
        <w:t xml:space="preserve"> and lignin (</w:t>
      </w:r>
      <w:proofErr w:type="spellStart"/>
      <w:r w:rsidR="00881BA8" w:rsidRPr="00A37E16">
        <w:t>Räisänen</w:t>
      </w:r>
      <w:proofErr w:type="spellEnd"/>
      <w:r w:rsidR="00881BA8">
        <w:t xml:space="preserve"> and </w:t>
      </w:r>
      <w:proofErr w:type="spellStart"/>
      <w:r w:rsidR="00881BA8" w:rsidRPr="005C1986">
        <w:t>Athanassiadis</w:t>
      </w:r>
      <w:proofErr w:type="spellEnd"/>
      <w:r w:rsidR="00881BA8">
        <w:t>, 2013).</w:t>
      </w:r>
      <w:r w:rsidR="004D777E">
        <w:t xml:space="preserve"> It is </w:t>
      </w:r>
      <w:r w:rsidR="004B50C0">
        <w:t>assum</w:t>
      </w:r>
      <w:r w:rsidR="004D777E">
        <w:t>ed that</w:t>
      </w:r>
      <w:r w:rsidR="00525510">
        <w:t xml:space="preserve"> the</w:t>
      </w:r>
      <w:r w:rsidR="004D777E">
        <w:t xml:space="preserve"> extractives</w:t>
      </w:r>
      <w:r w:rsidR="00672EEE">
        <w:t>, which</w:t>
      </w:r>
      <w:r w:rsidR="004D777E">
        <w:t xml:space="preserve"> </w:t>
      </w:r>
      <w:r w:rsidR="00F927C8">
        <w:t xml:space="preserve">amount </w:t>
      </w:r>
      <w:r w:rsidR="00525510">
        <w:t xml:space="preserve">to </w:t>
      </w:r>
      <w:r w:rsidR="00F927C8">
        <w:t>25-30% of the bark dry weight and</w:t>
      </w:r>
      <w:r w:rsidR="007422E0">
        <w:t xml:space="preserve"> consist of </w:t>
      </w:r>
      <w:r w:rsidR="00057F8D">
        <w:t xml:space="preserve">fats, oils, resins, </w:t>
      </w:r>
      <w:r w:rsidR="00B33BAA">
        <w:t>etc.,</w:t>
      </w:r>
      <w:r w:rsidR="00525510">
        <w:t xml:space="preserve"> are compounds</w:t>
      </w:r>
      <w:r w:rsidR="004D777E">
        <w:t xml:space="preserve"> convert</w:t>
      </w:r>
      <w:r w:rsidR="00525510">
        <w:t>ed</w:t>
      </w:r>
      <w:r w:rsidR="004D777E">
        <w:t xml:space="preserve"> </w:t>
      </w:r>
      <w:r w:rsidR="00D232A3">
        <w:t xml:space="preserve">to </w:t>
      </w:r>
      <w:r w:rsidR="005E3DAF">
        <w:t xml:space="preserve">mostly </w:t>
      </w:r>
      <w:r w:rsidR="00D232A3">
        <w:t>biocrude</w:t>
      </w:r>
      <w:r w:rsidR="00525510">
        <w:t xml:space="preserve"> during HTL</w:t>
      </w:r>
      <w:r w:rsidR="00BE176B">
        <w:t xml:space="preserve"> (Obeid et al., </w:t>
      </w:r>
      <w:r w:rsidR="005E3DAF">
        <w:t>2019</w:t>
      </w:r>
      <w:r w:rsidR="00BE176B">
        <w:t>)</w:t>
      </w:r>
      <w:r w:rsidR="00D232A3">
        <w:t>.</w:t>
      </w:r>
      <w:r w:rsidR="00202961" w:rsidRPr="003E428C">
        <w:t xml:space="preserve"> </w:t>
      </w:r>
    </w:p>
    <w:p w14:paraId="011449DF" w14:textId="1A70902E" w:rsidR="00202961" w:rsidRDefault="00202961" w:rsidP="00202961">
      <w:pPr>
        <w:pStyle w:val="CETheadingx"/>
      </w:pPr>
      <w:r>
        <w:lastRenderedPageBreak/>
        <w:t>Biocrude quality</w:t>
      </w:r>
    </w:p>
    <w:p w14:paraId="34B77725" w14:textId="4FAA7DC6" w:rsidR="00C74A41" w:rsidRDefault="00AD7DEF" w:rsidP="00C74A41">
      <w:pPr>
        <w:rPr>
          <w:lang w:val="en-US"/>
        </w:rPr>
      </w:pPr>
      <w:r>
        <w:rPr>
          <w:lang w:val="en-US"/>
        </w:rPr>
        <w:t xml:space="preserve">The quality of biocrudes </w:t>
      </w:r>
      <w:r w:rsidR="006538E4">
        <w:rPr>
          <w:lang w:val="en-US"/>
        </w:rPr>
        <w:t xml:space="preserve">was evaluated by using FTIR and simulated distillation. FTIR spectra of all the </w:t>
      </w:r>
      <w:r w:rsidR="00B03225">
        <w:rPr>
          <w:lang w:val="en-US"/>
        </w:rPr>
        <w:t>biocrudes</w:t>
      </w:r>
      <w:r w:rsidR="00822B19">
        <w:rPr>
          <w:lang w:val="en-US"/>
        </w:rPr>
        <w:t xml:space="preserve"> are presented in Figure </w:t>
      </w:r>
      <w:r w:rsidR="004F0805">
        <w:rPr>
          <w:lang w:val="en-US"/>
        </w:rPr>
        <w:t>2a</w:t>
      </w:r>
      <w:r w:rsidR="003D3D5B">
        <w:rPr>
          <w:lang w:val="en-US"/>
        </w:rPr>
        <w:t>.</w:t>
      </w:r>
      <w:r w:rsidR="00822B19">
        <w:rPr>
          <w:lang w:val="en-US"/>
        </w:rPr>
        <w:t xml:space="preserve"> </w:t>
      </w:r>
      <w:r w:rsidR="00B03225">
        <w:rPr>
          <w:lang w:val="en-US"/>
        </w:rPr>
        <w:t xml:space="preserve">Figure </w:t>
      </w:r>
      <w:r w:rsidR="004F0805">
        <w:rPr>
          <w:lang w:val="en-US"/>
        </w:rPr>
        <w:t>2b</w:t>
      </w:r>
      <w:r w:rsidR="00B03225">
        <w:rPr>
          <w:lang w:val="en-US"/>
        </w:rPr>
        <w:t xml:space="preserve"> shows results from the simulated distillation runs</w:t>
      </w:r>
      <w:r w:rsidR="006B3378">
        <w:rPr>
          <w:lang w:val="en-US"/>
        </w:rPr>
        <w:t xml:space="preserve"> of selected samples</w:t>
      </w:r>
      <w:r w:rsidR="00B03225">
        <w:rPr>
          <w:lang w:val="en-US"/>
        </w:rPr>
        <w:t xml:space="preserve">. </w:t>
      </w:r>
    </w:p>
    <w:p w14:paraId="5AA801F3" w14:textId="77777777" w:rsidR="0062263E" w:rsidRPr="0062263E" w:rsidRDefault="0062263E" w:rsidP="00C74A41">
      <w:pPr>
        <w:rPr>
          <w:sz w:val="12"/>
          <w:szCs w:val="14"/>
          <w:lang w:val="en-US"/>
        </w:rPr>
      </w:pPr>
    </w:p>
    <w:p w14:paraId="21DE647E" w14:textId="09BF06AF" w:rsidR="00436E06" w:rsidRDefault="00436E06" w:rsidP="00C74A41">
      <w:pPr>
        <w:rPr>
          <w:lang w:val="en-US"/>
        </w:rPr>
      </w:pPr>
      <w:r>
        <w:rPr>
          <w:noProof/>
          <w:lang w:val="en-US"/>
        </w:rPr>
        <w:drawing>
          <wp:inline distT="0" distB="0" distL="0" distR="0" wp14:anchorId="00701A28" wp14:editId="51C539A5">
            <wp:extent cx="4616450" cy="2894647"/>
            <wp:effectExtent l="0" t="0" r="0" b="1270"/>
            <wp:docPr id="1" name="Picture 1"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riting implement, stationary, pencil&#10;&#10;Description automatically generated"/>
                    <pic:cNvPicPr/>
                  </pic:nvPicPr>
                  <pic:blipFill>
                    <a:blip r:embed="rId15"/>
                    <a:stretch>
                      <a:fillRect/>
                    </a:stretch>
                  </pic:blipFill>
                  <pic:spPr>
                    <a:xfrm>
                      <a:off x="0" y="0"/>
                      <a:ext cx="4628711" cy="2902335"/>
                    </a:xfrm>
                    <a:prstGeom prst="rect">
                      <a:avLst/>
                    </a:prstGeom>
                  </pic:spPr>
                </pic:pic>
              </a:graphicData>
            </a:graphic>
          </wp:inline>
        </w:drawing>
      </w:r>
    </w:p>
    <w:p w14:paraId="3BCFC8C1" w14:textId="71709852" w:rsidR="00497E4F" w:rsidRDefault="00497E4F" w:rsidP="00C74A41">
      <w:pPr>
        <w:pStyle w:val="CETBodytext"/>
        <w:ind w:right="-1"/>
        <w:jc w:val="left"/>
        <w:rPr>
          <w:rStyle w:val="CETCaptionCarattere"/>
          <w:lang w:val="en-US"/>
        </w:rPr>
      </w:pPr>
      <w:r w:rsidRPr="00A247F0">
        <w:rPr>
          <w:rStyle w:val="CETCaptionCarattere"/>
          <w:lang w:val="en-US"/>
        </w:rPr>
        <w:t xml:space="preserve">Figure </w:t>
      </w:r>
      <w:r>
        <w:rPr>
          <w:rStyle w:val="CETCaptionCarattere"/>
          <w:lang w:val="en-US"/>
        </w:rPr>
        <w:t>2: Results of the biocrude quality analyses. a)</w:t>
      </w:r>
      <w:r w:rsidRPr="00A247F0">
        <w:rPr>
          <w:rStyle w:val="CETCaptionCarattere"/>
          <w:lang w:val="en-US"/>
        </w:rPr>
        <w:t xml:space="preserve">: </w:t>
      </w:r>
      <w:r>
        <w:rPr>
          <w:rStyle w:val="CETCaptionCarattere"/>
          <w:lang w:val="en-US"/>
        </w:rPr>
        <w:t xml:space="preserve">FTIR spectra of the produced biocrudes; </w:t>
      </w:r>
      <w:r w:rsidRPr="00D65F66">
        <w:rPr>
          <w:i/>
          <w:iCs/>
        </w:rPr>
        <w:t xml:space="preserve">b): </w:t>
      </w:r>
      <w:r w:rsidRPr="00D65F66">
        <w:rPr>
          <w:rStyle w:val="CETCaptionCarattere"/>
          <w:i w:val="0"/>
          <w:iCs/>
          <w:lang w:val="en-US"/>
        </w:rPr>
        <w:t>Results</w:t>
      </w:r>
      <w:r w:rsidRPr="005A287C">
        <w:rPr>
          <w:rStyle w:val="CETCaptionCarattere"/>
          <w:lang w:val="en-US"/>
        </w:rPr>
        <w:t xml:space="preserve"> of the selected thermogravimetric simulated distillation runs. The analysis </w:t>
      </w:r>
      <w:r w:rsidR="0069480C">
        <w:rPr>
          <w:rStyle w:val="CETCaptionCarattere"/>
          <w:lang w:val="en-US"/>
        </w:rPr>
        <w:t>was</w:t>
      </w:r>
      <w:r w:rsidRPr="005A287C">
        <w:rPr>
          <w:rStyle w:val="CETCaptionCarattere"/>
          <w:lang w:val="en-US"/>
        </w:rPr>
        <w:t xml:space="preserve"> carried out with a heating rate of 50 °C/min, </w:t>
      </w:r>
      <w:r w:rsidR="002B09A7">
        <w:rPr>
          <w:rStyle w:val="CETCaptionCarattere"/>
          <w:lang w:val="en-US"/>
        </w:rPr>
        <w:t xml:space="preserve">and </w:t>
      </w:r>
      <w:r w:rsidRPr="005A287C">
        <w:rPr>
          <w:rStyle w:val="CETCaptionCarattere"/>
          <w:lang w:val="en-US"/>
        </w:rPr>
        <w:t xml:space="preserve">the thermal instability point </w:t>
      </w:r>
      <w:r w:rsidR="0069480C">
        <w:rPr>
          <w:rStyle w:val="CETCaptionCarattere"/>
          <w:lang w:val="en-US"/>
        </w:rPr>
        <w:t>was</w:t>
      </w:r>
      <w:r w:rsidRPr="005A287C">
        <w:rPr>
          <w:rStyle w:val="CETCaptionCarattere"/>
          <w:lang w:val="en-US"/>
        </w:rPr>
        <w:t xml:space="preserve"> determined by the cross section of the 5 and 50 °C TGA curves</w:t>
      </w:r>
      <w:r w:rsidR="002B09A7">
        <w:rPr>
          <w:rStyle w:val="CETCaptionCarattere"/>
          <w:lang w:val="en-US"/>
        </w:rPr>
        <w:t>.</w:t>
      </w:r>
    </w:p>
    <w:p w14:paraId="6AFA2C59" w14:textId="77777777" w:rsidR="00436E06" w:rsidRPr="00B773C0" w:rsidRDefault="00436E06" w:rsidP="00C74A41">
      <w:pPr>
        <w:pStyle w:val="CETBodytext"/>
        <w:ind w:right="-1"/>
        <w:jc w:val="left"/>
        <w:rPr>
          <w:sz w:val="12"/>
          <w:szCs w:val="14"/>
        </w:rPr>
      </w:pPr>
    </w:p>
    <w:p w14:paraId="185CD378" w14:textId="7431D846" w:rsidR="00C74A41" w:rsidRDefault="00C74A41" w:rsidP="00C74A41">
      <w:pPr>
        <w:pStyle w:val="CETBodytext"/>
        <w:ind w:right="-1"/>
        <w:jc w:val="left"/>
      </w:pPr>
      <w:r>
        <w:t>The FTIR spectra show</w:t>
      </w:r>
      <w:r w:rsidR="00022A5A">
        <w:t>ed</w:t>
      </w:r>
      <w:r>
        <w:t xml:space="preserve"> similar functional group characteristics in the analyzed biocrudes. </w:t>
      </w:r>
      <w:r w:rsidRPr="00ED2956">
        <w:t>A summary of the most important functional groups present in the bio-</w:t>
      </w:r>
      <w:r>
        <w:t>crudes</w:t>
      </w:r>
      <w:r w:rsidRPr="00ED2956">
        <w:t xml:space="preserve"> </w:t>
      </w:r>
      <w:r>
        <w:t>is</w:t>
      </w:r>
      <w:r w:rsidRPr="00ED2956">
        <w:t xml:space="preserve"> </w:t>
      </w:r>
      <w:r>
        <w:t>listed</w:t>
      </w:r>
      <w:r w:rsidRPr="00ED2956">
        <w:t xml:space="preserve"> in Tabl</w:t>
      </w:r>
      <w:r>
        <w:t xml:space="preserve">e 2. </w:t>
      </w:r>
    </w:p>
    <w:p w14:paraId="3D8B8DD8" w14:textId="4004B1AE" w:rsidR="005433CC" w:rsidRDefault="005433CC" w:rsidP="005433CC">
      <w:pPr>
        <w:pStyle w:val="CETTabletitle"/>
        <w:rPr>
          <w:lang w:val="en-US"/>
        </w:rPr>
      </w:pPr>
      <w:r w:rsidRPr="00A247F0">
        <w:rPr>
          <w:lang w:val="en-US"/>
        </w:rPr>
        <w:t xml:space="preserve">Table </w:t>
      </w:r>
      <w:r w:rsidR="00340F89">
        <w:rPr>
          <w:lang w:val="en-US"/>
        </w:rPr>
        <w:t>2</w:t>
      </w:r>
      <w:r w:rsidRPr="00A247F0">
        <w:rPr>
          <w:lang w:val="en-US"/>
        </w:rPr>
        <w:t xml:space="preserve">: </w:t>
      </w:r>
      <w:r w:rsidR="00552F0A" w:rsidRPr="00552F0A">
        <w:rPr>
          <w:lang w:val="en-US"/>
        </w:rPr>
        <w:t xml:space="preserve">The FTIR functional groups </w:t>
      </w:r>
      <w:r w:rsidR="007711CE">
        <w:rPr>
          <w:lang w:val="en-US"/>
        </w:rPr>
        <w:t>identified in</w:t>
      </w:r>
      <w:r w:rsidR="00552F0A" w:rsidRPr="00552F0A">
        <w:rPr>
          <w:lang w:val="en-US"/>
        </w:rPr>
        <w:t xml:space="preserve"> bio</w:t>
      </w:r>
      <w:r w:rsidR="00552F0A">
        <w:rPr>
          <w:lang w:val="en-US"/>
        </w:rPr>
        <w:t xml:space="preserve">crudes in </w:t>
      </w:r>
      <w:r w:rsidR="00527EE1">
        <w:rPr>
          <w:lang w:val="en-US"/>
        </w:rPr>
        <w:t xml:space="preserve">Figure </w:t>
      </w:r>
      <w:r w:rsidR="004638F4">
        <w:rPr>
          <w:lang w:val="en-US"/>
        </w:rPr>
        <w:t>2a</w:t>
      </w:r>
      <w:r w:rsidR="00527EE1">
        <w:rPr>
          <w:lang w:val="en-US"/>
        </w:rPr>
        <w:t xml:space="preserve">. </w:t>
      </w:r>
    </w:p>
    <w:tbl>
      <w:tblPr>
        <w:tblW w:w="880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3828"/>
        <w:gridCol w:w="425"/>
        <w:gridCol w:w="3420"/>
      </w:tblGrid>
      <w:tr w:rsidR="00C6769D" w:rsidRPr="00A247F0" w14:paraId="68A3F25E" w14:textId="77777777" w:rsidTr="00C6769D">
        <w:tc>
          <w:tcPr>
            <w:tcW w:w="1134" w:type="dxa"/>
            <w:tcBorders>
              <w:top w:val="single" w:sz="12" w:space="0" w:color="008000"/>
              <w:bottom w:val="single" w:sz="6" w:space="0" w:color="008000"/>
            </w:tcBorders>
            <w:shd w:val="clear" w:color="auto" w:fill="FFFFFF"/>
          </w:tcPr>
          <w:p w14:paraId="7B623E99" w14:textId="77777777" w:rsidR="00C6769D" w:rsidRPr="00A247F0" w:rsidRDefault="00C6769D" w:rsidP="005612A3">
            <w:pPr>
              <w:pStyle w:val="CETBodytext"/>
              <w:jc w:val="left"/>
            </w:pPr>
            <w:r w:rsidRPr="0026446C">
              <w:t>Band [</w:t>
            </w:r>
            <w:proofErr w:type="gramStart"/>
            <w:r w:rsidRPr="0026446C">
              <w:t>cm</w:t>
            </w:r>
            <w:r w:rsidRPr="0026446C">
              <w:rPr>
                <w:vertAlign w:val="superscript"/>
              </w:rPr>
              <w:t>-1</w:t>
            </w:r>
            <w:proofErr w:type="gramEnd"/>
            <w:r w:rsidRPr="0026446C">
              <w:t>]</w:t>
            </w:r>
            <w:r w:rsidRPr="00A247F0">
              <w:t xml:space="preserve"> </w:t>
            </w:r>
          </w:p>
        </w:tc>
        <w:tc>
          <w:tcPr>
            <w:tcW w:w="3828" w:type="dxa"/>
            <w:tcBorders>
              <w:top w:val="single" w:sz="12" w:space="0" w:color="008000"/>
              <w:bottom w:val="single" w:sz="6" w:space="0" w:color="008000"/>
            </w:tcBorders>
            <w:shd w:val="clear" w:color="auto" w:fill="FFFFFF"/>
          </w:tcPr>
          <w:p w14:paraId="03086028" w14:textId="77777777" w:rsidR="00C6769D" w:rsidRPr="00A247F0" w:rsidRDefault="00C6769D" w:rsidP="005612A3">
            <w:pPr>
              <w:pStyle w:val="CETBodytext"/>
              <w:rPr>
                <w:rFonts w:cs="Arial"/>
                <w:szCs w:val="18"/>
              </w:rPr>
            </w:pPr>
            <w:r w:rsidRPr="002778F0">
              <w:t>Assignments</w:t>
            </w:r>
          </w:p>
        </w:tc>
        <w:tc>
          <w:tcPr>
            <w:tcW w:w="425" w:type="dxa"/>
            <w:tcBorders>
              <w:top w:val="single" w:sz="12" w:space="0" w:color="008000"/>
              <w:bottom w:val="single" w:sz="6" w:space="0" w:color="008000"/>
            </w:tcBorders>
            <w:shd w:val="clear" w:color="auto" w:fill="FFFFFF"/>
          </w:tcPr>
          <w:p w14:paraId="735D99A6" w14:textId="77777777" w:rsidR="00C6769D" w:rsidRPr="0026446C" w:rsidRDefault="00C6769D" w:rsidP="005612A3">
            <w:pPr>
              <w:pStyle w:val="CETBodytext"/>
              <w:ind w:right="-1"/>
              <w:jc w:val="left"/>
            </w:pPr>
          </w:p>
        </w:tc>
        <w:tc>
          <w:tcPr>
            <w:tcW w:w="3420" w:type="dxa"/>
            <w:tcBorders>
              <w:top w:val="single" w:sz="12" w:space="0" w:color="008000"/>
              <w:bottom w:val="single" w:sz="6" w:space="0" w:color="008000"/>
            </w:tcBorders>
            <w:shd w:val="clear" w:color="auto" w:fill="FFFFFF"/>
          </w:tcPr>
          <w:p w14:paraId="68DC5B35" w14:textId="77777777" w:rsidR="00C6769D" w:rsidRPr="00A247F0" w:rsidRDefault="00C6769D" w:rsidP="005612A3">
            <w:pPr>
              <w:pStyle w:val="CETBodytext"/>
              <w:ind w:right="-1"/>
              <w:jc w:val="left"/>
              <w:rPr>
                <w:rFonts w:cs="Arial"/>
                <w:szCs w:val="18"/>
              </w:rPr>
            </w:pPr>
            <w:r w:rsidRPr="0026446C">
              <w:t>Reference</w:t>
            </w:r>
          </w:p>
        </w:tc>
      </w:tr>
      <w:tr w:rsidR="00C6769D" w:rsidRPr="000400ED" w14:paraId="7A094ED6" w14:textId="77777777" w:rsidTr="00C6769D">
        <w:trPr>
          <w:trHeight w:val="250"/>
        </w:trPr>
        <w:tc>
          <w:tcPr>
            <w:tcW w:w="1134" w:type="dxa"/>
            <w:shd w:val="clear" w:color="auto" w:fill="FFFFFF"/>
          </w:tcPr>
          <w:p w14:paraId="2F378BB0" w14:textId="77777777" w:rsidR="00C6769D" w:rsidRPr="00A247F0" w:rsidRDefault="00C6769D" w:rsidP="005612A3">
            <w:pPr>
              <w:pStyle w:val="CETBodytext"/>
            </w:pPr>
            <w:r>
              <w:t>750 - 850</w:t>
            </w:r>
          </w:p>
        </w:tc>
        <w:tc>
          <w:tcPr>
            <w:tcW w:w="3828" w:type="dxa"/>
            <w:shd w:val="clear" w:color="auto" w:fill="FFFFFF"/>
          </w:tcPr>
          <w:p w14:paraId="00F6BA34" w14:textId="1F2B0F27" w:rsidR="00C6769D" w:rsidRPr="00A247F0" w:rsidRDefault="00C6769D" w:rsidP="005612A3">
            <w:pPr>
              <w:pStyle w:val="CETBodytext"/>
              <w:ind w:right="-1"/>
              <w:jc w:val="left"/>
              <w:rPr>
                <w:rFonts w:cs="Arial"/>
                <w:szCs w:val="18"/>
              </w:rPr>
            </w:pPr>
            <w:r>
              <w:rPr>
                <w:rFonts w:cs="Arial"/>
                <w:szCs w:val="18"/>
              </w:rPr>
              <w:t>B</w:t>
            </w:r>
            <w:r w:rsidRPr="008A48A0">
              <w:rPr>
                <w:rFonts w:cs="Arial"/>
                <w:szCs w:val="18"/>
              </w:rPr>
              <w:t xml:space="preserve">ending vibration of C–H </w:t>
            </w:r>
            <w:r>
              <w:rPr>
                <w:rFonts w:cs="Arial"/>
                <w:szCs w:val="18"/>
              </w:rPr>
              <w:t>(</w:t>
            </w:r>
            <w:r w:rsidRPr="008A48A0">
              <w:rPr>
                <w:rFonts w:cs="Arial"/>
                <w:szCs w:val="18"/>
              </w:rPr>
              <w:t>the aromatic rings</w:t>
            </w:r>
            <w:r>
              <w:rPr>
                <w:rFonts w:cs="Arial"/>
                <w:szCs w:val="18"/>
              </w:rPr>
              <w:t xml:space="preserve">). </w:t>
            </w:r>
          </w:p>
        </w:tc>
        <w:tc>
          <w:tcPr>
            <w:tcW w:w="425" w:type="dxa"/>
            <w:shd w:val="clear" w:color="auto" w:fill="FFFFFF"/>
          </w:tcPr>
          <w:p w14:paraId="14521983" w14:textId="77777777" w:rsidR="00C6769D" w:rsidRDefault="00C6769D" w:rsidP="005612A3">
            <w:pPr>
              <w:pStyle w:val="CETBodytext"/>
              <w:ind w:right="-1"/>
              <w:jc w:val="left"/>
            </w:pPr>
          </w:p>
        </w:tc>
        <w:tc>
          <w:tcPr>
            <w:tcW w:w="3420" w:type="dxa"/>
            <w:shd w:val="clear" w:color="auto" w:fill="FFFFFF"/>
          </w:tcPr>
          <w:p w14:paraId="2CA9680C" w14:textId="37C62371" w:rsidR="00C6769D" w:rsidRPr="00C6769D" w:rsidRDefault="00C6769D" w:rsidP="005612A3">
            <w:pPr>
              <w:pStyle w:val="CETBodytext"/>
              <w:ind w:right="-1"/>
              <w:jc w:val="left"/>
              <w:rPr>
                <w:rFonts w:cs="Arial"/>
                <w:color w:val="0000FF" w:themeColor="hyperlink"/>
                <w:szCs w:val="18"/>
                <w:u w:val="single"/>
                <w:lang w:val="nb-NO"/>
              </w:rPr>
            </w:pPr>
            <w:proofErr w:type="spellStart"/>
            <w:r>
              <w:rPr>
                <w:rFonts w:cs="Arial"/>
                <w:szCs w:val="18"/>
                <w:lang w:val="nb-NO"/>
              </w:rPr>
              <w:t>Cui</w:t>
            </w:r>
            <w:proofErr w:type="spellEnd"/>
            <w:r w:rsidRPr="0054397E">
              <w:rPr>
                <w:lang w:val="nb-NO"/>
              </w:rPr>
              <w:t xml:space="preserve"> </w:t>
            </w:r>
            <w:r w:rsidRPr="00947480">
              <w:rPr>
                <w:lang w:val="nb-NO"/>
              </w:rPr>
              <w:t>et al., 201</w:t>
            </w:r>
            <w:r>
              <w:rPr>
                <w:lang w:val="nb-NO"/>
              </w:rPr>
              <w:t xml:space="preserve">7, </w:t>
            </w:r>
            <w:proofErr w:type="spellStart"/>
            <w:r w:rsidRPr="0058055F">
              <w:rPr>
                <w:lang w:val="nb-NO"/>
              </w:rPr>
              <w:t>Domínguez</w:t>
            </w:r>
            <w:proofErr w:type="spellEnd"/>
            <w:r>
              <w:rPr>
                <w:lang w:val="nb-NO"/>
              </w:rPr>
              <w:t xml:space="preserve"> </w:t>
            </w:r>
            <w:r w:rsidRPr="00947480">
              <w:rPr>
                <w:lang w:val="nb-NO"/>
              </w:rPr>
              <w:t>et al., 2013</w:t>
            </w:r>
          </w:p>
        </w:tc>
      </w:tr>
      <w:tr w:rsidR="00C6769D" w:rsidRPr="0081652E" w14:paraId="095BD057" w14:textId="77777777" w:rsidTr="00C6769D">
        <w:trPr>
          <w:trHeight w:val="468"/>
        </w:trPr>
        <w:tc>
          <w:tcPr>
            <w:tcW w:w="1134" w:type="dxa"/>
            <w:shd w:val="clear" w:color="auto" w:fill="FFFFFF"/>
          </w:tcPr>
          <w:p w14:paraId="52227252" w14:textId="77777777" w:rsidR="00C6769D" w:rsidRPr="00A247F0" w:rsidRDefault="00C6769D" w:rsidP="005612A3">
            <w:pPr>
              <w:pStyle w:val="CETBodytext"/>
            </w:pPr>
            <w:r w:rsidRPr="00C6769D">
              <w:t xml:space="preserve">1030 </w:t>
            </w:r>
            <w:r w:rsidRPr="00C6769D">
              <w:rPr>
                <w:rFonts w:cs="Arial"/>
                <w:szCs w:val="18"/>
              </w:rPr>
              <w:t>-1090</w:t>
            </w:r>
          </w:p>
        </w:tc>
        <w:tc>
          <w:tcPr>
            <w:tcW w:w="3828" w:type="dxa"/>
            <w:shd w:val="clear" w:color="auto" w:fill="FFFFFF"/>
          </w:tcPr>
          <w:p w14:paraId="0E889EB7" w14:textId="0CEBA41A" w:rsidR="00C6769D" w:rsidRDefault="00C6769D" w:rsidP="005612A3">
            <w:pPr>
              <w:pStyle w:val="CETBodytext"/>
              <w:ind w:right="-1"/>
              <w:jc w:val="left"/>
              <w:rPr>
                <w:rFonts w:cs="Arial"/>
                <w:szCs w:val="18"/>
              </w:rPr>
            </w:pPr>
            <w:r w:rsidRPr="007D17E3">
              <w:rPr>
                <w:rFonts w:cs="Arial"/>
                <w:szCs w:val="18"/>
              </w:rPr>
              <w:t xml:space="preserve">C-O stretching </w:t>
            </w:r>
            <w:r>
              <w:rPr>
                <w:rFonts w:cs="Arial"/>
                <w:szCs w:val="18"/>
              </w:rPr>
              <w:t>(</w:t>
            </w:r>
            <w:r w:rsidRPr="007D17E3">
              <w:rPr>
                <w:rFonts w:cs="Arial"/>
                <w:szCs w:val="18"/>
              </w:rPr>
              <w:t>primary</w:t>
            </w:r>
            <w:r>
              <w:rPr>
                <w:rFonts w:cs="Arial"/>
                <w:szCs w:val="18"/>
              </w:rPr>
              <w:t xml:space="preserve"> </w:t>
            </w:r>
            <w:r w:rsidRPr="007D17E3">
              <w:rPr>
                <w:rFonts w:cs="Arial"/>
                <w:szCs w:val="18"/>
              </w:rPr>
              <w:t>alcohols</w:t>
            </w:r>
            <w:r>
              <w:rPr>
                <w:rFonts w:cs="Arial"/>
                <w:szCs w:val="18"/>
              </w:rPr>
              <w:t xml:space="preserve">), </w:t>
            </w:r>
          </w:p>
          <w:p w14:paraId="2A3D8DAD" w14:textId="621B31AB" w:rsidR="00C6769D" w:rsidRPr="00A247F0" w:rsidRDefault="00C6769D" w:rsidP="005612A3">
            <w:pPr>
              <w:pStyle w:val="CETBodytext"/>
              <w:ind w:right="-1"/>
              <w:jc w:val="left"/>
              <w:rPr>
                <w:rFonts w:cs="Arial"/>
                <w:szCs w:val="18"/>
              </w:rPr>
            </w:pPr>
            <w:r w:rsidRPr="009336A2">
              <w:rPr>
                <w:rFonts w:cs="Arial"/>
                <w:szCs w:val="18"/>
              </w:rPr>
              <w:t>C–O stretching</w:t>
            </w:r>
            <w:r>
              <w:rPr>
                <w:rFonts w:cs="Arial"/>
                <w:szCs w:val="18"/>
              </w:rPr>
              <w:t xml:space="preserve"> (</w:t>
            </w:r>
            <w:r w:rsidRPr="00096EDF">
              <w:rPr>
                <w:rFonts w:cs="Arial"/>
                <w:szCs w:val="18"/>
              </w:rPr>
              <w:t>acids, esters, ethers</w:t>
            </w:r>
            <w:r>
              <w:rPr>
                <w:rFonts w:cs="Arial"/>
                <w:szCs w:val="18"/>
              </w:rPr>
              <w:t>, p</w:t>
            </w:r>
            <w:r w:rsidRPr="00271B1E">
              <w:rPr>
                <w:rFonts w:cs="Arial"/>
                <w:szCs w:val="18"/>
              </w:rPr>
              <w:t>henols</w:t>
            </w:r>
            <w:r w:rsidRPr="00096EDF">
              <w:rPr>
                <w:rFonts w:cs="Arial"/>
                <w:szCs w:val="18"/>
              </w:rPr>
              <w:t>)</w:t>
            </w:r>
          </w:p>
        </w:tc>
        <w:tc>
          <w:tcPr>
            <w:tcW w:w="425" w:type="dxa"/>
            <w:shd w:val="clear" w:color="auto" w:fill="FFFFFF"/>
          </w:tcPr>
          <w:p w14:paraId="1670EC5C" w14:textId="77777777" w:rsidR="00C6769D" w:rsidRPr="00C6769D" w:rsidRDefault="00C6769D" w:rsidP="005612A3">
            <w:pPr>
              <w:pStyle w:val="CETBodytext"/>
              <w:ind w:right="-1"/>
              <w:jc w:val="left"/>
              <w:rPr>
                <w:lang w:val="en-GB"/>
              </w:rPr>
            </w:pPr>
          </w:p>
        </w:tc>
        <w:tc>
          <w:tcPr>
            <w:tcW w:w="3420" w:type="dxa"/>
            <w:shd w:val="clear" w:color="auto" w:fill="FFFFFF"/>
          </w:tcPr>
          <w:p w14:paraId="052835FB" w14:textId="77777777" w:rsidR="00C6769D" w:rsidRDefault="00C6769D" w:rsidP="005612A3">
            <w:pPr>
              <w:pStyle w:val="CETBodytext"/>
              <w:ind w:right="-1"/>
              <w:jc w:val="left"/>
              <w:rPr>
                <w:lang w:val="nb-NO"/>
              </w:rPr>
            </w:pPr>
            <w:r w:rsidRPr="00C6769D">
              <w:rPr>
                <w:lang w:val="nb-NO"/>
              </w:rPr>
              <w:t>Kline et al., 2013</w:t>
            </w:r>
            <w:r>
              <w:rPr>
                <w:lang w:val="nb-NO"/>
              </w:rPr>
              <w:t xml:space="preserve">, </w:t>
            </w:r>
            <w:r w:rsidRPr="00947480">
              <w:rPr>
                <w:lang w:val="nb-NO"/>
              </w:rPr>
              <w:t>Wang et al., 2013</w:t>
            </w:r>
            <w:r>
              <w:rPr>
                <w:lang w:val="nb-NO"/>
              </w:rPr>
              <w:t xml:space="preserve">, </w:t>
            </w:r>
          </w:p>
          <w:p w14:paraId="394AE5BA" w14:textId="6733C69D" w:rsidR="00C6769D" w:rsidRPr="00C6769D" w:rsidRDefault="00C6769D" w:rsidP="005612A3">
            <w:pPr>
              <w:pStyle w:val="CETBodytext"/>
              <w:ind w:right="-1"/>
              <w:jc w:val="left"/>
              <w:rPr>
                <w:rFonts w:cs="Arial"/>
                <w:color w:val="0000FF" w:themeColor="hyperlink"/>
                <w:szCs w:val="18"/>
                <w:u w:val="single"/>
                <w:lang w:val="nb-NO"/>
              </w:rPr>
            </w:pPr>
            <w:r w:rsidRPr="00C6769D">
              <w:rPr>
                <w:lang w:val="nb-NO"/>
              </w:rPr>
              <w:t>Yang et al., 2011</w:t>
            </w:r>
          </w:p>
        </w:tc>
      </w:tr>
      <w:tr w:rsidR="00C6769D" w:rsidRPr="00A247F0" w14:paraId="18F420D9" w14:textId="77777777" w:rsidTr="00C6769D">
        <w:tc>
          <w:tcPr>
            <w:tcW w:w="1134" w:type="dxa"/>
            <w:shd w:val="clear" w:color="auto" w:fill="FFFFFF"/>
          </w:tcPr>
          <w:p w14:paraId="22543CD3" w14:textId="77777777" w:rsidR="00C6769D" w:rsidRPr="00A247F0" w:rsidRDefault="00C6769D" w:rsidP="005612A3">
            <w:pPr>
              <w:pStyle w:val="CETBodytext"/>
              <w:ind w:right="-1"/>
              <w:rPr>
                <w:rFonts w:cs="Arial"/>
                <w:szCs w:val="18"/>
              </w:rPr>
            </w:pPr>
            <w:r>
              <w:rPr>
                <w:rFonts w:cs="Arial"/>
                <w:szCs w:val="18"/>
              </w:rPr>
              <w:t>1220</w:t>
            </w:r>
          </w:p>
        </w:tc>
        <w:tc>
          <w:tcPr>
            <w:tcW w:w="3828" w:type="dxa"/>
            <w:shd w:val="clear" w:color="auto" w:fill="FFFFFF"/>
          </w:tcPr>
          <w:p w14:paraId="14AE2C5E" w14:textId="48575684" w:rsidR="00C6769D" w:rsidRPr="00A247F0" w:rsidRDefault="00C6769D" w:rsidP="005612A3">
            <w:pPr>
              <w:pStyle w:val="CETBodytext"/>
              <w:ind w:right="-1"/>
              <w:jc w:val="left"/>
              <w:rPr>
                <w:rFonts w:cs="Arial"/>
                <w:szCs w:val="18"/>
              </w:rPr>
            </w:pPr>
            <w:r w:rsidRPr="009336A2">
              <w:rPr>
                <w:rFonts w:cs="Arial"/>
                <w:szCs w:val="18"/>
              </w:rPr>
              <w:t>C–</w:t>
            </w:r>
            <w:r>
              <w:rPr>
                <w:rFonts w:cs="Arial"/>
                <w:szCs w:val="18"/>
              </w:rPr>
              <w:t xml:space="preserve">C, </w:t>
            </w:r>
            <w:r w:rsidRPr="009336A2">
              <w:rPr>
                <w:rFonts w:cs="Arial"/>
                <w:szCs w:val="18"/>
              </w:rPr>
              <w:t>C–O</w:t>
            </w:r>
            <w:r>
              <w:rPr>
                <w:rFonts w:cs="Arial"/>
                <w:szCs w:val="18"/>
              </w:rPr>
              <w:t xml:space="preserve"> stretch.</w:t>
            </w:r>
          </w:p>
        </w:tc>
        <w:tc>
          <w:tcPr>
            <w:tcW w:w="425" w:type="dxa"/>
            <w:shd w:val="clear" w:color="auto" w:fill="FFFFFF"/>
          </w:tcPr>
          <w:p w14:paraId="78E8D116" w14:textId="77777777" w:rsidR="00C6769D" w:rsidRPr="00947480" w:rsidRDefault="00C6769D" w:rsidP="005612A3">
            <w:pPr>
              <w:pStyle w:val="CETBodytext"/>
              <w:ind w:right="-1"/>
              <w:jc w:val="left"/>
              <w:rPr>
                <w:lang w:val="nb-NO"/>
              </w:rPr>
            </w:pPr>
          </w:p>
        </w:tc>
        <w:tc>
          <w:tcPr>
            <w:tcW w:w="3420" w:type="dxa"/>
            <w:shd w:val="clear" w:color="auto" w:fill="FFFFFF"/>
          </w:tcPr>
          <w:p w14:paraId="16AA2903" w14:textId="599EEBDB" w:rsidR="00C6769D" w:rsidRPr="00A247F0" w:rsidRDefault="00C6769D" w:rsidP="005612A3">
            <w:pPr>
              <w:pStyle w:val="CETBodytext"/>
              <w:ind w:right="-1"/>
              <w:jc w:val="left"/>
              <w:rPr>
                <w:rFonts w:cs="Arial"/>
                <w:szCs w:val="18"/>
              </w:rPr>
            </w:pPr>
            <w:proofErr w:type="spellStart"/>
            <w:r w:rsidRPr="00947480">
              <w:rPr>
                <w:lang w:val="nb-NO"/>
              </w:rPr>
              <w:t>Scholze</w:t>
            </w:r>
            <w:proofErr w:type="spellEnd"/>
            <w:r w:rsidRPr="00947480">
              <w:rPr>
                <w:lang w:val="nb-NO"/>
              </w:rPr>
              <w:t xml:space="preserve"> et al., 2011</w:t>
            </w:r>
          </w:p>
        </w:tc>
      </w:tr>
      <w:tr w:rsidR="00C6769D" w:rsidRPr="000400ED" w14:paraId="2EC95FC0" w14:textId="77777777" w:rsidTr="00C6769D">
        <w:tc>
          <w:tcPr>
            <w:tcW w:w="1134" w:type="dxa"/>
            <w:shd w:val="clear" w:color="auto" w:fill="FFFFFF"/>
          </w:tcPr>
          <w:p w14:paraId="689CE69E" w14:textId="77777777" w:rsidR="00C6769D" w:rsidRDefault="00C6769D" w:rsidP="005612A3">
            <w:pPr>
              <w:pStyle w:val="CETBodytext"/>
              <w:ind w:right="-1"/>
              <w:rPr>
                <w:rFonts w:cs="Arial"/>
                <w:szCs w:val="18"/>
              </w:rPr>
            </w:pPr>
            <w:r w:rsidRPr="00B22523">
              <w:rPr>
                <w:rFonts w:cs="Arial"/>
                <w:szCs w:val="18"/>
              </w:rPr>
              <w:t>1267-1276</w:t>
            </w:r>
          </w:p>
        </w:tc>
        <w:tc>
          <w:tcPr>
            <w:tcW w:w="3828" w:type="dxa"/>
            <w:shd w:val="clear" w:color="auto" w:fill="FFFFFF"/>
          </w:tcPr>
          <w:p w14:paraId="664827AB" w14:textId="31144BE0" w:rsidR="00C6769D" w:rsidRPr="00A247F0" w:rsidRDefault="00C6769D" w:rsidP="005612A3">
            <w:pPr>
              <w:pStyle w:val="CETBodytext"/>
              <w:ind w:right="-1"/>
              <w:jc w:val="left"/>
              <w:rPr>
                <w:rFonts w:cs="Arial"/>
                <w:szCs w:val="18"/>
              </w:rPr>
            </w:pPr>
            <w:proofErr w:type="spellStart"/>
            <w:r>
              <w:rPr>
                <w:rFonts w:cs="Arial"/>
                <w:szCs w:val="18"/>
              </w:rPr>
              <w:t>M</w:t>
            </w:r>
            <w:r w:rsidRPr="003175C5">
              <w:rPr>
                <w:rFonts w:cs="Arial"/>
                <w:szCs w:val="18"/>
              </w:rPr>
              <w:t>ethoxyl</w:t>
            </w:r>
            <w:proofErr w:type="spellEnd"/>
            <w:r w:rsidRPr="003175C5">
              <w:rPr>
                <w:rFonts w:cs="Arial"/>
                <w:szCs w:val="18"/>
              </w:rPr>
              <w:t xml:space="preserve"> group</w:t>
            </w:r>
            <w:r>
              <w:rPr>
                <w:rFonts w:cs="Arial"/>
                <w:szCs w:val="18"/>
              </w:rPr>
              <w:t xml:space="preserve">, </w:t>
            </w:r>
            <w:r w:rsidRPr="009D299C">
              <w:rPr>
                <w:rFonts w:cs="Arial"/>
                <w:szCs w:val="18"/>
              </w:rPr>
              <w:t>C–O stretch</w:t>
            </w:r>
            <w:r>
              <w:rPr>
                <w:rFonts w:cs="Arial"/>
                <w:szCs w:val="18"/>
              </w:rPr>
              <w:t>.</w:t>
            </w:r>
          </w:p>
        </w:tc>
        <w:tc>
          <w:tcPr>
            <w:tcW w:w="425" w:type="dxa"/>
            <w:shd w:val="clear" w:color="auto" w:fill="FFFFFF"/>
          </w:tcPr>
          <w:p w14:paraId="7926B704" w14:textId="77777777" w:rsidR="00C6769D" w:rsidRPr="00C6769D" w:rsidRDefault="00C6769D" w:rsidP="005612A3">
            <w:pPr>
              <w:pStyle w:val="CETBodytext"/>
              <w:ind w:right="-1"/>
              <w:jc w:val="left"/>
              <w:rPr>
                <w:rFonts w:cs="Arial"/>
                <w:szCs w:val="18"/>
                <w:lang w:val="en-GB"/>
              </w:rPr>
            </w:pPr>
          </w:p>
        </w:tc>
        <w:tc>
          <w:tcPr>
            <w:tcW w:w="3420" w:type="dxa"/>
            <w:shd w:val="clear" w:color="auto" w:fill="FFFFFF"/>
          </w:tcPr>
          <w:p w14:paraId="5D4803DF" w14:textId="0CC8509F" w:rsidR="00C6769D" w:rsidRPr="00C6769D" w:rsidRDefault="00C6769D" w:rsidP="005612A3">
            <w:pPr>
              <w:pStyle w:val="CETBodytext"/>
              <w:ind w:right="-1"/>
              <w:jc w:val="left"/>
              <w:rPr>
                <w:rFonts w:cs="Arial"/>
                <w:szCs w:val="18"/>
                <w:lang w:val="nb-NO"/>
              </w:rPr>
            </w:pPr>
            <w:proofErr w:type="spellStart"/>
            <w:r>
              <w:rPr>
                <w:rFonts w:cs="Arial"/>
                <w:szCs w:val="18"/>
                <w:lang w:val="nb-NO"/>
              </w:rPr>
              <w:t>Cao</w:t>
            </w:r>
            <w:proofErr w:type="spellEnd"/>
            <w:r w:rsidRPr="0054397E">
              <w:rPr>
                <w:lang w:val="nb-NO"/>
              </w:rPr>
              <w:t xml:space="preserve"> </w:t>
            </w:r>
            <w:r w:rsidRPr="00947480">
              <w:rPr>
                <w:lang w:val="nb-NO"/>
              </w:rPr>
              <w:t>et al., 201</w:t>
            </w:r>
            <w:r>
              <w:rPr>
                <w:lang w:val="nb-NO"/>
              </w:rPr>
              <w:t xml:space="preserve">1, </w:t>
            </w:r>
            <w:r w:rsidRPr="00947480">
              <w:rPr>
                <w:lang w:val="nb-NO"/>
              </w:rPr>
              <w:t>Wang et al., 2013</w:t>
            </w:r>
          </w:p>
        </w:tc>
      </w:tr>
      <w:tr w:rsidR="00C6769D" w:rsidRPr="000400ED" w14:paraId="787216D9" w14:textId="77777777" w:rsidTr="00C6769D">
        <w:tc>
          <w:tcPr>
            <w:tcW w:w="1134" w:type="dxa"/>
            <w:shd w:val="clear" w:color="auto" w:fill="FFFFFF"/>
          </w:tcPr>
          <w:p w14:paraId="7E6B0524" w14:textId="77777777" w:rsidR="00C6769D" w:rsidRDefault="00C6769D" w:rsidP="005612A3">
            <w:pPr>
              <w:pStyle w:val="CETBodytext"/>
              <w:ind w:right="-1"/>
              <w:rPr>
                <w:rFonts w:cs="Arial"/>
                <w:szCs w:val="18"/>
              </w:rPr>
            </w:pPr>
            <w:r>
              <w:rPr>
                <w:rFonts w:cs="Arial"/>
                <w:szCs w:val="18"/>
              </w:rPr>
              <w:t>1358</w:t>
            </w:r>
          </w:p>
        </w:tc>
        <w:tc>
          <w:tcPr>
            <w:tcW w:w="3828" w:type="dxa"/>
            <w:shd w:val="clear" w:color="auto" w:fill="FFFFFF"/>
          </w:tcPr>
          <w:p w14:paraId="6AB11F5A" w14:textId="5E9F4CDB" w:rsidR="00C6769D" w:rsidRPr="00A247F0" w:rsidRDefault="00C6769D" w:rsidP="005612A3">
            <w:pPr>
              <w:pStyle w:val="CETBodytext"/>
              <w:ind w:right="-1"/>
              <w:jc w:val="left"/>
              <w:rPr>
                <w:rFonts w:cs="Arial"/>
                <w:szCs w:val="18"/>
              </w:rPr>
            </w:pPr>
            <w:r w:rsidRPr="002270FD">
              <w:rPr>
                <w:rFonts w:cs="Arial"/>
                <w:szCs w:val="18"/>
              </w:rPr>
              <w:t>CH</w:t>
            </w:r>
            <w:r w:rsidRPr="00372566">
              <w:rPr>
                <w:rFonts w:cs="Arial"/>
                <w:szCs w:val="18"/>
                <w:vertAlign w:val="subscript"/>
              </w:rPr>
              <w:t>3</w:t>
            </w:r>
            <w:r w:rsidRPr="002270FD">
              <w:rPr>
                <w:rFonts w:cs="Arial"/>
                <w:szCs w:val="18"/>
              </w:rPr>
              <w:t xml:space="preserve"> bending</w:t>
            </w:r>
            <w:r>
              <w:rPr>
                <w:rFonts w:cs="Arial"/>
                <w:szCs w:val="18"/>
              </w:rPr>
              <w:t xml:space="preserve">, </w:t>
            </w:r>
            <w:r w:rsidRPr="008B6166">
              <w:rPr>
                <w:rFonts w:cs="Arial"/>
                <w:szCs w:val="18"/>
              </w:rPr>
              <w:t>C–H deformation</w:t>
            </w:r>
            <w:r>
              <w:rPr>
                <w:rFonts w:cs="Arial"/>
                <w:szCs w:val="18"/>
              </w:rPr>
              <w:t>.</w:t>
            </w:r>
          </w:p>
        </w:tc>
        <w:tc>
          <w:tcPr>
            <w:tcW w:w="425" w:type="dxa"/>
            <w:shd w:val="clear" w:color="auto" w:fill="FFFFFF"/>
          </w:tcPr>
          <w:p w14:paraId="280CA17B" w14:textId="77777777" w:rsidR="00C6769D" w:rsidRPr="00C6769D" w:rsidRDefault="00C6769D" w:rsidP="005612A3">
            <w:pPr>
              <w:pStyle w:val="CETBodytext"/>
              <w:ind w:right="-1"/>
              <w:jc w:val="left"/>
              <w:rPr>
                <w:lang w:val="en-GB"/>
              </w:rPr>
            </w:pPr>
          </w:p>
        </w:tc>
        <w:tc>
          <w:tcPr>
            <w:tcW w:w="3420" w:type="dxa"/>
            <w:shd w:val="clear" w:color="auto" w:fill="FFFFFF"/>
          </w:tcPr>
          <w:p w14:paraId="079BA0BD" w14:textId="5EAB0A0D" w:rsidR="00C6769D" w:rsidRPr="00C6769D" w:rsidRDefault="00C6769D" w:rsidP="005612A3">
            <w:pPr>
              <w:pStyle w:val="CETBodytext"/>
              <w:ind w:right="-1"/>
              <w:jc w:val="left"/>
              <w:rPr>
                <w:rFonts w:cs="Arial"/>
                <w:szCs w:val="18"/>
                <w:lang w:val="nb-NO"/>
              </w:rPr>
            </w:pPr>
            <w:proofErr w:type="spellStart"/>
            <w:r w:rsidRPr="0054397E">
              <w:rPr>
                <w:lang w:val="nb-NO"/>
              </w:rPr>
              <w:t>Nazari</w:t>
            </w:r>
            <w:proofErr w:type="spellEnd"/>
            <w:r w:rsidRPr="0054397E">
              <w:rPr>
                <w:lang w:val="nb-NO"/>
              </w:rPr>
              <w:t xml:space="preserve"> </w:t>
            </w:r>
            <w:r w:rsidRPr="00947480">
              <w:rPr>
                <w:lang w:val="nb-NO"/>
              </w:rPr>
              <w:t>et al., 201</w:t>
            </w:r>
            <w:r>
              <w:rPr>
                <w:lang w:val="nb-NO"/>
              </w:rPr>
              <w:t>5</w:t>
            </w:r>
            <w:r w:rsidRPr="00C6769D">
              <w:rPr>
                <w:rFonts w:cs="Arial"/>
                <w:szCs w:val="18"/>
                <w:lang w:val="nb-NO"/>
              </w:rPr>
              <w:t>,</w:t>
            </w:r>
            <w:r>
              <w:rPr>
                <w:rFonts w:cs="Arial"/>
                <w:szCs w:val="18"/>
                <w:lang w:val="nb-NO"/>
              </w:rPr>
              <w:t xml:space="preserve"> </w:t>
            </w:r>
            <w:proofErr w:type="spellStart"/>
            <w:r>
              <w:rPr>
                <w:rFonts w:cs="Arial"/>
                <w:szCs w:val="18"/>
                <w:lang w:val="nb-NO"/>
              </w:rPr>
              <w:t>Cao</w:t>
            </w:r>
            <w:proofErr w:type="spellEnd"/>
            <w:r w:rsidRPr="0054397E">
              <w:rPr>
                <w:lang w:val="nb-NO"/>
              </w:rPr>
              <w:t xml:space="preserve"> </w:t>
            </w:r>
            <w:r w:rsidRPr="00947480">
              <w:rPr>
                <w:lang w:val="nb-NO"/>
              </w:rPr>
              <w:t>et al., 201</w:t>
            </w:r>
            <w:r>
              <w:rPr>
                <w:lang w:val="nb-NO"/>
              </w:rPr>
              <w:t>1</w:t>
            </w:r>
            <w:r w:rsidRPr="00C6769D">
              <w:rPr>
                <w:rFonts w:cs="Arial"/>
                <w:szCs w:val="18"/>
                <w:lang w:val="nb-NO"/>
              </w:rPr>
              <w:t xml:space="preserve"> </w:t>
            </w:r>
          </w:p>
        </w:tc>
      </w:tr>
      <w:tr w:rsidR="00C6769D" w:rsidRPr="00F50D0D" w14:paraId="56F606A4" w14:textId="77777777" w:rsidTr="00C6769D">
        <w:tc>
          <w:tcPr>
            <w:tcW w:w="1134" w:type="dxa"/>
            <w:shd w:val="clear" w:color="auto" w:fill="FFFFFF"/>
          </w:tcPr>
          <w:p w14:paraId="4BE378C5" w14:textId="77777777" w:rsidR="00C6769D" w:rsidRDefault="00C6769D" w:rsidP="005612A3">
            <w:pPr>
              <w:pStyle w:val="CETBodytext"/>
              <w:ind w:right="-1"/>
              <w:rPr>
                <w:rFonts w:cs="Arial"/>
                <w:szCs w:val="18"/>
              </w:rPr>
            </w:pPr>
            <w:r>
              <w:rPr>
                <w:rFonts w:cs="Arial"/>
                <w:szCs w:val="18"/>
              </w:rPr>
              <w:t>1375</w:t>
            </w:r>
          </w:p>
        </w:tc>
        <w:tc>
          <w:tcPr>
            <w:tcW w:w="3828" w:type="dxa"/>
            <w:shd w:val="clear" w:color="auto" w:fill="FFFFFF"/>
          </w:tcPr>
          <w:p w14:paraId="709CF3CE" w14:textId="77777777" w:rsidR="00C6769D" w:rsidRPr="00A247F0" w:rsidRDefault="00C6769D" w:rsidP="005612A3">
            <w:pPr>
              <w:pStyle w:val="CETBodytext"/>
              <w:ind w:right="-1"/>
              <w:jc w:val="left"/>
              <w:rPr>
                <w:rFonts w:cs="Arial"/>
                <w:szCs w:val="18"/>
              </w:rPr>
            </w:pPr>
            <w:r w:rsidRPr="00CD31B2">
              <w:rPr>
                <w:rFonts w:cs="Arial"/>
                <w:szCs w:val="18"/>
              </w:rPr>
              <w:t>Alkanes</w:t>
            </w:r>
            <w:r>
              <w:rPr>
                <w:rFonts w:cs="Arial"/>
                <w:szCs w:val="18"/>
              </w:rPr>
              <w:t>.</w:t>
            </w:r>
          </w:p>
        </w:tc>
        <w:tc>
          <w:tcPr>
            <w:tcW w:w="425" w:type="dxa"/>
            <w:shd w:val="clear" w:color="auto" w:fill="FFFFFF"/>
          </w:tcPr>
          <w:p w14:paraId="504228A9" w14:textId="77777777" w:rsidR="00C6769D" w:rsidRPr="00947480" w:rsidRDefault="00C6769D" w:rsidP="005612A3">
            <w:pPr>
              <w:pStyle w:val="CETBodytext"/>
              <w:ind w:right="-1"/>
              <w:jc w:val="left"/>
              <w:rPr>
                <w:lang w:val="nb-NO"/>
              </w:rPr>
            </w:pPr>
          </w:p>
        </w:tc>
        <w:tc>
          <w:tcPr>
            <w:tcW w:w="3420" w:type="dxa"/>
            <w:shd w:val="clear" w:color="auto" w:fill="FFFFFF"/>
          </w:tcPr>
          <w:p w14:paraId="151EBAEE" w14:textId="62AD6E8F" w:rsidR="00C6769D" w:rsidRPr="00C6769D" w:rsidRDefault="00C6769D" w:rsidP="005612A3">
            <w:pPr>
              <w:pStyle w:val="CETBodytext"/>
              <w:ind w:right="-1"/>
              <w:jc w:val="left"/>
              <w:rPr>
                <w:rFonts w:cs="Arial"/>
                <w:szCs w:val="18"/>
                <w:lang w:val="nb-NO"/>
              </w:rPr>
            </w:pPr>
            <w:r w:rsidRPr="00947480">
              <w:rPr>
                <w:lang w:val="nb-NO"/>
              </w:rPr>
              <w:t>Hassan et al., 2019</w:t>
            </w:r>
            <w:r w:rsidRPr="00C6769D">
              <w:rPr>
                <w:rStyle w:val="Hyperlink"/>
                <w:rFonts w:cs="Arial"/>
                <w:szCs w:val="18"/>
                <w:lang w:val="nb-NO"/>
              </w:rPr>
              <w:t xml:space="preserve"> </w:t>
            </w:r>
          </w:p>
        </w:tc>
      </w:tr>
      <w:tr w:rsidR="00C6769D" w:rsidRPr="00A247F0" w14:paraId="4F2200E9" w14:textId="77777777" w:rsidTr="00C6769D">
        <w:trPr>
          <w:trHeight w:val="723"/>
        </w:trPr>
        <w:tc>
          <w:tcPr>
            <w:tcW w:w="1134" w:type="dxa"/>
            <w:shd w:val="clear" w:color="auto" w:fill="FFFFFF"/>
          </w:tcPr>
          <w:p w14:paraId="376994AD" w14:textId="77777777" w:rsidR="00C6769D" w:rsidRDefault="00C6769D" w:rsidP="005612A3">
            <w:pPr>
              <w:pStyle w:val="CETBodytext"/>
              <w:ind w:right="-1"/>
              <w:rPr>
                <w:rFonts w:cs="Arial"/>
                <w:szCs w:val="18"/>
              </w:rPr>
            </w:pPr>
            <w:r>
              <w:rPr>
                <w:rFonts w:cs="Arial"/>
                <w:szCs w:val="18"/>
              </w:rPr>
              <w:t xml:space="preserve">1450 </w:t>
            </w:r>
          </w:p>
        </w:tc>
        <w:tc>
          <w:tcPr>
            <w:tcW w:w="3828" w:type="dxa"/>
            <w:shd w:val="clear" w:color="auto" w:fill="FFFFFF"/>
          </w:tcPr>
          <w:p w14:paraId="169158BB" w14:textId="4F48AF38" w:rsidR="00C6769D" w:rsidRPr="002851C7" w:rsidRDefault="00C6769D" w:rsidP="005612A3">
            <w:pPr>
              <w:pStyle w:val="CETBodytext"/>
              <w:jc w:val="left"/>
              <w:rPr>
                <w:rFonts w:cs="Arial"/>
                <w:szCs w:val="18"/>
                <w:lang w:val="en-GB"/>
              </w:rPr>
            </w:pPr>
            <w:r>
              <w:t>A</w:t>
            </w:r>
            <w:r w:rsidRPr="001A5703">
              <w:t>romatic C=C bending vibrations</w:t>
            </w:r>
            <w:r>
              <w:t xml:space="preserve">. </w:t>
            </w:r>
            <w:r w:rsidRPr="002851C7">
              <w:rPr>
                <w:rFonts w:cs="Arial"/>
                <w:szCs w:val="18"/>
                <w:lang w:val="en-GB"/>
              </w:rPr>
              <w:t>Alkenes</w:t>
            </w:r>
            <w:r>
              <w:rPr>
                <w:rFonts w:cs="Arial"/>
                <w:szCs w:val="18"/>
                <w:lang w:val="en-GB"/>
              </w:rPr>
              <w:t xml:space="preserve">. </w:t>
            </w:r>
            <w:r w:rsidRPr="002851C7">
              <w:rPr>
                <w:rFonts w:cs="Arial"/>
                <w:szCs w:val="18"/>
                <w:lang w:val="en-GB"/>
              </w:rPr>
              <w:t xml:space="preserve"> </w:t>
            </w:r>
          </w:p>
          <w:p w14:paraId="6105AA70" w14:textId="77777777" w:rsidR="00C6769D" w:rsidRPr="00DE4D14" w:rsidRDefault="00C6769D" w:rsidP="005612A3">
            <w:pPr>
              <w:pStyle w:val="CETBodytext"/>
              <w:ind w:right="-1"/>
              <w:jc w:val="left"/>
              <w:rPr>
                <w:rFonts w:cs="Arial"/>
                <w:szCs w:val="18"/>
              </w:rPr>
            </w:pPr>
            <w:r w:rsidRPr="008B6166">
              <w:rPr>
                <w:rFonts w:cs="Arial"/>
                <w:szCs w:val="18"/>
              </w:rPr>
              <w:t>C–H</w:t>
            </w:r>
            <w:r>
              <w:rPr>
                <w:rFonts w:cs="Arial"/>
                <w:szCs w:val="18"/>
              </w:rPr>
              <w:t xml:space="preserve"> deformations in </w:t>
            </w:r>
            <w:r w:rsidRPr="008B6166">
              <w:rPr>
                <w:rFonts w:cs="Arial"/>
                <w:szCs w:val="18"/>
              </w:rPr>
              <w:t>–</w:t>
            </w:r>
            <w:r>
              <w:rPr>
                <w:rFonts w:cs="Arial"/>
                <w:szCs w:val="18"/>
              </w:rPr>
              <w:t>C</w:t>
            </w:r>
            <w:r w:rsidRPr="008B6166">
              <w:rPr>
                <w:rFonts w:cs="Arial"/>
                <w:szCs w:val="18"/>
              </w:rPr>
              <w:t>H</w:t>
            </w:r>
            <w:r w:rsidRPr="00793190">
              <w:rPr>
                <w:rFonts w:cs="Arial"/>
                <w:szCs w:val="18"/>
                <w:vertAlign w:val="subscript"/>
              </w:rPr>
              <w:t>3</w:t>
            </w:r>
            <w:r>
              <w:rPr>
                <w:rFonts w:cs="Arial"/>
                <w:szCs w:val="18"/>
              </w:rPr>
              <w:t xml:space="preserve"> and </w:t>
            </w:r>
            <w:r w:rsidRPr="008B6166">
              <w:rPr>
                <w:rFonts w:cs="Arial"/>
                <w:szCs w:val="18"/>
              </w:rPr>
              <w:t>–</w:t>
            </w:r>
            <w:r>
              <w:rPr>
                <w:rFonts w:cs="Arial"/>
                <w:szCs w:val="18"/>
              </w:rPr>
              <w:t>C</w:t>
            </w:r>
            <w:r w:rsidRPr="008B6166">
              <w:rPr>
                <w:rFonts w:cs="Arial"/>
                <w:szCs w:val="18"/>
              </w:rPr>
              <w:t>H</w:t>
            </w:r>
            <w:r w:rsidRPr="00793190">
              <w:rPr>
                <w:rFonts w:cs="Arial"/>
                <w:szCs w:val="18"/>
                <w:vertAlign w:val="subscript"/>
              </w:rPr>
              <w:t>2</w:t>
            </w:r>
            <w:proofErr w:type="gramStart"/>
            <w:r w:rsidRPr="008B6166">
              <w:rPr>
                <w:rFonts w:cs="Arial"/>
                <w:szCs w:val="18"/>
              </w:rPr>
              <w:t>–</w:t>
            </w:r>
            <w:r>
              <w:rPr>
                <w:rFonts w:cs="Arial"/>
                <w:szCs w:val="18"/>
              </w:rPr>
              <w:t xml:space="preserve"> .</w:t>
            </w:r>
            <w:proofErr w:type="gramEnd"/>
          </w:p>
        </w:tc>
        <w:tc>
          <w:tcPr>
            <w:tcW w:w="425" w:type="dxa"/>
            <w:shd w:val="clear" w:color="auto" w:fill="FFFFFF"/>
          </w:tcPr>
          <w:p w14:paraId="316886D8" w14:textId="77777777" w:rsidR="00C6769D" w:rsidRPr="00C6769D" w:rsidRDefault="00C6769D" w:rsidP="005612A3">
            <w:pPr>
              <w:pStyle w:val="CETBodytext"/>
              <w:ind w:right="-1"/>
              <w:jc w:val="left"/>
              <w:rPr>
                <w:lang w:val="en-GB"/>
              </w:rPr>
            </w:pPr>
          </w:p>
        </w:tc>
        <w:tc>
          <w:tcPr>
            <w:tcW w:w="3420" w:type="dxa"/>
            <w:shd w:val="clear" w:color="auto" w:fill="FFFFFF"/>
          </w:tcPr>
          <w:p w14:paraId="1209E57D" w14:textId="0B3853E7" w:rsidR="00C6769D" w:rsidRPr="00C6769D" w:rsidRDefault="00C6769D" w:rsidP="005612A3">
            <w:pPr>
              <w:pStyle w:val="CETBodytext"/>
              <w:ind w:right="-1"/>
              <w:jc w:val="left"/>
              <w:rPr>
                <w:rFonts w:cs="Arial"/>
                <w:szCs w:val="18"/>
                <w:lang w:val="nb-NO"/>
              </w:rPr>
            </w:pPr>
            <w:r w:rsidRPr="00947480">
              <w:rPr>
                <w:lang w:val="nb-NO"/>
              </w:rPr>
              <w:t>Hassan et al., 2019</w:t>
            </w:r>
            <w:r>
              <w:rPr>
                <w:lang w:val="nb-NO"/>
              </w:rPr>
              <w:t xml:space="preserve">, </w:t>
            </w:r>
            <w:proofErr w:type="spellStart"/>
            <w:r w:rsidRPr="0054397E">
              <w:rPr>
                <w:lang w:val="nb-NO"/>
              </w:rPr>
              <w:t>Nazari</w:t>
            </w:r>
            <w:proofErr w:type="spellEnd"/>
            <w:r w:rsidRPr="0054397E">
              <w:rPr>
                <w:lang w:val="nb-NO"/>
              </w:rPr>
              <w:t xml:space="preserve"> </w:t>
            </w:r>
            <w:r w:rsidRPr="00947480">
              <w:rPr>
                <w:lang w:val="nb-NO"/>
              </w:rPr>
              <w:t>et al., 201</w:t>
            </w:r>
            <w:r>
              <w:rPr>
                <w:lang w:val="nb-NO"/>
              </w:rPr>
              <w:t>5,</w:t>
            </w:r>
            <w:r w:rsidRPr="00947480">
              <w:rPr>
                <w:lang w:val="nb-NO"/>
              </w:rPr>
              <w:t xml:space="preserve"> </w:t>
            </w:r>
            <w:proofErr w:type="spellStart"/>
            <w:r w:rsidRPr="00947480">
              <w:rPr>
                <w:lang w:val="nb-NO"/>
              </w:rPr>
              <w:t>Scholze</w:t>
            </w:r>
            <w:proofErr w:type="spellEnd"/>
            <w:r w:rsidRPr="00947480">
              <w:rPr>
                <w:lang w:val="nb-NO"/>
              </w:rPr>
              <w:t xml:space="preserve"> et al., 2011</w:t>
            </w:r>
            <w:r>
              <w:rPr>
                <w:lang w:val="nb-NO"/>
              </w:rPr>
              <w:t xml:space="preserve">, </w:t>
            </w:r>
            <w:r w:rsidRPr="00947480">
              <w:rPr>
                <w:lang w:val="nb-NO"/>
              </w:rPr>
              <w:t>Wang et al., 2013</w:t>
            </w:r>
            <w:r>
              <w:rPr>
                <w:lang w:val="nb-NO"/>
              </w:rPr>
              <w:t xml:space="preserve">, </w:t>
            </w:r>
          </w:p>
          <w:p w14:paraId="718D271A" w14:textId="119B3BC6" w:rsidR="00C6769D" w:rsidRPr="00A247F0" w:rsidRDefault="00C6769D" w:rsidP="005612A3">
            <w:pPr>
              <w:pStyle w:val="CETBodytext"/>
              <w:ind w:right="-1"/>
              <w:jc w:val="left"/>
              <w:rPr>
                <w:rFonts w:cs="Arial"/>
                <w:szCs w:val="18"/>
              </w:rPr>
            </w:pPr>
            <w:proofErr w:type="spellStart"/>
            <w:r>
              <w:rPr>
                <w:rFonts w:cs="Arial"/>
                <w:szCs w:val="18"/>
                <w:lang w:val="nb-NO"/>
              </w:rPr>
              <w:t>Cao</w:t>
            </w:r>
            <w:proofErr w:type="spellEnd"/>
            <w:r w:rsidRPr="0054397E">
              <w:rPr>
                <w:lang w:val="nb-NO"/>
              </w:rPr>
              <w:t xml:space="preserve"> </w:t>
            </w:r>
            <w:r w:rsidRPr="00947480">
              <w:rPr>
                <w:lang w:val="nb-NO"/>
              </w:rPr>
              <w:t>et al., 201</w:t>
            </w:r>
            <w:r>
              <w:rPr>
                <w:lang w:val="nb-NO"/>
              </w:rPr>
              <w:t>1</w:t>
            </w:r>
          </w:p>
        </w:tc>
      </w:tr>
      <w:tr w:rsidR="00C6769D" w:rsidRPr="000400ED" w14:paraId="3DB13BB4" w14:textId="77777777" w:rsidTr="00C6769D">
        <w:tc>
          <w:tcPr>
            <w:tcW w:w="1134" w:type="dxa"/>
            <w:shd w:val="clear" w:color="auto" w:fill="FFFFFF"/>
          </w:tcPr>
          <w:p w14:paraId="6689DD35" w14:textId="0B50DDD8" w:rsidR="00C6769D" w:rsidRDefault="00C6769D" w:rsidP="005612A3">
            <w:pPr>
              <w:pStyle w:val="CETBodytext"/>
              <w:ind w:right="-1"/>
              <w:rPr>
                <w:rFonts w:cs="Arial"/>
                <w:szCs w:val="18"/>
              </w:rPr>
            </w:pPr>
            <w:r w:rsidRPr="00C6769D">
              <w:rPr>
                <w:rFonts w:cs="Arial"/>
                <w:szCs w:val="18"/>
              </w:rPr>
              <w:t>1495-1510</w:t>
            </w:r>
          </w:p>
        </w:tc>
        <w:tc>
          <w:tcPr>
            <w:tcW w:w="3828" w:type="dxa"/>
            <w:shd w:val="clear" w:color="auto" w:fill="FFFFFF"/>
          </w:tcPr>
          <w:p w14:paraId="51F8300A" w14:textId="385B62D0" w:rsidR="00C6769D" w:rsidRPr="001A5703" w:rsidRDefault="00C6769D" w:rsidP="005612A3">
            <w:pPr>
              <w:pStyle w:val="CETBodytext"/>
              <w:ind w:right="-1"/>
              <w:jc w:val="left"/>
            </w:pPr>
            <w:r w:rsidRPr="001A5703">
              <w:t>C=</w:t>
            </w:r>
            <w:r>
              <w:t>C ring vibrations.</w:t>
            </w:r>
          </w:p>
        </w:tc>
        <w:tc>
          <w:tcPr>
            <w:tcW w:w="425" w:type="dxa"/>
            <w:shd w:val="clear" w:color="auto" w:fill="FFFFFF"/>
          </w:tcPr>
          <w:p w14:paraId="3957DE27" w14:textId="77777777" w:rsidR="00C6769D" w:rsidRPr="00F50D0D" w:rsidRDefault="00C6769D" w:rsidP="005612A3">
            <w:pPr>
              <w:pStyle w:val="CETBodytext"/>
              <w:ind w:right="-1"/>
              <w:jc w:val="left"/>
              <w:rPr>
                <w:lang w:val="nb-NO"/>
              </w:rPr>
            </w:pPr>
          </w:p>
        </w:tc>
        <w:tc>
          <w:tcPr>
            <w:tcW w:w="3420" w:type="dxa"/>
            <w:shd w:val="clear" w:color="auto" w:fill="FFFFFF"/>
          </w:tcPr>
          <w:p w14:paraId="7AF254EF" w14:textId="23B94204" w:rsidR="00C6769D" w:rsidRPr="00C6769D" w:rsidRDefault="00C6769D" w:rsidP="005612A3">
            <w:pPr>
              <w:pStyle w:val="CETBodytext"/>
              <w:ind w:right="-1"/>
              <w:jc w:val="left"/>
              <w:rPr>
                <w:lang w:val="nb-NO"/>
              </w:rPr>
            </w:pPr>
            <w:r w:rsidRPr="00C6769D">
              <w:rPr>
                <w:lang w:val="nb-NO"/>
              </w:rPr>
              <w:t xml:space="preserve">Chen et al., 2019, Gupta et al., 2015) </w:t>
            </w:r>
          </w:p>
        </w:tc>
      </w:tr>
      <w:tr w:rsidR="00C6769D" w:rsidRPr="00A247F0" w14:paraId="3657517A" w14:textId="77777777" w:rsidTr="00C6769D">
        <w:tc>
          <w:tcPr>
            <w:tcW w:w="1134" w:type="dxa"/>
            <w:shd w:val="clear" w:color="auto" w:fill="FFFFFF"/>
          </w:tcPr>
          <w:p w14:paraId="534C2B00" w14:textId="77777777" w:rsidR="00C6769D" w:rsidRDefault="00C6769D" w:rsidP="005612A3">
            <w:pPr>
              <w:pStyle w:val="CETBodytext"/>
              <w:ind w:right="-1"/>
              <w:rPr>
                <w:rFonts w:cs="Arial"/>
                <w:szCs w:val="18"/>
              </w:rPr>
            </w:pPr>
            <w:r>
              <w:rPr>
                <w:rFonts w:cs="Arial"/>
                <w:szCs w:val="18"/>
              </w:rPr>
              <w:t>1595</w:t>
            </w:r>
          </w:p>
        </w:tc>
        <w:tc>
          <w:tcPr>
            <w:tcW w:w="3828" w:type="dxa"/>
            <w:shd w:val="clear" w:color="auto" w:fill="FFFFFF"/>
          </w:tcPr>
          <w:p w14:paraId="2C1A8B33" w14:textId="15265039" w:rsidR="00C6769D" w:rsidRPr="00A03518" w:rsidRDefault="00C6769D" w:rsidP="005612A3">
            <w:pPr>
              <w:pStyle w:val="CETBodytext"/>
              <w:ind w:right="-1"/>
              <w:jc w:val="left"/>
              <w:rPr>
                <w:rFonts w:cs="Arial"/>
                <w:szCs w:val="18"/>
              </w:rPr>
            </w:pPr>
            <w:r w:rsidRPr="001A5703">
              <w:t>C=</w:t>
            </w:r>
            <w:r>
              <w:t>O stretching.</w:t>
            </w:r>
          </w:p>
        </w:tc>
        <w:tc>
          <w:tcPr>
            <w:tcW w:w="425" w:type="dxa"/>
            <w:shd w:val="clear" w:color="auto" w:fill="FFFFFF"/>
          </w:tcPr>
          <w:p w14:paraId="115AE218" w14:textId="77777777" w:rsidR="00C6769D" w:rsidRPr="00947480" w:rsidRDefault="00C6769D" w:rsidP="005612A3">
            <w:pPr>
              <w:pStyle w:val="CETBodytext"/>
              <w:ind w:right="-1"/>
              <w:jc w:val="left"/>
              <w:rPr>
                <w:lang w:val="nb-NO"/>
              </w:rPr>
            </w:pPr>
          </w:p>
        </w:tc>
        <w:tc>
          <w:tcPr>
            <w:tcW w:w="3420" w:type="dxa"/>
            <w:shd w:val="clear" w:color="auto" w:fill="FFFFFF"/>
          </w:tcPr>
          <w:p w14:paraId="66A07FE5" w14:textId="79E05A18" w:rsidR="00C6769D" w:rsidRDefault="00C6769D" w:rsidP="005612A3">
            <w:pPr>
              <w:pStyle w:val="CETBodytext"/>
              <w:ind w:right="-1"/>
              <w:jc w:val="left"/>
            </w:pPr>
            <w:proofErr w:type="spellStart"/>
            <w:r w:rsidRPr="00947480">
              <w:rPr>
                <w:lang w:val="nb-NO"/>
              </w:rPr>
              <w:t>Scholze</w:t>
            </w:r>
            <w:proofErr w:type="spellEnd"/>
            <w:r w:rsidRPr="00947480">
              <w:rPr>
                <w:lang w:val="nb-NO"/>
              </w:rPr>
              <w:t xml:space="preserve"> et al., 2011</w:t>
            </w:r>
          </w:p>
        </w:tc>
      </w:tr>
      <w:tr w:rsidR="00C6769D" w:rsidRPr="000400ED" w14:paraId="71A2AE21" w14:textId="77777777" w:rsidTr="00C6769D">
        <w:tc>
          <w:tcPr>
            <w:tcW w:w="1134" w:type="dxa"/>
            <w:shd w:val="clear" w:color="auto" w:fill="FFFFFF"/>
          </w:tcPr>
          <w:p w14:paraId="4EDD94A1" w14:textId="77777777" w:rsidR="00C6769D" w:rsidRDefault="00C6769D" w:rsidP="005612A3">
            <w:pPr>
              <w:pStyle w:val="CETBodytext"/>
              <w:ind w:right="-1"/>
              <w:rPr>
                <w:rFonts w:cs="Arial"/>
                <w:szCs w:val="18"/>
              </w:rPr>
            </w:pPr>
            <w:r>
              <w:rPr>
                <w:rFonts w:cs="Arial"/>
                <w:szCs w:val="18"/>
              </w:rPr>
              <w:t>1680-1700</w:t>
            </w:r>
          </w:p>
        </w:tc>
        <w:tc>
          <w:tcPr>
            <w:tcW w:w="3828" w:type="dxa"/>
            <w:shd w:val="clear" w:color="auto" w:fill="FFFFFF"/>
          </w:tcPr>
          <w:p w14:paraId="63266B15" w14:textId="317539A2" w:rsidR="00C6769D" w:rsidRPr="00A247F0" w:rsidRDefault="00C6769D" w:rsidP="005612A3">
            <w:pPr>
              <w:pStyle w:val="CETBodytext"/>
              <w:ind w:right="-1"/>
              <w:jc w:val="left"/>
              <w:rPr>
                <w:rFonts w:cs="Arial"/>
                <w:szCs w:val="18"/>
              </w:rPr>
            </w:pPr>
            <w:r w:rsidRPr="00A03518">
              <w:rPr>
                <w:rFonts w:cs="Arial"/>
                <w:szCs w:val="18"/>
              </w:rPr>
              <w:t>C</w:t>
            </w:r>
            <w:r w:rsidRPr="00A73E2D">
              <w:rPr>
                <w:rFonts w:cs="Arial"/>
                <w:szCs w:val="18"/>
              </w:rPr>
              <w:t>=</w:t>
            </w:r>
            <w:r w:rsidRPr="00A03518">
              <w:rPr>
                <w:rFonts w:cs="Arial"/>
                <w:szCs w:val="18"/>
              </w:rPr>
              <w:t>O stretching</w:t>
            </w:r>
            <w:r>
              <w:rPr>
                <w:rFonts w:cs="Arial"/>
                <w:szCs w:val="18"/>
              </w:rPr>
              <w:t xml:space="preserve"> (</w:t>
            </w:r>
            <w:r w:rsidRPr="00977DFF">
              <w:rPr>
                <w:rFonts w:cs="Arial"/>
                <w:szCs w:val="18"/>
              </w:rPr>
              <w:t>unconj</w:t>
            </w:r>
            <w:r>
              <w:rPr>
                <w:rFonts w:cs="Arial"/>
                <w:szCs w:val="18"/>
              </w:rPr>
              <w:t xml:space="preserve">ugated </w:t>
            </w:r>
            <w:r w:rsidRPr="00977DFF">
              <w:rPr>
                <w:rFonts w:cs="Arial"/>
                <w:szCs w:val="18"/>
              </w:rPr>
              <w:t>ketones,</w:t>
            </w:r>
            <w:r>
              <w:rPr>
                <w:rFonts w:cs="Arial"/>
                <w:szCs w:val="18"/>
              </w:rPr>
              <w:t xml:space="preserve"> </w:t>
            </w:r>
            <w:proofErr w:type="gramStart"/>
            <w:r w:rsidRPr="00977DFF">
              <w:rPr>
                <w:rFonts w:cs="Arial"/>
                <w:szCs w:val="18"/>
              </w:rPr>
              <w:t>carbonyl</w:t>
            </w:r>
            <w:proofErr w:type="gramEnd"/>
            <w:r w:rsidRPr="00977DFF">
              <w:rPr>
                <w:rFonts w:cs="Arial"/>
                <w:szCs w:val="18"/>
              </w:rPr>
              <w:t xml:space="preserve"> and</w:t>
            </w:r>
            <w:r>
              <w:rPr>
                <w:rFonts w:cs="Arial"/>
                <w:szCs w:val="18"/>
              </w:rPr>
              <w:t xml:space="preserve"> </w:t>
            </w:r>
            <w:r w:rsidRPr="00977DFF">
              <w:rPr>
                <w:rFonts w:cs="Arial"/>
                <w:szCs w:val="18"/>
              </w:rPr>
              <w:t>ester group</w:t>
            </w:r>
            <w:r>
              <w:rPr>
                <w:rFonts w:cs="Arial"/>
                <w:szCs w:val="18"/>
              </w:rPr>
              <w:t>). A</w:t>
            </w:r>
            <w:r w:rsidRPr="009F0187">
              <w:rPr>
                <w:rFonts w:cs="Arial"/>
                <w:szCs w:val="18"/>
              </w:rPr>
              <w:t>lkenes</w:t>
            </w:r>
            <w:r>
              <w:rPr>
                <w:rFonts w:cs="Arial"/>
                <w:szCs w:val="18"/>
              </w:rPr>
              <w:t>.</w:t>
            </w:r>
          </w:p>
        </w:tc>
        <w:tc>
          <w:tcPr>
            <w:tcW w:w="425" w:type="dxa"/>
            <w:shd w:val="clear" w:color="auto" w:fill="FFFFFF"/>
          </w:tcPr>
          <w:p w14:paraId="53E6EE34" w14:textId="77777777" w:rsidR="00C6769D" w:rsidRPr="00F50D0D" w:rsidRDefault="00C6769D" w:rsidP="005612A3">
            <w:pPr>
              <w:pStyle w:val="CETBodytext"/>
              <w:ind w:right="-1"/>
              <w:jc w:val="left"/>
              <w:rPr>
                <w:lang w:val="nb-NO"/>
              </w:rPr>
            </w:pPr>
          </w:p>
        </w:tc>
        <w:tc>
          <w:tcPr>
            <w:tcW w:w="3420" w:type="dxa"/>
            <w:shd w:val="clear" w:color="auto" w:fill="FFFFFF"/>
          </w:tcPr>
          <w:p w14:paraId="5D4D181B" w14:textId="6AF6A8BB" w:rsidR="00C6769D" w:rsidRPr="00C6769D" w:rsidRDefault="00C6769D" w:rsidP="005612A3">
            <w:pPr>
              <w:pStyle w:val="CETBodytext"/>
              <w:ind w:right="-1"/>
              <w:jc w:val="left"/>
              <w:rPr>
                <w:rFonts w:cs="Arial"/>
                <w:szCs w:val="18"/>
                <w:lang w:val="nb-NO"/>
              </w:rPr>
            </w:pPr>
            <w:r w:rsidRPr="00C6769D">
              <w:rPr>
                <w:lang w:val="nb-NO"/>
              </w:rPr>
              <w:t xml:space="preserve">Hassan et al., 2019, </w:t>
            </w:r>
            <w:proofErr w:type="spellStart"/>
            <w:r w:rsidRPr="00C6769D">
              <w:rPr>
                <w:lang w:val="nb-NO"/>
              </w:rPr>
              <w:t>Scholze</w:t>
            </w:r>
            <w:proofErr w:type="spellEnd"/>
            <w:r w:rsidRPr="00C6769D">
              <w:rPr>
                <w:lang w:val="nb-NO"/>
              </w:rPr>
              <w:t xml:space="preserve"> et al., 2011, Wang et al., 2013</w:t>
            </w:r>
            <w:r>
              <w:rPr>
                <w:lang w:val="nb-NO"/>
              </w:rPr>
              <w:t xml:space="preserve">, </w:t>
            </w:r>
            <w:r w:rsidRPr="00C6769D">
              <w:rPr>
                <w:lang w:val="nb-NO"/>
              </w:rPr>
              <w:t>Yang et al., 2011</w:t>
            </w:r>
            <w:r>
              <w:rPr>
                <w:lang w:val="nb-NO"/>
              </w:rPr>
              <w:t xml:space="preserve"> </w:t>
            </w:r>
          </w:p>
        </w:tc>
      </w:tr>
      <w:tr w:rsidR="00C6769D" w:rsidRPr="00A247F0" w14:paraId="07FBEF83" w14:textId="77777777" w:rsidTr="00C6769D">
        <w:tc>
          <w:tcPr>
            <w:tcW w:w="1134" w:type="dxa"/>
            <w:shd w:val="clear" w:color="auto" w:fill="FFFFFF"/>
          </w:tcPr>
          <w:p w14:paraId="08FF1E87" w14:textId="77777777" w:rsidR="00C6769D" w:rsidRPr="00A247F0" w:rsidRDefault="00C6769D" w:rsidP="005612A3">
            <w:pPr>
              <w:pStyle w:val="CETBodytext"/>
              <w:ind w:right="-1"/>
              <w:rPr>
                <w:rFonts w:cs="Arial"/>
                <w:szCs w:val="18"/>
              </w:rPr>
            </w:pPr>
            <w:r>
              <w:rPr>
                <w:rFonts w:cs="Arial"/>
                <w:szCs w:val="18"/>
              </w:rPr>
              <w:t>2860-2925</w:t>
            </w:r>
          </w:p>
        </w:tc>
        <w:tc>
          <w:tcPr>
            <w:tcW w:w="3828" w:type="dxa"/>
            <w:shd w:val="clear" w:color="auto" w:fill="FFFFFF"/>
          </w:tcPr>
          <w:p w14:paraId="3E42E24E" w14:textId="13B3EE12" w:rsidR="00C6769D" w:rsidRPr="00A247F0" w:rsidRDefault="00C6769D" w:rsidP="005612A3">
            <w:pPr>
              <w:pStyle w:val="CETBodytext"/>
              <w:ind w:right="-1"/>
              <w:jc w:val="left"/>
              <w:rPr>
                <w:rFonts w:cs="Arial"/>
                <w:szCs w:val="18"/>
              </w:rPr>
            </w:pPr>
            <w:r w:rsidRPr="003C1A5E">
              <w:rPr>
                <w:rFonts w:cs="Arial"/>
                <w:szCs w:val="18"/>
              </w:rPr>
              <w:t>C–H stretching</w:t>
            </w:r>
            <w:r>
              <w:rPr>
                <w:rFonts w:cs="Arial"/>
                <w:szCs w:val="18"/>
              </w:rPr>
              <w:t>.</w:t>
            </w:r>
          </w:p>
        </w:tc>
        <w:tc>
          <w:tcPr>
            <w:tcW w:w="425" w:type="dxa"/>
            <w:shd w:val="clear" w:color="auto" w:fill="FFFFFF"/>
          </w:tcPr>
          <w:p w14:paraId="26F0AC32" w14:textId="77777777" w:rsidR="00C6769D" w:rsidRPr="00F50D0D" w:rsidDel="00366D6B" w:rsidRDefault="00C6769D" w:rsidP="005612A3">
            <w:pPr>
              <w:pStyle w:val="CETBodytext"/>
              <w:ind w:right="-1"/>
              <w:jc w:val="left"/>
              <w:rPr>
                <w:rFonts w:cs="Arial"/>
                <w:szCs w:val="18"/>
              </w:rPr>
            </w:pPr>
          </w:p>
        </w:tc>
        <w:tc>
          <w:tcPr>
            <w:tcW w:w="3420" w:type="dxa"/>
            <w:shd w:val="clear" w:color="auto" w:fill="FFFFFF"/>
          </w:tcPr>
          <w:p w14:paraId="7A0AB62E" w14:textId="78C0DDCF" w:rsidR="00C6769D" w:rsidRPr="00A247F0" w:rsidRDefault="00C6769D" w:rsidP="005612A3">
            <w:pPr>
              <w:pStyle w:val="CETBodytext"/>
              <w:ind w:right="-1"/>
              <w:jc w:val="left"/>
              <w:rPr>
                <w:rFonts w:cs="Arial"/>
                <w:szCs w:val="18"/>
              </w:rPr>
            </w:pPr>
            <w:r>
              <w:t>Yang</w:t>
            </w:r>
            <w:r w:rsidRPr="00AE3E98">
              <w:t xml:space="preserve"> et al., 201</w:t>
            </w:r>
            <w:r>
              <w:t>1</w:t>
            </w:r>
          </w:p>
        </w:tc>
      </w:tr>
      <w:tr w:rsidR="00C6769D" w:rsidRPr="00A247F0" w14:paraId="7964CEDE" w14:textId="77777777" w:rsidTr="00C6769D">
        <w:tc>
          <w:tcPr>
            <w:tcW w:w="1134" w:type="dxa"/>
            <w:shd w:val="clear" w:color="auto" w:fill="FFFFFF"/>
          </w:tcPr>
          <w:p w14:paraId="67201E2C" w14:textId="77777777" w:rsidR="00C6769D" w:rsidRPr="007E4FA3" w:rsidRDefault="00C6769D" w:rsidP="005612A3">
            <w:pPr>
              <w:pStyle w:val="CETBodytext"/>
              <w:ind w:right="-1"/>
              <w:rPr>
                <w:rFonts w:cs="Arial"/>
                <w:szCs w:val="18"/>
              </w:rPr>
            </w:pPr>
            <w:r w:rsidRPr="0091761F">
              <w:rPr>
                <w:rFonts w:cs="Arial"/>
                <w:szCs w:val="18"/>
              </w:rPr>
              <w:t>3</w:t>
            </w:r>
            <w:r>
              <w:rPr>
                <w:rFonts w:cs="Arial"/>
                <w:szCs w:val="18"/>
              </w:rPr>
              <w:t>350</w:t>
            </w:r>
          </w:p>
        </w:tc>
        <w:tc>
          <w:tcPr>
            <w:tcW w:w="3828" w:type="dxa"/>
            <w:shd w:val="clear" w:color="auto" w:fill="FFFFFF"/>
          </w:tcPr>
          <w:p w14:paraId="563276EB" w14:textId="1A0A5406" w:rsidR="00C6769D" w:rsidRPr="00A247F0" w:rsidRDefault="00C6769D" w:rsidP="005612A3">
            <w:pPr>
              <w:pStyle w:val="CETBodytext"/>
              <w:ind w:right="-1"/>
              <w:jc w:val="left"/>
              <w:rPr>
                <w:rFonts w:cs="Arial"/>
                <w:szCs w:val="18"/>
              </w:rPr>
            </w:pPr>
            <w:r w:rsidRPr="00A232C8">
              <w:rPr>
                <w:rFonts w:cs="Arial"/>
                <w:szCs w:val="18"/>
              </w:rPr>
              <w:t>O–H stretching</w:t>
            </w:r>
            <w:r>
              <w:rPr>
                <w:rFonts w:cs="Arial"/>
                <w:szCs w:val="18"/>
              </w:rPr>
              <w:t xml:space="preserve"> (</w:t>
            </w:r>
            <w:r w:rsidRPr="00C6769D">
              <w:t>alcohols, phenols, and water</w:t>
            </w:r>
            <w:r>
              <w:rPr>
                <w:rFonts w:cs="Arial"/>
                <w:szCs w:val="18"/>
              </w:rPr>
              <w:t>).</w:t>
            </w:r>
          </w:p>
        </w:tc>
        <w:tc>
          <w:tcPr>
            <w:tcW w:w="425" w:type="dxa"/>
            <w:shd w:val="clear" w:color="auto" w:fill="FFFFFF"/>
          </w:tcPr>
          <w:p w14:paraId="6908F5A7" w14:textId="77777777" w:rsidR="00C6769D" w:rsidRDefault="00C6769D" w:rsidP="005612A3">
            <w:pPr>
              <w:pStyle w:val="CETBodytext"/>
              <w:ind w:right="-1"/>
              <w:jc w:val="left"/>
            </w:pPr>
          </w:p>
        </w:tc>
        <w:tc>
          <w:tcPr>
            <w:tcW w:w="3420" w:type="dxa"/>
            <w:shd w:val="clear" w:color="auto" w:fill="FFFFFF"/>
          </w:tcPr>
          <w:p w14:paraId="17C4F12B" w14:textId="19462D8B" w:rsidR="00C6769D" w:rsidRPr="00A247F0" w:rsidRDefault="00C6769D" w:rsidP="005612A3">
            <w:pPr>
              <w:pStyle w:val="CETBodytext"/>
              <w:ind w:right="-1"/>
              <w:jc w:val="left"/>
              <w:rPr>
                <w:rFonts w:cs="Arial"/>
                <w:szCs w:val="18"/>
              </w:rPr>
            </w:pPr>
            <w:r>
              <w:t>Hassan</w:t>
            </w:r>
            <w:r w:rsidRPr="004A6DEC">
              <w:t xml:space="preserve"> et al., 2019</w:t>
            </w:r>
          </w:p>
        </w:tc>
      </w:tr>
    </w:tbl>
    <w:p w14:paraId="08ACAF23" w14:textId="77777777" w:rsidR="00AE5E70" w:rsidRDefault="00AE5E70" w:rsidP="00A32D28">
      <w:pPr>
        <w:pStyle w:val="CETBodytext"/>
      </w:pPr>
    </w:p>
    <w:p w14:paraId="1AB44931" w14:textId="751A02F9" w:rsidR="00AE5E70" w:rsidRDefault="00AE5E70" w:rsidP="00A32D28">
      <w:pPr>
        <w:pStyle w:val="CETBodytext"/>
      </w:pPr>
      <w:r>
        <w:t xml:space="preserve">Two minor differences in the </w:t>
      </w:r>
      <w:r w:rsidR="002066BC">
        <w:t xml:space="preserve">FTIR </w:t>
      </w:r>
      <w:r>
        <w:t>spectra were observed, namely the bands at the wavenumber range of 1080 – 1090 cm</w:t>
      </w:r>
      <w:r w:rsidRPr="00DD13D2">
        <w:rPr>
          <w:vertAlign w:val="superscript"/>
        </w:rPr>
        <w:t>-1</w:t>
      </w:r>
      <w:r>
        <w:t xml:space="preserve"> and 1495 – 1510 cm</w:t>
      </w:r>
      <w:r w:rsidRPr="00DD13D2">
        <w:rPr>
          <w:vertAlign w:val="superscript"/>
        </w:rPr>
        <w:t>-1</w:t>
      </w:r>
      <w:r>
        <w:t xml:space="preserve">, as marked in yellow in Figure 2a. The former could be assigned to the </w:t>
      </w:r>
      <w:r w:rsidRPr="00984F05">
        <w:t xml:space="preserve">C–O stretching in acids, esters, ethers, </w:t>
      </w:r>
      <w:proofErr w:type="gramStart"/>
      <w:r w:rsidRPr="00984F05">
        <w:t>phenols</w:t>
      </w:r>
      <w:proofErr w:type="gramEnd"/>
      <w:r w:rsidRPr="00984F05">
        <w:t xml:space="preserve"> and</w:t>
      </w:r>
      <w:r>
        <w:t xml:space="preserve"> primary</w:t>
      </w:r>
      <w:r w:rsidRPr="00984F05">
        <w:t xml:space="preserve"> alcohols</w:t>
      </w:r>
      <w:r>
        <w:t xml:space="preserve"> </w:t>
      </w:r>
      <w:r w:rsidRPr="00AE3E98">
        <w:t>(</w:t>
      </w:r>
      <w:r>
        <w:t>Kline</w:t>
      </w:r>
      <w:r w:rsidRPr="00AE3E98">
        <w:t xml:space="preserve"> et al., 2013</w:t>
      </w:r>
      <w:r>
        <w:t>, Yang</w:t>
      </w:r>
      <w:r w:rsidRPr="00AE3E98">
        <w:t xml:space="preserve"> et al., 201</w:t>
      </w:r>
      <w:r>
        <w:t>1, Wang</w:t>
      </w:r>
      <w:r w:rsidRPr="00AE3E98">
        <w:t xml:space="preserve"> et al., 201</w:t>
      </w:r>
      <w:r>
        <w:t xml:space="preserve">3, </w:t>
      </w:r>
      <w:proofErr w:type="spellStart"/>
      <w:r w:rsidRPr="0049533E">
        <w:t>Scholze</w:t>
      </w:r>
      <w:proofErr w:type="spellEnd"/>
      <w:r w:rsidRPr="00AE3E98">
        <w:t xml:space="preserve"> et al., 201</w:t>
      </w:r>
      <w:r>
        <w:t>1</w:t>
      </w:r>
      <w:r w:rsidRPr="00AE3E98">
        <w:t>).</w:t>
      </w:r>
      <w:r w:rsidDel="00B841ED">
        <w:t xml:space="preserve"> </w:t>
      </w:r>
      <w:r>
        <w:t xml:space="preserve">This band appears in the spectra of samples synthesized at 400 </w:t>
      </w:r>
      <w:r>
        <w:rPr>
          <w:rFonts w:cs="Arial"/>
        </w:rPr>
        <w:t>°</w:t>
      </w:r>
      <w:r>
        <w:t xml:space="preserve">C (SC400, S10%, S20%, PC400, P10% and P20%) and was nearly absent in the spectra of samples synthesized at 350 </w:t>
      </w:r>
      <w:r>
        <w:rPr>
          <w:rFonts w:cs="Arial"/>
        </w:rPr>
        <w:t>°</w:t>
      </w:r>
      <w:r>
        <w:t>C (SC350 and PC350). The latter band, at 1495 – 1510 cm</w:t>
      </w:r>
      <w:r w:rsidRPr="00DD13D2">
        <w:rPr>
          <w:vertAlign w:val="superscript"/>
        </w:rPr>
        <w:t>-1</w:t>
      </w:r>
      <w:r>
        <w:t xml:space="preserve">, could be attributed to </w:t>
      </w:r>
      <w:r w:rsidRPr="008A33F4">
        <w:t xml:space="preserve">C=C ring </w:t>
      </w:r>
      <w:r>
        <w:t>vibrations (Chen</w:t>
      </w:r>
      <w:r w:rsidRPr="00AE3E98">
        <w:t xml:space="preserve"> et al., 201</w:t>
      </w:r>
      <w:r>
        <w:t xml:space="preserve">9, Gupta) and was seen to be more </w:t>
      </w:r>
      <w:r w:rsidRPr="00472384">
        <w:t>prominent</w:t>
      </w:r>
      <w:r>
        <w:t xml:space="preserve"> in the spectra of SC350 and PC350 than in the </w:t>
      </w:r>
      <w:r w:rsidRPr="0091100D">
        <w:t xml:space="preserve">spectra </w:t>
      </w:r>
      <w:r w:rsidRPr="0091100D">
        <w:lastRenderedPageBreak/>
        <w:t>of the remaining samples. Thus, these results indicate that the</w:t>
      </w:r>
      <w:r>
        <w:t xml:space="preserve"> higher synthesis temperature samples contained more </w:t>
      </w:r>
      <w:r w:rsidRPr="0091100D">
        <w:t>C–O groups, whil</w:t>
      </w:r>
      <w:r>
        <w:t>e</w:t>
      </w:r>
      <w:r w:rsidRPr="0091100D">
        <w:t xml:space="preserve"> the lower synthesis temperature samples contain</w:t>
      </w:r>
      <w:r>
        <w:t>ed</w:t>
      </w:r>
      <w:r w:rsidRPr="0091100D">
        <w:t xml:space="preserve"> more aromatic compounds.</w:t>
      </w:r>
    </w:p>
    <w:p w14:paraId="186F162D" w14:textId="3742DA0F" w:rsidR="00A32D28" w:rsidRDefault="00A32D28" w:rsidP="00A32D28">
      <w:pPr>
        <w:pStyle w:val="CETBodytext"/>
      </w:pPr>
      <w:r>
        <w:t xml:space="preserve">The simulated distillation reveals that most of the weight of the biocrudes </w:t>
      </w:r>
      <w:r w:rsidR="0069480C">
        <w:t>is</w:t>
      </w:r>
      <w:r>
        <w:t xml:space="preserve"> attributed to the range of gas oil components. The spruce sample produced at 350 </w:t>
      </w:r>
      <w:r w:rsidRPr="00A247F0">
        <w:t>°C</w:t>
      </w:r>
      <w:r>
        <w:t xml:space="preserve"> has a significantly higher percentage of light components and a lower percentage of the gas oil components than the rest of the samples analyzed. It is expected that the error range of the lightest mass range (&lt;180 </w:t>
      </w:r>
      <w:r w:rsidRPr="00A247F0">
        <w:t>°C</w:t>
      </w:r>
      <w:r>
        <w:t>) is quite high, as it includes not only the analysis errors but also any residual solvents present in the samples. Therefore, it is not advisable to draw any conclusions based on this mass range.</w:t>
      </w:r>
      <w:r w:rsidRPr="009E6FCD">
        <w:t xml:space="preserve"> </w:t>
      </w:r>
      <w:r>
        <w:t>The components in the oil residual mass are defined as carbon residue</w:t>
      </w:r>
      <w:r w:rsidR="00E13B82">
        <w:t>,</w:t>
      </w:r>
      <w:r>
        <w:t xml:space="preserve"> or Conradson Carbon Residue</w:t>
      </w:r>
      <w:r w:rsidR="00E13B82">
        <w:t>,</w:t>
      </w:r>
      <w:r>
        <w:t xml:space="preserve"> and are considered responsible for catalyst coking in refinery processes. Therefore, this mass fraction is considered an important quality marker of the crude bio-oils. Based on the analysis, it can be confirmed that the oil produced at supercritical conditions (400 </w:t>
      </w:r>
      <w:r w:rsidRPr="00A247F0">
        <w:t>°C</w:t>
      </w:r>
      <w:r>
        <w:t xml:space="preserve">) are of higher quality (including samples containing bark) than the biocrude produced at subcritical condition (350 </w:t>
      </w:r>
      <w:r w:rsidRPr="00A247F0">
        <w:t>°C</w:t>
      </w:r>
      <w:r>
        <w:t>) with respect to further upgrading into liquid fuels.</w:t>
      </w:r>
      <w:r w:rsidR="00BC4333">
        <w:t xml:space="preserve"> </w:t>
      </w:r>
      <w:r w:rsidR="00E13B82">
        <w:t>Additionally</w:t>
      </w:r>
      <w:r>
        <w:t xml:space="preserve">, the increased bark content in the feedstock up to 20 </w:t>
      </w:r>
      <w:proofErr w:type="spellStart"/>
      <w:r>
        <w:t>wt</w:t>
      </w:r>
      <w:proofErr w:type="spellEnd"/>
      <w:r>
        <w:t xml:space="preserve">% did not </w:t>
      </w:r>
      <w:r w:rsidR="00E13B82">
        <w:t xml:space="preserve">significantly </w:t>
      </w:r>
      <w:r>
        <w:t xml:space="preserve">alter the biocrude quality. </w:t>
      </w:r>
    </w:p>
    <w:p w14:paraId="764F31F6" w14:textId="69E2B404" w:rsidR="000F060C" w:rsidRDefault="000F060C" w:rsidP="000F060C">
      <w:pPr>
        <w:pStyle w:val="CETheadingx"/>
      </w:pPr>
      <w:r>
        <w:t>Aqueous phase</w:t>
      </w:r>
    </w:p>
    <w:p w14:paraId="58172C2A" w14:textId="0AC2F00E" w:rsidR="000F060C" w:rsidRDefault="000F060C" w:rsidP="000F060C">
      <w:pPr>
        <w:rPr>
          <w:lang w:val="en-US"/>
        </w:rPr>
      </w:pPr>
      <w:r w:rsidRPr="00D74861">
        <w:rPr>
          <w:lang w:val="en-US"/>
        </w:rPr>
        <w:t xml:space="preserve">Figure </w:t>
      </w:r>
      <w:r w:rsidR="004638F4">
        <w:rPr>
          <w:lang w:val="en-US"/>
        </w:rPr>
        <w:t>3</w:t>
      </w:r>
      <w:r w:rsidRPr="00D74861">
        <w:rPr>
          <w:lang w:val="en-US"/>
        </w:rPr>
        <w:t xml:space="preserve"> shows</w:t>
      </w:r>
      <w:r w:rsidR="00E13B82">
        <w:rPr>
          <w:lang w:val="en-US"/>
        </w:rPr>
        <w:t xml:space="preserve"> both</w:t>
      </w:r>
      <w:r w:rsidRPr="00D74861">
        <w:rPr>
          <w:lang w:val="en-US"/>
        </w:rPr>
        <w:t xml:space="preserve"> the </w:t>
      </w:r>
      <w:r w:rsidR="00E13B82">
        <w:rPr>
          <w:lang w:val="en-US"/>
        </w:rPr>
        <w:t xml:space="preserve">measured </w:t>
      </w:r>
      <w:r w:rsidRPr="00D74861">
        <w:rPr>
          <w:lang w:val="en-US"/>
        </w:rPr>
        <w:t>total organic carbon (TOC)</w:t>
      </w:r>
      <w:r w:rsidR="00E13B82">
        <w:rPr>
          <w:lang w:val="en-US"/>
        </w:rPr>
        <w:t xml:space="preserve"> and an example of the visual differences</w:t>
      </w:r>
      <w:r w:rsidRPr="00D74861">
        <w:rPr>
          <w:lang w:val="en-US"/>
        </w:rPr>
        <w:t xml:space="preserve"> in the aqueous phase.</w:t>
      </w:r>
      <w:r w:rsidR="00312613">
        <w:rPr>
          <w:lang w:val="en-US"/>
        </w:rPr>
        <w:t xml:space="preserve"> The visual differences displayed in Figure 3.b was similarly observed for all samples at 350</w:t>
      </w:r>
      <w:r w:rsidRPr="00D74861">
        <w:rPr>
          <w:lang w:val="en-US"/>
        </w:rPr>
        <w:t xml:space="preserve"> </w:t>
      </w:r>
      <w:r w:rsidR="00312613" w:rsidRPr="00D74861">
        <w:rPr>
          <w:lang w:val="en-US"/>
        </w:rPr>
        <w:t>°C</w:t>
      </w:r>
      <w:r w:rsidR="00312613">
        <w:rPr>
          <w:lang w:val="en-US"/>
        </w:rPr>
        <w:t xml:space="preserve"> compared to 400 </w:t>
      </w:r>
      <w:r w:rsidR="00312613" w:rsidRPr="00D74861">
        <w:rPr>
          <w:lang w:val="en-US"/>
        </w:rPr>
        <w:t>°C</w:t>
      </w:r>
      <w:r w:rsidR="00312613">
        <w:rPr>
          <w:lang w:val="en-US"/>
        </w:rPr>
        <w:t xml:space="preserve">. </w:t>
      </w:r>
      <w:r w:rsidR="00E13B82">
        <w:rPr>
          <w:lang w:val="en-US"/>
        </w:rPr>
        <w:t>Both</w:t>
      </w:r>
      <w:r w:rsidR="00312613">
        <w:rPr>
          <w:lang w:val="en-US"/>
        </w:rPr>
        <w:t xml:space="preserve"> the measurements and visual observations</w:t>
      </w:r>
      <w:r w:rsidRPr="00D74861">
        <w:rPr>
          <w:lang w:val="en-US"/>
        </w:rPr>
        <w:t xml:space="preserve"> </w:t>
      </w:r>
      <w:proofErr w:type="gramStart"/>
      <w:r w:rsidRPr="00D74861">
        <w:rPr>
          <w:lang w:val="en-US"/>
        </w:rPr>
        <w:t>indicate</w:t>
      </w:r>
      <w:r w:rsidR="00E13B82">
        <w:rPr>
          <w:lang w:val="en-US"/>
        </w:rPr>
        <w:t>d</w:t>
      </w:r>
      <w:r w:rsidRPr="00D74861">
        <w:rPr>
          <w:lang w:val="en-US"/>
        </w:rPr>
        <w:t>,</w:t>
      </w:r>
      <w:proofErr w:type="gramEnd"/>
      <w:r w:rsidRPr="00D74861">
        <w:rPr>
          <w:lang w:val="en-US"/>
        </w:rPr>
        <w:t xml:space="preserve"> the TOC </w:t>
      </w:r>
      <w:r w:rsidR="00312613">
        <w:rPr>
          <w:lang w:val="en-US"/>
        </w:rPr>
        <w:t>was</w:t>
      </w:r>
      <w:r w:rsidRPr="00D74861">
        <w:rPr>
          <w:lang w:val="en-US"/>
        </w:rPr>
        <w:t xml:space="preserve"> dependent on the </w:t>
      </w:r>
      <w:r w:rsidR="00943179">
        <w:rPr>
          <w:lang w:val="en-US"/>
        </w:rPr>
        <w:t xml:space="preserve">process </w:t>
      </w:r>
      <w:r w:rsidRPr="00D74861">
        <w:rPr>
          <w:lang w:val="en-US"/>
        </w:rPr>
        <w:t xml:space="preserve">temperature. </w:t>
      </w:r>
      <w:r w:rsidR="00312613">
        <w:rPr>
          <w:lang w:val="en-US"/>
        </w:rPr>
        <w:t>Specifically, s</w:t>
      </w:r>
      <w:r w:rsidR="00A81F20">
        <w:rPr>
          <w:lang w:val="en-US"/>
        </w:rPr>
        <w:t xml:space="preserve">amples produced at 350 </w:t>
      </w:r>
      <w:r w:rsidR="00A81F20" w:rsidRPr="00D74861">
        <w:rPr>
          <w:lang w:val="en-US"/>
        </w:rPr>
        <w:t>°C</w:t>
      </w:r>
      <w:r w:rsidR="00A81F20">
        <w:rPr>
          <w:lang w:val="en-US"/>
        </w:rPr>
        <w:t xml:space="preserve"> have </w:t>
      </w:r>
      <w:r w:rsidR="006D342D">
        <w:rPr>
          <w:lang w:val="en-US"/>
        </w:rPr>
        <w:t xml:space="preserve">twice as high TOC compared to the samples produced at 400 </w:t>
      </w:r>
      <w:r w:rsidR="006D342D" w:rsidRPr="00D74861">
        <w:rPr>
          <w:lang w:val="en-US"/>
        </w:rPr>
        <w:t>°C</w:t>
      </w:r>
      <w:r w:rsidR="006D342D">
        <w:rPr>
          <w:lang w:val="en-US"/>
        </w:rPr>
        <w:t xml:space="preserve">. This can be explained by </w:t>
      </w:r>
      <w:r w:rsidR="008314E0">
        <w:rPr>
          <w:lang w:val="en-US"/>
        </w:rPr>
        <w:t xml:space="preserve">conversion of </w:t>
      </w:r>
      <w:r w:rsidR="006D342D">
        <w:rPr>
          <w:lang w:val="en-US"/>
        </w:rPr>
        <w:t>the</w:t>
      </w:r>
      <w:r w:rsidR="008314E0">
        <w:rPr>
          <w:lang w:val="en-US"/>
        </w:rPr>
        <w:t xml:space="preserve"> water-soluble</w:t>
      </w:r>
      <w:r w:rsidR="006D342D">
        <w:rPr>
          <w:lang w:val="en-US"/>
        </w:rPr>
        <w:t xml:space="preserve"> organic </w:t>
      </w:r>
      <w:r w:rsidR="003D459D">
        <w:rPr>
          <w:lang w:val="en-US"/>
        </w:rPr>
        <w:t>component</w:t>
      </w:r>
      <w:r w:rsidR="008314E0">
        <w:rPr>
          <w:lang w:val="en-US"/>
        </w:rPr>
        <w:t>s</w:t>
      </w:r>
      <w:r w:rsidR="003D459D">
        <w:rPr>
          <w:lang w:val="en-US"/>
        </w:rPr>
        <w:t xml:space="preserve"> to</w:t>
      </w:r>
      <w:r w:rsidR="00CA2558">
        <w:rPr>
          <w:lang w:val="en-US"/>
        </w:rPr>
        <w:t xml:space="preserve"> gas phase or, in some cases, to</w:t>
      </w:r>
      <w:r w:rsidR="003D459D">
        <w:rPr>
          <w:lang w:val="en-US"/>
        </w:rPr>
        <w:t xml:space="preserve"> biocrude.</w:t>
      </w:r>
      <w:r w:rsidR="00A81F20">
        <w:rPr>
          <w:lang w:val="en-US"/>
        </w:rPr>
        <w:t xml:space="preserve"> </w:t>
      </w:r>
      <w:r w:rsidRPr="00D74861">
        <w:rPr>
          <w:lang w:val="en-US"/>
        </w:rPr>
        <w:t xml:space="preserve">The feedstock and the bark content </w:t>
      </w:r>
      <w:r w:rsidR="00312613">
        <w:rPr>
          <w:lang w:val="en-US"/>
        </w:rPr>
        <w:t>did</w:t>
      </w:r>
      <w:r w:rsidR="00312613" w:rsidRPr="00D74861">
        <w:rPr>
          <w:lang w:val="en-US"/>
        </w:rPr>
        <w:t xml:space="preserve"> </w:t>
      </w:r>
      <w:r w:rsidRPr="00D74861">
        <w:rPr>
          <w:lang w:val="en-US"/>
        </w:rPr>
        <w:t xml:space="preserve">not seem to influence the TOC at 400 °C, </w:t>
      </w:r>
      <w:r w:rsidR="00807B16">
        <w:rPr>
          <w:lang w:val="en-US"/>
        </w:rPr>
        <w:t xml:space="preserve">and </w:t>
      </w:r>
      <w:r w:rsidRPr="00D74861">
        <w:rPr>
          <w:lang w:val="en-US"/>
        </w:rPr>
        <w:t xml:space="preserve">the variations </w:t>
      </w:r>
      <w:r w:rsidR="00312613">
        <w:rPr>
          <w:lang w:val="en-US"/>
        </w:rPr>
        <w:t>were</w:t>
      </w:r>
      <w:r w:rsidR="00254E72">
        <w:rPr>
          <w:lang w:val="en-US"/>
        </w:rPr>
        <w:t xml:space="preserve"> </w:t>
      </w:r>
      <w:r w:rsidRPr="00D74861">
        <w:rPr>
          <w:lang w:val="en-US"/>
        </w:rPr>
        <w:t>within repeatability ranges. At 350 °C the TOC appear</w:t>
      </w:r>
      <w:r w:rsidR="00312613">
        <w:rPr>
          <w:lang w:val="en-US"/>
        </w:rPr>
        <w:t>ed</w:t>
      </w:r>
      <w:r w:rsidRPr="00D74861">
        <w:rPr>
          <w:lang w:val="en-US"/>
        </w:rPr>
        <w:t xml:space="preserve"> to be higher for spruce than</w:t>
      </w:r>
      <w:r w:rsidR="00807B16">
        <w:rPr>
          <w:lang w:val="en-US"/>
        </w:rPr>
        <w:t xml:space="preserve"> for</w:t>
      </w:r>
      <w:r w:rsidRPr="00D74861">
        <w:rPr>
          <w:lang w:val="en-US"/>
        </w:rPr>
        <w:t xml:space="preserve"> </w:t>
      </w:r>
      <w:r>
        <w:rPr>
          <w:lang w:val="en-US"/>
        </w:rPr>
        <w:t>pine</w:t>
      </w:r>
      <w:r w:rsidRPr="00D74861">
        <w:rPr>
          <w:lang w:val="en-US"/>
        </w:rPr>
        <w:t>.</w:t>
      </w:r>
    </w:p>
    <w:p w14:paraId="209F5D04" w14:textId="5AB7470E" w:rsidR="000F060C" w:rsidRDefault="000F060C" w:rsidP="00BB202E">
      <w:pPr>
        <w:rPr>
          <w:lang w:val="en-US"/>
        </w:rPr>
      </w:pPr>
    </w:p>
    <w:p w14:paraId="57F92C2C" w14:textId="6D9DD572" w:rsidR="009604DB" w:rsidRDefault="00083DDA" w:rsidP="00746BCA">
      <w:pPr>
        <w:jc w:val="center"/>
        <w:rPr>
          <w:lang w:val="en-US"/>
        </w:rPr>
      </w:pPr>
      <w:r>
        <w:rPr>
          <w:noProof/>
          <w:lang w:val="en-US"/>
        </w:rPr>
        <w:drawing>
          <wp:inline distT="0" distB="0" distL="0" distR="0" wp14:anchorId="5B1258A5" wp14:editId="5EB19504">
            <wp:extent cx="5191125" cy="1870851"/>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6"/>
                    <a:stretch>
                      <a:fillRect/>
                    </a:stretch>
                  </pic:blipFill>
                  <pic:spPr>
                    <a:xfrm>
                      <a:off x="0" y="0"/>
                      <a:ext cx="5198631" cy="1873556"/>
                    </a:xfrm>
                    <a:prstGeom prst="rect">
                      <a:avLst/>
                    </a:prstGeom>
                  </pic:spPr>
                </pic:pic>
              </a:graphicData>
            </a:graphic>
          </wp:inline>
        </w:drawing>
      </w:r>
    </w:p>
    <w:p w14:paraId="574D3D01" w14:textId="2E519757" w:rsidR="002F42E6" w:rsidRPr="00A247F0" w:rsidRDefault="002F42E6" w:rsidP="00BB202E">
      <w:pPr>
        <w:rPr>
          <w:lang w:val="en-US"/>
        </w:rPr>
      </w:pPr>
      <w:r w:rsidRPr="00A247F0">
        <w:rPr>
          <w:rStyle w:val="CETCaptionCarattere"/>
          <w:lang w:val="en-US"/>
        </w:rPr>
        <w:t xml:space="preserve">Figure </w:t>
      </w:r>
      <w:r w:rsidR="004638F4">
        <w:rPr>
          <w:rStyle w:val="CETCaptionCarattere"/>
          <w:lang w:val="en-US"/>
        </w:rPr>
        <w:t>3</w:t>
      </w:r>
      <w:r w:rsidRPr="00A247F0">
        <w:rPr>
          <w:rStyle w:val="CETCaptionCarattere"/>
          <w:lang w:val="en-US"/>
        </w:rPr>
        <w:t xml:space="preserve">: </w:t>
      </w:r>
      <w:r w:rsidR="00862FCE">
        <w:rPr>
          <w:rStyle w:val="CETCaptionCarattere"/>
          <w:lang w:val="en-US"/>
        </w:rPr>
        <w:t xml:space="preserve">a) </w:t>
      </w:r>
      <w:r w:rsidR="00E60E23" w:rsidRPr="00E60E23">
        <w:rPr>
          <w:rStyle w:val="CETCaptionCarattere"/>
          <w:lang w:val="en-US"/>
        </w:rPr>
        <w:t>TOC analysis of the aqueous phase</w:t>
      </w:r>
      <w:r w:rsidR="00862FCE">
        <w:rPr>
          <w:rStyle w:val="CETCaptionCarattere"/>
          <w:lang w:val="en-US"/>
        </w:rPr>
        <w:t>; b)</w:t>
      </w:r>
      <w:r w:rsidR="00E60E23" w:rsidRPr="00E60E23">
        <w:rPr>
          <w:rStyle w:val="CETCaptionCarattere"/>
          <w:lang w:val="en-US"/>
        </w:rPr>
        <w:t xml:space="preserve"> aqueous phases obtained at 350 and 400 °C</w:t>
      </w:r>
    </w:p>
    <w:p w14:paraId="58544A6E" w14:textId="54B22735" w:rsidR="003E428C" w:rsidRDefault="00CA2558" w:rsidP="00A66274">
      <w:pPr>
        <w:pStyle w:val="CETHeading1"/>
      </w:pPr>
      <w:r>
        <w:t>Conclusions</w:t>
      </w:r>
    </w:p>
    <w:p w14:paraId="5F394727" w14:textId="135314A4" w:rsidR="003E428C" w:rsidRDefault="00EE09AC" w:rsidP="00600535">
      <w:pPr>
        <w:pStyle w:val="CETBodytext"/>
      </w:pPr>
      <w:r>
        <w:t xml:space="preserve">The effect of </w:t>
      </w:r>
      <w:r w:rsidR="0069480C">
        <w:t xml:space="preserve">reaction temperature, </w:t>
      </w:r>
      <w:r>
        <w:t xml:space="preserve">biomass type, and bark </w:t>
      </w:r>
      <w:r w:rsidR="00DC12EF">
        <w:t xml:space="preserve">content </w:t>
      </w:r>
      <w:r>
        <w:t xml:space="preserve">was studied in this </w:t>
      </w:r>
      <w:r w:rsidR="008B614C">
        <w:t>work</w:t>
      </w:r>
      <w:r w:rsidR="00807B16">
        <w:t xml:space="preserve"> </w:t>
      </w:r>
      <w:r w:rsidR="008B614C">
        <w:t>in</w:t>
      </w:r>
      <w:r>
        <w:t xml:space="preserve"> HTL </w:t>
      </w:r>
      <w:r w:rsidR="0069480C">
        <w:t>under</w:t>
      </w:r>
      <w:r>
        <w:t xml:space="preserve"> batch conditions. </w:t>
      </w:r>
      <w:r w:rsidR="00307DBC">
        <w:t>It can be concluded that the</w:t>
      </w:r>
      <w:r w:rsidR="000357D9">
        <w:t xml:space="preserve"> tempera</w:t>
      </w:r>
      <w:r w:rsidR="005E6935">
        <w:t xml:space="preserve">ture had </w:t>
      </w:r>
      <w:r w:rsidR="001171B7">
        <w:t>a</w:t>
      </w:r>
      <w:r w:rsidR="00307DBC">
        <w:t xml:space="preserve"> major effect</w:t>
      </w:r>
      <w:r w:rsidR="005E6935">
        <w:t xml:space="preserve"> </w:t>
      </w:r>
      <w:r w:rsidR="00BE1AD7">
        <w:t>on</w:t>
      </w:r>
      <w:r w:rsidR="001670B1">
        <w:t xml:space="preserve"> the </w:t>
      </w:r>
      <w:r w:rsidR="00E50E8D">
        <w:t xml:space="preserve">product </w:t>
      </w:r>
      <w:r w:rsidR="001670B1">
        <w:t>yield</w:t>
      </w:r>
      <w:r w:rsidR="007B26FB">
        <w:t>s</w:t>
      </w:r>
      <w:r w:rsidR="00090286">
        <w:t>, with</w:t>
      </w:r>
      <w:r w:rsidR="003C3AA3">
        <w:t xml:space="preserve"> </w:t>
      </w:r>
      <w:r w:rsidR="00291600">
        <w:t xml:space="preserve">a </w:t>
      </w:r>
      <w:r w:rsidR="003C3AA3">
        <w:t>significant difference between</w:t>
      </w:r>
      <w:r w:rsidR="00291600">
        <w:t xml:space="preserve"> the</w:t>
      </w:r>
      <w:r w:rsidR="00D87B5A">
        <w:t xml:space="preserve"> samples produced at subcritical </w:t>
      </w:r>
      <w:r w:rsidR="00807B16">
        <w:t xml:space="preserve">compared to </w:t>
      </w:r>
      <w:r w:rsidR="00D87B5A">
        <w:t>supercritical</w:t>
      </w:r>
      <w:r w:rsidR="00307DBC">
        <w:t xml:space="preserve"> </w:t>
      </w:r>
      <w:r w:rsidR="00812E06">
        <w:t>conditions</w:t>
      </w:r>
      <w:r w:rsidR="00291600">
        <w:t>.</w:t>
      </w:r>
      <w:r w:rsidR="00812E06">
        <w:t xml:space="preserve"> The higher temperature decreased the yield of biocrude</w:t>
      </w:r>
      <w:r w:rsidR="004B12D6">
        <w:t xml:space="preserve"> for spruce</w:t>
      </w:r>
      <w:r w:rsidR="00812E06">
        <w:t xml:space="preserve"> and increased the char and </w:t>
      </w:r>
      <w:r w:rsidR="00974446">
        <w:t xml:space="preserve">non-condensable gas yields. </w:t>
      </w:r>
      <w:r w:rsidR="004E5DC3">
        <w:t>An increase in temperature</w:t>
      </w:r>
      <w:r w:rsidR="00312613">
        <w:t xml:space="preserve"> also</w:t>
      </w:r>
      <w:r w:rsidR="004E5DC3">
        <w:t xml:space="preserve"> decrease</w:t>
      </w:r>
      <w:r w:rsidR="000579D7">
        <w:t>d</w:t>
      </w:r>
      <w:r w:rsidR="004E5DC3">
        <w:t xml:space="preserve"> the </w:t>
      </w:r>
      <w:proofErr w:type="gramStart"/>
      <w:r w:rsidR="004E5DC3">
        <w:t>amount</w:t>
      </w:r>
      <w:proofErr w:type="gramEnd"/>
      <w:r w:rsidR="004E5DC3">
        <w:t xml:space="preserve"> of organic </w:t>
      </w:r>
      <w:r w:rsidR="000579D7">
        <w:t xml:space="preserve">compounds </w:t>
      </w:r>
      <w:r w:rsidR="004E5DC3">
        <w:t>in the aqueous phase, resulting in a cleaner by-product</w:t>
      </w:r>
      <w:r w:rsidR="0069480C">
        <w:t>,</w:t>
      </w:r>
      <w:r w:rsidR="00BC4333">
        <w:t xml:space="preserve"> </w:t>
      </w:r>
      <w:r w:rsidR="00032ABB">
        <w:t>as well as</w:t>
      </w:r>
      <w:r w:rsidR="000579D7">
        <w:t xml:space="preserve"> in higher quality biocrude indicating easier downstream processing </w:t>
      </w:r>
      <w:r w:rsidR="0069480C">
        <w:t xml:space="preserve">as </w:t>
      </w:r>
      <w:r w:rsidR="007B71D8">
        <w:t xml:space="preserve">shown </w:t>
      </w:r>
      <w:r w:rsidR="000579D7">
        <w:t>by simulated distillation into usable liquid fuels</w:t>
      </w:r>
      <w:r w:rsidR="004001E4">
        <w:t>.</w:t>
      </w:r>
      <w:r w:rsidR="000579D7">
        <w:t xml:space="preserve"> </w:t>
      </w:r>
      <w:r w:rsidR="001241CD">
        <w:t xml:space="preserve">Bark addition to the biomass samples increased the </w:t>
      </w:r>
      <w:r w:rsidR="00B71A11">
        <w:t>biocrude and non-condensable gas yield and decreased the amount of char</w:t>
      </w:r>
      <w:r w:rsidR="00BC4333">
        <w:t xml:space="preserve"> </w:t>
      </w:r>
      <w:r w:rsidR="005D1919">
        <w:t>produced</w:t>
      </w:r>
      <w:r w:rsidR="00B71A11">
        <w:t>.</w:t>
      </w:r>
      <w:r w:rsidR="0073152C">
        <w:t xml:space="preserve"> An increase in both </w:t>
      </w:r>
      <w:r w:rsidR="00D70DC9">
        <w:t xml:space="preserve">temperature and bark concentration resulted in </w:t>
      </w:r>
      <w:r w:rsidR="006B774C">
        <w:t xml:space="preserve">a </w:t>
      </w:r>
      <w:r w:rsidR="00D70DC9">
        <w:t xml:space="preserve">decrease of the </w:t>
      </w:r>
      <w:r w:rsidR="005607F4">
        <w:t xml:space="preserve">aqueous </w:t>
      </w:r>
      <w:r w:rsidR="00412744">
        <w:t>phase</w:t>
      </w:r>
      <w:r w:rsidR="00184B62">
        <w:t xml:space="preserve"> </w:t>
      </w:r>
      <w:r w:rsidR="00BA5B54">
        <w:t xml:space="preserve">weight </w:t>
      </w:r>
      <w:r w:rsidR="00184B62">
        <w:t>percentage</w:t>
      </w:r>
      <w:r w:rsidR="00412744">
        <w:t xml:space="preserve">. </w:t>
      </w:r>
    </w:p>
    <w:p w14:paraId="28FA4A81" w14:textId="5FE13791" w:rsidR="003E428C" w:rsidRDefault="0029559A" w:rsidP="00600535">
      <w:pPr>
        <w:pStyle w:val="CETBodytext"/>
      </w:pPr>
      <w:r>
        <w:t>Based on the biocrude analyses in this work</w:t>
      </w:r>
      <w:r w:rsidR="002A5D2B">
        <w:t>,</w:t>
      </w:r>
      <w:r>
        <w:t xml:space="preserve"> it appears that bark addition up to 20% does not compromise the </w:t>
      </w:r>
      <w:r w:rsidR="008116C3">
        <w:t>biocrude quality</w:t>
      </w:r>
      <w:r w:rsidR="00242457">
        <w:t xml:space="preserve">. The studied properties and chemical composition of the biocrudes </w:t>
      </w:r>
      <w:r w:rsidR="00BD1D4E">
        <w:t xml:space="preserve">were not </w:t>
      </w:r>
      <w:r w:rsidR="0089338C">
        <w:t>si</w:t>
      </w:r>
      <w:r w:rsidR="00E73067">
        <w:t xml:space="preserve">gnificantly </w:t>
      </w:r>
      <w:r w:rsidR="0043493E">
        <w:t>affected by the b</w:t>
      </w:r>
      <w:r w:rsidR="001A2B39">
        <w:t>ark addition</w:t>
      </w:r>
      <w:r w:rsidR="00FE4DE4">
        <w:t xml:space="preserve">. </w:t>
      </w:r>
      <w:r w:rsidR="004B12DE">
        <w:t>Increasing the temperature from 350 to 400</w:t>
      </w:r>
      <w:r w:rsidR="007652BC">
        <w:t xml:space="preserve"> </w:t>
      </w:r>
      <w:r w:rsidR="007652BC" w:rsidRPr="00A247F0">
        <w:t>°C</w:t>
      </w:r>
      <w:r w:rsidR="004B12DE">
        <w:t xml:space="preserve"> </w:t>
      </w:r>
      <w:r w:rsidR="00282F34">
        <w:t>decrease</w:t>
      </w:r>
      <w:r w:rsidR="002A7720">
        <w:t>d</w:t>
      </w:r>
      <w:r w:rsidR="00282F34">
        <w:t xml:space="preserve"> the </w:t>
      </w:r>
      <w:proofErr w:type="gramStart"/>
      <w:r w:rsidR="00282F34">
        <w:t>amount</w:t>
      </w:r>
      <w:proofErr w:type="gramEnd"/>
      <w:r w:rsidR="00282F34">
        <w:t xml:space="preserve"> of aromatic compounds and increase</w:t>
      </w:r>
      <w:r w:rsidR="002A7720">
        <w:t>d</w:t>
      </w:r>
      <w:r w:rsidR="00282F34">
        <w:t xml:space="preserve"> </w:t>
      </w:r>
      <w:r w:rsidR="00773E11">
        <w:t xml:space="preserve">the compounds with C-O functional groups. </w:t>
      </w:r>
      <w:r w:rsidR="00052199">
        <w:t xml:space="preserve">The 400 </w:t>
      </w:r>
      <w:r w:rsidR="00052199" w:rsidRPr="00A247F0">
        <w:t>°C</w:t>
      </w:r>
      <w:r w:rsidR="00052199">
        <w:t xml:space="preserve"> samples </w:t>
      </w:r>
      <w:r w:rsidR="00356CB6">
        <w:t xml:space="preserve">also </w:t>
      </w:r>
      <w:r w:rsidR="00052199">
        <w:t xml:space="preserve">contained less of the heaviest, </w:t>
      </w:r>
      <w:r w:rsidR="004764E1">
        <w:t>possibly</w:t>
      </w:r>
      <w:r w:rsidR="00052199">
        <w:t xml:space="preserve"> multiring aromatic compounds. </w:t>
      </w:r>
      <w:r w:rsidR="0030219C" w:rsidRPr="0030219C">
        <w:t xml:space="preserve">Because bark is a common </w:t>
      </w:r>
      <w:r w:rsidR="00EE6541">
        <w:t>byproduct</w:t>
      </w:r>
      <w:r w:rsidR="0030219C" w:rsidRPr="0030219C">
        <w:t xml:space="preserve"> of the wood processing industry, these findings indicating similar quality biocrude from biomass containing bark are promising for sustainable production of biofuels by HTL.</w:t>
      </w:r>
      <w:r w:rsidR="008116C3">
        <w:t xml:space="preserve"> </w:t>
      </w:r>
    </w:p>
    <w:p w14:paraId="440600F0" w14:textId="4ACB463B" w:rsidR="00E50A69" w:rsidRPr="00E50A69" w:rsidRDefault="00E50A69" w:rsidP="00296926">
      <w:pPr>
        <w:pStyle w:val="CETAcknowledgementstitle"/>
      </w:pPr>
      <w:r w:rsidRPr="00E50A69">
        <w:lastRenderedPageBreak/>
        <w:t>Acknowledgement</w:t>
      </w:r>
    </w:p>
    <w:p w14:paraId="627498E1" w14:textId="355ED66C" w:rsidR="003E428C" w:rsidRDefault="00E50A69" w:rsidP="00600535">
      <w:pPr>
        <w:pStyle w:val="CETBodytext"/>
      </w:pPr>
      <w:r>
        <w:t xml:space="preserve">This work was supported by the Research Council of Norway's scheme for </w:t>
      </w:r>
      <w:proofErr w:type="spellStart"/>
      <w:r>
        <w:t>Centres</w:t>
      </w:r>
      <w:proofErr w:type="spellEnd"/>
      <w:r>
        <w:t xml:space="preserve"> for Environment-friendly Energy Research (FME) under the FME Bio4Fuels (project number 257622, duration 2016 - 2024).</w:t>
      </w:r>
    </w:p>
    <w:p w14:paraId="4F1327F8" w14:textId="77777777" w:rsidR="00600535" w:rsidRPr="00A247F0" w:rsidRDefault="00600535" w:rsidP="00600535">
      <w:pPr>
        <w:pStyle w:val="CETReference"/>
        <w:rPr>
          <w:lang w:val="en-US"/>
        </w:rPr>
      </w:pPr>
      <w:r w:rsidRPr="00A247F0">
        <w:rPr>
          <w:lang w:val="en-US"/>
        </w:rPr>
        <w:t>References</w:t>
      </w:r>
    </w:p>
    <w:p w14:paraId="6EF456CC" w14:textId="77777777" w:rsidR="001A3CF2" w:rsidRPr="001A3CF2" w:rsidRDefault="001A3CF2" w:rsidP="001A3CF2">
      <w:pPr>
        <w:pStyle w:val="CETReferencetext"/>
        <w:rPr>
          <w:lang w:val="en-US"/>
        </w:rPr>
      </w:pPr>
      <w:r w:rsidRPr="001A3CF2">
        <w:rPr>
          <w:lang w:val="en-US"/>
        </w:rPr>
        <w:t xml:space="preserve">Cao J-P., Xiao X-B., Zhang S-Y., Zhao X-Y., Sato K., Ogawa Y., Wei X-Y., </w:t>
      </w:r>
      <w:proofErr w:type="spellStart"/>
      <w:r w:rsidRPr="001A3CF2">
        <w:rPr>
          <w:lang w:val="en-US"/>
        </w:rPr>
        <w:t>Takarada</w:t>
      </w:r>
      <w:proofErr w:type="spellEnd"/>
      <w:r w:rsidRPr="001A3CF2">
        <w:rPr>
          <w:lang w:val="en-US"/>
        </w:rPr>
        <w:t xml:space="preserve"> T., 2011, Preparation and characterization of bio-oils from internally circulating fluidized-bed </w:t>
      </w:r>
      <w:proofErr w:type="spellStart"/>
      <w:r w:rsidRPr="001A3CF2">
        <w:rPr>
          <w:lang w:val="en-US"/>
        </w:rPr>
        <w:t>pyrolyses</w:t>
      </w:r>
      <w:proofErr w:type="spellEnd"/>
      <w:r w:rsidRPr="001A3CF2">
        <w:rPr>
          <w:lang w:val="en-US"/>
        </w:rPr>
        <w:t xml:space="preserve"> of municipal, livestock, and wood waste, Bioresource Technology, 102(2), 2009-15.</w:t>
      </w:r>
    </w:p>
    <w:p w14:paraId="2EB2C67F" w14:textId="77777777" w:rsidR="001A3CF2" w:rsidRPr="001A3CF2" w:rsidRDefault="001A3CF2" w:rsidP="001A3CF2">
      <w:pPr>
        <w:pStyle w:val="CETReferencetext"/>
        <w:rPr>
          <w:lang w:val="en-US"/>
        </w:rPr>
      </w:pPr>
      <w:r w:rsidRPr="001A3CF2">
        <w:rPr>
          <w:lang w:val="en-US"/>
        </w:rPr>
        <w:t>Castello D., Pedersen T.H., Rosendahl L.A., 2018, Continuous Hydrothermal Liquefaction of Biomass: A Critical Review. Energies. 2018; 11, 3165-3199.</w:t>
      </w:r>
    </w:p>
    <w:p w14:paraId="1B75CFAE" w14:textId="77777777" w:rsidR="001A3CF2" w:rsidRPr="001A3CF2" w:rsidRDefault="001A3CF2" w:rsidP="001A3CF2">
      <w:pPr>
        <w:pStyle w:val="CETReferencetext"/>
        <w:rPr>
          <w:lang w:val="en-US"/>
        </w:rPr>
      </w:pPr>
      <w:r w:rsidRPr="001A3CF2">
        <w:rPr>
          <w:lang w:val="en-US"/>
        </w:rPr>
        <w:t xml:space="preserve">Chan Y.H., </w:t>
      </w:r>
      <w:proofErr w:type="spellStart"/>
      <w:r w:rsidRPr="001A3CF2">
        <w:rPr>
          <w:lang w:val="en-US"/>
        </w:rPr>
        <w:t>Yusup</w:t>
      </w:r>
      <w:proofErr w:type="spellEnd"/>
      <w:r w:rsidRPr="001A3CF2">
        <w:rPr>
          <w:lang w:val="en-US"/>
        </w:rPr>
        <w:t xml:space="preserve"> S., </w:t>
      </w:r>
      <w:proofErr w:type="spellStart"/>
      <w:r w:rsidRPr="001A3CF2">
        <w:rPr>
          <w:lang w:val="en-US"/>
        </w:rPr>
        <w:t>Quitain</w:t>
      </w:r>
      <w:proofErr w:type="spellEnd"/>
      <w:r w:rsidRPr="001A3CF2">
        <w:rPr>
          <w:lang w:val="en-US"/>
        </w:rPr>
        <w:t xml:space="preserve"> A.T., </w:t>
      </w:r>
      <w:proofErr w:type="spellStart"/>
      <w:r w:rsidRPr="001A3CF2">
        <w:rPr>
          <w:lang w:val="en-US"/>
        </w:rPr>
        <w:t>Uemura</w:t>
      </w:r>
      <w:proofErr w:type="spellEnd"/>
      <w:r w:rsidRPr="001A3CF2">
        <w:rPr>
          <w:lang w:val="en-US"/>
        </w:rPr>
        <w:t xml:space="preserve"> Y., Sasaki M., 2014. Bio-oil production from oil palm biomass via subcritical and supercritical hydrothermal liquefaction, Journal of Supercritical Fluids, 95, 407–412.</w:t>
      </w:r>
    </w:p>
    <w:p w14:paraId="11ACFC03" w14:textId="77777777" w:rsidR="001A3CF2" w:rsidRPr="001A3CF2" w:rsidRDefault="001A3CF2" w:rsidP="001A3CF2">
      <w:pPr>
        <w:pStyle w:val="CETReferencetext"/>
        <w:rPr>
          <w:lang w:val="en-US"/>
        </w:rPr>
      </w:pPr>
      <w:r w:rsidRPr="001A3CF2">
        <w:rPr>
          <w:lang w:val="en-US"/>
        </w:rPr>
        <w:t>Chen Y., Cao X., Zhu S., Tian F., Xu Y., Zhu C., Dong L., 2019, Synergistic hydrothermal liquefaction of wheat stalk with homogeneous and heterogeneous catalyst at low temperature, Bioresource Technology, 278, 92-8.</w:t>
      </w:r>
    </w:p>
    <w:p w14:paraId="344CC29A" w14:textId="77777777" w:rsidR="001A3CF2" w:rsidRPr="001A3CF2" w:rsidRDefault="001A3CF2" w:rsidP="001A3CF2">
      <w:pPr>
        <w:pStyle w:val="CETReferencetext"/>
        <w:rPr>
          <w:lang w:val="en-US"/>
        </w:rPr>
      </w:pPr>
      <w:r w:rsidRPr="001A3CF2">
        <w:rPr>
          <w:lang w:val="en-US"/>
        </w:rPr>
        <w:t>Cui Y., Hou X., Wang W., Chang J., 2017, Synthesis and Characterization of Bio-Oil Phenol Formaldehyde Resin Used to Fabricate Phenolic Based Materials, Materials, 10(6), 668.</w:t>
      </w:r>
    </w:p>
    <w:p w14:paraId="7FD25AAB" w14:textId="77777777" w:rsidR="001A3CF2" w:rsidRPr="001A3CF2" w:rsidRDefault="001A3CF2" w:rsidP="001A3CF2">
      <w:pPr>
        <w:pStyle w:val="CETReferencetext"/>
        <w:rPr>
          <w:lang w:val="en-US"/>
        </w:rPr>
      </w:pPr>
      <w:r w:rsidRPr="001A3CF2">
        <w:rPr>
          <w:lang w:val="en-US"/>
        </w:rPr>
        <w:t xml:space="preserve">Domínguez J.C., </w:t>
      </w:r>
      <w:proofErr w:type="spellStart"/>
      <w:r w:rsidRPr="001A3CF2">
        <w:rPr>
          <w:lang w:val="en-US"/>
        </w:rPr>
        <w:t>Oliet</w:t>
      </w:r>
      <w:proofErr w:type="spellEnd"/>
      <w:r w:rsidRPr="001A3CF2">
        <w:rPr>
          <w:lang w:val="en-US"/>
        </w:rPr>
        <w:t xml:space="preserve"> M., Alonso M.V., Rojo E., Rodríguez F., 2013, Structural, </w:t>
      </w:r>
      <w:proofErr w:type="gramStart"/>
      <w:r w:rsidRPr="001A3CF2">
        <w:rPr>
          <w:lang w:val="en-US"/>
        </w:rPr>
        <w:t>thermal</w:t>
      </w:r>
      <w:proofErr w:type="gramEnd"/>
      <w:r w:rsidRPr="001A3CF2">
        <w:rPr>
          <w:lang w:val="en-US"/>
        </w:rPr>
        <w:t xml:space="preserve"> and rheological behavior of a bio-based phenolic resin in relation to a commercial </w:t>
      </w:r>
      <w:proofErr w:type="spellStart"/>
      <w:r w:rsidRPr="001A3CF2">
        <w:rPr>
          <w:lang w:val="en-US"/>
        </w:rPr>
        <w:t>resol</w:t>
      </w:r>
      <w:proofErr w:type="spellEnd"/>
      <w:r w:rsidRPr="001A3CF2">
        <w:rPr>
          <w:lang w:val="en-US"/>
        </w:rPr>
        <w:t xml:space="preserve"> resin, Industrial Crops and Products, 42, 308-14.</w:t>
      </w:r>
    </w:p>
    <w:p w14:paraId="43ED5253" w14:textId="77777777" w:rsidR="001A3CF2" w:rsidRPr="001A3CF2" w:rsidRDefault="001A3CF2" w:rsidP="001A3CF2">
      <w:pPr>
        <w:pStyle w:val="CETReferencetext"/>
        <w:rPr>
          <w:lang w:val="en-US"/>
        </w:rPr>
      </w:pPr>
      <w:r w:rsidRPr="001A3CF2">
        <w:rPr>
          <w:lang w:val="en-US"/>
        </w:rPr>
        <w:t>Feng S., Yuan Z., Leitch M, Xu C.C., 2014, Hydrothermal liquefaction of barks into bio-crude – Effects of species and ash content/composition, Fuel, 116, 214-220.</w:t>
      </w:r>
    </w:p>
    <w:p w14:paraId="027C0BE7" w14:textId="77777777" w:rsidR="001A3CF2" w:rsidRPr="001A3CF2" w:rsidRDefault="001A3CF2" w:rsidP="001A3CF2">
      <w:pPr>
        <w:pStyle w:val="CETReferencetext"/>
        <w:rPr>
          <w:lang w:val="en-US"/>
        </w:rPr>
      </w:pPr>
      <w:r w:rsidRPr="001A3CF2">
        <w:rPr>
          <w:lang w:val="en-US"/>
        </w:rPr>
        <w:t xml:space="preserve">French R.J., </w:t>
      </w:r>
      <w:proofErr w:type="spellStart"/>
      <w:r w:rsidRPr="001A3CF2">
        <w:rPr>
          <w:lang w:val="en-US"/>
        </w:rPr>
        <w:t>Iisa</w:t>
      </w:r>
      <w:proofErr w:type="spellEnd"/>
      <w:r w:rsidRPr="001A3CF2">
        <w:rPr>
          <w:lang w:val="en-US"/>
        </w:rPr>
        <w:t xml:space="preserve"> K., Orton K.A., Griffin M.B., Christensen E., Black S., Brown K., Palmer S.E., </w:t>
      </w:r>
      <w:proofErr w:type="spellStart"/>
      <w:r w:rsidRPr="001A3CF2">
        <w:rPr>
          <w:lang w:val="en-US"/>
        </w:rPr>
        <w:t>Schaidle</w:t>
      </w:r>
      <w:proofErr w:type="spellEnd"/>
      <w:r w:rsidRPr="001A3CF2">
        <w:rPr>
          <w:lang w:val="en-US"/>
        </w:rPr>
        <w:t xml:space="preserve"> J.A., </w:t>
      </w:r>
      <w:proofErr w:type="spellStart"/>
      <w:r w:rsidRPr="001A3CF2">
        <w:rPr>
          <w:lang w:val="en-US"/>
        </w:rPr>
        <w:t>Mukarakate</w:t>
      </w:r>
      <w:proofErr w:type="spellEnd"/>
      <w:r w:rsidRPr="001A3CF2">
        <w:rPr>
          <w:lang w:val="en-US"/>
        </w:rPr>
        <w:t xml:space="preserve"> C., Foust T.D., 2021, Optimizing Process Conditions during Catalytic Fast Pyrolysis of Pine with Pt/TiO2—Improving the Viability of a Multiple-Fixed-Bed Configuration, ACS Sustainable Chemistry &amp; Engineering 9, 1235-1245.</w:t>
      </w:r>
    </w:p>
    <w:p w14:paraId="6BE156E9" w14:textId="77777777" w:rsidR="001A3CF2" w:rsidRPr="001A3CF2" w:rsidRDefault="001A3CF2" w:rsidP="001A3CF2">
      <w:pPr>
        <w:pStyle w:val="CETReferencetext"/>
        <w:rPr>
          <w:lang w:val="en-US"/>
        </w:rPr>
      </w:pPr>
      <w:r w:rsidRPr="001A3CF2">
        <w:rPr>
          <w:lang w:val="en-US"/>
        </w:rPr>
        <w:t xml:space="preserve">Grande L., </w:t>
      </w:r>
      <w:proofErr w:type="spellStart"/>
      <w:r w:rsidRPr="001A3CF2">
        <w:rPr>
          <w:lang w:val="en-US"/>
        </w:rPr>
        <w:t>Pedroarena</w:t>
      </w:r>
      <w:proofErr w:type="spellEnd"/>
      <w:r w:rsidRPr="001A3CF2">
        <w:rPr>
          <w:lang w:val="en-US"/>
        </w:rPr>
        <w:t xml:space="preserve"> I., </w:t>
      </w:r>
      <w:proofErr w:type="spellStart"/>
      <w:r w:rsidRPr="001A3CF2">
        <w:rPr>
          <w:lang w:val="en-US"/>
        </w:rPr>
        <w:t>Korili</w:t>
      </w:r>
      <w:proofErr w:type="spellEnd"/>
      <w:r w:rsidRPr="001A3CF2">
        <w:rPr>
          <w:lang w:val="en-US"/>
        </w:rPr>
        <w:t xml:space="preserve"> S.A., Gil A., 2021, Hydrothermal Liquefaction of Biomass as One of the Most Promising Alternatives for the Synthesis of Advanced Liquid Biofuels: A Review. Materials, 14, 5286-5304.</w:t>
      </w:r>
    </w:p>
    <w:p w14:paraId="3ED0191D" w14:textId="77777777" w:rsidR="001A3CF2" w:rsidRPr="001A3CF2" w:rsidRDefault="001A3CF2" w:rsidP="001A3CF2">
      <w:pPr>
        <w:pStyle w:val="CETReferencetext"/>
        <w:rPr>
          <w:lang w:val="en-US"/>
        </w:rPr>
      </w:pPr>
      <w:r w:rsidRPr="001A3CF2">
        <w:rPr>
          <w:lang w:val="en-US"/>
        </w:rPr>
        <w:t xml:space="preserve">Gupta B.S., </w:t>
      </w:r>
      <w:proofErr w:type="spellStart"/>
      <w:r w:rsidRPr="001A3CF2">
        <w:rPr>
          <w:lang w:val="en-US"/>
        </w:rPr>
        <w:t>Jelle</w:t>
      </w:r>
      <w:proofErr w:type="spellEnd"/>
      <w:r w:rsidRPr="001A3CF2">
        <w:rPr>
          <w:lang w:val="en-US"/>
        </w:rPr>
        <w:t xml:space="preserve"> B.P., Gao T., 2015, Application of ATR-FTIR Spectroscopy to Compare the Cell Materials of Wood Decay Fungi with Wood </w:t>
      </w:r>
      <w:proofErr w:type="spellStart"/>
      <w:r w:rsidRPr="001A3CF2">
        <w:rPr>
          <w:lang w:val="en-US"/>
        </w:rPr>
        <w:t>Mould</w:t>
      </w:r>
      <w:proofErr w:type="spellEnd"/>
      <w:r w:rsidRPr="001A3CF2">
        <w:rPr>
          <w:lang w:val="en-US"/>
        </w:rPr>
        <w:t xml:space="preserve"> Fungi, International Journal of Spectroscopy, 521938.</w:t>
      </w:r>
    </w:p>
    <w:p w14:paraId="506050AA" w14:textId="77777777" w:rsidR="001A3CF2" w:rsidRPr="001A3CF2" w:rsidRDefault="001A3CF2" w:rsidP="001A3CF2">
      <w:pPr>
        <w:pStyle w:val="CETReferencetext"/>
        <w:rPr>
          <w:lang w:val="en-US"/>
        </w:rPr>
      </w:pPr>
      <w:r w:rsidRPr="001A3CF2">
        <w:rPr>
          <w:lang w:val="en-US"/>
        </w:rPr>
        <w:t>Hassan E-b. M., Steele P.H., Ingram L., 2009, Characterization of Fast Pyrolysis Bio-oils Produced from Pretreated Pine Wood, Applied Biochemistry and Biotechnology, 154(1), 3-13.</w:t>
      </w:r>
    </w:p>
    <w:p w14:paraId="5E849DED" w14:textId="724B9BA3" w:rsidR="00C50AB9" w:rsidRDefault="004D1F58" w:rsidP="001A3CF2">
      <w:pPr>
        <w:pStyle w:val="CETReferencetext"/>
        <w:rPr>
          <w:lang w:val="en-US"/>
        </w:rPr>
      </w:pPr>
      <w:r w:rsidRPr="004D1F58">
        <w:rPr>
          <w:lang w:val="en-US"/>
        </w:rPr>
        <w:t>Jensen C</w:t>
      </w:r>
      <w:r>
        <w:rPr>
          <w:lang w:val="en-US"/>
        </w:rPr>
        <w:t>.</w:t>
      </w:r>
      <w:r w:rsidRPr="004D1F58">
        <w:rPr>
          <w:lang w:val="en-US"/>
        </w:rPr>
        <w:t>U</w:t>
      </w:r>
      <w:r>
        <w:rPr>
          <w:lang w:val="en-US"/>
        </w:rPr>
        <w:t>.</w:t>
      </w:r>
      <w:r w:rsidRPr="004D1F58">
        <w:rPr>
          <w:lang w:val="en-US"/>
        </w:rPr>
        <w:t>, Rodriguez Guerrero J</w:t>
      </w:r>
      <w:r>
        <w:rPr>
          <w:lang w:val="en-US"/>
        </w:rPr>
        <w:t>.</w:t>
      </w:r>
      <w:r w:rsidRPr="004D1F58">
        <w:rPr>
          <w:lang w:val="en-US"/>
        </w:rPr>
        <w:t>K</w:t>
      </w:r>
      <w:r>
        <w:rPr>
          <w:lang w:val="en-US"/>
        </w:rPr>
        <w:t>.</w:t>
      </w:r>
      <w:r w:rsidRPr="004D1F58">
        <w:rPr>
          <w:lang w:val="en-US"/>
        </w:rPr>
        <w:t>, Karatzos S</w:t>
      </w:r>
      <w:r>
        <w:rPr>
          <w:lang w:val="en-US"/>
        </w:rPr>
        <w:t>.</w:t>
      </w:r>
      <w:r w:rsidRPr="004D1F58">
        <w:rPr>
          <w:lang w:val="en-US"/>
        </w:rPr>
        <w:t xml:space="preserve">, </w:t>
      </w:r>
      <w:proofErr w:type="spellStart"/>
      <w:r w:rsidRPr="004D1F58">
        <w:rPr>
          <w:lang w:val="en-US"/>
        </w:rPr>
        <w:t>Olofsson</w:t>
      </w:r>
      <w:proofErr w:type="spellEnd"/>
      <w:r w:rsidRPr="004D1F58">
        <w:rPr>
          <w:lang w:val="en-US"/>
        </w:rPr>
        <w:t xml:space="preserve"> G</w:t>
      </w:r>
      <w:r>
        <w:rPr>
          <w:lang w:val="en-US"/>
        </w:rPr>
        <w:t>.</w:t>
      </w:r>
      <w:r w:rsidRPr="004D1F58">
        <w:rPr>
          <w:lang w:val="en-US"/>
        </w:rPr>
        <w:t>, Iversen S</w:t>
      </w:r>
      <w:r>
        <w:rPr>
          <w:lang w:val="en-US"/>
        </w:rPr>
        <w:t>.</w:t>
      </w:r>
      <w:r w:rsidRPr="004D1F58">
        <w:rPr>
          <w:lang w:val="en-US"/>
        </w:rPr>
        <w:t>B</w:t>
      </w:r>
      <w:r>
        <w:rPr>
          <w:lang w:val="en-US"/>
        </w:rPr>
        <w:t>.</w:t>
      </w:r>
      <w:r w:rsidRPr="004D1F58">
        <w:rPr>
          <w:lang w:val="en-US"/>
        </w:rPr>
        <w:t xml:space="preserve"> 2017</w:t>
      </w:r>
      <w:r>
        <w:rPr>
          <w:lang w:val="en-US"/>
        </w:rPr>
        <w:t>,</w:t>
      </w:r>
      <w:r w:rsidRPr="004D1F58">
        <w:rPr>
          <w:lang w:val="en-US"/>
        </w:rPr>
        <w:t xml:space="preserve"> Fundamentals of </w:t>
      </w:r>
      <w:proofErr w:type="spellStart"/>
      <w:r w:rsidRPr="004D1F58">
        <w:rPr>
          <w:lang w:val="en-US"/>
        </w:rPr>
        <w:t>Hydrofaction</w:t>
      </w:r>
      <w:proofErr w:type="spellEnd"/>
      <w:r w:rsidRPr="004D1F58">
        <w:rPr>
          <w:lang w:val="en-US"/>
        </w:rPr>
        <w:t>™: Renewable crude oil from woody biomass</w:t>
      </w:r>
      <w:r>
        <w:rPr>
          <w:lang w:val="en-US"/>
        </w:rPr>
        <w:t>,</w:t>
      </w:r>
      <w:r w:rsidRPr="004D1F58">
        <w:rPr>
          <w:lang w:val="en-US"/>
        </w:rPr>
        <w:t xml:space="preserve"> Biomass Conv </w:t>
      </w:r>
      <w:proofErr w:type="spellStart"/>
      <w:r w:rsidRPr="004D1F58">
        <w:rPr>
          <w:lang w:val="en-US"/>
        </w:rPr>
        <w:t>Bioref</w:t>
      </w:r>
      <w:proofErr w:type="spellEnd"/>
      <w:r w:rsidRPr="004D1F58">
        <w:rPr>
          <w:lang w:val="en-US"/>
        </w:rPr>
        <w:t xml:space="preserve"> 7</w:t>
      </w:r>
      <w:r>
        <w:rPr>
          <w:lang w:val="en-US"/>
        </w:rPr>
        <w:t xml:space="preserve">, </w:t>
      </w:r>
      <w:r w:rsidRPr="004D1F58">
        <w:rPr>
          <w:lang w:val="en-US"/>
        </w:rPr>
        <w:t>495-509</w:t>
      </w:r>
      <w:r w:rsidR="00C50AB9" w:rsidRPr="00C50AB9">
        <w:rPr>
          <w:lang w:val="en-US"/>
        </w:rPr>
        <w:t>.</w:t>
      </w:r>
    </w:p>
    <w:p w14:paraId="1A036F83" w14:textId="7FDD0E90" w:rsidR="001A3CF2" w:rsidRPr="001A3CF2" w:rsidRDefault="001A3CF2" w:rsidP="001A3CF2">
      <w:pPr>
        <w:pStyle w:val="CETReferencetext"/>
        <w:rPr>
          <w:lang w:val="en-US"/>
        </w:rPr>
      </w:pPr>
      <w:r w:rsidRPr="001A3CF2">
        <w:rPr>
          <w:lang w:val="en-US"/>
        </w:rPr>
        <w:t xml:space="preserve">Kline L., Hayes D., </w:t>
      </w:r>
      <w:proofErr w:type="spellStart"/>
      <w:r w:rsidRPr="001A3CF2">
        <w:rPr>
          <w:lang w:val="en-US"/>
        </w:rPr>
        <w:t>Womac</w:t>
      </w:r>
      <w:proofErr w:type="spellEnd"/>
      <w:r w:rsidRPr="001A3CF2">
        <w:rPr>
          <w:lang w:val="en-US"/>
        </w:rPr>
        <w:t xml:space="preserve"> A., </w:t>
      </w:r>
      <w:proofErr w:type="spellStart"/>
      <w:r w:rsidRPr="001A3CF2">
        <w:rPr>
          <w:lang w:val="en-US"/>
        </w:rPr>
        <w:t>Labbé</w:t>
      </w:r>
      <w:proofErr w:type="spellEnd"/>
      <w:r w:rsidRPr="001A3CF2">
        <w:rPr>
          <w:lang w:val="en-US"/>
        </w:rPr>
        <w:t xml:space="preserve"> N., 2010, Simplified determination of lignin content in hard and soft woods via UV-spectrophotometric analysis of biomass dissolved in ionic liquids, </w:t>
      </w:r>
      <w:proofErr w:type="spellStart"/>
      <w:r w:rsidRPr="001A3CF2">
        <w:rPr>
          <w:lang w:val="en-US"/>
        </w:rPr>
        <w:t>BioResources</w:t>
      </w:r>
      <w:proofErr w:type="spellEnd"/>
      <w:r w:rsidRPr="001A3CF2">
        <w:rPr>
          <w:lang w:val="en-US"/>
        </w:rPr>
        <w:t>, 5, 1366-83.</w:t>
      </w:r>
    </w:p>
    <w:p w14:paraId="10D9C1B2" w14:textId="77777777" w:rsidR="001A3CF2" w:rsidRPr="001A3CF2" w:rsidRDefault="001A3CF2" w:rsidP="001A3CF2">
      <w:pPr>
        <w:pStyle w:val="CETReferencetext"/>
        <w:rPr>
          <w:lang w:val="en-US"/>
        </w:rPr>
      </w:pPr>
      <w:r w:rsidRPr="001A3CF2">
        <w:rPr>
          <w:lang w:val="en-US"/>
        </w:rPr>
        <w:t xml:space="preserve">Nazari L., Yuan Z., </w:t>
      </w:r>
      <w:proofErr w:type="spellStart"/>
      <w:r w:rsidRPr="001A3CF2">
        <w:rPr>
          <w:lang w:val="en-US"/>
        </w:rPr>
        <w:t>Souzanchi</w:t>
      </w:r>
      <w:proofErr w:type="spellEnd"/>
      <w:r w:rsidRPr="001A3CF2">
        <w:rPr>
          <w:lang w:val="en-US"/>
        </w:rPr>
        <w:t xml:space="preserve"> S., Ray M.B., Xu C., 2015, Hydrothermal liquefaction of woody biomass in hot-compressed water: Catalyst screening and comprehensive characterization of bio-crude oils, Fuel, 162, 74-83</w:t>
      </w:r>
    </w:p>
    <w:p w14:paraId="2371ADFE" w14:textId="1B907A11" w:rsidR="005E3DAF" w:rsidRDefault="005E3DAF" w:rsidP="005E3DAF">
      <w:pPr>
        <w:pStyle w:val="CETReferencetext"/>
        <w:rPr>
          <w:lang w:val="en-US"/>
        </w:rPr>
      </w:pPr>
      <w:r w:rsidRPr="005E3DAF">
        <w:rPr>
          <w:lang w:val="en-US"/>
        </w:rPr>
        <w:t>Obeid</w:t>
      </w:r>
      <w:r>
        <w:rPr>
          <w:lang w:val="en-US"/>
        </w:rPr>
        <w:t xml:space="preserve"> R.</w:t>
      </w:r>
      <w:r w:rsidRPr="005E3DAF">
        <w:rPr>
          <w:lang w:val="en-US"/>
        </w:rPr>
        <w:t>, Lewis</w:t>
      </w:r>
      <w:r>
        <w:rPr>
          <w:lang w:val="en-US"/>
        </w:rPr>
        <w:t xml:space="preserve"> D.</w:t>
      </w:r>
      <w:r w:rsidRPr="005E3DAF">
        <w:rPr>
          <w:lang w:val="en-US"/>
        </w:rPr>
        <w:t>, Smith</w:t>
      </w:r>
      <w:r>
        <w:rPr>
          <w:lang w:val="en-US"/>
        </w:rPr>
        <w:t xml:space="preserve"> N.</w:t>
      </w:r>
      <w:r w:rsidRPr="005E3DAF">
        <w:rPr>
          <w:lang w:val="en-US"/>
        </w:rPr>
        <w:t xml:space="preserve">, van </w:t>
      </w:r>
      <w:proofErr w:type="spellStart"/>
      <w:r w:rsidRPr="005E3DAF">
        <w:rPr>
          <w:lang w:val="en-US"/>
        </w:rPr>
        <w:t>Eyk</w:t>
      </w:r>
      <w:proofErr w:type="spellEnd"/>
      <w:r>
        <w:rPr>
          <w:lang w:val="en-US"/>
        </w:rPr>
        <w:t xml:space="preserve"> P.</w:t>
      </w:r>
      <w:r w:rsidRPr="005E3DAF">
        <w:rPr>
          <w:lang w:val="en-US"/>
        </w:rPr>
        <w:t>,</w:t>
      </w:r>
      <w:r>
        <w:rPr>
          <w:lang w:val="en-US"/>
        </w:rPr>
        <w:t xml:space="preserve"> 2019, </w:t>
      </w:r>
      <w:r w:rsidRPr="005E3DAF">
        <w:rPr>
          <w:lang w:val="en-US"/>
        </w:rPr>
        <w:t>The elucidation of reaction kinetics for hydrothermal liquefaction of model macromolecules,</w:t>
      </w:r>
      <w:r>
        <w:rPr>
          <w:lang w:val="en-US"/>
        </w:rPr>
        <w:t xml:space="preserve"> </w:t>
      </w:r>
      <w:r w:rsidRPr="005E3DAF">
        <w:rPr>
          <w:lang w:val="en-US"/>
        </w:rPr>
        <w:t>Chemical Engineering Journal, 370, 637-645</w:t>
      </w:r>
    </w:p>
    <w:p w14:paraId="4D8E85D4" w14:textId="5EBD68FD" w:rsidR="001A3CF2" w:rsidRPr="001A3CF2" w:rsidRDefault="001A3CF2" w:rsidP="001A3CF2">
      <w:pPr>
        <w:pStyle w:val="CETReferencetext"/>
        <w:rPr>
          <w:lang w:val="en-US"/>
        </w:rPr>
      </w:pPr>
      <w:proofErr w:type="spellStart"/>
      <w:r w:rsidRPr="001A3CF2">
        <w:rPr>
          <w:lang w:val="en-US"/>
        </w:rPr>
        <w:t>Räisänen</w:t>
      </w:r>
      <w:proofErr w:type="spellEnd"/>
      <w:r w:rsidRPr="001A3CF2">
        <w:rPr>
          <w:lang w:val="en-US"/>
        </w:rPr>
        <w:t xml:space="preserve"> T, </w:t>
      </w:r>
      <w:proofErr w:type="spellStart"/>
      <w:r w:rsidRPr="001A3CF2">
        <w:rPr>
          <w:lang w:val="en-US"/>
        </w:rPr>
        <w:t>Athanassiadis</w:t>
      </w:r>
      <w:proofErr w:type="spellEnd"/>
      <w:r w:rsidRPr="001A3CF2">
        <w:rPr>
          <w:lang w:val="en-US"/>
        </w:rPr>
        <w:t xml:space="preserve"> D., 2013 Basic chemical composition of the biomass components of pine, </w:t>
      </w:r>
      <w:proofErr w:type="gramStart"/>
      <w:r w:rsidRPr="001A3CF2">
        <w:rPr>
          <w:lang w:val="en-US"/>
        </w:rPr>
        <w:t>spruce</w:t>
      </w:r>
      <w:proofErr w:type="gramEnd"/>
      <w:r w:rsidRPr="001A3CF2">
        <w:rPr>
          <w:lang w:val="en-US"/>
        </w:rPr>
        <w:t xml:space="preserve"> and birch &lt; http://biofuelregion.se/wp-content/uploads/2017/01/1_2_IS_2013-01-31_Basic_chemical_composition.pdf&gt; assessed 24.01.2022</w:t>
      </w:r>
    </w:p>
    <w:p w14:paraId="722513C5" w14:textId="77777777" w:rsidR="001A3CF2" w:rsidRPr="001A3CF2" w:rsidRDefault="001A3CF2" w:rsidP="001A3CF2">
      <w:pPr>
        <w:pStyle w:val="CETReferencetext"/>
        <w:rPr>
          <w:lang w:val="en-US"/>
        </w:rPr>
      </w:pPr>
      <w:proofErr w:type="spellStart"/>
      <w:r w:rsidRPr="001A3CF2">
        <w:rPr>
          <w:lang w:val="en-US"/>
        </w:rPr>
        <w:t>Scholze</w:t>
      </w:r>
      <w:proofErr w:type="spellEnd"/>
      <w:r w:rsidRPr="001A3CF2">
        <w:rPr>
          <w:lang w:val="en-US"/>
        </w:rPr>
        <w:t xml:space="preserve"> B., Meier D., 2001, Characterization of the water-insoluble fraction from pyrolysis oil (pyrolytic lignin), Part I. PY–GC/MS, FTIR, and functional groups, Journal of Analytical and Applied Pyrolysis, 60(1), 41-54.</w:t>
      </w:r>
    </w:p>
    <w:p w14:paraId="13746AD3" w14:textId="77777777" w:rsidR="001A3CF2" w:rsidRPr="001A3CF2" w:rsidRDefault="001A3CF2" w:rsidP="001A3CF2">
      <w:pPr>
        <w:pStyle w:val="CETReferencetext"/>
        <w:rPr>
          <w:lang w:val="en-US"/>
        </w:rPr>
      </w:pPr>
      <w:r w:rsidRPr="001A3CF2">
        <w:rPr>
          <w:lang w:val="en-US"/>
        </w:rPr>
        <w:t>Toor S.S., Rosendahl L., Rudolf A., 2011, Hydrothermal liquefaction of biomass: a review of subcritical water technologies. Energy 36, 2328–2342.</w:t>
      </w:r>
    </w:p>
    <w:p w14:paraId="7432D6AC" w14:textId="77777777" w:rsidR="001A3CF2" w:rsidRPr="001A3CF2" w:rsidRDefault="001A3CF2" w:rsidP="001A3CF2">
      <w:pPr>
        <w:pStyle w:val="CETReferencetext"/>
        <w:rPr>
          <w:lang w:val="en-US"/>
        </w:rPr>
      </w:pPr>
      <w:r w:rsidRPr="001A3CF2">
        <w:rPr>
          <w:lang w:val="en-US"/>
        </w:rPr>
        <w:t xml:space="preserve">Wang Y., Wang H., Lin H., Zheng Y., Zhao J., Pelletier A., Li K., 2013, Effects of solvents and catalysts in liquefaction of pinewood sawdust </w:t>
      </w:r>
      <w:proofErr w:type="gramStart"/>
      <w:r w:rsidRPr="001A3CF2">
        <w:rPr>
          <w:lang w:val="en-US"/>
        </w:rPr>
        <w:t>for the production of</w:t>
      </w:r>
      <w:proofErr w:type="gramEnd"/>
      <w:r w:rsidRPr="001A3CF2">
        <w:rPr>
          <w:lang w:val="en-US"/>
        </w:rPr>
        <w:t xml:space="preserve"> bio-oils, Biomass and Bioenergy, 59, 158-67.</w:t>
      </w:r>
    </w:p>
    <w:p w14:paraId="5D628343" w14:textId="77777777" w:rsidR="001A3CF2" w:rsidRPr="001A3CF2" w:rsidRDefault="001A3CF2" w:rsidP="001A3CF2">
      <w:pPr>
        <w:pStyle w:val="CETReferencetext"/>
        <w:rPr>
          <w:lang w:val="en-US"/>
        </w:rPr>
      </w:pPr>
      <w:r w:rsidRPr="001A3CF2">
        <w:rPr>
          <w:lang w:val="en-US"/>
        </w:rPr>
        <w:t>Watson J., Lu J., de Souza R., Si B., Zhang Y., Liu Z., 2019, Effects of the extraction solvents in hydrothermal liquefaction processes: Biocrude oil quality and energy conversion efficiency. Energy, 167, 189–197.</w:t>
      </w:r>
    </w:p>
    <w:p w14:paraId="27528812" w14:textId="2130E8A0" w:rsidR="001A3CF2" w:rsidRDefault="001A3CF2" w:rsidP="001A3CF2">
      <w:pPr>
        <w:pStyle w:val="CETReferencetext"/>
        <w:rPr>
          <w:lang w:val="en-US"/>
        </w:rPr>
      </w:pPr>
      <w:r w:rsidRPr="001A3CF2">
        <w:rPr>
          <w:lang w:val="en-US"/>
        </w:rPr>
        <w:t xml:space="preserve">Yang C., Jia L., Chen C., Liu G., Fang W., 2011, Bio-oil from hydro-liquefaction of </w:t>
      </w:r>
      <w:proofErr w:type="spellStart"/>
      <w:r w:rsidRPr="001A3CF2">
        <w:rPr>
          <w:lang w:val="en-US"/>
        </w:rPr>
        <w:t>Dunaliella</w:t>
      </w:r>
      <w:proofErr w:type="spellEnd"/>
      <w:r w:rsidRPr="001A3CF2">
        <w:rPr>
          <w:lang w:val="en-US"/>
        </w:rPr>
        <w:t xml:space="preserve"> salina over Ni/REHY catalyst, Bioresource Technology, 102(6), 4580-4.</w:t>
      </w:r>
    </w:p>
    <w:p w14:paraId="6C590748" w14:textId="2D30CE87" w:rsidR="00E3462F" w:rsidRPr="001A3CF2" w:rsidRDefault="00E3462F" w:rsidP="00E3462F">
      <w:pPr>
        <w:pStyle w:val="CETReferencetext"/>
        <w:rPr>
          <w:lang w:val="en-US"/>
        </w:rPr>
      </w:pPr>
      <w:r w:rsidRPr="00E3462F">
        <w:rPr>
          <w:lang w:val="en-US"/>
        </w:rPr>
        <w:t>Yang</w:t>
      </w:r>
      <w:r>
        <w:rPr>
          <w:lang w:val="en-US"/>
        </w:rPr>
        <w:t xml:space="preserve"> J</w:t>
      </w:r>
      <w:r w:rsidR="002E4D8B">
        <w:rPr>
          <w:lang w:val="en-US"/>
        </w:rPr>
        <w:t>.</w:t>
      </w:r>
      <w:r w:rsidRPr="00E3462F">
        <w:rPr>
          <w:lang w:val="en-US"/>
        </w:rPr>
        <w:t>, He</w:t>
      </w:r>
      <w:r>
        <w:rPr>
          <w:lang w:val="en-US"/>
        </w:rPr>
        <w:t xml:space="preserve"> Q</w:t>
      </w:r>
      <w:r w:rsidR="002E4D8B">
        <w:rPr>
          <w:lang w:val="en-US"/>
        </w:rPr>
        <w:t>.</w:t>
      </w:r>
      <w:r w:rsidRPr="00E3462F">
        <w:rPr>
          <w:lang w:val="en-US"/>
        </w:rPr>
        <w:t xml:space="preserve">, </w:t>
      </w:r>
      <w:proofErr w:type="spellStart"/>
      <w:r w:rsidRPr="00E3462F">
        <w:rPr>
          <w:lang w:val="en-US"/>
        </w:rPr>
        <w:t>Niu</w:t>
      </w:r>
      <w:proofErr w:type="spellEnd"/>
      <w:r w:rsidR="002E4D8B">
        <w:rPr>
          <w:lang w:val="en-US"/>
        </w:rPr>
        <w:t xml:space="preserve"> H.</w:t>
      </w:r>
      <w:r w:rsidRPr="00E3462F">
        <w:rPr>
          <w:lang w:val="en-US"/>
        </w:rPr>
        <w:t>, Corscadden</w:t>
      </w:r>
      <w:r w:rsidR="002E4D8B">
        <w:rPr>
          <w:lang w:val="en-US"/>
        </w:rPr>
        <w:t xml:space="preserve"> K.</w:t>
      </w:r>
      <w:r w:rsidRPr="00E3462F">
        <w:rPr>
          <w:lang w:val="en-US"/>
        </w:rPr>
        <w:t xml:space="preserve">, </w:t>
      </w:r>
      <w:proofErr w:type="spellStart"/>
      <w:r w:rsidRPr="00E3462F">
        <w:rPr>
          <w:lang w:val="en-US"/>
        </w:rPr>
        <w:t>Astatkie</w:t>
      </w:r>
      <w:proofErr w:type="spellEnd"/>
      <w:r w:rsidR="002E4D8B">
        <w:rPr>
          <w:lang w:val="en-US"/>
        </w:rPr>
        <w:t xml:space="preserve"> T.</w:t>
      </w:r>
      <w:r w:rsidRPr="00E3462F">
        <w:rPr>
          <w:lang w:val="en-US"/>
        </w:rPr>
        <w:t>,</w:t>
      </w:r>
      <w:r w:rsidR="00FB622D">
        <w:rPr>
          <w:lang w:val="en-US"/>
        </w:rPr>
        <w:t xml:space="preserve"> 2018, </w:t>
      </w:r>
      <w:r w:rsidRPr="00E3462F">
        <w:rPr>
          <w:lang w:val="en-US"/>
        </w:rPr>
        <w:t>Hydrothermal liquefaction of biomass model components for product yield prediction and reaction pathways exploration,</w:t>
      </w:r>
      <w:r w:rsidR="00FB622D">
        <w:rPr>
          <w:lang w:val="en-US"/>
        </w:rPr>
        <w:t xml:space="preserve"> </w:t>
      </w:r>
      <w:r w:rsidRPr="00E3462F">
        <w:rPr>
          <w:lang w:val="en-US"/>
        </w:rPr>
        <w:t>Applied Energy,</w:t>
      </w:r>
      <w:r w:rsidR="00FB622D">
        <w:rPr>
          <w:lang w:val="en-US"/>
        </w:rPr>
        <w:t xml:space="preserve"> </w:t>
      </w:r>
      <w:r w:rsidRPr="00E3462F">
        <w:rPr>
          <w:lang w:val="en-US"/>
        </w:rPr>
        <w:t>228,</w:t>
      </w:r>
      <w:r w:rsidR="00263368">
        <w:rPr>
          <w:lang w:val="en-US"/>
        </w:rPr>
        <w:t xml:space="preserve"> </w:t>
      </w:r>
      <w:r w:rsidRPr="00E3462F">
        <w:rPr>
          <w:lang w:val="en-US"/>
        </w:rPr>
        <w:t>1618-1628,</w:t>
      </w:r>
    </w:p>
    <w:sectPr w:rsidR="00E3462F" w:rsidRPr="001A3CF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7068D" w14:textId="77777777" w:rsidR="00D077E7" w:rsidRDefault="00D077E7" w:rsidP="004F5E36">
      <w:r>
        <w:separator/>
      </w:r>
    </w:p>
  </w:endnote>
  <w:endnote w:type="continuationSeparator" w:id="0">
    <w:p w14:paraId="6E51D93B" w14:textId="77777777" w:rsidR="00D077E7" w:rsidRDefault="00D077E7" w:rsidP="004F5E36">
      <w:r>
        <w:continuationSeparator/>
      </w:r>
    </w:p>
  </w:endnote>
  <w:endnote w:type="continuationNotice" w:id="1">
    <w:p w14:paraId="2334895B" w14:textId="77777777" w:rsidR="00D077E7" w:rsidRDefault="00D077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11581" w14:textId="77777777" w:rsidR="00D077E7" w:rsidRDefault="00D077E7" w:rsidP="004F5E36">
      <w:r>
        <w:separator/>
      </w:r>
    </w:p>
  </w:footnote>
  <w:footnote w:type="continuationSeparator" w:id="0">
    <w:p w14:paraId="3545997B" w14:textId="77777777" w:rsidR="00D077E7" w:rsidRDefault="00D077E7" w:rsidP="004F5E36">
      <w:r>
        <w:continuationSeparator/>
      </w:r>
    </w:p>
  </w:footnote>
  <w:footnote w:type="continuationNotice" w:id="1">
    <w:p w14:paraId="75697F20" w14:textId="77777777" w:rsidR="00D077E7" w:rsidRDefault="00D077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248468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oFAOgN064tAAAA"/>
  </w:docVars>
  <w:rsids>
    <w:rsidRoot w:val="000E414A"/>
    <w:rsid w:val="00000DB4"/>
    <w:rsid w:val="000027C0"/>
    <w:rsid w:val="000052FB"/>
    <w:rsid w:val="0000774F"/>
    <w:rsid w:val="000117CB"/>
    <w:rsid w:val="00014FC5"/>
    <w:rsid w:val="0001585E"/>
    <w:rsid w:val="00016654"/>
    <w:rsid w:val="00021CDD"/>
    <w:rsid w:val="00022A5A"/>
    <w:rsid w:val="00022EA5"/>
    <w:rsid w:val="00025586"/>
    <w:rsid w:val="000313AE"/>
    <w:rsid w:val="0003148D"/>
    <w:rsid w:val="00031EEC"/>
    <w:rsid w:val="00032ABB"/>
    <w:rsid w:val="00032C20"/>
    <w:rsid w:val="000341EE"/>
    <w:rsid w:val="000357D9"/>
    <w:rsid w:val="000400ED"/>
    <w:rsid w:val="0004270E"/>
    <w:rsid w:val="0004372A"/>
    <w:rsid w:val="00044E2D"/>
    <w:rsid w:val="00045DD8"/>
    <w:rsid w:val="00051566"/>
    <w:rsid w:val="00052199"/>
    <w:rsid w:val="000579D7"/>
    <w:rsid w:val="00057E61"/>
    <w:rsid w:val="00057F8D"/>
    <w:rsid w:val="00060046"/>
    <w:rsid w:val="00060277"/>
    <w:rsid w:val="00062A9A"/>
    <w:rsid w:val="000634F7"/>
    <w:rsid w:val="0006374B"/>
    <w:rsid w:val="00065058"/>
    <w:rsid w:val="000654B6"/>
    <w:rsid w:val="00072116"/>
    <w:rsid w:val="00072DF3"/>
    <w:rsid w:val="00073334"/>
    <w:rsid w:val="00074B36"/>
    <w:rsid w:val="000764D7"/>
    <w:rsid w:val="000806E9"/>
    <w:rsid w:val="000813E8"/>
    <w:rsid w:val="00081CD5"/>
    <w:rsid w:val="00082497"/>
    <w:rsid w:val="00083DDA"/>
    <w:rsid w:val="00085DF4"/>
    <w:rsid w:val="00086C39"/>
    <w:rsid w:val="00087A90"/>
    <w:rsid w:val="00090286"/>
    <w:rsid w:val="00090D83"/>
    <w:rsid w:val="00091827"/>
    <w:rsid w:val="00092740"/>
    <w:rsid w:val="0009296D"/>
    <w:rsid w:val="00093991"/>
    <w:rsid w:val="00096EDF"/>
    <w:rsid w:val="000A03B2"/>
    <w:rsid w:val="000A228C"/>
    <w:rsid w:val="000A2D24"/>
    <w:rsid w:val="000A2DEA"/>
    <w:rsid w:val="000A4256"/>
    <w:rsid w:val="000A7C36"/>
    <w:rsid w:val="000B42F5"/>
    <w:rsid w:val="000B7AB4"/>
    <w:rsid w:val="000C00AF"/>
    <w:rsid w:val="000C3E3D"/>
    <w:rsid w:val="000C4BED"/>
    <w:rsid w:val="000D000A"/>
    <w:rsid w:val="000D0268"/>
    <w:rsid w:val="000D0E1D"/>
    <w:rsid w:val="000D2ED5"/>
    <w:rsid w:val="000D34BE"/>
    <w:rsid w:val="000D498C"/>
    <w:rsid w:val="000D62BB"/>
    <w:rsid w:val="000D75C5"/>
    <w:rsid w:val="000E102F"/>
    <w:rsid w:val="000E119D"/>
    <w:rsid w:val="000E36F1"/>
    <w:rsid w:val="000E3A73"/>
    <w:rsid w:val="000E414A"/>
    <w:rsid w:val="000F060C"/>
    <w:rsid w:val="000F093C"/>
    <w:rsid w:val="000F0BC5"/>
    <w:rsid w:val="000F1471"/>
    <w:rsid w:val="000F2227"/>
    <w:rsid w:val="000F787B"/>
    <w:rsid w:val="0010175B"/>
    <w:rsid w:val="00105372"/>
    <w:rsid w:val="00106690"/>
    <w:rsid w:val="001069D1"/>
    <w:rsid w:val="00106CF6"/>
    <w:rsid w:val="001163B1"/>
    <w:rsid w:val="001171B7"/>
    <w:rsid w:val="00117D2C"/>
    <w:rsid w:val="0012091F"/>
    <w:rsid w:val="00120A40"/>
    <w:rsid w:val="0012102A"/>
    <w:rsid w:val="001241CD"/>
    <w:rsid w:val="0012421B"/>
    <w:rsid w:val="00125B59"/>
    <w:rsid w:val="00126839"/>
    <w:rsid w:val="00126BC2"/>
    <w:rsid w:val="00127C92"/>
    <w:rsid w:val="00130230"/>
    <w:rsid w:val="001308B6"/>
    <w:rsid w:val="0013121F"/>
    <w:rsid w:val="00131FE6"/>
    <w:rsid w:val="0013263F"/>
    <w:rsid w:val="00132C44"/>
    <w:rsid w:val="001331DF"/>
    <w:rsid w:val="00134926"/>
    <w:rsid w:val="00134DE4"/>
    <w:rsid w:val="0014034D"/>
    <w:rsid w:val="00141B96"/>
    <w:rsid w:val="00144D16"/>
    <w:rsid w:val="00145237"/>
    <w:rsid w:val="00147B85"/>
    <w:rsid w:val="0015008C"/>
    <w:rsid w:val="00150E59"/>
    <w:rsid w:val="00152B1F"/>
    <w:rsid w:val="00152DE3"/>
    <w:rsid w:val="00154163"/>
    <w:rsid w:val="00160030"/>
    <w:rsid w:val="00164BA4"/>
    <w:rsid w:val="00164CF9"/>
    <w:rsid w:val="0016651E"/>
    <w:rsid w:val="001667A6"/>
    <w:rsid w:val="001670B1"/>
    <w:rsid w:val="00170262"/>
    <w:rsid w:val="00170839"/>
    <w:rsid w:val="0017329E"/>
    <w:rsid w:val="00175076"/>
    <w:rsid w:val="001752BC"/>
    <w:rsid w:val="001757E1"/>
    <w:rsid w:val="00180582"/>
    <w:rsid w:val="00182A02"/>
    <w:rsid w:val="00183D19"/>
    <w:rsid w:val="00184AD6"/>
    <w:rsid w:val="00184B62"/>
    <w:rsid w:val="00185449"/>
    <w:rsid w:val="00185B26"/>
    <w:rsid w:val="00191DEB"/>
    <w:rsid w:val="001921F2"/>
    <w:rsid w:val="00194610"/>
    <w:rsid w:val="001967D0"/>
    <w:rsid w:val="001A00FA"/>
    <w:rsid w:val="001A09A9"/>
    <w:rsid w:val="001A12F0"/>
    <w:rsid w:val="001A1800"/>
    <w:rsid w:val="001A2B39"/>
    <w:rsid w:val="001A32B8"/>
    <w:rsid w:val="001A3CF2"/>
    <w:rsid w:val="001A4AF7"/>
    <w:rsid w:val="001A50A6"/>
    <w:rsid w:val="001A58AD"/>
    <w:rsid w:val="001B018E"/>
    <w:rsid w:val="001B0349"/>
    <w:rsid w:val="001B0BC9"/>
    <w:rsid w:val="001B1804"/>
    <w:rsid w:val="001B1885"/>
    <w:rsid w:val="001B1E93"/>
    <w:rsid w:val="001B65C1"/>
    <w:rsid w:val="001B683E"/>
    <w:rsid w:val="001C183C"/>
    <w:rsid w:val="001C5D6D"/>
    <w:rsid w:val="001C62B2"/>
    <w:rsid w:val="001C684B"/>
    <w:rsid w:val="001D0810"/>
    <w:rsid w:val="001D0CFB"/>
    <w:rsid w:val="001D21AF"/>
    <w:rsid w:val="001D53FC"/>
    <w:rsid w:val="001D72C6"/>
    <w:rsid w:val="001E2CB3"/>
    <w:rsid w:val="001E442A"/>
    <w:rsid w:val="001E44CC"/>
    <w:rsid w:val="001E4616"/>
    <w:rsid w:val="001E4C23"/>
    <w:rsid w:val="001F11E2"/>
    <w:rsid w:val="001F1ED3"/>
    <w:rsid w:val="001F42A5"/>
    <w:rsid w:val="001F4DA7"/>
    <w:rsid w:val="001F5496"/>
    <w:rsid w:val="001F7B9D"/>
    <w:rsid w:val="00200B0F"/>
    <w:rsid w:val="00200B15"/>
    <w:rsid w:val="00200BF9"/>
    <w:rsid w:val="00201C93"/>
    <w:rsid w:val="00202961"/>
    <w:rsid w:val="00203169"/>
    <w:rsid w:val="00205933"/>
    <w:rsid w:val="00206694"/>
    <w:rsid w:val="002066BC"/>
    <w:rsid w:val="002139BB"/>
    <w:rsid w:val="0021411C"/>
    <w:rsid w:val="00214427"/>
    <w:rsid w:val="00217B46"/>
    <w:rsid w:val="00220F9E"/>
    <w:rsid w:val="002224B4"/>
    <w:rsid w:val="002257F0"/>
    <w:rsid w:val="00232E1C"/>
    <w:rsid w:val="0023311D"/>
    <w:rsid w:val="00234DC5"/>
    <w:rsid w:val="00242457"/>
    <w:rsid w:val="00242477"/>
    <w:rsid w:val="002447EF"/>
    <w:rsid w:val="002473D6"/>
    <w:rsid w:val="00247518"/>
    <w:rsid w:val="00247908"/>
    <w:rsid w:val="00247A23"/>
    <w:rsid w:val="00251550"/>
    <w:rsid w:val="0025435C"/>
    <w:rsid w:val="00254E72"/>
    <w:rsid w:val="002578B6"/>
    <w:rsid w:val="00260504"/>
    <w:rsid w:val="00260FE3"/>
    <w:rsid w:val="0026101D"/>
    <w:rsid w:val="002610C3"/>
    <w:rsid w:val="00263353"/>
    <w:rsid w:val="00263368"/>
    <w:rsid w:val="00263B05"/>
    <w:rsid w:val="0026446C"/>
    <w:rsid w:val="00266919"/>
    <w:rsid w:val="00271328"/>
    <w:rsid w:val="00271592"/>
    <w:rsid w:val="00271875"/>
    <w:rsid w:val="0027221A"/>
    <w:rsid w:val="00272346"/>
    <w:rsid w:val="002739D9"/>
    <w:rsid w:val="00275203"/>
    <w:rsid w:val="00275B61"/>
    <w:rsid w:val="002778F0"/>
    <w:rsid w:val="00280FAF"/>
    <w:rsid w:val="00282405"/>
    <w:rsid w:val="00282656"/>
    <w:rsid w:val="00282F34"/>
    <w:rsid w:val="00283ACB"/>
    <w:rsid w:val="002841B9"/>
    <w:rsid w:val="002851C7"/>
    <w:rsid w:val="002852A5"/>
    <w:rsid w:val="00285422"/>
    <w:rsid w:val="00286134"/>
    <w:rsid w:val="00290491"/>
    <w:rsid w:val="00291600"/>
    <w:rsid w:val="00292482"/>
    <w:rsid w:val="0029559A"/>
    <w:rsid w:val="00296397"/>
    <w:rsid w:val="00296926"/>
    <w:rsid w:val="00296B83"/>
    <w:rsid w:val="002A014D"/>
    <w:rsid w:val="002A18EB"/>
    <w:rsid w:val="002A313D"/>
    <w:rsid w:val="002A4CA6"/>
    <w:rsid w:val="002A4FF5"/>
    <w:rsid w:val="002A5D2B"/>
    <w:rsid w:val="002A7720"/>
    <w:rsid w:val="002A7D46"/>
    <w:rsid w:val="002B09A7"/>
    <w:rsid w:val="002B0BBE"/>
    <w:rsid w:val="002B14A1"/>
    <w:rsid w:val="002B2F54"/>
    <w:rsid w:val="002B4015"/>
    <w:rsid w:val="002B550D"/>
    <w:rsid w:val="002B5684"/>
    <w:rsid w:val="002B732B"/>
    <w:rsid w:val="002B78CE"/>
    <w:rsid w:val="002C2FB6"/>
    <w:rsid w:val="002C5553"/>
    <w:rsid w:val="002D021E"/>
    <w:rsid w:val="002D31DC"/>
    <w:rsid w:val="002D3279"/>
    <w:rsid w:val="002D603D"/>
    <w:rsid w:val="002D6EF3"/>
    <w:rsid w:val="002D6FFA"/>
    <w:rsid w:val="002D7CBB"/>
    <w:rsid w:val="002E0D13"/>
    <w:rsid w:val="002E22A5"/>
    <w:rsid w:val="002E2E98"/>
    <w:rsid w:val="002E4D8B"/>
    <w:rsid w:val="002E54DA"/>
    <w:rsid w:val="002E5869"/>
    <w:rsid w:val="002E5FA7"/>
    <w:rsid w:val="002E619A"/>
    <w:rsid w:val="002F3309"/>
    <w:rsid w:val="002F3720"/>
    <w:rsid w:val="002F3E15"/>
    <w:rsid w:val="002F42E6"/>
    <w:rsid w:val="003008CE"/>
    <w:rsid w:val="003009B7"/>
    <w:rsid w:val="00300E56"/>
    <w:rsid w:val="0030219C"/>
    <w:rsid w:val="00303C3E"/>
    <w:rsid w:val="0030469C"/>
    <w:rsid w:val="00307DBC"/>
    <w:rsid w:val="00311373"/>
    <w:rsid w:val="00312613"/>
    <w:rsid w:val="003133B6"/>
    <w:rsid w:val="00315F4F"/>
    <w:rsid w:val="00317CF3"/>
    <w:rsid w:val="00320612"/>
    <w:rsid w:val="00321CA6"/>
    <w:rsid w:val="00323763"/>
    <w:rsid w:val="00326404"/>
    <w:rsid w:val="00333BA6"/>
    <w:rsid w:val="00334C09"/>
    <w:rsid w:val="00336858"/>
    <w:rsid w:val="00336E70"/>
    <w:rsid w:val="0033707A"/>
    <w:rsid w:val="00337FD6"/>
    <w:rsid w:val="003405C3"/>
    <w:rsid w:val="00340F89"/>
    <w:rsid w:val="0034129B"/>
    <w:rsid w:val="003414B6"/>
    <w:rsid w:val="00341F18"/>
    <w:rsid w:val="00342612"/>
    <w:rsid w:val="00342CE9"/>
    <w:rsid w:val="00347E98"/>
    <w:rsid w:val="00352756"/>
    <w:rsid w:val="003529CC"/>
    <w:rsid w:val="003540DD"/>
    <w:rsid w:val="00354FB8"/>
    <w:rsid w:val="00356CB6"/>
    <w:rsid w:val="00362C6E"/>
    <w:rsid w:val="00362D4A"/>
    <w:rsid w:val="0037119C"/>
    <w:rsid w:val="003723D4"/>
    <w:rsid w:val="00372566"/>
    <w:rsid w:val="00374681"/>
    <w:rsid w:val="00377120"/>
    <w:rsid w:val="00377701"/>
    <w:rsid w:val="0038085C"/>
    <w:rsid w:val="00380919"/>
    <w:rsid w:val="0038095F"/>
    <w:rsid w:val="00381905"/>
    <w:rsid w:val="0038219D"/>
    <w:rsid w:val="003833C2"/>
    <w:rsid w:val="003841D5"/>
    <w:rsid w:val="00384608"/>
    <w:rsid w:val="00384CC8"/>
    <w:rsid w:val="00385124"/>
    <w:rsid w:val="003871FD"/>
    <w:rsid w:val="00390B37"/>
    <w:rsid w:val="00392E2D"/>
    <w:rsid w:val="00394311"/>
    <w:rsid w:val="00394B13"/>
    <w:rsid w:val="003979CE"/>
    <w:rsid w:val="003A1E30"/>
    <w:rsid w:val="003A2829"/>
    <w:rsid w:val="003A2966"/>
    <w:rsid w:val="003A3D22"/>
    <w:rsid w:val="003A49DB"/>
    <w:rsid w:val="003A50EC"/>
    <w:rsid w:val="003A51AB"/>
    <w:rsid w:val="003A5DF8"/>
    <w:rsid w:val="003A7190"/>
    <w:rsid w:val="003A7D1C"/>
    <w:rsid w:val="003B0128"/>
    <w:rsid w:val="003B14D4"/>
    <w:rsid w:val="003B2CA7"/>
    <w:rsid w:val="003B304B"/>
    <w:rsid w:val="003B3146"/>
    <w:rsid w:val="003B3529"/>
    <w:rsid w:val="003B389A"/>
    <w:rsid w:val="003B6B5A"/>
    <w:rsid w:val="003C360B"/>
    <w:rsid w:val="003C3AA3"/>
    <w:rsid w:val="003C5578"/>
    <w:rsid w:val="003C5E54"/>
    <w:rsid w:val="003D00F4"/>
    <w:rsid w:val="003D087C"/>
    <w:rsid w:val="003D130A"/>
    <w:rsid w:val="003D2977"/>
    <w:rsid w:val="003D35BA"/>
    <w:rsid w:val="003D3D5B"/>
    <w:rsid w:val="003D3DB4"/>
    <w:rsid w:val="003D3DCD"/>
    <w:rsid w:val="003D459D"/>
    <w:rsid w:val="003D6CE8"/>
    <w:rsid w:val="003D71A6"/>
    <w:rsid w:val="003E002A"/>
    <w:rsid w:val="003E428C"/>
    <w:rsid w:val="003E71A0"/>
    <w:rsid w:val="003F0091"/>
    <w:rsid w:val="003F015E"/>
    <w:rsid w:val="003F2249"/>
    <w:rsid w:val="003F5B86"/>
    <w:rsid w:val="003F6A47"/>
    <w:rsid w:val="003F708A"/>
    <w:rsid w:val="004001E4"/>
    <w:rsid w:val="00400414"/>
    <w:rsid w:val="0040100F"/>
    <w:rsid w:val="00403E9E"/>
    <w:rsid w:val="00403EC6"/>
    <w:rsid w:val="0040481C"/>
    <w:rsid w:val="00411F7C"/>
    <w:rsid w:val="00412744"/>
    <w:rsid w:val="00412A6A"/>
    <w:rsid w:val="00413071"/>
    <w:rsid w:val="0041439B"/>
    <w:rsid w:val="0041446B"/>
    <w:rsid w:val="00421168"/>
    <w:rsid w:val="00421A08"/>
    <w:rsid w:val="0042339D"/>
    <w:rsid w:val="0042536D"/>
    <w:rsid w:val="0042584D"/>
    <w:rsid w:val="00427C17"/>
    <w:rsid w:val="00430459"/>
    <w:rsid w:val="0043493E"/>
    <w:rsid w:val="00436E06"/>
    <w:rsid w:val="004376A0"/>
    <w:rsid w:val="0044071E"/>
    <w:rsid w:val="00442EAD"/>
    <w:rsid w:val="0044329C"/>
    <w:rsid w:val="0044401C"/>
    <w:rsid w:val="00445C55"/>
    <w:rsid w:val="004462B6"/>
    <w:rsid w:val="004500C9"/>
    <w:rsid w:val="00453AA9"/>
    <w:rsid w:val="00453E24"/>
    <w:rsid w:val="004568E3"/>
    <w:rsid w:val="00457456"/>
    <w:rsid w:val="00457791"/>
    <w:rsid w:val="004577FE"/>
    <w:rsid w:val="004578B4"/>
    <w:rsid w:val="00457B9C"/>
    <w:rsid w:val="004600D1"/>
    <w:rsid w:val="0046125C"/>
    <w:rsid w:val="0046164A"/>
    <w:rsid w:val="004628D2"/>
    <w:rsid w:val="00462D7C"/>
    <w:rsid w:val="00462DCD"/>
    <w:rsid w:val="004638F4"/>
    <w:rsid w:val="004641EB"/>
    <w:rsid w:val="004648AD"/>
    <w:rsid w:val="0046619F"/>
    <w:rsid w:val="00467B06"/>
    <w:rsid w:val="004703A9"/>
    <w:rsid w:val="0047161C"/>
    <w:rsid w:val="00472384"/>
    <w:rsid w:val="00474C7E"/>
    <w:rsid w:val="004760DE"/>
    <w:rsid w:val="004763D7"/>
    <w:rsid w:val="004764E1"/>
    <w:rsid w:val="00476575"/>
    <w:rsid w:val="00477237"/>
    <w:rsid w:val="004772A5"/>
    <w:rsid w:val="00477B37"/>
    <w:rsid w:val="00484B8A"/>
    <w:rsid w:val="00485D00"/>
    <w:rsid w:val="004870E2"/>
    <w:rsid w:val="004901B7"/>
    <w:rsid w:val="00490741"/>
    <w:rsid w:val="00494793"/>
    <w:rsid w:val="00494D2F"/>
    <w:rsid w:val="0049533E"/>
    <w:rsid w:val="00497E4F"/>
    <w:rsid w:val="004A004E"/>
    <w:rsid w:val="004A24CF"/>
    <w:rsid w:val="004A3FAC"/>
    <w:rsid w:val="004B04B1"/>
    <w:rsid w:val="004B0BAE"/>
    <w:rsid w:val="004B1088"/>
    <w:rsid w:val="004B12D6"/>
    <w:rsid w:val="004B12DE"/>
    <w:rsid w:val="004B281E"/>
    <w:rsid w:val="004B36B8"/>
    <w:rsid w:val="004B50C0"/>
    <w:rsid w:val="004B64BD"/>
    <w:rsid w:val="004B6A89"/>
    <w:rsid w:val="004B70E5"/>
    <w:rsid w:val="004B743D"/>
    <w:rsid w:val="004C1A48"/>
    <w:rsid w:val="004C2163"/>
    <w:rsid w:val="004C3D1D"/>
    <w:rsid w:val="004C52E1"/>
    <w:rsid w:val="004C5ED6"/>
    <w:rsid w:val="004C7913"/>
    <w:rsid w:val="004D1F58"/>
    <w:rsid w:val="004D6E6A"/>
    <w:rsid w:val="004D777E"/>
    <w:rsid w:val="004E0061"/>
    <w:rsid w:val="004E13F1"/>
    <w:rsid w:val="004E19A7"/>
    <w:rsid w:val="004E4DD6"/>
    <w:rsid w:val="004E5D6A"/>
    <w:rsid w:val="004E5DC3"/>
    <w:rsid w:val="004F0805"/>
    <w:rsid w:val="004F086A"/>
    <w:rsid w:val="004F39FF"/>
    <w:rsid w:val="004F5BFB"/>
    <w:rsid w:val="004F5E36"/>
    <w:rsid w:val="004F68FB"/>
    <w:rsid w:val="00500E1F"/>
    <w:rsid w:val="00504E5A"/>
    <w:rsid w:val="00506E2D"/>
    <w:rsid w:val="00507B47"/>
    <w:rsid w:val="00507BEF"/>
    <w:rsid w:val="00507CC9"/>
    <w:rsid w:val="005119A5"/>
    <w:rsid w:val="00513CE0"/>
    <w:rsid w:val="00514866"/>
    <w:rsid w:val="0051660C"/>
    <w:rsid w:val="00516CF8"/>
    <w:rsid w:val="00521D62"/>
    <w:rsid w:val="00525510"/>
    <w:rsid w:val="0052706D"/>
    <w:rsid w:val="005278B7"/>
    <w:rsid w:val="00527EE1"/>
    <w:rsid w:val="00530DC7"/>
    <w:rsid w:val="005310AD"/>
    <w:rsid w:val="00532016"/>
    <w:rsid w:val="00532D3F"/>
    <w:rsid w:val="005338DA"/>
    <w:rsid w:val="005346C8"/>
    <w:rsid w:val="00537A14"/>
    <w:rsid w:val="0054098A"/>
    <w:rsid w:val="005413B9"/>
    <w:rsid w:val="0054314C"/>
    <w:rsid w:val="005433CC"/>
    <w:rsid w:val="00543B70"/>
    <w:rsid w:val="00543E39"/>
    <w:rsid w:val="00543E7D"/>
    <w:rsid w:val="00547A68"/>
    <w:rsid w:val="005500B6"/>
    <w:rsid w:val="00552F0A"/>
    <w:rsid w:val="005531C9"/>
    <w:rsid w:val="00553DF4"/>
    <w:rsid w:val="00553E85"/>
    <w:rsid w:val="005578F9"/>
    <w:rsid w:val="005607F4"/>
    <w:rsid w:val="005619FD"/>
    <w:rsid w:val="00561D6E"/>
    <w:rsid w:val="00562419"/>
    <w:rsid w:val="005625E2"/>
    <w:rsid w:val="005640A8"/>
    <w:rsid w:val="005640F4"/>
    <w:rsid w:val="00570C43"/>
    <w:rsid w:val="0057395D"/>
    <w:rsid w:val="00576115"/>
    <w:rsid w:val="00583337"/>
    <w:rsid w:val="005838AB"/>
    <w:rsid w:val="00586D1E"/>
    <w:rsid w:val="00586DE8"/>
    <w:rsid w:val="005878C0"/>
    <w:rsid w:val="00596B37"/>
    <w:rsid w:val="00596B84"/>
    <w:rsid w:val="005A2854"/>
    <w:rsid w:val="005A287C"/>
    <w:rsid w:val="005A28D2"/>
    <w:rsid w:val="005A5319"/>
    <w:rsid w:val="005A6809"/>
    <w:rsid w:val="005A7C40"/>
    <w:rsid w:val="005B2110"/>
    <w:rsid w:val="005B2997"/>
    <w:rsid w:val="005B35A6"/>
    <w:rsid w:val="005B4A96"/>
    <w:rsid w:val="005B61E6"/>
    <w:rsid w:val="005B73FD"/>
    <w:rsid w:val="005B75AA"/>
    <w:rsid w:val="005B761F"/>
    <w:rsid w:val="005B778A"/>
    <w:rsid w:val="005C1986"/>
    <w:rsid w:val="005C5028"/>
    <w:rsid w:val="005C625C"/>
    <w:rsid w:val="005C71A1"/>
    <w:rsid w:val="005C73D0"/>
    <w:rsid w:val="005C77E1"/>
    <w:rsid w:val="005D0E0D"/>
    <w:rsid w:val="005D1919"/>
    <w:rsid w:val="005D195D"/>
    <w:rsid w:val="005D19D2"/>
    <w:rsid w:val="005D1A00"/>
    <w:rsid w:val="005D3EDD"/>
    <w:rsid w:val="005D668A"/>
    <w:rsid w:val="005D6A2F"/>
    <w:rsid w:val="005E1A82"/>
    <w:rsid w:val="005E29EB"/>
    <w:rsid w:val="005E3DAF"/>
    <w:rsid w:val="005E4529"/>
    <w:rsid w:val="005E5589"/>
    <w:rsid w:val="005E57A6"/>
    <w:rsid w:val="005E589C"/>
    <w:rsid w:val="005E6935"/>
    <w:rsid w:val="005E794C"/>
    <w:rsid w:val="005F0A28"/>
    <w:rsid w:val="005F0E5E"/>
    <w:rsid w:val="005F1025"/>
    <w:rsid w:val="005F2DE6"/>
    <w:rsid w:val="005F3017"/>
    <w:rsid w:val="005F3182"/>
    <w:rsid w:val="005F3930"/>
    <w:rsid w:val="005F5104"/>
    <w:rsid w:val="005F56E7"/>
    <w:rsid w:val="005F66E5"/>
    <w:rsid w:val="00600535"/>
    <w:rsid w:val="00603506"/>
    <w:rsid w:val="006046E4"/>
    <w:rsid w:val="0060530C"/>
    <w:rsid w:val="00605565"/>
    <w:rsid w:val="00607CA0"/>
    <w:rsid w:val="00607E2D"/>
    <w:rsid w:val="00610C8B"/>
    <w:rsid w:val="00610CD6"/>
    <w:rsid w:val="00614783"/>
    <w:rsid w:val="0061713D"/>
    <w:rsid w:val="00617D33"/>
    <w:rsid w:val="00620DEE"/>
    <w:rsid w:val="00621F92"/>
    <w:rsid w:val="0062263E"/>
    <w:rsid w:val="0062280A"/>
    <w:rsid w:val="00624E28"/>
    <w:rsid w:val="00625639"/>
    <w:rsid w:val="00626DCE"/>
    <w:rsid w:val="00627472"/>
    <w:rsid w:val="00631B33"/>
    <w:rsid w:val="00631F75"/>
    <w:rsid w:val="006339F8"/>
    <w:rsid w:val="00633A35"/>
    <w:rsid w:val="00633F61"/>
    <w:rsid w:val="00635D69"/>
    <w:rsid w:val="00641020"/>
    <w:rsid w:val="00641162"/>
    <w:rsid w:val="0064184D"/>
    <w:rsid w:val="006422CC"/>
    <w:rsid w:val="00643E60"/>
    <w:rsid w:val="0064401F"/>
    <w:rsid w:val="00644058"/>
    <w:rsid w:val="00646F04"/>
    <w:rsid w:val="00651028"/>
    <w:rsid w:val="00651109"/>
    <w:rsid w:val="006538E4"/>
    <w:rsid w:val="00660E3E"/>
    <w:rsid w:val="00661D19"/>
    <w:rsid w:val="00662E74"/>
    <w:rsid w:val="006667DE"/>
    <w:rsid w:val="006676FF"/>
    <w:rsid w:val="00671860"/>
    <w:rsid w:val="00672EEE"/>
    <w:rsid w:val="00674798"/>
    <w:rsid w:val="00675B9E"/>
    <w:rsid w:val="00676764"/>
    <w:rsid w:val="0067710B"/>
    <w:rsid w:val="00680C23"/>
    <w:rsid w:val="0068246E"/>
    <w:rsid w:val="00682631"/>
    <w:rsid w:val="00685197"/>
    <w:rsid w:val="00687288"/>
    <w:rsid w:val="006875F3"/>
    <w:rsid w:val="006878BB"/>
    <w:rsid w:val="00690958"/>
    <w:rsid w:val="00691093"/>
    <w:rsid w:val="00693766"/>
    <w:rsid w:val="006947CB"/>
    <w:rsid w:val="0069480C"/>
    <w:rsid w:val="00694913"/>
    <w:rsid w:val="006A0323"/>
    <w:rsid w:val="006A3281"/>
    <w:rsid w:val="006A38CD"/>
    <w:rsid w:val="006A48A3"/>
    <w:rsid w:val="006A79FB"/>
    <w:rsid w:val="006B0125"/>
    <w:rsid w:val="006B0711"/>
    <w:rsid w:val="006B16A7"/>
    <w:rsid w:val="006B26EA"/>
    <w:rsid w:val="006B3378"/>
    <w:rsid w:val="006B4888"/>
    <w:rsid w:val="006B48AE"/>
    <w:rsid w:val="006B574D"/>
    <w:rsid w:val="006B774C"/>
    <w:rsid w:val="006B7A5B"/>
    <w:rsid w:val="006C2E45"/>
    <w:rsid w:val="006C2F64"/>
    <w:rsid w:val="006C3252"/>
    <w:rsid w:val="006C359C"/>
    <w:rsid w:val="006C40E1"/>
    <w:rsid w:val="006C5579"/>
    <w:rsid w:val="006D137D"/>
    <w:rsid w:val="006D1905"/>
    <w:rsid w:val="006D342D"/>
    <w:rsid w:val="006D3798"/>
    <w:rsid w:val="006D60BE"/>
    <w:rsid w:val="006D6E8B"/>
    <w:rsid w:val="006D78A3"/>
    <w:rsid w:val="006E3036"/>
    <w:rsid w:val="006E737D"/>
    <w:rsid w:val="006F0239"/>
    <w:rsid w:val="006F0E1F"/>
    <w:rsid w:val="006F20F4"/>
    <w:rsid w:val="006F4100"/>
    <w:rsid w:val="006F5083"/>
    <w:rsid w:val="006F5801"/>
    <w:rsid w:val="006F6A28"/>
    <w:rsid w:val="00705A1E"/>
    <w:rsid w:val="00705C27"/>
    <w:rsid w:val="00712693"/>
    <w:rsid w:val="007134FC"/>
    <w:rsid w:val="00713973"/>
    <w:rsid w:val="00714599"/>
    <w:rsid w:val="00720119"/>
    <w:rsid w:val="00720A24"/>
    <w:rsid w:val="00722CE8"/>
    <w:rsid w:val="007248A8"/>
    <w:rsid w:val="00724A12"/>
    <w:rsid w:val="00725960"/>
    <w:rsid w:val="007259D7"/>
    <w:rsid w:val="00725B9A"/>
    <w:rsid w:val="007300D2"/>
    <w:rsid w:val="00730332"/>
    <w:rsid w:val="0073152C"/>
    <w:rsid w:val="0073232D"/>
    <w:rsid w:val="00732386"/>
    <w:rsid w:val="0073271C"/>
    <w:rsid w:val="00732727"/>
    <w:rsid w:val="007332F3"/>
    <w:rsid w:val="00733BB9"/>
    <w:rsid w:val="00733E93"/>
    <w:rsid w:val="0073514D"/>
    <w:rsid w:val="0073534B"/>
    <w:rsid w:val="007422E0"/>
    <w:rsid w:val="00742C4D"/>
    <w:rsid w:val="007447F3"/>
    <w:rsid w:val="007447FD"/>
    <w:rsid w:val="00746BCA"/>
    <w:rsid w:val="00747143"/>
    <w:rsid w:val="00747DBC"/>
    <w:rsid w:val="00750DBE"/>
    <w:rsid w:val="0075499F"/>
    <w:rsid w:val="007554BE"/>
    <w:rsid w:val="00757FC5"/>
    <w:rsid w:val="00760C07"/>
    <w:rsid w:val="00761C0E"/>
    <w:rsid w:val="0076394C"/>
    <w:rsid w:val="00764AEF"/>
    <w:rsid w:val="007652BC"/>
    <w:rsid w:val="007661C8"/>
    <w:rsid w:val="007703E6"/>
    <w:rsid w:val="0077098D"/>
    <w:rsid w:val="00771131"/>
    <w:rsid w:val="007711CE"/>
    <w:rsid w:val="00773E11"/>
    <w:rsid w:val="00777BAE"/>
    <w:rsid w:val="00780483"/>
    <w:rsid w:val="00783322"/>
    <w:rsid w:val="00786D1B"/>
    <w:rsid w:val="0078796F"/>
    <w:rsid w:val="00787AB7"/>
    <w:rsid w:val="00793190"/>
    <w:rsid w:val="007931FA"/>
    <w:rsid w:val="00794839"/>
    <w:rsid w:val="007960D7"/>
    <w:rsid w:val="00797182"/>
    <w:rsid w:val="0079769D"/>
    <w:rsid w:val="007A00E2"/>
    <w:rsid w:val="007A02B1"/>
    <w:rsid w:val="007A279D"/>
    <w:rsid w:val="007A4861"/>
    <w:rsid w:val="007A5E21"/>
    <w:rsid w:val="007A7BBA"/>
    <w:rsid w:val="007B0570"/>
    <w:rsid w:val="007B0861"/>
    <w:rsid w:val="007B0A41"/>
    <w:rsid w:val="007B0C50"/>
    <w:rsid w:val="007B26FB"/>
    <w:rsid w:val="007B2B40"/>
    <w:rsid w:val="007B362D"/>
    <w:rsid w:val="007B48F9"/>
    <w:rsid w:val="007B5523"/>
    <w:rsid w:val="007B5FAE"/>
    <w:rsid w:val="007B6694"/>
    <w:rsid w:val="007B71D8"/>
    <w:rsid w:val="007B77ED"/>
    <w:rsid w:val="007C1A43"/>
    <w:rsid w:val="007C40FA"/>
    <w:rsid w:val="007D1432"/>
    <w:rsid w:val="007D17E3"/>
    <w:rsid w:val="007D23F6"/>
    <w:rsid w:val="007D2DF1"/>
    <w:rsid w:val="007D2F4B"/>
    <w:rsid w:val="007E0AFD"/>
    <w:rsid w:val="007E0CC1"/>
    <w:rsid w:val="007E41ED"/>
    <w:rsid w:val="007E55C0"/>
    <w:rsid w:val="007E65B3"/>
    <w:rsid w:val="007F26D6"/>
    <w:rsid w:val="007F58A9"/>
    <w:rsid w:val="007F5AB5"/>
    <w:rsid w:val="0080013E"/>
    <w:rsid w:val="00800992"/>
    <w:rsid w:val="008038F5"/>
    <w:rsid w:val="0080525B"/>
    <w:rsid w:val="00807B16"/>
    <w:rsid w:val="008116C3"/>
    <w:rsid w:val="00812183"/>
    <w:rsid w:val="00812E06"/>
    <w:rsid w:val="008130E1"/>
    <w:rsid w:val="00813288"/>
    <w:rsid w:val="008158B2"/>
    <w:rsid w:val="008168FC"/>
    <w:rsid w:val="00816BAE"/>
    <w:rsid w:val="00820DF4"/>
    <w:rsid w:val="008213B4"/>
    <w:rsid w:val="00821A0A"/>
    <w:rsid w:val="0082236B"/>
    <w:rsid w:val="00822B19"/>
    <w:rsid w:val="00824260"/>
    <w:rsid w:val="00825E25"/>
    <w:rsid w:val="008261DC"/>
    <w:rsid w:val="008303C3"/>
    <w:rsid w:val="00830996"/>
    <w:rsid w:val="00830DBA"/>
    <w:rsid w:val="008314E0"/>
    <w:rsid w:val="008325E3"/>
    <w:rsid w:val="008334F6"/>
    <w:rsid w:val="008345F1"/>
    <w:rsid w:val="00834922"/>
    <w:rsid w:val="00834B03"/>
    <w:rsid w:val="00836601"/>
    <w:rsid w:val="00843496"/>
    <w:rsid w:val="0085076B"/>
    <w:rsid w:val="008524F9"/>
    <w:rsid w:val="00862FCE"/>
    <w:rsid w:val="00863DDE"/>
    <w:rsid w:val="00865B07"/>
    <w:rsid w:val="00865BB6"/>
    <w:rsid w:val="00865DDF"/>
    <w:rsid w:val="00866566"/>
    <w:rsid w:val="0086671E"/>
    <w:rsid w:val="008667EA"/>
    <w:rsid w:val="00870548"/>
    <w:rsid w:val="008726AF"/>
    <w:rsid w:val="00874D6F"/>
    <w:rsid w:val="0087637F"/>
    <w:rsid w:val="00877A3E"/>
    <w:rsid w:val="00880CAA"/>
    <w:rsid w:val="00881BA8"/>
    <w:rsid w:val="00881E87"/>
    <w:rsid w:val="00882473"/>
    <w:rsid w:val="008827BF"/>
    <w:rsid w:val="00883144"/>
    <w:rsid w:val="00884797"/>
    <w:rsid w:val="008916B9"/>
    <w:rsid w:val="00891AD0"/>
    <w:rsid w:val="00892AD5"/>
    <w:rsid w:val="0089338C"/>
    <w:rsid w:val="00893747"/>
    <w:rsid w:val="008944D3"/>
    <w:rsid w:val="008947DC"/>
    <w:rsid w:val="00896E70"/>
    <w:rsid w:val="00897B7A"/>
    <w:rsid w:val="008A129A"/>
    <w:rsid w:val="008A1512"/>
    <w:rsid w:val="008A33F4"/>
    <w:rsid w:val="008A3F5B"/>
    <w:rsid w:val="008A48A0"/>
    <w:rsid w:val="008A79B3"/>
    <w:rsid w:val="008A7F0F"/>
    <w:rsid w:val="008B38A5"/>
    <w:rsid w:val="008B52CB"/>
    <w:rsid w:val="008B5680"/>
    <w:rsid w:val="008B5ACA"/>
    <w:rsid w:val="008B614C"/>
    <w:rsid w:val="008B6166"/>
    <w:rsid w:val="008B6FD9"/>
    <w:rsid w:val="008C0770"/>
    <w:rsid w:val="008C1E34"/>
    <w:rsid w:val="008C68BF"/>
    <w:rsid w:val="008C7E52"/>
    <w:rsid w:val="008C7F96"/>
    <w:rsid w:val="008D10B8"/>
    <w:rsid w:val="008D32B9"/>
    <w:rsid w:val="008D3331"/>
    <w:rsid w:val="008D433B"/>
    <w:rsid w:val="008D570A"/>
    <w:rsid w:val="008D6B7E"/>
    <w:rsid w:val="008E4B37"/>
    <w:rsid w:val="008E54C9"/>
    <w:rsid w:val="008E566E"/>
    <w:rsid w:val="008E7DB2"/>
    <w:rsid w:val="008F2237"/>
    <w:rsid w:val="008F2D8A"/>
    <w:rsid w:val="008F42E0"/>
    <w:rsid w:val="008F4B45"/>
    <w:rsid w:val="0090161A"/>
    <w:rsid w:val="00901EB6"/>
    <w:rsid w:val="00904C62"/>
    <w:rsid w:val="00906722"/>
    <w:rsid w:val="0091100D"/>
    <w:rsid w:val="00911EB4"/>
    <w:rsid w:val="0092095E"/>
    <w:rsid w:val="00920BB6"/>
    <w:rsid w:val="00921AAE"/>
    <w:rsid w:val="00922109"/>
    <w:rsid w:val="00922BA8"/>
    <w:rsid w:val="00923BA8"/>
    <w:rsid w:val="00924DAC"/>
    <w:rsid w:val="00925018"/>
    <w:rsid w:val="0092683B"/>
    <w:rsid w:val="00927058"/>
    <w:rsid w:val="009273E1"/>
    <w:rsid w:val="00930B29"/>
    <w:rsid w:val="00936527"/>
    <w:rsid w:val="00936598"/>
    <w:rsid w:val="00940C11"/>
    <w:rsid w:val="00942750"/>
    <w:rsid w:val="00943179"/>
    <w:rsid w:val="009450CE"/>
    <w:rsid w:val="00947083"/>
    <w:rsid w:val="00947179"/>
    <w:rsid w:val="00947688"/>
    <w:rsid w:val="009500D9"/>
    <w:rsid w:val="0095164B"/>
    <w:rsid w:val="00952351"/>
    <w:rsid w:val="00954090"/>
    <w:rsid w:val="00955605"/>
    <w:rsid w:val="00955F18"/>
    <w:rsid w:val="009562DC"/>
    <w:rsid w:val="009573E7"/>
    <w:rsid w:val="009604DB"/>
    <w:rsid w:val="00963BC7"/>
    <w:rsid w:val="00963E05"/>
    <w:rsid w:val="00964A45"/>
    <w:rsid w:val="00967843"/>
    <w:rsid w:val="00967D54"/>
    <w:rsid w:val="00970D2A"/>
    <w:rsid w:val="00971028"/>
    <w:rsid w:val="009722CF"/>
    <w:rsid w:val="00973336"/>
    <w:rsid w:val="00973EBD"/>
    <w:rsid w:val="00974410"/>
    <w:rsid w:val="00974446"/>
    <w:rsid w:val="0097584D"/>
    <w:rsid w:val="0097754C"/>
    <w:rsid w:val="00977DFF"/>
    <w:rsid w:val="00983026"/>
    <w:rsid w:val="00983D50"/>
    <w:rsid w:val="00984F05"/>
    <w:rsid w:val="009855A5"/>
    <w:rsid w:val="00986D02"/>
    <w:rsid w:val="009878EC"/>
    <w:rsid w:val="00990EC8"/>
    <w:rsid w:val="00990F58"/>
    <w:rsid w:val="00992C45"/>
    <w:rsid w:val="00993B84"/>
    <w:rsid w:val="00996483"/>
    <w:rsid w:val="00996F5A"/>
    <w:rsid w:val="00997E12"/>
    <w:rsid w:val="009A2420"/>
    <w:rsid w:val="009A2D08"/>
    <w:rsid w:val="009A5AD2"/>
    <w:rsid w:val="009A79C3"/>
    <w:rsid w:val="009B0090"/>
    <w:rsid w:val="009B041A"/>
    <w:rsid w:val="009B1E1E"/>
    <w:rsid w:val="009B30A3"/>
    <w:rsid w:val="009B6C1D"/>
    <w:rsid w:val="009B79CC"/>
    <w:rsid w:val="009B7AA6"/>
    <w:rsid w:val="009B7F4C"/>
    <w:rsid w:val="009C0A1F"/>
    <w:rsid w:val="009C0F4A"/>
    <w:rsid w:val="009C1985"/>
    <w:rsid w:val="009C1DAD"/>
    <w:rsid w:val="009C1F31"/>
    <w:rsid w:val="009C37C3"/>
    <w:rsid w:val="009C50B5"/>
    <w:rsid w:val="009C5C90"/>
    <w:rsid w:val="009C758B"/>
    <w:rsid w:val="009C7AB9"/>
    <w:rsid w:val="009C7C86"/>
    <w:rsid w:val="009D299C"/>
    <w:rsid w:val="009D2FF7"/>
    <w:rsid w:val="009D3B4D"/>
    <w:rsid w:val="009D48A7"/>
    <w:rsid w:val="009D4CED"/>
    <w:rsid w:val="009D539E"/>
    <w:rsid w:val="009D68EC"/>
    <w:rsid w:val="009E00A8"/>
    <w:rsid w:val="009E0722"/>
    <w:rsid w:val="009E09F0"/>
    <w:rsid w:val="009E23D4"/>
    <w:rsid w:val="009E35CC"/>
    <w:rsid w:val="009E4267"/>
    <w:rsid w:val="009E6FCD"/>
    <w:rsid w:val="009E7884"/>
    <w:rsid w:val="009E788A"/>
    <w:rsid w:val="009F0187"/>
    <w:rsid w:val="009F0E08"/>
    <w:rsid w:val="009F3147"/>
    <w:rsid w:val="009F6E19"/>
    <w:rsid w:val="00A007B1"/>
    <w:rsid w:val="00A014AB"/>
    <w:rsid w:val="00A07254"/>
    <w:rsid w:val="00A12464"/>
    <w:rsid w:val="00A127B9"/>
    <w:rsid w:val="00A13E63"/>
    <w:rsid w:val="00A15D43"/>
    <w:rsid w:val="00A1763D"/>
    <w:rsid w:val="00A17CEC"/>
    <w:rsid w:val="00A17D59"/>
    <w:rsid w:val="00A20407"/>
    <w:rsid w:val="00A206E2"/>
    <w:rsid w:val="00A23152"/>
    <w:rsid w:val="00A23655"/>
    <w:rsid w:val="00A23946"/>
    <w:rsid w:val="00A247F0"/>
    <w:rsid w:val="00A26B42"/>
    <w:rsid w:val="00A276B2"/>
    <w:rsid w:val="00A27EF0"/>
    <w:rsid w:val="00A30A94"/>
    <w:rsid w:val="00A3123D"/>
    <w:rsid w:val="00A31954"/>
    <w:rsid w:val="00A32D28"/>
    <w:rsid w:val="00A333CA"/>
    <w:rsid w:val="00A34DFB"/>
    <w:rsid w:val="00A36D35"/>
    <w:rsid w:val="00A37E16"/>
    <w:rsid w:val="00A4085C"/>
    <w:rsid w:val="00A415DF"/>
    <w:rsid w:val="00A42361"/>
    <w:rsid w:val="00A463E1"/>
    <w:rsid w:val="00A50B20"/>
    <w:rsid w:val="00A51390"/>
    <w:rsid w:val="00A51809"/>
    <w:rsid w:val="00A51BA5"/>
    <w:rsid w:val="00A533F2"/>
    <w:rsid w:val="00A563F8"/>
    <w:rsid w:val="00A604C0"/>
    <w:rsid w:val="00A60702"/>
    <w:rsid w:val="00A60A0C"/>
    <w:rsid w:val="00A60D13"/>
    <w:rsid w:val="00A60EFF"/>
    <w:rsid w:val="00A6118A"/>
    <w:rsid w:val="00A6159B"/>
    <w:rsid w:val="00A6215C"/>
    <w:rsid w:val="00A66274"/>
    <w:rsid w:val="00A665CD"/>
    <w:rsid w:val="00A66A98"/>
    <w:rsid w:val="00A67880"/>
    <w:rsid w:val="00A71856"/>
    <w:rsid w:val="00A72745"/>
    <w:rsid w:val="00A7641C"/>
    <w:rsid w:val="00A76EFC"/>
    <w:rsid w:val="00A80B9F"/>
    <w:rsid w:val="00A81F20"/>
    <w:rsid w:val="00A8267F"/>
    <w:rsid w:val="00A84903"/>
    <w:rsid w:val="00A85A4F"/>
    <w:rsid w:val="00A86385"/>
    <w:rsid w:val="00A900FE"/>
    <w:rsid w:val="00A91010"/>
    <w:rsid w:val="00A934E6"/>
    <w:rsid w:val="00A95D7D"/>
    <w:rsid w:val="00A97347"/>
    <w:rsid w:val="00A97F29"/>
    <w:rsid w:val="00AA096C"/>
    <w:rsid w:val="00AA37F6"/>
    <w:rsid w:val="00AA45E8"/>
    <w:rsid w:val="00AA702E"/>
    <w:rsid w:val="00AB0964"/>
    <w:rsid w:val="00AB09C7"/>
    <w:rsid w:val="00AB2CAD"/>
    <w:rsid w:val="00AB410D"/>
    <w:rsid w:val="00AB4D63"/>
    <w:rsid w:val="00AB4F2E"/>
    <w:rsid w:val="00AB5011"/>
    <w:rsid w:val="00AB5FB7"/>
    <w:rsid w:val="00AB6D4B"/>
    <w:rsid w:val="00AB6FCD"/>
    <w:rsid w:val="00AB7AF8"/>
    <w:rsid w:val="00AC4FE3"/>
    <w:rsid w:val="00AC7219"/>
    <w:rsid w:val="00AC7368"/>
    <w:rsid w:val="00AC7E60"/>
    <w:rsid w:val="00AD0A22"/>
    <w:rsid w:val="00AD16B9"/>
    <w:rsid w:val="00AD24EC"/>
    <w:rsid w:val="00AD2E40"/>
    <w:rsid w:val="00AD2F5E"/>
    <w:rsid w:val="00AD31B1"/>
    <w:rsid w:val="00AD44D8"/>
    <w:rsid w:val="00AD5167"/>
    <w:rsid w:val="00AD6F1B"/>
    <w:rsid w:val="00AD7DEF"/>
    <w:rsid w:val="00AE289C"/>
    <w:rsid w:val="00AE365A"/>
    <w:rsid w:val="00AE377D"/>
    <w:rsid w:val="00AE3E98"/>
    <w:rsid w:val="00AE4767"/>
    <w:rsid w:val="00AE57B4"/>
    <w:rsid w:val="00AE5E70"/>
    <w:rsid w:val="00AE6BC1"/>
    <w:rsid w:val="00AF0EBA"/>
    <w:rsid w:val="00AF12DF"/>
    <w:rsid w:val="00AF1AF3"/>
    <w:rsid w:val="00AF1E85"/>
    <w:rsid w:val="00AF2A34"/>
    <w:rsid w:val="00AF53F5"/>
    <w:rsid w:val="00AF5EAE"/>
    <w:rsid w:val="00AF63F5"/>
    <w:rsid w:val="00AF689A"/>
    <w:rsid w:val="00B00AB8"/>
    <w:rsid w:val="00B02C8A"/>
    <w:rsid w:val="00B03225"/>
    <w:rsid w:val="00B0472F"/>
    <w:rsid w:val="00B050D6"/>
    <w:rsid w:val="00B052D9"/>
    <w:rsid w:val="00B06A88"/>
    <w:rsid w:val="00B07E7E"/>
    <w:rsid w:val="00B122A2"/>
    <w:rsid w:val="00B172D3"/>
    <w:rsid w:val="00B17FBD"/>
    <w:rsid w:val="00B22523"/>
    <w:rsid w:val="00B25600"/>
    <w:rsid w:val="00B2728F"/>
    <w:rsid w:val="00B30588"/>
    <w:rsid w:val="00B307F6"/>
    <w:rsid w:val="00B315A6"/>
    <w:rsid w:val="00B31813"/>
    <w:rsid w:val="00B32BEB"/>
    <w:rsid w:val="00B33026"/>
    <w:rsid w:val="00B33365"/>
    <w:rsid w:val="00B33849"/>
    <w:rsid w:val="00B33BAA"/>
    <w:rsid w:val="00B362A3"/>
    <w:rsid w:val="00B4646F"/>
    <w:rsid w:val="00B472CD"/>
    <w:rsid w:val="00B504FE"/>
    <w:rsid w:val="00B51611"/>
    <w:rsid w:val="00B5243F"/>
    <w:rsid w:val="00B55A37"/>
    <w:rsid w:val="00B5770F"/>
    <w:rsid w:val="00B57A6E"/>
    <w:rsid w:val="00B57B36"/>
    <w:rsid w:val="00B57E6F"/>
    <w:rsid w:val="00B60C24"/>
    <w:rsid w:val="00B661FA"/>
    <w:rsid w:val="00B674B7"/>
    <w:rsid w:val="00B700B1"/>
    <w:rsid w:val="00B710AB"/>
    <w:rsid w:val="00B717AB"/>
    <w:rsid w:val="00B7193F"/>
    <w:rsid w:val="00B71A11"/>
    <w:rsid w:val="00B729E8"/>
    <w:rsid w:val="00B74385"/>
    <w:rsid w:val="00B74E09"/>
    <w:rsid w:val="00B75CA3"/>
    <w:rsid w:val="00B76A5C"/>
    <w:rsid w:val="00B773C0"/>
    <w:rsid w:val="00B80F90"/>
    <w:rsid w:val="00B81203"/>
    <w:rsid w:val="00B81CB5"/>
    <w:rsid w:val="00B83E55"/>
    <w:rsid w:val="00B84121"/>
    <w:rsid w:val="00B841ED"/>
    <w:rsid w:val="00B84492"/>
    <w:rsid w:val="00B84CCF"/>
    <w:rsid w:val="00B858B7"/>
    <w:rsid w:val="00B8686D"/>
    <w:rsid w:val="00B92018"/>
    <w:rsid w:val="00B93F69"/>
    <w:rsid w:val="00B9708F"/>
    <w:rsid w:val="00BA3734"/>
    <w:rsid w:val="00BA56F1"/>
    <w:rsid w:val="00BA5B54"/>
    <w:rsid w:val="00BA64EE"/>
    <w:rsid w:val="00BB08DA"/>
    <w:rsid w:val="00BB1DDC"/>
    <w:rsid w:val="00BB202E"/>
    <w:rsid w:val="00BB3373"/>
    <w:rsid w:val="00BB60BE"/>
    <w:rsid w:val="00BC23A5"/>
    <w:rsid w:val="00BC30C9"/>
    <w:rsid w:val="00BC38D2"/>
    <w:rsid w:val="00BC4333"/>
    <w:rsid w:val="00BC4B8E"/>
    <w:rsid w:val="00BC745D"/>
    <w:rsid w:val="00BC7774"/>
    <w:rsid w:val="00BD077D"/>
    <w:rsid w:val="00BD1D4E"/>
    <w:rsid w:val="00BD2374"/>
    <w:rsid w:val="00BD2768"/>
    <w:rsid w:val="00BD32F6"/>
    <w:rsid w:val="00BD6D7C"/>
    <w:rsid w:val="00BE176B"/>
    <w:rsid w:val="00BE1AD7"/>
    <w:rsid w:val="00BE1EB0"/>
    <w:rsid w:val="00BE2426"/>
    <w:rsid w:val="00BE2A16"/>
    <w:rsid w:val="00BE3E58"/>
    <w:rsid w:val="00BE3EB2"/>
    <w:rsid w:val="00BF023D"/>
    <w:rsid w:val="00BF1A70"/>
    <w:rsid w:val="00BF3197"/>
    <w:rsid w:val="00BF3C34"/>
    <w:rsid w:val="00BF5316"/>
    <w:rsid w:val="00BF6943"/>
    <w:rsid w:val="00C01616"/>
    <w:rsid w:val="00C0162B"/>
    <w:rsid w:val="00C017BC"/>
    <w:rsid w:val="00C02362"/>
    <w:rsid w:val="00C0576A"/>
    <w:rsid w:val="00C068ED"/>
    <w:rsid w:val="00C06B65"/>
    <w:rsid w:val="00C07679"/>
    <w:rsid w:val="00C100FA"/>
    <w:rsid w:val="00C105E3"/>
    <w:rsid w:val="00C130AF"/>
    <w:rsid w:val="00C1364E"/>
    <w:rsid w:val="00C13D40"/>
    <w:rsid w:val="00C1468D"/>
    <w:rsid w:val="00C14A23"/>
    <w:rsid w:val="00C160F3"/>
    <w:rsid w:val="00C166E4"/>
    <w:rsid w:val="00C16C4F"/>
    <w:rsid w:val="00C17031"/>
    <w:rsid w:val="00C1765A"/>
    <w:rsid w:val="00C213D2"/>
    <w:rsid w:val="00C21409"/>
    <w:rsid w:val="00C22A8B"/>
    <w:rsid w:val="00C22C8A"/>
    <w:rsid w:val="00C22E0C"/>
    <w:rsid w:val="00C27D1C"/>
    <w:rsid w:val="00C303CD"/>
    <w:rsid w:val="00C3095E"/>
    <w:rsid w:val="00C30F17"/>
    <w:rsid w:val="00C32FD8"/>
    <w:rsid w:val="00C345B1"/>
    <w:rsid w:val="00C368EC"/>
    <w:rsid w:val="00C37FB2"/>
    <w:rsid w:val="00C40142"/>
    <w:rsid w:val="00C506E6"/>
    <w:rsid w:val="00C50AB9"/>
    <w:rsid w:val="00C5219B"/>
    <w:rsid w:val="00C52C3C"/>
    <w:rsid w:val="00C54C49"/>
    <w:rsid w:val="00C55929"/>
    <w:rsid w:val="00C57182"/>
    <w:rsid w:val="00C57863"/>
    <w:rsid w:val="00C6106D"/>
    <w:rsid w:val="00C61513"/>
    <w:rsid w:val="00C618C9"/>
    <w:rsid w:val="00C61B7E"/>
    <w:rsid w:val="00C62659"/>
    <w:rsid w:val="00C655FD"/>
    <w:rsid w:val="00C66407"/>
    <w:rsid w:val="00C6769D"/>
    <w:rsid w:val="00C679A0"/>
    <w:rsid w:val="00C70BC4"/>
    <w:rsid w:val="00C7261F"/>
    <w:rsid w:val="00C74A41"/>
    <w:rsid w:val="00C75407"/>
    <w:rsid w:val="00C80299"/>
    <w:rsid w:val="00C83669"/>
    <w:rsid w:val="00C85397"/>
    <w:rsid w:val="00C870A8"/>
    <w:rsid w:val="00C94001"/>
    <w:rsid w:val="00C94434"/>
    <w:rsid w:val="00C9779F"/>
    <w:rsid w:val="00C97B3A"/>
    <w:rsid w:val="00CA0D75"/>
    <w:rsid w:val="00CA1131"/>
    <w:rsid w:val="00CA1C95"/>
    <w:rsid w:val="00CA2558"/>
    <w:rsid w:val="00CA2C0F"/>
    <w:rsid w:val="00CA3D3F"/>
    <w:rsid w:val="00CA51C7"/>
    <w:rsid w:val="00CA5A9C"/>
    <w:rsid w:val="00CA6402"/>
    <w:rsid w:val="00CA64B0"/>
    <w:rsid w:val="00CA6E3A"/>
    <w:rsid w:val="00CA70B7"/>
    <w:rsid w:val="00CB0CA7"/>
    <w:rsid w:val="00CB4C79"/>
    <w:rsid w:val="00CB59FC"/>
    <w:rsid w:val="00CB75E9"/>
    <w:rsid w:val="00CB786D"/>
    <w:rsid w:val="00CB7F78"/>
    <w:rsid w:val="00CC0AEB"/>
    <w:rsid w:val="00CC4C20"/>
    <w:rsid w:val="00CC56C3"/>
    <w:rsid w:val="00CC64F9"/>
    <w:rsid w:val="00CD1002"/>
    <w:rsid w:val="00CD1749"/>
    <w:rsid w:val="00CD2902"/>
    <w:rsid w:val="00CD31B2"/>
    <w:rsid w:val="00CD3517"/>
    <w:rsid w:val="00CD47AC"/>
    <w:rsid w:val="00CD4BCA"/>
    <w:rsid w:val="00CD5FE2"/>
    <w:rsid w:val="00CD64D6"/>
    <w:rsid w:val="00CE5812"/>
    <w:rsid w:val="00CE61F6"/>
    <w:rsid w:val="00CE6A7E"/>
    <w:rsid w:val="00CE6C8D"/>
    <w:rsid w:val="00CE7C68"/>
    <w:rsid w:val="00CF0A0E"/>
    <w:rsid w:val="00CF0C77"/>
    <w:rsid w:val="00CF1A97"/>
    <w:rsid w:val="00CF4FFC"/>
    <w:rsid w:val="00D02B4C"/>
    <w:rsid w:val="00D040C4"/>
    <w:rsid w:val="00D05124"/>
    <w:rsid w:val="00D05355"/>
    <w:rsid w:val="00D077E7"/>
    <w:rsid w:val="00D07998"/>
    <w:rsid w:val="00D175CA"/>
    <w:rsid w:val="00D22E08"/>
    <w:rsid w:val="00D232A3"/>
    <w:rsid w:val="00D26BD7"/>
    <w:rsid w:val="00D30435"/>
    <w:rsid w:val="00D305C2"/>
    <w:rsid w:val="00D30AE3"/>
    <w:rsid w:val="00D34020"/>
    <w:rsid w:val="00D351CD"/>
    <w:rsid w:val="00D35829"/>
    <w:rsid w:val="00D36E41"/>
    <w:rsid w:val="00D375B3"/>
    <w:rsid w:val="00D37FC0"/>
    <w:rsid w:val="00D429C5"/>
    <w:rsid w:val="00D44CAD"/>
    <w:rsid w:val="00D45F35"/>
    <w:rsid w:val="00D46533"/>
    <w:rsid w:val="00D4698B"/>
    <w:rsid w:val="00D46B7E"/>
    <w:rsid w:val="00D51D44"/>
    <w:rsid w:val="00D5340A"/>
    <w:rsid w:val="00D554A0"/>
    <w:rsid w:val="00D57C84"/>
    <w:rsid w:val="00D6057D"/>
    <w:rsid w:val="00D633EF"/>
    <w:rsid w:val="00D63DD8"/>
    <w:rsid w:val="00D65F66"/>
    <w:rsid w:val="00D66E03"/>
    <w:rsid w:val="00D66EDD"/>
    <w:rsid w:val="00D67B59"/>
    <w:rsid w:val="00D67BD4"/>
    <w:rsid w:val="00D702E1"/>
    <w:rsid w:val="00D70836"/>
    <w:rsid w:val="00D70DC9"/>
    <w:rsid w:val="00D71640"/>
    <w:rsid w:val="00D73293"/>
    <w:rsid w:val="00D733C9"/>
    <w:rsid w:val="00D74861"/>
    <w:rsid w:val="00D75207"/>
    <w:rsid w:val="00D763B2"/>
    <w:rsid w:val="00D76F23"/>
    <w:rsid w:val="00D81614"/>
    <w:rsid w:val="00D836C5"/>
    <w:rsid w:val="00D83B3C"/>
    <w:rsid w:val="00D8446B"/>
    <w:rsid w:val="00D84576"/>
    <w:rsid w:val="00D84F21"/>
    <w:rsid w:val="00D85D41"/>
    <w:rsid w:val="00D85F2B"/>
    <w:rsid w:val="00D87B5A"/>
    <w:rsid w:val="00D94431"/>
    <w:rsid w:val="00D94913"/>
    <w:rsid w:val="00D94C2F"/>
    <w:rsid w:val="00D9693B"/>
    <w:rsid w:val="00D969E8"/>
    <w:rsid w:val="00D97CA9"/>
    <w:rsid w:val="00DA1399"/>
    <w:rsid w:val="00DA167C"/>
    <w:rsid w:val="00DA24C6"/>
    <w:rsid w:val="00DA319A"/>
    <w:rsid w:val="00DA4D7B"/>
    <w:rsid w:val="00DA7673"/>
    <w:rsid w:val="00DB04B3"/>
    <w:rsid w:val="00DB3C47"/>
    <w:rsid w:val="00DB424C"/>
    <w:rsid w:val="00DC12EF"/>
    <w:rsid w:val="00DC3C44"/>
    <w:rsid w:val="00DC63EA"/>
    <w:rsid w:val="00DD13D2"/>
    <w:rsid w:val="00DE264A"/>
    <w:rsid w:val="00DE3037"/>
    <w:rsid w:val="00DE3F1D"/>
    <w:rsid w:val="00DE4D14"/>
    <w:rsid w:val="00DE79E0"/>
    <w:rsid w:val="00DE7CF3"/>
    <w:rsid w:val="00DF0DF2"/>
    <w:rsid w:val="00DF19BD"/>
    <w:rsid w:val="00DF5072"/>
    <w:rsid w:val="00DF50EB"/>
    <w:rsid w:val="00DF6DA8"/>
    <w:rsid w:val="00E02D18"/>
    <w:rsid w:val="00E03289"/>
    <w:rsid w:val="00E041E7"/>
    <w:rsid w:val="00E10D64"/>
    <w:rsid w:val="00E1292F"/>
    <w:rsid w:val="00E12B4C"/>
    <w:rsid w:val="00E13B82"/>
    <w:rsid w:val="00E22D73"/>
    <w:rsid w:val="00E236DD"/>
    <w:rsid w:val="00E23CA1"/>
    <w:rsid w:val="00E272B2"/>
    <w:rsid w:val="00E2793A"/>
    <w:rsid w:val="00E30154"/>
    <w:rsid w:val="00E3462F"/>
    <w:rsid w:val="00E35E17"/>
    <w:rsid w:val="00E40744"/>
    <w:rsid w:val="00E409A8"/>
    <w:rsid w:val="00E43BA0"/>
    <w:rsid w:val="00E45033"/>
    <w:rsid w:val="00E50A69"/>
    <w:rsid w:val="00E50C12"/>
    <w:rsid w:val="00E50E8D"/>
    <w:rsid w:val="00E53E2D"/>
    <w:rsid w:val="00E54249"/>
    <w:rsid w:val="00E54526"/>
    <w:rsid w:val="00E545EF"/>
    <w:rsid w:val="00E54D05"/>
    <w:rsid w:val="00E55B69"/>
    <w:rsid w:val="00E57ED5"/>
    <w:rsid w:val="00E60E23"/>
    <w:rsid w:val="00E6292C"/>
    <w:rsid w:val="00E63153"/>
    <w:rsid w:val="00E64708"/>
    <w:rsid w:val="00E65B91"/>
    <w:rsid w:val="00E674E6"/>
    <w:rsid w:val="00E717EC"/>
    <w:rsid w:val="00E718DD"/>
    <w:rsid w:val="00E7209D"/>
    <w:rsid w:val="00E72EAD"/>
    <w:rsid w:val="00E73067"/>
    <w:rsid w:val="00E74502"/>
    <w:rsid w:val="00E755F4"/>
    <w:rsid w:val="00E77223"/>
    <w:rsid w:val="00E81BA9"/>
    <w:rsid w:val="00E82BB4"/>
    <w:rsid w:val="00E837F3"/>
    <w:rsid w:val="00E8528B"/>
    <w:rsid w:val="00E85B94"/>
    <w:rsid w:val="00E87100"/>
    <w:rsid w:val="00E91E4C"/>
    <w:rsid w:val="00E94472"/>
    <w:rsid w:val="00E9660E"/>
    <w:rsid w:val="00E978D0"/>
    <w:rsid w:val="00EA2BBA"/>
    <w:rsid w:val="00EA4613"/>
    <w:rsid w:val="00EA55A9"/>
    <w:rsid w:val="00EA5980"/>
    <w:rsid w:val="00EA7F91"/>
    <w:rsid w:val="00EB1523"/>
    <w:rsid w:val="00EB5F5F"/>
    <w:rsid w:val="00EB704E"/>
    <w:rsid w:val="00EC0E49"/>
    <w:rsid w:val="00EC101F"/>
    <w:rsid w:val="00EC14C8"/>
    <w:rsid w:val="00EC1D9F"/>
    <w:rsid w:val="00EC6953"/>
    <w:rsid w:val="00ED0BC2"/>
    <w:rsid w:val="00ED2956"/>
    <w:rsid w:val="00ED45F2"/>
    <w:rsid w:val="00EE0131"/>
    <w:rsid w:val="00EE09AC"/>
    <w:rsid w:val="00EE17B0"/>
    <w:rsid w:val="00EE341B"/>
    <w:rsid w:val="00EE6541"/>
    <w:rsid w:val="00EE7857"/>
    <w:rsid w:val="00EF06D9"/>
    <w:rsid w:val="00EF0715"/>
    <w:rsid w:val="00EF0D4D"/>
    <w:rsid w:val="00EF1EB1"/>
    <w:rsid w:val="00EF581A"/>
    <w:rsid w:val="00EF6CB7"/>
    <w:rsid w:val="00EF6E45"/>
    <w:rsid w:val="00EF7B6E"/>
    <w:rsid w:val="00F05178"/>
    <w:rsid w:val="00F130F1"/>
    <w:rsid w:val="00F14DFE"/>
    <w:rsid w:val="00F17025"/>
    <w:rsid w:val="00F17B76"/>
    <w:rsid w:val="00F21BAB"/>
    <w:rsid w:val="00F21D9C"/>
    <w:rsid w:val="00F22B4B"/>
    <w:rsid w:val="00F23359"/>
    <w:rsid w:val="00F2437A"/>
    <w:rsid w:val="00F243E5"/>
    <w:rsid w:val="00F26920"/>
    <w:rsid w:val="00F271B1"/>
    <w:rsid w:val="00F30BDE"/>
    <w:rsid w:val="00F30C64"/>
    <w:rsid w:val="00F320B8"/>
    <w:rsid w:val="00F32BA2"/>
    <w:rsid w:val="00F32CDB"/>
    <w:rsid w:val="00F34C86"/>
    <w:rsid w:val="00F35083"/>
    <w:rsid w:val="00F371F9"/>
    <w:rsid w:val="00F40EFB"/>
    <w:rsid w:val="00F40F9C"/>
    <w:rsid w:val="00F43699"/>
    <w:rsid w:val="00F456EF"/>
    <w:rsid w:val="00F53DF7"/>
    <w:rsid w:val="00F54286"/>
    <w:rsid w:val="00F565FE"/>
    <w:rsid w:val="00F63A70"/>
    <w:rsid w:val="00F663EB"/>
    <w:rsid w:val="00F66732"/>
    <w:rsid w:val="00F67930"/>
    <w:rsid w:val="00F723E0"/>
    <w:rsid w:val="00F7534E"/>
    <w:rsid w:val="00F76B80"/>
    <w:rsid w:val="00F80157"/>
    <w:rsid w:val="00F817AC"/>
    <w:rsid w:val="00F82D01"/>
    <w:rsid w:val="00F83696"/>
    <w:rsid w:val="00F86875"/>
    <w:rsid w:val="00F912BA"/>
    <w:rsid w:val="00F914DB"/>
    <w:rsid w:val="00F927C8"/>
    <w:rsid w:val="00F93EBF"/>
    <w:rsid w:val="00F9510F"/>
    <w:rsid w:val="00F969E6"/>
    <w:rsid w:val="00F97DDD"/>
    <w:rsid w:val="00FA1802"/>
    <w:rsid w:val="00FA21D0"/>
    <w:rsid w:val="00FA35F7"/>
    <w:rsid w:val="00FA4832"/>
    <w:rsid w:val="00FA5F5F"/>
    <w:rsid w:val="00FA6E97"/>
    <w:rsid w:val="00FB4B41"/>
    <w:rsid w:val="00FB622D"/>
    <w:rsid w:val="00FB730C"/>
    <w:rsid w:val="00FB7523"/>
    <w:rsid w:val="00FC0B0A"/>
    <w:rsid w:val="00FC2695"/>
    <w:rsid w:val="00FC36B4"/>
    <w:rsid w:val="00FC3E03"/>
    <w:rsid w:val="00FC3FC1"/>
    <w:rsid w:val="00FC609E"/>
    <w:rsid w:val="00FD0A89"/>
    <w:rsid w:val="00FD16D9"/>
    <w:rsid w:val="00FD2B40"/>
    <w:rsid w:val="00FD4B59"/>
    <w:rsid w:val="00FD515C"/>
    <w:rsid w:val="00FD59AD"/>
    <w:rsid w:val="00FD7099"/>
    <w:rsid w:val="00FD773E"/>
    <w:rsid w:val="00FD779C"/>
    <w:rsid w:val="00FE4DE4"/>
    <w:rsid w:val="00FE5071"/>
    <w:rsid w:val="00FE6408"/>
    <w:rsid w:val="00FE7DF5"/>
    <w:rsid w:val="00FF56EC"/>
    <w:rsid w:val="00FF5F30"/>
    <w:rsid w:val="00FF6BBE"/>
    <w:rsid w:val="00FF6CD3"/>
    <w:rsid w:val="00FF708E"/>
    <w:rsid w:val="00FF757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2767"/>
  <w15:docId w15:val="{E47FA4F6-3986-4DC5-A36E-0028DDB7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54163"/>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54163"/>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3A3D22"/>
    <w:rPr>
      <w:color w:val="605E5C"/>
      <w:shd w:val="clear" w:color="auto" w:fill="E1DFDD"/>
    </w:rPr>
  </w:style>
  <w:style w:type="character" w:styleId="FollowedHyperlink">
    <w:name w:val="FollowedHyperlink"/>
    <w:basedOn w:val="DefaultParagraphFont"/>
    <w:uiPriority w:val="99"/>
    <w:semiHidden/>
    <w:unhideWhenUsed/>
    <w:rsid w:val="00AF689A"/>
    <w:rPr>
      <w:color w:val="800080" w:themeColor="followedHyperlink"/>
      <w:u w:val="single"/>
    </w:rPr>
  </w:style>
  <w:style w:type="paragraph" w:styleId="Revision">
    <w:name w:val="Revision"/>
    <w:hidden/>
    <w:uiPriority w:val="99"/>
    <w:semiHidden/>
    <w:rsid w:val="001A1800"/>
    <w:pPr>
      <w:spacing w:after="0" w:line="240" w:lineRule="auto"/>
    </w:pPr>
    <w:rPr>
      <w:rFonts w:ascii="Arial" w:eastAsia="Times New Roman" w:hAnsi="Arial" w:cs="Times New Roman"/>
      <w:sz w:val="18"/>
      <w:szCs w:val="20"/>
      <w:lang w:val="en-GB"/>
    </w:rPr>
  </w:style>
  <w:style w:type="character" w:styleId="Mention">
    <w:name w:val="Mention"/>
    <w:basedOn w:val="DefaultParagraphFont"/>
    <w:uiPriority w:val="99"/>
    <w:unhideWhenUsed/>
    <w:rsid w:val="00E43B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dit.Sandquist@sintef.n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CAFEB4E4A3A2204A81EEF75BE8AAD4BB" ma:contentTypeVersion="47" ma:contentTypeDescription="Create a new document." ma:contentTypeScope="" ma:versionID="1d42d813afdcacbe386412ded9af1d0d">
  <xsd:schema xmlns:xsd="http://www.w3.org/2001/XMLSchema" xmlns:xs="http://www.w3.org/2001/XMLSchema" xmlns:p="http://schemas.microsoft.com/office/2006/metadata/properties" xmlns:ns2="8bbd4995-53b7-43e2-b62f-10947586ac31" xmlns:ns3="4734989d-5f22-4775-94b1-d630f35a6ec2" xmlns:ns4="2b9fe6ec-16dd-4d3c-bf8b-8f61f846fe3d" targetNamespace="http://schemas.microsoft.com/office/2006/metadata/properties" ma:root="true" ma:fieldsID="49b161a021b92964b9556e9f0ea9ac96" ns2:_="" ns3:_="" ns4:_="">
    <xsd:import namespace="8bbd4995-53b7-43e2-b62f-10947586ac31"/>
    <xsd:import namespace="4734989d-5f22-4775-94b1-d630f35a6ec2"/>
    <xsd:import namespace="2b9fe6ec-16dd-4d3c-bf8b-8f61f846fe3d"/>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2:CorpWorkflowStatus"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chive Status" ma:internalName="ArchiveStatus">
      <xsd:simpleType>
        <xsd:restriction base="dms:Text">
          <xsd:maxLength value="255"/>
        </xsd:restriction>
      </xsd:simpleType>
    </xsd:element>
    <xsd:element name="CorpWorkflowApproval" ma:index="9" nillable="true" ma:displayName="Approval Status" ma:internalName="CorpWorkflowApproval">
      <xsd:simpleType>
        <xsd:restriction base="dms:Text">
          <xsd:maxLength value="255"/>
        </xsd:restriction>
      </xsd:simpleType>
    </xsd:element>
    <xsd:element name="CorpWorkflowFeedback" ma:index="10" nillable="true" ma:displayName="Reviewal Status" ma:internalName="CorpWorkflowFeedback">
      <xsd:simpleType>
        <xsd:restriction base="dms:Text">
          <xsd:maxLength value="255"/>
        </xsd:restriction>
      </xsd:simpleType>
    </xsd:element>
    <xsd:element name="CorpSiteProjectNumber" ma:index="11" nillable="true" ma:displayName="Project Number" ma:default="" ma:internalName="CorpSiteProjectNumber">
      <xsd:simpleType>
        <xsd:restriction base="dms:Text">
          <xsd:maxLength value="255"/>
        </xsd:restriction>
      </xsd:simpleType>
    </xsd:element>
    <xsd:element name="CorpSiteProjectName" ma:index="12" nillable="true" ma:displayName="Project Name" ma:internalName="CorpSiteProjectName">
      <xsd:simpleType>
        <xsd:restriction base="dms:Text">
          <xsd:maxLength value="255"/>
        </xsd:restriction>
      </xsd:simpleType>
    </xsd:element>
    <xsd:element name="CorpSiteSubTitle" ma:index="13" nillable="true" ma:displayName="Sub Title" ma:internalName="CorpSiteSubTitle">
      <xsd:simpleType>
        <xsd:restriction base="dms:Text">
          <xsd:maxLength value="255"/>
        </xsd:restriction>
      </xsd:simpleType>
    </xsd:element>
    <xsd:element name="CorpSiteAccess" ma:index="14" nillable="true" ma:displayName="Access level"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5" nillable="true" ma:displayName="Classification"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6" nillable="true" ma:displayName="Tags" ma:internalName="CorpSiteTags">
      <xsd:simpleType>
        <xsd:restriction base="dms:Text">
          <xsd:maxLength value="255"/>
        </xsd:restriction>
      </xsd:simpleType>
    </xsd:element>
    <xsd:element name="CorpSiteProjectQA" ma:index="17" nillable="true" ma:displayName="QA"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8" nillable="true" ma:displayName="Project Own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19" nillable="true" ma:displayName="Project Lea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0" nillable="true" ma:displayName="Report Number" ma:internalName="CorpSiteReportNumber">
      <xsd:simpleType>
        <xsd:restriction base="dms:Text">
          <xsd:maxLength value="255"/>
        </xsd:restriction>
      </xsd:simpleType>
    </xsd:element>
    <xsd:element name="CorpSiteISBN" ma:index="21" nillable="true" ma:displayName="ISBN" ma:internalName="CorpSiteISBN">
      <xsd:simpleType>
        <xsd:restriction base="dms:Text">
          <xsd:maxLength value="255"/>
        </xsd:restriction>
      </xsd:simpleType>
    </xsd:element>
    <xsd:element name="CorpSiteCoAuthors" ma:index="22" nillable="true" ma:displayName="Co Authors" ma:internalName="CorpSiteCoAuthors">
      <xsd:simpleType>
        <xsd:restriction base="dms:Text">
          <xsd:maxLength value="255"/>
        </xsd:restriction>
      </xsd:simpleType>
    </xsd:element>
    <xsd:element name="CorpSiteRecipientCompany" ma:index="23" nillable="true" ma:displayName="Recipient Company" ma:internalName="CorpSiteRecipientCompany">
      <xsd:simpleType>
        <xsd:restriction base="dms:Text">
          <xsd:maxLength value="255"/>
        </xsd:restriction>
      </xsd:simpleType>
    </xsd:element>
    <xsd:element name="CorpSiteRecipientPerson" ma:index="24" nillable="true" ma:displayName="Recipient Person" ma:internalName="CorpSiteRecipientPerson">
      <xsd:simpleType>
        <xsd:restriction base="dms:Text">
          <xsd:maxLength value="255"/>
        </xsd:restriction>
      </xsd:simpleType>
    </xsd:element>
    <xsd:element name="CorpSiteOurRef" ma:index="25" nillable="true" ma:displayName="Our Ref" ma:internalName="CorpSiteOurRef">
      <xsd:simpleType>
        <xsd:restriction base="dms:Text">
          <xsd:maxLength value="255"/>
        </xsd:restriction>
      </xsd:simpleType>
    </xsd:element>
    <xsd:element name="CorpSiteDocumentAuthor" ma:index="26" nillable="true" ma:displayName="Document Autho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7" nillable="true" ma:displayName="Address" ma:internalName="CorpSiteZipAddress">
      <xsd:simpleType>
        <xsd:restriction base="dms:Note">
          <xsd:maxLength value="255"/>
        </xsd:restriction>
      </xsd:simpleType>
    </xsd:element>
    <xsd:element name="CorpSiteZipContact" ma:index="28" nillable="true" ma:displayName="Contact" ma:internalName="CorpSiteZipContact">
      <xsd:simpleType>
        <xsd:restriction base="dms:Note">
          <xsd:maxLength value="255"/>
        </xsd:restriction>
      </xsd:simpleType>
    </xsd:element>
    <xsd:element name="CorpSiteVATNumber" ma:index="29" nillable="true" ma:displayName="VAT Number" ma:internalName="CorpSiteVATNumber">
      <xsd:simpleType>
        <xsd:restriction base="dms:Text">
          <xsd:maxLength value="255"/>
        </xsd:restriction>
      </xsd:simpleType>
    </xsd:element>
    <xsd:element name="CorpSiteInstituteEmail" ma:index="30" nillable="true" ma:displayName="Email Institute" ma:internalName="CorpSiteInstituteEmail">
      <xsd:simpleType>
        <xsd:restriction base="dms:Text">
          <xsd:maxLength value="255"/>
        </xsd:restriction>
      </xsd:simpleType>
    </xsd:element>
    <xsd:element name="CorpDocPageClassificationNbNo" ma:index="31"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2"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3"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4"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5" nillable="true" ma:displayName="InstituteEng" ma:internalName="CorpSiteInstituteEnUs">
      <xsd:simpleType>
        <xsd:restriction base="dms:Text">
          <xsd:maxLength value="255"/>
        </xsd:restriction>
      </xsd:simpleType>
    </xsd:element>
    <xsd:element name="CorpSiteInstitutePhone" ma:index="36" nillable="true" ma:displayName="Phone Instutute" ma:internalName="CorpSiteInstitutePhone">
      <xsd:simpleType>
        <xsd:restriction base="dms:Text">
          <xsd:maxLength value="255"/>
        </xsd:restriction>
      </xsd:simpleType>
    </xsd:element>
    <xsd:element name="CorpSiteDocLanguage" ma:index="37" nillable="true" ma:displayName="Language" ma:internalName="CorpSiteDocLanguage">
      <xsd:simpleType>
        <xsd:restriction base="dms:Text">
          <xsd:maxLength value="255"/>
        </xsd:restriction>
      </xsd:simpleType>
    </xsd:element>
    <xsd:element name="CorpDocInstitute" ma:index="38" nillable="true" ma:displayName="Institute" ma:internalName="CorpDocInstitute">
      <xsd:simpleType>
        <xsd:restriction base="dms:Text">
          <xsd:maxLength value="255"/>
        </xsd:restriction>
      </xsd:simpleType>
    </xsd:element>
    <xsd:element name="CorpDocVersion" ma:index="39" nillable="true" ma:displayName="Version" ma:internalName="CorpDocVersion">
      <xsd:simpleType>
        <xsd:restriction base="dms:Text">
          <xsd:maxLength value="255"/>
        </xsd:restriction>
      </xsd:simpleType>
    </xsd:element>
    <xsd:element name="CorpWorkflowStatus" ma:index="48" nillable="true" ma:displayName="Workflow Status" ma:internalName="CorpWorkflow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4989d-5f22-4775-94b1-d630f35a6ec2"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DateTaken" ma:index="42" nillable="true" ma:displayName="MediaServiceDateTaken" ma:hidden="true" ma:internalName="MediaServiceDateTaken" ma:readOnly="true">
      <xsd:simpleType>
        <xsd:restriction base="dms:Text"/>
      </xsd:simpleType>
    </xsd:element>
    <xsd:element name="MediaServiceAutoTags" ma:index="43" nillable="true" ma:displayName="Tags" ma:internalName="MediaServiceAutoTags"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fe6ec-16dd-4d3c-bf8b-8f61f846fe3d"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rpSiteAccess xmlns="8bbd4995-53b7-43e2-b62f-10947586ac31">Kun navngitte medlemmer</CorpSiteAccess>
    <CorpSiteClassification xmlns="8bbd4995-53b7-43e2-b62f-10947586ac31">Åpen</CorpSiteClassification>
    <CorpDocClassificationEnUs xmlns="8bbd4995-53b7-43e2-b62f-10947586ac31">Unrestricted</CorpDocClassificationEnUs>
    <CorpDocClassificationNbNo xmlns="8bbd4995-53b7-43e2-b62f-10947586ac31">Åpen</CorpDocClassificationNbNo>
    <CorpDocPageClassificationEnUs xmlns="8bbd4995-53b7-43e2-b62f-10947586ac31">Unrestricted</CorpDocPageClassificationEnUs>
    <CorpDocPageClassificationNbNo xmlns="8bbd4995-53b7-43e2-b62f-10947586ac31">Åpen</CorpDocPageClassificationNbNo>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WorkflowStatus xmlns="8bbd4995-53b7-43e2-b62f-10947586ac31" xsi:nil="true"/>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documentManagement>
</p:properties>
</file>

<file path=customXml/itemProps1.xml><?xml version="1.0" encoding="utf-8"?>
<ds:datastoreItem xmlns:ds="http://schemas.openxmlformats.org/officeDocument/2006/customXml" ds:itemID="{411665C5-D8FB-4FCD-970C-2075F3E2A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4734989d-5f22-4775-94b1-d630f35a6ec2"/>
    <ds:schemaRef ds:uri="2b9fe6ec-16dd-4d3c-bf8b-8f61f846f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CEF4B1-4BF9-4357-BF4E-1C23A4E9115D}">
  <ds:schemaRefs>
    <ds:schemaRef ds:uri="http://schemas.microsoft.com/sharepoint/v3/contenttype/forms"/>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83D1B9AF-BB7F-4252-8ABF-F59CE7C0EE7B}">
  <ds:schemaRefs>
    <ds:schemaRef ds:uri="http://schemas.microsoft.com/office/2006/metadata/properties"/>
    <ds:schemaRef ds:uri="http://schemas.microsoft.com/office/infopath/2007/PartnerControls"/>
    <ds:schemaRef ds:uri="8bbd4995-53b7-43e2-b62f-10947586ac3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3800</Words>
  <Characters>20146</Characters>
  <Application>Microsoft Office Word</Application>
  <DocSecurity>0</DocSecurity>
  <Lines>167</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23899</CharactersWithSpaces>
  <SharedDoc>false</SharedDoc>
  <HLinks>
    <vt:vector size="192" baseType="variant">
      <vt:variant>
        <vt:i4>8323132</vt:i4>
      </vt:variant>
      <vt:variant>
        <vt:i4>87</vt:i4>
      </vt:variant>
      <vt:variant>
        <vt:i4>0</vt:i4>
      </vt:variant>
      <vt:variant>
        <vt:i4>5</vt:i4>
      </vt:variant>
      <vt:variant>
        <vt:lpwstr>http://biofuelregion.se/wp-content/uploads/2017/01/1_2_IS_2013-01-31_Basic_chemical_composition.pdf</vt:lpwstr>
      </vt:variant>
      <vt:variant>
        <vt:lpwstr/>
      </vt:variant>
      <vt:variant>
        <vt:i4>7012470</vt:i4>
      </vt:variant>
      <vt:variant>
        <vt:i4>84</vt:i4>
      </vt:variant>
      <vt:variant>
        <vt:i4>0</vt:i4>
      </vt:variant>
      <vt:variant>
        <vt:i4>5</vt:i4>
      </vt:variant>
      <vt:variant>
        <vt:lpwstr>https://www.sciencedirect.com/science/article/pii/S0960852411000046</vt:lpwstr>
      </vt:variant>
      <vt:variant>
        <vt:lpwstr/>
      </vt:variant>
      <vt:variant>
        <vt:i4>2687012</vt:i4>
      </vt:variant>
      <vt:variant>
        <vt:i4>81</vt:i4>
      </vt:variant>
      <vt:variant>
        <vt:i4>0</vt:i4>
      </vt:variant>
      <vt:variant>
        <vt:i4>5</vt:i4>
      </vt:variant>
      <vt:variant>
        <vt:lpwstr>https://link.springer.com/article/10.1007/s12010-008-8445-3</vt:lpwstr>
      </vt:variant>
      <vt:variant>
        <vt:lpwstr/>
      </vt:variant>
      <vt:variant>
        <vt:i4>7012470</vt:i4>
      </vt:variant>
      <vt:variant>
        <vt:i4>78</vt:i4>
      </vt:variant>
      <vt:variant>
        <vt:i4>0</vt:i4>
      </vt:variant>
      <vt:variant>
        <vt:i4>5</vt:i4>
      </vt:variant>
      <vt:variant>
        <vt:lpwstr>https://www.sciencedirect.com/science/article/pii/S0960852411000046</vt:lpwstr>
      </vt:variant>
      <vt:variant>
        <vt:lpwstr/>
      </vt:variant>
      <vt:variant>
        <vt:i4>6291577</vt:i4>
      </vt:variant>
      <vt:variant>
        <vt:i4>75</vt:i4>
      </vt:variant>
      <vt:variant>
        <vt:i4>0</vt:i4>
      </vt:variant>
      <vt:variant>
        <vt:i4>5</vt:i4>
      </vt:variant>
      <vt:variant>
        <vt:lpwstr>https://www.sciencedirect.com/science/article/pii/S0165237000001108</vt:lpwstr>
      </vt:variant>
      <vt:variant>
        <vt:lpwstr/>
      </vt:variant>
      <vt:variant>
        <vt:i4>2687012</vt:i4>
      </vt:variant>
      <vt:variant>
        <vt:i4>72</vt:i4>
      </vt:variant>
      <vt:variant>
        <vt:i4>0</vt:i4>
      </vt:variant>
      <vt:variant>
        <vt:i4>5</vt:i4>
      </vt:variant>
      <vt:variant>
        <vt:lpwstr>https://link.springer.com/article/10.1007/s12010-008-8445-3</vt:lpwstr>
      </vt:variant>
      <vt:variant>
        <vt:lpwstr/>
      </vt:variant>
      <vt:variant>
        <vt:i4>7274609</vt:i4>
      </vt:variant>
      <vt:variant>
        <vt:i4>69</vt:i4>
      </vt:variant>
      <vt:variant>
        <vt:i4>0</vt:i4>
      </vt:variant>
      <vt:variant>
        <vt:i4>5</vt:i4>
      </vt:variant>
      <vt:variant>
        <vt:lpwstr>https://www.sciencedirect.com/science/article/pii/S0961953413004443</vt:lpwstr>
      </vt:variant>
      <vt:variant>
        <vt:lpwstr/>
      </vt:variant>
      <vt:variant>
        <vt:i4>7012470</vt:i4>
      </vt:variant>
      <vt:variant>
        <vt:i4>66</vt:i4>
      </vt:variant>
      <vt:variant>
        <vt:i4>0</vt:i4>
      </vt:variant>
      <vt:variant>
        <vt:i4>5</vt:i4>
      </vt:variant>
      <vt:variant>
        <vt:lpwstr>https://www.sciencedirect.com/science/article/pii/S0960852411000046</vt:lpwstr>
      </vt:variant>
      <vt:variant>
        <vt:lpwstr/>
      </vt:variant>
      <vt:variant>
        <vt:i4>6291577</vt:i4>
      </vt:variant>
      <vt:variant>
        <vt:i4>63</vt:i4>
      </vt:variant>
      <vt:variant>
        <vt:i4>0</vt:i4>
      </vt:variant>
      <vt:variant>
        <vt:i4>5</vt:i4>
      </vt:variant>
      <vt:variant>
        <vt:lpwstr>https://www.sciencedirect.com/science/article/pii/S0165237000001108</vt:lpwstr>
      </vt:variant>
      <vt:variant>
        <vt:lpwstr/>
      </vt:variant>
      <vt:variant>
        <vt:i4>4194376</vt:i4>
      </vt:variant>
      <vt:variant>
        <vt:i4>60</vt:i4>
      </vt:variant>
      <vt:variant>
        <vt:i4>0</vt:i4>
      </vt:variant>
      <vt:variant>
        <vt:i4>5</vt:i4>
      </vt:variant>
      <vt:variant>
        <vt:lpwstr>https://sintef.brage.unit.no/sintef-xmlui/bitstream/handle/11250/2473856/Application%2Bof%2BATR-FTIR%2BSpectroscopy%2Bto%2BCompare%2Bthe%2BCell%2BMaterials%2Bof%2BWood%2BDecay%2BFungi%2Bwith%2BWood%2BMould%2BFungi.pdf?sequence=2&amp;isAllowed=y</vt:lpwstr>
      </vt:variant>
      <vt:variant>
        <vt:lpwstr/>
      </vt:variant>
      <vt:variant>
        <vt:i4>6946935</vt:i4>
      </vt:variant>
      <vt:variant>
        <vt:i4>57</vt:i4>
      </vt:variant>
      <vt:variant>
        <vt:i4>0</vt:i4>
      </vt:variant>
      <vt:variant>
        <vt:i4>5</vt:i4>
      </vt:variant>
      <vt:variant>
        <vt:lpwstr>https://www.sciencedirect.com/science/article/pii/S0960852419300963</vt:lpwstr>
      </vt:variant>
      <vt:variant>
        <vt:lpwstr/>
      </vt:variant>
      <vt:variant>
        <vt:i4>6291577</vt:i4>
      </vt:variant>
      <vt:variant>
        <vt:i4>54</vt:i4>
      </vt:variant>
      <vt:variant>
        <vt:i4>0</vt:i4>
      </vt:variant>
      <vt:variant>
        <vt:i4>5</vt:i4>
      </vt:variant>
      <vt:variant>
        <vt:lpwstr>https://www.sciencedirect.com/science/article/pii/S0165237000001108</vt:lpwstr>
      </vt:variant>
      <vt:variant>
        <vt:lpwstr/>
      </vt:variant>
      <vt:variant>
        <vt:i4>2687012</vt:i4>
      </vt:variant>
      <vt:variant>
        <vt:i4>51</vt:i4>
      </vt:variant>
      <vt:variant>
        <vt:i4>0</vt:i4>
      </vt:variant>
      <vt:variant>
        <vt:i4>5</vt:i4>
      </vt:variant>
      <vt:variant>
        <vt:lpwstr>https://link.springer.com/article/10.1007/s12010-008-8445-3</vt:lpwstr>
      </vt:variant>
      <vt:variant>
        <vt:lpwstr/>
      </vt:variant>
      <vt:variant>
        <vt:i4>6946929</vt:i4>
      </vt:variant>
      <vt:variant>
        <vt:i4>48</vt:i4>
      </vt:variant>
      <vt:variant>
        <vt:i4>0</vt:i4>
      </vt:variant>
      <vt:variant>
        <vt:i4>5</vt:i4>
      </vt:variant>
      <vt:variant>
        <vt:lpwstr>https://www.sciencedirect.com/science/article/pii/S0960852410015701</vt:lpwstr>
      </vt:variant>
      <vt:variant>
        <vt:lpwstr/>
      </vt:variant>
      <vt:variant>
        <vt:i4>7274609</vt:i4>
      </vt:variant>
      <vt:variant>
        <vt:i4>45</vt:i4>
      </vt:variant>
      <vt:variant>
        <vt:i4>0</vt:i4>
      </vt:variant>
      <vt:variant>
        <vt:i4>5</vt:i4>
      </vt:variant>
      <vt:variant>
        <vt:lpwstr>https://www.sciencedirect.com/science/article/pii/S0961953413004443</vt:lpwstr>
      </vt:variant>
      <vt:variant>
        <vt:lpwstr/>
      </vt:variant>
      <vt:variant>
        <vt:i4>3342378</vt:i4>
      </vt:variant>
      <vt:variant>
        <vt:i4>42</vt:i4>
      </vt:variant>
      <vt:variant>
        <vt:i4>0</vt:i4>
      </vt:variant>
      <vt:variant>
        <vt:i4>5</vt:i4>
      </vt:variant>
      <vt:variant>
        <vt:lpwstr>https://www.sciencedirect.com/science/article/pii/S0016236115008649</vt:lpwstr>
      </vt:variant>
      <vt:variant>
        <vt:lpwstr>bi005</vt:lpwstr>
      </vt:variant>
      <vt:variant>
        <vt:i4>2687012</vt:i4>
      </vt:variant>
      <vt:variant>
        <vt:i4>39</vt:i4>
      </vt:variant>
      <vt:variant>
        <vt:i4>0</vt:i4>
      </vt:variant>
      <vt:variant>
        <vt:i4>5</vt:i4>
      </vt:variant>
      <vt:variant>
        <vt:lpwstr>https://link.springer.com/article/10.1007/s12010-008-8445-3</vt:lpwstr>
      </vt:variant>
      <vt:variant>
        <vt:lpwstr/>
      </vt:variant>
      <vt:variant>
        <vt:i4>6946929</vt:i4>
      </vt:variant>
      <vt:variant>
        <vt:i4>36</vt:i4>
      </vt:variant>
      <vt:variant>
        <vt:i4>0</vt:i4>
      </vt:variant>
      <vt:variant>
        <vt:i4>5</vt:i4>
      </vt:variant>
      <vt:variant>
        <vt:lpwstr>https://www.sciencedirect.com/science/article/pii/S0960852410015701</vt:lpwstr>
      </vt:variant>
      <vt:variant>
        <vt:lpwstr/>
      </vt:variant>
      <vt:variant>
        <vt:i4>3342378</vt:i4>
      </vt:variant>
      <vt:variant>
        <vt:i4>33</vt:i4>
      </vt:variant>
      <vt:variant>
        <vt:i4>0</vt:i4>
      </vt:variant>
      <vt:variant>
        <vt:i4>5</vt:i4>
      </vt:variant>
      <vt:variant>
        <vt:lpwstr>https://www.sciencedirect.com/science/article/pii/S0016236115008649</vt:lpwstr>
      </vt:variant>
      <vt:variant>
        <vt:lpwstr>bi005</vt:lpwstr>
      </vt:variant>
      <vt:variant>
        <vt:i4>6946929</vt:i4>
      </vt:variant>
      <vt:variant>
        <vt:i4>30</vt:i4>
      </vt:variant>
      <vt:variant>
        <vt:i4>0</vt:i4>
      </vt:variant>
      <vt:variant>
        <vt:i4>5</vt:i4>
      </vt:variant>
      <vt:variant>
        <vt:lpwstr>https://www.sciencedirect.com/science/article/pii/S0960852410015701</vt:lpwstr>
      </vt:variant>
      <vt:variant>
        <vt:lpwstr/>
      </vt:variant>
      <vt:variant>
        <vt:i4>7274609</vt:i4>
      </vt:variant>
      <vt:variant>
        <vt:i4>27</vt:i4>
      </vt:variant>
      <vt:variant>
        <vt:i4>0</vt:i4>
      </vt:variant>
      <vt:variant>
        <vt:i4>5</vt:i4>
      </vt:variant>
      <vt:variant>
        <vt:lpwstr>https://www.sciencedirect.com/science/article/pii/S0961953413004443</vt:lpwstr>
      </vt:variant>
      <vt:variant>
        <vt:lpwstr/>
      </vt:variant>
      <vt:variant>
        <vt:i4>6291577</vt:i4>
      </vt:variant>
      <vt:variant>
        <vt:i4>24</vt:i4>
      </vt:variant>
      <vt:variant>
        <vt:i4>0</vt:i4>
      </vt:variant>
      <vt:variant>
        <vt:i4>5</vt:i4>
      </vt:variant>
      <vt:variant>
        <vt:lpwstr>https://www.sciencedirect.com/science/article/pii/S0165237000001108</vt:lpwstr>
      </vt:variant>
      <vt:variant>
        <vt:lpwstr/>
      </vt:variant>
      <vt:variant>
        <vt:i4>7274609</vt:i4>
      </vt:variant>
      <vt:variant>
        <vt:i4>21</vt:i4>
      </vt:variant>
      <vt:variant>
        <vt:i4>0</vt:i4>
      </vt:variant>
      <vt:variant>
        <vt:i4>5</vt:i4>
      </vt:variant>
      <vt:variant>
        <vt:lpwstr>https://www.sciencedirect.com/science/article/pii/S0961953413004443</vt:lpwstr>
      </vt:variant>
      <vt:variant>
        <vt:lpwstr/>
      </vt:variant>
      <vt:variant>
        <vt:i4>7012470</vt:i4>
      </vt:variant>
      <vt:variant>
        <vt:i4>18</vt:i4>
      </vt:variant>
      <vt:variant>
        <vt:i4>0</vt:i4>
      </vt:variant>
      <vt:variant>
        <vt:i4>5</vt:i4>
      </vt:variant>
      <vt:variant>
        <vt:lpwstr>https://www.sciencedirect.com/science/article/pii/S0960852411000046</vt:lpwstr>
      </vt:variant>
      <vt:variant>
        <vt:lpwstr/>
      </vt:variant>
      <vt:variant>
        <vt:i4>8257601</vt:i4>
      </vt:variant>
      <vt:variant>
        <vt:i4>15</vt:i4>
      </vt:variant>
      <vt:variant>
        <vt:i4>0</vt:i4>
      </vt:variant>
      <vt:variant>
        <vt:i4>5</vt:i4>
      </vt:variant>
      <vt:variant>
        <vt:lpwstr>file://C:\\Users\asmirad\Downloads\752-4136-1-PB.pdf</vt:lpwstr>
      </vt:variant>
      <vt:variant>
        <vt:lpwstr/>
      </vt:variant>
      <vt:variant>
        <vt:i4>131137</vt:i4>
      </vt:variant>
      <vt:variant>
        <vt:i4>12</vt:i4>
      </vt:variant>
      <vt:variant>
        <vt:i4>0</vt:i4>
      </vt:variant>
      <vt:variant>
        <vt:i4>5</vt:i4>
      </vt:variant>
      <vt:variant>
        <vt:lpwstr>https://www.mdpi.com/1996-1944/10/6/668/htm</vt:lpwstr>
      </vt:variant>
      <vt:variant>
        <vt:lpwstr>B26-materials-10-00668</vt:lpwstr>
      </vt:variant>
      <vt:variant>
        <vt:i4>7798836</vt:i4>
      </vt:variant>
      <vt:variant>
        <vt:i4>9</vt:i4>
      </vt:variant>
      <vt:variant>
        <vt:i4>0</vt:i4>
      </vt:variant>
      <vt:variant>
        <vt:i4>5</vt:i4>
      </vt:variant>
      <vt:variant>
        <vt:lpwstr>https://www.sciencedirect.com/science/article/pii/S092666901200307X?via%3Dihub</vt:lpwstr>
      </vt:variant>
      <vt:variant>
        <vt:lpwstr/>
      </vt:variant>
      <vt:variant>
        <vt:i4>7078005</vt:i4>
      </vt:variant>
      <vt:variant>
        <vt:i4>6</vt:i4>
      </vt:variant>
      <vt:variant>
        <vt:i4>0</vt:i4>
      </vt:variant>
      <vt:variant>
        <vt:i4>5</vt:i4>
      </vt:variant>
      <vt:variant>
        <vt:lpwstr>https://www.sciencedirect.com/science/article/pii/S0165237099000443</vt:lpwstr>
      </vt:variant>
      <vt:variant>
        <vt:lpwstr/>
      </vt:variant>
      <vt:variant>
        <vt:i4>7078005</vt:i4>
      </vt:variant>
      <vt:variant>
        <vt:i4>3</vt:i4>
      </vt:variant>
      <vt:variant>
        <vt:i4>0</vt:i4>
      </vt:variant>
      <vt:variant>
        <vt:i4>5</vt:i4>
      </vt:variant>
      <vt:variant>
        <vt:lpwstr>https://www.sciencedirect.com/science/article/pii/S0165237099000443</vt:lpwstr>
      </vt:variant>
      <vt:variant>
        <vt:lpwstr/>
      </vt:variant>
      <vt:variant>
        <vt:i4>6946935</vt:i4>
      </vt:variant>
      <vt:variant>
        <vt:i4>0</vt:i4>
      </vt:variant>
      <vt:variant>
        <vt:i4>0</vt:i4>
      </vt:variant>
      <vt:variant>
        <vt:i4>5</vt:i4>
      </vt:variant>
      <vt:variant>
        <vt:lpwstr>https://www.sciencedirect.com/science/article/pii/S0960852419300963</vt:lpwstr>
      </vt:variant>
      <vt:variant>
        <vt:lpwstr/>
      </vt:variant>
      <vt:variant>
        <vt:i4>5242926</vt:i4>
      </vt:variant>
      <vt:variant>
        <vt:i4>3</vt:i4>
      </vt:variant>
      <vt:variant>
        <vt:i4>0</vt:i4>
      </vt:variant>
      <vt:variant>
        <vt:i4>5</vt:i4>
      </vt:variant>
      <vt:variant>
        <vt:lpwstr>mailto:judit.sandquist@sintef.no</vt:lpwstr>
      </vt:variant>
      <vt:variant>
        <vt:lpwstr/>
      </vt:variant>
      <vt:variant>
        <vt:i4>5242926</vt:i4>
      </vt:variant>
      <vt:variant>
        <vt:i4>0</vt:i4>
      </vt:variant>
      <vt:variant>
        <vt:i4>0</vt:i4>
      </vt:variant>
      <vt:variant>
        <vt:i4>5</vt:i4>
      </vt:variant>
      <vt:variant>
        <vt:lpwstr>mailto:judit.sandquist@sintef.no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Judit Sandquist</cp:lastModifiedBy>
  <cp:revision>2</cp:revision>
  <cp:lastPrinted>2022-01-28T13:04:00Z</cp:lastPrinted>
  <dcterms:created xsi:type="dcterms:W3CDTF">2022-03-28T09:00:00Z</dcterms:created>
  <dcterms:modified xsi:type="dcterms:W3CDTF">2022-03-28T09:00:00Z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0x01010031B82B69D2361148B4D8F7EC156802130800CAFEB4E4A3A2204A81EEF75BE8AAD4BB</vt:lpwstr>
  </property>
</Properties>
</file>