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A378D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5178F8"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846B617" wp14:editId="1BC44E1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14:paraId="12C4B6C4" w14:textId="77777777" w:rsidR="000A03B2" w:rsidRPr="00B57B36" w:rsidRDefault="000A03B2" w:rsidP="00DE264A">
            <w:pPr>
              <w:tabs>
                <w:tab w:val="left" w:pos="-108"/>
              </w:tabs>
              <w:ind w:left="-108"/>
              <w:jc w:val="left"/>
              <w:rPr>
                <w:rFonts w:cs="Arial"/>
                <w:b/>
                <w:bCs/>
                <w:i/>
                <w:iCs/>
                <w:color w:val="000066"/>
                <w:sz w:val="12"/>
                <w:szCs w:val="12"/>
                <w:lang w:eastAsia="it-IT"/>
              </w:rPr>
            </w:pPr>
          </w:p>
          <w:p w14:paraId="4B780582" w14:textId="65D5BBBB" w:rsidR="000A03B2" w:rsidRPr="00B57B36" w:rsidRDefault="005178F8"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5178F8"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5178F8" w:rsidP="00CD5FE2">
            <w:pPr>
              <w:jc w:val="right"/>
            </w:pPr>
            <w:r w:rsidRPr="00B57B36">
              <w:rPr>
                <w:noProof/>
                <w:lang w:val="it-IT" w:eastAsia="it-IT"/>
              </w:rPr>
              <w:drawing>
                <wp:inline distT="0" distB="0" distL="0" distR="0" wp14:anchorId="54F4E255" wp14:editId="519BBB2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A378DA"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5178F8"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5178F8"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5178F8" w:rsidP="00CD5FE2">
            <w:pPr>
              <w:spacing w:line="140" w:lineRule="atLeast"/>
              <w:jc w:val="right"/>
              <w:rPr>
                <w:rFonts w:cs="Arial"/>
                <w:sz w:val="13"/>
                <w:szCs w:val="13"/>
              </w:rPr>
            </w:pPr>
            <w:r w:rsidRPr="000D0268">
              <w:rPr>
                <w:rFonts w:cs="Arial"/>
                <w:sz w:val="13"/>
                <w:szCs w:val="13"/>
              </w:rPr>
              <w:t>Online at www.cetjournal.it</w:t>
            </w:r>
          </w:p>
        </w:tc>
      </w:tr>
      <w:tr w:rsidR="00A378DA" w14:paraId="2D1B7169" w14:textId="77777777" w:rsidTr="00DE264A">
        <w:trPr>
          <w:trHeight w:val="68"/>
          <w:jc w:val="center"/>
        </w:trPr>
        <w:tc>
          <w:tcPr>
            <w:tcW w:w="8789" w:type="dxa"/>
            <w:gridSpan w:val="2"/>
          </w:tcPr>
          <w:p w14:paraId="4B0BB442" w14:textId="14967F0F" w:rsidR="00300E56" w:rsidRPr="0044071E" w:rsidRDefault="005178F8"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5178F8"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p>
          <w:p w14:paraId="07DAC027" w14:textId="77777777" w:rsidR="000A03B2" w:rsidRPr="00B57B36" w:rsidRDefault="00300E56" w:rsidP="001D21AF">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7A6F47B0" w:rsidR="00E978D0" w:rsidRPr="00B57B36" w:rsidRDefault="005178F8" w:rsidP="00E978D0">
      <w:pPr>
        <w:pStyle w:val="CETTitle"/>
      </w:pPr>
      <w:r>
        <w:t>Kinetics analysis of the syngas fermentation to produce acetic acid from cardoon residual biomass</w:t>
      </w:r>
    </w:p>
    <w:p w14:paraId="0488FED2" w14:textId="5F878455" w:rsidR="00B57E6F" w:rsidRPr="00470082" w:rsidRDefault="005178F8" w:rsidP="00470082">
      <w:pPr>
        <w:pStyle w:val="CETAuthors"/>
        <w:jc w:val="center"/>
        <w:rPr>
          <w:lang w:val="es-CO"/>
        </w:rPr>
      </w:pPr>
      <w:r w:rsidRPr="00470082">
        <w:rPr>
          <w:lang w:val="es-CO"/>
        </w:rPr>
        <w:t>Aristide Giuliano*, Roberto Albergo, Isabella De Bari</w:t>
      </w:r>
    </w:p>
    <w:p w14:paraId="6B2D21B3" w14:textId="6CEC95CE" w:rsidR="00B57E6F" w:rsidRPr="00B57B36" w:rsidRDefault="005178F8" w:rsidP="00B57E6F">
      <w:pPr>
        <w:pStyle w:val="CETAddress"/>
      </w:pPr>
      <w:r w:rsidRPr="00251352">
        <w:t>ENEA, Italian National Agency for New Technologies, Energy and Sustainable Economic Development, S.S. 106 Ionica, km 419+500, Rotondella, MT, Italy</w:t>
      </w:r>
    </w:p>
    <w:p w14:paraId="73F1267A" w14:textId="0944069D" w:rsidR="00B57E6F" w:rsidRPr="00B57B36" w:rsidRDefault="003F7B09" w:rsidP="00B57E6F">
      <w:pPr>
        <w:pStyle w:val="CETemail"/>
      </w:pPr>
      <w:r>
        <w:t>*</w:t>
      </w:r>
      <w:r w:rsidR="005178F8" w:rsidRPr="00251352">
        <w:t>aristide.giuliano@enea.it</w:t>
      </w:r>
    </w:p>
    <w:p w14:paraId="6114A9D4" w14:textId="14948721" w:rsidR="00251352" w:rsidRDefault="005178F8" w:rsidP="00251352">
      <w:pPr>
        <w:pStyle w:val="CETBodytext"/>
        <w:rPr>
          <w:lang w:val="en-GB"/>
        </w:rPr>
      </w:pPr>
      <w:bookmarkStart w:id="0" w:name="_Hlk495475023"/>
      <w:r w:rsidRPr="002A14FF">
        <w:rPr>
          <w:lang w:val="en-GB"/>
        </w:rPr>
        <w:t>Lign</w:t>
      </w:r>
      <w:r w:rsidR="00811836" w:rsidRPr="002A14FF">
        <w:rPr>
          <w:lang w:val="en-GB"/>
        </w:rPr>
        <w:t>o</w:t>
      </w:r>
      <w:r w:rsidRPr="002A14FF">
        <w:rPr>
          <w:lang w:val="en-GB"/>
        </w:rPr>
        <w:t>cellulos</w:t>
      </w:r>
      <w:r w:rsidR="00811836" w:rsidRPr="002A14FF">
        <w:rPr>
          <w:lang w:val="en-GB"/>
        </w:rPr>
        <w:t>ic</w:t>
      </w:r>
      <w:r w:rsidRPr="002A14FF">
        <w:rPr>
          <w:lang w:val="en-GB"/>
        </w:rPr>
        <w:t xml:space="preserve"> biomass can be converted to biofuels and biochemicals through several process pathways</w:t>
      </w:r>
      <w:r w:rsidR="000A3081" w:rsidRPr="002A14FF">
        <w:rPr>
          <w:lang w:val="en-GB"/>
        </w:rPr>
        <w:t>:</w:t>
      </w:r>
      <w:r w:rsidRPr="002A14FF">
        <w:rPr>
          <w:lang w:val="en-GB"/>
        </w:rPr>
        <w:t xml:space="preserve"> </w:t>
      </w:r>
      <w:r w:rsidR="00A65BBC" w:rsidRPr="002A14FF">
        <w:rPr>
          <w:lang w:val="en-GB"/>
        </w:rPr>
        <w:t>pretreatment</w:t>
      </w:r>
      <w:r w:rsidR="000A3081" w:rsidRPr="002A14FF">
        <w:rPr>
          <w:lang w:val="en-GB"/>
        </w:rPr>
        <w:t xml:space="preserve"> </w:t>
      </w:r>
      <w:r w:rsidR="00A65BBC" w:rsidRPr="002A14FF">
        <w:rPr>
          <w:lang w:val="en-GB"/>
        </w:rPr>
        <w:t>and sugars fermentation</w:t>
      </w:r>
      <w:r w:rsidRPr="002A14FF">
        <w:rPr>
          <w:lang w:val="en-GB"/>
        </w:rPr>
        <w:t xml:space="preserve">, </w:t>
      </w:r>
      <w:r w:rsidR="00811836" w:rsidRPr="002A14FF">
        <w:rPr>
          <w:lang w:val="en-GB"/>
        </w:rPr>
        <w:t>thermochemical conversion (pyrolysis, gasification) and syngas</w:t>
      </w:r>
      <w:r w:rsidR="00310BF6" w:rsidRPr="002A14FF">
        <w:rPr>
          <w:lang w:val="en-GB"/>
        </w:rPr>
        <w:t xml:space="preserve"> synthesis. A promising syngas valorization process </w:t>
      </w:r>
      <w:r w:rsidR="001C76AC" w:rsidRPr="002A14FF">
        <w:rPr>
          <w:lang w:val="en-GB"/>
        </w:rPr>
        <w:t xml:space="preserve">consists of the syngas fermentation, able to maximize the </w:t>
      </w:r>
      <w:r w:rsidR="007B52D9" w:rsidRPr="002A14FF">
        <w:rPr>
          <w:lang w:val="en-GB"/>
        </w:rPr>
        <w:t xml:space="preserve">biomass fraction </w:t>
      </w:r>
      <w:r w:rsidR="00120A4F" w:rsidRPr="002A14FF">
        <w:rPr>
          <w:lang w:val="en-GB"/>
        </w:rPr>
        <w:t xml:space="preserve">used for the fermentation. </w:t>
      </w:r>
      <w:r w:rsidRPr="002A14FF">
        <w:rPr>
          <w:lang w:val="en-GB"/>
        </w:rPr>
        <w:t>The limits of this process are the need for high-quality syngas</w:t>
      </w:r>
      <w:r w:rsidR="00F746E5" w:rsidRPr="002A14FF">
        <w:rPr>
          <w:lang w:val="en-GB"/>
        </w:rPr>
        <w:t>, fermentation rate optimization</w:t>
      </w:r>
      <w:r w:rsidRPr="002A14FF">
        <w:rPr>
          <w:lang w:val="en-GB"/>
        </w:rPr>
        <w:t xml:space="preserve"> and the</w:t>
      </w:r>
      <w:r w:rsidR="00F746E5" w:rsidRPr="002A14FF">
        <w:rPr>
          <w:lang w:val="en-GB"/>
        </w:rPr>
        <w:t xml:space="preserve"> two-phase</w:t>
      </w:r>
      <w:r w:rsidRPr="002A14FF">
        <w:rPr>
          <w:lang w:val="en-GB"/>
        </w:rPr>
        <w:t xml:space="preserve"> bioreactor </w:t>
      </w:r>
      <w:r w:rsidR="00F746E5" w:rsidRPr="002A14FF">
        <w:rPr>
          <w:lang w:val="en-GB"/>
        </w:rPr>
        <w:t>design</w:t>
      </w:r>
      <w:r w:rsidRPr="002A14FF">
        <w:rPr>
          <w:lang w:val="en-GB"/>
        </w:rPr>
        <w:t xml:space="preserve">. </w:t>
      </w:r>
      <w:r w:rsidR="00F746E5" w:rsidRPr="00743EFE">
        <w:rPr>
          <w:lang w:val="en-GB"/>
        </w:rPr>
        <w:t>T</w:t>
      </w:r>
      <w:r w:rsidRPr="00743EFE">
        <w:rPr>
          <w:lang w:val="en-GB"/>
        </w:rPr>
        <w:t xml:space="preserve">his work aims </w:t>
      </w:r>
      <w:r w:rsidR="00F746E5" w:rsidRPr="00743EFE">
        <w:rPr>
          <w:lang w:val="en-GB"/>
        </w:rPr>
        <w:t>to analyze the two effects (fermentation and gas to liquid mass transfer) distinctly. A syngas fermentation kinetics was modeled in order to optimize the fermentation conditions in terms of substrate and micr</w:t>
      </w:r>
      <w:r>
        <w:rPr>
          <w:lang w:val="en-GB"/>
        </w:rPr>
        <w:t>o</w:t>
      </w:r>
      <w:r w:rsidR="00F746E5" w:rsidRPr="00743EFE">
        <w:rPr>
          <w:lang w:val="en-GB"/>
        </w:rPr>
        <w:t>organism concentrations maximizing the acetic acid yield. Under the hypothesis of constant CO and H</w:t>
      </w:r>
      <w:r w:rsidR="00F746E5" w:rsidRPr="00743EFE">
        <w:rPr>
          <w:vertAlign w:val="subscript"/>
          <w:lang w:val="en-GB"/>
        </w:rPr>
        <w:t>2</w:t>
      </w:r>
      <w:r w:rsidR="00F746E5" w:rsidRPr="00743EFE">
        <w:rPr>
          <w:lang w:val="en-GB"/>
        </w:rPr>
        <w:t xml:space="preserve"> concentration, the gas-liquid mass transfer coefficients were estimated considering a syngas composition coming from the </w:t>
      </w:r>
      <w:r w:rsidRPr="00470082">
        <w:rPr>
          <w:i/>
          <w:iCs/>
          <w:lang w:val="en-GB"/>
        </w:rPr>
        <w:t>Cynara cardunculus</w:t>
      </w:r>
      <w:r w:rsidRPr="00743EFE">
        <w:rPr>
          <w:lang w:val="en-GB"/>
        </w:rPr>
        <w:t xml:space="preserve"> L.</w:t>
      </w:r>
      <w:r w:rsidR="00F746E5" w:rsidRPr="00743EFE">
        <w:rPr>
          <w:lang w:val="en-GB"/>
        </w:rPr>
        <w:t xml:space="preserve"> </w:t>
      </w:r>
      <w:r w:rsidRPr="00743EFE">
        <w:rPr>
          <w:lang w:val="en-GB"/>
        </w:rPr>
        <w:t>residual biomass gasification</w:t>
      </w:r>
      <w:r w:rsidR="00F746E5" w:rsidRPr="00743EFE">
        <w:rPr>
          <w:lang w:val="en-GB"/>
        </w:rPr>
        <w:t xml:space="preserve">. Results presented </w:t>
      </w:r>
      <w:r w:rsidR="000E1BCA" w:rsidRPr="00743EFE">
        <w:rPr>
          <w:lang w:val="en-GB"/>
        </w:rPr>
        <w:t>identify the optimal CO and H</w:t>
      </w:r>
      <w:r w:rsidR="000E1BCA" w:rsidRPr="00743EFE">
        <w:rPr>
          <w:vertAlign w:val="subscript"/>
          <w:lang w:val="en-GB"/>
        </w:rPr>
        <w:t>2</w:t>
      </w:r>
      <w:r w:rsidR="000E1BCA" w:rsidRPr="00743EFE">
        <w:rPr>
          <w:lang w:val="en-GB"/>
        </w:rPr>
        <w:t xml:space="preserve"> concentrations 0.01 and 0.1 mmol/L respectively, with an initial microorganism concentration equal to 2 g/L, obtaining a maximum acetic acid yield and an acetic acid maximum concentration of </w:t>
      </w:r>
      <w:r w:rsidR="00205B5B" w:rsidRPr="00743EFE">
        <w:rPr>
          <w:lang w:val="en-GB"/>
        </w:rPr>
        <w:t>12.5</w:t>
      </w:r>
      <w:r w:rsidR="000E1BCA" w:rsidRPr="00743EFE">
        <w:rPr>
          <w:lang w:val="en-GB"/>
        </w:rPr>
        <w:t xml:space="preserve"> % and 4.2 g/L respectively.</w:t>
      </w:r>
      <w:r w:rsidR="00470082" w:rsidRPr="00743EFE" w:rsidDel="00470082">
        <w:rPr>
          <w:lang w:val="en-GB"/>
        </w:rPr>
        <w:t xml:space="preserve"> </w:t>
      </w:r>
    </w:p>
    <w:bookmarkEnd w:id="0"/>
    <w:p w14:paraId="476B2F2E" w14:textId="77777777" w:rsidR="00600535" w:rsidRPr="00B57B36" w:rsidRDefault="005178F8" w:rsidP="00600535">
      <w:pPr>
        <w:pStyle w:val="CETHeading1"/>
        <w:rPr>
          <w:lang w:val="en-GB"/>
        </w:rPr>
      </w:pPr>
      <w:r w:rsidRPr="00B57B36">
        <w:rPr>
          <w:lang w:val="en-GB"/>
        </w:rPr>
        <w:t>Introduction</w:t>
      </w:r>
    </w:p>
    <w:p w14:paraId="03D9AD84" w14:textId="2FB6E442" w:rsidR="00090361" w:rsidRPr="00B76BE1" w:rsidRDefault="005178F8" w:rsidP="008C1BA5">
      <w:pPr>
        <w:pStyle w:val="CETReferencetext"/>
        <w:ind w:left="0" w:firstLine="0"/>
      </w:pPr>
      <w:r w:rsidRPr="00B76BE1">
        <w:t>Syngas fermentation is a more recent biorefinery approach for the production of biobase</w:t>
      </w:r>
      <w:r>
        <w:t>d</w:t>
      </w:r>
      <w:r w:rsidRPr="00B76BE1">
        <w:t xml:space="preserve"> products</w:t>
      </w:r>
      <w:r w:rsidR="008C1BA5">
        <w:t xml:space="preserve"> </w:t>
      </w:r>
      <w:r w:rsidR="008C1BA5">
        <w:fldChar w:fldCharType="begin"/>
      </w:r>
      <w:r w:rsidR="008C1BA5">
        <w:instrText xml:space="preserve"> ADDIN ZOTERO_ITEM CSL_CITATION {"citationID":"cyn1gqYc","properties":{"formattedCitation":"(Li et al., 2018)","plainCitation":"(Li et al., 2018)","noteIndex":0},"citationItems":[{"id":1890,"uris":["http://zotero.org/users/local/dUse6BQP/items/6727D2WY"],"uri":["http://zotero.org/users/local/dUse6BQP/items/6727D2WY"],"itemData":{"id":1890,"type":"chapter","note":"DOI: 10.1016/B978-0-444-64241-7.50410-9","page":"2491–2496","title":"Integrated Metabolic and Process Modeling of Bubble Column Reactors for Gas Fermentation","URL":"https://linkinghub.elsevier.com/retrieve/pii/B9780444642417504109","author":[{"family":"Li","given":"Xiangan"},{"family":"Chen","given":"Jin"},{"family":"Griffin","given":"Derek"},{"family":"Li","given":"Xueliang"},{"family":"Henson","given":"Michael A."}],"issued":{"date-parts":[["2018"]]}}}],"schema":"https://github.com/citation-style-language/schema/raw/master/csl-citation.json"} </w:instrText>
      </w:r>
      <w:r w:rsidR="008C1BA5">
        <w:fldChar w:fldCharType="separate"/>
      </w:r>
      <w:r w:rsidR="008C1BA5" w:rsidRPr="008C1BA5">
        <w:rPr>
          <w:rFonts w:cs="Arial"/>
        </w:rPr>
        <w:t>(Li et al., 2018)</w:t>
      </w:r>
      <w:r w:rsidR="008C1BA5">
        <w:fldChar w:fldCharType="end"/>
      </w:r>
      <w:r w:rsidRPr="00B76BE1">
        <w:t>. The main advantage of this biorefinery scheme is that gasification</w:t>
      </w:r>
      <w:r w:rsidR="008C1BA5">
        <w:t xml:space="preserve"> </w:t>
      </w:r>
      <w:r w:rsidR="008C1BA5">
        <w:fldChar w:fldCharType="begin"/>
      </w:r>
      <w:r w:rsidR="008C1BA5">
        <w:instrText xml:space="preserve"> ADDIN ZOTERO_ITEM CSL_CITATION {"citationID":"gWeh8Mej","properties":{"formattedCitation":"(Sofia et al., 2013)","plainCitation":"(Sofia et al., 2013)","noteIndex":0},"citationItems":[{"id":3230,"uris":["http://zotero.org/users/local/dUse6BQP/items/B4PLG8NY"],"uri":["http://zotero.org/users/local/dUse6BQP/items/B4PLG8NY"],"itemData":{"id":3230,"type":"article-journal","abstract":"A process simulation model of the Integrated Gasification Combined Cycle (IGCC) plant of Elcogas was developed and validated with industrial data. The model was used to assess the technical and economic feasibility of the process co-fired with up to 20% by weight of two local biomass samples (olive husk and grape seed meal). Results indicate promising features of the process in the forthcoming scenario of more severe limitations to CO2emissions. Copyright © 2013, AIDIC Servizi S.r.l.","container-title":"Chemical Engineering Transactions","DOI":"10.3303/CET1332206","ISSN":"22839216","page":"1231–1236","title":"Techno-economic assessment of co-gasification of coal-petcoke and biomass in IGCC power plants","volume":"32","author":[{"family":"Sofia","given":"D."},{"family":"Giuliano","given":"A."},{"family":"Barletta","given":"D."}],"issued":{"date-parts":[["2013"]]}}}],"schema":"https://github.com/citation-style-language/schema/raw/master/csl-citation.json"} </w:instrText>
      </w:r>
      <w:r w:rsidR="008C1BA5">
        <w:fldChar w:fldCharType="separate"/>
      </w:r>
      <w:r w:rsidR="008C1BA5" w:rsidRPr="004F0245">
        <w:rPr>
          <w:rFonts w:cs="Arial"/>
        </w:rPr>
        <w:t>(Sofia et al., 2013)</w:t>
      </w:r>
      <w:r w:rsidR="008C1BA5">
        <w:fldChar w:fldCharType="end"/>
      </w:r>
      <w:r w:rsidR="008C1BA5">
        <w:t xml:space="preserve"> </w:t>
      </w:r>
      <w:r w:rsidRPr="00B76BE1">
        <w:t xml:space="preserve">can transform up to 90% of the biomass into a fermentable platform (syngas) </w:t>
      </w:r>
      <w:r w:rsidR="008C1BA5">
        <w:fldChar w:fldCharType="begin"/>
      </w:r>
      <w:r w:rsidR="008C1BA5">
        <w:instrText xml:space="preserve"> ADDIN ZOTERO_ITEM CSL_CITATION {"citationID":"esqHkaRw","properties":{"formattedCitation":"(Sivalingam Vasan and Dinamarca Carlos, 2021)","plainCitation":"(Sivalingam Vasan and Dinamarca Carlos, 2021)","noteIndex":0},"citationItems":[{"id":4106,"uris":["http://zotero.org/users/local/dUse6BQP/items/QSZIITDF"],"uri":["http://zotero.org/users/local/dUse6BQP/items/QSZIITDF"],"itemData":{"id":4106,"type":"article-journal","container-title":"Chemical Engineering Transactions","DOI":"10.3303/CET2186248","language":"en","page":"1483-1488","source":"DOI.org (CSL JSON)","title":"High Pressure Moving Bed Biofilm Reactor for Syngas Fermentation","volume":"86","author":[{"literal":"Sivalingam Vasan"},{"literal":"Dinamarca Carlos"}],"issued":{"date-parts":[["2021",6]]}}}],"schema":"https://github.com/citation-style-language/schema/raw/master/csl-citation.json"} </w:instrText>
      </w:r>
      <w:r w:rsidR="008C1BA5">
        <w:fldChar w:fldCharType="separate"/>
      </w:r>
      <w:r w:rsidR="008C1BA5" w:rsidRPr="008C1BA5">
        <w:rPr>
          <w:rFonts w:cs="Arial"/>
        </w:rPr>
        <w:t>(Sivalingam Vasan and Dinamarca Carlos, 2021)</w:t>
      </w:r>
      <w:r w:rsidR="008C1BA5">
        <w:fldChar w:fldCharType="end"/>
      </w:r>
      <w:r w:rsidRPr="00B76BE1">
        <w:t xml:space="preserve">. Depending on the type of micro-organism used in fermentation, several bioproducts, like ethanol, acetic acid, PHA, BDO, can be obtained </w:t>
      </w:r>
      <w:r w:rsidR="00207601">
        <w:fldChar w:fldCharType="begin"/>
      </w:r>
      <w:r w:rsidR="008C1BA5">
        <w:instrText xml:space="preserve"> ADDIN ZOTERO_ITEM CSL_CITATION {"citationID":"ll7mh8yH","properties":{"formattedCitation":"(Asimakopoulos et al., 2018)","plainCitation":"(Asimakopoulos et al., 2018)","noteIndex":0},"citationItems":[{"id":744,"uris":["http://zotero.org/users/local/dUse6BQP/items/WIJ254SR"],"uri":["http://zotero.org/users/local/dUse6BQP/items/WIJ254SR"],"itemData":{"id":744,"type":"article-journal","container-title":"Chemical Engineering Journal","DOI":"10.1016/j.cej.2018.05.003","ISSN":"1385-8947","issue":"March","note":"publisher: Elsevier","page":"732–744","title":"Reactor systems for syngas fermentation processes : A review","volume":"348","author":[{"family":"Asimakopoulos","given":"Konstantinos"},{"family":"Gavala","given":"Hariklia N"},{"family":"Skiadas","given":"Ioannis V"}],"issued":{"date-parts":[["2018"]]}}}],"schema":"https://github.com/citation-style-language/schema/raw/master/csl-citation.json"} </w:instrText>
      </w:r>
      <w:r w:rsidR="00207601">
        <w:fldChar w:fldCharType="separate"/>
      </w:r>
      <w:r w:rsidR="008C1BA5" w:rsidRPr="008C1BA5">
        <w:rPr>
          <w:rFonts w:cs="Arial"/>
        </w:rPr>
        <w:t>(Asimakopoulos et al., 2018)</w:t>
      </w:r>
      <w:r w:rsidR="00207601">
        <w:fldChar w:fldCharType="end"/>
      </w:r>
      <w:r w:rsidRPr="00B76BE1">
        <w:t>.</w:t>
      </w:r>
      <w:r w:rsidR="00205B5B">
        <w:t xml:space="preserve"> </w:t>
      </w:r>
      <w:r w:rsidRPr="00B76BE1">
        <w:t>The limits of this process are the need for high-quality syngas and the bioreactors geometry. In particular, in these bioreactors, the syngas compounds (CO, CO</w:t>
      </w:r>
      <w:r w:rsidRPr="00470082">
        <w:rPr>
          <w:vertAlign w:val="subscript"/>
        </w:rPr>
        <w:t>2</w:t>
      </w:r>
      <w:r w:rsidRPr="00B76BE1">
        <w:t>, H</w:t>
      </w:r>
      <w:r w:rsidRPr="002C3A22">
        <w:rPr>
          <w:vertAlign w:val="subscript"/>
        </w:rPr>
        <w:t>2</w:t>
      </w:r>
      <w:r w:rsidRPr="00B76BE1">
        <w:t xml:space="preserve">), with very low solubility in water, need to be transferred in the liquid phase where the fermentation reaction takes place by means of micro-organisms </w:t>
      </w:r>
      <w:r w:rsidR="008C1BA5">
        <w:fldChar w:fldCharType="begin"/>
      </w:r>
      <w:r w:rsidR="008C1BA5">
        <w:instrText xml:space="preserve"> ADDIN ZOTERO_ITEM CSL_CITATION {"citationID":"hZs0xtjm","properties":{"formattedCitation":"(Pardo-planas et al., 2017)","plainCitation":"(Pardo-planas et al., 2017)","noteIndex":0},"citationItems":[{"id":748,"uris":["http://zotero.org/users/local/dUse6BQP/items/SK9YSGUZ"],"uri":["http://zotero.org/users/local/dUse6BQP/items/SK9YSGUZ"],"itemData":{"id":748,"type":"article-journal","container-title":"Bioresource Technology","DOI":"10.1016/j.biortech.2017.08.193","ISSN":"0960-8524","issue":"August","note":"publisher: Elsevier","page":"925–932","title":"Bioresource Technology Process simulation of ethanol production from biomass gasi fi cation and syngas fermentation","volume":"245","author":[{"family":"Pardo-planas","given":"Oscar"},{"family":"Atiyeh","given":"Hasan K"},{"family":"Phillips","given":"John R"},{"family":"Aichele","given":"Clint P"},{"family":"Mohammad","given":"Sayeed"}],"issued":{"date-parts":[["2017"]]}}}],"schema":"https://github.com/citation-style-language/schema/raw/master/csl-citation.json"} </w:instrText>
      </w:r>
      <w:r w:rsidR="008C1BA5">
        <w:fldChar w:fldCharType="separate"/>
      </w:r>
      <w:r w:rsidR="008C1BA5" w:rsidRPr="008C1BA5">
        <w:rPr>
          <w:rFonts w:cs="Arial"/>
        </w:rPr>
        <w:t>(Pardo-planas et al., 2017)</w:t>
      </w:r>
      <w:r w:rsidR="008C1BA5">
        <w:fldChar w:fldCharType="end"/>
      </w:r>
      <w:r w:rsidRPr="00B76BE1">
        <w:t>.</w:t>
      </w:r>
      <w:r w:rsidR="00205B5B">
        <w:t xml:space="preserve"> </w:t>
      </w:r>
      <w:r>
        <w:t>In the last years, several works aimed to obtain a modeling or process simulation of syngas fermentation to ethanol or chemicals.</w:t>
      </w:r>
      <w:r w:rsidR="00205B5B">
        <w:t xml:space="preserve"> </w:t>
      </w:r>
      <w:r>
        <w:fldChar w:fldCharType="begin"/>
      </w:r>
      <w:r>
        <w:instrText xml:space="preserve"> ADDIN ZOTERO_ITEM CSL_CITATION {"citationID":"gHUBnMWz","properties":{"formattedCitation":"(Almeida Benalc\\uc0\\u225{}zar et al., 2020)","plainCitation":"(Almeida Benalcázar et al., 2020)","dontUpdate":true,"noteIndex":0},"citationItems":[{"id":4217,"uris":["http://zotero.org/users/local/dUse6BQP/items/7QDSJR56"],"uri":["http://zotero.org/users/local/dUse6BQP/items/7QDSJR56"],"itemData":{"id":4217,"type":"article-journal","abstract":"Background:  Ethanol production through fermentation of gas mixtures containing CO, ­CO2 and ­H2 has just started operating at commercial scale. However, quantitative schemes for understanding and predicting productivities, yields, mass transfer rates, gas flow profiles and detailed energy requirements have been lacking in literature; such are invaluable tools for process improvements and better systems design. The present study describes the construction of a hybrid model for simulating ethanol production inside a 700 m3 bubble column bioreactor fed with gas of two possible compositions, i.e., pure CO and a 3:1 mixture of ­H2 and ­CO2.\nResults:  Estimations made using the thermodynamics-based black-box model of microbial reactions on substrate threshold concentrations, biomass yields, as well as CO and ­H2 maximum specific uptake rates agreed reasonably well with data and observations reported in literature. According to the bioreactor simulation, there is a strong dependency of process performance on mass transfer rates. When mass transfer coefficients were estimated using a model developed from oxygen transfer to water, ethanol productivity reached 5.1 g L­ −1 ­h−1; when the H­ 2/CO2 mixture is fed to the bioreactor, productivity of CO fermentation was 19% lower. Gas utilization reached 23 and 17% for H­ 2/CO2 and CO fermentations, respectively. If mass transfer coefficients were 100% higher than those estimated, ethanol productivity and gas utilization may reach 9.4 g ­L−1 ­h−1 and 38% when feeding the ­H2/CO2 mixture at the same process conditions. The largest energetic requirements for a complete manufacturing plant were identified for gas compression and ethanol distillation, being higher for CO fermentation due to the production of C­ O2.\nConclusions:  The thermodynamics-based black-box model of microbial reactions may be used to quantitatively assess and consolidate the diversity of reported data on CO, ­CO2 and ­H2 threshold concentrations, biomass yields, maximum substrate uptake rates, and half-saturation constants for CO and H­ 2 for syngas fermentations by acetogenic bacteria. The maximization of ethanol productivity in the bioreactor may come with a cost: low gas utilization. Exploiting the model flexibility, multi-objective optimizations of bioreactor performance might reveal how process conditions and configurations could be adjusted to guide further process development.","container-title":"Biotechnology for Biofuels","DOI":"10.1186/s13068-020-01695-y","ISSN":"1754-6834","issue":"1","journalAbbreviation":"Biotechnol Biofuels","language":"en","page":"59","source":"DOI.org (Crossref)","title":"Modeling ethanol production through gas fermentation: a biothermodynamics and mass transfer-based hybrid model for microbial growth in a large-scale bubble column bioreactor","title-short":"Modeling ethanol production through gas fermentation","volume":"13","author":[{"family":"Almeida Benalcázar","given":"Eduardo"},{"family":"Noorman","given":"Henk"},{"family":"Maciel Filho","given":"Rubens"},{"family":"Posada","given":"John A."}],"issued":{"date-parts":[["2020",12]]}}}],"schema":"https://github.com/citation-style-language/schema/raw/master/csl-citation.json"} </w:instrText>
      </w:r>
      <w:r>
        <w:fldChar w:fldCharType="separate"/>
      </w:r>
      <w:r w:rsidRPr="00F46733">
        <w:rPr>
          <w:rFonts w:cs="Arial"/>
          <w:szCs w:val="24"/>
        </w:rPr>
        <w:t xml:space="preserve">Almeida Benalcázar et al. </w:t>
      </w:r>
      <w:r>
        <w:fldChar w:fldCharType="end"/>
      </w:r>
      <w:r>
        <w:t>built a thermodynamics-based black-box model of main microbial reactions with a mass transfer-based model of a bubble column bioreactor</w:t>
      </w:r>
      <w:r w:rsidR="006F1C2E">
        <w:t xml:space="preserve"> </w:t>
      </w:r>
      <w:r w:rsidR="006F1C2E">
        <w:fldChar w:fldCharType="begin"/>
      </w:r>
      <w:r>
        <w:instrText xml:space="preserve"> ADDIN ZOTERO_ITEM CSL_CITATION {"citationID":"B2TngSNJ","properties":{"formattedCitation":"(Almeida Benalc\\uc0\\u225{}zar et al., 2020)","plainCitation":"(Almeida Benalcázar et al., 2020)","dontUpdate":true,"noteIndex":0},"citationItems":[{"id":4217,"uris":["http://zotero.org/users/local/dUse6BQP/items/7QDSJR56"],"uri":["http://zotero.org/users/local/dUse6BQP/items/7QDSJR56"],"itemData":{"id":4217,"type":"article-journal","abstract":"Background:  Ethanol production through fermentation of gas mixtures containing CO, ­CO2 and ­H2 has just started operating at commercial scale. However, quantitative schemes for understanding and predicting productivities, yields, mass transfer rates, gas flow profiles and detailed energy requirements have been lacking in literature; such are invaluable tools for process improvements and better systems design. The present study describes the construction of a hybrid model for simulating ethanol production inside a 700 m3 bubble column bioreactor fed with gas of two possible compositions, i.e., pure CO and a 3:1 mixture of ­H2 and ­CO2.\nResults:  Estimations made using the thermodynamics-based black-box model of microbial reactions on substrate threshold concentrations, biomass yields, as well as CO and ­H2 maximum specific uptake rates agreed reasonably well with data and observations reported in literature. According to the bioreactor simulation, there is a strong dependency of process performance on mass transfer rates. When mass transfer coefficients were estimated using a model developed from oxygen transfer to water, ethanol productivity reached 5.1 g L­ −1 ­h−1; when the H­ 2/CO2 mixture is fed to the bioreactor, productivity of CO fermentation was 19% lower. Gas utilization reached 23 and 17% for H­ 2/CO2 and CO fermentations, respectively. If mass transfer coefficients were 100% higher than those estimated, ethanol productivity and gas utilization may reach 9.4 g ­L−1 ­h−1 and 38% when feeding the ­H2/CO2 mixture at the same process conditions. The largest energetic requirements for a complete manufacturing plant were identified for gas compression and ethanol distillation, being higher for CO fermentation due to the production of C­ O2.\nConclusions:  The thermodynamics-based black-box model of microbial reactions may be used to quantitatively assess and consolidate the diversity of reported data on CO, ­CO2 and ­H2 threshold concentrations, biomass yields, maximum substrate uptake rates, and half-saturation constants for CO and H­ 2 for syngas fermentations by acetogenic bacteria. The maximization of ethanol productivity in the bioreactor may come with a cost: low gas utilization. Exploiting the model flexibility, multi-objective optimizations of bioreactor performance might reveal how process conditions and configurations could be adjusted to guide further process development.","container-title":"Biotechnology for Biofuels","DOI":"10.1186/s13068-020-01695-y","ISSN":"1754-6834","issue":"1","journalAbbreviation":"Biotechnol Biofuels","language":"en","page":"59","source":"DOI.org (Crossref)","title":"Modeling ethanol production through gas fermentation: a biothermodynamics and mass transfer-based hybrid model for microbial growth in a large-scale bubble column bioreactor","title-short":"Modeling ethanol production through gas fermentation","volume":"13","author":[{"family":"Almeida Benalcázar","given":"Eduardo"},{"family":"Noorman","given":"Henk"},{"family":"Maciel Filho","given":"Rubens"},{"family":"Posada","given":"John A."}],"issued":{"date-parts":[["2020",12]]}}}],"schema":"https://github.com/citation-style-language/schema/raw/master/csl-citation.json"} </w:instrText>
      </w:r>
      <w:r w:rsidR="006F1C2E">
        <w:fldChar w:fldCharType="separate"/>
      </w:r>
      <w:r w:rsidR="006F1C2E" w:rsidRPr="00F46733">
        <w:rPr>
          <w:rFonts w:cs="Arial"/>
          <w:szCs w:val="24"/>
        </w:rPr>
        <w:t>(2020)</w:t>
      </w:r>
      <w:r w:rsidR="006F1C2E">
        <w:fldChar w:fldCharType="end"/>
      </w:r>
      <w:r w:rsidR="006F1C2E">
        <w:t xml:space="preserve"> and they analyzed </w:t>
      </w:r>
      <w:r w:rsidR="006F1C2E" w:rsidRPr="006F1C2E">
        <w:t>the gas production process</w:t>
      </w:r>
      <w:r w:rsidR="006F1C2E">
        <w:t xml:space="preserve">es as the main process parameter of the syngas fermentation </w:t>
      </w:r>
      <w:r w:rsidR="006F1C2E">
        <w:fldChar w:fldCharType="begin"/>
      </w:r>
      <w:r>
        <w:instrText xml:space="preserve"> ADDIN ZOTERO_ITEM CSL_CITATION {"citationID":"fFrRU6yv","properties":{"formattedCitation":"(Almeida Benalc\\uc0\\u225{}zar et al., 2022)","plainCitation":"(Almeida Benalcázar et al., 2022)","dontUpdate":true,"noteIndex":0},"citationItems":[{"id":4211,"uris":["http://zotero.org/users/local/dUse6BQP/items/UPQHHNJC"],"uri":["http://zotero.org/users/local/dUse6BQP/items/UPQHHNJC"],"itemData":{"id":4211,"type":"article-journal","container-title":"Computers &amp; Chemical Engineering","DOI":"10.1016/j.compchemeng.2022.107670","ISSN":"00981354","journalAbbreviation":"Computers &amp; Chemical Engineering","language":"en","page":"107670","source":"DOI.org (Crossref)","title":"Decarbonizing ethanol production via gas fermentation: Impact of the CO/H2/CO2 mix source on greenhouse gas emissions and production costs","title-short":"Decarbonizing ethanol production via gas fermentation","volume":"159","author":[{"family":"Almeida Benalcázar","given":"Eduardo"},{"family":"Noorman","given":"Henk"},{"family":"Maciel Filho","given":"Rubens"},{"family":"Posada","given":"John A."}],"issued":{"date-parts":[["2022",3]]}}}],"schema":"https://github.com/citation-style-language/schema/raw/master/csl-citation.json"} </w:instrText>
      </w:r>
      <w:r w:rsidR="006F1C2E">
        <w:fldChar w:fldCharType="separate"/>
      </w:r>
      <w:r w:rsidR="006F1C2E" w:rsidRPr="00AB332F">
        <w:rPr>
          <w:rFonts w:cs="Arial"/>
          <w:szCs w:val="24"/>
        </w:rPr>
        <w:t>(2022)</w:t>
      </w:r>
      <w:r w:rsidR="006F1C2E">
        <w:fldChar w:fldCharType="end"/>
      </w:r>
      <w:r w:rsidR="006F1C2E">
        <w:t>.</w:t>
      </w:r>
      <w:r w:rsidR="00205B5B">
        <w:t xml:space="preserve"> </w:t>
      </w:r>
      <w:r w:rsidR="006F1C2E">
        <w:t xml:space="preserve">More innovative bioreactor configurations were studied by </w:t>
      </w:r>
      <w:r w:rsidR="006F1C2E">
        <w:fldChar w:fldCharType="begin"/>
      </w:r>
      <w:r>
        <w:instrText xml:space="preserve"> ADDIN ZOTERO_ITEM CSL_CITATION {"citationID":"YneucGws","properties":{"formattedCitation":"(Jang et al., 2018)","plainCitation":"(Jang et al., 2018)","dontUpdate":true,"noteIndex":0},"citationItems":[{"id":754,"uris":["http://zotero.org/users/local/dUse6BQP/items/QRPUUG6L"],"uri":["http://zotero.org/users/local/dUse6BQP/items/QRPUUG6L"],"itemData":{"id":754,"type":"article-journal","container-title":"Bioresource Technology","DOI":"10.1016/j.biortech.2018.05.012","ISSN":"0960-8524","issue":"March","note":"publisher: Elsevier","page":"375–384","title":"Bioresource Technology Bubble coalescence suppression driven carbon monoxide ( CO ) -water mass transfer increase by electrolyte addition in a hollow fi ber membrane bioreactor ( HFMBR ) for microbial CO conversion to ethanol","volume":"263","author":[{"family":"Jang","given":"Nulee"},{"family":"Yasin","given":"Muhammad"},{"family":"Kang","given":"Hyunsoo"},{"family":"Lee","given":"Yeubin"},{"family":"Woo","given":"Gwon"}],"issued":{"date-parts":[["2018"]]}}}],"schema":"https://github.com/citation-style-language/schema/raw/master/csl-citation.json"} </w:instrText>
      </w:r>
      <w:r w:rsidR="006F1C2E">
        <w:fldChar w:fldCharType="separate"/>
      </w:r>
      <w:r w:rsidR="006F1C2E" w:rsidRPr="00F46733">
        <w:rPr>
          <w:rFonts w:cs="Arial"/>
        </w:rPr>
        <w:t xml:space="preserve">Jang et al. </w:t>
      </w:r>
      <w:r w:rsidR="006F1C2E">
        <w:rPr>
          <w:rFonts w:cs="Arial"/>
        </w:rPr>
        <w:t>(</w:t>
      </w:r>
      <w:r w:rsidR="006F1C2E" w:rsidRPr="00F46733">
        <w:rPr>
          <w:rFonts w:cs="Arial"/>
        </w:rPr>
        <w:t>2018)</w:t>
      </w:r>
      <w:r w:rsidR="006F1C2E">
        <w:fldChar w:fldCharType="end"/>
      </w:r>
      <w:r w:rsidR="006F1C2E">
        <w:t xml:space="preserve">, considering a hollow fiber membrane bioreactor (HFMBR) for microbial CO conversion to ethanol. </w:t>
      </w:r>
      <w:r w:rsidR="00CD5F41">
        <w:t xml:space="preserve">Inhibition of </w:t>
      </w:r>
      <w:r w:rsidR="00CD5F41" w:rsidRPr="0072439E">
        <w:rPr>
          <w:i/>
          <w:iCs/>
        </w:rPr>
        <w:t>C. autoethanogenum</w:t>
      </w:r>
      <w:r w:rsidR="00CD5F41">
        <w:t xml:space="preserve"> cell growth was observed in proportion to the electrolyte concentration, while the kinetic simulations predicted that overall reactor performances using the electrolytes increase compared to the that obtained in an </w:t>
      </w:r>
      <w:r w:rsidR="00CD5F41" w:rsidRPr="00CD5F41">
        <w:t>acid-buffered basal medium</w:t>
      </w:r>
      <w:r w:rsidR="00CD5F41">
        <w:t>. This suggests the applicability of this approach for biofuel production.</w:t>
      </w:r>
      <w:r w:rsidR="00205B5B">
        <w:t xml:space="preserve"> </w:t>
      </w:r>
      <w:r w:rsidR="00CD5F41">
        <w:fldChar w:fldCharType="begin"/>
      </w:r>
      <w:r>
        <w:instrText xml:space="preserve"> ADDIN ZOTERO_ITEM CSL_CITATION {"citationID":"f2jc7Z55","properties":{"formattedCitation":"(Phillips et al., 2017)","plainCitation":"(Phillips et al., 2017)","dontUpdate":true,"noteIndex":0},"citationItems":[{"id":750,"uris":["http://zotero.org/users/local/dUse6BQP/items/UZRHSWFL"],"uri":["http://zotero.org/users/local/dUse6BQP/items/UZRHSWFL"],"itemData":{"id":750,"type":"article-journal","abstract":"Biomass and other carbonaceous materials can be gasified to produce syngas with high concentrations of CO and H2. Feedstock materials include wood, dedicated energy crops, grain wastes, manufacturing or municipal wastes, natural gas, petroleum and chemical wastes, lignin, coal and tires. Syngas fermentation converts CO and H2 to alcohols and organic acids and uses concepts applicable in fermentation of gas phase substrates. The growth of chemoautotrophic microbes produces a wide range of chemicals from the enzyme platform of native organisms. In this review paper, the Wood–Ljungdahl biochemical pathway used by chemoautotrophs is described including balanced reactions, reaction sites physically located within the cell and cell mechanisms for energy conservation that govern production. Important concepts discussed include gas solubility, mass transfer, thermodynamics of enzyme-catalyzed reactions, electrochemistry and cellular electron carriers and fermentation kinetics. Potential applications of these concepts include acid and alcohol production, hydrogen generation and conversion of methane to liquids or hydrogen.","DOI":"10.3390/fermentation3020028","note":"ISBN: 1405744839","title":"Syngas Fermentation : A Microbial Conversion Process of Gaseous Substrates to Various Products","author":[{"family":"Phillips","given":"John R"},{"family":"Huhnke","given":"Raymond L"},{"family":"Atiyeh","given":"Hasan K"}],"issued":{"date-parts":[["2017"]]}}}],"schema":"https://github.com/citation-style-language/schema/raw/master/csl-citation.json"} </w:instrText>
      </w:r>
      <w:r w:rsidR="00CD5F41">
        <w:fldChar w:fldCharType="separate"/>
      </w:r>
      <w:r w:rsidR="00CD5F41" w:rsidRPr="00F46733">
        <w:rPr>
          <w:rFonts w:cs="Arial"/>
        </w:rPr>
        <w:t xml:space="preserve">Phillips et al. </w:t>
      </w:r>
      <w:r w:rsidR="00CD5F41">
        <w:rPr>
          <w:rFonts w:cs="Arial"/>
        </w:rPr>
        <w:t>(</w:t>
      </w:r>
      <w:r w:rsidR="00CD5F41" w:rsidRPr="00F46733">
        <w:rPr>
          <w:rFonts w:cs="Arial"/>
        </w:rPr>
        <w:t>2017)</w:t>
      </w:r>
      <w:r w:rsidR="00CD5F41">
        <w:fldChar w:fldCharType="end"/>
      </w:r>
      <w:r w:rsidR="00CD5F41">
        <w:t xml:space="preserve"> developed </w:t>
      </w:r>
      <w:r w:rsidR="00A00FCD">
        <w:t xml:space="preserve">the </w:t>
      </w:r>
      <w:r w:rsidR="00A00FCD" w:rsidRPr="0072439E">
        <w:rPr>
          <w:i/>
          <w:iCs/>
        </w:rPr>
        <w:t>Wood–Ljungdahl</w:t>
      </w:r>
      <w:r w:rsidR="00A00FCD">
        <w:t xml:space="preserve"> biochemical pathway model used by chemoautotrophs. Important concepts discussed include gas solubility, mass transfer, thermodynamics of enzyme-catalyzed reactions, electrochemistry and cellular electron carriers and fermentation kinetics. Potential applications of these concepts include acid and alcohol production, hydrogen generation and conversion of methane to liquids or hydrogen. A</w:t>
      </w:r>
      <w:r w:rsidR="00A00FCD" w:rsidRPr="00A00FCD">
        <w:t xml:space="preserve"> review of techno-economic analysis of</w:t>
      </w:r>
      <w:r w:rsidR="00A00FCD">
        <w:t xml:space="preserve"> </w:t>
      </w:r>
      <w:r w:rsidR="00A00FCD" w:rsidRPr="00A00FCD">
        <w:t>gasification-syngas fermentation showed a competitive advantage of the hybrid gasification-syngas</w:t>
      </w:r>
      <w:r w:rsidR="00A00FCD">
        <w:t xml:space="preserve"> </w:t>
      </w:r>
      <w:r w:rsidR="00A00FCD" w:rsidRPr="00A00FCD">
        <w:t xml:space="preserve">fermentation technology to make biofuels </w:t>
      </w:r>
      <w:r w:rsidR="00A00FCD" w:rsidRPr="00A00FCD">
        <w:lastRenderedPageBreak/>
        <w:t>compared to gasification-mixed alcohol catalytic conversion</w:t>
      </w:r>
      <w:r w:rsidR="00A00FCD">
        <w:t xml:space="preserve"> </w:t>
      </w:r>
      <w:r w:rsidR="00A00FCD" w:rsidRPr="00A00FCD">
        <w:t>and enzymatic hydrolysis fermentation processes.</w:t>
      </w:r>
      <w:r w:rsidR="00675CAC">
        <w:t xml:space="preserve"> </w:t>
      </w:r>
      <w:r w:rsidR="00675CAC">
        <w:fldChar w:fldCharType="begin"/>
      </w:r>
      <w:r>
        <w:instrText xml:space="preserve"> ADDIN ZOTERO_ITEM CSL_CITATION {"citationID":"z6wZqv9a","properties":{"formattedCitation":"(Safarian et al., 2021)","plainCitation":"(Safarian et al., 2021)","dontUpdate":true,"noteIndex":0},"citationItems":[{"id":4215,"uris":["http://zotero.org/users/local/dUse6BQP/items/I4M6P4IA"],"uri":["http://zotero.org/users/local/dUse6BQP/items/I4M6P4IA"],"itemData":{"id":4215,"type":"article-journal","abstract":"In this paper, a simulation model based on the non-stoichiometric equilibrium method via ASPEN Plus was established to analyze the gasiﬁcation performance of 20 herbaceous and agricultural biomasses (H&amp;ABs) linked with syngas fermentation and product puriﬁcation units for ethanol production. The established simulation model does not consider the gasiﬁcation system as a black box; it focuses the important processes in gasiﬁcation such as drying, pyrolysis, gasiﬁcation, and connection with bioethanol production plants. The results for the 20 H&amp;AB options suggest that the speciﬁc mass ﬂow rate of bioethanol from 1 kg of biomass input to the unit is in the range of 99–250 g/kg, and between them, the system fed by hazelnut shell biomass remarkably outranked other alternatives by 241 g/kg production due to the high beneﬁcial results gained from the performance analysis. Additionally, a sensitivity analysis was performed by changing operating conditions such as gasiﬁcation temperature and air-to-fuel ratio. The modeling results are given and discussed. The established model could be a useful approach to evaluate the impacts of a huge numbers of biomasses and operating parameters on bioethanol output.","container-title":"Fermentation","DOI":"10.3390/fermentation7030139","ISSN":"2311-5637","issue":"3","journalAbbreviation":"Fermentation","language":"en","page":"139","source":"DOI.org (Crossref)","title":"Bioethanol Production via Herbaceous and Agricultural Biomass Gasification Integrated with Syngas Fermentation","volume":"7","author":[{"family":"Safarian","given":"Sahar"},{"family":"Unnthorsson","given":"Runar"},{"family":"Richter","given":"Christiaan"}],"issued":{"date-parts":[["2021",7,31]]}}}],"schema":"https://github.com/citation-style-language/schema/raw/master/csl-citation.json"} </w:instrText>
      </w:r>
      <w:r w:rsidR="00675CAC">
        <w:fldChar w:fldCharType="separate"/>
      </w:r>
      <w:r w:rsidR="00675CAC" w:rsidRPr="00AB332F">
        <w:rPr>
          <w:rFonts w:cs="Arial"/>
        </w:rPr>
        <w:t xml:space="preserve">Safarian et al. </w:t>
      </w:r>
      <w:r w:rsidR="00675CAC">
        <w:rPr>
          <w:rFonts w:cs="Arial"/>
        </w:rPr>
        <w:t>(</w:t>
      </w:r>
      <w:r w:rsidR="00675CAC" w:rsidRPr="00AB332F">
        <w:rPr>
          <w:rFonts w:cs="Arial"/>
        </w:rPr>
        <w:t>2021)</w:t>
      </w:r>
      <w:r w:rsidR="00675CAC">
        <w:fldChar w:fldCharType="end"/>
      </w:r>
      <w:r w:rsidR="00675CAC">
        <w:t xml:space="preserve"> developed </w:t>
      </w:r>
      <w:r w:rsidR="00675CAC" w:rsidRPr="00675CAC">
        <w:t>a simulation model based on the non-stoichiometric equilibrium method</w:t>
      </w:r>
      <w:r w:rsidR="00675CAC">
        <w:t xml:space="preserve"> </w:t>
      </w:r>
      <w:r w:rsidR="00675CAC" w:rsidRPr="00675CAC">
        <w:t>via ASPEN Plus</w:t>
      </w:r>
      <w:r w:rsidR="008C1BA5" w:rsidRPr="008C1BA5">
        <w:rPr>
          <w:rFonts w:cs="Arial"/>
          <w:vertAlign w:val="superscript"/>
        </w:rPr>
        <w:t>®</w:t>
      </w:r>
      <w:r w:rsidR="00675CAC" w:rsidRPr="00675CAC">
        <w:t xml:space="preserve"> was established to analyze the gasification performance of 20 herbaceous and</w:t>
      </w:r>
      <w:r w:rsidR="00675CAC">
        <w:t xml:space="preserve"> </w:t>
      </w:r>
      <w:r w:rsidR="00675CAC" w:rsidRPr="00675CAC">
        <w:t>agricultural biomasses linked with syngas fermentation and product purification units for</w:t>
      </w:r>
      <w:r w:rsidR="00675CAC">
        <w:t xml:space="preserve"> </w:t>
      </w:r>
      <w:r w:rsidR="00675CAC" w:rsidRPr="00675CAC">
        <w:t>ethanol production.</w:t>
      </w:r>
      <w:r w:rsidR="00675CAC">
        <w:t xml:space="preserve"> </w:t>
      </w:r>
      <w:r w:rsidR="00A00FCD">
        <w:t xml:space="preserve">Further, </w:t>
      </w:r>
      <w:r w:rsidR="00A00FCD">
        <w:fldChar w:fldCharType="begin"/>
      </w:r>
      <w:r>
        <w:instrText xml:space="preserve"> ADDIN ZOTERO_ITEM CSL_CITATION {"citationID":"3QsHmwuw","properties":{"formattedCitation":"(Kennes et al., 2016)","plainCitation":"(Kennes et al., 2016)","dontUpdate":true,"noteIndex":0},"citationItems":[{"id":1967,"uris":["http://zotero.org/users/local/dUse6BQP/items/C7D2GX6Z"],"uri":["http://zotero.org/users/local/dUse6BQP/items/C7D2GX6Z"],"itemData":{"id":1967,"type":"article-journal","abstract":"The environmental problems associated to the use of fossil fuels as well as their expected scarcity in the near future requires to search for new alternative fuels produced from renewable sources. Bioethanol is a biofuel that can be obtained from biomass and waste as feedstocks through fermentation. Two major routes allow to convert the feedstocks to fermentable substrates, i.e. the hydrolytic route and the thermochemical one. In the hydrolytic route, the feedstock undergoes a pretreatment stage first, aimed at facilitating the subsequent hydrolytic treatment. Chemical, physical or biological pretreatments can be applied. Lignocellulosic feedstocks are mainly composed of cellulose, hemicellulose and lignin. The pretreatment attacks the lignin and hemicellulose polymers and makes cellulose more accessible in the next, hydrolytic, stage. The hydrolytic treatment uses enzymes to convert the cellulose polymer to simple, fermentable, sugars, mainly glucose. Simple sugars obtained from hemicellulose and cellulose are then fermented by yeasts to bioethanol. In the thermo-chemical alternative, the feedstock is gasified, yielding syngas – a mixture largely composed of CO, CO2 and H2 –, which can be fermented anaerobically, usually by clostridia, to ethanol or other products. In both cases, downstream processes are then applied to recover and purify the biofuel. The different stages involved in both alternatives are described, and both processes are compared in terms of their main characteristics and development stage.","container-title":"Journal of Chemical Technology and Biotechnology","DOI":"10.1002/jctb.4842","ISSN":"10974660","issue":"2","page":"304–317","title":"Bioethanol production from biomass: Carbohydrate vs syngas fermentation","volume":"91","author":[{"family":"Kennes","given":"David"},{"family":"Abubackar","given":"Haris Nalakath"},{"family":"Diaz","given":"Marío"},{"family":"Veiga","given":"María C."},{"family":"Kennes","given":"Christian"}],"issued":{"date-parts":[["2016"]]}}}],"schema":"https://github.com/citation-style-language/schema/raw/master/csl-citation.json"} </w:instrText>
      </w:r>
      <w:r w:rsidR="00A00FCD">
        <w:fldChar w:fldCharType="separate"/>
      </w:r>
      <w:r w:rsidR="00A00FCD" w:rsidRPr="00F46733">
        <w:rPr>
          <w:rFonts w:cs="Arial"/>
        </w:rPr>
        <w:t xml:space="preserve">Kennes et al. </w:t>
      </w:r>
      <w:r w:rsidR="00A00FCD">
        <w:rPr>
          <w:rFonts w:cs="Arial"/>
        </w:rPr>
        <w:t>(</w:t>
      </w:r>
      <w:r w:rsidR="00A00FCD" w:rsidRPr="00F46733">
        <w:rPr>
          <w:rFonts w:cs="Arial"/>
        </w:rPr>
        <w:t>2016)</w:t>
      </w:r>
      <w:r w:rsidR="00A00FCD">
        <w:fldChar w:fldCharType="end"/>
      </w:r>
      <w:r w:rsidR="00A00FCD">
        <w:t xml:space="preserve"> carried out the comparison between the bioethanol production via sugars platform and via syngas fermentation. In particular, they assessed a comparison between the economic analysis of both processes, individuating a similar production cost, essentially, else two processes have many differences.</w:t>
      </w:r>
      <w:r w:rsidR="00207601">
        <w:t xml:space="preserve"> </w:t>
      </w:r>
      <w:r w:rsidR="00675CAC">
        <w:t xml:space="preserve">In the present work, a syngas fermentation kinetics model was used to assess the main fermentation conditions making optimal acetic acid production. </w:t>
      </w:r>
      <w:r w:rsidR="0077773A" w:rsidRPr="00743EFE">
        <w:t>Under the hypothesis of constant CO and H</w:t>
      </w:r>
      <w:r w:rsidR="0077773A" w:rsidRPr="00743EFE">
        <w:rPr>
          <w:vertAlign w:val="subscript"/>
        </w:rPr>
        <w:t>2</w:t>
      </w:r>
      <w:r w:rsidR="0077773A" w:rsidRPr="00743EFE">
        <w:t xml:space="preserve"> concentration, the gas-liquid mass transfer coefficients were estimated considering a syngas composition coming from the </w:t>
      </w:r>
      <w:r w:rsidR="0077773A" w:rsidRPr="00470082">
        <w:rPr>
          <w:i/>
          <w:iCs/>
        </w:rPr>
        <w:t>Cynara cardunculus</w:t>
      </w:r>
      <w:r w:rsidR="0077773A" w:rsidRPr="00743EFE">
        <w:t xml:space="preserve"> L.</w:t>
      </w:r>
      <w:r w:rsidR="0077773A">
        <w:t xml:space="preserve"> </w:t>
      </w:r>
      <w:r w:rsidR="0077773A" w:rsidRPr="00743EFE">
        <w:t xml:space="preserve"> residual biomass gasification. </w:t>
      </w:r>
      <w:r w:rsidR="00675CAC">
        <w:t xml:space="preserve">In particular, the kinetics model developed by </w:t>
      </w:r>
      <w:r w:rsidR="00675CAC">
        <w:fldChar w:fldCharType="begin"/>
      </w:r>
      <w:r>
        <w:instrText xml:space="preserve"> ADDIN ZOTERO_ITEM CSL_CITATION {"citationID":"eKl2taAt","properties":{"formattedCitation":"(Medeiros et al., 2019)","plainCitation":"(Medeiros et al., 2019)","noteIndex":0},"citationItems":[{"id":4108,"uris":["http://zotero.org/users/local/dUse6BQP/items/YPUGHPDY"],"uri":["http://zotero.org/users/local/dUse6BQP/items/YPUGHPDY"],"itemData":{"id":4108,"type":"article-journal","abstract":"Syngas fermentation is one of the bets for the future sustainable biobased economies due to its potential as an intermediate step in the conversion of waste carbon to ethanol fuel and other chemicals. Integrated with gasification and suitable downstream processing, it may constitute an efficient and competitive route for the valorization of various waste materials, especially if systems engineering principles are employed targeting process optimization. In this study, a dynamic multi</w:instrText>
      </w:r>
      <w:r>
        <w:rPr>
          <w:rFonts w:ascii="Cambria Math" w:hAnsi="Cambria Math" w:cs="Cambria Math"/>
        </w:rPr>
        <w:instrText>‐</w:instrText>
      </w:r>
      <w:r>
        <w:instrText>response model is presented for syngas fermentation with acetogenic bacteria in a continuous stirredtank reactor, accounting for gas–liquid mass transfer, substrate (CO, H2) uptake, biomass growth and death, acetic acid reassimilation, and product selectivity. The unknown parameters were estimated from literature data using the maximum likelihood principle with a multi</w:instrText>
      </w:r>
      <w:r>
        <w:rPr>
          <w:rFonts w:ascii="Cambria Math" w:hAnsi="Cambria Math" w:cs="Cambria Math"/>
        </w:rPr>
        <w:instrText>‐</w:instrText>
      </w:r>
      <w:r>
        <w:instrText>response nonlinear modeling framework and metaheuristic optimization, and model adequacy was verified with statistical analysis via generation of confidence intervals as well as parameter significance tests. The model was then used to study the effects of process conditions (gas composition, dilution rate, gas flow rates, and cell recycle) as well as the sensitivity of kinetic parameters, and multiobjective genetic algorithm was used to maximize ethanol productivity and CO conversion. It was observed that these two objectives were clearly conflicting when CO</w:instrText>
      </w:r>
      <w:r>
        <w:rPr>
          <w:rFonts w:ascii="Cambria Math" w:hAnsi="Cambria Math" w:cs="Cambria Math"/>
        </w:rPr>
        <w:instrText>‐</w:instrText>
      </w:r>
      <w:r>
        <w:instrText>rich gas was used, but increasing the content of H2 favored higher productivities while maintaining 100% CO conversion. The maximum productivity predicted with full conversion was 2 g·L−1·hr−1 with a feed gas composition of 54% CO and 46% H2 and a dilution rate of 0.06 hr−1 with roughly 90% of cell recycle.","container-title":"Biotechnology and Bioengineering","DOI":"10.1002/bit.27108","ISSN":"0006-3592, 1097-0290","issue":"10","journalAbbreviation":"Biotechnology and Bioengineering","language":"en","page":"2473-2487","source":"DOI.org (Crossref)","title":"Dynamic modeling of syngas fermentation in a continuous stirred</w:instrText>
      </w:r>
      <w:r>
        <w:rPr>
          <w:rFonts w:ascii="Cambria Math" w:hAnsi="Cambria Math" w:cs="Cambria Math"/>
        </w:rPr>
        <w:instrText>‐</w:instrText>
      </w:r>
      <w:r>
        <w:instrText>tank reactor: Multi</w:instrText>
      </w:r>
      <w:r>
        <w:rPr>
          <w:rFonts w:ascii="Cambria Math" w:hAnsi="Cambria Math" w:cs="Cambria Math"/>
        </w:rPr>
        <w:instrText>‐</w:instrText>
      </w:r>
      <w:r>
        <w:instrText>response parameter estimation and process optimization","title-short":"Dynamic modeling of syngas fermentation in a continuous stirred</w:instrText>
      </w:r>
      <w:r>
        <w:rPr>
          <w:rFonts w:ascii="Cambria Math" w:hAnsi="Cambria Math" w:cs="Cambria Math"/>
        </w:rPr>
        <w:instrText>‐</w:instrText>
      </w:r>
      <w:r>
        <w:instrText xml:space="preserve">tank reactor","volume":"116","author":[{"family":"Medeiros","given":"Elisa M."},{"family":"Posada","given":"John A."},{"family":"Noorman","given":"Henk"},{"family":"Filho","given":"Rubens Maciel"}],"issued":{"date-parts":[["2019",10]]}}}],"schema":"https://github.com/citation-style-language/schema/raw/master/csl-citation.json"} </w:instrText>
      </w:r>
      <w:r w:rsidR="00675CAC">
        <w:fldChar w:fldCharType="separate"/>
      </w:r>
      <w:r w:rsidR="000A10B8" w:rsidRPr="000A10B8">
        <w:rPr>
          <w:rFonts w:cs="Arial"/>
        </w:rPr>
        <w:t>(Medeiros et al., 2019)</w:t>
      </w:r>
      <w:r w:rsidR="00675CAC">
        <w:fldChar w:fldCharType="end"/>
      </w:r>
      <w:r>
        <w:t xml:space="preserve"> considers the bacterium </w:t>
      </w:r>
      <w:r w:rsidRPr="0072439E">
        <w:rPr>
          <w:i/>
          <w:iCs/>
        </w:rPr>
        <w:t>Clostridium ljungdahlii</w:t>
      </w:r>
      <w:r>
        <w:t xml:space="preserve"> and initial microbial concentration, CO and H</w:t>
      </w:r>
      <w:r w:rsidRPr="00205B5B">
        <w:rPr>
          <w:vertAlign w:val="subscript"/>
        </w:rPr>
        <w:t>2</w:t>
      </w:r>
      <w:r>
        <w:t xml:space="preserve"> liquid </w:t>
      </w:r>
      <w:r w:rsidRPr="00207601">
        <w:t>concentrations and the fermentation time were evaluated and optimized in order to obtain the maximum acetic acid yield.</w:t>
      </w:r>
    </w:p>
    <w:p w14:paraId="5741900F" w14:textId="7B533B48" w:rsidR="00453E24" w:rsidRDefault="005178F8" w:rsidP="00453E24">
      <w:pPr>
        <w:pStyle w:val="CETHeading1"/>
      </w:pPr>
      <w:r>
        <w:t>Modeling approach</w:t>
      </w:r>
    </w:p>
    <w:p w14:paraId="1B80F7C2" w14:textId="3FED25D1" w:rsidR="00125C3F" w:rsidRDefault="005178F8" w:rsidP="00453E24">
      <w:pPr>
        <w:pStyle w:val="CETBodytext"/>
      </w:pPr>
      <w:r>
        <w:t>The modeling approach was performed using two distinct equation sets, one for the liquid phase, where the biological reactions happened, and another for the syngas phase. Syngas data were from the</w:t>
      </w:r>
      <w:r w:rsidR="00246D2D">
        <w:t xml:space="preserve"> </w:t>
      </w:r>
      <w:r w:rsidR="00246D2D">
        <w:fldChar w:fldCharType="begin"/>
      </w:r>
      <w:r w:rsidR="00090361">
        <w:instrText xml:space="preserve"> ADDIN ZOTERO_ITEM CSL_CITATION {"citationID":"g5IpP8aA","properties":{"formattedCitation":"(Serrano et al., 2016)","plainCitation":"(Serrano et al., 2016)","dontUpdate":true,"noteIndex":0},"citationItems":[{"id":2434,"uris":["http://zotero.org/users/local/dUse6BQP/items/4TUCJWPC"],"uri":["http://zotero.org/users/local/dUse6BQP/items/4TUCJWPC"],"itemData":{"id":2434,"type":"article-journal","abstract":"Gasification of Cynara cardunculus L. was performed in a bubbling fluidized bed (BFB) using air as gasifying agent and, magnesite and olivine as different bed materials. Temperature was varied during the experiments (700-800 °C) with fixed biomass feeding and air flow rate. The effect of using the magnesite and olivine on gas and tar composition, carbon and biomass conversion, and cold gas efficiency was investigated. The product gas showed high hydrogen content (13-16% v/v) for both magnesite and olivine in the studied temperature range. Higher heating value and gas yield were improved with increasing the temperature from 700 to 800 °C. Biomass and carbon conversion were greater than 75%, obtaining values higher than 90% for both 700 and 800 °C in magnesite and for 800 °C in olivine. Small differences in total tar were observed between materials, although tar composition was very different. BTEX were higher for olivine and similar PAHs was obtained for both magnesite and olivine. A higher catalytic activity at 800 °C was observed for magnesite. Gasification performance was better with magnesite at 700 °C while olivine showed better properties at 800 °C.","container-title":"Fuel","DOI":"10.1016/j.fuel.2016.01.051","ISSN":"00162361","note":"publisher: Elsevier Ltd","page":"247–259","title":"Cynara cardunculus L. gasification in a bubbling fluidized bed: The effect of magnesite and olivine on product gas, tar and gasification performance","volume":"173","author":[{"family":"Serrano","given":"Daniel"},{"family":"Kwapinska","given":"Marzena"},{"family":"Horvat","given":"Alen"},{"family":"Sánchez-Delgado","given":"Sergio"},{"family":"Leahy","given":"James J."}],"issued":{"date-parts":[["2016"]]}}}],"schema":"https://github.com/citation-style-language/schema/raw/master/csl-citation.json"} </w:instrText>
      </w:r>
      <w:r w:rsidR="00246D2D">
        <w:fldChar w:fldCharType="separate"/>
      </w:r>
      <w:r w:rsidR="00246D2D" w:rsidRPr="00246D2D">
        <w:rPr>
          <w:rFonts w:cs="Arial"/>
        </w:rPr>
        <w:t xml:space="preserve">Serrano et al. </w:t>
      </w:r>
      <w:r w:rsidR="00246D2D">
        <w:rPr>
          <w:rFonts w:cs="Arial"/>
        </w:rPr>
        <w:t>(</w:t>
      </w:r>
      <w:r w:rsidR="00246D2D" w:rsidRPr="00246D2D">
        <w:rPr>
          <w:rFonts w:cs="Arial"/>
        </w:rPr>
        <w:t>2016)</w:t>
      </w:r>
      <w:r w:rsidR="00246D2D">
        <w:fldChar w:fldCharType="end"/>
      </w:r>
      <w:r>
        <w:t xml:space="preserve"> work, in order to consider the worst case the air biomass gasification was considered, composition and process conditions are listed in Table 1.</w:t>
      </w:r>
    </w:p>
    <w:p w14:paraId="0C17AE80" w14:textId="35529DCC" w:rsidR="00D43E0B" w:rsidRPr="00B57B36" w:rsidRDefault="005178F8" w:rsidP="00D43E0B">
      <w:pPr>
        <w:pStyle w:val="CETTabletitle"/>
      </w:pPr>
      <w:r w:rsidRPr="00B57B36">
        <w:t xml:space="preserve">Table 1: </w:t>
      </w:r>
      <w:r w:rsidR="00C337DF" w:rsidRPr="0072439E">
        <w:t>Syngas composition</w:t>
      </w:r>
      <w:r w:rsidR="00090361" w:rsidRPr="0072439E">
        <w:t xml:space="preserve"> </w:t>
      </w:r>
      <w:r w:rsidR="00090361" w:rsidRPr="0072439E">
        <w:fldChar w:fldCharType="begin"/>
      </w:r>
      <w:r w:rsidR="00090361" w:rsidRPr="0072439E">
        <w:instrText xml:space="preserve"> ADDIN ZOTERO_ITEM CSL_CITATION {"citationID":"IoOybDki","properties":{"formattedCitation":"(Serrano et al., 2016)","plainCitation":"(Serrano et al., 2016)","noteIndex":0},"citationItems":[{"id":2434,"uris":["http://zotero.org/users/local/dUse6BQP/items/4TUCJWPC"],"uri":["http://zotero.org/users/local/dUse6BQP/items/4TUCJWPC"],"itemData":{"id":2434,"type":"article-journal","abstract":"Gasification of Cynara cardunculus L. was performed in a bubbling fluidized bed (BFB) using air as gasifying agent and, magnesite and olivine as different bed materials. Temperature was varied during the experiments (700-800 °C) with fixed biomass feeding and air flow rate. The effect of using the magnesite and olivine on gas and tar composition, carbon and biomass conversion, and cold gas efficiency was investigated. The product gas showed high hydrogen content (13-16% v/v) for both magnesite and olivine in the studied temperature range. Higher heating value and gas yield were improved with increasing the temperature from 700 to 800 °C. Biomass and carbon conversion were greater than 75%, obtaining values higher than 90% for both 700 and 800 °C in magnesite and for 800 °C in olivine. Small differences in total tar were observed between materials, although tar composition was very different. BTEX were higher for olivine and similar PAHs was obtained for both magnesite and olivine. A higher catalytic activity at 800 °C was observed for magnesite. Gasification performance was better with magnesite at 700 °C while olivine showed better properties at 800 °C.","container-title":"Fuel","DOI":"10.1016/j.fuel.2016.01.051","ISSN":"00162361","note":"publisher: Elsevier Ltd","page":"247–259","title":"Cynara cardunculus L. gasification in a bubbling fluidized bed: The effect of magnesite and olivine on product gas, tar and gasification performance","volume":"173","author":[{"family":"Serrano","given":"Daniel"},{"family":"Kwapinska","given":"Marzena"},{"family":"Horvat","given":"Alen"},{"family":"Sánchez-Delgado","given":"Sergio"},{"family":"Leahy","given":"James J."}],"issued":{"date-parts":[["2016"]]}}}],"schema":"https://github.com/citation-style-language/schema/raw/master/csl-citation.json"} </w:instrText>
      </w:r>
      <w:r w:rsidR="00090361" w:rsidRPr="0072439E">
        <w:fldChar w:fldCharType="separate"/>
      </w:r>
      <w:r w:rsidR="000A10B8" w:rsidRPr="0072439E">
        <w:rPr>
          <w:rFonts w:cs="Arial"/>
        </w:rPr>
        <w:t>(Serrano et al., 2016)</w:t>
      </w:r>
      <w:r w:rsidR="00090361" w:rsidRPr="0072439E">
        <w:fldChar w:fldCharType="end"/>
      </w:r>
      <w:r w:rsidR="00C337DF" w:rsidRPr="0072439E">
        <w:t xml:space="preserve"> and process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701"/>
        <w:gridCol w:w="1276"/>
        <w:gridCol w:w="1701"/>
        <w:gridCol w:w="851"/>
      </w:tblGrid>
      <w:tr w:rsidR="00A378DA" w14:paraId="5B535DC6" w14:textId="4E99603A" w:rsidTr="000D45E5">
        <w:tc>
          <w:tcPr>
            <w:tcW w:w="1134" w:type="dxa"/>
            <w:tcBorders>
              <w:top w:val="single" w:sz="12" w:space="0" w:color="008000"/>
              <w:bottom w:val="single" w:sz="6" w:space="0" w:color="008000"/>
            </w:tcBorders>
            <w:shd w:val="clear" w:color="auto" w:fill="FFFFFF"/>
          </w:tcPr>
          <w:p w14:paraId="038E1608" w14:textId="058F5DE1" w:rsidR="00C337DF" w:rsidRPr="00B57B36" w:rsidRDefault="005178F8" w:rsidP="00C337DF">
            <w:pPr>
              <w:pStyle w:val="CETBodytext"/>
              <w:rPr>
                <w:lang w:val="en-GB"/>
              </w:rPr>
            </w:pPr>
            <w:r>
              <w:rPr>
                <w:lang w:val="en-GB"/>
              </w:rPr>
              <w:t>Compound</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7CEFE6DA" w14:textId="4CD8FC90" w:rsidR="00C337DF" w:rsidRPr="000D45E5" w:rsidRDefault="005178F8" w:rsidP="00C337DF">
            <w:pPr>
              <w:pStyle w:val="CETBodytext"/>
              <w:rPr>
                <w:lang w:val="en-GB"/>
              </w:rPr>
            </w:pPr>
            <w:r>
              <w:rPr>
                <w:lang w:val="en-GB"/>
              </w:rPr>
              <w:t>%vol</w:t>
            </w:r>
            <w:r w:rsidRPr="00C337DF">
              <w:rPr>
                <w:vertAlign w:val="subscript"/>
                <w:lang w:val="en-GB"/>
              </w:rPr>
              <w:t>DRY</w:t>
            </w:r>
            <w:r w:rsidR="000D45E5">
              <w:rPr>
                <w:vertAlign w:val="subscript"/>
                <w:lang w:val="en-GB"/>
              </w:rPr>
              <w:t xml:space="preserve"> </w:t>
            </w:r>
            <w:r w:rsidR="000D45E5" w:rsidRPr="000D45E5">
              <w:rPr>
                <w:i/>
                <w:iCs/>
                <w:lang w:val="en-GB"/>
              </w:rPr>
              <w:t>(y</w:t>
            </w:r>
            <w:r w:rsidR="000D45E5" w:rsidRPr="000D45E5">
              <w:rPr>
                <w:i/>
                <w:iCs/>
                <w:vertAlign w:val="subscript"/>
                <w:lang w:val="en-GB"/>
              </w:rPr>
              <w:t>i</w:t>
            </w:r>
            <w:r w:rsidR="000D45E5" w:rsidRPr="000D45E5">
              <w:rPr>
                <w:i/>
                <w:iCs/>
                <w:lang w:val="en-GB"/>
              </w:rPr>
              <w:t>)</w:t>
            </w:r>
          </w:p>
        </w:tc>
        <w:tc>
          <w:tcPr>
            <w:tcW w:w="1701" w:type="dxa"/>
            <w:tcBorders>
              <w:top w:val="single" w:sz="12" w:space="0" w:color="008000"/>
              <w:bottom w:val="single" w:sz="6" w:space="0" w:color="008000"/>
            </w:tcBorders>
            <w:shd w:val="clear" w:color="auto" w:fill="FFFFFF"/>
          </w:tcPr>
          <w:p w14:paraId="45A0DC3D" w14:textId="307C8C92" w:rsidR="00C337DF" w:rsidRDefault="005178F8" w:rsidP="00C337DF">
            <w:pPr>
              <w:pStyle w:val="CETBodytext"/>
              <w:rPr>
                <w:lang w:val="en-GB"/>
              </w:rPr>
            </w:pPr>
            <w:r>
              <w:rPr>
                <w:lang w:val="en-GB"/>
              </w:rPr>
              <w:t>Compound</w:t>
            </w:r>
            <w:r w:rsidRPr="00B57B36">
              <w:rPr>
                <w:lang w:val="en-GB"/>
              </w:rPr>
              <w:t xml:space="preserve"> </w:t>
            </w:r>
          </w:p>
        </w:tc>
        <w:tc>
          <w:tcPr>
            <w:tcW w:w="1276" w:type="dxa"/>
            <w:tcBorders>
              <w:top w:val="single" w:sz="12" w:space="0" w:color="008000"/>
              <w:bottom w:val="single" w:sz="6" w:space="0" w:color="008000"/>
            </w:tcBorders>
            <w:shd w:val="clear" w:color="auto" w:fill="FFFFFF"/>
          </w:tcPr>
          <w:p w14:paraId="45E7AF15" w14:textId="3047BAA4" w:rsidR="00C337DF" w:rsidRPr="000D45E5" w:rsidRDefault="005178F8" w:rsidP="00C337DF">
            <w:pPr>
              <w:pStyle w:val="CETBodytext"/>
              <w:rPr>
                <w:lang w:val="en-GB"/>
              </w:rPr>
            </w:pPr>
            <w:r>
              <w:rPr>
                <w:lang w:val="en-GB"/>
              </w:rPr>
              <w:t>%vol</w:t>
            </w:r>
            <w:r w:rsidRPr="00C337DF">
              <w:rPr>
                <w:vertAlign w:val="subscript"/>
                <w:lang w:val="en-GB"/>
              </w:rPr>
              <w:t>DRY</w:t>
            </w:r>
            <w:r w:rsidR="000D45E5">
              <w:rPr>
                <w:lang w:val="en-GB"/>
              </w:rPr>
              <w:t xml:space="preserve"> </w:t>
            </w:r>
            <w:r w:rsidR="000D45E5" w:rsidRPr="000D45E5">
              <w:rPr>
                <w:i/>
                <w:iCs/>
                <w:lang w:val="en-GB"/>
              </w:rPr>
              <w:t>(y</w:t>
            </w:r>
            <w:r w:rsidR="000D45E5" w:rsidRPr="000D45E5">
              <w:rPr>
                <w:i/>
                <w:iCs/>
                <w:vertAlign w:val="subscript"/>
                <w:lang w:val="en-GB"/>
              </w:rPr>
              <w:t>i</w:t>
            </w:r>
            <w:r w:rsidR="000D45E5" w:rsidRPr="000D45E5">
              <w:rPr>
                <w:i/>
                <w:iCs/>
                <w:lang w:val="en-GB"/>
              </w:rPr>
              <w:t>)</w:t>
            </w:r>
          </w:p>
        </w:tc>
        <w:tc>
          <w:tcPr>
            <w:tcW w:w="1701" w:type="dxa"/>
            <w:tcBorders>
              <w:top w:val="single" w:sz="12" w:space="0" w:color="008000"/>
              <w:bottom w:val="single" w:sz="6" w:space="0" w:color="008000"/>
            </w:tcBorders>
            <w:shd w:val="clear" w:color="auto" w:fill="FFFFFF"/>
          </w:tcPr>
          <w:p w14:paraId="4507E2F8" w14:textId="3693865A" w:rsidR="00C337DF" w:rsidRDefault="005178F8" w:rsidP="00C337DF">
            <w:pPr>
              <w:pStyle w:val="CETBodytext"/>
              <w:rPr>
                <w:lang w:val="en-GB"/>
              </w:rPr>
            </w:pPr>
            <w:r>
              <w:rPr>
                <w:lang w:val="en-GB"/>
              </w:rPr>
              <w:t>Process condition</w:t>
            </w:r>
          </w:p>
        </w:tc>
        <w:tc>
          <w:tcPr>
            <w:tcW w:w="851" w:type="dxa"/>
            <w:tcBorders>
              <w:top w:val="single" w:sz="12" w:space="0" w:color="008000"/>
              <w:bottom w:val="single" w:sz="6" w:space="0" w:color="008000"/>
            </w:tcBorders>
            <w:shd w:val="clear" w:color="auto" w:fill="FFFFFF"/>
          </w:tcPr>
          <w:p w14:paraId="6D0D81C3" w14:textId="77777777" w:rsidR="00C337DF" w:rsidRDefault="00C337DF" w:rsidP="00C337DF">
            <w:pPr>
              <w:pStyle w:val="CETBodytext"/>
              <w:rPr>
                <w:lang w:val="en-GB"/>
              </w:rPr>
            </w:pPr>
          </w:p>
        </w:tc>
      </w:tr>
      <w:tr w:rsidR="00A378DA" w14:paraId="55A908D4" w14:textId="3A37F6DF" w:rsidTr="000D45E5">
        <w:tc>
          <w:tcPr>
            <w:tcW w:w="1134" w:type="dxa"/>
            <w:shd w:val="clear" w:color="auto" w:fill="FFFFFF"/>
          </w:tcPr>
          <w:p w14:paraId="28414BEC" w14:textId="7AB900F3" w:rsidR="00C337DF" w:rsidRPr="00B57B36" w:rsidRDefault="005178F8" w:rsidP="00C337DF">
            <w:pPr>
              <w:pStyle w:val="CETBodytext"/>
              <w:rPr>
                <w:lang w:val="en-GB"/>
              </w:rPr>
            </w:pPr>
            <w:r>
              <w:rPr>
                <w:lang w:val="en-GB"/>
              </w:rPr>
              <w:t>CO</w:t>
            </w:r>
          </w:p>
        </w:tc>
        <w:tc>
          <w:tcPr>
            <w:tcW w:w="1134" w:type="dxa"/>
            <w:shd w:val="clear" w:color="auto" w:fill="FFFFFF"/>
          </w:tcPr>
          <w:p w14:paraId="6C0A7226" w14:textId="599DDB71" w:rsidR="00C337DF" w:rsidRPr="00B57B36" w:rsidRDefault="005178F8" w:rsidP="00C337DF">
            <w:pPr>
              <w:pStyle w:val="CETBodytext"/>
              <w:rPr>
                <w:lang w:val="en-GB"/>
              </w:rPr>
            </w:pPr>
            <w:r>
              <w:rPr>
                <w:lang w:val="en-GB"/>
              </w:rPr>
              <w:t>17.0</w:t>
            </w:r>
          </w:p>
        </w:tc>
        <w:tc>
          <w:tcPr>
            <w:tcW w:w="1701" w:type="dxa"/>
            <w:shd w:val="clear" w:color="auto" w:fill="FFFFFF"/>
          </w:tcPr>
          <w:p w14:paraId="46C1BBD2" w14:textId="0025775E" w:rsidR="00C337DF" w:rsidRDefault="005178F8" w:rsidP="00C337DF">
            <w:pPr>
              <w:pStyle w:val="CETBodytext"/>
              <w:rPr>
                <w:lang w:val="en-GB"/>
              </w:rPr>
            </w:pPr>
            <w:r>
              <w:rPr>
                <w:lang w:val="en-GB"/>
              </w:rPr>
              <w:t>CO</w:t>
            </w:r>
            <w:r w:rsidRPr="00C337DF">
              <w:rPr>
                <w:vertAlign w:val="subscript"/>
                <w:lang w:val="en-GB"/>
              </w:rPr>
              <w:t>2</w:t>
            </w:r>
          </w:p>
        </w:tc>
        <w:tc>
          <w:tcPr>
            <w:tcW w:w="1276" w:type="dxa"/>
            <w:shd w:val="clear" w:color="auto" w:fill="FFFFFF"/>
          </w:tcPr>
          <w:p w14:paraId="4DB0709D" w14:textId="7E0973A3" w:rsidR="00C337DF" w:rsidRDefault="005178F8" w:rsidP="00C337DF">
            <w:pPr>
              <w:pStyle w:val="CETBodytext"/>
              <w:rPr>
                <w:lang w:val="en-GB"/>
              </w:rPr>
            </w:pPr>
            <w:r>
              <w:rPr>
                <w:lang w:val="en-GB"/>
              </w:rPr>
              <w:t>16.9</w:t>
            </w:r>
          </w:p>
        </w:tc>
        <w:tc>
          <w:tcPr>
            <w:tcW w:w="1701" w:type="dxa"/>
            <w:shd w:val="clear" w:color="auto" w:fill="FFFFFF"/>
          </w:tcPr>
          <w:p w14:paraId="0CE09F9A" w14:textId="5495F878" w:rsidR="00C337DF" w:rsidRDefault="005178F8" w:rsidP="00C337DF">
            <w:pPr>
              <w:pStyle w:val="CETBodytext"/>
              <w:rPr>
                <w:lang w:val="en-GB"/>
              </w:rPr>
            </w:pPr>
            <w:r>
              <w:rPr>
                <w:lang w:val="en-GB"/>
              </w:rPr>
              <w:t>Pressure (bar)</w:t>
            </w:r>
          </w:p>
        </w:tc>
        <w:tc>
          <w:tcPr>
            <w:tcW w:w="851" w:type="dxa"/>
            <w:shd w:val="clear" w:color="auto" w:fill="FFFFFF"/>
          </w:tcPr>
          <w:p w14:paraId="1006AB8C" w14:textId="186A0244" w:rsidR="00C337DF" w:rsidRDefault="005178F8" w:rsidP="00C337DF">
            <w:pPr>
              <w:pStyle w:val="CETBodytext"/>
              <w:rPr>
                <w:lang w:val="en-GB"/>
              </w:rPr>
            </w:pPr>
            <w:r>
              <w:rPr>
                <w:lang w:val="en-GB"/>
              </w:rPr>
              <w:t>1.025</w:t>
            </w:r>
          </w:p>
        </w:tc>
      </w:tr>
      <w:tr w:rsidR="00A378DA" w14:paraId="6866159E" w14:textId="6AEFC7DD" w:rsidTr="000D45E5">
        <w:tc>
          <w:tcPr>
            <w:tcW w:w="1134" w:type="dxa"/>
            <w:shd w:val="clear" w:color="auto" w:fill="FFFFFF"/>
          </w:tcPr>
          <w:p w14:paraId="79F91536" w14:textId="381D5208" w:rsidR="00C337DF" w:rsidRDefault="005178F8" w:rsidP="00C337DF">
            <w:pPr>
              <w:pStyle w:val="CETBodytext"/>
              <w:rPr>
                <w:lang w:val="en-GB"/>
              </w:rPr>
            </w:pPr>
            <w:r>
              <w:rPr>
                <w:lang w:val="en-GB"/>
              </w:rPr>
              <w:t>H</w:t>
            </w:r>
            <w:r w:rsidRPr="00C337DF">
              <w:rPr>
                <w:vertAlign w:val="subscript"/>
                <w:lang w:val="en-GB"/>
              </w:rPr>
              <w:t>2</w:t>
            </w:r>
          </w:p>
        </w:tc>
        <w:tc>
          <w:tcPr>
            <w:tcW w:w="1134" w:type="dxa"/>
            <w:shd w:val="clear" w:color="auto" w:fill="FFFFFF"/>
          </w:tcPr>
          <w:p w14:paraId="63AFC003" w14:textId="603AC84B" w:rsidR="00C337DF" w:rsidRPr="00B57B36" w:rsidRDefault="005178F8" w:rsidP="00C337DF">
            <w:pPr>
              <w:pStyle w:val="CETBodytext"/>
              <w:rPr>
                <w:lang w:val="en-GB"/>
              </w:rPr>
            </w:pPr>
            <w:r>
              <w:rPr>
                <w:lang w:val="en-GB"/>
              </w:rPr>
              <w:t>16.7</w:t>
            </w:r>
          </w:p>
        </w:tc>
        <w:tc>
          <w:tcPr>
            <w:tcW w:w="1701" w:type="dxa"/>
            <w:shd w:val="clear" w:color="auto" w:fill="FFFFFF"/>
          </w:tcPr>
          <w:p w14:paraId="271B10D4" w14:textId="43BCAD08" w:rsidR="00C337DF" w:rsidRDefault="005178F8" w:rsidP="00C337DF">
            <w:pPr>
              <w:pStyle w:val="CETBodytext"/>
              <w:rPr>
                <w:lang w:val="en-GB"/>
              </w:rPr>
            </w:pPr>
            <w:r>
              <w:rPr>
                <w:lang w:val="en-GB"/>
              </w:rPr>
              <w:t>N</w:t>
            </w:r>
            <w:r w:rsidRPr="00C337DF">
              <w:rPr>
                <w:vertAlign w:val="subscript"/>
                <w:lang w:val="en-GB"/>
              </w:rPr>
              <w:t>2</w:t>
            </w:r>
          </w:p>
        </w:tc>
        <w:tc>
          <w:tcPr>
            <w:tcW w:w="1276" w:type="dxa"/>
            <w:shd w:val="clear" w:color="auto" w:fill="FFFFFF"/>
          </w:tcPr>
          <w:p w14:paraId="301C7034" w14:textId="1061DF29" w:rsidR="00C337DF" w:rsidRDefault="005178F8" w:rsidP="00C337DF">
            <w:pPr>
              <w:pStyle w:val="CETBodytext"/>
              <w:rPr>
                <w:lang w:val="en-GB"/>
              </w:rPr>
            </w:pPr>
            <w:r>
              <w:rPr>
                <w:lang w:val="en-GB"/>
              </w:rPr>
              <w:t>44.4</w:t>
            </w:r>
          </w:p>
        </w:tc>
        <w:tc>
          <w:tcPr>
            <w:tcW w:w="1701" w:type="dxa"/>
            <w:shd w:val="clear" w:color="auto" w:fill="FFFFFF"/>
          </w:tcPr>
          <w:p w14:paraId="5A015BEC" w14:textId="35E5A90B" w:rsidR="00C337DF" w:rsidRDefault="005178F8" w:rsidP="00C337DF">
            <w:pPr>
              <w:pStyle w:val="CETBodytext"/>
              <w:rPr>
                <w:lang w:val="en-GB"/>
              </w:rPr>
            </w:pPr>
            <w:r>
              <w:rPr>
                <w:lang w:val="en-GB"/>
              </w:rPr>
              <w:t>Temperature (°C)</w:t>
            </w:r>
          </w:p>
        </w:tc>
        <w:tc>
          <w:tcPr>
            <w:tcW w:w="851" w:type="dxa"/>
            <w:shd w:val="clear" w:color="auto" w:fill="FFFFFF"/>
          </w:tcPr>
          <w:p w14:paraId="0BD3575C" w14:textId="4692E9A1" w:rsidR="00C337DF" w:rsidRDefault="005178F8" w:rsidP="00C337DF">
            <w:pPr>
              <w:pStyle w:val="CETBodytext"/>
              <w:rPr>
                <w:lang w:val="en-GB"/>
              </w:rPr>
            </w:pPr>
            <w:r>
              <w:rPr>
                <w:lang w:val="en-GB"/>
              </w:rPr>
              <w:t>37</w:t>
            </w:r>
          </w:p>
        </w:tc>
      </w:tr>
      <w:tr w:rsidR="00A378DA" w14:paraId="6FB11B78" w14:textId="177801BE" w:rsidTr="000D45E5">
        <w:tc>
          <w:tcPr>
            <w:tcW w:w="1134" w:type="dxa"/>
            <w:shd w:val="clear" w:color="auto" w:fill="FFFFFF"/>
          </w:tcPr>
          <w:p w14:paraId="50C493E4" w14:textId="07E259CC" w:rsidR="00C337DF" w:rsidRPr="00B57B36" w:rsidRDefault="005178F8" w:rsidP="00A050BB">
            <w:pPr>
              <w:pStyle w:val="CETBodytext"/>
              <w:ind w:right="-1"/>
              <w:rPr>
                <w:rFonts w:cs="Arial"/>
                <w:szCs w:val="18"/>
                <w:lang w:val="en-GB"/>
              </w:rPr>
            </w:pPr>
            <w:r>
              <w:rPr>
                <w:lang w:val="en-GB"/>
              </w:rPr>
              <w:t>CH</w:t>
            </w:r>
            <w:r w:rsidRPr="00C337DF">
              <w:rPr>
                <w:vertAlign w:val="subscript"/>
                <w:lang w:val="en-GB"/>
              </w:rPr>
              <w:t>4</w:t>
            </w:r>
          </w:p>
        </w:tc>
        <w:tc>
          <w:tcPr>
            <w:tcW w:w="1134" w:type="dxa"/>
            <w:shd w:val="clear" w:color="auto" w:fill="FFFFFF"/>
          </w:tcPr>
          <w:p w14:paraId="206A7ABB" w14:textId="1D1DF4A8" w:rsidR="00C337DF" w:rsidRPr="00B57B36" w:rsidRDefault="005178F8" w:rsidP="00A050BB">
            <w:pPr>
              <w:pStyle w:val="CETBodytext"/>
              <w:ind w:right="-1"/>
              <w:rPr>
                <w:rFonts w:cs="Arial"/>
                <w:szCs w:val="18"/>
                <w:lang w:val="en-GB"/>
              </w:rPr>
            </w:pPr>
            <w:r>
              <w:rPr>
                <w:rFonts w:cs="Arial"/>
                <w:szCs w:val="18"/>
                <w:lang w:val="en-GB"/>
              </w:rPr>
              <w:t>5.0</w:t>
            </w:r>
          </w:p>
        </w:tc>
        <w:tc>
          <w:tcPr>
            <w:tcW w:w="1701" w:type="dxa"/>
            <w:shd w:val="clear" w:color="auto" w:fill="FFFFFF"/>
          </w:tcPr>
          <w:p w14:paraId="6D6244B9" w14:textId="77777777" w:rsidR="00C337DF" w:rsidRDefault="00C337DF" w:rsidP="00A050BB">
            <w:pPr>
              <w:pStyle w:val="CETBodytext"/>
              <w:ind w:right="-1"/>
              <w:rPr>
                <w:rFonts w:cs="Arial"/>
                <w:szCs w:val="18"/>
                <w:lang w:val="en-GB"/>
              </w:rPr>
            </w:pPr>
          </w:p>
        </w:tc>
        <w:tc>
          <w:tcPr>
            <w:tcW w:w="1276" w:type="dxa"/>
            <w:shd w:val="clear" w:color="auto" w:fill="FFFFFF"/>
          </w:tcPr>
          <w:p w14:paraId="3BA08C17" w14:textId="77777777" w:rsidR="00C337DF" w:rsidRDefault="00C337DF" w:rsidP="00A050BB">
            <w:pPr>
              <w:pStyle w:val="CETBodytext"/>
              <w:ind w:right="-1"/>
              <w:rPr>
                <w:rFonts w:cs="Arial"/>
                <w:szCs w:val="18"/>
                <w:lang w:val="en-GB"/>
              </w:rPr>
            </w:pPr>
          </w:p>
        </w:tc>
        <w:tc>
          <w:tcPr>
            <w:tcW w:w="1701" w:type="dxa"/>
            <w:shd w:val="clear" w:color="auto" w:fill="FFFFFF"/>
          </w:tcPr>
          <w:p w14:paraId="7B5B6464" w14:textId="77777777" w:rsidR="00C337DF" w:rsidRDefault="00C337DF" w:rsidP="00A050BB">
            <w:pPr>
              <w:pStyle w:val="CETBodytext"/>
              <w:ind w:right="-1"/>
              <w:rPr>
                <w:rFonts w:cs="Arial"/>
                <w:szCs w:val="18"/>
                <w:lang w:val="en-GB"/>
              </w:rPr>
            </w:pPr>
          </w:p>
        </w:tc>
        <w:tc>
          <w:tcPr>
            <w:tcW w:w="851" w:type="dxa"/>
            <w:shd w:val="clear" w:color="auto" w:fill="FFFFFF"/>
          </w:tcPr>
          <w:p w14:paraId="71E782FA" w14:textId="77777777" w:rsidR="00C337DF" w:rsidRDefault="00C337DF" w:rsidP="00A050BB">
            <w:pPr>
              <w:pStyle w:val="CETBodytext"/>
              <w:ind w:right="-1"/>
              <w:rPr>
                <w:rFonts w:cs="Arial"/>
                <w:szCs w:val="18"/>
                <w:lang w:val="en-GB"/>
              </w:rPr>
            </w:pPr>
          </w:p>
        </w:tc>
      </w:tr>
    </w:tbl>
    <w:p w14:paraId="0BFE8A73" w14:textId="77777777" w:rsidR="00D43E0B" w:rsidRDefault="00D43E0B" w:rsidP="00453E24">
      <w:pPr>
        <w:pStyle w:val="CETBodytext"/>
      </w:pPr>
    </w:p>
    <w:p w14:paraId="2BB78697" w14:textId="49EE6609" w:rsidR="00125C3F" w:rsidRDefault="005178F8" w:rsidP="00453E24">
      <w:pPr>
        <w:pStyle w:val="CETBodytext"/>
      </w:pPr>
      <w:r>
        <w:t xml:space="preserve">The substrate for the </w:t>
      </w:r>
      <w:r w:rsidR="00281B3A">
        <w:t>bacteria</w:t>
      </w:r>
      <w:r>
        <w:t xml:space="preserve"> growth is represented by CO, H</w:t>
      </w:r>
      <w:r w:rsidRPr="00043F57">
        <w:rPr>
          <w:vertAlign w:val="subscript"/>
        </w:rPr>
        <w:t>2</w:t>
      </w:r>
      <w:r>
        <w:t>, CO</w:t>
      </w:r>
      <w:r w:rsidRPr="00043F57">
        <w:rPr>
          <w:vertAlign w:val="subscript"/>
        </w:rPr>
        <w:t>2</w:t>
      </w:r>
      <w:r>
        <w:t xml:space="preserve"> (also reaction product), following a simplified reaction network is shown </w:t>
      </w:r>
      <w:r w:rsidR="00281B3A">
        <w:fldChar w:fldCharType="begin"/>
      </w:r>
      <w:r w:rsidR="00281B3A">
        <w:instrText xml:space="preserve"> ADDIN ZOTERO_ITEM CSL_CITATION {"citationID":"53tGiDH3","properties":{"formattedCitation":"(Medeiros et al., 2019)","plainCitation":"(Medeiros et al., 2019)","noteIndex":0},"citationItems":[{"id":4108,"uris":["http://zotero.org/users/local/dUse6BQP/items/YPUGHPDY"],"uri":["http://zotero.org/users/local/dUse6BQP/items/YPUGHPDY"],"itemData":{"id":4108,"type":"article-journal","abstract":"Syngas fermentation is one of the bets for the future sustainable biobased economies due to its potential as an intermediate step in the conversion of waste carbon to ethanol fuel and other chemicals. Integrated with gasification and suitable downstream processing, it may constitute an efficient and competitive route for the valorization of various waste materials, especially if systems engineering principles are employed targeting process optimization. In this study, a dynamic multi</w:instrText>
      </w:r>
      <w:r w:rsidR="00281B3A">
        <w:rPr>
          <w:rFonts w:ascii="Cambria Math" w:hAnsi="Cambria Math" w:cs="Cambria Math"/>
        </w:rPr>
        <w:instrText>‐</w:instrText>
      </w:r>
      <w:r w:rsidR="00281B3A">
        <w:instrText>response model is presented for syngas fermentation with acetogenic bacteria in a continuous stirredtank reactor, accounting for gas</w:instrText>
      </w:r>
      <w:r w:rsidR="00281B3A">
        <w:rPr>
          <w:rFonts w:cs="Arial"/>
        </w:rPr>
        <w:instrText>–</w:instrText>
      </w:r>
      <w:r w:rsidR="00281B3A">
        <w:instrText>liquid mass transfer, substrate (CO, H2) uptake, biomass growth and death, acetic acid reassimilation, and product selectivity. The unknown parameters were estimated from literature data using the maximum likelihood principle with a multi</w:instrText>
      </w:r>
      <w:r w:rsidR="00281B3A">
        <w:rPr>
          <w:rFonts w:ascii="Cambria Math" w:hAnsi="Cambria Math" w:cs="Cambria Math"/>
        </w:rPr>
        <w:instrText>‐</w:instrText>
      </w:r>
      <w:r w:rsidR="00281B3A">
        <w:instrText>response nonlinear modeling framework and metaheuristic optimization, and model adequacy was verified with statistical analysis via generation of confidence intervals as well as parameter significance tests. The model was then used to study the effects of process conditions (gas composition, dilution rate, gas flow rates, and cell recycle) as well as the sensitivity of kinetic parameters, and multiobjective genetic algorithm was used to maximize ethanol productivity and CO conversion. It was observed that these two objectives were clearly conflicting when CO</w:instrText>
      </w:r>
      <w:r w:rsidR="00281B3A">
        <w:rPr>
          <w:rFonts w:ascii="Cambria Math" w:hAnsi="Cambria Math" w:cs="Cambria Math"/>
        </w:rPr>
        <w:instrText>‐</w:instrText>
      </w:r>
      <w:r w:rsidR="00281B3A">
        <w:instrText>rich gas was used, but increasing the content of H2 favored higher productivities while maintaining 100% CO conversion. The maximum productivity predicted with full conversion was 2 g</w:instrText>
      </w:r>
      <w:r w:rsidR="00281B3A">
        <w:rPr>
          <w:rFonts w:cs="Arial"/>
        </w:rPr>
        <w:instrText>·</w:instrText>
      </w:r>
      <w:r w:rsidR="00281B3A">
        <w:instrText>L</w:instrText>
      </w:r>
      <w:r w:rsidR="00281B3A">
        <w:rPr>
          <w:rFonts w:cs="Arial"/>
        </w:rPr>
        <w:instrText>−</w:instrText>
      </w:r>
      <w:r w:rsidR="00281B3A">
        <w:instrText>1</w:instrText>
      </w:r>
      <w:r w:rsidR="00281B3A">
        <w:rPr>
          <w:rFonts w:cs="Arial"/>
        </w:rPr>
        <w:instrText>·</w:instrText>
      </w:r>
      <w:r w:rsidR="00281B3A">
        <w:instrText>hr</w:instrText>
      </w:r>
      <w:r w:rsidR="00281B3A">
        <w:rPr>
          <w:rFonts w:cs="Arial"/>
        </w:rPr>
        <w:instrText>−</w:instrText>
      </w:r>
      <w:r w:rsidR="00281B3A">
        <w:instrText>1 with a feed gas composition of 54% CO and 46% H2 and a dilution rate of 0.06 hr−1 with roughly 90% of cell recycle.","container-title":"Biotechnology and Bioengineering","DOI":"10.1002/bit.27108","ISSN":"0006-3592, 1097-0290","issue":"10","journalAbbreviation":"Biotechnology and Bioengineering","language":"en","page":"2473-2487","source":"DOI.org (Crossref)","title":"Dynamic modeling of syngas fermentation in a continuous stirred</w:instrText>
      </w:r>
      <w:r w:rsidR="00281B3A">
        <w:rPr>
          <w:rFonts w:ascii="Cambria Math" w:hAnsi="Cambria Math" w:cs="Cambria Math"/>
        </w:rPr>
        <w:instrText>‐</w:instrText>
      </w:r>
      <w:r w:rsidR="00281B3A">
        <w:instrText>tank reactor: Multi</w:instrText>
      </w:r>
      <w:r w:rsidR="00281B3A">
        <w:rPr>
          <w:rFonts w:ascii="Cambria Math" w:hAnsi="Cambria Math" w:cs="Cambria Math"/>
        </w:rPr>
        <w:instrText>‐</w:instrText>
      </w:r>
      <w:r w:rsidR="00281B3A">
        <w:instrText>response parameter estimation and process optimization","title-short":"Dynamic modeling of syngas fermentation in a continuous stirred</w:instrText>
      </w:r>
      <w:r w:rsidR="00281B3A">
        <w:rPr>
          <w:rFonts w:ascii="Cambria Math" w:hAnsi="Cambria Math" w:cs="Cambria Math"/>
        </w:rPr>
        <w:instrText>‐</w:instrText>
      </w:r>
      <w:r w:rsidR="00281B3A">
        <w:instrText xml:space="preserve">tank reactor","volume":"116","author":[{"family":"Medeiros","given":"Elisa M."},{"family":"Posada","given":"John A."},{"family":"Noorman","given":"Henk"},{"family":"Filho","given":"Rubens Maciel"}],"issued":{"date-parts":[["2019",10]]}}}],"schema":"https://github.com/citation-style-language/schema/raw/master/csl-citation.json"} </w:instrText>
      </w:r>
      <w:r w:rsidR="00281B3A">
        <w:fldChar w:fldCharType="separate"/>
      </w:r>
      <w:r w:rsidR="000A10B8" w:rsidRPr="000A10B8">
        <w:rPr>
          <w:rFonts w:cs="Arial"/>
        </w:rPr>
        <w:t>(Medeiros et al., 2019)</w:t>
      </w:r>
      <w:r w:rsidR="00281B3A">
        <w:fldChar w:fldCharType="end"/>
      </w:r>
      <w:r>
        <w:t>:</w:t>
      </w:r>
    </w:p>
    <w:tbl>
      <w:tblPr>
        <w:tblW w:w="5000" w:type="pct"/>
        <w:tblLook w:val="04A0" w:firstRow="1" w:lastRow="0" w:firstColumn="1" w:lastColumn="0" w:noHBand="0" w:noVBand="1"/>
      </w:tblPr>
      <w:tblGrid>
        <w:gridCol w:w="7983"/>
        <w:gridCol w:w="804"/>
      </w:tblGrid>
      <w:tr w:rsidR="00A378DA" w14:paraId="1837B2DC" w14:textId="77777777" w:rsidTr="003D11C6">
        <w:tc>
          <w:tcPr>
            <w:tcW w:w="7983" w:type="dxa"/>
            <w:shd w:val="clear" w:color="auto" w:fill="auto"/>
            <w:vAlign w:val="center"/>
          </w:tcPr>
          <w:p w14:paraId="3895946E" w14:textId="529DDE6F" w:rsidR="003D11C6" w:rsidRPr="003D11C6" w:rsidRDefault="005178F8" w:rsidP="00A050BB">
            <w:pPr>
              <w:pStyle w:val="CETEquation"/>
            </w:pPr>
            <m:oMathPara>
              <m:oMathParaPr>
                <m:jc m:val="left"/>
              </m:oMathParaPr>
              <m:oMath>
                <m:r>
                  <w:rPr>
                    <w:rFonts w:ascii="Cambria Math" w:hAnsi="Cambria Math"/>
                  </w:rPr>
                  <m:t>4CO+2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+2C</m:t>
                </m:r>
                <m:sSub>
                  <m:sSubPr>
                    <m:ctrlPr>
                      <w:rPr>
                        <w:rFonts w:ascii="Cambria Math" w:hAnsi="Cambria Math"/>
                        <w:i/>
                      </w:rPr>
                    </m:ctrlPr>
                  </m:sSubPr>
                  <m:e>
                    <m:r>
                      <w:rPr>
                        <w:rFonts w:ascii="Cambria Math" w:hAnsi="Cambria Math"/>
                      </w:rPr>
                      <m:t>O</m:t>
                    </m:r>
                  </m:e>
                  <m:sub>
                    <m:r>
                      <w:rPr>
                        <w:rFonts w:ascii="Cambria Math" w:hAnsi="Cambria Math"/>
                      </w:rPr>
                      <m:t>2</m:t>
                    </m:r>
                  </m:sub>
                </m:sSub>
              </m:oMath>
            </m:oMathPara>
          </w:p>
        </w:tc>
        <w:tc>
          <w:tcPr>
            <w:tcW w:w="804" w:type="dxa"/>
            <w:shd w:val="clear" w:color="auto" w:fill="auto"/>
            <w:vAlign w:val="center"/>
          </w:tcPr>
          <w:p w14:paraId="5D6C20EB" w14:textId="77777777" w:rsidR="003D11C6" w:rsidRPr="00B57B36" w:rsidRDefault="005178F8" w:rsidP="00A050BB">
            <w:pPr>
              <w:pStyle w:val="CETEquation"/>
              <w:jc w:val="right"/>
            </w:pPr>
            <w:r w:rsidRPr="00B57B36">
              <w:t>(1)</w:t>
            </w:r>
          </w:p>
        </w:tc>
      </w:tr>
      <w:tr w:rsidR="00A378DA" w14:paraId="157A506C" w14:textId="77777777" w:rsidTr="003D11C6">
        <w:tc>
          <w:tcPr>
            <w:tcW w:w="7983" w:type="dxa"/>
            <w:shd w:val="clear" w:color="auto" w:fill="auto"/>
            <w:vAlign w:val="center"/>
          </w:tcPr>
          <w:p w14:paraId="5ED68ADB" w14:textId="08BC0B20" w:rsidR="003D11C6" w:rsidRPr="003D11C6" w:rsidRDefault="005178F8" w:rsidP="00A050BB">
            <w:pPr>
              <w:pStyle w:val="CETEquation"/>
            </w:pPr>
            <m:oMathPara>
              <m:oMathParaPr>
                <m:jc m:val="left"/>
              </m:oMathParaPr>
              <m:oMath>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+2C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804" w:type="dxa"/>
            <w:shd w:val="clear" w:color="auto" w:fill="auto"/>
            <w:vAlign w:val="center"/>
          </w:tcPr>
          <w:p w14:paraId="6799E1DA" w14:textId="744141BC" w:rsidR="003D11C6" w:rsidRPr="00B57B36" w:rsidRDefault="005178F8" w:rsidP="00A050BB">
            <w:pPr>
              <w:pStyle w:val="CETEquation"/>
              <w:jc w:val="right"/>
            </w:pPr>
            <w:r w:rsidRPr="00B57B36">
              <w:t>(</w:t>
            </w:r>
            <w:r>
              <w:t>2</w:t>
            </w:r>
            <w:r w:rsidRPr="00B57B36">
              <w:t>)</w:t>
            </w:r>
          </w:p>
        </w:tc>
      </w:tr>
      <w:tr w:rsidR="00A378DA" w14:paraId="7FD9E15F" w14:textId="77777777" w:rsidTr="003D11C6">
        <w:tc>
          <w:tcPr>
            <w:tcW w:w="7983" w:type="dxa"/>
            <w:shd w:val="clear" w:color="auto" w:fill="auto"/>
            <w:vAlign w:val="center"/>
          </w:tcPr>
          <w:p w14:paraId="17CEB4B6" w14:textId="0FBF1F3E" w:rsidR="003D11C6" w:rsidRPr="003D11C6" w:rsidRDefault="002202A3" w:rsidP="00A050BB">
            <w:pPr>
              <w:pStyle w:val="CETEquatio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+2CO+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O+2C</m:t>
                </m:r>
                <m:sSub>
                  <m:sSubPr>
                    <m:ctrlPr>
                      <w:rPr>
                        <w:rFonts w:ascii="Cambria Math" w:hAnsi="Cambria Math"/>
                        <w:i/>
                      </w:rPr>
                    </m:ctrlPr>
                  </m:sSubPr>
                  <m:e>
                    <m:r>
                      <w:rPr>
                        <w:rFonts w:ascii="Cambria Math" w:hAnsi="Cambria Math"/>
                      </w:rPr>
                      <m:t>O</m:t>
                    </m:r>
                  </m:e>
                  <m:sub>
                    <m:r>
                      <w:rPr>
                        <w:rFonts w:ascii="Cambria Math" w:hAnsi="Cambria Math"/>
                      </w:rPr>
                      <m:t>2</m:t>
                    </m:r>
                  </m:sub>
                </m:sSub>
              </m:oMath>
            </m:oMathPara>
          </w:p>
        </w:tc>
        <w:tc>
          <w:tcPr>
            <w:tcW w:w="804" w:type="dxa"/>
            <w:shd w:val="clear" w:color="auto" w:fill="auto"/>
            <w:vAlign w:val="center"/>
          </w:tcPr>
          <w:p w14:paraId="6FF75DE4" w14:textId="084EEB41" w:rsidR="003D11C6" w:rsidRPr="00B57B36" w:rsidRDefault="005178F8" w:rsidP="00A050BB">
            <w:pPr>
              <w:pStyle w:val="CETEquation"/>
              <w:jc w:val="right"/>
            </w:pPr>
            <w:r w:rsidRPr="00B57B36">
              <w:t>(</w:t>
            </w:r>
            <w:r>
              <w:t>3</w:t>
            </w:r>
            <w:r w:rsidRPr="00B57B36">
              <w:t>)</w:t>
            </w:r>
          </w:p>
        </w:tc>
      </w:tr>
      <w:tr w:rsidR="00A378DA" w14:paraId="53DFABA6" w14:textId="77777777" w:rsidTr="003D11C6">
        <w:tc>
          <w:tcPr>
            <w:tcW w:w="7983" w:type="dxa"/>
            <w:shd w:val="clear" w:color="auto" w:fill="auto"/>
            <w:vAlign w:val="center"/>
          </w:tcPr>
          <w:p w14:paraId="4602F0EB" w14:textId="40A851EC" w:rsidR="003D11C6" w:rsidRPr="003D11C6" w:rsidRDefault="002202A3" w:rsidP="00A050BB">
            <w:pPr>
              <w:pStyle w:val="CETEquatio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O+2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804" w:type="dxa"/>
            <w:shd w:val="clear" w:color="auto" w:fill="auto"/>
            <w:vAlign w:val="center"/>
          </w:tcPr>
          <w:p w14:paraId="79E150A4" w14:textId="65A97191" w:rsidR="003D11C6" w:rsidRPr="00B57B36" w:rsidRDefault="005178F8" w:rsidP="00A050BB">
            <w:pPr>
              <w:pStyle w:val="CETEquation"/>
              <w:jc w:val="right"/>
            </w:pPr>
            <w:r w:rsidRPr="00B57B36">
              <w:t>(</w:t>
            </w:r>
            <w:r>
              <w:t>4</w:t>
            </w:r>
            <w:r w:rsidRPr="00B57B36">
              <w:t>)</w:t>
            </w:r>
          </w:p>
        </w:tc>
      </w:tr>
    </w:tbl>
    <w:p w14:paraId="5F9E0870" w14:textId="53D7FE18" w:rsidR="00125C3F" w:rsidRDefault="005178F8" w:rsidP="00453E24">
      <w:pPr>
        <w:pStyle w:val="CETBodytext"/>
      </w:pPr>
      <w:r>
        <w:t>In particular,</w:t>
      </w:r>
      <w:r w:rsidR="003D11C6">
        <w:t xml:space="preserve"> reactions </w:t>
      </w:r>
      <w:r w:rsidR="008C1BA5">
        <w:t>(</w:t>
      </w:r>
      <w:r w:rsidR="003D11C6">
        <w:t>1</w:t>
      </w:r>
      <w:r w:rsidR="008C1BA5">
        <w:t>)</w:t>
      </w:r>
      <w:r w:rsidR="003D11C6">
        <w:t xml:space="preserve"> and </w:t>
      </w:r>
      <w:r w:rsidR="008C1BA5">
        <w:t>(</w:t>
      </w:r>
      <w:r w:rsidR="003D11C6">
        <w:t>3</w:t>
      </w:r>
      <w:r w:rsidR="008C1BA5">
        <w:t>)</w:t>
      </w:r>
      <w:r w:rsidR="003D11C6">
        <w:t xml:space="preserve"> produce CO</w:t>
      </w:r>
      <w:r w:rsidR="003D11C6" w:rsidRPr="00281B3A">
        <w:rPr>
          <w:vertAlign w:val="subscript"/>
        </w:rPr>
        <w:t>2</w:t>
      </w:r>
      <w:r w:rsidR="003D11C6">
        <w:t xml:space="preserve">, while reaction </w:t>
      </w:r>
      <w:r w:rsidR="008C1BA5">
        <w:t>(</w:t>
      </w:r>
      <w:r w:rsidR="003D11C6">
        <w:t>2</w:t>
      </w:r>
      <w:r w:rsidR="008C1BA5">
        <w:t>)</w:t>
      </w:r>
      <w:r w:rsidR="003D11C6">
        <w:t xml:space="preserve"> consume it. This point is fundamental for the increasing of the yield to ethanol and/or acetic acid reaction </w:t>
      </w:r>
      <w:r w:rsidR="008C1BA5">
        <w:t>(</w:t>
      </w:r>
      <w:r w:rsidR="003D11C6">
        <w:t>2</w:t>
      </w:r>
      <w:r w:rsidR="008C1BA5">
        <w:t>)</w:t>
      </w:r>
      <w:r w:rsidR="003D11C6">
        <w:t xml:space="preserve"> has to be favorite to reduce the global CO</w:t>
      </w:r>
      <w:r w:rsidR="003D11C6" w:rsidRPr="00281B3A">
        <w:rPr>
          <w:vertAlign w:val="subscript"/>
        </w:rPr>
        <w:t>2</w:t>
      </w:r>
      <w:r w:rsidR="003D11C6">
        <w:t xml:space="preserve"> production and increase the target product yields.</w:t>
      </w:r>
    </w:p>
    <w:p w14:paraId="0636B784" w14:textId="3027D9CE" w:rsidR="00453E24" w:rsidRDefault="005178F8" w:rsidP="00453E24">
      <w:pPr>
        <w:pStyle w:val="CETheadingx"/>
      </w:pPr>
      <w:r>
        <w:t>Fermentation model implementation</w:t>
      </w:r>
    </w:p>
    <w:p w14:paraId="5FEA7C38" w14:textId="4661BB95" w:rsidR="00D43E0B" w:rsidRDefault="005178F8" w:rsidP="00453E24">
      <w:pPr>
        <w:pStyle w:val="CETBodytext"/>
      </w:pPr>
      <w:r w:rsidRPr="005D3CC7">
        <w:t xml:space="preserve">For the </w:t>
      </w:r>
      <w:r w:rsidR="00482FF1">
        <w:t xml:space="preserve">fermentation model implementation, the kinetics model proposed by </w:t>
      </w:r>
      <w:r w:rsidR="00281B3A">
        <w:rPr>
          <w:lang w:val="en-GB"/>
        </w:rPr>
        <w:fldChar w:fldCharType="begin"/>
      </w:r>
      <w:r w:rsidR="000A10B8">
        <w:rPr>
          <w:lang w:val="en-GB"/>
        </w:rPr>
        <w:instrText xml:space="preserve"> ADDIN ZOTERO_ITEM CSL_CITATION {"citationID":"ZxRAJO5i","properties":{"formattedCitation":"(Medeiros et al., 2019)","plainCitation":"(Medeiros et al., 2019)","noteIndex":0},"citationItems":[{"id":4108,"uris":["http://zotero.org/users/local/dUse6BQP/items/YPUGHPDY"],"uri":["http://zotero.org/users/local/dUse6BQP/items/YPUGHPDY"],"itemData":{"id":4108,"type":"article-journal","abstract":"Syngas fermentation is one of the bets for the future sustainable biobased economies due to its potential as an intermediate step in the conversion of waste carbon to ethanol fuel and other chemicals. Integrated with gasification and suitable downstream processing, it may constitute an efficient and competitive route for the valorization of various waste materials, especially if systems engineering principles are employed targeting process optimization. In this study, a dynamic multi</w:instrText>
      </w:r>
      <w:r w:rsidR="000A10B8">
        <w:rPr>
          <w:rFonts w:ascii="Cambria Math" w:hAnsi="Cambria Math" w:cs="Cambria Math"/>
          <w:lang w:val="en-GB"/>
        </w:rPr>
        <w:instrText>‐</w:instrText>
      </w:r>
      <w:r w:rsidR="000A10B8">
        <w:rPr>
          <w:lang w:val="en-GB"/>
        </w:rPr>
        <w:instrText>response model is presented for syngas fermentation with acetogenic bacteria in a continuous stirredtank reactor, accounting for gas–liquid mass transfer, substrate (CO, H2) uptake, biomass growth and death, acetic acid reassimilation, and product selectivity. The unknown parameters were estimated from literature data using the maximum likelihood principle with a multi</w:instrText>
      </w:r>
      <w:r w:rsidR="000A10B8">
        <w:rPr>
          <w:rFonts w:ascii="Cambria Math" w:hAnsi="Cambria Math" w:cs="Cambria Math"/>
          <w:lang w:val="en-GB"/>
        </w:rPr>
        <w:instrText>‐</w:instrText>
      </w:r>
      <w:r w:rsidR="000A10B8">
        <w:rPr>
          <w:lang w:val="en-GB"/>
        </w:rPr>
        <w:instrText>response nonlinear modeling framework and metaheuristic optimization, and model adequacy was verified with statistical analysis via generation of confidence intervals as well as parameter significance tests. The model was then used to study the effects of process conditions (gas composition, dilution rate, gas flow rates, and cell recycle) as well as the sensitivity of kinetic parameters, and multiobjective genetic algorithm was used to maximize ethanol productivity and CO conversion. It was observed that these two objectives were clearly conflicting when CO</w:instrText>
      </w:r>
      <w:r w:rsidR="000A10B8">
        <w:rPr>
          <w:rFonts w:ascii="Cambria Math" w:hAnsi="Cambria Math" w:cs="Cambria Math"/>
          <w:lang w:val="en-GB"/>
        </w:rPr>
        <w:instrText>‐</w:instrText>
      </w:r>
      <w:r w:rsidR="000A10B8">
        <w:rPr>
          <w:lang w:val="en-GB"/>
        </w:rPr>
        <w:instrText>rich gas was used, but increasing the content of H2 favored higher productivities while maintaining 100% CO conversion. The maximum productivity predicted with full conversion was 2 g·L−1·hr−1 with a feed gas composition of 54% CO and 46% H2 and a dilution rate of 0.06 hr−1 with roughly 90% of cell recycle.","container-title":"Biotechnology and Bioengineering","DOI":"10.1002/bit.27108","ISSN":"0006-3592, 1097-0290","issue":"10","journalAbbreviation":"Biotechnology and Bioengineering","language":"en","page":"2473-2487","source":"DOI.org (Crossref)","title":"Dynamic modeling of syngas fermentation in a continuous stirred</w:instrText>
      </w:r>
      <w:r w:rsidR="000A10B8">
        <w:rPr>
          <w:rFonts w:ascii="Cambria Math" w:hAnsi="Cambria Math" w:cs="Cambria Math"/>
          <w:lang w:val="en-GB"/>
        </w:rPr>
        <w:instrText>‐</w:instrText>
      </w:r>
      <w:r w:rsidR="000A10B8">
        <w:rPr>
          <w:lang w:val="en-GB"/>
        </w:rPr>
        <w:instrText>tank reactor: Multi</w:instrText>
      </w:r>
      <w:r w:rsidR="000A10B8">
        <w:rPr>
          <w:rFonts w:ascii="Cambria Math" w:hAnsi="Cambria Math" w:cs="Cambria Math"/>
          <w:lang w:val="en-GB"/>
        </w:rPr>
        <w:instrText>‐</w:instrText>
      </w:r>
      <w:r w:rsidR="000A10B8">
        <w:rPr>
          <w:lang w:val="en-GB"/>
        </w:rPr>
        <w:instrText>response parameter estimation and process optimization","title-short":"Dynamic modeling of syngas fermentation in a continuous stirred</w:instrText>
      </w:r>
      <w:r w:rsidR="000A10B8">
        <w:rPr>
          <w:rFonts w:ascii="Cambria Math" w:hAnsi="Cambria Math" w:cs="Cambria Math"/>
          <w:lang w:val="en-GB"/>
        </w:rPr>
        <w:instrText>‐</w:instrText>
      </w:r>
      <w:r w:rsidR="000A10B8">
        <w:rPr>
          <w:lang w:val="en-GB"/>
        </w:rPr>
        <w:instrText xml:space="preserve">tank reactor","volume":"116","author":[{"family":"Medeiros","given":"Elisa M."},{"family":"Posada","given":"John A."},{"family":"Noorman","given":"Henk"},{"family":"Filho","given":"Rubens Maciel"}],"issued":{"date-parts":[["2019",10]]}}}],"schema":"https://github.com/citation-style-language/schema/raw/master/csl-citation.json"} </w:instrText>
      </w:r>
      <w:r w:rsidR="00281B3A">
        <w:rPr>
          <w:lang w:val="en-GB"/>
        </w:rPr>
        <w:fldChar w:fldCharType="separate"/>
      </w:r>
      <w:r w:rsidR="000A10B8" w:rsidRPr="000A10B8">
        <w:rPr>
          <w:rFonts w:cs="Arial"/>
        </w:rPr>
        <w:t>(Medeiros et al., 2019)</w:t>
      </w:r>
      <w:r w:rsidR="00281B3A">
        <w:rPr>
          <w:lang w:val="en-GB"/>
        </w:rPr>
        <w:fldChar w:fldCharType="end"/>
      </w:r>
      <w:r w:rsidR="00482FF1">
        <w:t xml:space="preserve"> was adapted. In particular, the C1 </w:t>
      </w:r>
      <w:r w:rsidR="00281B3A">
        <w:t>bacteria</w:t>
      </w:r>
      <w:r w:rsidR="00482FF1">
        <w:t xml:space="preserve"> of </w:t>
      </w:r>
      <w:r w:rsidR="00957224" w:rsidRPr="00C337DF">
        <w:rPr>
          <w:i/>
          <w:iCs/>
        </w:rPr>
        <w:t>Clostridium ijungdahlii</w:t>
      </w:r>
      <w:r w:rsidR="00957224">
        <w:t xml:space="preserve"> was considered because for this also the ethanol inhibition was studied. Since the differential equation s</w:t>
      </w:r>
      <w:r w:rsidR="00786761">
        <w:t xml:space="preserve">ystem is not analytically resolvable it was formulated by Excel using a time integration. </w:t>
      </w:r>
      <w:r w:rsidR="00A96CDF">
        <w:t xml:space="preserve">The aim of this step of the modeling consists in the individuation of the optimal condition of the fermentation broth without considering the gas-liquid mass transfer, so the main hypothesis was fixing the substrate concentration for the liquid phase. In particular, a sensitivity analysis was performed changing the CO, </w:t>
      </w:r>
      <w:r w:rsidR="00F32EA6">
        <w:rPr>
          <w:lang w:val="en-GB"/>
        </w:rPr>
        <w:t>H</w:t>
      </w:r>
      <w:r w:rsidR="00F32EA6" w:rsidRPr="00F32EA6">
        <w:rPr>
          <w:vertAlign w:val="subscript"/>
          <w:lang w:val="en-GB"/>
        </w:rPr>
        <w:t>2</w:t>
      </w:r>
      <w:r w:rsidR="00A96CDF">
        <w:t xml:space="preserve"> concentrations until to the saturation value (calculated for 1 atm of partial pressure) and the saturation concentration for the CO</w:t>
      </w:r>
      <w:r w:rsidR="00A96CDF" w:rsidRPr="00DB5AE5">
        <w:rPr>
          <w:vertAlign w:val="subscript"/>
        </w:rPr>
        <w:t>2</w:t>
      </w:r>
      <w:r>
        <w:t>,</w:t>
      </w:r>
      <w:r w:rsidR="00A96CDF">
        <w:t xml:space="preserve"> </w:t>
      </w:r>
      <w:r>
        <w:t>in that CO</w:t>
      </w:r>
      <w:r w:rsidRPr="00DB5AE5">
        <w:rPr>
          <w:vertAlign w:val="subscript"/>
        </w:rPr>
        <w:t>2</w:t>
      </w:r>
      <w:r>
        <w:t xml:space="preserve"> is present in the gas phase (passing to liquid) and it is also a fermentation product. </w:t>
      </w:r>
    </w:p>
    <w:p w14:paraId="2FC9EEDF" w14:textId="2EBCFB5F" w:rsidR="00D43E0B" w:rsidRDefault="005178F8" w:rsidP="00453E24">
      <w:pPr>
        <w:pStyle w:val="CETBodytext"/>
      </w:pPr>
      <w:r>
        <w:t>Table 2 shows the value range for CO, H</w:t>
      </w:r>
      <w:r w:rsidRPr="0072439E">
        <w:rPr>
          <w:vertAlign w:val="subscript"/>
        </w:rPr>
        <w:t>2</w:t>
      </w:r>
      <w:r>
        <w:t xml:space="preserve">, </w:t>
      </w:r>
      <w:r w:rsidR="00281B3A">
        <w:t>bacteria</w:t>
      </w:r>
      <w:r>
        <w:t xml:space="preserve"> concentration and for the reaction time.</w:t>
      </w:r>
    </w:p>
    <w:p w14:paraId="7070A0F9" w14:textId="4099731B" w:rsidR="00C337DF" w:rsidRPr="00B57B36" w:rsidRDefault="005178F8" w:rsidP="00261CF7">
      <w:pPr>
        <w:pStyle w:val="CETTabletitle"/>
      </w:pPr>
      <w:r w:rsidRPr="00B57B36">
        <w:lastRenderedPageBreak/>
        <w:t xml:space="preserve">Table </w:t>
      </w:r>
      <w:r>
        <w:t>2</w:t>
      </w:r>
      <w:r w:rsidRPr="00B57B36">
        <w:t xml:space="preserve">: </w:t>
      </w:r>
      <w:r>
        <w:t>Value ranges of substrates</w:t>
      </w:r>
      <w:r w:rsidR="00F230E6">
        <w:t xml:space="preserve"> liquid concentrations,</w:t>
      </w:r>
      <w:r>
        <w:t xml:space="preserve"> initial </w:t>
      </w:r>
      <w:r w:rsidR="00281B3A">
        <w:t>bacteria</w:t>
      </w:r>
      <w:r>
        <w:t xml:space="preserve"> </w:t>
      </w:r>
      <w:proofErr w:type="gramStart"/>
      <w:r>
        <w:t>concentrations</w:t>
      </w:r>
      <w:proofErr w:type="gramEnd"/>
      <w:r>
        <w:t xml:space="preserve"> and the reaction time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06"/>
        <w:gridCol w:w="1406"/>
        <w:gridCol w:w="4569"/>
        <w:gridCol w:w="1406"/>
      </w:tblGrid>
      <w:tr w:rsidR="00A378DA" w14:paraId="28C55505" w14:textId="77777777" w:rsidTr="00C337DF">
        <w:tc>
          <w:tcPr>
            <w:tcW w:w="800" w:type="pct"/>
            <w:tcBorders>
              <w:top w:val="single" w:sz="12" w:space="0" w:color="008000"/>
              <w:bottom w:val="single" w:sz="6" w:space="0" w:color="008000"/>
            </w:tcBorders>
            <w:shd w:val="clear" w:color="auto" w:fill="FFFFFF"/>
          </w:tcPr>
          <w:p w14:paraId="2BDC57B6" w14:textId="3BD24BFC" w:rsidR="00C337DF" w:rsidRPr="00B57B36" w:rsidRDefault="00C337DF" w:rsidP="00261CF7">
            <w:pPr>
              <w:pStyle w:val="CETBodytext"/>
              <w:keepNext/>
              <w:rPr>
                <w:lang w:val="en-GB"/>
              </w:rPr>
            </w:pPr>
          </w:p>
        </w:tc>
        <w:tc>
          <w:tcPr>
            <w:tcW w:w="800" w:type="pct"/>
            <w:tcBorders>
              <w:top w:val="single" w:sz="12" w:space="0" w:color="008000"/>
              <w:bottom w:val="single" w:sz="6" w:space="0" w:color="008000"/>
            </w:tcBorders>
            <w:shd w:val="clear" w:color="auto" w:fill="FFFFFF"/>
          </w:tcPr>
          <w:p w14:paraId="3F1DA048" w14:textId="20A668B8" w:rsidR="00C337DF" w:rsidRPr="00B57B36" w:rsidRDefault="005178F8" w:rsidP="00261CF7">
            <w:pPr>
              <w:pStyle w:val="CETBodytext"/>
              <w:keepNext/>
              <w:rPr>
                <w:lang w:val="en-GB"/>
              </w:rPr>
            </w:pPr>
            <w:r>
              <w:rPr>
                <w:lang w:val="en-GB"/>
              </w:rPr>
              <w:t>Range</w:t>
            </w:r>
          </w:p>
        </w:tc>
        <w:tc>
          <w:tcPr>
            <w:tcW w:w="2600" w:type="pct"/>
            <w:tcBorders>
              <w:top w:val="single" w:sz="12" w:space="0" w:color="008000"/>
              <w:bottom w:val="single" w:sz="6" w:space="0" w:color="008000"/>
            </w:tcBorders>
            <w:shd w:val="clear" w:color="auto" w:fill="FFFFFF"/>
          </w:tcPr>
          <w:p w14:paraId="6E9AC8B7" w14:textId="716CC137" w:rsidR="00C337DF" w:rsidRDefault="00C337DF" w:rsidP="00261CF7">
            <w:pPr>
              <w:pStyle w:val="CETBodytext"/>
              <w:keepNext/>
              <w:rPr>
                <w:lang w:val="en-GB"/>
              </w:rPr>
            </w:pPr>
          </w:p>
        </w:tc>
        <w:tc>
          <w:tcPr>
            <w:tcW w:w="800" w:type="pct"/>
            <w:tcBorders>
              <w:top w:val="single" w:sz="12" w:space="0" w:color="008000"/>
              <w:bottom w:val="single" w:sz="6" w:space="0" w:color="008000"/>
            </w:tcBorders>
            <w:shd w:val="clear" w:color="auto" w:fill="FFFFFF"/>
          </w:tcPr>
          <w:p w14:paraId="4312F729" w14:textId="7C59506D" w:rsidR="00C337DF" w:rsidRDefault="005178F8" w:rsidP="00261CF7">
            <w:pPr>
              <w:pStyle w:val="CETBodytext"/>
              <w:keepNext/>
              <w:rPr>
                <w:lang w:val="en-GB"/>
              </w:rPr>
            </w:pPr>
            <w:r>
              <w:rPr>
                <w:lang w:val="en-GB"/>
              </w:rPr>
              <w:t>Range</w:t>
            </w:r>
          </w:p>
        </w:tc>
      </w:tr>
      <w:tr w:rsidR="00A378DA" w14:paraId="2BD5B3AC" w14:textId="77777777" w:rsidTr="00C337DF">
        <w:tc>
          <w:tcPr>
            <w:tcW w:w="800" w:type="pct"/>
            <w:shd w:val="clear" w:color="auto" w:fill="FFFFFF"/>
          </w:tcPr>
          <w:p w14:paraId="355B7363" w14:textId="62F8916A" w:rsidR="00C337DF" w:rsidRPr="00B57B36" w:rsidRDefault="005178F8" w:rsidP="00261CF7">
            <w:pPr>
              <w:pStyle w:val="CETBodytext"/>
              <w:keepNext/>
              <w:rPr>
                <w:lang w:val="en-GB"/>
              </w:rPr>
            </w:pPr>
            <w:r>
              <w:rPr>
                <w:lang w:val="en-GB"/>
              </w:rPr>
              <w:t>CO (mmol/L)</w:t>
            </w:r>
          </w:p>
        </w:tc>
        <w:tc>
          <w:tcPr>
            <w:tcW w:w="800" w:type="pct"/>
            <w:shd w:val="clear" w:color="auto" w:fill="FFFFFF"/>
          </w:tcPr>
          <w:p w14:paraId="10667D40" w14:textId="2874B1BD" w:rsidR="00C337DF" w:rsidRPr="00B57B36" w:rsidRDefault="005178F8" w:rsidP="00261CF7">
            <w:pPr>
              <w:pStyle w:val="CETBodytext"/>
              <w:keepNext/>
              <w:rPr>
                <w:lang w:val="en-GB"/>
              </w:rPr>
            </w:pPr>
            <w:r>
              <w:rPr>
                <w:lang w:val="en-GB"/>
              </w:rPr>
              <w:t>0.005 – 0.79</w:t>
            </w:r>
          </w:p>
        </w:tc>
        <w:tc>
          <w:tcPr>
            <w:tcW w:w="2600" w:type="pct"/>
            <w:shd w:val="clear" w:color="auto" w:fill="FFFFFF"/>
          </w:tcPr>
          <w:p w14:paraId="46DFC363" w14:textId="43CB40D8" w:rsidR="00C337DF" w:rsidRPr="00C337DF" w:rsidRDefault="005178F8" w:rsidP="00261CF7">
            <w:pPr>
              <w:pStyle w:val="CETBodytext"/>
              <w:keepNext/>
              <w:rPr>
                <w:lang w:val="en-GB"/>
              </w:rPr>
            </w:pPr>
            <w:r>
              <w:rPr>
                <w:lang w:val="en-GB"/>
              </w:rPr>
              <w:t xml:space="preserve">Initial </w:t>
            </w:r>
            <w:r w:rsidRPr="00C337DF">
              <w:rPr>
                <w:i/>
                <w:iCs/>
              </w:rPr>
              <w:t>Clostridium ijungdahlii</w:t>
            </w:r>
            <w:r>
              <w:rPr>
                <w:i/>
                <w:iCs/>
              </w:rPr>
              <w:t xml:space="preserve"> </w:t>
            </w:r>
            <w:r>
              <w:t>concentration (g/L)</w:t>
            </w:r>
          </w:p>
        </w:tc>
        <w:tc>
          <w:tcPr>
            <w:tcW w:w="800" w:type="pct"/>
            <w:shd w:val="clear" w:color="auto" w:fill="FFFFFF"/>
          </w:tcPr>
          <w:p w14:paraId="11577D37" w14:textId="6F3734CD" w:rsidR="00C337DF" w:rsidRDefault="005178F8" w:rsidP="00261CF7">
            <w:pPr>
              <w:pStyle w:val="CETBodytext"/>
              <w:keepNext/>
              <w:rPr>
                <w:lang w:val="en-GB"/>
              </w:rPr>
            </w:pPr>
            <w:r>
              <w:rPr>
                <w:lang w:val="en-GB"/>
              </w:rPr>
              <w:t>1 - 4</w:t>
            </w:r>
          </w:p>
        </w:tc>
      </w:tr>
      <w:tr w:rsidR="00A378DA" w14:paraId="446EEEBF" w14:textId="77777777" w:rsidTr="00C337DF">
        <w:tc>
          <w:tcPr>
            <w:tcW w:w="800" w:type="pct"/>
            <w:shd w:val="clear" w:color="auto" w:fill="FFFFFF"/>
          </w:tcPr>
          <w:p w14:paraId="405A8FA5" w14:textId="66BCBF7D" w:rsidR="00C337DF" w:rsidRPr="00C337DF" w:rsidRDefault="005178F8" w:rsidP="00A050BB">
            <w:pPr>
              <w:pStyle w:val="CETBodytext"/>
              <w:rPr>
                <w:lang w:val="en-GB"/>
              </w:rPr>
            </w:pPr>
            <w:r>
              <w:rPr>
                <w:lang w:val="en-GB"/>
              </w:rPr>
              <w:t>H</w:t>
            </w:r>
            <w:r w:rsidRPr="00C337DF">
              <w:rPr>
                <w:vertAlign w:val="subscript"/>
                <w:lang w:val="en-GB"/>
              </w:rPr>
              <w:t>2</w:t>
            </w:r>
            <w:r>
              <w:rPr>
                <w:lang w:val="en-GB"/>
              </w:rPr>
              <w:t xml:space="preserve"> (mmol/L)</w:t>
            </w:r>
          </w:p>
        </w:tc>
        <w:tc>
          <w:tcPr>
            <w:tcW w:w="800" w:type="pct"/>
            <w:shd w:val="clear" w:color="auto" w:fill="FFFFFF"/>
          </w:tcPr>
          <w:p w14:paraId="6D4595B0" w14:textId="1FC22C4A" w:rsidR="00C337DF" w:rsidRPr="00B57B36" w:rsidRDefault="005178F8" w:rsidP="00A050BB">
            <w:pPr>
              <w:pStyle w:val="CETBodytext"/>
              <w:rPr>
                <w:lang w:val="en-GB"/>
              </w:rPr>
            </w:pPr>
            <w:r>
              <w:rPr>
                <w:lang w:val="en-GB"/>
              </w:rPr>
              <w:t>0.01 – 0.98</w:t>
            </w:r>
          </w:p>
        </w:tc>
        <w:tc>
          <w:tcPr>
            <w:tcW w:w="2600" w:type="pct"/>
            <w:shd w:val="clear" w:color="auto" w:fill="FFFFFF"/>
          </w:tcPr>
          <w:p w14:paraId="218C7E98" w14:textId="6427AD5C" w:rsidR="00C337DF" w:rsidRDefault="005178F8" w:rsidP="00A050BB">
            <w:pPr>
              <w:pStyle w:val="CETBodytext"/>
              <w:rPr>
                <w:lang w:val="en-GB"/>
              </w:rPr>
            </w:pPr>
            <w:r>
              <w:rPr>
                <w:lang w:val="en-GB"/>
              </w:rPr>
              <w:t>Reaction time (h)</w:t>
            </w:r>
          </w:p>
        </w:tc>
        <w:tc>
          <w:tcPr>
            <w:tcW w:w="800" w:type="pct"/>
            <w:shd w:val="clear" w:color="auto" w:fill="FFFFFF"/>
          </w:tcPr>
          <w:p w14:paraId="25E15839" w14:textId="5D18E91E" w:rsidR="00C337DF" w:rsidRDefault="005178F8" w:rsidP="00A050BB">
            <w:pPr>
              <w:pStyle w:val="CETBodytext"/>
              <w:rPr>
                <w:lang w:val="en-GB"/>
              </w:rPr>
            </w:pPr>
            <w:r>
              <w:rPr>
                <w:lang w:val="en-GB"/>
              </w:rPr>
              <w:t>0 - 250</w:t>
            </w:r>
          </w:p>
        </w:tc>
      </w:tr>
    </w:tbl>
    <w:p w14:paraId="18BAFA6F" w14:textId="71474072" w:rsidR="00453E24" w:rsidRPr="00B57B36" w:rsidRDefault="005178F8" w:rsidP="00453E24">
      <w:pPr>
        <w:pStyle w:val="CETheadingx"/>
      </w:pPr>
      <w:r>
        <w:t>Gas-liquid Mass transfer coefficient calculation</w:t>
      </w:r>
    </w:p>
    <w:p w14:paraId="091CAE16" w14:textId="7604025D" w:rsidR="00B7396B" w:rsidRDefault="005178F8" w:rsidP="00453E24">
      <w:pPr>
        <w:pStyle w:val="CETBodytext"/>
        <w:rPr>
          <w:lang w:val="en-GB"/>
        </w:rPr>
      </w:pPr>
      <w:r>
        <w:rPr>
          <w:lang w:val="en-GB"/>
        </w:rPr>
        <w:t xml:space="preserve">The gas phase was modeled considering the mass balance equations on each compound. The hypothesis of the equimolar gas-liquid exchange was necessary </w:t>
      </w:r>
      <w:proofErr w:type="gramStart"/>
      <w:r>
        <w:rPr>
          <w:lang w:val="en-GB"/>
        </w:rPr>
        <w:t>in order to</w:t>
      </w:r>
      <w:proofErr w:type="gramEnd"/>
      <w:r>
        <w:rPr>
          <w:lang w:val="en-GB"/>
        </w:rPr>
        <w:t xml:space="preserve"> suppose CO/</w:t>
      </w:r>
      <w:r w:rsidR="00F32EA6">
        <w:rPr>
          <w:lang w:val="en-GB"/>
        </w:rPr>
        <w:t>H</w:t>
      </w:r>
      <w:r w:rsidR="00F32EA6" w:rsidRPr="00F32EA6">
        <w:rPr>
          <w:vertAlign w:val="subscript"/>
          <w:lang w:val="en-GB"/>
        </w:rPr>
        <w:t>2</w:t>
      </w:r>
      <w:r>
        <w:rPr>
          <w:lang w:val="en-GB"/>
        </w:rPr>
        <w:t xml:space="preserve"> partial pressures decreasing for the effect of the phase change from gas to liquid.</w:t>
      </w:r>
      <w:r w:rsidR="00791233">
        <w:rPr>
          <w:lang w:val="en-GB"/>
        </w:rPr>
        <w:t xml:space="preserve"> The driving force of the mass transfer effect consists of the gap between the interfacial liquid concentration and the bulk concentration.</w:t>
      </w:r>
    </w:p>
    <w:p w14:paraId="3944154B" w14:textId="216C13FD" w:rsidR="00B7396B" w:rsidRDefault="005178F8" w:rsidP="00453E24">
      <w:pPr>
        <w:pStyle w:val="CETBodytext"/>
        <w:rPr>
          <w:lang w:val="en-GB"/>
        </w:rPr>
      </w:pPr>
      <w:r>
        <w:rPr>
          <w:lang w:val="en-GB"/>
        </w:rPr>
        <w:t>The general mass balance equation is:</w:t>
      </w:r>
    </w:p>
    <w:tbl>
      <w:tblPr>
        <w:tblW w:w="5000" w:type="pct"/>
        <w:tblLook w:val="04A0" w:firstRow="1" w:lastRow="0" w:firstColumn="1" w:lastColumn="0" w:noHBand="0" w:noVBand="1"/>
      </w:tblPr>
      <w:tblGrid>
        <w:gridCol w:w="7986"/>
        <w:gridCol w:w="801"/>
      </w:tblGrid>
      <w:tr w:rsidR="00A378DA" w14:paraId="0085D3B7" w14:textId="77777777" w:rsidTr="00B7396B">
        <w:tc>
          <w:tcPr>
            <w:tcW w:w="7986" w:type="dxa"/>
            <w:shd w:val="clear" w:color="auto" w:fill="auto"/>
            <w:vAlign w:val="center"/>
          </w:tcPr>
          <w:p w14:paraId="39FE196A" w14:textId="4D4C0411" w:rsidR="00B7396B" w:rsidRPr="00F92A63" w:rsidRDefault="002202A3" w:rsidP="00A050BB">
            <w:pPr>
              <w:pStyle w:val="CETEquation"/>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i,L</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i</m:t>
                    </m:r>
                  </m:sub>
                </m:sSub>
                <m:r>
                  <w:rPr>
                    <w:rFonts w:ascii="Cambria Math" w:hAnsi="Cambria Math"/>
                  </w:rPr>
                  <m:t>(t)+</m:t>
                </m:r>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d>
                  </m:e>
                  <m:sub>
                    <m:r>
                      <w:rPr>
                        <w:rFonts w:ascii="Cambria Math" w:hAnsi="Cambria Math"/>
                      </w:rPr>
                      <m:t>i</m:t>
                    </m:r>
                  </m:sub>
                </m:sSub>
                <m:r>
                  <w:rPr>
                    <w:rFonts w:ascii="Cambria Math" w:hAnsi="Cambria Math"/>
                  </w:rPr>
                  <m:t xml:space="preserve"> (</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m:t>
                    </m:r>
                  </m:sup>
                </m:sSubSup>
                <m:r>
                  <w:rPr>
                    <w:rFonts w:ascii="Cambria Math" w:hAnsi="Cambria Math"/>
                  </w:rPr>
                  <m:t xml:space="preserve">(t)- </m:t>
                </m:r>
                <m:sSub>
                  <m:sSubPr>
                    <m:ctrlPr>
                      <w:rPr>
                        <w:rFonts w:ascii="Cambria Math" w:hAnsi="Cambria Math"/>
                        <w:i/>
                      </w:rPr>
                    </m:ctrlPr>
                  </m:sSubPr>
                  <m:e>
                    <m:r>
                      <w:rPr>
                        <w:rFonts w:ascii="Cambria Math" w:hAnsi="Cambria Math"/>
                      </w:rPr>
                      <m:t>C</m:t>
                    </m:r>
                  </m:e>
                  <m:sub>
                    <m:r>
                      <w:rPr>
                        <w:rFonts w:ascii="Cambria Math" w:hAnsi="Cambria Math"/>
                      </w:rPr>
                      <m:t>i,L</m:t>
                    </m:r>
                  </m:sub>
                </m:sSub>
                <m:r>
                  <w:rPr>
                    <w:rFonts w:ascii="Cambria Math" w:hAnsi="Cambria Math"/>
                  </w:rPr>
                  <m:t>(t))</m:t>
                </m:r>
              </m:oMath>
            </m:oMathPara>
          </w:p>
        </w:tc>
        <w:tc>
          <w:tcPr>
            <w:tcW w:w="801" w:type="dxa"/>
            <w:shd w:val="clear" w:color="auto" w:fill="auto"/>
            <w:vAlign w:val="center"/>
          </w:tcPr>
          <w:p w14:paraId="6421D218" w14:textId="4C69F01F" w:rsidR="00B7396B" w:rsidRPr="00B57B36" w:rsidRDefault="005178F8" w:rsidP="00A050BB">
            <w:pPr>
              <w:pStyle w:val="CETEquation"/>
              <w:jc w:val="right"/>
            </w:pPr>
            <w:r w:rsidRPr="00B57B36">
              <w:t>(</w:t>
            </w:r>
            <w:r w:rsidR="00F92A63">
              <w:t>5</w:t>
            </w:r>
            <w:r w:rsidRPr="00B57B36">
              <w:t>)</w:t>
            </w:r>
          </w:p>
        </w:tc>
      </w:tr>
    </w:tbl>
    <w:p w14:paraId="4A47A2E2" w14:textId="6450934C" w:rsidR="00B7396B" w:rsidRDefault="005178F8" w:rsidP="00453E24">
      <w:pPr>
        <w:pStyle w:val="CETBodytext"/>
        <w:rPr>
          <w:lang w:val="en-GB"/>
        </w:rPr>
      </w:pPr>
      <w:r>
        <w:rPr>
          <w:lang w:val="en-GB"/>
        </w:rPr>
        <w:t xml:space="preserve">Where </w:t>
      </w:r>
      <w:r w:rsidR="00807846" w:rsidRPr="00807846">
        <w:rPr>
          <w:i/>
          <w:iCs/>
          <w:lang w:val="en-GB"/>
        </w:rPr>
        <w:t>C</w:t>
      </w:r>
      <w:r w:rsidR="00807846" w:rsidRPr="00807846">
        <w:rPr>
          <w:i/>
          <w:iCs/>
          <w:vertAlign w:val="subscript"/>
          <w:lang w:val="en-GB"/>
        </w:rPr>
        <w:t>i,L</w:t>
      </w:r>
      <w:r w:rsidR="00807846">
        <w:rPr>
          <w:lang w:val="en-GB"/>
        </w:rPr>
        <w:t xml:space="preserve"> is the concentration in the liquid phase of component </w:t>
      </w:r>
      <w:r w:rsidR="00807846" w:rsidRPr="00807846">
        <w:rPr>
          <w:i/>
          <w:iCs/>
          <w:lang w:val="en-GB"/>
        </w:rPr>
        <w:t>i</w:t>
      </w:r>
      <w:r w:rsidR="00807846">
        <w:rPr>
          <w:lang w:val="en-GB"/>
        </w:rPr>
        <w:t xml:space="preserve">, </w:t>
      </w:r>
      <w:r w:rsidR="00807846" w:rsidRPr="00807846">
        <w:rPr>
          <w:i/>
          <w:iCs/>
          <w:lang w:val="en-GB"/>
        </w:rPr>
        <w:t>v</w:t>
      </w:r>
      <w:r w:rsidR="00807846" w:rsidRPr="00807846">
        <w:rPr>
          <w:i/>
          <w:iCs/>
          <w:vertAlign w:val="subscript"/>
          <w:lang w:val="en-GB"/>
        </w:rPr>
        <w:t>i</w:t>
      </w:r>
      <w:r w:rsidR="00807846" w:rsidRPr="00807846">
        <w:rPr>
          <w:i/>
          <w:iCs/>
          <w:lang w:val="en-GB"/>
        </w:rPr>
        <w:t>(t)</w:t>
      </w:r>
      <w:r w:rsidR="00807846">
        <w:rPr>
          <w:lang w:val="en-GB"/>
        </w:rPr>
        <w:t xml:space="preserve"> is the consumption rate of the substrate </w:t>
      </w:r>
      <w:r w:rsidR="00807846" w:rsidRPr="00807846">
        <w:rPr>
          <w:i/>
          <w:iCs/>
          <w:lang w:val="en-GB"/>
        </w:rPr>
        <w:t>i</w:t>
      </w:r>
      <w:r w:rsidR="00807846">
        <w:rPr>
          <w:lang w:val="en-GB"/>
        </w:rPr>
        <w:t xml:space="preserve">, </w:t>
      </w:r>
      <w:r w:rsidR="00807846" w:rsidRPr="00807846">
        <w:rPr>
          <w:i/>
          <w:iCs/>
          <w:lang w:val="en-GB"/>
        </w:rPr>
        <w:t>k</w:t>
      </w:r>
      <w:r w:rsidR="00807846" w:rsidRPr="00807846">
        <w:rPr>
          <w:i/>
          <w:iCs/>
          <w:vertAlign w:val="subscript"/>
          <w:lang w:val="en-GB"/>
        </w:rPr>
        <w:t>L</w:t>
      </w:r>
      <w:r w:rsidR="00807846" w:rsidRPr="00807846">
        <w:rPr>
          <w:i/>
          <w:iCs/>
          <w:lang w:val="en-GB"/>
        </w:rPr>
        <w:t xml:space="preserve">a </w:t>
      </w:r>
      <w:r w:rsidR="00807846">
        <w:rPr>
          <w:lang w:val="en-GB"/>
        </w:rPr>
        <w:t xml:space="preserve">is the mass transfer coefficient and </w:t>
      </w:r>
      <w:r w:rsidR="00807846" w:rsidRPr="00807846">
        <w:rPr>
          <w:i/>
          <w:iCs/>
          <w:lang w:val="en-GB"/>
        </w:rPr>
        <w:t>C*</w:t>
      </w:r>
      <w:r w:rsidR="00807846" w:rsidRPr="00807846">
        <w:rPr>
          <w:i/>
          <w:iCs/>
          <w:vertAlign w:val="subscript"/>
          <w:lang w:val="en-GB"/>
        </w:rPr>
        <w:t>i</w:t>
      </w:r>
      <w:r w:rsidR="00807846">
        <w:rPr>
          <w:lang w:val="en-GB"/>
        </w:rPr>
        <w:t xml:space="preserve"> is the phase interfacial concentration of component </w:t>
      </w:r>
      <w:r w:rsidR="00807846" w:rsidRPr="00807846">
        <w:rPr>
          <w:i/>
          <w:iCs/>
          <w:lang w:val="en-GB"/>
        </w:rPr>
        <w:t>i</w:t>
      </w:r>
      <w:r w:rsidR="00807846">
        <w:rPr>
          <w:lang w:val="en-GB"/>
        </w:rPr>
        <w:t>.</w:t>
      </w:r>
    </w:p>
    <w:p w14:paraId="5E28E917" w14:textId="320E226D" w:rsidR="00F92A63" w:rsidRDefault="005178F8" w:rsidP="00453E24">
      <w:pPr>
        <w:pStyle w:val="CETBodytext"/>
        <w:rPr>
          <w:lang w:val="en-GB"/>
        </w:rPr>
      </w:pPr>
      <w:r>
        <w:rPr>
          <w:lang w:val="en-GB"/>
        </w:rPr>
        <w:t>Substituting to the interfacial concentration the Henry Law parameters:</w:t>
      </w:r>
    </w:p>
    <w:tbl>
      <w:tblPr>
        <w:tblW w:w="5000" w:type="pct"/>
        <w:tblLook w:val="04A0" w:firstRow="1" w:lastRow="0" w:firstColumn="1" w:lastColumn="0" w:noHBand="0" w:noVBand="1"/>
      </w:tblPr>
      <w:tblGrid>
        <w:gridCol w:w="7986"/>
        <w:gridCol w:w="801"/>
      </w:tblGrid>
      <w:tr w:rsidR="00A378DA" w14:paraId="1CC51ABE" w14:textId="77777777" w:rsidTr="00A050BB">
        <w:tc>
          <w:tcPr>
            <w:tcW w:w="7986" w:type="dxa"/>
            <w:shd w:val="clear" w:color="auto" w:fill="auto"/>
            <w:vAlign w:val="center"/>
          </w:tcPr>
          <w:p w14:paraId="57326C00" w14:textId="1061800A" w:rsidR="00F92A63" w:rsidRPr="00F92A63" w:rsidRDefault="002202A3" w:rsidP="00A050BB">
            <w:pPr>
              <w:pStyle w:val="CETEquation"/>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i,L</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i</m:t>
                    </m:r>
                  </m:sub>
                </m:sSub>
                <m:r>
                  <w:rPr>
                    <w:rFonts w:ascii="Cambria Math" w:hAnsi="Cambria Math"/>
                  </w:rPr>
                  <m:t>(t)+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L</m:t>
                        </m:r>
                      </m:sub>
                    </m:sSub>
                    <m:sSub>
                      <m:sSubPr>
                        <m:ctrlPr>
                          <w:rPr>
                            <w:rFonts w:ascii="Cambria Math" w:hAnsi="Cambria Math"/>
                            <w:i/>
                          </w:rPr>
                        </m:ctrlPr>
                      </m:sSubPr>
                      <m:e>
                        <m:r>
                          <w:rPr>
                            <w:rFonts w:ascii="Cambria Math" w:hAnsi="Cambria Math"/>
                          </w:rPr>
                          <m:t>P</m:t>
                        </m:r>
                      </m:e>
                      <m:sub>
                        <m:r>
                          <w:rPr>
                            <w:rFonts w:ascii="Cambria Math" w:hAnsi="Cambria Math"/>
                          </w:rPr>
                          <m:t>TOT</m:t>
                        </m:r>
                      </m:sub>
                    </m:sSub>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(t)</m:t>
                    </m:r>
                  </m:num>
                  <m:den>
                    <m:sSub>
                      <m:sSubPr>
                        <m:ctrlPr>
                          <w:rPr>
                            <w:rFonts w:ascii="Cambria Math" w:hAnsi="Cambria Math"/>
                            <w:i/>
                          </w:rPr>
                        </m:ctrlPr>
                      </m:sSubPr>
                      <m:e>
                        <m:r>
                          <w:rPr>
                            <w:rFonts w:ascii="Cambria Math" w:hAnsi="Cambria Math"/>
                          </w:rPr>
                          <m:t>H</m:t>
                        </m:r>
                      </m:e>
                      <m:sub>
                        <m:r>
                          <w:rPr>
                            <w:rFonts w:ascii="Cambria Math" w:hAnsi="Cambria Math"/>
                          </w:rPr>
                          <m:t>i</m:t>
                        </m:r>
                      </m:sub>
                    </m:sSub>
                    <m:sSub>
                      <m:sSubPr>
                        <m:ctrlPr>
                          <w:rPr>
                            <w:rFonts w:ascii="Cambria Math" w:hAnsi="Cambria Math"/>
                            <w:i/>
                          </w:rPr>
                        </m:ctrlPr>
                      </m:sSubPr>
                      <m:e>
                        <m:r>
                          <w:rPr>
                            <w:rFonts w:ascii="Cambria Math" w:hAnsi="Cambria Math"/>
                          </w:rPr>
                          <m:t>MW</m:t>
                        </m:r>
                      </m:e>
                      <m:sub>
                        <m:r>
                          <w:rPr>
                            <w:rFonts w:ascii="Cambria Math" w:hAnsi="Cambria Math"/>
                          </w:rPr>
                          <m:t>L</m:t>
                        </m:r>
                      </m:sub>
                    </m:sSub>
                  </m:den>
                </m:f>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i,L</m:t>
                    </m:r>
                  </m:sub>
                </m:sSub>
                <m:r>
                  <w:rPr>
                    <w:rFonts w:ascii="Cambria Math" w:hAnsi="Cambria Math"/>
                  </w:rPr>
                  <m:t>(t))</m:t>
                </m:r>
              </m:oMath>
            </m:oMathPara>
          </w:p>
        </w:tc>
        <w:tc>
          <w:tcPr>
            <w:tcW w:w="801" w:type="dxa"/>
            <w:shd w:val="clear" w:color="auto" w:fill="auto"/>
            <w:vAlign w:val="center"/>
          </w:tcPr>
          <w:p w14:paraId="44661F21" w14:textId="1A6779F2" w:rsidR="00F92A63" w:rsidRPr="00B57B36" w:rsidRDefault="005178F8" w:rsidP="00A050BB">
            <w:pPr>
              <w:pStyle w:val="CETEquation"/>
              <w:jc w:val="right"/>
            </w:pPr>
            <w:r w:rsidRPr="00B57B36">
              <w:t>(</w:t>
            </w:r>
            <w:r>
              <w:t>6</w:t>
            </w:r>
            <w:r w:rsidRPr="00B57B36">
              <w:t>)</w:t>
            </w:r>
          </w:p>
        </w:tc>
      </w:tr>
    </w:tbl>
    <w:p w14:paraId="520CF28E" w14:textId="012B692A" w:rsidR="00F92A63" w:rsidRDefault="005178F8" w:rsidP="00453E24">
      <w:pPr>
        <w:pStyle w:val="CETBodytext"/>
        <w:rPr>
          <w:lang w:val="en-GB"/>
        </w:rPr>
      </w:pPr>
      <w:r>
        <w:rPr>
          <w:lang w:val="en-GB"/>
        </w:rPr>
        <w:t>Where</w:t>
      </w:r>
      <w:r w:rsidR="00807846">
        <w:rPr>
          <w:lang w:val="en-GB"/>
        </w:rPr>
        <w:t xml:space="preserve"> </w:t>
      </w:r>
      <w:r w:rsidR="00A050BB" w:rsidRPr="00A050BB">
        <w:rPr>
          <w:rFonts w:cs="Arial"/>
          <w:i/>
          <w:iCs/>
          <w:lang w:val="en-GB"/>
        </w:rPr>
        <w:t>P</w:t>
      </w:r>
      <w:r w:rsidR="00A050BB" w:rsidRPr="00A050BB">
        <w:rPr>
          <w:rFonts w:cs="Arial"/>
          <w:i/>
          <w:iCs/>
          <w:vertAlign w:val="subscript"/>
          <w:lang w:val="en-GB"/>
        </w:rPr>
        <w:t>TOT</w:t>
      </w:r>
      <w:r w:rsidR="00A050BB">
        <w:rPr>
          <w:rFonts w:cs="Arial"/>
          <w:lang w:val="en-GB"/>
        </w:rPr>
        <w:t xml:space="preserve"> is the gas pressure</w:t>
      </w:r>
      <w:r w:rsidR="00A050BB">
        <w:rPr>
          <w:lang w:val="en-GB"/>
        </w:rPr>
        <w:t xml:space="preserve">, </w:t>
      </w:r>
      <w:r w:rsidR="00A050BB" w:rsidRPr="00A050BB">
        <w:rPr>
          <w:i/>
          <w:iCs/>
          <w:lang w:val="en-GB"/>
        </w:rPr>
        <w:t>y</w:t>
      </w:r>
      <w:r w:rsidR="00A050BB" w:rsidRPr="00A050BB">
        <w:rPr>
          <w:i/>
          <w:iCs/>
          <w:vertAlign w:val="subscript"/>
          <w:lang w:val="en-GB"/>
        </w:rPr>
        <w:t>i</w:t>
      </w:r>
      <w:r w:rsidR="00A050BB">
        <w:rPr>
          <w:lang w:val="en-GB"/>
        </w:rPr>
        <w:t xml:space="preserve"> is the molar fraction of the gas component </w:t>
      </w:r>
      <w:r w:rsidR="00A050BB" w:rsidRPr="00A050BB">
        <w:rPr>
          <w:i/>
          <w:iCs/>
          <w:lang w:val="en-GB"/>
        </w:rPr>
        <w:t>i</w:t>
      </w:r>
      <w:r w:rsidR="00A050BB">
        <w:rPr>
          <w:lang w:val="en-GB"/>
        </w:rPr>
        <w:t xml:space="preserve">, </w:t>
      </w:r>
      <w:r w:rsidR="00A050BB" w:rsidRPr="00A050BB">
        <w:rPr>
          <w:i/>
          <w:iCs/>
          <w:lang w:val="en-GB"/>
        </w:rPr>
        <w:t>H</w:t>
      </w:r>
      <w:r w:rsidR="00A050BB" w:rsidRPr="00A050BB">
        <w:rPr>
          <w:i/>
          <w:iCs/>
          <w:vertAlign w:val="subscript"/>
          <w:lang w:val="en-GB"/>
        </w:rPr>
        <w:t>i</w:t>
      </w:r>
      <w:r w:rsidR="00A050BB">
        <w:rPr>
          <w:lang w:val="en-GB"/>
        </w:rPr>
        <w:t xml:space="preserve"> is the Henry constant for the species </w:t>
      </w:r>
      <w:r w:rsidR="00A050BB" w:rsidRPr="00A050BB">
        <w:rPr>
          <w:i/>
          <w:iCs/>
          <w:lang w:val="en-GB"/>
        </w:rPr>
        <w:t>i</w:t>
      </w:r>
      <w:r w:rsidR="00A050BB">
        <w:rPr>
          <w:lang w:val="en-GB"/>
        </w:rPr>
        <w:t>.</w:t>
      </w:r>
    </w:p>
    <w:p w14:paraId="5E8FDE43" w14:textId="3712105B" w:rsidR="00F92A63" w:rsidRDefault="005178F8" w:rsidP="00453E24">
      <w:pPr>
        <w:pStyle w:val="CETBodytext"/>
        <w:rPr>
          <w:lang w:val="en-GB"/>
        </w:rPr>
      </w:pPr>
      <w:r>
        <w:rPr>
          <w:lang w:val="en-GB"/>
        </w:rPr>
        <w:t xml:space="preserve">Simplifying using the water density and molecular weight for the liquid density </w:t>
      </w:r>
      <w:r w:rsidR="00A050BB" w:rsidRPr="00A050BB">
        <w:rPr>
          <w:rFonts w:cs="Arial"/>
          <w:i/>
          <w:iCs/>
          <w:lang w:val="en-GB"/>
        </w:rPr>
        <w:t>ρ</w:t>
      </w:r>
      <w:r w:rsidR="00A050BB" w:rsidRPr="00A050BB">
        <w:rPr>
          <w:i/>
          <w:iCs/>
          <w:vertAlign w:val="subscript"/>
          <w:lang w:val="en-GB"/>
        </w:rPr>
        <w:t>L</w:t>
      </w:r>
      <w:r>
        <w:rPr>
          <w:lang w:val="en-GB"/>
        </w:rPr>
        <w:t xml:space="preserve"> and liquid molecular weight </w:t>
      </w:r>
      <w:r w:rsidRPr="00A050BB">
        <w:rPr>
          <w:i/>
          <w:iCs/>
          <w:lang w:val="en-GB"/>
        </w:rPr>
        <w:t>MW</w:t>
      </w:r>
      <w:r w:rsidRPr="00A050BB">
        <w:rPr>
          <w:i/>
          <w:iCs/>
          <w:vertAlign w:val="subscript"/>
          <w:lang w:val="en-GB"/>
        </w:rPr>
        <w:t>L</w:t>
      </w:r>
      <w:r>
        <w:rPr>
          <w:lang w:val="en-GB"/>
        </w:rPr>
        <w:t xml:space="preserve"> and imposing the total pressure of the gas equal to 1 atm:</w:t>
      </w:r>
    </w:p>
    <w:tbl>
      <w:tblPr>
        <w:tblW w:w="5000" w:type="pct"/>
        <w:tblLook w:val="04A0" w:firstRow="1" w:lastRow="0" w:firstColumn="1" w:lastColumn="0" w:noHBand="0" w:noVBand="1"/>
      </w:tblPr>
      <w:tblGrid>
        <w:gridCol w:w="7986"/>
        <w:gridCol w:w="801"/>
      </w:tblGrid>
      <w:tr w:rsidR="00A378DA" w14:paraId="332AC0D6" w14:textId="77777777" w:rsidTr="00A050BB">
        <w:tc>
          <w:tcPr>
            <w:tcW w:w="7986" w:type="dxa"/>
            <w:shd w:val="clear" w:color="auto" w:fill="auto"/>
            <w:vAlign w:val="center"/>
          </w:tcPr>
          <w:p w14:paraId="14F74C49" w14:textId="56228667" w:rsidR="00F92A63" w:rsidRPr="00F92A63" w:rsidRDefault="002202A3" w:rsidP="00A050BB">
            <w:pPr>
              <w:pStyle w:val="CETEquation"/>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i,L</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i</m:t>
                    </m:r>
                  </m:sub>
                </m:sSub>
                <m:r>
                  <w:rPr>
                    <w:rFonts w:ascii="Cambria Math" w:hAnsi="Cambria Math"/>
                  </w:rPr>
                  <m:t>(t)+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sub>
                    <m:r>
                      <w:rPr>
                        <w:rFonts w:ascii="Cambria Math" w:hAnsi="Cambria Math"/>
                      </w:rPr>
                      <m:t>i</m:t>
                    </m:r>
                  </m:sub>
                </m:sSub>
                <m:r>
                  <w:rPr>
                    <w:rFonts w:ascii="Cambria Math" w:hAnsi="Cambria Math"/>
                  </w:rPr>
                  <m:t xml:space="preserve"> (5.69 </m:t>
                </m:r>
                <m:sSup>
                  <m:sSupPr>
                    <m:ctrlPr>
                      <w:rPr>
                        <w:rFonts w:ascii="Cambria Math" w:hAnsi="Cambria Math"/>
                        <w:i/>
                      </w:rPr>
                    </m:ctrlPr>
                  </m:sSupPr>
                  <m:e>
                    <m:r>
                      <w:rPr>
                        <w:rFonts w:ascii="Cambria Math" w:hAnsi="Cambria Math"/>
                      </w:rPr>
                      <m:t>10</m:t>
                    </m:r>
                  </m:e>
                  <m:sup>
                    <m:r>
                      <w:rPr>
                        <w:rFonts w:ascii="Cambria Math" w:hAnsi="Cambria Math"/>
                      </w:rPr>
                      <m:t>9</m:t>
                    </m:r>
                  </m:sup>
                </m:sSup>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(t)</m:t>
                    </m:r>
                  </m:num>
                  <m:den>
                    <m:sSub>
                      <m:sSubPr>
                        <m:ctrlPr>
                          <w:rPr>
                            <w:rFonts w:ascii="Cambria Math" w:hAnsi="Cambria Math"/>
                            <w:i/>
                          </w:rPr>
                        </m:ctrlPr>
                      </m:sSubPr>
                      <m:e>
                        <m:r>
                          <w:rPr>
                            <w:rFonts w:ascii="Cambria Math" w:hAnsi="Cambria Math"/>
                          </w:rPr>
                          <m:t>H</m:t>
                        </m:r>
                      </m:e>
                      <m:sub>
                        <m:r>
                          <w:rPr>
                            <w:rFonts w:ascii="Cambria Math" w:hAnsi="Cambria Math"/>
                          </w:rPr>
                          <m:t>i</m:t>
                        </m:r>
                      </m:sub>
                    </m:sSub>
                  </m:den>
                </m:f>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i,L</m:t>
                    </m:r>
                  </m:sub>
                </m:sSub>
                <m:r>
                  <w:rPr>
                    <w:rFonts w:ascii="Cambria Math" w:hAnsi="Cambria Math"/>
                  </w:rPr>
                  <m:t>(t))</m:t>
                </m:r>
              </m:oMath>
            </m:oMathPara>
          </w:p>
        </w:tc>
        <w:tc>
          <w:tcPr>
            <w:tcW w:w="801" w:type="dxa"/>
            <w:shd w:val="clear" w:color="auto" w:fill="auto"/>
            <w:vAlign w:val="center"/>
          </w:tcPr>
          <w:p w14:paraId="6E364610" w14:textId="77777777" w:rsidR="00F92A63" w:rsidRPr="00B57B36" w:rsidRDefault="005178F8" w:rsidP="00A050BB">
            <w:pPr>
              <w:pStyle w:val="CETEquation"/>
              <w:jc w:val="right"/>
            </w:pPr>
            <w:r w:rsidRPr="00B57B36">
              <w:t>(</w:t>
            </w:r>
            <w:r>
              <w:t>6</w:t>
            </w:r>
            <w:r w:rsidRPr="00B57B36">
              <w:t>)</w:t>
            </w:r>
          </w:p>
        </w:tc>
      </w:tr>
    </w:tbl>
    <w:p w14:paraId="2918CEDA" w14:textId="0B6F3BD0" w:rsidR="00F92A63" w:rsidRDefault="00F92A63" w:rsidP="00453E24">
      <w:pPr>
        <w:pStyle w:val="CETBodytext"/>
        <w:rPr>
          <w:lang w:val="en-GB"/>
        </w:rPr>
      </w:pPr>
    </w:p>
    <w:p w14:paraId="45564A97" w14:textId="7A6BD567" w:rsidR="00F92A63" w:rsidRDefault="005178F8" w:rsidP="00453E24">
      <w:pPr>
        <w:pStyle w:val="CETBodytext"/>
        <w:rPr>
          <w:lang w:val="en-GB"/>
        </w:rPr>
      </w:pPr>
      <w:r>
        <w:rPr>
          <w:lang w:val="en-GB"/>
        </w:rPr>
        <w:t xml:space="preserve">Using </w:t>
      </w:r>
      <w:r w:rsidR="00A050BB" w:rsidRPr="00A050BB">
        <w:rPr>
          <w:i/>
          <w:iCs/>
          <w:lang w:val="en-GB"/>
        </w:rPr>
        <w:t>H</w:t>
      </w:r>
      <w:r w:rsidR="00A050BB" w:rsidRPr="00A050BB">
        <w:rPr>
          <w:i/>
          <w:iCs/>
          <w:vertAlign w:val="subscript"/>
          <w:lang w:val="en-GB"/>
        </w:rPr>
        <w:t>i</w:t>
      </w:r>
      <w:r w:rsidR="00A050BB">
        <w:rPr>
          <w:lang w:val="en-GB"/>
        </w:rPr>
        <w:t xml:space="preserve"> </w:t>
      </w:r>
      <w:r>
        <w:rPr>
          <w:lang w:val="en-GB"/>
        </w:rPr>
        <w:t xml:space="preserve">values of </w:t>
      </w:r>
      <w:r w:rsidR="00A050BB">
        <w:rPr>
          <w:lang w:val="en-GB"/>
        </w:rPr>
        <w:fldChar w:fldCharType="begin"/>
      </w:r>
      <w:r w:rsidR="000A10B8">
        <w:rPr>
          <w:lang w:val="en-GB"/>
        </w:rPr>
        <w:instrText xml:space="preserve"> ADDIN ZOTERO_ITEM CSL_CITATION {"citationID":"ty2wg4Np","properties":{"formattedCitation":"(Medeiros et al., 2019)","plainCitation":"(Medeiros et al., 2019)","noteIndex":0},"citationItems":[{"id":4108,"uris":["http://zotero.org/users/local/dUse6BQP/items/YPUGHPDY"],"uri":["http://zotero.org/users/local/dUse6BQP/items/YPUGHPDY"],"itemData":{"id":4108,"type":"article-journal","abstract":"Syngas fermentation is one of the bets for the future sustainable biobased economies due to its potential as an intermediate step in the conversion of waste carbon to ethanol fuel and other chemicals. Integrated with gasification and suitable downstream processing, it may constitute an efficient and competitive route for the valorization of various waste materials, especially if systems engineering principles are employed targeting process optimization. In this study, a dynamic multi</w:instrText>
      </w:r>
      <w:r w:rsidR="000A10B8">
        <w:rPr>
          <w:rFonts w:ascii="Cambria Math" w:hAnsi="Cambria Math" w:cs="Cambria Math"/>
          <w:lang w:val="en-GB"/>
        </w:rPr>
        <w:instrText>‐</w:instrText>
      </w:r>
      <w:r w:rsidR="000A10B8">
        <w:rPr>
          <w:lang w:val="en-GB"/>
        </w:rPr>
        <w:instrText>response model is presented for syngas fermentation with acetogenic bacteria in a continuous stirredtank reactor, accounting for gas</w:instrText>
      </w:r>
      <w:r w:rsidR="000A10B8">
        <w:rPr>
          <w:rFonts w:cs="Arial"/>
          <w:lang w:val="en-GB"/>
        </w:rPr>
        <w:instrText>–</w:instrText>
      </w:r>
      <w:r w:rsidR="000A10B8">
        <w:rPr>
          <w:lang w:val="en-GB"/>
        </w:rPr>
        <w:instrText>liquid mass transfer, substrate (CO, H2) uptake, biomass growth and death, acetic acid reassimilation, and product selectivity. The unknown parameters were estimated from literature data using the maximum likelihood principle with a multi</w:instrText>
      </w:r>
      <w:r w:rsidR="000A10B8">
        <w:rPr>
          <w:rFonts w:ascii="Cambria Math" w:hAnsi="Cambria Math" w:cs="Cambria Math"/>
          <w:lang w:val="en-GB"/>
        </w:rPr>
        <w:instrText>‐</w:instrText>
      </w:r>
      <w:r w:rsidR="000A10B8">
        <w:rPr>
          <w:lang w:val="en-GB"/>
        </w:rPr>
        <w:instrText>response nonlinear modeling framework and metaheuristic optimization, and model adequacy was verified with statistical analysis via generation of confidence intervals as well as parameter significance tests. The model was then used to study the effects of process conditions (gas composition, dilution rate, gas flow rates, and cell recycle) as well as the sensitivity of kinetic parameters, and multiobjective genetic algorithm was used to maximize ethanol productivity and CO conversion. It was observed that these two objectives were clearly conflicting when CO</w:instrText>
      </w:r>
      <w:r w:rsidR="000A10B8">
        <w:rPr>
          <w:rFonts w:ascii="Cambria Math" w:hAnsi="Cambria Math" w:cs="Cambria Math"/>
          <w:lang w:val="en-GB"/>
        </w:rPr>
        <w:instrText>‐</w:instrText>
      </w:r>
      <w:r w:rsidR="000A10B8">
        <w:rPr>
          <w:lang w:val="en-GB"/>
        </w:rPr>
        <w:instrText>rich gas was used, but increasing the content of H2 favored higher productivities while maintaining 100% CO conversion. The maximum productivity predicted with full conversion was 2 g</w:instrText>
      </w:r>
      <w:r w:rsidR="000A10B8">
        <w:rPr>
          <w:rFonts w:cs="Arial"/>
          <w:lang w:val="en-GB"/>
        </w:rPr>
        <w:instrText>·</w:instrText>
      </w:r>
      <w:r w:rsidR="000A10B8">
        <w:rPr>
          <w:lang w:val="en-GB"/>
        </w:rPr>
        <w:instrText>L</w:instrText>
      </w:r>
      <w:r w:rsidR="000A10B8">
        <w:rPr>
          <w:rFonts w:cs="Arial"/>
          <w:lang w:val="en-GB"/>
        </w:rPr>
        <w:instrText>−</w:instrText>
      </w:r>
      <w:r w:rsidR="000A10B8">
        <w:rPr>
          <w:lang w:val="en-GB"/>
        </w:rPr>
        <w:instrText>1</w:instrText>
      </w:r>
      <w:r w:rsidR="000A10B8">
        <w:rPr>
          <w:rFonts w:cs="Arial"/>
          <w:lang w:val="en-GB"/>
        </w:rPr>
        <w:instrText>·</w:instrText>
      </w:r>
      <w:r w:rsidR="000A10B8">
        <w:rPr>
          <w:lang w:val="en-GB"/>
        </w:rPr>
        <w:instrText>hr</w:instrText>
      </w:r>
      <w:r w:rsidR="000A10B8">
        <w:rPr>
          <w:rFonts w:cs="Arial"/>
          <w:lang w:val="en-GB"/>
        </w:rPr>
        <w:instrText>−</w:instrText>
      </w:r>
      <w:r w:rsidR="000A10B8">
        <w:rPr>
          <w:lang w:val="en-GB"/>
        </w:rPr>
        <w:instrText>1 with a feed gas composition of 54% CO and 46% H2 and a dilution rate of 0.06 hr−1 with roughly 90% of cell recycle.","container-title":"Biotechnology and Bioengineering","DOI":"10.1002/bit.27108","ISSN":"0006-3592, 1097-0290","issue":"10","journalAbbreviation":"Biotechnology and Bioengineering","language":"en","page":"2473-2487","source":"DOI.org (Crossref)","title":"Dynamic modeling of syngas fermentation in a continuous stirred</w:instrText>
      </w:r>
      <w:r w:rsidR="000A10B8">
        <w:rPr>
          <w:rFonts w:ascii="Cambria Math" w:hAnsi="Cambria Math" w:cs="Cambria Math"/>
          <w:lang w:val="en-GB"/>
        </w:rPr>
        <w:instrText>‐</w:instrText>
      </w:r>
      <w:r w:rsidR="000A10B8">
        <w:rPr>
          <w:lang w:val="en-GB"/>
        </w:rPr>
        <w:instrText>tank reactor: Multi</w:instrText>
      </w:r>
      <w:r w:rsidR="000A10B8">
        <w:rPr>
          <w:rFonts w:ascii="Cambria Math" w:hAnsi="Cambria Math" w:cs="Cambria Math"/>
          <w:lang w:val="en-GB"/>
        </w:rPr>
        <w:instrText>‐</w:instrText>
      </w:r>
      <w:r w:rsidR="000A10B8">
        <w:rPr>
          <w:lang w:val="en-GB"/>
        </w:rPr>
        <w:instrText>response parameter estimation and process optimization","title-short":"Dynamic modeling of syngas fermentation in a continuous stirred</w:instrText>
      </w:r>
      <w:r w:rsidR="000A10B8">
        <w:rPr>
          <w:rFonts w:ascii="Cambria Math" w:hAnsi="Cambria Math" w:cs="Cambria Math"/>
          <w:lang w:val="en-GB"/>
        </w:rPr>
        <w:instrText>‐</w:instrText>
      </w:r>
      <w:r w:rsidR="000A10B8">
        <w:rPr>
          <w:lang w:val="en-GB"/>
        </w:rPr>
        <w:instrText xml:space="preserve">tank reactor","volume":"116","author":[{"family":"Medeiros","given":"Elisa M."},{"family":"Posada","given":"John A."},{"family":"Noorman","given":"Henk"},{"family":"Filho","given":"Rubens Maciel"}],"issued":{"date-parts":[["2019",10]]}}}],"schema":"https://github.com/citation-style-language/schema/raw/master/csl-citation.json"} </w:instrText>
      </w:r>
      <w:r w:rsidR="00A050BB">
        <w:rPr>
          <w:lang w:val="en-GB"/>
        </w:rPr>
        <w:fldChar w:fldCharType="separate"/>
      </w:r>
      <w:r w:rsidR="000A10B8" w:rsidRPr="000A10B8">
        <w:rPr>
          <w:rFonts w:cs="Arial"/>
        </w:rPr>
        <w:t>(Medeiros et al., 2019)</w:t>
      </w:r>
      <w:r w:rsidR="00A050BB">
        <w:rPr>
          <w:lang w:val="en-GB"/>
        </w:rPr>
        <w:fldChar w:fldCharType="end"/>
      </w:r>
      <w:r>
        <w:rPr>
          <w:lang w:val="en-GB"/>
        </w:rPr>
        <w:t>:</w:t>
      </w:r>
    </w:p>
    <w:tbl>
      <w:tblPr>
        <w:tblW w:w="5000" w:type="pct"/>
        <w:tblLook w:val="04A0" w:firstRow="1" w:lastRow="0" w:firstColumn="1" w:lastColumn="0" w:noHBand="0" w:noVBand="1"/>
      </w:tblPr>
      <w:tblGrid>
        <w:gridCol w:w="7986"/>
        <w:gridCol w:w="801"/>
      </w:tblGrid>
      <w:tr w:rsidR="00A378DA" w14:paraId="71EEFD47" w14:textId="77777777" w:rsidTr="00A050BB">
        <w:tc>
          <w:tcPr>
            <w:tcW w:w="7986" w:type="dxa"/>
            <w:shd w:val="clear" w:color="auto" w:fill="auto"/>
            <w:vAlign w:val="center"/>
          </w:tcPr>
          <w:p w14:paraId="56AFA564" w14:textId="42A32CE7" w:rsidR="00F92A63" w:rsidRPr="00F92A63" w:rsidRDefault="002202A3" w:rsidP="00A050BB">
            <w:pPr>
              <w:pStyle w:val="CETEquation"/>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CO,L</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CO</m:t>
                    </m:r>
                  </m:sub>
                </m:sSub>
                <m:r>
                  <w:rPr>
                    <w:rFonts w:ascii="Cambria Math" w:hAnsi="Cambria Math"/>
                  </w:rPr>
                  <m:t>(t)+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sub>
                    <m:r>
                      <w:rPr>
                        <w:rFonts w:ascii="Cambria Math" w:hAnsi="Cambria Math"/>
                      </w:rPr>
                      <m:t>CO</m:t>
                    </m:r>
                  </m:sub>
                </m:sSub>
                <m:r>
                  <w:rPr>
                    <w:rFonts w:ascii="Cambria Math" w:hAnsi="Cambria Math"/>
                  </w:rPr>
                  <m:t xml:space="preserve"> (1.15 </m:t>
                </m:r>
                <m:sSub>
                  <m:sSubPr>
                    <m:ctrlPr>
                      <w:rPr>
                        <w:rFonts w:ascii="Cambria Math" w:hAnsi="Cambria Math"/>
                        <w:i/>
                      </w:rPr>
                    </m:ctrlPr>
                  </m:sSubPr>
                  <m:e>
                    <m:r>
                      <w:rPr>
                        <w:rFonts w:ascii="Cambria Math" w:hAnsi="Cambria Math"/>
                      </w:rPr>
                      <m:t>y</m:t>
                    </m:r>
                  </m:e>
                  <m:sub>
                    <m:r>
                      <w:rPr>
                        <w:rFonts w:ascii="Cambria Math" w:hAnsi="Cambria Math"/>
                      </w:rPr>
                      <m:t>CO</m:t>
                    </m:r>
                  </m:sub>
                </m:sSub>
                <m:r>
                  <w:rPr>
                    <w:rFonts w:ascii="Cambria Math" w:hAnsi="Cambria Math"/>
                  </w:rPr>
                  <m:t xml:space="preserve">(t)- </m:t>
                </m:r>
                <m:sSub>
                  <m:sSubPr>
                    <m:ctrlPr>
                      <w:rPr>
                        <w:rFonts w:ascii="Cambria Math" w:hAnsi="Cambria Math"/>
                        <w:i/>
                      </w:rPr>
                    </m:ctrlPr>
                  </m:sSubPr>
                  <m:e>
                    <m:r>
                      <w:rPr>
                        <w:rFonts w:ascii="Cambria Math" w:hAnsi="Cambria Math"/>
                      </w:rPr>
                      <m:t>C</m:t>
                    </m:r>
                  </m:e>
                  <m:sub>
                    <m:r>
                      <w:rPr>
                        <w:rFonts w:ascii="Cambria Math" w:hAnsi="Cambria Math"/>
                      </w:rPr>
                      <m:t>CO,L</m:t>
                    </m:r>
                  </m:sub>
                </m:sSub>
                <m:r>
                  <w:rPr>
                    <w:rFonts w:ascii="Cambria Math" w:hAnsi="Cambria Math"/>
                  </w:rPr>
                  <m:t>(t))</m:t>
                </m:r>
              </m:oMath>
            </m:oMathPara>
          </w:p>
        </w:tc>
        <w:tc>
          <w:tcPr>
            <w:tcW w:w="801" w:type="dxa"/>
            <w:shd w:val="clear" w:color="auto" w:fill="auto"/>
            <w:vAlign w:val="center"/>
          </w:tcPr>
          <w:p w14:paraId="2B68E391" w14:textId="193E744B" w:rsidR="00F92A63" w:rsidRPr="00B57B36" w:rsidRDefault="005178F8" w:rsidP="00A050BB">
            <w:pPr>
              <w:pStyle w:val="CETEquation"/>
              <w:jc w:val="right"/>
            </w:pPr>
            <w:r w:rsidRPr="00B57B36">
              <w:t>(</w:t>
            </w:r>
            <w:r>
              <w:t>7</w:t>
            </w:r>
            <w:r w:rsidRPr="00B57B36">
              <w:t>)</w:t>
            </w:r>
          </w:p>
        </w:tc>
      </w:tr>
      <w:tr w:rsidR="00A378DA" w14:paraId="44E5E11A" w14:textId="77777777" w:rsidTr="00A050BB">
        <w:tc>
          <w:tcPr>
            <w:tcW w:w="7986" w:type="dxa"/>
            <w:shd w:val="clear" w:color="auto" w:fill="auto"/>
            <w:vAlign w:val="center"/>
          </w:tcPr>
          <w:p w14:paraId="349E04C7" w14:textId="7B3BC8BF" w:rsidR="00F92A63" w:rsidRPr="00F92A63" w:rsidRDefault="002202A3" w:rsidP="00A050BB">
            <w:pPr>
              <w:pStyle w:val="CETEquation"/>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H2,L</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H2</m:t>
                    </m:r>
                  </m:sub>
                </m:sSub>
                <m:r>
                  <w:rPr>
                    <w:rFonts w:ascii="Cambria Math" w:hAnsi="Cambria Math"/>
                  </w:rPr>
                  <m:t>(t)+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sub>
                    <m:r>
                      <w:rPr>
                        <w:rFonts w:ascii="Cambria Math" w:hAnsi="Cambria Math"/>
                      </w:rPr>
                      <m:t>H2</m:t>
                    </m:r>
                  </m:sub>
                </m:sSub>
                <m:r>
                  <w:rPr>
                    <w:rFonts w:ascii="Cambria Math" w:hAnsi="Cambria Math"/>
                  </w:rPr>
                  <m:t xml:space="preserve"> (0.85 </m:t>
                </m:r>
                <m:sSub>
                  <m:sSubPr>
                    <m:ctrlPr>
                      <w:rPr>
                        <w:rFonts w:ascii="Cambria Math" w:hAnsi="Cambria Math"/>
                        <w:i/>
                      </w:rPr>
                    </m:ctrlPr>
                  </m:sSubPr>
                  <m:e>
                    <m:r>
                      <w:rPr>
                        <w:rFonts w:ascii="Cambria Math" w:hAnsi="Cambria Math"/>
                      </w:rPr>
                      <m:t>y</m:t>
                    </m:r>
                  </m:e>
                  <m:sub>
                    <m:r>
                      <w:rPr>
                        <w:rFonts w:ascii="Cambria Math" w:hAnsi="Cambria Math"/>
                      </w:rPr>
                      <m:t>H2</m:t>
                    </m:r>
                  </m:sub>
                </m:sSub>
                <m:r>
                  <w:rPr>
                    <w:rFonts w:ascii="Cambria Math" w:hAnsi="Cambria Math"/>
                  </w:rPr>
                  <m:t xml:space="preserve">(t)- </m:t>
                </m:r>
                <m:sSub>
                  <m:sSubPr>
                    <m:ctrlPr>
                      <w:rPr>
                        <w:rFonts w:ascii="Cambria Math" w:hAnsi="Cambria Math"/>
                        <w:i/>
                      </w:rPr>
                    </m:ctrlPr>
                  </m:sSubPr>
                  <m:e>
                    <m:r>
                      <w:rPr>
                        <w:rFonts w:ascii="Cambria Math" w:hAnsi="Cambria Math"/>
                      </w:rPr>
                      <m:t>C</m:t>
                    </m:r>
                  </m:e>
                  <m:sub>
                    <m:r>
                      <w:rPr>
                        <w:rFonts w:ascii="Cambria Math" w:hAnsi="Cambria Math"/>
                      </w:rPr>
                      <m:t>H2,L</m:t>
                    </m:r>
                  </m:sub>
                </m:sSub>
                <m:r>
                  <w:rPr>
                    <w:rFonts w:ascii="Cambria Math" w:hAnsi="Cambria Math"/>
                  </w:rPr>
                  <m:t>(t))</m:t>
                </m:r>
              </m:oMath>
            </m:oMathPara>
          </w:p>
        </w:tc>
        <w:tc>
          <w:tcPr>
            <w:tcW w:w="801" w:type="dxa"/>
            <w:shd w:val="clear" w:color="auto" w:fill="auto"/>
            <w:vAlign w:val="center"/>
          </w:tcPr>
          <w:p w14:paraId="2D2A254E" w14:textId="3D3AD60B" w:rsidR="00F92A63" w:rsidRPr="00B57B36" w:rsidRDefault="005178F8" w:rsidP="00A050BB">
            <w:pPr>
              <w:pStyle w:val="CETEquation"/>
              <w:jc w:val="right"/>
            </w:pPr>
            <w:r w:rsidRPr="00B57B36">
              <w:t>(</w:t>
            </w:r>
            <w:r>
              <w:t>8</w:t>
            </w:r>
            <w:r w:rsidRPr="00B57B36">
              <w:t>)</w:t>
            </w:r>
          </w:p>
        </w:tc>
      </w:tr>
    </w:tbl>
    <w:p w14:paraId="0779F949" w14:textId="33AF1BEF" w:rsidR="00F92A63" w:rsidRDefault="005178F8" w:rsidP="00453E24">
      <w:pPr>
        <w:pStyle w:val="CETBodytext"/>
        <w:rPr>
          <w:lang w:val="en-GB"/>
        </w:rPr>
      </w:pPr>
      <w:r>
        <w:rPr>
          <w:lang w:val="en-GB"/>
        </w:rPr>
        <w:t xml:space="preserve">For the minimum/optimal </w:t>
      </w:r>
      <w:r w:rsidRPr="00A050BB">
        <w:rPr>
          <w:i/>
          <w:iCs/>
          <w:lang w:val="en-GB"/>
        </w:rPr>
        <w:t>k</w:t>
      </w:r>
      <w:r w:rsidRPr="00A050BB">
        <w:rPr>
          <w:i/>
          <w:iCs/>
          <w:vertAlign w:val="subscript"/>
          <w:lang w:val="en-GB"/>
        </w:rPr>
        <w:t>L</w:t>
      </w:r>
      <w:r w:rsidRPr="00A050BB">
        <w:rPr>
          <w:i/>
          <w:iCs/>
          <w:lang w:val="en-GB"/>
        </w:rPr>
        <w:t>a</w:t>
      </w:r>
      <w:r>
        <w:rPr>
          <w:lang w:val="en-GB"/>
        </w:rPr>
        <w:t xml:space="preserve"> calculation the previous hypothesis of substrate concentration as constant was imposed:</w:t>
      </w:r>
    </w:p>
    <w:tbl>
      <w:tblPr>
        <w:tblW w:w="5000" w:type="pct"/>
        <w:tblLook w:val="04A0" w:firstRow="1" w:lastRow="0" w:firstColumn="1" w:lastColumn="0" w:noHBand="0" w:noVBand="1"/>
      </w:tblPr>
      <w:tblGrid>
        <w:gridCol w:w="7986"/>
        <w:gridCol w:w="801"/>
      </w:tblGrid>
      <w:tr w:rsidR="00A378DA" w14:paraId="561DD239" w14:textId="77777777" w:rsidTr="00A050BB">
        <w:tc>
          <w:tcPr>
            <w:tcW w:w="7986" w:type="dxa"/>
            <w:shd w:val="clear" w:color="auto" w:fill="auto"/>
            <w:vAlign w:val="center"/>
          </w:tcPr>
          <w:p w14:paraId="5DFCC9F9" w14:textId="1BC4C437" w:rsidR="00DA7187" w:rsidRPr="00F92A63" w:rsidRDefault="002202A3" w:rsidP="00A050BB">
            <w:pPr>
              <w:pStyle w:val="CETEquation"/>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CO,L</m:t>
                        </m:r>
                      </m:sub>
                    </m:sSub>
                  </m:num>
                  <m:den>
                    <m:r>
                      <w:rPr>
                        <w:rFonts w:ascii="Cambria Math" w:hAnsi="Cambria Math"/>
                      </w:rPr>
                      <m:t>dt</m:t>
                    </m:r>
                  </m:den>
                </m:f>
                <m:r>
                  <w:rPr>
                    <w:rFonts w:ascii="Cambria Math" w:hAnsi="Cambria Math"/>
                  </w:rPr>
                  <m:t>=0=</m:t>
                </m:r>
                <m:sSub>
                  <m:sSubPr>
                    <m:ctrlPr>
                      <w:rPr>
                        <w:rFonts w:ascii="Cambria Math" w:hAnsi="Cambria Math"/>
                        <w:i/>
                      </w:rPr>
                    </m:ctrlPr>
                  </m:sSubPr>
                  <m:e>
                    <m:r>
                      <w:rPr>
                        <w:rFonts w:ascii="Cambria Math" w:hAnsi="Cambria Math"/>
                      </w:rPr>
                      <m:t>υ</m:t>
                    </m:r>
                  </m:e>
                  <m:sub>
                    <m:r>
                      <w:rPr>
                        <w:rFonts w:ascii="Cambria Math" w:hAnsi="Cambria Math"/>
                      </w:rPr>
                      <m:t>CO</m:t>
                    </m:r>
                  </m:sub>
                </m:sSub>
                <m:r>
                  <w:rPr>
                    <w:rFonts w:ascii="Cambria Math" w:hAnsi="Cambria Math"/>
                  </w:rPr>
                  <m:t>(t)+</m:t>
                </m:r>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d>
                  </m:e>
                  <m:sub>
                    <m:r>
                      <w:rPr>
                        <w:rFonts w:ascii="Cambria Math" w:hAnsi="Cambria Math"/>
                      </w:rPr>
                      <m:t>CO</m:t>
                    </m:r>
                  </m:sub>
                </m:sSub>
                <m:r>
                  <w:rPr>
                    <w:rFonts w:ascii="Cambria Math" w:hAnsi="Cambria Math"/>
                  </w:rPr>
                  <m:t xml:space="preserve"> (1.15 </m:t>
                </m:r>
                <m:sSub>
                  <m:sSubPr>
                    <m:ctrlPr>
                      <w:rPr>
                        <w:rFonts w:ascii="Cambria Math" w:hAnsi="Cambria Math"/>
                        <w:i/>
                      </w:rPr>
                    </m:ctrlPr>
                  </m:sSubPr>
                  <m:e>
                    <m:r>
                      <w:rPr>
                        <w:rFonts w:ascii="Cambria Math" w:hAnsi="Cambria Math"/>
                      </w:rPr>
                      <m:t>y</m:t>
                    </m:r>
                  </m:e>
                  <m:sub>
                    <m:r>
                      <w:rPr>
                        <w:rFonts w:ascii="Cambria Math" w:hAnsi="Cambria Math"/>
                      </w:rPr>
                      <m:t>CO</m:t>
                    </m:r>
                  </m:sub>
                </m:sSub>
                <m:r>
                  <w:rPr>
                    <w:rFonts w:ascii="Cambria Math" w:hAnsi="Cambria Math"/>
                  </w:rPr>
                  <m:t xml:space="preserve">(t)- </m:t>
                </m:r>
                <m:sSub>
                  <m:sSubPr>
                    <m:ctrlPr>
                      <w:rPr>
                        <w:rFonts w:ascii="Cambria Math" w:hAnsi="Cambria Math"/>
                        <w:i/>
                      </w:rPr>
                    </m:ctrlPr>
                  </m:sSubPr>
                  <m:e>
                    <m:r>
                      <w:rPr>
                        <w:rFonts w:ascii="Cambria Math" w:hAnsi="Cambria Math"/>
                      </w:rPr>
                      <m:t>C</m:t>
                    </m:r>
                  </m:e>
                  <m:sub>
                    <m:r>
                      <w:rPr>
                        <w:rFonts w:ascii="Cambria Math" w:hAnsi="Cambria Math"/>
                      </w:rPr>
                      <m:t>CO,L</m:t>
                    </m:r>
                  </m:sub>
                </m:sSub>
                <m:r>
                  <w:rPr>
                    <w:rFonts w:ascii="Cambria Math" w:hAnsi="Cambria Math"/>
                  </w:rPr>
                  <m:t>)</m:t>
                </m:r>
              </m:oMath>
            </m:oMathPara>
          </w:p>
        </w:tc>
        <w:tc>
          <w:tcPr>
            <w:tcW w:w="801" w:type="dxa"/>
            <w:shd w:val="clear" w:color="auto" w:fill="auto"/>
            <w:vAlign w:val="center"/>
          </w:tcPr>
          <w:p w14:paraId="45DD4E9E" w14:textId="6849CBBD" w:rsidR="00DA7187" w:rsidRPr="00B57B36" w:rsidRDefault="005178F8" w:rsidP="00A050BB">
            <w:pPr>
              <w:pStyle w:val="CETEquation"/>
              <w:jc w:val="right"/>
            </w:pPr>
            <w:r w:rsidRPr="00B57B36">
              <w:t>(</w:t>
            </w:r>
            <w:r>
              <w:t>9</w:t>
            </w:r>
            <w:r w:rsidRPr="00B57B36">
              <w:t>)</w:t>
            </w:r>
          </w:p>
        </w:tc>
      </w:tr>
      <w:tr w:rsidR="00A378DA" w14:paraId="2A0F27FD" w14:textId="77777777" w:rsidTr="00A050BB">
        <w:tc>
          <w:tcPr>
            <w:tcW w:w="7986" w:type="dxa"/>
            <w:shd w:val="clear" w:color="auto" w:fill="auto"/>
            <w:vAlign w:val="center"/>
          </w:tcPr>
          <w:p w14:paraId="5116B1D8" w14:textId="34195FCA" w:rsidR="00DA7187" w:rsidRPr="00F92A63" w:rsidRDefault="002202A3" w:rsidP="00A050BB">
            <w:pPr>
              <w:pStyle w:val="CETEquation"/>
            </w:pPr>
            <m:oMathPara>
              <m:oMathParaPr>
                <m:jc m:val="left"/>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H2,L</m:t>
                        </m:r>
                      </m:sub>
                    </m:sSub>
                  </m:num>
                  <m:den>
                    <m:r>
                      <w:rPr>
                        <w:rFonts w:ascii="Cambria Math" w:hAnsi="Cambria Math"/>
                      </w:rPr>
                      <m:t>dt</m:t>
                    </m:r>
                  </m:den>
                </m:f>
                <m:r>
                  <w:rPr>
                    <w:rFonts w:ascii="Cambria Math" w:hAnsi="Cambria Math"/>
                  </w:rPr>
                  <m:t>=0=</m:t>
                </m:r>
                <m:sSub>
                  <m:sSubPr>
                    <m:ctrlPr>
                      <w:rPr>
                        <w:rFonts w:ascii="Cambria Math" w:hAnsi="Cambria Math"/>
                        <w:i/>
                      </w:rPr>
                    </m:ctrlPr>
                  </m:sSubPr>
                  <m:e>
                    <m:r>
                      <w:rPr>
                        <w:rFonts w:ascii="Cambria Math" w:hAnsi="Cambria Math"/>
                      </w:rPr>
                      <m:t>υ</m:t>
                    </m:r>
                  </m:e>
                  <m:sub>
                    <m:r>
                      <w:rPr>
                        <w:rFonts w:ascii="Cambria Math" w:hAnsi="Cambria Math"/>
                      </w:rPr>
                      <m:t>H2</m:t>
                    </m:r>
                  </m:sub>
                </m:sSub>
                <m:r>
                  <w:rPr>
                    <w:rFonts w:ascii="Cambria Math" w:hAnsi="Cambria Math"/>
                  </w:rPr>
                  <m:t>(t)+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sub>
                    <m:r>
                      <w:rPr>
                        <w:rFonts w:ascii="Cambria Math" w:hAnsi="Cambria Math"/>
                      </w:rPr>
                      <m:t>H2</m:t>
                    </m:r>
                  </m:sub>
                </m:sSub>
                <m:r>
                  <w:rPr>
                    <w:rFonts w:ascii="Cambria Math" w:hAnsi="Cambria Math"/>
                  </w:rPr>
                  <m:t xml:space="preserve"> (0.85 </m:t>
                </m:r>
                <m:sSub>
                  <m:sSubPr>
                    <m:ctrlPr>
                      <w:rPr>
                        <w:rFonts w:ascii="Cambria Math" w:hAnsi="Cambria Math"/>
                        <w:i/>
                      </w:rPr>
                    </m:ctrlPr>
                  </m:sSubPr>
                  <m:e>
                    <m:r>
                      <w:rPr>
                        <w:rFonts w:ascii="Cambria Math" w:hAnsi="Cambria Math"/>
                      </w:rPr>
                      <m:t>y</m:t>
                    </m:r>
                  </m:e>
                  <m:sub>
                    <m:r>
                      <w:rPr>
                        <w:rFonts w:ascii="Cambria Math" w:hAnsi="Cambria Math"/>
                      </w:rPr>
                      <m:t>H2</m:t>
                    </m:r>
                  </m:sub>
                </m:sSub>
                <m:r>
                  <w:rPr>
                    <w:rFonts w:ascii="Cambria Math" w:hAnsi="Cambria Math"/>
                  </w:rPr>
                  <m:t xml:space="preserve">(t)- </m:t>
                </m:r>
                <m:sSub>
                  <m:sSubPr>
                    <m:ctrlPr>
                      <w:rPr>
                        <w:rFonts w:ascii="Cambria Math" w:hAnsi="Cambria Math"/>
                        <w:i/>
                      </w:rPr>
                    </m:ctrlPr>
                  </m:sSubPr>
                  <m:e>
                    <m:r>
                      <w:rPr>
                        <w:rFonts w:ascii="Cambria Math" w:hAnsi="Cambria Math"/>
                      </w:rPr>
                      <m:t>C</m:t>
                    </m:r>
                  </m:e>
                  <m:sub>
                    <m:r>
                      <w:rPr>
                        <w:rFonts w:ascii="Cambria Math" w:hAnsi="Cambria Math"/>
                      </w:rPr>
                      <m:t>H2,L</m:t>
                    </m:r>
                  </m:sub>
                </m:sSub>
                <m:r>
                  <w:rPr>
                    <w:rFonts w:ascii="Cambria Math" w:hAnsi="Cambria Math"/>
                  </w:rPr>
                  <m:t>)</m:t>
                </m:r>
              </m:oMath>
            </m:oMathPara>
          </w:p>
        </w:tc>
        <w:tc>
          <w:tcPr>
            <w:tcW w:w="801" w:type="dxa"/>
            <w:shd w:val="clear" w:color="auto" w:fill="auto"/>
            <w:vAlign w:val="center"/>
          </w:tcPr>
          <w:p w14:paraId="6EB17CD7" w14:textId="68A7CA97" w:rsidR="00DA7187" w:rsidRPr="00B57B36" w:rsidRDefault="005178F8" w:rsidP="00A050BB">
            <w:pPr>
              <w:pStyle w:val="CETEquation"/>
              <w:jc w:val="right"/>
            </w:pPr>
            <w:r w:rsidRPr="00B57B36">
              <w:t>(</w:t>
            </w:r>
            <w:r>
              <w:t>10</w:t>
            </w:r>
            <w:r w:rsidRPr="00B57B36">
              <w:t>)</w:t>
            </w:r>
          </w:p>
        </w:tc>
      </w:tr>
    </w:tbl>
    <w:p w14:paraId="3E0DA4DC" w14:textId="2379875D" w:rsidR="00791233" w:rsidRDefault="005178F8" w:rsidP="00791233">
      <w:pPr>
        <w:pStyle w:val="CETBodytext"/>
        <w:rPr>
          <w:lang w:val="en-GB"/>
        </w:rPr>
      </w:pPr>
      <w:r>
        <w:rPr>
          <w:lang w:val="en-GB"/>
        </w:rPr>
        <w:t>Then, considering the initial and final values for the consumption rate the value of the minimum (with relationship to the maximum driving force) gas-liquid mass transfer coefficient can be calculated:</w:t>
      </w:r>
    </w:p>
    <w:tbl>
      <w:tblPr>
        <w:tblW w:w="5000" w:type="pct"/>
        <w:tblLook w:val="04A0" w:firstRow="1" w:lastRow="0" w:firstColumn="1" w:lastColumn="0" w:noHBand="0" w:noVBand="1"/>
      </w:tblPr>
      <w:tblGrid>
        <w:gridCol w:w="7986"/>
        <w:gridCol w:w="801"/>
      </w:tblGrid>
      <w:tr w:rsidR="00A378DA" w14:paraId="294C8CE3" w14:textId="77777777" w:rsidTr="00A050BB">
        <w:tc>
          <w:tcPr>
            <w:tcW w:w="7986" w:type="dxa"/>
            <w:shd w:val="clear" w:color="auto" w:fill="auto"/>
            <w:vAlign w:val="center"/>
          </w:tcPr>
          <w:p w14:paraId="2C7A6683" w14:textId="69B40AD7" w:rsidR="00791233" w:rsidRPr="00F92A63" w:rsidRDefault="002202A3" w:rsidP="00A050BB">
            <w:pPr>
              <w:pStyle w:val="CETEquation"/>
            </w:pPr>
            <m:oMathPara>
              <m:oMathParaPr>
                <m:jc m:val="left"/>
              </m:oMathParaP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d>
                  </m:e>
                  <m:sub>
                    <m:r>
                      <w:rPr>
                        <w:rFonts w:ascii="Cambria Math" w:hAnsi="Cambria Math"/>
                      </w:rPr>
                      <m:t>CO,MIN</m:t>
                    </m:r>
                  </m:sub>
                </m:sSub>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num>
                  <m:den>
                    <m:r>
                      <w:rPr>
                        <w:rFonts w:ascii="Cambria Math" w:hAnsi="Cambria Math"/>
                      </w:rPr>
                      <m:t xml:space="preserve">1.15 </m:t>
                    </m:r>
                    <m:sSub>
                      <m:sSubPr>
                        <m:ctrlPr>
                          <w:rPr>
                            <w:rFonts w:ascii="Cambria Math" w:hAnsi="Cambria Math"/>
                            <w:i/>
                          </w:rPr>
                        </m:ctrlPr>
                      </m:sSubPr>
                      <m:e>
                        <m:r>
                          <w:rPr>
                            <w:rFonts w:ascii="Cambria Math" w:hAnsi="Cambria Math"/>
                          </w:rPr>
                          <m:t>y</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CO,L</m:t>
                        </m:r>
                      </m:sub>
                    </m:sSub>
                  </m:den>
                </m:f>
              </m:oMath>
            </m:oMathPara>
          </w:p>
        </w:tc>
        <w:tc>
          <w:tcPr>
            <w:tcW w:w="801" w:type="dxa"/>
            <w:shd w:val="clear" w:color="auto" w:fill="auto"/>
            <w:vAlign w:val="center"/>
          </w:tcPr>
          <w:p w14:paraId="6EBB7A37" w14:textId="36199F8A" w:rsidR="00791233" w:rsidRPr="00B57B36" w:rsidRDefault="005178F8" w:rsidP="00A050BB">
            <w:pPr>
              <w:pStyle w:val="CETEquation"/>
              <w:jc w:val="right"/>
            </w:pPr>
            <w:r w:rsidRPr="00B57B36">
              <w:t>(</w:t>
            </w:r>
            <w:r>
              <w:t>11</w:t>
            </w:r>
            <w:r w:rsidRPr="00B57B36">
              <w:t>)</w:t>
            </w:r>
          </w:p>
        </w:tc>
      </w:tr>
      <w:tr w:rsidR="00A378DA" w14:paraId="5D3665A3" w14:textId="77777777" w:rsidTr="00A050BB">
        <w:tc>
          <w:tcPr>
            <w:tcW w:w="7986" w:type="dxa"/>
            <w:shd w:val="clear" w:color="auto" w:fill="auto"/>
            <w:vAlign w:val="center"/>
          </w:tcPr>
          <w:p w14:paraId="78C5B282" w14:textId="2F8945B5" w:rsidR="00791233" w:rsidRPr="00F92A63" w:rsidRDefault="002202A3" w:rsidP="00A050BB">
            <w:pPr>
              <w:pStyle w:val="CETEquation"/>
            </w:pPr>
            <m:oMathPara>
              <m:oMathParaPr>
                <m:jc m:val="left"/>
              </m:oMathParaP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a</m:t>
                        </m:r>
                      </m:e>
                    </m:d>
                  </m:e>
                  <m:sub>
                    <m:r>
                      <w:rPr>
                        <w:rFonts w:ascii="Cambria Math" w:hAnsi="Cambria Math"/>
                      </w:rPr>
                      <m:t>H2,MIN</m:t>
                    </m:r>
                  </m:sub>
                </m:sSub>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υ</m:t>
                        </m:r>
                      </m:e>
                      <m:sub>
                        <m:r>
                          <w:rPr>
                            <w:rFonts w:ascii="Cambria Math" w:hAnsi="Cambria Math"/>
                          </w:rPr>
                          <m:t>H2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num>
                  <m:den>
                    <m:r>
                      <w:rPr>
                        <w:rFonts w:ascii="Cambria Math" w:hAnsi="Cambria Math"/>
                      </w:rPr>
                      <m:t xml:space="preserve">1.15 </m:t>
                    </m:r>
                    <m:sSub>
                      <m:sSubPr>
                        <m:ctrlPr>
                          <w:rPr>
                            <w:rFonts w:ascii="Cambria Math" w:hAnsi="Cambria Math"/>
                            <w:i/>
                          </w:rPr>
                        </m:ctrlPr>
                      </m:sSubPr>
                      <m:e>
                        <m:r>
                          <w:rPr>
                            <w:rFonts w:ascii="Cambria Math" w:hAnsi="Cambria Math"/>
                          </w:rPr>
                          <m:t>y</m:t>
                        </m:r>
                      </m:e>
                      <m:sub>
                        <m:r>
                          <w:rPr>
                            <w:rFonts w:ascii="Cambria Math" w:hAnsi="Cambria Math"/>
                          </w:rPr>
                          <m:t>H2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H2,L</m:t>
                        </m:r>
                      </m:sub>
                    </m:sSub>
                  </m:den>
                </m:f>
              </m:oMath>
            </m:oMathPara>
          </w:p>
        </w:tc>
        <w:tc>
          <w:tcPr>
            <w:tcW w:w="801" w:type="dxa"/>
            <w:shd w:val="clear" w:color="auto" w:fill="auto"/>
            <w:vAlign w:val="center"/>
          </w:tcPr>
          <w:p w14:paraId="535E2175" w14:textId="72560D62" w:rsidR="00791233" w:rsidRPr="00B57B36" w:rsidRDefault="005178F8" w:rsidP="00A050BB">
            <w:pPr>
              <w:pStyle w:val="CETEquation"/>
              <w:jc w:val="right"/>
            </w:pPr>
            <w:r w:rsidRPr="00B57B36">
              <w:t>(</w:t>
            </w:r>
            <w:r>
              <w:t>12</w:t>
            </w:r>
            <w:r w:rsidRPr="00B57B36">
              <w:t>)</w:t>
            </w:r>
          </w:p>
        </w:tc>
      </w:tr>
    </w:tbl>
    <w:p w14:paraId="2750B96C" w14:textId="77777777" w:rsidR="00DA7187" w:rsidRDefault="00DA7187" w:rsidP="00453E24">
      <w:pPr>
        <w:pStyle w:val="CETBodytext"/>
        <w:rPr>
          <w:lang w:val="en-GB"/>
        </w:rPr>
      </w:pPr>
    </w:p>
    <w:p w14:paraId="4DC4265A" w14:textId="6F1034C7" w:rsidR="00F92A63" w:rsidRDefault="005178F8" w:rsidP="00453E24">
      <w:pPr>
        <w:pStyle w:val="CETBodytext"/>
        <w:rPr>
          <w:lang w:val="en-GB"/>
        </w:rPr>
      </w:pPr>
      <w:r>
        <w:rPr>
          <w:lang w:val="en-GB"/>
        </w:rPr>
        <w:t>Finally, having a sensitivity analysis on microorganism (initial), CO and H</w:t>
      </w:r>
      <w:r w:rsidRPr="00F32EA6">
        <w:rPr>
          <w:vertAlign w:val="subscript"/>
          <w:lang w:val="en-GB"/>
        </w:rPr>
        <w:t>2</w:t>
      </w:r>
      <w:r>
        <w:rPr>
          <w:lang w:val="en-GB"/>
        </w:rPr>
        <w:t xml:space="preserve"> concentrations the optimal values can be individuated maximizing the acetic acid yield and maximum concentration, with sustainable </w:t>
      </w:r>
      <w:r w:rsidRPr="002C3A22">
        <w:rPr>
          <w:i/>
          <w:iCs/>
          <w:lang w:val="en-GB"/>
        </w:rPr>
        <w:t>k</w:t>
      </w:r>
      <w:r w:rsidRPr="002C3A22">
        <w:rPr>
          <w:i/>
          <w:iCs/>
          <w:vertAlign w:val="subscript"/>
          <w:lang w:val="en-GB"/>
        </w:rPr>
        <w:t>L</w:t>
      </w:r>
      <w:r w:rsidRPr="002C3A22">
        <w:rPr>
          <w:i/>
          <w:iCs/>
          <w:lang w:val="en-GB"/>
        </w:rPr>
        <w:t>*a</w:t>
      </w:r>
      <w:r>
        <w:rPr>
          <w:lang w:val="en-GB"/>
        </w:rPr>
        <w:t xml:space="preserve"> values, having a microorganism growing rate higher than the dea</w:t>
      </w:r>
      <w:r w:rsidR="006B7FCF">
        <w:rPr>
          <w:lang w:val="en-GB"/>
        </w:rPr>
        <w:t>th</w:t>
      </w:r>
      <w:r>
        <w:rPr>
          <w:lang w:val="en-GB"/>
        </w:rPr>
        <w:t xml:space="preserve"> rate.</w:t>
      </w:r>
    </w:p>
    <w:p w14:paraId="677EBFF0" w14:textId="70977EE8" w:rsidR="00600535" w:rsidRPr="00B57B36" w:rsidRDefault="005178F8" w:rsidP="00600535">
      <w:pPr>
        <w:pStyle w:val="CETHeading1"/>
        <w:tabs>
          <w:tab w:val="clear" w:pos="360"/>
          <w:tab w:val="right" w:pos="7100"/>
        </w:tabs>
        <w:jc w:val="both"/>
        <w:rPr>
          <w:lang w:val="en-GB"/>
        </w:rPr>
      </w:pPr>
      <w:r>
        <w:rPr>
          <w:lang w:val="en-GB"/>
        </w:rPr>
        <w:lastRenderedPageBreak/>
        <w:t>Results</w:t>
      </w:r>
    </w:p>
    <w:p w14:paraId="04963A06" w14:textId="1058A44D" w:rsidR="00600535" w:rsidRPr="00B57B36" w:rsidRDefault="005178F8" w:rsidP="00FA5F5F">
      <w:pPr>
        <w:pStyle w:val="CETheadingx"/>
      </w:pPr>
      <w:r>
        <w:t>Fermentation model parameter optimization</w:t>
      </w:r>
    </w:p>
    <w:p w14:paraId="123CB7DF" w14:textId="4833395E" w:rsidR="00600535" w:rsidRDefault="005178F8" w:rsidP="00600535">
      <w:pPr>
        <w:pStyle w:val="CETBodytext"/>
        <w:rPr>
          <w:lang w:val="en-GB"/>
        </w:rPr>
      </w:pPr>
      <w:r>
        <w:rPr>
          <w:lang w:val="en-GB"/>
        </w:rPr>
        <w:t>Figure 1 shows the main results of the kinetics analysis in terms of carbon yield (CO to acetic acid cont</w:t>
      </w:r>
      <w:r w:rsidR="007602AE">
        <w:rPr>
          <w:lang w:val="en-GB"/>
        </w:rPr>
        <w:t>ai</w:t>
      </w:r>
      <w:r>
        <w:rPr>
          <w:lang w:val="en-GB"/>
        </w:rPr>
        <w:t xml:space="preserve">ning </w:t>
      </w:r>
      <w:r w:rsidR="007602AE">
        <w:rPr>
          <w:lang w:val="en-GB"/>
        </w:rPr>
        <w:t xml:space="preserve">two carbon atoms) to acetic acid, maximum acetic acid concentrations and the fermentation time corresponding to the maximum acetic acid concentration, varying the substrate (CO and </w:t>
      </w:r>
      <w:r w:rsidR="00F32EA6">
        <w:rPr>
          <w:lang w:val="en-GB"/>
        </w:rPr>
        <w:t>H</w:t>
      </w:r>
      <w:r w:rsidR="00F32EA6" w:rsidRPr="00F32EA6">
        <w:rPr>
          <w:vertAlign w:val="subscript"/>
          <w:lang w:val="en-GB"/>
        </w:rPr>
        <w:t>2</w:t>
      </w:r>
      <w:r w:rsidR="007602AE">
        <w:rPr>
          <w:lang w:val="en-GB"/>
        </w:rPr>
        <w:t>) and the initial microorganism concentrations.</w:t>
      </w:r>
    </w:p>
    <w:p w14:paraId="24232FFE" w14:textId="74F4F937" w:rsidR="0060539D" w:rsidRDefault="0060539D" w:rsidP="00600535">
      <w:pPr>
        <w:pStyle w:val="CETBodytext"/>
        <w:rPr>
          <w:lang w:val="en-GB"/>
        </w:rPr>
      </w:pPr>
    </w:p>
    <w:p w14:paraId="750999EE" w14:textId="0172E573" w:rsidR="0060539D" w:rsidRDefault="001576A3" w:rsidP="00600535">
      <w:pPr>
        <w:pStyle w:val="CETBodytext"/>
        <w:rPr>
          <w:lang w:val="en-GB"/>
        </w:rPr>
      </w:pPr>
      <w:r>
        <w:rPr>
          <w:noProof/>
          <w:lang w:val="en-GB"/>
        </w:rPr>
        <w:drawing>
          <wp:inline distT="0" distB="0" distL="0" distR="0" wp14:anchorId="4D5D4104" wp14:editId="1F420C2D">
            <wp:extent cx="2012997" cy="918927"/>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977" t="3937" r="12664" b="18494"/>
                    <a:stretch/>
                  </pic:blipFill>
                  <pic:spPr bwMode="auto">
                    <a:xfrm>
                      <a:off x="0" y="0"/>
                      <a:ext cx="2090551" cy="954330"/>
                    </a:xfrm>
                    <a:prstGeom prst="rect">
                      <a:avLst/>
                    </a:prstGeom>
                    <a:noFill/>
                    <a:ln>
                      <a:noFill/>
                    </a:ln>
                    <a:extLst>
                      <a:ext uri="{53640926-AAD7-44D8-BBD7-CCE9431645EC}">
                        <a14:shadowObscured xmlns:a14="http://schemas.microsoft.com/office/drawing/2010/main"/>
                      </a:ext>
                    </a:extLst>
                  </pic:spPr>
                </pic:pic>
              </a:graphicData>
            </a:graphic>
          </wp:inline>
        </w:drawing>
      </w:r>
      <w:r w:rsidR="00E42F82">
        <w:rPr>
          <w:noProof/>
          <w:lang w:val="en-GB"/>
        </w:rPr>
        <w:drawing>
          <wp:inline distT="0" distB="0" distL="0" distR="0" wp14:anchorId="593BB1DF" wp14:editId="55B791CA">
            <wp:extent cx="1559555" cy="914400"/>
            <wp:effectExtent l="0" t="0" r="317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8499" t="2997" r="11493" b="15293"/>
                    <a:stretch/>
                  </pic:blipFill>
                  <pic:spPr bwMode="auto">
                    <a:xfrm>
                      <a:off x="0" y="0"/>
                      <a:ext cx="1596733" cy="93619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4D80F08D" wp14:editId="5F6ACDF4">
            <wp:extent cx="1573303" cy="927541"/>
            <wp:effectExtent l="0" t="0" r="8255"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9490" t="1861" r="12597" b="18437"/>
                    <a:stretch/>
                  </pic:blipFill>
                  <pic:spPr bwMode="auto">
                    <a:xfrm>
                      <a:off x="0" y="0"/>
                      <a:ext cx="1631819" cy="962039"/>
                    </a:xfrm>
                    <a:prstGeom prst="rect">
                      <a:avLst/>
                    </a:prstGeom>
                    <a:noFill/>
                    <a:ln>
                      <a:noFill/>
                    </a:ln>
                    <a:extLst>
                      <a:ext uri="{53640926-AAD7-44D8-BBD7-CCE9431645EC}">
                        <a14:shadowObscured xmlns:a14="http://schemas.microsoft.com/office/drawing/2010/main"/>
                      </a:ext>
                    </a:extLst>
                  </pic:spPr>
                </pic:pic>
              </a:graphicData>
            </a:graphic>
          </wp:inline>
        </w:drawing>
      </w:r>
    </w:p>
    <w:p w14:paraId="4C4552C2" w14:textId="1E0D7AB0" w:rsidR="0060539D" w:rsidRDefault="000D401B" w:rsidP="00600535">
      <w:pPr>
        <w:pStyle w:val="CETBodytext"/>
        <w:rPr>
          <w:lang w:val="en-GB"/>
        </w:rPr>
      </w:pPr>
      <w:r>
        <w:rPr>
          <w:noProof/>
          <w:lang w:val="en-GB"/>
        </w:rPr>
        <w:drawing>
          <wp:inline distT="0" distB="0" distL="0" distR="0" wp14:anchorId="6B6DF7A6" wp14:editId="7DA4F3BB">
            <wp:extent cx="2005343" cy="839956"/>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2001" t="10460" r="12595" b="18330"/>
                    <a:stretch/>
                  </pic:blipFill>
                  <pic:spPr bwMode="auto">
                    <a:xfrm>
                      <a:off x="0" y="0"/>
                      <a:ext cx="2088689" cy="87486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51202C5B" wp14:editId="14DBFC14">
            <wp:extent cx="1614921" cy="840105"/>
            <wp:effectExtent l="0" t="0" r="444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15600" t="9668" r="11631" b="14975"/>
                    <a:stretch/>
                  </pic:blipFill>
                  <pic:spPr bwMode="auto">
                    <a:xfrm>
                      <a:off x="0" y="0"/>
                      <a:ext cx="1662724" cy="86497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51E539AB" wp14:editId="1957D7A1">
            <wp:extent cx="1603500" cy="839411"/>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18108" t="9976" r="12685" b="17905"/>
                    <a:stretch/>
                  </pic:blipFill>
                  <pic:spPr bwMode="auto">
                    <a:xfrm>
                      <a:off x="0" y="0"/>
                      <a:ext cx="1670238" cy="874348"/>
                    </a:xfrm>
                    <a:prstGeom prst="rect">
                      <a:avLst/>
                    </a:prstGeom>
                    <a:noFill/>
                    <a:ln>
                      <a:noFill/>
                    </a:ln>
                    <a:extLst>
                      <a:ext uri="{53640926-AAD7-44D8-BBD7-CCE9431645EC}">
                        <a14:shadowObscured xmlns:a14="http://schemas.microsoft.com/office/drawing/2010/main"/>
                      </a:ext>
                    </a:extLst>
                  </pic:spPr>
                </pic:pic>
              </a:graphicData>
            </a:graphic>
          </wp:inline>
        </w:drawing>
      </w:r>
    </w:p>
    <w:p w14:paraId="5D75E765" w14:textId="6E749B83" w:rsidR="00A54DA3" w:rsidRDefault="00E025A4" w:rsidP="00600535">
      <w:pPr>
        <w:pStyle w:val="CETBodytext"/>
        <w:rPr>
          <w:lang w:val="en-GB"/>
        </w:rPr>
      </w:pPr>
      <w:r>
        <w:rPr>
          <w:noProof/>
          <w:lang w:val="en-GB"/>
        </w:rPr>
        <w:drawing>
          <wp:inline distT="0" distB="0" distL="0" distR="0" wp14:anchorId="640490B3" wp14:editId="3D0229A7">
            <wp:extent cx="1981149" cy="835356"/>
            <wp:effectExtent l="0" t="0" r="635" b="317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l="2766" t="11006" r="12066" b="17508"/>
                    <a:stretch/>
                  </pic:blipFill>
                  <pic:spPr bwMode="auto">
                    <a:xfrm>
                      <a:off x="0" y="0"/>
                      <a:ext cx="2049085" cy="86400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14D174AA" wp14:editId="1DA8A215">
            <wp:extent cx="1590261" cy="856390"/>
            <wp:effectExtent l="0" t="0" r="0" b="127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l="15835" t="8911" r="12580" b="14350"/>
                    <a:stretch/>
                  </pic:blipFill>
                  <pic:spPr bwMode="auto">
                    <a:xfrm>
                      <a:off x="0" y="0"/>
                      <a:ext cx="1614023" cy="869186"/>
                    </a:xfrm>
                    <a:prstGeom prst="rect">
                      <a:avLst/>
                    </a:prstGeom>
                    <a:noFill/>
                    <a:ln>
                      <a:noFill/>
                    </a:ln>
                    <a:extLst>
                      <a:ext uri="{53640926-AAD7-44D8-BBD7-CCE9431645EC}">
                        <a14:shadowObscured xmlns:a14="http://schemas.microsoft.com/office/drawing/2010/main"/>
                      </a:ext>
                    </a:extLst>
                  </pic:spPr>
                </pic:pic>
              </a:graphicData>
            </a:graphic>
          </wp:inline>
        </w:drawing>
      </w:r>
      <w:r w:rsidR="002D04A5">
        <w:rPr>
          <w:noProof/>
          <w:lang w:val="en-GB"/>
        </w:rPr>
        <w:drawing>
          <wp:inline distT="0" distB="0" distL="0" distR="0" wp14:anchorId="6CE8514E" wp14:editId="50A7628E">
            <wp:extent cx="1650229" cy="839943"/>
            <wp:effectExtent l="0" t="0" r="762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69" t="10104" r="14187" b="17609"/>
                    <a:stretch/>
                  </pic:blipFill>
                  <pic:spPr bwMode="auto">
                    <a:xfrm>
                      <a:off x="0" y="0"/>
                      <a:ext cx="1685529" cy="85791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5E732FC2" wp14:editId="3B71B58A">
            <wp:extent cx="1923861" cy="226060"/>
            <wp:effectExtent l="0" t="0" r="635" b="254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767" t="75759" r="10883" b="3823"/>
                    <a:stretch/>
                  </pic:blipFill>
                  <pic:spPr bwMode="auto">
                    <a:xfrm>
                      <a:off x="0" y="0"/>
                      <a:ext cx="1954601" cy="22967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25BD3E8A" wp14:editId="297496E6">
            <wp:extent cx="1675412" cy="210103"/>
            <wp:effectExtent l="0" t="0" r="127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4636" t="77918" r="12174" b="3823"/>
                    <a:stretch/>
                  </pic:blipFill>
                  <pic:spPr bwMode="auto">
                    <a:xfrm>
                      <a:off x="0" y="0"/>
                      <a:ext cx="1978121" cy="24806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717F4577" wp14:editId="39E7C1A7">
            <wp:extent cx="1669389" cy="207563"/>
            <wp:effectExtent l="0" t="0" r="0" b="254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20" t="78120" r="12174" b="3823"/>
                    <a:stretch/>
                  </pic:blipFill>
                  <pic:spPr bwMode="auto">
                    <a:xfrm>
                      <a:off x="0" y="0"/>
                      <a:ext cx="1756971" cy="218452"/>
                    </a:xfrm>
                    <a:prstGeom prst="rect">
                      <a:avLst/>
                    </a:prstGeom>
                    <a:noFill/>
                    <a:ln>
                      <a:noFill/>
                    </a:ln>
                    <a:extLst>
                      <a:ext uri="{53640926-AAD7-44D8-BBD7-CCE9431645EC}">
                        <a14:shadowObscured xmlns:a14="http://schemas.microsoft.com/office/drawing/2010/main"/>
                      </a:ext>
                    </a:extLst>
                  </pic:spPr>
                </pic:pic>
              </a:graphicData>
            </a:graphic>
          </wp:inline>
        </w:drawing>
      </w:r>
    </w:p>
    <w:p w14:paraId="2E5BB07E" w14:textId="02A3C5AA" w:rsidR="006136EC" w:rsidRDefault="006136EC" w:rsidP="006136EC">
      <w:pPr>
        <w:pStyle w:val="CETCaption"/>
        <w:spacing w:before="0" w:after="0"/>
        <w:rPr>
          <w:rStyle w:val="CETCaptionCarattere"/>
          <w:i/>
        </w:rPr>
      </w:pPr>
      <w:r>
        <w:rPr>
          <w:rStyle w:val="CETCaptionCarattere"/>
          <w:i/>
          <w:noProof/>
        </w:rPr>
        <w:drawing>
          <wp:inline distT="0" distB="0" distL="0" distR="0" wp14:anchorId="0ED3E052" wp14:editId="26BEE3F0">
            <wp:extent cx="1641945" cy="142875"/>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8">
                      <a:extLst>
                        <a:ext uri="{28A0092B-C50C-407E-A947-70E740481C1C}">
                          <a14:useLocalDpi xmlns:a14="http://schemas.microsoft.com/office/drawing/2010/main" val="0"/>
                        </a:ext>
                      </a:extLst>
                    </a:blip>
                    <a:srcRect l="20310" t="87938" r="19734" b="1677"/>
                    <a:stretch/>
                  </pic:blipFill>
                  <pic:spPr bwMode="auto">
                    <a:xfrm>
                      <a:off x="0" y="0"/>
                      <a:ext cx="2041905" cy="177678"/>
                    </a:xfrm>
                    <a:prstGeom prst="rect">
                      <a:avLst/>
                    </a:prstGeom>
                    <a:noFill/>
                    <a:ln>
                      <a:noFill/>
                    </a:ln>
                    <a:extLst>
                      <a:ext uri="{53640926-AAD7-44D8-BBD7-CCE9431645EC}">
                        <a14:shadowObscured xmlns:a14="http://schemas.microsoft.com/office/drawing/2010/main"/>
                      </a:ext>
                    </a:extLst>
                  </pic:spPr>
                </pic:pic>
              </a:graphicData>
            </a:graphic>
          </wp:inline>
        </w:drawing>
      </w:r>
    </w:p>
    <w:p w14:paraId="70A32967" w14:textId="2EF2A975" w:rsidR="003D1DF2" w:rsidRPr="00BD077D" w:rsidRDefault="005178F8" w:rsidP="003D1DF2">
      <w:pPr>
        <w:pStyle w:val="CETCaption"/>
      </w:pPr>
      <w:r w:rsidRPr="00BD077D">
        <w:rPr>
          <w:rStyle w:val="CETCaptionCarattere"/>
          <w:i/>
        </w:rPr>
        <w:t xml:space="preserve">Figure 1: </w:t>
      </w:r>
      <w:r>
        <w:rPr>
          <w:rStyle w:val="CETCaptionCarattere"/>
          <w:i/>
        </w:rPr>
        <w:t>Fermentation model results maximizing the Acetic Acid concentrations varying the liquid CO concentration</w:t>
      </w:r>
      <w:r w:rsidR="007602AE">
        <w:rPr>
          <w:rStyle w:val="CETCaptionCarattere"/>
          <w:i/>
        </w:rPr>
        <w:t xml:space="preserve"> (x-axes)</w:t>
      </w:r>
      <w:r>
        <w:rPr>
          <w:rStyle w:val="CETCaptionCarattere"/>
          <w:i/>
        </w:rPr>
        <w:t>, the liquid H</w:t>
      </w:r>
      <w:r w:rsidRPr="00000D54">
        <w:rPr>
          <w:rStyle w:val="CETCaptionCarattere"/>
          <w:i/>
          <w:vertAlign w:val="subscript"/>
        </w:rPr>
        <w:t>2</w:t>
      </w:r>
      <w:r>
        <w:rPr>
          <w:rStyle w:val="CETCaptionCarattere"/>
          <w:i/>
        </w:rPr>
        <w:t xml:space="preserve"> concentration</w:t>
      </w:r>
      <w:r w:rsidR="007602AE">
        <w:rPr>
          <w:rStyle w:val="CETCaptionCarattere"/>
          <w:i/>
        </w:rPr>
        <w:t xml:space="preserve"> (different colored lines)</w:t>
      </w:r>
      <w:r>
        <w:rPr>
          <w:rStyle w:val="CETCaptionCarattere"/>
          <w:i/>
        </w:rPr>
        <w:t xml:space="preserve"> and the initial microorganism concentration.</w:t>
      </w:r>
    </w:p>
    <w:p w14:paraId="738F8E88" w14:textId="5248B6D8" w:rsidR="00000D54" w:rsidRPr="006B7FCF" w:rsidRDefault="005178F8" w:rsidP="00600535">
      <w:pPr>
        <w:pStyle w:val="CETBodytext"/>
        <w:rPr>
          <w:lang w:val="en-GB"/>
        </w:rPr>
      </w:pPr>
      <w:r w:rsidRPr="006B7FCF">
        <w:rPr>
          <w:lang w:val="en-GB"/>
        </w:rPr>
        <w:t xml:space="preserve">The main parameter changing the acetic acid yield consists in the </w:t>
      </w:r>
      <w:r w:rsidR="00F32EA6" w:rsidRPr="006B7FCF">
        <w:rPr>
          <w:lang w:val="en-GB"/>
        </w:rPr>
        <w:t>H</w:t>
      </w:r>
      <w:r w:rsidR="00F32EA6" w:rsidRPr="006B7FCF">
        <w:rPr>
          <w:vertAlign w:val="subscript"/>
          <w:lang w:val="en-GB"/>
        </w:rPr>
        <w:t>2</w:t>
      </w:r>
      <w:r w:rsidRPr="006B7FCF">
        <w:rPr>
          <w:lang w:val="en-GB"/>
        </w:rPr>
        <w:t xml:space="preserve"> concentration, this is because of the reaction network. For low </w:t>
      </w:r>
      <w:r w:rsidR="00F32EA6" w:rsidRPr="006B7FCF">
        <w:rPr>
          <w:lang w:val="en-GB"/>
        </w:rPr>
        <w:t>H</w:t>
      </w:r>
      <w:r w:rsidR="00F32EA6" w:rsidRPr="006B7FCF">
        <w:rPr>
          <w:vertAlign w:val="subscript"/>
          <w:lang w:val="en-GB"/>
        </w:rPr>
        <w:t>2</w:t>
      </w:r>
      <w:r w:rsidRPr="006B7FCF">
        <w:rPr>
          <w:lang w:val="en-GB"/>
        </w:rPr>
        <w:t xml:space="preserve"> concentrations, the reaction rates of reactions </w:t>
      </w:r>
      <w:r w:rsidR="00826857" w:rsidRPr="006B7FCF">
        <w:rPr>
          <w:lang w:val="en-GB"/>
        </w:rPr>
        <w:t>(</w:t>
      </w:r>
      <w:r w:rsidRPr="006B7FCF">
        <w:rPr>
          <w:lang w:val="en-GB"/>
        </w:rPr>
        <w:t>2</w:t>
      </w:r>
      <w:r w:rsidR="00826857" w:rsidRPr="006B7FCF">
        <w:rPr>
          <w:lang w:val="en-GB"/>
        </w:rPr>
        <w:t>)</w:t>
      </w:r>
      <w:r w:rsidRPr="006B7FCF">
        <w:rPr>
          <w:lang w:val="en-GB"/>
        </w:rPr>
        <w:t xml:space="preserve"> and </w:t>
      </w:r>
      <w:r w:rsidR="00826857" w:rsidRPr="006B7FCF">
        <w:rPr>
          <w:lang w:val="en-GB"/>
        </w:rPr>
        <w:t>(</w:t>
      </w:r>
      <w:r w:rsidRPr="006B7FCF">
        <w:rPr>
          <w:lang w:val="en-GB"/>
        </w:rPr>
        <w:t>4</w:t>
      </w:r>
      <w:r w:rsidR="00826857" w:rsidRPr="006B7FCF">
        <w:rPr>
          <w:lang w:val="en-GB"/>
        </w:rPr>
        <w:t>)</w:t>
      </w:r>
      <w:r w:rsidRPr="006B7FCF">
        <w:rPr>
          <w:lang w:val="en-GB"/>
        </w:rPr>
        <w:t xml:space="preserve"> are lower, in particular, reaction </w:t>
      </w:r>
      <w:r w:rsidR="00826857" w:rsidRPr="006B7FCF">
        <w:rPr>
          <w:lang w:val="en-GB"/>
        </w:rPr>
        <w:t>(</w:t>
      </w:r>
      <w:r w:rsidRPr="006B7FCF">
        <w:rPr>
          <w:lang w:val="en-GB"/>
        </w:rPr>
        <w:t>2</w:t>
      </w:r>
      <w:r w:rsidR="00826857" w:rsidRPr="006B7FCF">
        <w:rPr>
          <w:lang w:val="en-GB"/>
        </w:rPr>
        <w:t>)</w:t>
      </w:r>
      <w:r w:rsidRPr="006B7FCF">
        <w:rPr>
          <w:lang w:val="en-GB"/>
        </w:rPr>
        <w:t xml:space="preserve"> is the only one </w:t>
      </w:r>
      <w:r w:rsidR="00DB55CA" w:rsidRPr="006B7FCF">
        <w:rPr>
          <w:lang w:val="en-GB"/>
        </w:rPr>
        <w:t>able to convert CO</w:t>
      </w:r>
      <w:r w:rsidR="00DB55CA" w:rsidRPr="00470082">
        <w:rPr>
          <w:vertAlign w:val="subscript"/>
          <w:lang w:val="en-GB"/>
        </w:rPr>
        <w:t>2</w:t>
      </w:r>
      <w:r w:rsidR="00DB55CA" w:rsidRPr="006B7FCF">
        <w:rPr>
          <w:lang w:val="en-GB"/>
        </w:rPr>
        <w:t>. So, for low H</w:t>
      </w:r>
      <w:r w:rsidR="00DB55CA" w:rsidRPr="0079083E">
        <w:rPr>
          <w:vertAlign w:val="subscript"/>
          <w:lang w:val="en-GB"/>
        </w:rPr>
        <w:t>2</w:t>
      </w:r>
      <w:r w:rsidR="00DB55CA" w:rsidRPr="006B7FCF">
        <w:rPr>
          <w:lang w:val="en-GB"/>
        </w:rPr>
        <w:t xml:space="preserve"> concentration values, the conversion of CO is to CO</w:t>
      </w:r>
      <w:r w:rsidR="00DB55CA" w:rsidRPr="0079083E">
        <w:rPr>
          <w:vertAlign w:val="subscript"/>
          <w:lang w:val="en-GB"/>
        </w:rPr>
        <w:t>2</w:t>
      </w:r>
      <w:r w:rsidR="00DB55CA" w:rsidRPr="006B7FCF">
        <w:rPr>
          <w:lang w:val="en-GB"/>
        </w:rPr>
        <w:t xml:space="preserve"> (until to 66 %). Increasing the H</w:t>
      </w:r>
      <w:r w:rsidR="00DB55CA" w:rsidRPr="0079083E">
        <w:rPr>
          <w:vertAlign w:val="subscript"/>
          <w:lang w:val="en-GB"/>
        </w:rPr>
        <w:t>2</w:t>
      </w:r>
      <w:r w:rsidR="00DB55CA" w:rsidRPr="006B7FCF">
        <w:rPr>
          <w:lang w:val="en-GB"/>
        </w:rPr>
        <w:t xml:space="preserve"> concentration the yield to acetic acid can reach 35 % on a carbon basis.</w:t>
      </w:r>
    </w:p>
    <w:p w14:paraId="5640A06A" w14:textId="5E9A900F" w:rsidR="00000D54" w:rsidRPr="006B7FCF" w:rsidRDefault="005178F8" w:rsidP="00600535">
      <w:pPr>
        <w:pStyle w:val="CETBodytext"/>
        <w:rPr>
          <w:lang w:val="en-GB"/>
        </w:rPr>
      </w:pPr>
      <w:r w:rsidRPr="006B7FCF">
        <w:rPr>
          <w:lang w:val="en-GB"/>
        </w:rPr>
        <w:t>The impact of the initial microorganism concentration has an impact only on the fermentation time to reach the maximum value of acetic acid concentration.</w:t>
      </w:r>
      <w:r w:rsidR="00AD0D2E" w:rsidRPr="006B7FCF">
        <w:rPr>
          <w:lang w:val="en-GB"/>
        </w:rPr>
        <w:t xml:space="preserve"> </w:t>
      </w:r>
    </w:p>
    <w:p w14:paraId="6A9573C7" w14:textId="4205DDBE" w:rsidR="00AD0D2E" w:rsidRPr="006B7FCF" w:rsidRDefault="005178F8" w:rsidP="00600535">
      <w:pPr>
        <w:pStyle w:val="CETBodytext"/>
        <w:rPr>
          <w:lang w:val="en-GB"/>
        </w:rPr>
      </w:pPr>
      <w:r w:rsidRPr="006B7FCF">
        <w:rPr>
          <w:lang w:val="en-GB"/>
        </w:rPr>
        <w:t xml:space="preserve">The CO concentration has a big impact on the maximum acetic acid concentration, </w:t>
      </w:r>
      <w:r w:rsidR="00826857" w:rsidRPr="006B7FCF">
        <w:rPr>
          <w:lang w:val="en-GB"/>
        </w:rPr>
        <w:t xml:space="preserve">it doubles by varying the </w:t>
      </w:r>
      <w:r w:rsidRPr="006B7FCF">
        <w:rPr>
          <w:lang w:val="en-GB"/>
        </w:rPr>
        <w:t xml:space="preserve">CO concentration from 0.005 mmol/L to 0.025 mmol/L for 0.01 mmol/L of </w:t>
      </w:r>
      <w:r w:rsidR="00F32EA6" w:rsidRPr="006B7FCF">
        <w:rPr>
          <w:lang w:val="en-GB"/>
        </w:rPr>
        <w:t>H</w:t>
      </w:r>
      <w:r w:rsidR="00F32EA6" w:rsidRPr="006B7FCF">
        <w:rPr>
          <w:vertAlign w:val="subscript"/>
          <w:lang w:val="en-GB"/>
        </w:rPr>
        <w:t>2</w:t>
      </w:r>
      <w:r w:rsidRPr="006B7FCF">
        <w:rPr>
          <w:lang w:val="en-GB"/>
        </w:rPr>
        <w:t xml:space="preserve"> concentration. Maximum acetic acid concentration increases from 4.8 g/L to 6.6 g/L for an H</w:t>
      </w:r>
      <w:r w:rsidRPr="00470082">
        <w:rPr>
          <w:vertAlign w:val="subscript"/>
          <w:lang w:val="en-GB"/>
        </w:rPr>
        <w:t>2</w:t>
      </w:r>
      <w:r w:rsidRPr="006B7FCF">
        <w:rPr>
          <w:lang w:val="en-GB"/>
        </w:rPr>
        <w:t xml:space="preserve"> concentration of 0.3 mmol/L.</w:t>
      </w:r>
    </w:p>
    <w:p w14:paraId="50F6138B" w14:textId="60636988" w:rsidR="00826857" w:rsidRPr="006B7FCF" w:rsidRDefault="005178F8" w:rsidP="00600535">
      <w:pPr>
        <w:pStyle w:val="CETBodytext"/>
        <w:rPr>
          <w:lang w:val="en-GB"/>
        </w:rPr>
      </w:pPr>
      <w:r w:rsidRPr="006B7FCF">
        <w:rPr>
          <w:lang w:val="en-GB"/>
        </w:rPr>
        <w:t xml:space="preserve">Globally, the effect of the increasing of </w:t>
      </w:r>
      <w:r w:rsidR="00F32EA6" w:rsidRPr="006B7FCF">
        <w:rPr>
          <w:lang w:val="en-GB"/>
        </w:rPr>
        <w:t>H</w:t>
      </w:r>
      <w:r w:rsidR="00F32EA6" w:rsidRPr="006B7FCF">
        <w:rPr>
          <w:vertAlign w:val="subscript"/>
          <w:lang w:val="en-GB"/>
        </w:rPr>
        <w:t>2</w:t>
      </w:r>
      <w:r w:rsidRPr="006B7FCF">
        <w:rPr>
          <w:lang w:val="en-GB"/>
        </w:rPr>
        <w:t xml:space="preserve"> concentration is positive for each one acetic acid yield and maximum concentration, increasing CO concentration the maximum acetic acid concentration increase, but the acetic acid yield decreases because of the ratio between the reaction rate (1) and (2), so if CO concentration increases also the </w:t>
      </w:r>
      <w:r w:rsidR="00F32EA6" w:rsidRPr="006B7FCF">
        <w:rPr>
          <w:lang w:val="en-GB"/>
        </w:rPr>
        <w:t>H</w:t>
      </w:r>
      <w:r w:rsidR="00F32EA6" w:rsidRPr="006B7FCF">
        <w:rPr>
          <w:vertAlign w:val="subscript"/>
          <w:lang w:val="en-GB"/>
        </w:rPr>
        <w:t>2</w:t>
      </w:r>
      <w:r w:rsidRPr="006B7FCF">
        <w:rPr>
          <w:lang w:val="en-GB"/>
        </w:rPr>
        <w:t xml:space="preserve"> concentration has to increase, if not more CO</w:t>
      </w:r>
      <w:r w:rsidRPr="00470082">
        <w:rPr>
          <w:vertAlign w:val="subscript"/>
          <w:lang w:val="en-GB"/>
        </w:rPr>
        <w:t>2</w:t>
      </w:r>
      <w:r w:rsidRPr="006B7FCF">
        <w:rPr>
          <w:lang w:val="en-GB"/>
        </w:rPr>
        <w:t xml:space="preserve"> is produced by reaction (1).</w:t>
      </w:r>
    </w:p>
    <w:p w14:paraId="7FA662FD" w14:textId="7B71C287" w:rsidR="003D1DF2" w:rsidRDefault="005178F8" w:rsidP="00600535">
      <w:pPr>
        <w:pStyle w:val="CETBodytext"/>
        <w:rPr>
          <w:lang w:val="en-GB"/>
        </w:rPr>
      </w:pPr>
      <w:r w:rsidRPr="006B7FCF">
        <w:rPr>
          <w:lang w:val="en-GB"/>
        </w:rPr>
        <w:t>For CO concentrations lower than 0.01 and for initial microorganism concentration (</w:t>
      </w:r>
      <w:r w:rsidRPr="006B7FCF">
        <w:rPr>
          <w:i/>
          <w:iCs/>
          <w:lang w:val="en-GB"/>
        </w:rPr>
        <w:t>x</w:t>
      </w:r>
      <w:r w:rsidRPr="006B7FCF">
        <w:rPr>
          <w:i/>
          <w:iCs/>
          <w:vertAlign w:val="subscript"/>
          <w:lang w:val="en-GB"/>
        </w:rPr>
        <w:t>IN</w:t>
      </w:r>
      <w:r w:rsidRPr="006B7FCF">
        <w:rPr>
          <w:lang w:val="en-GB"/>
        </w:rPr>
        <w:t>) higher than 2 g/L the dead velocity results are faster than growth velocity</w:t>
      </w:r>
      <w:r w:rsidR="007602AE" w:rsidRPr="006B7FCF">
        <w:rPr>
          <w:lang w:val="en-GB"/>
        </w:rPr>
        <w:t>, so these conditions have to be discarded</w:t>
      </w:r>
      <w:r w:rsidRPr="006B7FCF">
        <w:rPr>
          <w:lang w:val="en-GB"/>
        </w:rPr>
        <w:t>.</w:t>
      </w:r>
      <w:r w:rsidR="007602AE">
        <w:rPr>
          <w:lang w:val="en-GB"/>
        </w:rPr>
        <w:t xml:space="preserve"> </w:t>
      </w:r>
    </w:p>
    <w:p w14:paraId="1F96CA21" w14:textId="5F2B4FBF" w:rsidR="00600535" w:rsidRPr="00B57B36" w:rsidRDefault="005178F8" w:rsidP="00FA5F5F">
      <w:pPr>
        <w:pStyle w:val="CETheadingx"/>
      </w:pPr>
      <w:r>
        <w:t>Bioreactor configuration analysis</w:t>
      </w:r>
    </w:p>
    <w:p w14:paraId="0BB558F4" w14:textId="6839924C" w:rsidR="00202255" w:rsidRDefault="005178F8" w:rsidP="00202255">
      <w:pPr>
        <w:pStyle w:val="CETBodytext"/>
        <w:rPr>
          <w:lang w:val="en-GB"/>
        </w:rPr>
      </w:pPr>
      <w:r>
        <w:rPr>
          <w:lang w:val="en-GB"/>
        </w:rPr>
        <w:t xml:space="preserve">Figure 2 shows the </w:t>
      </w:r>
      <w:r w:rsidRPr="00BC1139">
        <w:rPr>
          <w:i/>
          <w:iCs/>
          <w:lang w:val="en-GB"/>
        </w:rPr>
        <w:t>k</w:t>
      </w:r>
      <w:r w:rsidRPr="00BC1139">
        <w:rPr>
          <w:i/>
          <w:iCs/>
          <w:vertAlign w:val="subscript"/>
          <w:lang w:val="en-GB"/>
        </w:rPr>
        <w:t>L</w:t>
      </w:r>
      <w:r w:rsidRPr="00BC1139">
        <w:rPr>
          <w:i/>
          <w:iCs/>
          <w:lang w:val="en-GB"/>
        </w:rPr>
        <w:t>*a</w:t>
      </w:r>
      <w:r>
        <w:rPr>
          <w:lang w:val="en-GB"/>
        </w:rPr>
        <w:t xml:space="preserve"> values for CO and </w:t>
      </w:r>
      <w:r w:rsidR="00F32EA6">
        <w:rPr>
          <w:lang w:val="en-GB"/>
        </w:rPr>
        <w:t>H</w:t>
      </w:r>
      <w:r w:rsidR="00F32EA6" w:rsidRPr="00F32EA6">
        <w:rPr>
          <w:vertAlign w:val="subscript"/>
          <w:lang w:val="en-GB"/>
        </w:rPr>
        <w:t>2</w:t>
      </w:r>
      <w:r>
        <w:rPr>
          <w:lang w:val="en-GB"/>
        </w:rPr>
        <w:t xml:space="preserve"> corresponding to initial CO/</w:t>
      </w:r>
      <w:r w:rsidR="00F32EA6" w:rsidRPr="00F32EA6">
        <w:rPr>
          <w:lang w:val="en-GB"/>
        </w:rPr>
        <w:t xml:space="preserve"> </w:t>
      </w:r>
      <w:r w:rsidR="00F32EA6">
        <w:rPr>
          <w:lang w:val="en-GB"/>
        </w:rPr>
        <w:t>H</w:t>
      </w:r>
      <w:r w:rsidR="00F32EA6" w:rsidRPr="00F32EA6">
        <w:rPr>
          <w:vertAlign w:val="subscript"/>
          <w:lang w:val="en-GB"/>
        </w:rPr>
        <w:t>2</w:t>
      </w:r>
      <w:r>
        <w:rPr>
          <w:lang w:val="en-GB"/>
        </w:rPr>
        <w:t xml:space="preserve"> partial pressures. These values are the minimum ones to </w:t>
      </w:r>
      <w:r w:rsidR="0079083E">
        <w:rPr>
          <w:lang w:val="en-GB"/>
        </w:rPr>
        <w:t>sustain</w:t>
      </w:r>
      <w:r>
        <w:rPr>
          <w:lang w:val="en-GB"/>
        </w:rPr>
        <w:t xml:space="preserve"> the hypothesis of constant values of CO and </w:t>
      </w:r>
      <w:r w:rsidR="00F32EA6">
        <w:rPr>
          <w:lang w:val="en-GB"/>
        </w:rPr>
        <w:t>H</w:t>
      </w:r>
      <w:r w:rsidR="00F32EA6" w:rsidRPr="00F32EA6">
        <w:rPr>
          <w:vertAlign w:val="subscript"/>
          <w:lang w:val="en-GB"/>
        </w:rPr>
        <w:t>2</w:t>
      </w:r>
      <w:r>
        <w:rPr>
          <w:lang w:val="en-GB"/>
        </w:rPr>
        <w:t xml:space="preserve"> concentration, deriving from equations (11) and (12). The minimum mass transfer coefficients of CO have a low variation with </w:t>
      </w:r>
      <w:r w:rsidR="00F32EA6">
        <w:rPr>
          <w:lang w:val="en-GB"/>
        </w:rPr>
        <w:t>H</w:t>
      </w:r>
      <w:r w:rsidR="00F32EA6" w:rsidRPr="00F32EA6">
        <w:rPr>
          <w:vertAlign w:val="subscript"/>
          <w:lang w:val="en-GB"/>
        </w:rPr>
        <w:t>2</w:t>
      </w:r>
      <w:r>
        <w:rPr>
          <w:lang w:val="en-GB"/>
        </w:rPr>
        <w:t xml:space="preserve"> concentration (having an impact only on the reaction rates, not on the driving force), while the </w:t>
      </w:r>
      <w:r w:rsidR="0079083E">
        <w:rPr>
          <w:lang w:val="en-GB"/>
        </w:rPr>
        <w:t>behavior</w:t>
      </w:r>
      <w:r>
        <w:rPr>
          <w:lang w:val="en-GB"/>
        </w:rPr>
        <w:t xml:space="preserve"> is increasing with the CO concentration because of the decreasing of driving force </w:t>
      </w:r>
      <m:oMath>
        <m:r>
          <w:rPr>
            <w:rFonts w:ascii="Cambria Math" w:hAnsi="Cambria Math"/>
          </w:rPr>
          <m:t xml:space="preserve">1.15 </m:t>
        </m:r>
        <m:sSub>
          <m:sSubPr>
            <m:ctrlPr>
              <w:rPr>
                <w:rFonts w:ascii="Cambria Math" w:hAnsi="Cambria Math"/>
                <w:i/>
              </w:rPr>
            </m:ctrlPr>
          </m:sSubPr>
          <m:e>
            <m:r>
              <w:rPr>
                <w:rFonts w:ascii="Cambria Math" w:hAnsi="Cambria Math"/>
              </w:rPr>
              <m:t>y</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CO,L</m:t>
            </m:r>
          </m:sub>
        </m:sSub>
      </m:oMath>
      <w:r>
        <w:rPr>
          <w:lang w:val="en-GB"/>
        </w:rPr>
        <w:t xml:space="preserve">. </w:t>
      </w:r>
    </w:p>
    <w:p w14:paraId="4EEAC938" w14:textId="1F27A818" w:rsidR="00BC1139" w:rsidRDefault="005178F8" w:rsidP="00202255">
      <w:pPr>
        <w:pStyle w:val="CETBodytext"/>
        <w:rPr>
          <w:lang w:val="en-GB"/>
        </w:rPr>
      </w:pPr>
      <w:r>
        <w:rPr>
          <w:lang w:val="en-GB"/>
        </w:rPr>
        <w:lastRenderedPageBreak/>
        <w:t>Lower values are for 1 g/L of initial microorganism concentration between 35 h</w:t>
      </w:r>
      <w:r w:rsidRPr="00202255">
        <w:rPr>
          <w:vertAlign w:val="superscript"/>
          <w:lang w:val="en-GB"/>
        </w:rPr>
        <w:t>-1</w:t>
      </w:r>
      <w:r>
        <w:rPr>
          <w:lang w:val="en-GB"/>
        </w:rPr>
        <w:t xml:space="preserve"> and 115 h</w:t>
      </w:r>
      <w:r w:rsidRPr="00202255">
        <w:rPr>
          <w:vertAlign w:val="superscript"/>
          <w:lang w:val="en-GB"/>
        </w:rPr>
        <w:t>-1</w:t>
      </w:r>
      <w:r>
        <w:rPr>
          <w:lang w:val="en-GB"/>
        </w:rPr>
        <w:t xml:space="preserve">. </w:t>
      </w:r>
      <w:r w:rsidR="0079083E">
        <w:rPr>
          <w:lang w:val="en-GB"/>
        </w:rPr>
        <w:t>Unsustainable</w:t>
      </w:r>
      <w:r>
        <w:rPr>
          <w:lang w:val="en-GB"/>
        </w:rPr>
        <w:t xml:space="preserve"> (higher than 1</w:t>
      </w:r>
      <w:r w:rsidR="00AF460F">
        <w:rPr>
          <w:lang w:val="en-GB"/>
        </w:rPr>
        <w:t>2</w:t>
      </w:r>
      <w:r>
        <w:rPr>
          <w:lang w:val="en-GB"/>
        </w:rPr>
        <w:t xml:space="preserve">0 h-1, </w:t>
      </w:r>
      <w:r>
        <w:rPr>
          <w:lang w:val="en-GB"/>
        </w:rPr>
        <w:fldChar w:fldCharType="begin"/>
      </w:r>
      <w:r>
        <w:rPr>
          <w:lang w:val="en-GB"/>
        </w:rPr>
        <w:instrText xml:space="preserve"> ADDIN ZOTERO_ITEM CSL_CITATION {"citationID":"b5KvU1Zu","properties":{"formattedCitation":"(Asimakopoulos et al., 2018)","plainCitation":"(Asimakopoulos et al., 2018)","noteIndex":0},"citationItems":[{"id":744,"uris":["http://zotero.org/users/local/dUse6BQP/items/WIJ254SR"],"uri":["http://zotero.org/users/local/dUse6BQP/items/WIJ254SR"],"itemData":{"id":744,"type":"article-journal","container-title":"Chemical Engineering Journal","DOI":"10.1016/j.cej.2018.05.003","ISSN":"1385-8947","issue":"March","note":"publisher: Elsevier","page":"732–744","title":"Reactor systems for syngas fermentation processes : A review","volume":"348","author":[{"family":"Asimakopoulos","given":"Konstantinos"},{"family":"Gavala","given":"Hariklia N"},{"family":"Skiadas","given":"Ioannis V"}],"issued":{"date-parts":[["2018"]]}}}],"schema":"https://github.com/citation-style-language/schema/raw/master/csl-citation.json"} </w:instrText>
      </w:r>
      <w:r>
        <w:rPr>
          <w:lang w:val="en-GB"/>
        </w:rPr>
        <w:fldChar w:fldCharType="separate"/>
      </w:r>
      <w:r w:rsidRPr="00BC1139">
        <w:rPr>
          <w:rFonts w:cs="Arial"/>
        </w:rPr>
        <w:t>(Asimakopoulos et al., 2018)</w:t>
      </w:r>
      <w:r>
        <w:rPr>
          <w:lang w:val="en-GB"/>
        </w:rPr>
        <w:fldChar w:fldCharType="end"/>
      </w:r>
      <w:r>
        <w:rPr>
          <w:lang w:val="en-GB"/>
        </w:rPr>
        <w:t xml:space="preserve">) </w:t>
      </w:r>
      <w:r w:rsidRPr="00BC1139">
        <w:rPr>
          <w:i/>
          <w:iCs/>
          <w:lang w:val="en-GB"/>
        </w:rPr>
        <w:t>(k</w:t>
      </w:r>
      <w:r w:rsidRPr="00BC1139">
        <w:rPr>
          <w:i/>
          <w:iCs/>
          <w:vertAlign w:val="subscript"/>
          <w:lang w:val="en-GB"/>
        </w:rPr>
        <w:t>L</w:t>
      </w:r>
      <w:r w:rsidRPr="00BC1139">
        <w:rPr>
          <w:i/>
          <w:iCs/>
          <w:lang w:val="en-GB"/>
        </w:rPr>
        <w:t>*a)</w:t>
      </w:r>
      <w:r w:rsidRPr="00BC1139">
        <w:rPr>
          <w:i/>
          <w:iCs/>
          <w:vertAlign w:val="subscript"/>
          <w:lang w:val="en-GB"/>
        </w:rPr>
        <w:t>CO</w:t>
      </w:r>
      <w:r>
        <w:rPr>
          <w:lang w:val="en-GB"/>
        </w:rPr>
        <w:t xml:space="preserve"> values are for CO concentrations higher than 0.015 mmol/L, so these CO </w:t>
      </w:r>
      <w:r w:rsidR="0079083E">
        <w:rPr>
          <w:lang w:val="en-GB"/>
        </w:rPr>
        <w:t>concentrations</w:t>
      </w:r>
      <w:r>
        <w:rPr>
          <w:lang w:val="en-GB"/>
        </w:rPr>
        <w:t xml:space="preserve"> values have not been utilized in the bioreactor modeling and design. </w:t>
      </w:r>
    </w:p>
    <w:p w14:paraId="6A97D6D7" w14:textId="59E1AAD9" w:rsidR="00DB58AC" w:rsidRDefault="005178F8" w:rsidP="00202255">
      <w:pPr>
        <w:pStyle w:val="CETBodytext"/>
        <w:rPr>
          <w:lang w:val="en-GB"/>
        </w:rPr>
      </w:pPr>
      <w:r>
        <w:rPr>
          <w:lang w:val="en-GB"/>
        </w:rPr>
        <w:t xml:space="preserve">The minimum hydrogen mass transfer coefficients are </w:t>
      </w:r>
      <w:r w:rsidR="0079083E">
        <w:rPr>
          <w:lang w:val="en-GB"/>
        </w:rPr>
        <w:t>constant</w:t>
      </w:r>
      <w:r>
        <w:rPr>
          <w:lang w:val="en-GB"/>
        </w:rPr>
        <w:t xml:space="preserve"> changing the CO concentrations, but have a high variability changing the </w:t>
      </w:r>
      <w:r w:rsidR="00F32EA6">
        <w:rPr>
          <w:lang w:val="en-GB"/>
        </w:rPr>
        <w:t>H</w:t>
      </w:r>
      <w:r w:rsidR="00F32EA6" w:rsidRPr="00F32EA6">
        <w:rPr>
          <w:vertAlign w:val="subscript"/>
          <w:lang w:val="en-GB"/>
        </w:rPr>
        <w:t>2</w:t>
      </w:r>
      <w:r>
        <w:rPr>
          <w:lang w:val="en-GB"/>
        </w:rPr>
        <w:t xml:space="preserve"> concentration (because of the driving force on </w:t>
      </w:r>
      <w:r w:rsidR="00F32EA6">
        <w:rPr>
          <w:lang w:val="en-GB"/>
        </w:rPr>
        <w:t>H</w:t>
      </w:r>
      <w:r w:rsidR="00F32EA6" w:rsidRPr="00F32EA6">
        <w:rPr>
          <w:vertAlign w:val="subscript"/>
          <w:lang w:val="en-GB"/>
        </w:rPr>
        <w:t>2</w:t>
      </w:r>
      <w:r>
        <w:rPr>
          <w:lang w:val="en-GB"/>
        </w:rPr>
        <w:t xml:space="preserve"> mass transfer). In particular, values of H</w:t>
      </w:r>
      <w:r w:rsidRPr="00F32EA6">
        <w:rPr>
          <w:vertAlign w:val="subscript"/>
          <w:lang w:val="en-GB"/>
        </w:rPr>
        <w:t>2</w:t>
      </w:r>
      <w:r>
        <w:rPr>
          <w:lang w:val="en-GB"/>
        </w:rPr>
        <w:t xml:space="preserve"> concentration higher than 0.1 mmol/L carry out negative hydrogen driving force </w:t>
      </w:r>
      <m:oMath>
        <m:r>
          <w:rPr>
            <w:rFonts w:ascii="Cambria Math" w:hAnsi="Cambria Math"/>
          </w:rPr>
          <m:t xml:space="preserve">1.15 </m:t>
        </m:r>
        <m:sSub>
          <m:sSubPr>
            <m:ctrlPr>
              <w:rPr>
                <w:rFonts w:ascii="Cambria Math" w:hAnsi="Cambria Math"/>
                <w:i/>
              </w:rPr>
            </m:ctrlPr>
          </m:sSubPr>
          <m:e>
            <m:r>
              <w:rPr>
                <w:rFonts w:ascii="Cambria Math" w:hAnsi="Cambria Math"/>
              </w:rPr>
              <m:t>y</m:t>
            </m:r>
          </m:e>
          <m:sub>
            <m:r>
              <w:rPr>
                <w:rFonts w:ascii="Cambria Math" w:hAnsi="Cambria Math"/>
              </w:rPr>
              <m:t>H2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H2,L</m:t>
            </m:r>
          </m:sub>
        </m:sSub>
      </m:oMath>
      <w:r w:rsidR="00202255">
        <w:rPr>
          <w:lang w:val="en-GB"/>
        </w:rPr>
        <w:t xml:space="preserve"> </w:t>
      </w:r>
      <w:r>
        <w:rPr>
          <w:lang w:val="en-GB"/>
        </w:rPr>
        <w:t xml:space="preserve">because of low </w:t>
      </w:r>
      <w:r w:rsidR="00F32EA6">
        <w:rPr>
          <w:lang w:val="en-GB"/>
        </w:rPr>
        <w:t>H</w:t>
      </w:r>
      <w:r w:rsidR="00F32EA6" w:rsidRPr="00F32EA6">
        <w:rPr>
          <w:vertAlign w:val="subscript"/>
          <w:lang w:val="en-GB"/>
        </w:rPr>
        <w:t>2</w:t>
      </w:r>
      <w:r>
        <w:rPr>
          <w:lang w:val="en-GB"/>
        </w:rPr>
        <w:t xml:space="preserve"> partial pressure. Considering </w:t>
      </w:r>
      <w:r w:rsidR="00F32EA6">
        <w:rPr>
          <w:lang w:val="en-GB"/>
        </w:rPr>
        <w:t>H</w:t>
      </w:r>
      <w:r w:rsidR="00F32EA6" w:rsidRPr="00F32EA6">
        <w:rPr>
          <w:vertAlign w:val="subscript"/>
          <w:lang w:val="en-GB"/>
        </w:rPr>
        <w:t>2</w:t>
      </w:r>
      <w:r>
        <w:rPr>
          <w:lang w:val="en-GB"/>
        </w:rPr>
        <w:t xml:space="preserve"> concentration values higher than 0.1 mmol/L the hydrogen can move from liquid phase to gas phase and not the other way around. Considered values 0.01 and 0.05 can involve very low minimum </w:t>
      </w:r>
      <w:r w:rsidRPr="00F32EA6">
        <w:rPr>
          <w:i/>
          <w:iCs/>
          <w:lang w:val="en-GB"/>
        </w:rPr>
        <w:t>(k</w:t>
      </w:r>
      <w:r w:rsidRPr="00F32EA6">
        <w:rPr>
          <w:i/>
          <w:iCs/>
          <w:vertAlign w:val="subscript"/>
          <w:lang w:val="en-GB"/>
        </w:rPr>
        <w:t>L</w:t>
      </w:r>
      <w:r w:rsidRPr="00F32EA6">
        <w:rPr>
          <w:i/>
          <w:iCs/>
          <w:lang w:val="en-GB"/>
        </w:rPr>
        <w:t>*a)</w:t>
      </w:r>
      <w:r w:rsidRPr="00F32EA6">
        <w:rPr>
          <w:i/>
          <w:iCs/>
          <w:vertAlign w:val="subscript"/>
          <w:lang w:val="en-GB"/>
        </w:rPr>
        <w:t>H2</w:t>
      </w:r>
      <w:r>
        <w:rPr>
          <w:lang w:val="en-GB"/>
        </w:rPr>
        <w:t xml:space="preserve"> values, lowe</w:t>
      </w:r>
      <w:r w:rsidR="0079083E">
        <w:rPr>
          <w:lang w:val="en-GB"/>
        </w:rPr>
        <w:t>r</w:t>
      </w:r>
      <w:r>
        <w:rPr>
          <w:lang w:val="en-GB"/>
        </w:rPr>
        <w:t xml:space="preserve"> than 30 h</w:t>
      </w:r>
      <w:r w:rsidRPr="00DB58AC">
        <w:rPr>
          <w:vertAlign w:val="superscript"/>
          <w:lang w:val="en-GB"/>
        </w:rPr>
        <w:t>-1</w:t>
      </w:r>
      <w:r>
        <w:rPr>
          <w:lang w:val="en-GB"/>
        </w:rPr>
        <w:t xml:space="preserve">. For these </w:t>
      </w:r>
      <w:r w:rsidR="00F32EA6">
        <w:rPr>
          <w:lang w:val="en-GB"/>
        </w:rPr>
        <w:t>H</w:t>
      </w:r>
      <w:r w:rsidR="00F32EA6" w:rsidRPr="00F32EA6">
        <w:rPr>
          <w:vertAlign w:val="subscript"/>
          <w:lang w:val="en-GB"/>
        </w:rPr>
        <w:t>2</w:t>
      </w:r>
      <w:r>
        <w:rPr>
          <w:lang w:val="en-GB"/>
        </w:rPr>
        <w:t xml:space="preserve"> concentrations the mass transfer is </w:t>
      </w:r>
      <w:proofErr w:type="spellStart"/>
      <w:r w:rsidR="0079083E">
        <w:rPr>
          <w:lang w:val="en-GB"/>
        </w:rPr>
        <w:t>favor</w:t>
      </w:r>
      <w:r w:rsidR="00470082">
        <w:rPr>
          <w:lang w:val="en-GB"/>
        </w:rPr>
        <w:t>ed</w:t>
      </w:r>
      <w:proofErr w:type="spellEnd"/>
      <w:r>
        <w:rPr>
          <w:lang w:val="en-GB"/>
        </w:rPr>
        <w:t xml:space="preserve">, but Figure 1 shows too low values of acetic acid yield and maximum concentration. So, the optimal value of </w:t>
      </w:r>
      <w:r w:rsidR="00F32EA6">
        <w:rPr>
          <w:lang w:val="en-GB"/>
        </w:rPr>
        <w:t>H</w:t>
      </w:r>
      <w:r w:rsidR="00F32EA6" w:rsidRPr="00F32EA6">
        <w:rPr>
          <w:vertAlign w:val="subscript"/>
          <w:lang w:val="en-GB"/>
        </w:rPr>
        <w:t>2</w:t>
      </w:r>
      <w:r>
        <w:rPr>
          <w:lang w:val="en-GB"/>
        </w:rPr>
        <w:t xml:space="preserve"> concentration </w:t>
      </w:r>
      <w:r w:rsidR="0079083E">
        <w:rPr>
          <w:lang w:val="en-GB"/>
        </w:rPr>
        <w:t>could</w:t>
      </w:r>
      <w:r>
        <w:rPr>
          <w:lang w:val="en-GB"/>
        </w:rPr>
        <w:t xml:space="preserve"> be 0.1 mmol/L. </w:t>
      </w:r>
    </w:p>
    <w:p w14:paraId="2A5E5A44" w14:textId="40C37123" w:rsidR="00AF460F" w:rsidRDefault="005178F8" w:rsidP="00202255">
      <w:pPr>
        <w:pStyle w:val="CETBodytext"/>
        <w:rPr>
          <w:lang w:val="en-GB"/>
        </w:rPr>
      </w:pPr>
      <w:r>
        <w:rPr>
          <w:lang w:val="en-GB"/>
        </w:rPr>
        <w:t>According to literature</w:t>
      </w:r>
      <w:r w:rsidR="00C210F4">
        <w:rPr>
          <w:lang w:val="en-GB"/>
        </w:rPr>
        <w:t xml:space="preserve"> </w:t>
      </w:r>
      <w:r w:rsidR="00C210F4">
        <w:rPr>
          <w:lang w:val="en-GB"/>
        </w:rPr>
        <w:fldChar w:fldCharType="begin"/>
      </w:r>
      <w:r w:rsidR="00C210F4">
        <w:rPr>
          <w:lang w:val="en-GB"/>
        </w:rPr>
        <w:instrText xml:space="preserve"> ADDIN ZOTERO_ITEM CSL_CITATION {"citationID":"GdiflEfX","properties":{"formattedCitation":"(Devarapalli et al., 2017)","plainCitation":"(Devarapalli et al., 2017)","noteIndex":0},"citationItems":[{"id":2409,"uris":["http://zotero.org/users/local/dUse6BQP/items/TNPC4723"],"uri":["http://zotero.org/users/local/dUse6BQP/items/TNPC4723"],"itemData":{"id":2409,"type":"article-journal","abstract":"A trickle-bed reactor (TBR) when operated in a trickle flow regime reduces liquid resistance to mass transfer because a very thin liquid film is in contact with the gas phase and results in improved gas–liquid mass transfer compared to continuous stirred tank reactors (CSTRs). In the present study, continuous syngas fermentation was performed in a 1-L TBR for ethanol production by Clostridium ragsdalei. The effects of dilution and gas flow rates on product formation, productivity, gas uptakes and conversion efficiencies were examined. Results showed that CO and H2 conversion efficiencies reached over 90% when the gas flow rate was maintained between 1.5 and 2.8 standard cubic centimeters per minute (sccm) at a dilution rate of 0.009 h−1. A 4:1 molar ratio of ethanol to acetic acid was achieved in co-current continuous mode with both gas and liquid entered the TBR at the top and exited from the bottom at dilution rates of 0.009 and 0.012 h−1, and gas flow rates from 10.1 to 12.2 sccm and 15.9 to 18.9 sccm, respectively.","container-title":"Fermentation","DOI":"10.3390/fermentation3020023","issue":"2","note":"ISBN: 1405744839","page":"23","title":"Continuous Ethanol Production from Synthesis Gas by Clostridium ragsdalei in a Trickle-Bed Reactor","volume":"3","author":[{"family":"Devarapalli","given":"Mamatha"},{"family":"Lewis","given":"Randy"},{"family":"Atiyeh","given":"Hasan"}],"issued":{"date-parts":[["2017"]]}}}],"schema":"https://github.com/citation-style-language/schema/raw/master/csl-citation.json"} </w:instrText>
      </w:r>
      <w:r w:rsidR="00C210F4">
        <w:rPr>
          <w:lang w:val="en-GB"/>
        </w:rPr>
        <w:fldChar w:fldCharType="separate"/>
      </w:r>
      <w:r w:rsidR="00C210F4" w:rsidRPr="00C210F4">
        <w:rPr>
          <w:rFonts w:cs="Arial"/>
        </w:rPr>
        <w:t>(Devarapalli et al., 2017)</w:t>
      </w:r>
      <w:r w:rsidR="00C210F4">
        <w:rPr>
          <w:lang w:val="en-GB"/>
        </w:rPr>
        <w:fldChar w:fldCharType="end"/>
      </w:r>
      <w:r>
        <w:rPr>
          <w:lang w:val="en-GB"/>
        </w:rPr>
        <w:t xml:space="preserve">, the best bioreactor configuration could be a trickle bed reactor, in which higher </w:t>
      </w:r>
      <w:r w:rsidRPr="00C210F4">
        <w:rPr>
          <w:i/>
          <w:iCs/>
          <w:lang w:val="en-GB"/>
        </w:rPr>
        <w:t>k</w:t>
      </w:r>
      <w:r w:rsidRPr="00C210F4">
        <w:rPr>
          <w:i/>
          <w:iCs/>
          <w:vertAlign w:val="subscript"/>
          <w:lang w:val="en-GB"/>
        </w:rPr>
        <w:t>L</w:t>
      </w:r>
      <w:r w:rsidRPr="00C210F4">
        <w:rPr>
          <w:i/>
          <w:iCs/>
          <w:lang w:val="en-GB"/>
        </w:rPr>
        <w:t>*a</w:t>
      </w:r>
      <w:r>
        <w:rPr>
          <w:lang w:val="en-GB"/>
        </w:rPr>
        <w:t xml:space="preserve"> values can be reached, a simple set of the reactor can be performed (without </w:t>
      </w:r>
      <w:r w:rsidR="00C210F4">
        <w:rPr>
          <w:lang w:val="en-GB"/>
        </w:rPr>
        <w:t>moving parts) also in order to manage the fermentation time, and flat profiles of CO and H</w:t>
      </w:r>
      <w:r w:rsidR="00C210F4" w:rsidRPr="00C210F4">
        <w:rPr>
          <w:vertAlign w:val="subscript"/>
          <w:lang w:val="en-GB"/>
        </w:rPr>
        <w:t>2</w:t>
      </w:r>
      <w:r w:rsidR="00C210F4">
        <w:rPr>
          <w:lang w:val="en-GB"/>
        </w:rPr>
        <w:t xml:space="preserve"> can be obtained.</w:t>
      </w:r>
    </w:p>
    <w:p w14:paraId="088A134E" w14:textId="7D9C44F0" w:rsidR="00600535" w:rsidRDefault="00D24794" w:rsidP="00224020">
      <w:pPr>
        <w:pStyle w:val="CETCaption"/>
        <w:spacing w:after="0"/>
      </w:pPr>
      <w:r>
        <w:rPr>
          <w:noProof/>
        </w:rPr>
        <w:drawing>
          <wp:inline distT="0" distB="0" distL="0" distR="0" wp14:anchorId="547607C1" wp14:editId="01DBE8C3">
            <wp:extent cx="1925913" cy="901507"/>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l="1714" t="2168" r="13450" b="18836"/>
                    <a:stretch/>
                  </pic:blipFill>
                  <pic:spPr bwMode="auto">
                    <a:xfrm>
                      <a:off x="0" y="0"/>
                      <a:ext cx="1956950" cy="916035"/>
                    </a:xfrm>
                    <a:prstGeom prst="rect">
                      <a:avLst/>
                    </a:prstGeom>
                    <a:noFill/>
                    <a:ln>
                      <a:noFill/>
                    </a:ln>
                    <a:extLst>
                      <a:ext uri="{53640926-AAD7-44D8-BBD7-CCE9431645EC}">
                        <a14:shadowObscured xmlns:a14="http://schemas.microsoft.com/office/drawing/2010/main"/>
                      </a:ext>
                    </a:extLst>
                  </pic:spPr>
                </pic:pic>
              </a:graphicData>
            </a:graphic>
          </wp:inline>
        </w:drawing>
      </w:r>
      <w:r w:rsidR="00495B20">
        <w:rPr>
          <w:noProof/>
        </w:rPr>
        <w:drawing>
          <wp:inline distT="0" distB="0" distL="0" distR="0" wp14:anchorId="7B9A5DE6" wp14:editId="07F9122A">
            <wp:extent cx="1606164" cy="892238"/>
            <wp:effectExtent l="0" t="0" r="0" b="317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a:extLst>
                        <a:ext uri="{28A0092B-C50C-407E-A947-70E740481C1C}">
                          <a14:useLocalDpi xmlns:a14="http://schemas.microsoft.com/office/drawing/2010/main" val="0"/>
                        </a:ext>
                      </a:extLst>
                    </a:blip>
                    <a:srcRect l="17381" t="2682" r="12238" b="19598"/>
                    <a:stretch/>
                  </pic:blipFill>
                  <pic:spPr bwMode="auto">
                    <a:xfrm>
                      <a:off x="0" y="0"/>
                      <a:ext cx="1628124" cy="904437"/>
                    </a:xfrm>
                    <a:prstGeom prst="rect">
                      <a:avLst/>
                    </a:prstGeom>
                    <a:noFill/>
                    <a:ln>
                      <a:noFill/>
                    </a:ln>
                    <a:extLst>
                      <a:ext uri="{53640926-AAD7-44D8-BBD7-CCE9431645EC}">
                        <a14:shadowObscured xmlns:a14="http://schemas.microsoft.com/office/drawing/2010/main"/>
                      </a:ext>
                    </a:extLst>
                  </pic:spPr>
                </pic:pic>
              </a:graphicData>
            </a:graphic>
          </wp:inline>
        </w:drawing>
      </w:r>
      <w:r w:rsidR="00495B20">
        <w:rPr>
          <w:noProof/>
        </w:rPr>
        <w:drawing>
          <wp:inline distT="0" distB="0" distL="0" distR="0" wp14:anchorId="02EAB5E6" wp14:editId="58CC875D">
            <wp:extent cx="1593850" cy="898228"/>
            <wp:effectExtent l="0" t="0" r="635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a:extLst>
                        <a:ext uri="{28A0092B-C50C-407E-A947-70E740481C1C}">
                          <a14:useLocalDpi xmlns:a14="http://schemas.microsoft.com/office/drawing/2010/main" val="0"/>
                        </a:ext>
                      </a:extLst>
                    </a:blip>
                    <a:srcRect l="17384" t="1874" r="12384" b="19446"/>
                    <a:stretch/>
                  </pic:blipFill>
                  <pic:spPr bwMode="auto">
                    <a:xfrm>
                      <a:off x="0" y="0"/>
                      <a:ext cx="1620493" cy="913243"/>
                    </a:xfrm>
                    <a:prstGeom prst="rect">
                      <a:avLst/>
                    </a:prstGeom>
                    <a:noFill/>
                    <a:ln>
                      <a:noFill/>
                    </a:ln>
                    <a:extLst>
                      <a:ext uri="{53640926-AAD7-44D8-BBD7-CCE9431645EC}">
                        <a14:shadowObscured xmlns:a14="http://schemas.microsoft.com/office/drawing/2010/main"/>
                      </a:ext>
                    </a:extLst>
                  </pic:spPr>
                </pic:pic>
              </a:graphicData>
            </a:graphic>
          </wp:inline>
        </w:drawing>
      </w:r>
    </w:p>
    <w:p w14:paraId="2CC3695F" w14:textId="06D9DEA2" w:rsidR="00345E19" w:rsidRDefault="00495B20" w:rsidP="007D76D4">
      <w:pPr>
        <w:pStyle w:val="CETCaption"/>
        <w:spacing w:before="0" w:after="0"/>
      </w:pPr>
      <w:r>
        <w:rPr>
          <w:noProof/>
        </w:rPr>
        <w:drawing>
          <wp:inline distT="0" distB="0" distL="0" distR="0" wp14:anchorId="2E88C327" wp14:editId="27DAC90A">
            <wp:extent cx="1938673" cy="792686"/>
            <wp:effectExtent l="0" t="0" r="4445" b="762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l="1162" t="11694" r="12478" b="17966"/>
                    <a:stretch/>
                  </pic:blipFill>
                  <pic:spPr bwMode="auto">
                    <a:xfrm>
                      <a:off x="0" y="0"/>
                      <a:ext cx="2010407" cy="822017"/>
                    </a:xfrm>
                    <a:prstGeom prst="rect">
                      <a:avLst/>
                    </a:prstGeom>
                    <a:noFill/>
                    <a:ln>
                      <a:noFill/>
                    </a:ln>
                    <a:extLst>
                      <a:ext uri="{53640926-AAD7-44D8-BBD7-CCE9431645EC}">
                        <a14:shadowObscured xmlns:a14="http://schemas.microsoft.com/office/drawing/2010/main"/>
                      </a:ext>
                    </a:extLst>
                  </pic:spPr>
                </pic:pic>
              </a:graphicData>
            </a:graphic>
          </wp:inline>
        </w:drawing>
      </w:r>
      <w:r w:rsidR="00224020">
        <w:rPr>
          <w:noProof/>
        </w:rPr>
        <w:drawing>
          <wp:inline distT="0" distB="0" distL="0" distR="0" wp14:anchorId="6B3E9A02" wp14:editId="39FFC967">
            <wp:extent cx="1568450" cy="801869"/>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l="17490" t="10900" r="11862" b="17200"/>
                    <a:stretch/>
                  </pic:blipFill>
                  <pic:spPr bwMode="auto">
                    <a:xfrm>
                      <a:off x="0" y="0"/>
                      <a:ext cx="1620171" cy="828311"/>
                    </a:xfrm>
                    <a:prstGeom prst="rect">
                      <a:avLst/>
                    </a:prstGeom>
                    <a:noFill/>
                    <a:ln>
                      <a:noFill/>
                    </a:ln>
                    <a:extLst>
                      <a:ext uri="{53640926-AAD7-44D8-BBD7-CCE9431645EC}">
                        <a14:shadowObscured xmlns:a14="http://schemas.microsoft.com/office/drawing/2010/main"/>
                      </a:ext>
                    </a:extLst>
                  </pic:spPr>
                </pic:pic>
              </a:graphicData>
            </a:graphic>
          </wp:inline>
        </w:drawing>
      </w:r>
      <w:r w:rsidR="00224020">
        <w:rPr>
          <w:noProof/>
        </w:rPr>
        <w:drawing>
          <wp:inline distT="0" distB="0" distL="0" distR="0" wp14:anchorId="23B339DC" wp14:editId="4A1A9A6D">
            <wp:extent cx="1583690" cy="805518"/>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4">
                      <a:extLst>
                        <a:ext uri="{28A0092B-C50C-407E-A947-70E740481C1C}">
                          <a14:useLocalDpi xmlns:a14="http://schemas.microsoft.com/office/drawing/2010/main" val="0"/>
                        </a:ext>
                      </a:extLst>
                    </a:blip>
                    <a:srcRect l="16562" t="10658" r="12773" b="17793"/>
                    <a:stretch/>
                  </pic:blipFill>
                  <pic:spPr bwMode="auto">
                    <a:xfrm>
                      <a:off x="0" y="0"/>
                      <a:ext cx="1709344" cy="869430"/>
                    </a:xfrm>
                    <a:prstGeom prst="rect">
                      <a:avLst/>
                    </a:prstGeom>
                    <a:noFill/>
                    <a:ln>
                      <a:noFill/>
                    </a:ln>
                    <a:extLst>
                      <a:ext uri="{53640926-AAD7-44D8-BBD7-CCE9431645EC}">
                        <a14:shadowObscured xmlns:a14="http://schemas.microsoft.com/office/drawing/2010/main"/>
                      </a:ext>
                    </a:extLst>
                  </pic:spPr>
                </pic:pic>
              </a:graphicData>
            </a:graphic>
          </wp:inline>
        </w:drawing>
      </w:r>
    </w:p>
    <w:p w14:paraId="4C7E42FE" w14:textId="0FAD4F3E" w:rsidR="00495B20" w:rsidRDefault="00495B20" w:rsidP="006136EC">
      <w:pPr>
        <w:pStyle w:val="CETCaption"/>
        <w:spacing w:before="0" w:after="0"/>
      </w:pPr>
      <w:r>
        <w:rPr>
          <w:noProof/>
        </w:rPr>
        <w:drawing>
          <wp:inline distT="0" distB="0" distL="0" distR="0" wp14:anchorId="40B62A65" wp14:editId="532246E6">
            <wp:extent cx="1857375" cy="19685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767" t="78344" r="13651" b="3823"/>
                    <a:stretch/>
                  </pic:blipFill>
                  <pic:spPr bwMode="auto">
                    <a:xfrm>
                      <a:off x="0" y="0"/>
                      <a:ext cx="1862893" cy="197435"/>
                    </a:xfrm>
                    <a:prstGeom prst="rect">
                      <a:avLst/>
                    </a:prstGeom>
                    <a:noFill/>
                    <a:ln>
                      <a:noFill/>
                    </a:ln>
                    <a:extLst>
                      <a:ext uri="{53640926-AAD7-44D8-BBD7-CCE9431645EC}">
                        <a14:shadowObscured xmlns:a14="http://schemas.microsoft.com/office/drawing/2010/main"/>
                      </a:ext>
                    </a:extLst>
                  </pic:spPr>
                </pic:pic>
              </a:graphicData>
            </a:graphic>
          </wp:inline>
        </w:drawing>
      </w:r>
      <w:r w:rsidR="00224020">
        <w:rPr>
          <w:noProof/>
        </w:rPr>
        <w:drawing>
          <wp:inline distT="0" distB="0" distL="0" distR="0" wp14:anchorId="6BECC31A" wp14:editId="48252F1E">
            <wp:extent cx="1700697" cy="208812"/>
            <wp:effectExtent l="0" t="0" r="0" b="127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1592" t="77245" r="10884" b="3820"/>
                    <a:stretch/>
                  </pic:blipFill>
                  <pic:spPr bwMode="auto">
                    <a:xfrm>
                      <a:off x="0" y="0"/>
                      <a:ext cx="1836098" cy="225437"/>
                    </a:xfrm>
                    <a:prstGeom prst="rect">
                      <a:avLst/>
                    </a:prstGeom>
                    <a:noFill/>
                    <a:ln>
                      <a:noFill/>
                    </a:ln>
                    <a:extLst>
                      <a:ext uri="{53640926-AAD7-44D8-BBD7-CCE9431645EC}">
                        <a14:shadowObscured xmlns:a14="http://schemas.microsoft.com/office/drawing/2010/main"/>
                      </a:ext>
                    </a:extLst>
                  </pic:spPr>
                </pic:pic>
              </a:graphicData>
            </a:graphic>
          </wp:inline>
        </w:drawing>
      </w:r>
      <w:r w:rsidR="00224020">
        <w:rPr>
          <w:noProof/>
        </w:rPr>
        <w:drawing>
          <wp:inline distT="0" distB="0" distL="0" distR="0" wp14:anchorId="58814A1C" wp14:editId="1D302E78">
            <wp:extent cx="1923415" cy="226008"/>
            <wp:effectExtent l="0" t="0" r="635" b="317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3169" t="77191" r="-519" b="2391"/>
                    <a:stretch/>
                  </pic:blipFill>
                  <pic:spPr bwMode="auto">
                    <a:xfrm>
                      <a:off x="0" y="0"/>
                      <a:ext cx="1954601" cy="229672"/>
                    </a:xfrm>
                    <a:prstGeom prst="rect">
                      <a:avLst/>
                    </a:prstGeom>
                    <a:noFill/>
                    <a:ln>
                      <a:noFill/>
                    </a:ln>
                    <a:extLst>
                      <a:ext uri="{53640926-AAD7-44D8-BBD7-CCE9431645EC}">
                        <a14:shadowObscured xmlns:a14="http://schemas.microsoft.com/office/drawing/2010/main"/>
                      </a:ext>
                    </a:extLst>
                  </pic:spPr>
                </pic:pic>
              </a:graphicData>
            </a:graphic>
          </wp:inline>
        </w:drawing>
      </w:r>
    </w:p>
    <w:p w14:paraId="06C5C2D6" w14:textId="637C875A" w:rsidR="006136EC" w:rsidRPr="00B57B36" w:rsidRDefault="006136EC" w:rsidP="006136EC">
      <w:pPr>
        <w:pStyle w:val="CETCaption"/>
        <w:spacing w:before="0" w:after="0"/>
      </w:pPr>
      <w:r>
        <w:rPr>
          <w:noProof/>
        </w:rPr>
        <w:drawing>
          <wp:inline distT="0" distB="0" distL="0" distR="0" wp14:anchorId="2F2FF7DA" wp14:editId="02FDF3BF">
            <wp:extent cx="1640205" cy="14033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0205" cy="140335"/>
                    </a:xfrm>
                    <a:prstGeom prst="rect">
                      <a:avLst/>
                    </a:prstGeom>
                    <a:noFill/>
                  </pic:spPr>
                </pic:pic>
              </a:graphicData>
            </a:graphic>
          </wp:inline>
        </w:drawing>
      </w:r>
    </w:p>
    <w:p w14:paraId="65E73FAD" w14:textId="0D4008BB" w:rsidR="00600535" w:rsidRPr="00BD077D" w:rsidRDefault="005178F8" w:rsidP="00BD077D">
      <w:pPr>
        <w:pStyle w:val="CETCaption"/>
      </w:pPr>
      <w:r w:rsidRPr="00BD077D">
        <w:rPr>
          <w:rStyle w:val="CETCaptionCarattere"/>
          <w:i/>
        </w:rPr>
        <w:t xml:space="preserve">Figure </w:t>
      </w:r>
      <w:r w:rsidR="00826857">
        <w:rPr>
          <w:rStyle w:val="CETCaptionCarattere"/>
          <w:i/>
        </w:rPr>
        <w:t>2</w:t>
      </w:r>
      <w:r w:rsidRPr="00BD077D">
        <w:rPr>
          <w:rStyle w:val="CETCaptionCarattere"/>
          <w:i/>
        </w:rPr>
        <w:t xml:space="preserve">: </w:t>
      </w:r>
      <w:r w:rsidR="00826857">
        <w:rPr>
          <w:rStyle w:val="CETCaptionCarattere"/>
          <w:i/>
        </w:rPr>
        <w:t>Minimum gas-to-liquid mass transfer coefficient for CO and H</w:t>
      </w:r>
      <w:r w:rsidR="00826857" w:rsidRPr="0079083E">
        <w:rPr>
          <w:rStyle w:val="CETCaptionCarattere"/>
          <w:i/>
          <w:vertAlign w:val="subscript"/>
        </w:rPr>
        <w:t>2</w:t>
      </w:r>
      <w:r w:rsidR="00826857">
        <w:rPr>
          <w:rStyle w:val="CETCaptionCarattere"/>
          <w:i/>
        </w:rPr>
        <w:t xml:space="preserve"> changing the initial microorganism concentration, the CO and H</w:t>
      </w:r>
      <w:r w:rsidR="00826857" w:rsidRPr="0079083E">
        <w:rPr>
          <w:rStyle w:val="CETCaptionCarattere"/>
          <w:i/>
          <w:vertAlign w:val="subscript"/>
        </w:rPr>
        <w:t>2</w:t>
      </w:r>
      <w:r w:rsidR="00826857">
        <w:rPr>
          <w:rStyle w:val="CETCaptionCarattere"/>
          <w:i/>
        </w:rPr>
        <w:t xml:space="preserve"> concentration.</w:t>
      </w:r>
    </w:p>
    <w:p w14:paraId="68D26B83" w14:textId="77777777" w:rsidR="00600535" w:rsidRPr="00B57B36" w:rsidRDefault="005178F8" w:rsidP="00600535">
      <w:pPr>
        <w:pStyle w:val="CETHeading1"/>
        <w:rPr>
          <w:lang w:val="en-GB"/>
        </w:rPr>
      </w:pPr>
      <w:r w:rsidRPr="00B57B36">
        <w:rPr>
          <w:lang w:val="en-GB"/>
        </w:rPr>
        <w:t>Conclusions</w:t>
      </w:r>
    </w:p>
    <w:p w14:paraId="6B736956" w14:textId="6C60D1BB" w:rsidR="00AF460F" w:rsidRDefault="005178F8" w:rsidP="00AF460F">
      <w:pPr>
        <w:pStyle w:val="CETBodytext"/>
        <w:rPr>
          <w:lang w:val="en-GB"/>
        </w:rPr>
      </w:pPr>
      <w:r>
        <w:rPr>
          <w:lang w:val="en-GB"/>
        </w:rPr>
        <w:t xml:space="preserve">The analysis of results of the syngas fermentation model under several hypotheses was performed. In particular, substrate concentration values were considered as a constant. A sensitivity analysis on the initial microorganism concentration and CO and </w:t>
      </w:r>
      <w:r w:rsidR="00207601">
        <w:rPr>
          <w:lang w:val="en-GB"/>
        </w:rPr>
        <w:t>H</w:t>
      </w:r>
      <w:r w:rsidR="00207601" w:rsidRPr="00207601">
        <w:rPr>
          <w:vertAlign w:val="subscript"/>
          <w:lang w:val="en-GB"/>
        </w:rPr>
        <w:t>2</w:t>
      </w:r>
      <w:r>
        <w:rPr>
          <w:lang w:val="en-GB"/>
        </w:rPr>
        <w:t xml:space="preserve"> concentrations were carried out, individuating the best CO and </w:t>
      </w:r>
      <w:r w:rsidR="00207601">
        <w:rPr>
          <w:lang w:val="en-GB"/>
        </w:rPr>
        <w:t>H</w:t>
      </w:r>
      <w:r w:rsidR="00207601" w:rsidRPr="00207601">
        <w:rPr>
          <w:vertAlign w:val="subscript"/>
          <w:lang w:val="en-GB"/>
        </w:rPr>
        <w:t>2</w:t>
      </w:r>
      <w:r>
        <w:rPr>
          <w:lang w:val="en-GB"/>
        </w:rPr>
        <w:t xml:space="preserve"> concentration values to maximize the acetic acid yield and maximum concentration. From the mass transfer model, the minimum gas-to-liquid mass transfer coefficients were calculated. Imposing the maximum </w:t>
      </w:r>
      <w:r w:rsidRPr="00AF460F">
        <w:rPr>
          <w:i/>
          <w:iCs/>
          <w:lang w:val="en-GB"/>
        </w:rPr>
        <w:t>k</w:t>
      </w:r>
      <w:r w:rsidRPr="00AF460F">
        <w:rPr>
          <w:i/>
          <w:iCs/>
          <w:vertAlign w:val="subscript"/>
          <w:lang w:val="en-GB"/>
        </w:rPr>
        <w:t>L</w:t>
      </w:r>
      <w:r w:rsidRPr="00AF460F">
        <w:rPr>
          <w:i/>
          <w:iCs/>
          <w:lang w:val="en-GB"/>
        </w:rPr>
        <w:t>*a</w:t>
      </w:r>
      <w:r>
        <w:rPr>
          <w:lang w:val="en-GB"/>
        </w:rPr>
        <w:t xml:space="preserve"> values equal to 120 h</w:t>
      </w:r>
      <w:r w:rsidRPr="00AF460F">
        <w:rPr>
          <w:vertAlign w:val="superscript"/>
          <w:lang w:val="en-GB"/>
        </w:rPr>
        <w:t>-1</w:t>
      </w:r>
      <w:r>
        <w:rPr>
          <w:lang w:val="en-GB"/>
        </w:rPr>
        <w:t xml:space="preserve">, optimal CO and </w:t>
      </w:r>
      <w:r w:rsidR="00207601">
        <w:rPr>
          <w:lang w:val="en-GB"/>
        </w:rPr>
        <w:t>H</w:t>
      </w:r>
      <w:r w:rsidR="00207601" w:rsidRPr="00207601">
        <w:rPr>
          <w:vertAlign w:val="subscript"/>
          <w:lang w:val="en-GB"/>
        </w:rPr>
        <w:t>2</w:t>
      </w:r>
      <w:r>
        <w:rPr>
          <w:lang w:val="en-GB"/>
        </w:rPr>
        <w:t xml:space="preserve"> concentrations were found 0.01 and 0.1 mmol/L, respectively. For these substrate concentration values, the microorganism can decrease if its initial concentration is higher than 2 g/L, because of the death rate is higher than the growth rate. So, finally, the optimal conditions were individuated as 0.01 and 0.1 mmol/L for CO and H</w:t>
      </w:r>
      <w:r w:rsidRPr="00207601">
        <w:rPr>
          <w:vertAlign w:val="subscript"/>
          <w:lang w:val="en-GB"/>
        </w:rPr>
        <w:t>2</w:t>
      </w:r>
      <w:r>
        <w:rPr>
          <w:lang w:val="en-GB"/>
        </w:rPr>
        <w:t xml:space="preserve">, respectively, 2 g/L as the initial microorganism concentration. From this, an acetic acid yield and a maximum acetic acid concentration equal to 25 % and 4.2 g/L, respectively were found, corresponding to an optimal fermentation time of about 22 h and </w:t>
      </w:r>
      <w:r w:rsidRPr="00AF460F">
        <w:rPr>
          <w:i/>
          <w:iCs/>
          <w:lang w:val="en-GB"/>
        </w:rPr>
        <w:t>(k</w:t>
      </w:r>
      <w:r w:rsidRPr="00AF460F">
        <w:rPr>
          <w:i/>
          <w:iCs/>
          <w:vertAlign w:val="subscript"/>
          <w:lang w:val="en-GB"/>
        </w:rPr>
        <w:t>L</w:t>
      </w:r>
      <w:r w:rsidRPr="00AF460F">
        <w:rPr>
          <w:i/>
          <w:iCs/>
          <w:lang w:val="en-GB"/>
        </w:rPr>
        <w:t>*a)</w:t>
      </w:r>
      <w:r w:rsidRPr="00AF460F">
        <w:rPr>
          <w:i/>
          <w:iCs/>
          <w:vertAlign w:val="subscript"/>
          <w:lang w:val="en-GB"/>
        </w:rPr>
        <w:t>CO</w:t>
      </w:r>
      <w:r>
        <w:rPr>
          <w:lang w:val="en-GB"/>
        </w:rPr>
        <w:t xml:space="preserve"> and</w:t>
      </w:r>
      <w:r w:rsidRPr="00AF460F">
        <w:rPr>
          <w:i/>
          <w:iCs/>
          <w:lang w:val="en-GB"/>
        </w:rPr>
        <w:t xml:space="preserve"> (k</w:t>
      </w:r>
      <w:r w:rsidRPr="00AF460F">
        <w:rPr>
          <w:i/>
          <w:iCs/>
          <w:vertAlign w:val="subscript"/>
          <w:lang w:val="en-GB"/>
        </w:rPr>
        <w:t>L</w:t>
      </w:r>
      <w:r w:rsidRPr="00AF460F">
        <w:rPr>
          <w:i/>
          <w:iCs/>
          <w:lang w:val="en-GB"/>
        </w:rPr>
        <w:t>*a)</w:t>
      </w:r>
      <w:r w:rsidRPr="00AF460F">
        <w:rPr>
          <w:i/>
          <w:iCs/>
          <w:vertAlign w:val="subscript"/>
          <w:lang w:val="en-GB"/>
        </w:rPr>
        <w:t>H2</w:t>
      </w:r>
      <w:r w:rsidRPr="00AF460F">
        <w:rPr>
          <w:i/>
          <w:iCs/>
          <w:lang w:val="en-GB"/>
        </w:rPr>
        <w:t xml:space="preserve"> </w:t>
      </w:r>
      <w:r>
        <w:rPr>
          <w:lang w:val="en-GB"/>
        </w:rPr>
        <w:t>about 100 and 120 h</w:t>
      </w:r>
      <w:r w:rsidRPr="00AF460F">
        <w:rPr>
          <w:vertAlign w:val="superscript"/>
          <w:lang w:val="en-GB"/>
        </w:rPr>
        <w:t>-1</w:t>
      </w:r>
      <w:r>
        <w:rPr>
          <w:lang w:val="en-GB"/>
        </w:rPr>
        <w:t>, respectively.</w:t>
      </w:r>
    </w:p>
    <w:p w14:paraId="07A6D20F" w14:textId="0ECF229E" w:rsidR="00280FAF" w:rsidRPr="00280FAF" w:rsidRDefault="005178F8" w:rsidP="00280FAF">
      <w:pPr>
        <w:pStyle w:val="CETHeadingxx"/>
        <w:rPr>
          <w:lang w:val="en-GB"/>
        </w:rPr>
        <w:sectPr w:rsidR="00280FAF"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25D52BD8" w14:textId="243454C8" w:rsidR="00280FAF" w:rsidRPr="00280FAF" w:rsidRDefault="00280FAF" w:rsidP="00280FAF">
      <w:pPr>
        <w:pStyle w:val="CETBodytext"/>
        <w:jc w:val="left"/>
        <w:rPr>
          <w:rFonts w:eastAsia="SimSun"/>
        </w:rPr>
      </w:pPr>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728B1E7B" w14:textId="5AA5FC0E" w:rsidR="002C3A22" w:rsidRDefault="005178F8" w:rsidP="00280FAF">
      <w:pPr>
        <w:pStyle w:val="CETBodytext"/>
        <w:jc w:val="left"/>
        <w:rPr>
          <w:rFonts w:eastAsia="SimSun"/>
        </w:rPr>
      </w:pPr>
      <w:r w:rsidRPr="00807846">
        <w:rPr>
          <w:i/>
          <w:iCs/>
          <w:lang w:val="en-GB"/>
        </w:rPr>
        <w:t>C</w:t>
      </w:r>
      <w:r w:rsidRPr="00807846">
        <w:rPr>
          <w:i/>
          <w:iCs/>
          <w:vertAlign w:val="subscript"/>
          <w:lang w:val="en-GB"/>
        </w:rPr>
        <w:t>i,L</w:t>
      </w:r>
      <w:r>
        <w:rPr>
          <w:lang w:val="en-GB"/>
        </w:rPr>
        <w:t xml:space="preserve"> </w:t>
      </w:r>
      <w:r>
        <w:rPr>
          <w:rFonts w:eastAsia="SimSun"/>
        </w:rPr>
        <w:t xml:space="preserve">- </w:t>
      </w:r>
      <w:r>
        <w:rPr>
          <w:lang w:val="en-GB"/>
        </w:rPr>
        <w:t xml:space="preserve">concentration in the liquid phase of component </w:t>
      </w:r>
      <w:r>
        <w:rPr>
          <w:i/>
          <w:iCs/>
          <w:lang w:val="en-GB"/>
        </w:rPr>
        <w:t xml:space="preserve">i, </w:t>
      </w:r>
      <w:r w:rsidRPr="002C3A22">
        <w:rPr>
          <w:lang w:val="en-GB"/>
        </w:rPr>
        <w:t>mmol/L</w:t>
      </w:r>
    </w:p>
    <w:p w14:paraId="20DBB617" w14:textId="17CCB6B6" w:rsidR="002C3A22" w:rsidRDefault="005178F8" w:rsidP="00280FAF">
      <w:pPr>
        <w:pStyle w:val="CETBodytext"/>
        <w:jc w:val="left"/>
        <w:rPr>
          <w:i/>
          <w:iCs/>
          <w:lang w:val="en-GB"/>
        </w:rPr>
      </w:pPr>
      <w:r w:rsidRPr="00807846">
        <w:rPr>
          <w:i/>
          <w:iCs/>
          <w:lang w:val="en-GB"/>
        </w:rPr>
        <w:t>C*</w:t>
      </w:r>
      <w:r>
        <w:rPr>
          <w:i/>
          <w:iCs/>
          <w:vertAlign w:val="subscript"/>
          <w:lang w:val="en-GB"/>
        </w:rPr>
        <w:t>I</w:t>
      </w:r>
      <w:r>
        <w:rPr>
          <w:lang w:val="en-GB"/>
        </w:rPr>
        <w:t xml:space="preserve"> - phase interfacial concentration of component </w:t>
      </w:r>
      <w:r w:rsidRPr="00807846">
        <w:rPr>
          <w:i/>
          <w:iCs/>
          <w:lang w:val="en-GB"/>
        </w:rPr>
        <w:t>i</w:t>
      </w:r>
      <w:r>
        <w:rPr>
          <w:i/>
          <w:iCs/>
          <w:lang w:val="en-GB"/>
        </w:rPr>
        <w:t xml:space="preserve">, </w:t>
      </w:r>
      <w:r w:rsidRPr="002C3A22">
        <w:rPr>
          <w:lang w:val="en-GB"/>
        </w:rPr>
        <w:t>mmol/L</w:t>
      </w:r>
    </w:p>
    <w:p w14:paraId="5BC13B0E" w14:textId="1D6935BC" w:rsidR="002C3A22" w:rsidRDefault="005178F8" w:rsidP="00280FAF">
      <w:pPr>
        <w:pStyle w:val="CETBodytext"/>
        <w:jc w:val="left"/>
        <w:rPr>
          <w:i/>
          <w:iCs/>
          <w:lang w:val="en-GB"/>
        </w:rPr>
      </w:pPr>
      <w:r w:rsidRPr="00A050BB">
        <w:rPr>
          <w:i/>
          <w:iCs/>
          <w:lang w:val="en-GB"/>
        </w:rPr>
        <w:t>H</w:t>
      </w:r>
      <w:r w:rsidRPr="00A050BB">
        <w:rPr>
          <w:i/>
          <w:iCs/>
          <w:vertAlign w:val="subscript"/>
          <w:lang w:val="en-GB"/>
        </w:rPr>
        <w:t>i</w:t>
      </w:r>
      <w:r>
        <w:rPr>
          <w:lang w:val="en-GB"/>
        </w:rPr>
        <w:t xml:space="preserve"> - Henry constant for the species </w:t>
      </w:r>
      <w:r>
        <w:rPr>
          <w:i/>
          <w:iCs/>
          <w:lang w:val="en-GB"/>
        </w:rPr>
        <w:t>i, Pa</w:t>
      </w:r>
    </w:p>
    <w:p w14:paraId="5D6B08F7" w14:textId="77777777" w:rsidR="007C792F" w:rsidRDefault="005178F8" w:rsidP="007C792F">
      <w:pPr>
        <w:pStyle w:val="CETBodytext"/>
        <w:jc w:val="left"/>
        <w:rPr>
          <w:i/>
          <w:iCs/>
          <w:lang w:val="en-GB"/>
        </w:rPr>
      </w:pPr>
      <w:r w:rsidRPr="00807846">
        <w:rPr>
          <w:i/>
          <w:iCs/>
          <w:lang w:val="en-GB"/>
        </w:rPr>
        <w:t>k</w:t>
      </w:r>
      <w:r w:rsidRPr="00807846">
        <w:rPr>
          <w:i/>
          <w:iCs/>
          <w:vertAlign w:val="subscript"/>
          <w:lang w:val="en-GB"/>
        </w:rPr>
        <w:t>L</w:t>
      </w:r>
      <w:r w:rsidRPr="00807846">
        <w:rPr>
          <w:i/>
          <w:iCs/>
          <w:lang w:val="en-GB"/>
        </w:rPr>
        <w:t>a</w:t>
      </w:r>
      <w:r>
        <w:rPr>
          <w:i/>
          <w:iCs/>
          <w:lang w:val="en-GB"/>
        </w:rPr>
        <w:t xml:space="preserve"> </w:t>
      </w:r>
      <w:r>
        <w:rPr>
          <w:lang w:val="en-GB"/>
        </w:rPr>
        <w:t>– mass transfer coefficient, h</w:t>
      </w:r>
      <w:r w:rsidRPr="002C3A22">
        <w:rPr>
          <w:vertAlign w:val="superscript"/>
          <w:lang w:val="en-GB"/>
        </w:rPr>
        <w:t>-1</w:t>
      </w:r>
    </w:p>
    <w:p w14:paraId="71386B50" w14:textId="5C703267" w:rsidR="002C3A22" w:rsidRDefault="005178F8" w:rsidP="00280FAF">
      <w:pPr>
        <w:pStyle w:val="CETBodytext"/>
        <w:jc w:val="left"/>
        <w:rPr>
          <w:i/>
          <w:iCs/>
          <w:lang w:val="en-GB"/>
        </w:rPr>
      </w:pPr>
      <w:r>
        <w:rPr>
          <w:i/>
          <w:iCs/>
          <w:lang w:val="en-GB"/>
        </w:rPr>
        <w:t>(</w:t>
      </w:r>
      <w:r w:rsidRPr="00807846">
        <w:rPr>
          <w:i/>
          <w:iCs/>
          <w:lang w:val="en-GB"/>
        </w:rPr>
        <w:t>k</w:t>
      </w:r>
      <w:r w:rsidRPr="00807846">
        <w:rPr>
          <w:i/>
          <w:iCs/>
          <w:vertAlign w:val="subscript"/>
          <w:lang w:val="en-GB"/>
        </w:rPr>
        <w:t>L</w:t>
      </w:r>
      <w:r w:rsidRPr="00807846">
        <w:rPr>
          <w:i/>
          <w:iCs/>
          <w:lang w:val="en-GB"/>
        </w:rPr>
        <w:t>a</w:t>
      </w:r>
      <w:r>
        <w:rPr>
          <w:i/>
          <w:iCs/>
          <w:lang w:val="en-GB"/>
        </w:rPr>
        <w:t>)</w:t>
      </w:r>
      <w:r w:rsidRPr="002C3A22">
        <w:rPr>
          <w:i/>
          <w:iCs/>
          <w:vertAlign w:val="subscript"/>
          <w:lang w:val="en-GB"/>
        </w:rPr>
        <w:t>CO</w:t>
      </w:r>
      <w:r>
        <w:rPr>
          <w:i/>
          <w:iCs/>
          <w:vertAlign w:val="subscript"/>
          <w:lang w:val="en-GB"/>
        </w:rPr>
        <w:t>,MIN</w:t>
      </w:r>
      <w:r>
        <w:rPr>
          <w:i/>
          <w:iCs/>
          <w:lang w:val="en-GB"/>
        </w:rPr>
        <w:t xml:space="preserve"> and (</w:t>
      </w:r>
      <w:r w:rsidRPr="00807846">
        <w:rPr>
          <w:i/>
          <w:iCs/>
          <w:lang w:val="en-GB"/>
        </w:rPr>
        <w:t>k</w:t>
      </w:r>
      <w:r w:rsidRPr="00807846">
        <w:rPr>
          <w:i/>
          <w:iCs/>
          <w:vertAlign w:val="subscript"/>
          <w:lang w:val="en-GB"/>
        </w:rPr>
        <w:t>L</w:t>
      </w:r>
      <w:r w:rsidRPr="00807846">
        <w:rPr>
          <w:i/>
          <w:iCs/>
          <w:lang w:val="en-GB"/>
        </w:rPr>
        <w:t>a</w:t>
      </w:r>
      <w:r>
        <w:rPr>
          <w:i/>
          <w:iCs/>
          <w:lang w:val="en-GB"/>
        </w:rPr>
        <w:t>)</w:t>
      </w:r>
      <w:r w:rsidRPr="002C3A22">
        <w:rPr>
          <w:i/>
          <w:iCs/>
          <w:vertAlign w:val="subscript"/>
          <w:lang w:val="en-GB"/>
        </w:rPr>
        <w:t>H2</w:t>
      </w:r>
      <w:r>
        <w:rPr>
          <w:i/>
          <w:iCs/>
          <w:vertAlign w:val="subscript"/>
          <w:lang w:val="en-GB"/>
        </w:rPr>
        <w:t>,MIN</w:t>
      </w:r>
      <w:r>
        <w:rPr>
          <w:i/>
          <w:iCs/>
          <w:lang w:val="en-GB"/>
        </w:rPr>
        <w:t xml:space="preserve"> – minimum </w:t>
      </w:r>
      <w:r>
        <w:rPr>
          <w:lang w:val="en-GB"/>
        </w:rPr>
        <w:t>mass transfer coefficient for CO and H</w:t>
      </w:r>
      <w:r w:rsidRPr="002C3A22">
        <w:rPr>
          <w:vertAlign w:val="subscript"/>
          <w:lang w:val="en-GB"/>
        </w:rPr>
        <w:t>2</w:t>
      </w:r>
      <w:r>
        <w:rPr>
          <w:lang w:val="en-GB"/>
        </w:rPr>
        <w:t>, h</w:t>
      </w:r>
      <w:r w:rsidRPr="002C3A22">
        <w:rPr>
          <w:vertAlign w:val="superscript"/>
          <w:lang w:val="en-GB"/>
        </w:rPr>
        <w:t>-1</w:t>
      </w:r>
    </w:p>
    <w:p w14:paraId="3A8911FE" w14:textId="77777777" w:rsidR="007C792F" w:rsidRDefault="005178F8" w:rsidP="007C792F">
      <w:pPr>
        <w:pStyle w:val="CETBodytext"/>
        <w:jc w:val="left"/>
        <w:rPr>
          <w:lang w:val="en-GB"/>
        </w:rPr>
      </w:pPr>
      <w:r w:rsidRPr="00A050BB">
        <w:rPr>
          <w:i/>
          <w:iCs/>
          <w:lang w:val="en-GB"/>
        </w:rPr>
        <w:t>MW</w:t>
      </w:r>
      <w:r w:rsidRPr="00A050BB">
        <w:rPr>
          <w:i/>
          <w:iCs/>
          <w:vertAlign w:val="subscript"/>
          <w:lang w:val="en-GB"/>
        </w:rPr>
        <w:t>L</w:t>
      </w:r>
      <w:r>
        <w:rPr>
          <w:lang w:val="en-GB"/>
        </w:rPr>
        <w:t xml:space="preserve"> - water molecular weight, kg/mmol</w:t>
      </w:r>
    </w:p>
    <w:p w14:paraId="6309F319" w14:textId="77777777" w:rsidR="007C792F" w:rsidRDefault="005178F8" w:rsidP="007C792F">
      <w:pPr>
        <w:pStyle w:val="CETBodytext"/>
        <w:jc w:val="left"/>
        <w:rPr>
          <w:rFonts w:cs="Arial"/>
          <w:lang w:val="en-GB"/>
        </w:rPr>
      </w:pPr>
      <w:r w:rsidRPr="00A050BB">
        <w:rPr>
          <w:rFonts w:cs="Arial"/>
          <w:i/>
          <w:iCs/>
          <w:lang w:val="en-GB"/>
        </w:rPr>
        <w:t>P</w:t>
      </w:r>
      <w:r w:rsidRPr="00A050BB">
        <w:rPr>
          <w:rFonts w:cs="Arial"/>
          <w:i/>
          <w:iCs/>
          <w:vertAlign w:val="subscript"/>
          <w:lang w:val="en-GB"/>
        </w:rPr>
        <w:t>TOT</w:t>
      </w:r>
      <w:r>
        <w:rPr>
          <w:rFonts w:cs="Arial"/>
          <w:lang w:val="en-GB"/>
        </w:rPr>
        <w:t xml:space="preserve"> - global gas pressure, Pa</w:t>
      </w:r>
    </w:p>
    <w:p w14:paraId="16CF0784" w14:textId="77777777" w:rsidR="007C792F" w:rsidRDefault="005178F8" w:rsidP="007C792F">
      <w:pPr>
        <w:pStyle w:val="CETBodytext"/>
        <w:jc w:val="left"/>
        <w:rPr>
          <w:i/>
          <w:iCs/>
          <w:lang w:val="en-GB"/>
        </w:rPr>
      </w:pPr>
      <w:r w:rsidRPr="00807846">
        <w:rPr>
          <w:i/>
          <w:iCs/>
          <w:lang w:val="en-GB"/>
        </w:rPr>
        <w:t>v</w:t>
      </w:r>
      <w:r w:rsidRPr="00807846">
        <w:rPr>
          <w:i/>
          <w:iCs/>
          <w:vertAlign w:val="subscript"/>
          <w:lang w:val="en-GB"/>
        </w:rPr>
        <w:t>i</w:t>
      </w:r>
      <w:r>
        <w:rPr>
          <w:lang w:val="en-GB"/>
        </w:rPr>
        <w:t xml:space="preserve"> - consumption rate of the substrate </w:t>
      </w:r>
      <w:r>
        <w:rPr>
          <w:i/>
          <w:iCs/>
          <w:lang w:val="en-GB"/>
        </w:rPr>
        <w:t>i, mmol/(L*h)</w:t>
      </w:r>
    </w:p>
    <w:p w14:paraId="18E3116B" w14:textId="77777777" w:rsidR="007C792F" w:rsidRDefault="005178F8" w:rsidP="007C792F">
      <w:pPr>
        <w:pStyle w:val="CETBodytext"/>
        <w:jc w:val="left"/>
        <w:rPr>
          <w:rFonts w:eastAsia="SimSun"/>
        </w:rPr>
      </w:pPr>
      <w:r>
        <w:rPr>
          <w:rFonts w:eastAsia="SimSun"/>
        </w:rPr>
        <w:t>t – fermentation time,h</w:t>
      </w:r>
    </w:p>
    <w:p w14:paraId="6934DB84" w14:textId="518F4D84" w:rsidR="002C3A22" w:rsidRDefault="005178F8" w:rsidP="00280FAF">
      <w:pPr>
        <w:pStyle w:val="CETBodytext"/>
        <w:jc w:val="left"/>
        <w:rPr>
          <w:rFonts w:eastAsia="SimSun"/>
        </w:rPr>
      </w:pPr>
      <w:r w:rsidRPr="006B7FCF">
        <w:rPr>
          <w:i/>
          <w:iCs/>
          <w:lang w:val="en-GB"/>
        </w:rPr>
        <w:t>x</w:t>
      </w:r>
      <w:r w:rsidRPr="006B7FCF">
        <w:rPr>
          <w:i/>
          <w:iCs/>
          <w:vertAlign w:val="subscript"/>
          <w:lang w:val="en-GB"/>
        </w:rPr>
        <w:t>IN</w:t>
      </w:r>
      <w:r w:rsidRPr="00280FAF">
        <w:rPr>
          <w:rFonts w:eastAsia="SimSun"/>
        </w:rPr>
        <w:t xml:space="preserve"> – </w:t>
      </w:r>
      <w:r>
        <w:rPr>
          <w:rFonts w:eastAsia="SimSun"/>
        </w:rPr>
        <w:t>initial microorganism concentration, g/L</w:t>
      </w:r>
    </w:p>
    <w:p w14:paraId="094D8D2C" w14:textId="45223642" w:rsidR="007C792F" w:rsidRDefault="005178F8" w:rsidP="00280FAF">
      <w:pPr>
        <w:pStyle w:val="CETBodytext"/>
        <w:jc w:val="left"/>
        <w:rPr>
          <w:rFonts w:eastAsia="SimSun"/>
          <w:i/>
          <w:iCs/>
        </w:rPr>
      </w:pPr>
      <w:r w:rsidRPr="002C3A22">
        <w:rPr>
          <w:rFonts w:eastAsia="SimSun"/>
          <w:i/>
          <w:iCs/>
        </w:rPr>
        <w:t>y</w:t>
      </w:r>
      <w:r w:rsidRPr="002C3A22">
        <w:rPr>
          <w:rFonts w:eastAsia="SimSun"/>
          <w:i/>
          <w:iCs/>
          <w:vertAlign w:val="subscript"/>
        </w:rPr>
        <w:t>i</w:t>
      </w:r>
      <w:r w:rsidRPr="00280FAF">
        <w:rPr>
          <w:rFonts w:eastAsia="SimSun"/>
        </w:rPr>
        <w:t xml:space="preserve"> – </w:t>
      </w:r>
      <w:r>
        <w:rPr>
          <w:rFonts w:eastAsia="SimSun"/>
        </w:rPr>
        <w:t xml:space="preserve">molar fraction of the component </w:t>
      </w:r>
      <w:r w:rsidRPr="002C3A22">
        <w:rPr>
          <w:rFonts w:eastAsia="SimSun"/>
          <w:i/>
          <w:iCs/>
        </w:rPr>
        <w:t>i</w:t>
      </w:r>
    </w:p>
    <w:p w14:paraId="25E3D65A" w14:textId="77777777" w:rsidR="007C792F" w:rsidRDefault="005178F8" w:rsidP="007C792F">
      <w:pPr>
        <w:pStyle w:val="CETBodytext"/>
        <w:jc w:val="left"/>
        <w:rPr>
          <w:lang w:val="en-GB"/>
        </w:rPr>
      </w:pPr>
      <w:r w:rsidRPr="00A050BB">
        <w:rPr>
          <w:rFonts w:cs="Arial"/>
          <w:i/>
          <w:iCs/>
          <w:lang w:val="en-GB"/>
        </w:rPr>
        <w:t>ρ</w:t>
      </w:r>
      <w:r w:rsidRPr="00A050BB">
        <w:rPr>
          <w:i/>
          <w:iCs/>
          <w:vertAlign w:val="subscript"/>
          <w:lang w:val="en-GB"/>
        </w:rPr>
        <w:t>L</w:t>
      </w:r>
      <w:r>
        <w:rPr>
          <w:lang w:val="en-GB"/>
        </w:rPr>
        <w:t xml:space="preserve"> - water density, kg/m</w:t>
      </w:r>
      <w:r w:rsidRPr="002C3A22">
        <w:rPr>
          <w:vertAlign w:val="superscript"/>
          <w:lang w:val="en-GB"/>
        </w:rPr>
        <w:t>3</w:t>
      </w:r>
    </w:p>
    <w:p w14:paraId="38BFE636" w14:textId="4EB84113" w:rsidR="00280FAF" w:rsidRPr="00E377D0" w:rsidRDefault="00280FAF" w:rsidP="00280FAF">
      <w:pPr>
        <w:pStyle w:val="CETBodytext"/>
        <w:jc w:val="left"/>
        <w:rPr>
          <w:rFonts w:eastAsia="SimSun"/>
        </w:rPr>
        <w:sectPr w:rsidR="00280FAF" w:rsidRPr="00E377D0" w:rsidSect="00A050B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5178F8" w:rsidP="00600535">
      <w:pPr>
        <w:pStyle w:val="CETAcknowledgementstitle"/>
      </w:pPr>
      <w:r w:rsidRPr="00B57B36">
        <w:lastRenderedPageBreak/>
        <w:t>Acknowledgments</w:t>
      </w:r>
    </w:p>
    <w:p w14:paraId="33F8138F" w14:textId="231FCB57" w:rsidR="00600535" w:rsidRPr="00B57B36" w:rsidRDefault="005178F8" w:rsidP="00600535">
      <w:pPr>
        <w:pStyle w:val="CETBodytext"/>
        <w:rPr>
          <w:lang w:val="en-GB"/>
        </w:rPr>
      </w:pPr>
      <w:r w:rsidRPr="00C210F4">
        <w:rPr>
          <w:lang w:val="en-GB"/>
        </w:rPr>
        <w:t>The present work is part of the national project COMETA funded through the program PON 2014-2020.</w:t>
      </w:r>
    </w:p>
    <w:p w14:paraId="4F1327F8" w14:textId="77777777" w:rsidR="00600535" w:rsidRPr="00470082" w:rsidRDefault="005178F8" w:rsidP="00600535">
      <w:pPr>
        <w:pStyle w:val="CETReference"/>
        <w:rPr>
          <w:lang w:val="es-CO"/>
        </w:rPr>
      </w:pPr>
      <w:r w:rsidRPr="00470082">
        <w:rPr>
          <w:lang w:val="es-CO"/>
        </w:rPr>
        <w:t>References</w:t>
      </w:r>
    </w:p>
    <w:p w14:paraId="3F6FDB11" w14:textId="12553A2A" w:rsidR="008C1BA5" w:rsidRPr="008C1BA5" w:rsidRDefault="005178F8" w:rsidP="008C1BA5">
      <w:pPr>
        <w:pStyle w:val="Bibliografia"/>
      </w:pPr>
      <w:r>
        <w:fldChar w:fldCharType="begin"/>
      </w:r>
      <w:r w:rsidRPr="00470082">
        <w:rPr>
          <w:lang w:val="es-CO"/>
        </w:rPr>
        <w:instrText xml:space="preserve"> ADDIN ZOTERO_BIBL {"uncited":[],"omitted":[],"custom":[]} CSL_BIBLIOGRAPHY </w:instrText>
      </w:r>
      <w:r>
        <w:fldChar w:fldCharType="separate"/>
      </w:r>
      <w:r w:rsidRPr="00470082">
        <w:rPr>
          <w:lang w:val="es-CO"/>
        </w:rPr>
        <w:t xml:space="preserve">Almeida Benalcázar E., Noorman H., Maciel Filho R., Posada J.A., 2022. </w:t>
      </w:r>
      <w:r w:rsidRPr="008C1BA5">
        <w:t>Decarbonizing ethanol production via gas fermentation: Impact of the CO/H</w:t>
      </w:r>
      <w:r w:rsidRPr="00470082">
        <w:rPr>
          <w:vertAlign w:val="subscript"/>
        </w:rPr>
        <w:t>2</w:t>
      </w:r>
      <w:r w:rsidRPr="008C1BA5">
        <w:t>/CO</w:t>
      </w:r>
      <w:r w:rsidRPr="00470082">
        <w:rPr>
          <w:vertAlign w:val="subscript"/>
        </w:rPr>
        <w:t>2</w:t>
      </w:r>
      <w:r w:rsidRPr="008C1BA5">
        <w:t xml:space="preserve"> mix source on greenhouse gas emissions and production costs. Computers &amp; Chemical Engineering 159, 107670.</w:t>
      </w:r>
    </w:p>
    <w:p w14:paraId="4133EEB9" w14:textId="245DB8EF" w:rsidR="008C1BA5" w:rsidRPr="008C1BA5" w:rsidRDefault="005178F8" w:rsidP="008C1BA5">
      <w:pPr>
        <w:pStyle w:val="Bibliografia"/>
      </w:pPr>
      <w:r w:rsidRPr="008C1BA5">
        <w:t>Almeida Benalcázar E., Noorman H., Maciel Filho R., Posada J.A., 2020. Modeling ethanol production through gas fermentation: a biothermodynamics and mass transfer-based hybrid model for microbial growth in a large-scale bubble column bioreactor. Biotechnol Biofuels 13, 59.</w:t>
      </w:r>
    </w:p>
    <w:p w14:paraId="0059F6FE" w14:textId="79033A20" w:rsidR="008C1BA5" w:rsidRDefault="005178F8" w:rsidP="008C1BA5">
      <w:pPr>
        <w:pStyle w:val="Bibliografia"/>
      </w:pPr>
      <w:r w:rsidRPr="008C1BA5">
        <w:t>Asimakopoulos K., Gavala H.N., Skiadas I.V., 2018. Reactor systems for syngas fermentation processes : A review. Chemical Engineering Journal 348, 732–744.</w:t>
      </w:r>
    </w:p>
    <w:p w14:paraId="6AD88485" w14:textId="78367D2E" w:rsidR="00806AF1" w:rsidRPr="003208C3" w:rsidRDefault="00806AF1" w:rsidP="00806AF1">
      <w:pPr>
        <w:pStyle w:val="Bibliografia"/>
      </w:pPr>
      <w:r w:rsidRPr="003208C3">
        <w:t xml:space="preserve">De Bari I., Giuliano A., Petrone M.T., </w:t>
      </w:r>
      <w:proofErr w:type="spellStart"/>
      <w:r w:rsidRPr="003208C3">
        <w:t>Stoppiello</w:t>
      </w:r>
      <w:proofErr w:type="spellEnd"/>
      <w:r w:rsidRPr="003208C3">
        <w:t xml:space="preserve"> G., </w:t>
      </w:r>
      <w:proofErr w:type="spellStart"/>
      <w:r w:rsidRPr="003208C3">
        <w:t>Fatta</w:t>
      </w:r>
      <w:proofErr w:type="spellEnd"/>
      <w:r w:rsidRPr="003208C3">
        <w:t xml:space="preserve"> V., </w:t>
      </w:r>
      <w:proofErr w:type="spellStart"/>
      <w:r w:rsidRPr="003208C3">
        <w:t>Giardi</w:t>
      </w:r>
      <w:proofErr w:type="spellEnd"/>
      <w:r w:rsidRPr="003208C3">
        <w:t xml:space="preserve"> C., </w:t>
      </w:r>
      <w:proofErr w:type="spellStart"/>
      <w:r w:rsidRPr="003208C3">
        <w:t>Razza</w:t>
      </w:r>
      <w:proofErr w:type="spellEnd"/>
      <w:r w:rsidRPr="003208C3">
        <w:t xml:space="preserve"> F., </w:t>
      </w:r>
      <w:proofErr w:type="spellStart"/>
      <w:r w:rsidRPr="003208C3">
        <w:t>Novelli</w:t>
      </w:r>
      <w:proofErr w:type="spellEnd"/>
      <w:r w:rsidRPr="003208C3">
        <w:t xml:space="preserve"> A., 2020. From cardoon lignocellulosic biomass to bio-1,4 butanediol: An integrated biorefinery model. Processes 8, 1–18.</w:t>
      </w:r>
    </w:p>
    <w:p w14:paraId="16652234" w14:textId="56C71FB6" w:rsidR="008C1BA5" w:rsidRPr="008C1BA5" w:rsidRDefault="005178F8" w:rsidP="008C1BA5">
      <w:pPr>
        <w:pStyle w:val="Bibliografia"/>
      </w:pPr>
      <w:proofErr w:type="spellStart"/>
      <w:r w:rsidRPr="008C1BA5">
        <w:t>Devarapalli</w:t>
      </w:r>
      <w:proofErr w:type="spellEnd"/>
      <w:r w:rsidRPr="008C1BA5">
        <w:t xml:space="preserve"> M., Lewis R., Atiyeh H., 2017. Continuous Ethanol Production from Synthesis Gas by Clostridium ragsdalei in a Trickle-Bed Reactor. Fermentation 3, 23.</w:t>
      </w:r>
    </w:p>
    <w:p w14:paraId="2FB5F4CA" w14:textId="4D5B7E79" w:rsidR="008C1BA5" w:rsidRPr="008C1BA5" w:rsidRDefault="005178F8" w:rsidP="008C1BA5">
      <w:pPr>
        <w:pStyle w:val="Bibliografia"/>
      </w:pPr>
      <w:r w:rsidRPr="008C1BA5">
        <w:t>Jang N., Yasin M., Kang H., Lee Y., Woo G., 2018. Bioresource Technology Bubble coalescence suppression driven carbon monoxide ( CO ) -water mass transfer increase by electrolyte addition in a hollow fi ber membrane bioreactor ( HFMBR ) for microbial CO conversion to ethanol. Bioresource Technology 263, 375–384.</w:t>
      </w:r>
    </w:p>
    <w:p w14:paraId="727CB129" w14:textId="76A60D23" w:rsidR="008C1BA5" w:rsidRPr="008C1BA5" w:rsidRDefault="005178F8" w:rsidP="008C1BA5">
      <w:pPr>
        <w:pStyle w:val="Bibliografia"/>
      </w:pPr>
      <w:r w:rsidRPr="008C1BA5">
        <w:t>Kennes D., Abubackar H.N., Diaz M., Veiga M.C., Kennes C., 2016. Bioethanol production from biomass: Carbohydrate vs syngas fermentation. Journal of Chemical Technology and Biotechnology 91, 304–317.</w:t>
      </w:r>
    </w:p>
    <w:p w14:paraId="34A5728C" w14:textId="7FB237B7" w:rsidR="008C1BA5" w:rsidRPr="008C1BA5" w:rsidRDefault="005178F8" w:rsidP="008C1BA5">
      <w:pPr>
        <w:pStyle w:val="Bibliografia"/>
      </w:pPr>
      <w:r w:rsidRPr="008C1BA5">
        <w:t>Li Xiangan, Chen J., Griffin D., Li Xueliang, Henson M.A., 2018. Integrated Metabolic and Process Modeling of Bubble Column Reactors for Gas Fermentation. pp. 2491–2496.</w:t>
      </w:r>
    </w:p>
    <w:p w14:paraId="4A283A0D" w14:textId="53F60C6F" w:rsidR="008C1BA5" w:rsidRPr="008C1BA5" w:rsidRDefault="005178F8" w:rsidP="008C1BA5">
      <w:pPr>
        <w:pStyle w:val="Bibliografia"/>
      </w:pPr>
      <w:r w:rsidRPr="008C1BA5">
        <w:t>Medeiros E.M., Posada J.A., Noorman H., Filho R.M., 2019. Dynamic modeling of syngas fermentation in a continuous stirred</w:t>
      </w:r>
      <w:r w:rsidRPr="008C1BA5">
        <w:rPr>
          <w:rFonts w:ascii="Cambria Math" w:hAnsi="Cambria Math" w:cs="Cambria Math"/>
        </w:rPr>
        <w:t>‐</w:t>
      </w:r>
      <w:r w:rsidRPr="008C1BA5">
        <w:t>tank reactor: Multi</w:t>
      </w:r>
      <w:r w:rsidRPr="008C1BA5">
        <w:rPr>
          <w:rFonts w:ascii="Cambria Math" w:hAnsi="Cambria Math" w:cs="Cambria Math"/>
        </w:rPr>
        <w:t>‐</w:t>
      </w:r>
      <w:r w:rsidRPr="008C1BA5">
        <w:t>response parameter estimation and process optimization. Biotechnology and Bioengineering 116, 2473</w:t>
      </w:r>
      <w:r w:rsidRPr="008C1BA5">
        <w:rPr>
          <w:rFonts w:cs="Arial"/>
        </w:rPr>
        <w:t>–</w:t>
      </w:r>
      <w:r w:rsidRPr="008C1BA5">
        <w:t>2487.</w:t>
      </w:r>
    </w:p>
    <w:p w14:paraId="0447F2B9" w14:textId="0CD6661C" w:rsidR="008C1BA5" w:rsidRPr="008C1BA5" w:rsidRDefault="005178F8" w:rsidP="008C1BA5">
      <w:pPr>
        <w:pStyle w:val="Bibliografia"/>
      </w:pPr>
      <w:r w:rsidRPr="008C1BA5">
        <w:t>Pardo-planas O., Atiyeh H.K., Phillips J.R., Aichele C.P., Mohammad S., 2017. Bioresource Technology Process simulation of ethanol production from biomass gasification and syngas fermentation. Bioresource Technology 245, 925–932.</w:t>
      </w:r>
    </w:p>
    <w:p w14:paraId="57374932" w14:textId="1BE26027" w:rsidR="008C1BA5" w:rsidRPr="008C1BA5" w:rsidRDefault="005178F8" w:rsidP="008C1BA5">
      <w:pPr>
        <w:pStyle w:val="Bibliografia"/>
      </w:pPr>
      <w:r w:rsidRPr="008C1BA5">
        <w:t>Phillips J.R., Huhnke R.L., Atiyeh H.K., 2017. Syngas Fermentation : A Microbial Conversion Process of Gaseous Substrates to Various Products.</w:t>
      </w:r>
    </w:p>
    <w:p w14:paraId="7EFFE085" w14:textId="7EAC00A5" w:rsidR="008C1BA5" w:rsidRPr="00470082" w:rsidRDefault="005178F8" w:rsidP="008C1BA5">
      <w:pPr>
        <w:pStyle w:val="Bibliografia"/>
        <w:rPr>
          <w:lang w:val="es-CO"/>
        </w:rPr>
      </w:pPr>
      <w:r w:rsidRPr="008C1BA5">
        <w:t xml:space="preserve">Safarian S., Unnthorsson R., Richter C., 2021. Bioethanol Production via Herbaceous and Agricultural Biomass Gasification Integrated with Syngas Fermentation. </w:t>
      </w:r>
      <w:r w:rsidRPr="00470082">
        <w:rPr>
          <w:lang w:val="es-CO"/>
        </w:rPr>
        <w:t>Fermentation 7, 139.</w:t>
      </w:r>
    </w:p>
    <w:p w14:paraId="39555AF5" w14:textId="04B076B7" w:rsidR="008C1BA5" w:rsidRPr="008C1BA5" w:rsidRDefault="005178F8" w:rsidP="008C1BA5">
      <w:pPr>
        <w:pStyle w:val="Bibliografia"/>
      </w:pPr>
      <w:r w:rsidRPr="00470082">
        <w:rPr>
          <w:lang w:val="es-CO"/>
        </w:rPr>
        <w:t xml:space="preserve">Serrano D., Kwapinska M., Horvat A., Sánchez-Delgado S., Leahy J.J., 2016. </w:t>
      </w:r>
      <w:r w:rsidRPr="00470082">
        <w:rPr>
          <w:i/>
          <w:iCs/>
        </w:rPr>
        <w:t>Cynara cardunculus</w:t>
      </w:r>
      <w:r w:rsidRPr="008C1BA5">
        <w:t xml:space="preserve"> L. gasification in a bubbling fluidized bed: The effect of magnesite and olivine on product gas, tar and gasification performance. Fuel 173, 247–259. </w:t>
      </w:r>
    </w:p>
    <w:p w14:paraId="1A8F4099" w14:textId="56DA94C5" w:rsidR="008C1BA5" w:rsidRPr="008C1BA5" w:rsidRDefault="005178F8" w:rsidP="008C1BA5">
      <w:pPr>
        <w:pStyle w:val="Bibliografia"/>
      </w:pPr>
      <w:r w:rsidRPr="008C1BA5">
        <w:t>Sivalingam Vasan Dinamarca Carlos, 2021. High Pressure Moving Bed Biofilm Reactor for Syngas Fermentation. Chemical Engineering Transactions 86, 1483–1488.</w:t>
      </w:r>
    </w:p>
    <w:p w14:paraId="04ADEE06" w14:textId="76D846AB" w:rsidR="008C1BA5" w:rsidRPr="008C1BA5" w:rsidRDefault="005178F8" w:rsidP="008C1BA5">
      <w:pPr>
        <w:pStyle w:val="Bibliografia"/>
      </w:pPr>
      <w:r w:rsidRPr="008C1BA5">
        <w:t>Sofia D., Giuliano A., Barletta D., 2013. Techno-economic assessment of co-gasification of coal-petcoke and biomass in IGCC power plants. Chemical Engineering Transactions 32, 1231–1236.</w:t>
      </w:r>
    </w:p>
    <w:p w14:paraId="03CEA04C" w14:textId="33558BF9" w:rsidR="00C52C3C" w:rsidRDefault="005178F8" w:rsidP="00E65B91">
      <w:pPr>
        <w:pStyle w:val="CETReferencetext"/>
      </w:pPr>
      <w:r>
        <w:fldChar w:fldCharType="end"/>
      </w: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7F882942">
      <w:start w:val="1"/>
      <w:numFmt w:val="bullet"/>
      <w:lvlText w:val=""/>
      <w:lvlJc w:val="left"/>
      <w:pPr>
        <w:ind w:left="720" w:hanging="360"/>
      </w:pPr>
      <w:rPr>
        <w:rFonts w:ascii="Symbol" w:hAnsi="Symbol" w:hint="default"/>
      </w:rPr>
    </w:lvl>
    <w:lvl w:ilvl="1" w:tplc="4B06A3C2" w:tentative="1">
      <w:start w:val="1"/>
      <w:numFmt w:val="bullet"/>
      <w:lvlText w:val="o"/>
      <w:lvlJc w:val="left"/>
      <w:pPr>
        <w:ind w:left="1440" w:hanging="360"/>
      </w:pPr>
      <w:rPr>
        <w:rFonts w:ascii="Courier New" w:hAnsi="Courier New" w:cs="Courier New" w:hint="default"/>
      </w:rPr>
    </w:lvl>
    <w:lvl w:ilvl="2" w:tplc="C8FC0D46" w:tentative="1">
      <w:start w:val="1"/>
      <w:numFmt w:val="bullet"/>
      <w:lvlText w:val=""/>
      <w:lvlJc w:val="left"/>
      <w:pPr>
        <w:ind w:left="2160" w:hanging="360"/>
      </w:pPr>
      <w:rPr>
        <w:rFonts w:ascii="Wingdings" w:hAnsi="Wingdings" w:hint="default"/>
      </w:rPr>
    </w:lvl>
    <w:lvl w:ilvl="3" w:tplc="AEDE0200" w:tentative="1">
      <w:start w:val="1"/>
      <w:numFmt w:val="bullet"/>
      <w:lvlText w:val=""/>
      <w:lvlJc w:val="left"/>
      <w:pPr>
        <w:ind w:left="2880" w:hanging="360"/>
      </w:pPr>
      <w:rPr>
        <w:rFonts w:ascii="Symbol" w:hAnsi="Symbol" w:hint="default"/>
      </w:rPr>
    </w:lvl>
    <w:lvl w:ilvl="4" w:tplc="020AB18E" w:tentative="1">
      <w:start w:val="1"/>
      <w:numFmt w:val="bullet"/>
      <w:lvlText w:val="o"/>
      <w:lvlJc w:val="left"/>
      <w:pPr>
        <w:ind w:left="3600" w:hanging="360"/>
      </w:pPr>
      <w:rPr>
        <w:rFonts w:ascii="Courier New" w:hAnsi="Courier New" w:cs="Courier New" w:hint="default"/>
      </w:rPr>
    </w:lvl>
    <w:lvl w:ilvl="5" w:tplc="0D943AFA" w:tentative="1">
      <w:start w:val="1"/>
      <w:numFmt w:val="bullet"/>
      <w:lvlText w:val=""/>
      <w:lvlJc w:val="left"/>
      <w:pPr>
        <w:ind w:left="4320" w:hanging="360"/>
      </w:pPr>
      <w:rPr>
        <w:rFonts w:ascii="Wingdings" w:hAnsi="Wingdings" w:hint="default"/>
      </w:rPr>
    </w:lvl>
    <w:lvl w:ilvl="6" w:tplc="E9FCEDE6" w:tentative="1">
      <w:start w:val="1"/>
      <w:numFmt w:val="bullet"/>
      <w:lvlText w:val=""/>
      <w:lvlJc w:val="left"/>
      <w:pPr>
        <w:ind w:left="5040" w:hanging="360"/>
      </w:pPr>
      <w:rPr>
        <w:rFonts w:ascii="Symbol" w:hAnsi="Symbol" w:hint="default"/>
      </w:rPr>
    </w:lvl>
    <w:lvl w:ilvl="7" w:tplc="44C46860" w:tentative="1">
      <w:start w:val="1"/>
      <w:numFmt w:val="bullet"/>
      <w:lvlText w:val="o"/>
      <w:lvlJc w:val="left"/>
      <w:pPr>
        <w:ind w:left="5760" w:hanging="360"/>
      </w:pPr>
      <w:rPr>
        <w:rFonts w:ascii="Courier New" w:hAnsi="Courier New" w:cs="Courier New" w:hint="default"/>
      </w:rPr>
    </w:lvl>
    <w:lvl w:ilvl="8" w:tplc="A5D8E7C6"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D0C49864">
      <w:start w:val="1"/>
      <w:numFmt w:val="bullet"/>
      <w:pStyle w:val="CETnumberingbullets"/>
      <w:lvlText w:val=""/>
      <w:lvlJc w:val="left"/>
      <w:pPr>
        <w:ind w:left="340" w:hanging="227"/>
      </w:pPr>
      <w:rPr>
        <w:rFonts w:ascii="Symbol" w:hAnsi="Symbol" w:hint="default"/>
      </w:rPr>
    </w:lvl>
    <w:lvl w:ilvl="1" w:tplc="D0E44AC0" w:tentative="1">
      <w:start w:val="1"/>
      <w:numFmt w:val="bullet"/>
      <w:lvlText w:val="o"/>
      <w:lvlJc w:val="left"/>
      <w:pPr>
        <w:ind w:left="1440" w:hanging="360"/>
      </w:pPr>
      <w:rPr>
        <w:rFonts w:ascii="Courier New" w:hAnsi="Courier New" w:cs="Courier New" w:hint="default"/>
      </w:rPr>
    </w:lvl>
    <w:lvl w:ilvl="2" w:tplc="40B6FF04" w:tentative="1">
      <w:start w:val="1"/>
      <w:numFmt w:val="bullet"/>
      <w:lvlText w:val=""/>
      <w:lvlJc w:val="left"/>
      <w:pPr>
        <w:ind w:left="2160" w:hanging="360"/>
      </w:pPr>
      <w:rPr>
        <w:rFonts w:ascii="Wingdings" w:hAnsi="Wingdings" w:hint="default"/>
      </w:rPr>
    </w:lvl>
    <w:lvl w:ilvl="3" w:tplc="D1B6C636" w:tentative="1">
      <w:start w:val="1"/>
      <w:numFmt w:val="bullet"/>
      <w:lvlText w:val=""/>
      <w:lvlJc w:val="left"/>
      <w:pPr>
        <w:ind w:left="2880" w:hanging="360"/>
      </w:pPr>
      <w:rPr>
        <w:rFonts w:ascii="Symbol" w:hAnsi="Symbol" w:hint="default"/>
      </w:rPr>
    </w:lvl>
    <w:lvl w:ilvl="4" w:tplc="B0983712" w:tentative="1">
      <w:start w:val="1"/>
      <w:numFmt w:val="bullet"/>
      <w:lvlText w:val="o"/>
      <w:lvlJc w:val="left"/>
      <w:pPr>
        <w:ind w:left="3600" w:hanging="360"/>
      </w:pPr>
      <w:rPr>
        <w:rFonts w:ascii="Courier New" w:hAnsi="Courier New" w:cs="Courier New" w:hint="default"/>
      </w:rPr>
    </w:lvl>
    <w:lvl w:ilvl="5" w:tplc="3ED83A70" w:tentative="1">
      <w:start w:val="1"/>
      <w:numFmt w:val="bullet"/>
      <w:lvlText w:val=""/>
      <w:lvlJc w:val="left"/>
      <w:pPr>
        <w:ind w:left="4320" w:hanging="360"/>
      </w:pPr>
      <w:rPr>
        <w:rFonts w:ascii="Wingdings" w:hAnsi="Wingdings" w:hint="default"/>
      </w:rPr>
    </w:lvl>
    <w:lvl w:ilvl="6" w:tplc="3746CE26" w:tentative="1">
      <w:start w:val="1"/>
      <w:numFmt w:val="bullet"/>
      <w:lvlText w:val=""/>
      <w:lvlJc w:val="left"/>
      <w:pPr>
        <w:ind w:left="5040" w:hanging="360"/>
      </w:pPr>
      <w:rPr>
        <w:rFonts w:ascii="Symbol" w:hAnsi="Symbol" w:hint="default"/>
      </w:rPr>
    </w:lvl>
    <w:lvl w:ilvl="7" w:tplc="1F9C2B3C" w:tentative="1">
      <w:start w:val="1"/>
      <w:numFmt w:val="bullet"/>
      <w:lvlText w:val="o"/>
      <w:lvlJc w:val="left"/>
      <w:pPr>
        <w:ind w:left="5760" w:hanging="360"/>
      </w:pPr>
      <w:rPr>
        <w:rFonts w:ascii="Courier New" w:hAnsi="Courier New" w:cs="Courier New" w:hint="default"/>
      </w:rPr>
    </w:lvl>
    <w:lvl w:ilvl="8" w:tplc="14B6F450"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5EC075E8">
      <w:start w:val="1"/>
      <w:numFmt w:val="bullet"/>
      <w:lvlText w:val=""/>
      <w:lvlJc w:val="left"/>
      <w:pPr>
        <w:ind w:left="720" w:hanging="360"/>
      </w:pPr>
      <w:rPr>
        <w:rFonts w:ascii="Symbol" w:hAnsi="Symbol" w:hint="default"/>
      </w:rPr>
    </w:lvl>
    <w:lvl w:ilvl="1" w:tplc="DD52231C" w:tentative="1">
      <w:start w:val="1"/>
      <w:numFmt w:val="bullet"/>
      <w:lvlText w:val="o"/>
      <w:lvlJc w:val="left"/>
      <w:pPr>
        <w:ind w:left="1440" w:hanging="360"/>
      </w:pPr>
      <w:rPr>
        <w:rFonts w:ascii="Courier New" w:hAnsi="Courier New" w:cs="Courier New" w:hint="default"/>
      </w:rPr>
    </w:lvl>
    <w:lvl w:ilvl="2" w:tplc="62DC054E" w:tentative="1">
      <w:start w:val="1"/>
      <w:numFmt w:val="bullet"/>
      <w:lvlText w:val=""/>
      <w:lvlJc w:val="left"/>
      <w:pPr>
        <w:ind w:left="2160" w:hanging="360"/>
      </w:pPr>
      <w:rPr>
        <w:rFonts w:ascii="Wingdings" w:hAnsi="Wingdings" w:hint="default"/>
      </w:rPr>
    </w:lvl>
    <w:lvl w:ilvl="3" w:tplc="E934123E" w:tentative="1">
      <w:start w:val="1"/>
      <w:numFmt w:val="bullet"/>
      <w:lvlText w:val=""/>
      <w:lvlJc w:val="left"/>
      <w:pPr>
        <w:ind w:left="2880" w:hanging="360"/>
      </w:pPr>
      <w:rPr>
        <w:rFonts w:ascii="Symbol" w:hAnsi="Symbol" w:hint="default"/>
      </w:rPr>
    </w:lvl>
    <w:lvl w:ilvl="4" w:tplc="248466C8" w:tentative="1">
      <w:start w:val="1"/>
      <w:numFmt w:val="bullet"/>
      <w:lvlText w:val="o"/>
      <w:lvlJc w:val="left"/>
      <w:pPr>
        <w:ind w:left="3600" w:hanging="360"/>
      </w:pPr>
      <w:rPr>
        <w:rFonts w:ascii="Courier New" w:hAnsi="Courier New" w:cs="Courier New" w:hint="default"/>
      </w:rPr>
    </w:lvl>
    <w:lvl w:ilvl="5" w:tplc="76F03266" w:tentative="1">
      <w:start w:val="1"/>
      <w:numFmt w:val="bullet"/>
      <w:lvlText w:val=""/>
      <w:lvlJc w:val="left"/>
      <w:pPr>
        <w:ind w:left="4320" w:hanging="360"/>
      </w:pPr>
      <w:rPr>
        <w:rFonts w:ascii="Wingdings" w:hAnsi="Wingdings" w:hint="default"/>
      </w:rPr>
    </w:lvl>
    <w:lvl w:ilvl="6" w:tplc="F58CC68A" w:tentative="1">
      <w:start w:val="1"/>
      <w:numFmt w:val="bullet"/>
      <w:lvlText w:val=""/>
      <w:lvlJc w:val="left"/>
      <w:pPr>
        <w:ind w:left="5040" w:hanging="360"/>
      </w:pPr>
      <w:rPr>
        <w:rFonts w:ascii="Symbol" w:hAnsi="Symbol" w:hint="default"/>
      </w:rPr>
    </w:lvl>
    <w:lvl w:ilvl="7" w:tplc="1E0C3952" w:tentative="1">
      <w:start w:val="1"/>
      <w:numFmt w:val="bullet"/>
      <w:lvlText w:val="o"/>
      <w:lvlJc w:val="left"/>
      <w:pPr>
        <w:ind w:left="5760" w:hanging="360"/>
      </w:pPr>
      <w:rPr>
        <w:rFonts w:ascii="Courier New" w:hAnsi="Courier New" w:cs="Courier New" w:hint="default"/>
      </w:rPr>
    </w:lvl>
    <w:lvl w:ilvl="8" w:tplc="6D4C7916"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D780E284">
      <w:start w:val="1"/>
      <w:numFmt w:val="decimal"/>
      <w:lvlText w:val="%1)"/>
      <w:lvlJc w:val="left"/>
      <w:pPr>
        <w:ind w:left="720" w:hanging="360"/>
      </w:pPr>
      <w:rPr>
        <w:rFonts w:hint="default"/>
      </w:rPr>
    </w:lvl>
    <w:lvl w:ilvl="1" w:tplc="8EAE2B76" w:tentative="1">
      <w:start w:val="1"/>
      <w:numFmt w:val="lowerLetter"/>
      <w:lvlText w:val="%2."/>
      <w:lvlJc w:val="left"/>
      <w:pPr>
        <w:ind w:left="1440" w:hanging="360"/>
      </w:pPr>
    </w:lvl>
    <w:lvl w:ilvl="2" w:tplc="A1ACD334" w:tentative="1">
      <w:start w:val="1"/>
      <w:numFmt w:val="lowerRoman"/>
      <w:lvlText w:val="%3."/>
      <w:lvlJc w:val="right"/>
      <w:pPr>
        <w:ind w:left="2160" w:hanging="180"/>
      </w:pPr>
    </w:lvl>
    <w:lvl w:ilvl="3" w:tplc="1A1E45F0" w:tentative="1">
      <w:start w:val="1"/>
      <w:numFmt w:val="decimal"/>
      <w:lvlText w:val="%4."/>
      <w:lvlJc w:val="left"/>
      <w:pPr>
        <w:ind w:left="2880" w:hanging="360"/>
      </w:pPr>
    </w:lvl>
    <w:lvl w:ilvl="4" w:tplc="60FC1DFE" w:tentative="1">
      <w:start w:val="1"/>
      <w:numFmt w:val="lowerLetter"/>
      <w:lvlText w:val="%5."/>
      <w:lvlJc w:val="left"/>
      <w:pPr>
        <w:ind w:left="3600" w:hanging="360"/>
      </w:pPr>
    </w:lvl>
    <w:lvl w:ilvl="5" w:tplc="F9F6F3B2" w:tentative="1">
      <w:start w:val="1"/>
      <w:numFmt w:val="lowerRoman"/>
      <w:lvlText w:val="%6."/>
      <w:lvlJc w:val="right"/>
      <w:pPr>
        <w:ind w:left="4320" w:hanging="180"/>
      </w:pPr>
    </w:lvl>
    <w:lvl w:ilvl="6" w:tplc="83EC6826" w:tentative="1">
      <w:start w:val="1"/>
      <w:numFmt w:val="decimal"/>
      <w:lvlText w:val="%7."/>
      <w:lvlJc w:val="left"/>
      <w:pPr>
        <w:ind w:left="5040" w:hanging="360"/>
      </w:pPr>
    </w:lvl>
    <w:lvl w:ilvl="7" w:tplc="0FA45760" w:tentative="1">
      <w:start w:val="1"/>
      <w:numFmt w:val="lowerLetter"/>
      <w:lvlText w:val="%8."/>
      <w:lvlJc w:val="left"/>
      <w:pPr>
        <w:ind w:left="5760" w:hanging="360"/>
      </w:pPr>
    </w:lvl>
    <w:lvl w:ilvl="8" w:tplc="70A26834"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A7E0F138">
      <w:start w:val="1"/>
      <w:numFmt w:val="bullet"/>
      <w:lvlText w:val=""/>
      <w:lvlJc w:val="left"/>
      <w:pPr>
        <w:ind w:left="340" w:hanging="227"/>
      </w:pPr>
      <w:rPr>
        <w:rFonts w:ascii="Symbol" w:hAnsi="Symbol" w:hint="default"/>
      </w:rPr>
    </w:lvl>
    <w:lvl w:ilvl="1" w:tplc="7C3EC6CA" w:tentative="1">
      <w:start w:val="1"/>
      <w:numFmt w:val="bullet"/>
      <w:lvlText w:val="o"/>
      <w:lvlJc w:val="left"/>
      <w:pPr>
        <w:ind w:left="1440" w:hanging="360"/>
      </w:pPr>
      <w:rPr>
        <w:rFonts w:ascii="Courier New" w:hAnsi="Courier New" w:cs="Courier New" w:hint="default"/>
      </w:rPr>
    </w:lvl>
    <w:lvl w:ilvl="2" w:tplc="D128A78A" w:tentative="1">
      <w:start w:val="1"/>
      <w:numFmt w:val="bullet"/>
      <w:lvlText w:val=""/>
      <w:lvlJc w:val="left"/>
      <w:pPr>
        <w:ind w:left="2160" w:hanging="360"/>
      </w:pPr>
      <w:rPr>
        <w:rFonts w:ascii="Wingdings" w:hAnsi="Wingdings" w:hint="default"/>
      </w:rPr>
    </w:lvl>
    <w:lvl w:ilvl="3" w:tplc="CA20AEC6" w:tentative="1">
      <w:start w:val="1"/>
      <w:numFmt w:val="bullet"/>
      <w:lvlText w:val=""/>
      <w:lvlJc w:val="left"/>
      <w:pPr>
        <w:ind w:left="2880" w:hanging="360"/>
      </w:pPr>
      <w:rPr>
        <w:rFonts w:ascii="Symbol" w:hAnsi="Symbol" w:hint="default"/>
      </w:rPr>
    </w:lvl>
    <w:lvl w:ilvl="4" w:tplc="77B0FB3A" w:tentative="1">
      <w:start w:val="1"/>
      <w:numFmt w:val="bullet"/>
      <w:lvlText w:val="o"/>
      <w:lvlJc w:val="left"/>
      <w:pPr>
        <w:ind w:left="3600" w:hanging="360"/>
      </w:pPr>
      <w:rPr>
        <w:rFonts w:ascii="Courier New" w:hAnsi="Courier New" w:cs="Courier New" w:hint="default"/>
      </w:rPr>
    </w:lvl>
    <w:lvl w:ilvl="5" w:tplc="7264E282" w:tentative="1">
      <w:start w:val="1"/>
      <w:numFmt w:val="bullet"/>
      <w:lvlText w:val=""/>
      <w:lvlJc w:val="left"/>
      <w:pPr>
        <w:ind w:left="4320" w:hanging="360"/>
      </w:pPr>
      <w:rPr>
        <w:rFonts w:ascii="Wingdings" w:hAnsi="Wingdings" w:hint="default"/>
      </w:rPr>
    </w:lvl>
    <w:lvl w:ilvl="6" w:tplc="528C3F78" w:tentative="1">
      <w:start w:val="1"/>
      <w:numFmt w:val="bullet"/>
      <w:lvlText w:val=""/>
      <w:lvlJc w:val="left"/>
      <w:pPr>
        <w:ind w:left="5040" w:hanging="360"/>
      </w:pPr>
      <w:rPr>
        <w:rFonts w:ascii="Symbol" w:hAnsi="Symbol" w:hint="default"/>
      </w:rPr>
    </w:lvl>
    <w:lvl w:ilvl="7" w:tplc="481E394C" w:tentative="1">
      <w:start w:val="1"/>
      <w:numFmt w:val="bullet"/>
      <w:lvlText w:val="o"/>
      <w:lvlJc w:val="left"/>
      <w:pPr>
        <w:ind w:left="5760" w:hanging="360"/>
      </w:pPr>
      <w:rPr>
        <w:rFonts w:ascii="Courier New" w:hAnsi="Courier New" w:cs="Courier New" w:hint="default"/>
      </w:rPr>
    </w:lvl>
    <w:lvl w:ilvl="8" w:tplc="815E8E18"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FF306372">
      <w:start w:val="1"/>
      <w:numFmt w:val="decimal"/>
      <w:lvlText w:val="%1)"/>
      <w:lvlJc w:val="left"/>
      <w:pPr>
        <w:ind w:left="340" w:hanging="227"/>
      </w:pPr>
      <w:rPr>
        <w:rFonts w:hint="default"/>
      </w:rPr>
    </w:lvl>
    <w:lvl w:ilvl="1" w:tplc="6B2CEFF6" w:tentative="1">
      <w:start w:val="1"/>
      <w:numFmt w:val="bullet"/>
      <w:lvlText w:val="o"/>
      <w:lvlJc w:val="left"/>
      <w:pPr>
        <w:ind w:left="1440" w:hanging="360"/>
      </w:pPr>
      <w:rPr>
        <w:rFonts w:ascii="Courier New" w:hAnsi="Courier New" w:cs="Courier New" w:hint="default"/>
      </w:rPr>
    </w:lvl>
    <w:lvl w:ilvl="2" w:tplc="5BC03752" w:tentative="1">
      <w:start w:val="1"/>
      <w:numFmt w:val="bullet"/>
      <w:lvlText w:val=""/>
      <w:lvlJc w:val="left"/>
      <w:pPr>
        <w:ind w:left="2160" w:hanging="360"/>
      </w:pPr>
      <w:rPr>
        <w:rFonts w:ascii="Wingdings" w:hAnsi="Wingdings" w:hint="default"/>
      </w:rPr>
    </w:lvl>
    <w:lvl w:ilvl="3" w:tplc="8BDA8F8C" w:tentative="1">
      <w:start w:val="1"/>
      <w:numFmt w:val="bullet"/>
      <w:lvlText w:val=""/>
      <w:lvlJc w:val="left"/>
      <w:pPr>
        <w:ind w:left="2880" w:hanging="360"/>
      </w:pPr>
      <w:rPr>
        <w:rFonts w:ascii="Symbol" w:hAnsi="Symbol" w:hint="default"/>
      </w:rPr>
    </w:lvl>
    <w:lvl w:ilvl="4" w:tplc="607E3F54" w:tentative="1">
      <w:start w:val="1"/>
      <w:numFmt w:val="bullet"/>
      <w:lvlText w:val="o"/>
      <w:lvlJc w:val="left"/>
      <w:pPr>
        <w:ind w:left="3600" w:hanging="360"/>
      </w:pPr>
      <w:rPr>
        <w:rFonts w:ascii="Courier New" w:hAnsi="Courier New" w:cs="Courier New" w:hint="default"/>
      </w:rPr>
    </w:lvl>
    <w:lvl w:ilvl="5" w:tplc="05701AE6" w:tentative="1">
      <w:start w:val="1"/>
      <w:numFmt w:val="bullet"/>
      <w:lvlText w:val=""/>
      <w:lvlJc w:val="left"/>
      <w:pPr>
        <w:ind w:left="4320" w:hanging="360"/>
      </w:pPr>
      <w:rPr>
        <w:rFonts w:ascii="Wingdings" w:hAnsi="Wingdings" w:hint="default"/>
      </w:rPr>
    </w:lvl>
    <w:lvl w:ilvl="6" w:tplc="5866A684" w:tentative="1">
      <w:start w:val="1"/>
      <w:numFmt w:val="bullet"/>
      <w:lvlText w:val=""/>
      <w:lvlJc w:val="left"/>
      <w:pPr>
        <w:ind w:left="5040" w:hanging="360"/>
      </w:pPr>
      <w:rPr>
        <w:rFonts w:ascii="Symbol" w:hAnsi="Symbol" w:hint="default"/>
      </w:rPr>
    </w:lvl>
    <w:lvl w:ilvl="7" w:tplc="B440B0B6" w:tentative="1">
      <w:start w:val="1"/>
      <w:numFmt w:val="bullet"/>
      <w:lvlText w:val="o"/>
      <w:lvlJc w:val="left"/>
      <w:pPr>
        <w:ind w:left="5760" w:hanging="360"/>
      </w:pPr>
      <w:rPr>
        <w:rFonts w:ascii="Courier New" w:hAnsi="Courier New" w:cs="Courier New" w:hint="default"/>
      </w:rPr>
    </w:lvl>
    <w:lvl w:ilvl="8" w:tplc="EAA8E8EA"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7826B978">
      <w:start w:val="1"/>
      <w:numFmt w:val="decimal"/>
      <w:pStyle w:val="CETnumbering1"/>
      <w:lvlText w:val="%1."/>
      <w:lvlJc w:val="left"/>
      <w:pPr>
        <w:ind w:left="720" w:hanging="360"/>
      </w:pPr>
    </w:lvl>
    <w:lvl w:ilvl="1" w:tplc="A02EB292" w:tentative="1">
      <w:start w:val="1"/>
      <w:numFmt w:val="lowerLetter"/>
      <w:lvlText w:val="%2."/>
      <w:lvlJc w:val="left"/>
      <w:pPr>
        <w:ind w:left="1440" w:hanging="360"/>
      </w:pPr>
    </w:lvl>
    <w:lvl w:ilvl="2" w:tplc="37B0A732" w:tentative="1">
      <w:start w:val="1"/>
      <w:numFmt w:val="lowerRoman"/>
      <w:lvlText w:val="%3."/>
      <w:lvlJc w:val="right"/>
      <w:pPr>
        <w:ind w:left="2160" w:hanging="180"/>
      </w:pPr>
    </w:lvl>
    <w:lvl w:ilvl="3" w:tplc="B4862D24" w:tentative="1">
      <w:start w:val="1"/>
      <w:numFmt w:val="decimal"/>
      <w:lvlText w:val="%4."/>
      <w:lvlJc w:val="left"/>
      <w:pPr>
        <w:ind w:left="2880" w:hanging="360"/>
      </w:pPr>
    </w:lvl>
    <w:lvl w:ilvl="4" w:tplc="3FA029A8" w:tentative="1">
      <w:start w:val="1"/>
      <w:numFmt w:val="lowerLetter"/>
      <w:lvlText w:val="%5."/>
      <w:lvlJc w:val="left"/>
      <w:pPr>
        <w:ind w:left="3600" w:hanging="360"/>
      </w:pPr>
    </w:lvl>
    <w:lvl w:ilvl="5" w:tplc="8ED29618" w:tentative="1">
      <w:start w:val="1"/>
      <w:numFmt w:val="lowerRoman"/>
      <w:lvlText w:val="%6."/>
      <w:lvlJc w:val="right"/>
      <w:pPr>
        <w:ind w:left="4320" w:hanging="180"/>
      </w:pPr>
    </w:lvl>
    <w:lvl w:ilvl="6" w:tplc="BD887988" w:tentative="1">
      <w:start w:val="1"/>
      <w:numFmt w:val="decimal"/>
      <w:lvlText w:val="%7."/>
      <w:lvlJc w:val="left"/>
      <w:pPr>
        <w:ind w:left="5040" w:hanging="360"/>
      </w:pPr>
    </w:lvl>
    <w:lvl w:ilvl="7" w:tplc="BE08D556" w:tentative="1">
      <w:start w:val="1"/>
      <w:numFmt w:val="lowerLetter"/>
      <w:lvlText w:val="%8."/>
      <w:lvlJc w:val="left"/>
      <w:pPr>
        <w:ind w:left="5760" w:hanging="360"/>
      </w:pPr>
    </w:lvl>
    <w:lvl w:ilvl="8" w:tplc="D870C624"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C85621E6">
      <w:start w:val="1"/>
      <w:numFmt w:val="bullet"/>
      <w:lvlText w:val=""/>
      <w:lvlJc w:val="left"/>
      <w:pPr>
        <w:ind w:left="720" w:hanging="360"/>
      </w:pPr>
      <w:rPr>
        <w:rFonts w:ascii="Symbol" w:hAnsi="Symbol" w:hint="default"/>
      </w:rPr>
    </w:lvl>
    <w:lvl w:ilvl="1" w:tplc="C06212DE" w:tentative="1">
      <w:start w:val="1"/>
      <w:numFmt w:val="bullet"/>
      <w:lvlText w:val="o"/>
      <w:lvlJc w:val="left"/>
      <w:pPr>
        <w:ind w:left="1440" w:hanging="360"/>
      </w:pPr>
      <w:rPr>
        <w:rFonts w:ascii="Courier New" w:hAnsi="Courier New" w:cs="Courier New" w:hint="default"/>
      </w:rPr>
    </w:lvl>
    <w:lvl w:ilvl="2" w:tplc="1158C2C8" w:tentative="1">
      <w:start w:val="1"/>
      <w:numFmt w:val="bullet"/>
      <w:lvlText w:val=""/>
      <w:lvlJc w:val="left"/>
      <w:pPr>
        <w:ind w:left="2160" w:hanging="360"/>
      </w:pPr>
      <w:rPr>
        <w:rFonts w:ascii="Wingdings" w:hAnsi="Wingdings" w:hint="default"/>
      </w:rPr>
    </w:lvl>
    <w:lvl w:ilvl="3" w:tplc="F452A148" w:tentative="1">
      <w:start w:val="1"/>
      <w:numFmt w:val="bullet"/>
      <w:lvlText w:val=""/>
      <w:lvlJc w:val="left"/>
      <w:pPr>
        <w:ind w:left="2880" w:hanging="360"/>
      </w:pPr>
      <w:rPr>
        <w:rFonts w:ascii="Symbol" w:hAnsi="Symbol" w:hint="default"/>
      </w:rPr>
    </w:lvl>
    <w:lvl w:ilvl="4" w:tplc="EDAC6122" w:tentative="1">
      <w:start w:val="1"/>
      <w:numFmt w:val="bullet"/>
      <w:lvlText w:val="o"/>
      <w:lvlJc w:val="left"/>
      <w:pPr>
        <w:ind w:left="3600" w:hanging="360"/>
      </w:pPr>
      <w:rPr>
        <w:rFonts w:ascii="Courier New" w:hAnsi="Courier New" w:cs="Courier New" w:hint="default"/>
      </w:rPr>
    </w:lvl>
    <w:lvl w:ilvl="5" w:tplc="B6EE4282" w:tentative="1">
      <w:start w:val="1"/>
      <w:numFmt w:val="bullet"/>
      <w:lvlText w:val=""/>
      <w:lvlJc w:val="left"/>
      <w:pPr>
        <w:ind w:left="4320" w:hanging="360"/>
      </w:pPr>
      <w:rPr>
        <w:rFonts w:ascii="Wingdings" w:hAnsi="Wingdings" w:hint="default"/>
      </w:rPr>
    </w:lvl>
    <w:lvl w:ilvl="6" w:tplc="CB9471F6" w:tentative="1">
      <w:start w:val="1"/>
      <w:numFmt w:val="bullet"/>
      <w:lvlText w:val=""/>
      <w:lvlJc w:val="left"/>
      <w:pPr>
        <w:ind w:left="5040" w:hanging="360"/>
      </w:pPr>
      <w:rPr>
        <w:rFonts w:ascii="Symbol" w:hAnsi="Symbol" w:hint="default"/>
      </w:rPr>
    </w:lvl>
    <w:lvl w:ilvl="7" w:tplc="7A9AC126" w:tentative="1">
      <w:start w:val="1"/>
      <w:numFmt w:val="bullet"/>
      <w:lvlText w:val="o"/>
      <w:lvlJc w:val="left"/>
      <w:pPr>
        <w:ind w:left="5760" w:hanging="360"/>
      </w:pPr>
      <w:rPr>
        <w:rFonts w:ascii="Courier New" w:hAnsi="Courier New" w:cs="Courier New" w:hint="default"/>
      </w:rPr>
    </w:lvl>
    <w:lvl w:ilvl="8" w:tplc="4F560A9E"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0BCCF9B4">
      <w:start w:val="1"/>
      <w:numFmt w:val="lowerLetter"/>
      <w:pStyle w:val="CETnumberinga"/>
      <w:lvlText w:val="%1."/>
      <w:lvlJc w:val="left"/>
      <w:pPr>
        <w:ind w:left="340" w:hanging="227"/>
      </w:pPr>
      <w:rPr>
        <w:rFonts w:hint="default"/>
      </w:rPr>
    </w:lvl>
    <w:lvl w:ilvl="1" w:tplc="FB849A2C" w:tentative="1">
      <w:start w:val="1"/>
      <w:numFmt w:val="bullet"/>
      <w:lvlText w:val="o"/>
      <w:lvlJc w:val="left"/>
      <w:pPr>
        <w:ind w:left="1440" w:hanging="360"/>
      </w:pPr>
      <w:rPr>
        <w:rFonts w:ascii="Courier New" w:hAnsi="Courier New" w:cs="Courier New" w:hint="default"/>
      </w:rPr>
    </w:lvl>
    <w:lvl w:ilvl="2" w:tplc="238E79A6" w:tentative="1">
      <w:start w:val="1"/>
      <w:numFmt w:val="bullet"/>
      <w:lvlText w:val=""/>
      <w:lvlJc w:val="left"/>
      <w:pPr>
        <w:ind w:left="2160" w:hanging="360"/>
      </w:pPr>
      <w:rPr>
        <w:rFonts w:ascii="Wingdings" w:hAnsi="Wingdings" w:hint="default"/>
      </w:rPr>
    </w:lvl>
    <w:lvl w:ilvl="3" w:tplc="4046284E" w:tentative="1">
      <w:start w:val="1"/>
      <w:numFmt w:val="bullet"/>
      <w:lvlText w:val=""/>
      <w:lvlJc w:val="left"/>
      <w:pPr>
        <w:ind w:left="2880" w:hanging="360"/>
      </w:pPr>
      <w:rPr>
        <w:rFonts w:ascii="Symbol" w:hAnsi="Symbol" w:hint="default"/>
      </w:rPr>
    </w:lvl>
    <w:lvl w:ilvl="4" w:tplc="8A76678E" w:tentative="1">
      <w:start w:val="1"/>
      <w:numFmt w:val="bullet"/>
      <w:lvlText w:val="o"/>
      <w:lvlJc w:val="left"/>
      <w:pPr>
        <w:ind w:left="3600" w:hanging="360"/>
      </w:pPr>
      <w:rPr>
        <w:rFonts w:ascii="Courier New" w:hAnsi="Courier New" w:cs="Courier New" w:hint="default"/>
      </w:rPr>
    </w:lvl>
    <w:lvl w:ilvl="5" w:tplc="25AA64D4" w:tentative="1">
      <w:start w:val="1"/>
      <w:numFmt w:val="bullet"/>
      <w:lvlText w:val=""/>
      <w:lvlJc w:val="left"/>
      <w:pPr>
        <w:ind w:left="4320" w:hanging="360"/>
      </w:pPr>
      <w:rPr>
        <w:rFonts w:ascii="Wingdings" w:hAnsi="Wingdings" w:hint="default"/>
      </w:rPr>
    </w:lvl>
    <w:lvl w:ilvl="6" w:tplc="97422B38" w:tentative="1">
      <w:start w:val="1"/>
      <w:numFmt w:val="bullet"/>
      <w:lvlText w:val=""/>
      <w:lvlJc w:val="left"/>
      <w:pPr>
        <w:ind w:left="5040" w:hanging="360"/>
      </w:pPr>
      <w:rPr>
        <w:rFonts w:ascii="Symbol" w:hAnsi="Symbol" w:hint="default"/>
      </w:rPr>
    </w:lvl>
    <w:lvl w:ilvl="7" w:tplc="63F414BE" w:tentative="1">
      <w:start w:val="1"/>
      <w:numFmt w:val="bullet"/>
      <w:lvlText w:val="o"/>
      <w:lvlJc w:val="left"/>
      <w:pPr>
        <w:ind w:left="5760" w:hanging="360"/>
      </w:pPr>
      <w:rPr>
        <w:rFonts w:ascii="Courier New" w:hAnsi="Courier New" w:cs="Courier New" w:hint="default"/>
      </w:rPr>
    </w:lvl>
    <w:lvl w:ilvl="8" w:tplc="0778FD9E"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D54"/>
    <w:rsid w:val="000027C0"/>
    <w:rsid w:val="000052FB"/>
    <w:rsid w:val="000061B2"/>
    <w:rsid w:val="000117CB"/>
    <w:rsid w:val="0003148D"/>
    <w:rsid w:val="00031EEC"/>
    <w:rsid w:val="00043F57"/>
    <w:rsid w:val="00051566"/>
    <w:rsid w:val="00062A9A"/>
    <w:rsid w:val="00065058"/>
    <w:rsid w:val="000724FB"/>
    <w:rsid w:val="000822D3"/>
    <w:rsid w:val="00086C39"/>
    <w:rsid w:val="00090361"/>
    <w:rsid w:val="000A03B2"/>
    <w:rsid w:val="000A10B8"/>
    <w:rsid w:val="000A3081"/>
    <w:rsid w:val="000A4CCB"/>
    <w:rsid w:val="000D0268"/>
    <w:rsid w:val="000D34BE"/>
    <w:rsid w:val="000D401B"/>
    <w:rsid w:val="000D45E5"/>
    <w:rsid w:val="000E102F"/>
    <w:rsid w:val="000E1BCA"/>
    <w:rsid w:val="000E36F1"/>
    <w:rsid w:val="000E3A73"/>
    <w:rsid w:val="000E414A"/>
    <w:rsid w:val="000F093C"/>
    <w:rsid w:val="000F787B"/>
    <w:rsid w:val="0012091F"/>
    <w:rsid w:val="00120A4F"/>
    <w:rsid w:val="00125C3F"/>
    <w:rsid w:val="00126BC2"/>
    <w:rsid w:val="001308B6"/>
    <w:rsid w:val="0013121F"/>
    <w:rsid w:val="00131FE6"/>
    <w:rsid w:val="0013263F"/>
    <w:rsid w:val="001331DF"/>
    <w:rsid w:val="00134DE4"/>
    <w:rsid w:val="0014034D"/>
    <w:rsid w:val="00144D16"/>
    <w:rsid w:val="00150E59"/>
    <w:rsid w:val="00152DE3"/>
    <w:rsid w:val="001576A3"/>
    <w:rsid w:val="00164CF9"/>
    <w:rsid w:val="001667A6"/>
    <w:rsid w:val="00184AD6"/>
    <w:rsid w:val="00195E7C"/>
    <w:rsid w:val="001A4AF7"/>
    <w:rsid w:val="001B0349"/>
    <w:rsid w:val="001B1E93"/>
    <w:rsid w:val="001B65C1"/>
    <w:rsid w:val="001C684B"/>
    <w:rsid w:val="001C76AC"/>
    <w:rsid w:val="001D0CFB"/>
    <w:rsid w:val="001D21AF"/>
    <w:rsid w:val="001D53FC"/>
    <w:rsid w:val="001F42A5"/>
    <w:rsid w:val="001F7B9D"/>
    <w:rsid w:val="00201C93"/>
    <w:rsid w:val="00202255"/>
    <w:rsid w:val="00205B5B"/>
    <w:rsid w:val="00207601"/>
    <w:rsid w:val="002202A3"/>
    <w:rsid w:val="002224B4"/>
    <w:rsid w:val="00224020"/>
    <w:rsid w:val="00242767"/>
    <w:rsid w:val="002447EF"/>
    <w:rsid w:val="00246D2D"/>
    <w:rsid w:val="00251352"/>
    <w:rsid w:val="00251550"/>
    <w:rsid w:val="00261CF7"/>
    <w:rsid w:val="00263B05"/>
    <w:rsid w:val="002664DD"/>
    <w:rsid w:val="0027221A"/>
    <w:rsid w:val="00275B61"/>
    <w:rsid w:val="00280FAF"/>
    <w:rsid w:val="00281B3A"/>
    <w:rsid w:val="00282656"/>
    <w:rsid w:val="0029547F"/>
    <w:rsid w:val="00296B83"/>
    <w:rsid w:val="002A14FF"/>
    <w:rsid w:val="002B4015"/>
    <w:rsid w:val="002B78CE"/>
    <w:rsid w:val="002C2FB6"/>
    <w:rsid w:val="002C3A22"/>
    <w:rsid w:val="002D04A5"/>
    <w:rsid w:val="002D67F3"/>
    <w:rsid w:val="002E5FA7"/>
    <w:rsid w:val="002F3309"/>
    <w:rsid w:val="003008CE"/>
    <w:rsid w:val="003009B7"/>
    <w:rsid w:val="00300E56"/>
    <w:rsid w:val="0030469C"/>
    <w:rsid w:val="00310BF6"/>
    <w:rsid w:val="00321CA6"/>
    <w:rsid w:val="00323763"/>
    <w:rsid w:val="00334C09"/>
    <w:rsid w:val="00345E19"/>
    <w:rsid w:val="003723D4"/>
    <w:rsid w:val="00381905"/>
    <w:rsid w:val="00384CC8"/>
    <w:rsid w:val="003871FD"/>
    <w:rsid w:val="003A1E30"/>
    <w:rsid w:val="003A2829"/>
    <w:rsid w:val="003A7D1C"/>
    <w:rsid w:val="003B304B"/>
    <w:rsid w:val="003B3146"/>
    <w:rsid w:val="003D0026"/>
    <w:rsid w:val="003D11C6"/>
    <w:rsid w:val="003D1DF2"/>
    <w:rsid w:val="003E5418"/>
    <w:rsid w:val="003F015E"/>
    <w:rsid w:val="003F36AD"/>
    <w:rsid w:val="003F7B09"/>
    <w:rsid w:val="00400414"/>
    <w:rsid w:val="0041446B"/>
    <w:rsid w:val="0044071E"/>
    <w:rsid w:val="0044329C"/>
    <w:rsid w:val="00453E24"/>
    <w:rsid w:val="00457456"/>
    <w:rsid w:val="004577FE"/>
    <w:rsid w:val="00457B9C"/>
    <w:rsid w:val="0046164A"/>
    <w:rsid w:val="004628D2"/>
    <w:rsid w:val="00462DCD"/>
    <w:rsid w:val="004648AD"/>
    <w:rsid w:val="00470082"/>
    <w:rsid w:val="004703A9"/>
    <w:rsid w:val="004760DE"/>
    <w:rsid w:val="004763D7"/>
    <w:rsid w:val="00482FF1"/>
    <w:rsid w:val="00495B20"/>
    <w:rsid w:val="004A004E"/>
    <w:rsid w:val="004A24CF"/>
    <w:rsid w:val="004C3D1D"/>
    <w:rsid w:val="004C7913"/>
    <w:rsid w:val="004D5C6B"/>
    <w:rsid w:val="004E4DD6"/>
    <w:rsid w:val="004E5611"/>
    <w:rsid w:val="004F0245"/>
    <w:rsid w:val="004F08C5"/>
    <w:rsid w:val="004F5E36"/>
    <w:rsid w:val="00507B47"/>
    <w:rsid w:val="00507BEF"/>
    <w:rsid w:val="00507CC9"/>
    <w:rsid w:val="005119A5"/>
    <w:rsid w:val="005178F8"/>
    <w:rsid w:val="005278B7"/>
    <w:rsid w:val="00532016"/>
    <w:rsid w:val="005346C8"/>
    <w:rsid w:val="00543E7D"/>
    <w:rsid w:val="00547A68"/>
    <w:rsid w:val="0055223E"/>
    <w:rsid w:val="005531C9"/>
    <w:rsid w:val="00570C43"/>
    <w:rsid w:val="005B2110"/>
    <w:rsid w:val="005B61E6"/>
    <w:rsid w:val="005C77E1"/>
    <w:rsid w:val="005D3CC7"/>
    <w:rsid w:val="005D668A"/>
    <w:rsid w:val="005D6A2F"/>
    <w:rsid w:val="005D6B3F"/>
    <w:rsid w:val="005E1A82"/>
    <w:rsid w:val="005E794C"/>
    <w:rsid w:val="005F0A28"/>
    <w:rsid w:val="005F0E5E"/>
    <w:rsid w:val="00600535"/>
    <w:rsid w:val="0060539D"/>
    <w:rsid w:val="00610CD6"/>
    <w:rsid w:val="006136EC"/>
    <w:rsid w:val="00620DEE"/>
    <w:rsid w:val="00621F92"/>
    <w:rsid w:val="0062280A"/>
    <w:rsid w:val="00625639"/>
    <w:rsid w:val="00631B33"/>
    <w:rsid w:val="0064184D"/>
    <w:rsid w:val="006422CC"/>
    <w:rsid w:val="00660E3E"/>
    <w:rsid w:val="00662E74"/>
    <w:rsid w:val="00675CAC"/>
    <w:rsid w:val="00680C23"/>
    <w:rsid w:val="00693766"/>
    <w:rsid w:val="006A3281"/>
    <w:rsid w:val="006B4888"/>
    <w:rsid w:val="006B7FCF"/>
    <w:rsid w:val="006C2E45"/>
    <w:rsid w:val="006C359C"/>
    <w:rsid w:val="006C5579"/>
    <w:rsid w:val="006D6E8B"/>
    <w:rsid w:val="006E737D"/>
    <w:rsid w:val="006F1C2E"/>
    <w:rsid w:val="00713973"/>
    <w:rsid w:val="00720A24"/>
    <w:rsid w:val="0072439E"/>
    <w:rsid w:val="00732386"/>
    <w:rsid w:val="0073514D"/>
    <w:rsid w:val="00743EFE"/>
    <w:rsid w:val="007447F3"/>
    <w:rsid w:val="0075499F"/>
    <w:rsid w:val="007602AE"/>
    <w:rsid w:val="00762857"/>
    <w:rsid w:val="007661C8"/>
    <w:rsid w:val="0077098D"/>
    <w:rsid w:val="0077773A"/>
    <w:rsid w:val="00786761"/>
    <w:rsid w:val="0079083E"/>
    <w:rsid w:val="00791233"/>
    <w:rsid w:val="007931FA"/>
    <w:rsid w:val="007A4861"/>
    <w:rsid w:val="007A7BBA"/>
    <w:rsid w:val="007B0C50"/>
    <w:rsid w:val="007B48F9"/>
    <w:rsid w:val="007B52D9"/>
    <w:rsid w:val="007C1A43"/>
    <w:rsid w:val="007C792F"/>
    <w:rsid w:val="007D76D4"/>
    <w:rsid w:val="0080013E"/>
    <w:rsid w:val="00806AF1"/>
    <w:rsid w:val="00807846"/>
    <w:rsid w:val="00811836"/>
    <w:rsid w:val="00813288"/>
    <w:rsid w:val="008168FC"/>
    <w:rsid w:val="00826857"/>
    <w:rsid w:val="00830996"/>
    <w:rsid w:val="008322CD"/>
    <w:rsid w:val="008345F1"/>
    <w:rsid w:val="008463EA"/>
    <w:rsid w:val="00865B07"/>
    <w:rsid w:val="008667EA"/>
    <w:rsid w:val="0087637F"/>
    <w:rsid w:val="00892AD5"/>
    <w:rsid w:val="008A1512"/>
    <w:rsid w:val="008C1BA5"/>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224"/>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00FCD"/>
    <w:rsid w:val="00A050BB"/>
    <w:rsid w:val="00A1763D"/>
    <w:rsid w:val="00A17CEC"/>
    <w:rsid w:val="00A27EF0"/>
    <w:rsid w:val="00A378DA"/>
    <w:rsid w:val="00A42361"/>
    <w:rsid w:val="00A50B20"/>
    <w:rsid w:val="00A51390"/>
    <w:rsid w:val="00A54DA3"/>
    <w:rsid w:val="00A60D13"/>
    <w:rsid w:val="00A62FD3"/>
    <w:rsid w:val="00A65BBC"/>
    <w:rsid w:val="00A72745"/>
    <w:rsid w:val="00A76EFC"/>
    <w:rsid w:val="00A91010"/>
    <w:rsid w:val="00A95A07"/>
    <w:rsid w:val="00A96CDF"/>
    <w:rsid w:val="00A97F29"/>
    <w:rsid w:val="00AA702E"/>
    <w:rsid w:val="00AB0964"/>
    <w:rsid w:val="00AB332F"/>
    <w:rsid w:val="00AB5011"/>
    <w:rsid w:val="00AC7368"/>
    <w:rsid w:val="00AD0D2E"/>
    <w:rsid w:val="00AD16B9"/>
    <w:rsid w:val="00AE377D"/>
    <w:rsid w:val="00AF0EBA"/>
    <w:rsid w:val="00AF460F"/>
    <w:rsid w:val="00B02C8A"/>
    <w:rsid w:val="00B1259A"/>
    <w:rsid w:val="00B17A38"/>
    <w:rsid w:val="00B17FBD"/>
    <w:rsid w:val="00B315A6"/>
    <w:rsid w:val="00B31813"/>
    <w:rsid w:val="00B33365"/>
    <w:rsid w:val="00B44F22"/>
    <w:rsid w:val="00B565AD"/>
    <w:rsid w:val="00B57B36"/>
    <w:rsid w:val="00B57E6F"/>
    <w:rsid w:val="00B7396B"/>
    <w:rsid w:val="00B76BE1"/>
    <w:rsid w:val="00B8686D"/>
    <w:rsid w:val="00B935D8"/>
    <w:rsid w:val="00B93F69"/>
    <w:rsid w:val="00BB1DDC"/>
    <w:rsid w:val="00BC1139"/>
    <w:rsid w:val="00BC30C9"/>
    <w:rsid w:val="00BD077D"/>
    <w:rsid w:val="00BE3E58"/>
    <w:rsid w:val="00C01616"/>
    <w:rsid w:val="00C0162B"/>
    <w:rsid w:val="00C068ED"/>
    <w:rsid w:val="00C0776B"/>
    <w:rsid w:val="00C210F4"/>
    <w:rsid w:val="00C22E0C"/>
    <w:rsid w:val="00C337DF"/>
    <w:rsid w:val="00C345B1"/>
    <w:rsid w:val="00C40142"/>
    <w:rsid w:val="00C52C3C"/>
    <w:rsid w:val="00C57182"/>
    <w:rsid w:val="00C57863"/>
    <w:rsid w:val="00C655FD"/>
    <w:rsid w:val="00C75407"/>
    <w:rsid w:val="00C870A8"/>
    <w:rsid w:val="00C94434"/>
    <w:rsid w:val="00CA0D75"/>
    <w:rsid w:val="00CA1C95"/>
    <w:rsid w:val="00CA22C9"/>
    <w:rsid w:val="00CA5A9C"/>
    <w:rsid w:val="00CB280E"/>
    <w:rsid w:val="00CC4C20"/>
    <w:rsid w:val="00CD3517"/>
    <w:rsid w:val="00CD3695"/>
    <w:rsid w:val="00CD4547"/>
    <w:rsid w:val="00CD5F41"/>
    <w:rsid w:val="00CD5FE2"/>
    <w:rsid w:val="00CE7C68"/>
    <w:rsid w:val="00CF376C"/>
    <w:rsid w:val="00D02B4C"/>
    <w:rsid w:val="00D040C4"/>
    <w:rsid w:val="00D24794"/>
    <w:rsid w:val="00D43E0B"/>
    <w:rsid w:val="00D46B7E"/>
    <w:rsid w:val="00D47F20"/>
    <w:rsid w:val="00D57C84"/>
    <w:rsid w:val="00D6057D"/>
    <w:rsid w:val="00D71640"/>
    <w:rsid w:val="00D72C0E"/>
    <w:rsid w:val="00D836C5"/>
    <w:rsid w:val="00D84576"/>
    <w:rsid w:val="00DA1399"/>
    <w:rsid w:val="00DA24C6"/>
    <w:rsid w:val="00DA4D7B"/>
    <w:rsid w:val="00DA7187"/>
    <w:rsid w:val="00DB55CA"/>
    <w:rsid w:val="00DB58AC"/>
    <w:rsid w:val="00DB5AE5"/>
    <w:rsid w:val="00DB7403"/>
    <w:rsid w:val="00DC45E9"/>
    <w:rsid w:val="00DD3E5B"/>
    <w:rsid w:val="00DE264A"/>
    <w:rsid w:val="00DF5072"/>
    <w:rsid w:val="00E025A4"/>
    <w:rsid w:val="00E02D18"/>
    <w:rsid w:val="00E041E7"/>
    <w:rsid w:val="00E22A9F"/>
    <w:rsid w:val="00E23CA1"/>
    <w:rsid w:val="00E377D0"/>
    <w:rsid w:val="00E409A8"/>
    <w:rsid w:val="00E41C1C"/>
    <w:rsid w:val="00E42F82"/>
    <w:rsid w:val="00E50C12"/>
    <w:rsid w:val="00E56FA6"/>
    <w:rsid w:val="00E65B91"/>
    <w:rsid w:val="00E7209D"/>
    <w:rsid w:val="00E72EAD"/>
    <w:rsid w:val="00E77223"/>
    <w:rsid w:val="00E8528B"/>
    <w:rsid w:val="00E85B94"/>
    <w:rsid w:val="00E978D0"/>
    <w:rsid w:val="00EA4613"/>
    <w:rsid w:val="00EA7F91"/>
    <w:rsid w:val="00EB1523"/>
    <w:rsid w:val="00EC0E49"/>
    <w:rsid w:val="00EC101F"/>
    <w:rsid w:val="00EC1D9F"/>
    <w:rsid w:val="00ED335B"/>
    <w:rsid w:val="00EE0131"/>
    <w:rsid w:val="00EE11D3"/>
    <w:rsid w:val="00EE17B0"/>
    <w:rsid w:val="00EF06D9"/>
    <w:rsid w:val="00EF3167"/>
    <w:rsid w:val="00F230E6"/>
    <w:rsid w:val="00F30C64"/>
    <w:rsid w:val="00F32BA2"/>
    <w:rsid w:val="00F32CDB"/>
    <w:rsid w:val="00F32EA6"/>
    <w:rsid w:val="00F46733"/>
    <w:rsid w:val="00F565FE"/>
    <w:rsid w:val="00F63A70"/>
    <w:rsid w:val="00F746E5"/>
    <w:rsid w:val="00F7534E"/>
    <w:rsid w:val="00F76CFD"/>
    <w:rsid w:val="00F92A63"/>
    <w:rsid w:val="00FA1802"/>
    <w:rsid w:val="00FA21D0"/>
    <w:rsid w:val="00FA5F5F"/>
    <w:rsid w:val="00FB1406"/>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0CC22"/>
  <w15:docId w15:val="{93BDC609-6600-4B07-BCAA-0C870751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3D11C6"/>
    <w:rPr>
      <w:color w:val="808080"/>
    </w:rPr>
  </w:style>
  <w:style w:type="paragraph" w:styleId="Revisione">
    <w:name w:val="Revision"/>
    <w:hidden/>
    <w:uiPriority w:val="99"/>
    <w:semiHidden/>
    <w:rsid w:val="00DB740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9081</Words>
  <Characters>51767</Characters>
  <Application>Microsoft Office Word</Application>
  <DocSecurity>0</DocSecurity>
  <Lines>431</Lines>
  <Paragraphs>121</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Aristide Giuliano</cp:lastModifiedBy>
  <cp:revision>2</cp:revision>
  <cp:lastPrinted>2015-05-12T18:31:00Z</cp:lastPrinted>
  <dcterms:created xsi:type="dcterms:W3CDTF">2022-03-17T15:46:00Z</dcterms:created>
  <dcterms:modified xsi:type="dcterms:W3CDTF">2022-03-17T15:46:00Z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id="aXNOxIjX"/&gt;&lt;style id="http://www.zotero.org/styles/computers-and-chemical-engineering" hasBibliography="1" bibliographyStyleHasBeenSet="1"/&gt;&lt;prefs&gt;&lt;pref name="fieldType" value="Field"/&gt;&lt;pref na</vt:lpwstr>
  </property>
  <property fmtid="{D5CDD505-2E9C-101B-9397-08002B2CF9AE}" pid="3" name="ZOTERO_PREF_2">
    <vt:lpwstr>me="storeReferences" value="true"/&gt;&lt;/prefs&gt;&lt;/data&gt;</vt:lpwstr>
  </property>
</Properties>
</file>