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BB656F">
            <w:pPr>
              <w:pStyle w:val="CETEquation"/>
              <w:rPr>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lang w:eastAsia="it-IT"/>
              </w:rPr>
              <w:t>CHEMICAL ENGINEERING</w:t>
            </w:r>
            <w:r w:rsidRPr="00B57B36">
              <w:rPr>
                <w:color w:val="0033FF"/>
                <w:lang w:eastAsia="it-IT"/>
              </w:rPr>
              <w:t xml:space="preserve"> </w:t>
            </w:r>
            <w:r w:rsidRPr="00B57B36">
              <w:rPr>
                <w:color w:val="666666"/>
                <w:lang w:eastAsia="it-IT"/>
              </w:rPr>
              <w:t>TRANSACTIONS</w:t>
            </w:r>
            <w:r w:rsidRPr="00B57B36">
              <w:rPr>
                <w:color w:val="333333"/>
                <w:lang w:eastAsia="it-IT"/>
              </w:rPr>
              <w:t xml:space="preserve"> </w:t>
            </w:r>
            <w:r w:rsidRPr="00B57B36">
              <w:rPr>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54FB6EE9" w:rsidR="00E978D0" w:rsidRPr="00B57B36" w:rsidRDefault="008E6460" w:rsidP="00E978D0">
      <w:pPr>
        <w:pStyle w:val="CETTitle"/>
      </w:pPr>
      <w:r w:rsidRPr="008E6460">
        <w:t>Study on the reuse of the catalyst NbOPO</w:t>
      </w:r>
      <w:r w:rsidRPr="008E6460">
        <w:rPr>
          <w:vertAlign w:val="subscript"/>
        </w:rPr>
        <w:t>4</w:t>
      </w:r>
      <w:r w:rsidRPr="008E6460">
        <w:t>.nH</w:t>
      </w:r>
      <w:r w:rsidRPr="008E6460">
        <w:rPr>
          <w:vertAlign w:val="subscript"/>
        </w:rPr>
        <w:t>2</w:t>
      </w:r>
      <w:r w:rsidRPr="008E6460">
        <w:t>O in the conversion of sugarcane biomass into furfural</w:t>
      </w:r>
    </w:p>
    <w:p w14:paraId="0488FED2" w14:textId="4DBBB52F" w:rsidR="00B57E6F" w:rsidRPr="008E6460" w:rsidRDefault="008E6460" w:rsidP="00B57E6F">
      <w:pPr>
        <w:pStyle w:val="CETAuthors"/>
        <w:rPr>
          <w:lang w:val="pt-BR"/>
        </w:rPr>
      </w:pPr>
      <w:r w:rsidRPr="008E6460">
        <w:rPr>
          <w:lang w:val="pt-BR"/>
        </w:rPr>
        <w:t>Kisla S. Furtado</w:t>
      </w:r>
      <w:r w:rsidRPr="008E6460">
        <w:rPr>
          <w:vertAlign w:val="superscript"/>
          <w:lang w:val="pt-BR"/>
        </w:rPr>
        <w:t>a</w:t>
      </w:r>
      <w:r w:rsidRPr="008E6460">
        <w:rPr>
          <w:lang w:val="pt-BR"/>
        </w:rPr>
        <w:t xml:space="preserve">, </w:t>
      </w:r>
      <w:r w:rsidR="00572EA0" w:rsidRPr="008E6460">
        <w:rPr>
          <w:lang w:val="pt-BR"/>
        </w:rPr>
        <w:t>Diego M. Chaves</w:t>
      </w:r>
      <w:r w:rsidR="00572EA0" w:rsidRPr="008E6460">
        <w:rPr>
          <w:vertAlign w:val="superscript"/>
          <w:lang w:val="pt-BR"/>
        </w:rPr>
        <w:t>a</w:t>
      </w:r>
      <w:r w:rsidR="00572EA0" w:rsidRPr="008E6460">
        <w:rPr>
          <w:lang w:val="pt-BR"/>
        </w:rPr>
        <w:t>,</w:t>
      </w:r>
      <w:r w:rsidR="00572EA0">
        <w:rPr>
          <w:lang w:val="pt-BR"/>
        </w:rPr>
        <w:t xml:space="preserve"> </w:t>
      </w:r>
      <w:r w:rsidRPr="008E6460">
        <w:rPr>
          <w:lang w:val="pt-BR"/>
        </w:rPr>
        <w:t>Alexandra J. Esposito</w:t>
      </w:r>
      <w:r w:rsidRPr="008E6460">
        <w:rPr>
          <w:vertAlign w:val="superscript"/>
          <w:lang w:val="pt-BR"/>
        </w:rPr>
        <w:t>a</w:t>
      </w:r>
      <w:r w:rsidRPr="008E6460">
        <w:rPr>
          <w:lang w:val="pt-BR"/>
        </w:rPr>
        <w:t xml:space="preserve">, </w:t>
      </w:r>
      <w:r w:rsidR="00CA7FA0">
        <w:rPr>
          <w:lang w:val="pt-BR"/>
        </w:rPr>
        <w:t xml:space="preserve">Ricardo Natalino, </w:t>
      </w:r>
      <w:r w:rsidRPr="008E6460">
        <w:rPr>
          <w:lang w:val="pt-BR"/>
        </w:rPr>
        <w:t>Luiz A. Peternelli, Márcio H. P. Barbosa</w:t>
      </w:r>
      <w:r w:rsidRPr="008E6460">
        <w:rPr>
          <w:vertAlign w:val="superscript"/>
          <w:lang w:val="pt-BR"/>
        </w:rPr>
        <w:t>b</w:t>
      </w:r>
      <w:r w:rsidRPr="008E6460">
        <w:rPr>
          <w:lang w:val="pt-BR"/>
        </w:rPr>
        <w:t>, Reinaldo F. Teófilo</w:t>
      </w:r>
      <w:r w:rsidRPr="008E6460">
        <w:rPr>
          <w:vertAlign w:val="superscript"/>
          <w:lang w:val="pt-BR"/>
        </w:rPr>
        <w:t>a*</w:t>
      </w:r>
    </w:p>
    <w:p w14:paraId="6B2D21B3" w14:textId="43D82104" w:rsidR="00B57E6F" w:rsidRPr="008E6460" w:rsidRDefault="00B57E6F" w:rsidP="00B57E6F">
      <w:pPr>
        <w:pStyle w:val="CETAddress"/>
        <w:rPr>
          <w:lang w:val="pt-BR"/>
        </w:rPr>
      </w:pPr>
      <w:r w:rsidRPr="00B57B36">
        <w:rPr>
          <w:vertAlign w:val="superscript"/>
        </w:rPr>
        <w:t>a</w:t>
      </w:r>
      <w:r w:rsidR="008E6460" w:rsidRPr="008E6460">
        <w:t xml:space="preserve"> Multivariate Chemical Data Analysis Laboratory, Department of Chemistry, Universidade Federal de Viçosa. </w:t>
      </w:r>
      <w:r w:rsidR="008E6460" w:rsidRPr="008E6460">
        <w:rPr>
          <w:lang w:val="pt-BR"/>
        </w:rPr>
        <w:t>36570-900, Viçosa, MG, Brazil</w:t>
      </w:r>
      <w:r w:rsidRPr="008E6460">
        <w:rPr>
          <w:lang w:val="pt-BR"/>
        </w:rPr>
        <w:t xml:space="preserve"> </w:t>
      </w:r>
    </w:p>
    <w:p w14:paraId="3D72B0B0" w14:textId="41EB949D" w:rsidR="00B57E6F" w:rsidRPr="008E6460" w:rsidRDefault="00B57E6F" w:rsidP="00B57E6F">
      <w:pPr>
        <w:pStyle w:val="CETAddress"/>
        <w:rPr>
          <w:lang w:val="pt-BR"/>
        </w:rPr>
      </w:pPr>
      <w:r w:rsidRPr="008E6460">
        <w:rPr>
          <w:vertAlign w:val="superscript"/>
          <w:lang w:val="pt-BR"/>
        </w:rPr>
        <w:t>b</w:t>
      </w:r>
      <w:r w:rsidR="008E6460" w:rsidRPr="008E6460">
        <w:rPr>
          <w:lang w:val="pt-BR"/>
        </w:rPr>
        <w:t>Department of Agronomy, Universidade Federal de Viçosa, 36570-900, Viçosa, MG, Brazil</w:t>
      </w:r>
      <w:r w:rsidRPr="008E6460">
        <w:rPr>
          <w:lang w:val="pt-BR"/>
        </w:rPr>
        <w:t xml:space="preserve"> </w:t>
      </w:r>
    </w:p>
    <w:p w14:paraId="73F1267A" w14:textId="6621E02F" w:rsidR="00B57E6F" w:rsidRPr="00B57B36" w:rsidRDefault="00B57E6F" w:rsidP="00B57E6F">
      <w:pPr>
        <w:pStyle w:val="CETemail"/>
      </w:pPr>
      <w:r w:rsidRPr="006E1F78">
        <w:rPr>
          <w:lang w:val="pt-BR"/>
        </w:rPr>
        <w:t xml:space="preserve"> </w:t>
      </w:r>
      <w:r w:rsidR="008E6460" w:rsidRPr="008E6460">
        <w:t>rteofilo@ufv.br</w:t>
      </w:r>
    </w:p>
    <w:p w14:paraId="4192C89D" w14:textId="03DFC83C" w:rsidR="00080F41" w:rsidRDefault="00080F41" w:rsidP="00080F41">
      <w:pPr>
        <w:pStyle w:val="CETBodytext"/>
        <w:rPr>
          <w:lang w:val="en-GB"/>
        </w:rPr>
      </w:pPr>
      <w:bookmarkStart w:id="0" w:name="_Hlk495475023"/>
      <w:r w:rsidRPr="00080F41">
        <w:rPr>
          <w:lang w:val="en-GB"/>
        </w:rPr>
        <w:t>The reuse study of niobium phosphate catalyst (NbOPO</w:t>
      </w:r>
      <w:r w:rsidRPr="00080F41">
        <w:rPr>
          <w:vertAlign w:val="subscript"/>
          <w:lang w:val="en-GB"/>
        </w:rPr>
        <w:t>4</w:t>
      </w:r>
      <w:r w:rsidRPr="00080F41">
        <w:rPr>
          <w:lang w:val="en-GB"/>
        </w:rPr>
        <w:t>.nH</w:t>
      </w:r>
      <w:r w:rsidRPr="00080F41">
        <w:rPr>
          <w:vertAlign w:val="subscript"/>
          <w:lang w:val="en-GB"/>
        </w:rPr>
        <w:t>2</w:t>
      </w:r>
      <w:r w:rsidRPr="00080F41">
        <w:rPr>
          <w:lang w:val="en-GB"/>
        </w:rPr>
        <w:t>O, abbreviated as NbP) in furfural production from sugarcane bagasse (</w:t>
      </w:r>
      <w:r w:rsidR="00CB715C">
        <w:rPr>
          <w:lang w:val="en-GB"/>
        </w:rPr>
        <w:t>SCB</w:t>
      </w:r>
      <w:r w:rsidRPr="00080F41">
        <w:rPr>
          <w:lang w:val="en-GB"/>
        </w:rPr>
        <w:t xml:space="preserve">) in an aqueous medium is the </w:t>
      </w:r>
      <w:r w:rsidR="00125F34">
        <w:rPr>
          <w:lang w:val="en-GB"/>
        </w:rPr>
        <w:t>aim</w:t>
      </w:r>
      <w:r w:rsidRPr="00080F41">
        <w:rPr>
          <w:lang w:val="en-GB"/>
        </w:rPr>
        <w:t xml:space="preserve"> of this project. The heterogeneous NbP catalyst was exploited to </w:t>
      </w:r>
      <w:proofErr w:type="spellStart"/>
      <w:r w:rsidR="001A55F1" w:rsidRPr="00080F41">
        <w:rPr>
          <w:lang w:val="en-GB"/>
        </w:rPr>
        <w:t>hydrol</w:t>
      </w:r>
      <w:r w:rsidR="00125F34">
        <w:rPr>
          <w:lang w:val="en-GB"/>
        </w:rPr>
        <w:t>iz</w:t>
      </w:r>
      <w:r w:rsidR="001A55F1" w:rsidRPr="00080F41">
        <w:rPr>
          <w:lang w:val="en-GB"/>
        </w:rPr>
        <w:t>e</w:t>
      </w:r>
      <w:proofErr w:type="spellEnd"/>
      <w:r w:rsidRPr="00080F41">
        <w:rPr>
          <w:lang w:val="en-GB"/>
        </w:rPr>
        <w:t xml:space="preserve"> the </w:t>
      </w:r>
      <w:r w:rsidR="00CF0519">
        <w:rPr>
          <w:lang w:val="en-GB"/>
        </w:rPr>
        <w:t>SCB</w:t>
      </w:r>
      <w:r w:rsidRPr="00080F41">
        <w:rPr>
          <w:lang w:val="en-GB"/>
        </w:rPr>
        <w:t xml:space="preserve"> biopolymers and dehydrate the major released carbohydrate, i.e., xylose, into furfural. The compounds were separated and quantified by high-performance liquid chromatography (HPLC). At the end of each reaction, the catalyst was separated from the </w:t>
      </w:r>
      <w:r w:rsidR="00CF0519">
        <w:rPr>
          <w:lang w:val="en-GB"/>
        </w:rPr>
        <w:t>SBA</w:t>
      </w:r>
      <w:r w:rsidRPr="00080F41">
        <w:rPr>
          <w:lang w:val="en-GB"/>
        </w:rPr>
        <w:t xml:space="preserve"> by sieving and </w:t>
      </w:r>
      <w:r w:rsidR="001A55F1" w:rsidRPr="00080F41">
        <w:rPr>
          <w:lang w:val="en-GB"/>
        </w:rPr>
        <w:t>pre-treated</w:t>
      </w:r>
      <w:r w:rsidRPr="00080F41">
        <w:rPr>
          <w:lang w:val="en-GB"/>
        </w:rPr>
        <w:t xml:space="preserve"> with water (A), 5 ml of acetone (B), 10 ml of acetone (C) or calcined at 550 °C (D). After </w:t>
      </w:r>
      <w:r w:rsidR="00177B50">
        <w:rPr>
          <w:lang w:val="en-GB"/>
        </w:rPr>
        <w:t>pretreatment</w:t>
      </w:r>
      <w:r w:rsidRPr="00080F41">
        <w:rPr>
          <w:lang w:val="en-GB"/>
        </w:rPr>
        <w:t xml:space="preserve">, the catalyst was reused for another cycle. An analysis of variance was performed to compare the difference in productivity between cycles statistically. The catalyst was </w:t>
      </w:r>
      <w:proofErr w:type="spellStart"/>
      <w:r w:rsidRPr="00080F41">
        <w:rPr>
          <w:lang w:val="en-GB"/>
        </w:rPr>
        <w:t>analyzed</w:t>
      </w:r>
      <w:proofErr w:type="spellEnd"/>
      <w:r w:rsidRPr="00080F41">
        <w:rPr>
          <w:lang w:val="en-GB"/>
        </w:rPr>
        <w:t xml:space="preserve"> for its morphology by SEM</w:t>
      </w:r>
      <w:r w:rsidR="00D4328A">
        <w:rPr>
          <w:lang w:val="en-GB"/>
        </w:rPr>
        <w:t xml:space="preserve"> images</w:t>
      </w:r>
      <w:r w:rsidRPr="00080F41">
        <w:rPr>
          <w:lang w:val="en-GB"/>
        </w:rPr>
        <w:t xml:space="preserve"> and XEDS. For the release of xylose, at a significance level of 0.01, the </w:t>
      </w:r>
      <w:r w:rsidR="00177B50">
        <w:rPr>
          <w:lang w:val="en-GB"/>
        </w:rPr>
        <w:t>pretreatment</w:t>
      </w:r>
      <w:r w:rsidRPr="00080F41">
        <w:rPr>
          <w:lang w:val="en-GB"/>
        </w:rPr>
        <w:t xml:space="preserve">s A, B, and D in the reactions at 150 °C were efficient to reactivate the catalyst’s active sites. </w:t>
      </w:r>
      <w:r w:rsidR="00125F34" w:rsidRPr="00125F34">
        <w:rPr>
          <w:lang w:val="en-GB"/>
        </w:rPr>
        <w:t>Cycles 1 and 2 produced about 15 g</w:t>
      </w:r>
      <w:r w:rsidR="00125F34">
        <w:rPr>
          <w:lang w:val="en-GB"/>
        </w:rPr>
        <w:t xml:space="preserve"> k</w:t>
      </w:r>
      <w:r w:rsidR="00125F34" w:rsidRPr="00125F34">
        <w:rPr>
          <w:lang w:val="en-GB"/>
        </w:rPr>
        <w:t>g</w:t>
      </w:r>
      <w:r w:rsidR="00125F34" w:rsidRPr="00125F34">
        <w:rPr>
          <w:vertAlign w:val="superscript"/>
          <w:lang w:val="en-GB"/>
        </w:rPr>
        <w:t>-1</w:t>
      </w:r>
      <w:r w:rsidR="00125F34" w:rsidRPr="00125F34">
        <w:rPr>
          <w:lang w:val="en-GB"/>
        </w:rPr>
        <w:t xml:space="preserve"> xylose at 110 °C and 80 g</w:t>
      </w:r>
      <w:r w:rsidR="00125F34">
        <w:rPr>
          <w:lang w:val="en-GB"/>
        </w:rPr>
        <w:t xml:space="preserve"> k</w:t>
      </w:r>
      <w:r w:rsidR="00125F34" w:rsidRPr="00125F34">
        <w:rPr>
          <w:lang w:val="en-GB"/>
        </w:rPr>
        <w:t>g</w:t>
      </w:r>
      <w:r w:rsidR="00125F34" w:rsidRPr="00125F34">
        <w:rPr>
          <w:vertAlign w:val="superscript"/>
          <w:lang w:val="en-GB"/>
        </w:rPr>
        <w:t>-1</w:t>
      </w:r>
      <w:r w:rsidR="00125F34" w:rsidRPr="00125F34">
        <w:rPr>
          <w:lang w:val="en-GB"/>
        </w:rPr>
        <w:t xml:space="preserve"> furfural at 150 °C.</w:t>
      </w:r>
      <w:r w:rsidRPr="00080F41">
        <w:rPr>
          <w:lang w:val="en-GB"/>
        </w:rPr>
        <w:t xml:space="preserve"> The results</w:t>
      </w:r>
      <w:r w:rsidR="00125F34">
        <w:rPr>
          <w:lang w:val="en-GB"/>
        </w:rPr>
        <w:t xml:space="preserve"> with</w:t>
      </w:r>
      <w:r w:rsidRPr="00080F41">
        <w:rPr>
          <w:lang w:val="en-GB"/>
        </w:rPr>
        <w:t xml:space="preserve"> </w:t>
      </w:r>
      <w:r w:rsidR="00125F34" w:rsidRPr="00080F41">
        <w:rPr>
          <w:lang w:val="en-GB"/>
        </w:rPr>
        <w:t xml:space="preserve">pretreatment A </w:t>
      </w:r>
      <w:r w:rsidR="00125F34">
        <w:rPr>
          <w:lang w:val="en-GB"/>
        </w:rPr>
        <w:t>at</w:t>
      </w:r>
      <w:r w:rsidRPr="00080F41">
        <w:rPr>
          <w:lang w:val="en-GB"/>
        </w:rPr>
        <w:t xml:space="preserve"> 150 °C are promising from an economic and environmental point of view since the other </w:t>
      </w:r>
      <w:r w:rsidR="00177B50">
        <w:rPr>
          <w:lang w:val="en-GB"/>
        </w:rPr>
        <w:t>pretreatment</w:t>
      </w:r>
      <w:r w:rsidR="001A55F1" w:rsidRPr="00080F41">
        <w:rPr>
          <w:lang w:val="en-GB"/>
        </w:rPr>
        <w:t>s</w:t>
      </w:r>
      <w:r w:rsidRPr="00080F41">
        <w:rPr>
          <w:lang w:val="en-GB"/>
        </w:rPr>
        <w:t xml:space="preserve"> either use a toxic, more costly solvent or consume electricity.</w:t>
      </w:r>
    </w:p>
    <w:bookmarkEnd w:id="0"/>
    <w:p w14:paraId="476B2F2E" w14:textId="77777777" w:rsidR="00600535" w:rsidRPr="00B57B36" w:rsidRDefault="00600535" w:rsidP="00600535">
      <w:pPr>
        <w:pStyle w:val="CETHeading1"/>
        <w:rPr>
          <w:lang w:val="en-GB"/>
        </w:rPr>
      </w:pPr>
      <w:r w:rsidRPr="00B57B36">
        <w:rPr>
          <w:lang w:val="en-GB"/>
        </w:rPr>
        <w:t>Introduction</w:t>
      </w:r>
    </w:p>
    <w:p w14:paraId="7EBC062D" w14:textId="72D3F584" w:rsidR="00080F41" w:rsidRPr="00080F41" w:rsidRDefault="00080F41" w:rsidP="00080F41">
      <w:pPr>
        <w:pStyle w:val="CETBodytext"/>
        <w:rPr>
          <w:lang w:val="en-GB"/>
        </w:rPr>
      </w:pPr>
      <w:r w:rsidRPr="00080F41">
        <w:rPr>
          <w:lang w:val="en-GB"/>
        </w:rPr>
        <w:t>The increase in the price of crude oil has resulted in an interest in searching and developing alternative sources of fuel and chemicals (</w:t>
      </w:r>
      <w:bookmarkStart w:id="1" w:name="_Hlk92984381"/>
      <w:proofErr w:type="spellStart"/>
      <w:r w:rsidRPr="00080F41">
        <w:rPr>
          <w:lang w:val="en-GB"/>
        </w:rPr>
        <w:t>Mamman</w:t>
      </w:r>
      <w:proofErr w:type="spellEnd"/>
      <w:r w:rsidRPr="00080F41">
        <w:rPr>
          <w:lang w:val="en-GB"/>
        </w:rPr>
        <w:t xml:space="preserve"> et al., 2008</w:t>
      </w:r>
      <w:bookmarkEnd w:id="1"/>
      <w:r w:rsidRPr="00080F41">
        <w:rPr>
          <w:lang w:val="en-GB"/>
        </w:rPr>
        <w:t>). Towards sustainable growth, the global trend aims to develop different technologies and processes based on renewable sources to produce fuel, energy, and chemicals as an alternative to the oil-based economy. Brazil has a vast arable area and favo</w:t>
      </w:r>
      <w:r w:rsidR="003F5262">
        <w:rPr>
          <w:lang w:val="en-GB"/>
        </w:rPr>
        <w:t>u</w:t>
      </w:r>
      <w:r w:rsidRPr="00080F41">
        <w:rPr>
          <w:lang w:val="en-GB"/>
        </w:rPr>
        <w:t xml:space="preserve">rable climates that </w:t>
      </w:r>
      <w:r w:rsidR="003F5262" w:rsidRPr="00A66FBD">
        <w:t>highlight</w:t>
      </w:r>
      <w:r w:rsidRPr="00080F41">
        <w:rPr>
          <w:lang w:val="en-GB"/>
        </w:rPr>
        <w:t xml:space="preserve"> significant advantages for developing various crops in different regions. As a result of the country’s agricultural diversity, ethanol and biodiesel production as alternatives to fossil fuels is facilitated. In addition, the excess lignocellulosic residue from such processes is used to produce-generation bioenergy and high value-added chemical inputs with a wide range of applications (</w:t>
      </w:r>
      <w:bookmarkStart w:id="2" w:name="_Hlk92984392"/>
      <w:r w:rsidRPr="00080F41">
        <w:rPr>
          <w:lang w:val="en-GB"/>
        </w:rPr>
        <w:t>Aranda et al., 2009</w:t>
      </w:r>
      <w:bookmarkEnd w:id="2"/>
      <w:r w:rsidRPr="00080F41">
        <w:rPr>
          <w:lang w:val="en-GB"/>
        </w:rPr>
        <w:t>). In this scenario, lignocellulosic biomass is the most promising and abundant renewable source to achieve these goals (</w:t>
      </w:r>
      <w:bookmarkStart w:id="3" w:name="_Hlk92984401"/>
      <w:proofErr w:type="spellStart"/>
      <w:r w:rsidRPr="00080F41">
        <w:rPr>
          <w:lang w:val="en-GB"/>
        </w:rPr>
        <w:t>Catrinck</w:t>
      </w:r>
      <w:proofErr w:type="spellEnd"/>
      <w:r w:rsidRPr="00080F41">
        <w:rPr>
          <w:lang w:val="en-GB"/>
        </w:rPr>
        <w:t xml:space="preserve"> et al., 2020</w:t>
      </w:r>
      <w:bookmarkEnd w:id="3"/>
      <w:r w:rsidRPr="00080F41">
        <w:rPr>
          <w:lang w:val="en-GB"/>
        </w:rPr>
        <w:t>).</w:t>
      </w:r>
    </w:p>
    <w:p w14:paraId="306DE649" w14:textId="1E0DA362" w:rsidR="00080F41" w:rsidRDefault="00080F41" w:rsidP="00080F41">
      <w:pPr>
        <w:pStyle w:val="CETBodytext"/>
        <w:rPr>
          <w:lang w:val="en-GB"/>
        </w:rPr>
      </w:pPr>
      <w:r w:rsidRPr="00080F41">
        <w:rPr>
          <w:lang w:val="en-GB"/>
        </w:rPr>
        <w:t>Furfural is industrially produced from lignocellulosic materials such as corn cobs and sugarcane bagasse (</w:t>
      </w:r>
      <w:r w:rsidR="003E1DFF">
        <w:rPr>
          <w:lang w:val="en-GB"/>
        </w:rPr>
        <w:t>SCB</w:t>
      </w:r>
      <w:r w:rsidRPr="00080F41">
        <w:rPr>
          <w:lang w:val="en-GB"/>
        </w:rPr>
        <w:t>). It is currently the only furan compound obtained directly from lignocellulosic biomass on an industrial scale (</w:t>
      </w:r>
      <w:bookmarkStart w:id="4" w:name="_Hlk92984413"/>
      <w:r w:rsidRPr="00080F41">
        <w:rPr>
          <w:lang w:val="en-GB"/>
        </w:rPr>
        <w:t>Mika</w:t>
      </w:r>
      <w:r w:rsidR="003F5262">
        <w:rPr>
          <w:lang w:val="en-GB"/>
        </w:rPr>
        <w:t xml:space="preserve"> et al.</w:t>
      </w:r>
      <w:r w:rsidRPr="00080F41">
        <w:rPr>
          <w:lang w:val="en-GB"/>
        </w:rPr>
        <w:t>, 2018</w:t>
      </w:r>
      <w:bookmarkEnd w:id="4"/>
      <w:r w:rsidRPr="00080F41">
        <w:rPr>
          <w:lang w:val="en-GB"/>
        </w:rPr>
        <w:t xml:space="preserve">). In addition to its use as a secondary fuel precursor, the main uses for furfural include the extractive distillation of hydrocarbons, as a solvent for refinery oil, in the manufacture of plastics, and pesticide and germicide formulations. Therefore, a strategy to increase yields and reduce energy costs in furfural production and from the hydrolysis of lignocellulosic biomass </w:t>
      </w:r>
      <w:r w:rsidR="003F5262" w:rsidRPr="001C579A">
        <w:t>is very important</w:t>
      </w:r>
      <w:r w:rsidR="003F5262" w:rsidRPr="00080F41">
        <w:rPr>
          <w:lang w:val="en-GB"/>
        </w:rPr>
        <w:t xml:space="preserve"> </w:t>
      </w:r>
      <w:r w:rsidRPr="00080F41">
        <w:rPr>
          <w:lang w:val="en-GB"/>
        </w:rPr>
        <w:t>to the fuel and fine chemical industries.</w:t>
      </w:r>
      <w:r w:rsidR="00D402E5">
        <w:rPr>
          <w:lang w:val="en-GB"/>
        </w:rPr>
        <w:t xml:space="preserve"> </w:t>
      </w:r>
      <w:r w:rsidRPr="00080F41">
        <w:rPr>
          <w:lang w:val="en-GB"/>
        </w:rPr>
        <w:t xml:space="preserve">Hydrolysis is aided by a catalytic process that converts the carbohydrates present in the biomass (cellulose and hemicellulose fraction) into fermentable sugars. These sugars, mainly glucose, xylose, and arabinose, can be later converted, for example, via fermentation and/or dehydration, to products with high added value. Therefore, the availability of these carbohydrates in the reaction medium is essential for higher yields of the products of </w:t>
      </w:r>
      <w:r w:rsidRPr="00080F41">
        <w:rPr>
          <w:lang w:val="en-GB"/>
        </w:rPr>
        <w:lastRenderedPageBreak/>
        <w:t>interest.</w:t>
      </w:r>
      <w:r w:rsidR="00D402E5">
        <w:rPr>
          <w:lang w:val="en-GB"/>
        </w:rPr>
        <w:t xml:space="preserve"> </w:t>
      </w:r>
      <w:r w:rsidRPr="00080F41">
        <w:rPr>
          <w:lang w:val="en-GB"/>
        </w:rPr>
        <w:t>Several methods presented in the literature propose using xylose as a model substrate to improve or develop new strategies to increase furfural yield. These methods alter the catalyst and solvent to make the process more efficient and environmentally sustainable (</w:t>
      </w:r>
      <w:proofErr w:type="spellStart"/>
      <w:r w:rsidRPr="00080F41">
        <w:rPr>
          <w:lang w:val="en-GB"/>
        </w:rPr>
        <w:t>Catrinck</w:t>
      </w:r>
      <w:proofErr w:type="spellEnd"/>
      <w:r w:rsidRPr="00080F41">
        <w:rPr>
          <w:lang w:val="en-GB"/>
        </w:rPr>
        <w:t xml:space="preserve"> et al., 2020).</w:t>
      </w:r>
      <w:r w:rsidR="00D402E5">
        <w:rPr>
          <w:lang w:val="en-GB"/>
        </w:rPr>
        <w:t xml:space="preserve"> </w:t>
      </w:r>
      <w:r w:rsidRPr="00080F41">
        <w:rPr>
          <w:lang w:val="en-GB"/>
        </w:rPr>
        <w:t xml:space="preserve">Niobium-based catalysts are recognized as water-tolerant solid acid catalysts. Applications have been found in several catalytic processes that require strong acidic properties, even in aqueous media. As they have Lewis (LAS) and </w:t>
      </w:r>
      <w:proofErr w:type="spellStart"/>
      <w:r w:rsidRPr="00080F41">
        <w:rPr>
          <w:lang w:val="en-GB"/>
        </w:rPr>
        <w:t>Brønsted</w:t>
      </w:r>
      <w:proofErr w:type="spellEnd"/>
      <w:r w:rsidRPr="00080F41">
        <w:rPr>
          <w:lang w:val="en-GB"/>
        </w:rPr>
        <w:t xml:space="preserve"> (BAS) acid sites, these catalysts accelerate the isomerization and conversion of pentose in reactions involving lignocellulosic materials. Niobium phosphate, for example, has LAS and BAS with the advantage that these properties are preserved in an aqueous medium and at high temperatures (</w:t>
      </w:r>
      <w:bookmarkStart w:id="5" w:name="_Hlk92984485"/>
      <w:proofErr w:type="spellStart"/>
      <w:r w:rsidRPr="00080F41">
        <w:rPr>
          <w:lang w:val="en-GB"/>
        </w:rPr>
        <w:t>Carniti</w:t>
      </w:r>
      <w:proofErr w:type="spellEnd"/>
      <w:r w:rsidRPr="00080F41">
        <w:rPr>
          <w:lang w:val="en-GB"/>
        </w:rPr>
        <w:t xml:space="preserve"> et al., 2006</w:t>
      </w:r>
      <w:bookmarkEnd w:id="5"/>
      <w:r w:rsidRPr="00080F41">
        <w:rPr>
          <w:lang w:val="en-GB"/>
        </w:rPr>
        <w:t xml:space="preserve">; </w:t>
      </w:r>
      <w:proofErr w:type="spellStart"/>
      <w:r w:rsidRPr="00080F41">
        <w:rPr>
          <w:lang w:val="en-GB"/>
        </w:rPr>
        <w:t>Catrinck</w:t>
      </w:r>
      <w:proofErr w:type="spellEnd"/>
      <w:r w:rsidRPr="00080F41">
        <w:rPr>
          <w:lang w:val="en-GB"/>
        </w:rPr>
        <w:t xml:space="preserve"> et al., 2020).</w:t>
      </w:r>
      <w:r w:rsidR="00D402E5">
        <w:rPr>
          <w:lang w:val="en-GB"/>
        </w:rPr>
        <w:t xml:space="preserve"> </w:t>
      </w:r>
      <w:r w:rsidRPr="00080F41">
        <w:rPr>
          <w:lang w:val="en-GB"/>
        </w:rPr>
        <w:t>Considering the advantages of heterogeneous catalysis, the replacement of water-soluble acids by solid acids is highly desirable in the chemical industry. Solid acids are ecologically sound concerning corrosiveness and safety, and their separation and recovery are facilitated.</w:t>
      </w:r>
      <w:r w:rsidR="00D402E5">
        <w:rPr>
          <w:lang w:val="en-GB"/>
        </w:rPr>
        <w:t xml:space="preserve"> </w:t>
      </w:r>
      <w:r w:rsidRPr="00080F41">
        <w:rPr>
          <w:lang w:val="en-GB"/>
        </w:rPr>
        <w:t xml:space="preserve">However, when using water-insoluble substrates, such as </w:t>
      </w:r>
      <w:r w:rsidR="003E1DFF">
        <w:rPr>
          <w:lang w:val="en-GB"/>
        </w:rPr>
        <w:t>SCB</w:t>
      </w:r>
      <w:r w:rsidRPr="00080F41">
        <w:rPr>
          <w:lang w:val="en-GB"/>
        </w:rPr>
        <w:t xml:space="preserve">, two aspects must be considered: catalyst separation and reuse. To our knowledge, no study in the literature has used, separated, and reused the niobium phosphate catalyst to produce furfural directly from the </w:t>
      </w:r>
      <w:r w:rsidR="001A55F1">
        <w:rPr>
          <w:lang w:val="en-GB"/>
        </w:rPr>
        <w:t>SCB</w:t>
      </w:r>
      <w:r w:rsidRPr="00080F41">
        <w:rPr>
          <w:lang w:val="en-GB"/>
        </w:rPr>
        <w:t xml:space="preserve">. </w:t>
      </w:r>
      <w:proofErr w:type="spellStart"/>
      <w:r w:rsidRPr="00080F41">
        <w:rPr>
          <w:lang w:val="en-GB"/>
        </w:rPr>
        <w:t>Catrinck</w:t>
      </w:r>
      <w:proofErr w:type="spellEnd"/>
      <w:r w:rsidRPr="00080F41">
        <w:rPr>
          <w:lang w:val="en-GB"/>
        </w:rPr>
        <w:t xml:space="preserve"> et al.</w:t>
      </w:r>
      <w:r w:rsidR="003F5262">
        <w:rPr>
          <w:lang w:val="en-GB"/>
        </w:rPr>
        <w:t xml:space="preserve"> (2020)</w:t>
      </w:r>
      <w:r w:rsidRPr="00080F41">
        <w:rPr>
          <w:lang w:val="en-GB"/>
        </w:rPr>
        <w:t xml:space="preserve"> show that niobium phosphate is an excellent catalyst to produce furfural from </w:t>
      </w:r>
      <w:r w:rsidR="00EC4B11">
        <w:rPr>
          <w:lang w:val="en-GB"/>
        </w:rPr>
        <w:t>SCB</w:t>
      </w:r>
      <w:r w:rsidRPr="00080F41">
        <w:rPr>
          <w:lang w:val="en-GB"/>
        </w:rPr>
        <w:t>; however, the authors did not report separation and reuse results for this catalyst.</w:t>
      </w:r>
      <w:r w:rsidR="00D402E5">
        <w:rPr>
          <w:lang w:val="en-GB"/>
        </w:rPr>
        <w:t xml:space="preserve"> </w:t>
      </w:r>
      <w:r w:rsidRPr="00080F41">
        <w:rPr>
          <w:lang w:val="en-GB"/>
        </w:rPr>
        <w:t xml:space="preserve">Thus, the specific objectives of this work are: </w:t>
      </w:r>
      <w:proofErr w:type="spellStart"/>
      <w:r w:rsidRPr="00080F41">
        <w:rPr>
          <w:lang w:val="en-GB"/>
        </w:rPr>
        <w:t>i</w:t>
      </w:r>
      <w:proofErr w:type="spellEnd"/>
      <w:r w:rsidRPr="00080F41">
        <w:rPr>
          <w:lang w:val="en-GB"/>
        </w:rPr>
        <w:t xml:space="preserve">) to produce furfural from </w:t>
      </w:r>
      <w:r>
        <w:rPr>
          <w:lang w:val="en-GB"/>
        </w:rPr>
        <w:t>SCB</w:t>
      </w:r>
      <w:r w:rsidRPr="00080F41">
        <w:rPr>
          <w:lang w:val="en-GB"/>
        </w:rPr>
        <w:t xml:space="preserve"> using niobium phosphate; iii) to separate the catalyst from the biomass, and iv) to investigate its reuse.</w:t>
      </w:r>
    </w:p>
    <w:p w14:paraId="4A8D6560" w14:textId="0278A112" w:rsidR="00FC0819" w:rsidRPr="00C54684" w:rsidRDefault="00FC0819" w:rsidP="00C54684">
      <w:pPr>
        <w:pStyle w:val="CETHeading1"/>
      </w:pPr>
      <w:r w:rsidRPr="00C54684">
        <w:t>Materials and Methods</w:t>
      </w:r>
    </w:p>
    <w:p w14:paraId="2D7701CC" w14:textId="63049838" w:rsidR="00FC0819" w:rsidRPr="00FC0819" w:rsidRDefault="00FC0819" w:rsidP="00C54684">
      <w:pPr>
        <w:pStyle w:val="CETheadingx"/>
        <w:numPr>
          <w:ilvl w:val="1"/>
          <w:numId w:val="24"/>
        </w:numPr>
      </w:pPr>
      <w:r w:rsidRPr="00FC0819">
        <w:t>Materials</w:t>
      </w:r>
    </w:p>
    <w:p w14:paraId="498CB47E" w14:textId="2290C137" w:rsidR="00FC0819" w:rsidRPr="00FC0819" w:rsidRDefault="00FC0819" w:rsidP="00FC0819">
      <w:pPr>
        <w:pStyle w:val="CETBodytext"/>
        <w:rPr>
          <w:lang w:val="en-GB"/>
        </w:rPr>
      </w:pPr>
      <w:r w:rsidRPr="00FC0819">
        <w:rPr>
          <w:lang w:val="en-GB"/>
        </w:rPr>
        <w:t>NbOPO</w:t>
      </w:r>
      <w:r w:rsidRPr="00C54684">
        <w:rPr>
          <w:vertAlign w:val="subscript"/>
          <w:lang w:val="en-GB"/>
        </w:rPr>
        <w:t>4</w:t>
      </w:r>
      <w:r w:rsidRPr="00FC0819">
        <w:rPr>
          <w:lang w:val="en-GB"/>
        </w:rPr>
        <w:t>.nH</w:t>
      </w:r>
      <w:r w:rsidRPr="00C54684">
        <w:rPr>
          <w:vertAlign w:val="subscript"/>
          <w:lang w:val="en-GB"/>
        </w:rPr>
        <w:t>2</w:t>
      </w:r>
      <w:r w:rsidRPr="00FC0819">
        <w:rPr>
          <w:lang w:val="en-GB"/>
        </w:rPr>
        <w:t xml:space="preserve">O (NbP) was supplied by </w:t>
      </w:r>
      <w:proofErr w:type="spellStart"/>
      <w:r w:rsidRPr="00FC0819">
        <w:rPr>
          <w:lang w:val="en-GB"/>
        </w:rPr>
        <w:t>Companhia</w:t>
      </w:r>
      <w:proofErr w:type="spellEnd"/>
      <w:r w:rsidRPr="00FC0819">
        <w:rPr>
          <w:lang w:val="en-GB"/>
        </w:rPr>
        <w:t xml:space="preserve"> </w:t>
      </w:r>
      <w:proofErr w:type="spellStart"/>
      <w:r w:rsidRPr="00FC0819">
        <w:rPr>
          <w:lang w:val="en-GB"/>
        </w:rPr>
        <w:t>Brasileira</w:t>
      </w:r>
      <w:proofErr w:type="spellEnd"/>
      <w:r w:rsidRPr="00FC0819">
        <w:rPr>
          <w:lang w:val="en-GB"/>
        </w:rPr>
        <w:t xml:space="preserve"> de </w:t>
      </w:r>
      <w:proofErr w:type="spellStart"/>
      <w:r w:rsidRPr="00FC0819">
        <w:rPr>
          <w:lang w:val="en-GB"/>
        </w:rPr>
        <w:t>Metalurgia</w:t>
      </w:r>
      <w:proofErr w:type="spellEnd"/>
      <w:r w:rsidRPr="00FC0819">
        <w:rPr>
          <w:lang w:val="en-GB"/>
        </w:rPr>
        <w:t xml:space="preserve"> e </w:t>
      </w:r>
      <w:proofErr w:type="spellStart"/>
      <w:r w:rsidRPr="00FC0819">
        <w:rPr>
          <w:lang w:val="en-GB"/>
        </w:rPr>
        <w:t>Mineração</w:t>
      </w:r>
      <w:proofErr w:type="spellEnd"/>
      <w:r w:rsidRPr="00FC0819">
        <w:rPr>
          <w:lang w:val="en-GB"/>
        </w:rPr>
        <w:t xml:space="preserve"> (CBMM, Brazil) and washed to remove excess phosphoric acid from the surface. Acetone (</w:t>
      </w:r>
      <w:proofErr w:type="spellStart"/>
      <w:r w:rsidRPr="00FC0819">
        <w:rPr>
          <w:lang w:val="en-GB"/>
        </w:rPr>
        <w:t>Fmaia</w:t>
      </w:r>
      <w:proofErr w:type="spellEnd"/>
      <w:r w:rsidRPr="00FC0819">
        <w:rPr>
          <w:lang w:val="en-GB"/>
        </w:rPr>
        <w:t xml:space="preserve"> 99.5</w:t>
      </w:r>
      <w:r w:rsidR="00C54684">
        <w:rPr>
          <w:lang w:val="en-GB"/>
        </w:rPr>
        <w:t xml:space="preserve"> </w:t>
      </w:r>
      <w:r w:rsidRPr="00FC0819">
        <w:rPr>
          <w:lang w:val="en-GB"/>
        </w:rPr>
        <w:t>%) will be used as supplied. The sugarcane bagasse (</w:t>
      </w:r>
      <w:r w:rsidR="00C54684">
        <w:rPr>
          <w:lang w:val="en-GB"/>
        </w:rPr>
        <w:t>SCB</w:t>
      </w:r>
      <w:r w:rsidRPr="00FC0819">
        <w:rPr>
          <w:lang w:val="en-GB"/>
        </w:rPr>
        <w:t xml:space="preserve">) used as substrate was supplied by the Sugarcane Genetic Improvement Program (PMGCA) of the Department of Plant Science at the Federal University of </w:t>
      </w:r>
      <w:proofErr w:type="spellStart"/>
      <w:r w:rsidRPr="00FC0819">
        <w:rPr>
          <w:lang w:val="en-GB"/>
        </w:rPr>
        <w:t>Viçosa</w:t>
      </w:r>
      <w:proofErr w:type="spellEnd"/>
      <w:r w:rsidRPr="00FC0819">
        <w:rPr>
          <w:lang w:val="en-GB"/>
        </w:rPr>
        <w:t xml:space="preserve">, UFV. The </w:t>
      </w:r>
      <w:r w:rsidR="003E1DFF">
        <w:rPr>
          <w:lang w:val="en-GB"/>
        </w:rPr>
        <w:t>SCB</w:t>
      </w:r>
      <w:r w:rsidRPr="00FC0819">
        <w:rPr>
          <w:lang w:val="en-GB"/>
        </w:rPr>
        <w:t xml:space="preserve"> was ground, sieved, and removed its extractives before the experiments. The bagasse supplied was characterized with the following composition: 27.7</w:t>
      </w:r>
      <w:r w:rsidR="00C54684">
        <w:rPr>
          <w:lang w:val="en-GB"/>
        </w:rPr>
        <w:t xml:space="preserve"> </w:t>
      </w:r>
      <w:r w:rsidRPr="00FC0819">
        <w:rPr>
          <w:lang w:val="en-GB"/>
        </w:rPr>
        <w:t>% cellulose; 25.26</w:t>
      </w:r>
      <w:r w:rsidR="00C54684">
        <w:rPr>
          <w:lang w:val="en-GB"/>
        </w:rPr>
        <w:t xml:space="preserve"> </w:t>
      </w:r>
      <w:r w:rsidRPr="00FC0819">
        <w:rPr>
          <w:lang w:val="en-GB"/>
        </w:rPr>
        <w:t>% hemicellulose; 18.34</w:t>
      </w:r>
      <w:r w:rsidR="00C54684">
        <w:rPr>
          <w:lang w:val="en-GB"/>
        </w:rPr>
        <w:t xml:space="preserve"> </w:t>
      </w:r>
      <w:r w:rsidRPr="00FC0819">
        <w:rPr>
          <w:lang w:val="en-GB"/>
        </w:rPr>
        <w:t>% lignin. Of the amount of hemicellulose, 19.56</w:t>
      </w:r>
      <w:r w:rsidR="00C54684">
        <w:rPr>
          <w:lang w:val="en-GB"/>
        </w:rPr>
        <w:t xml:space="preserve"> </w:t>
      </w:r>
      <w:r w:rsidRPr="00FC0819">
        <w:rPr>
          <w:lang w:val="en-GB"/>
        </w:rPr>
        <w:t>% is made up of xylose and 5.69</w:t>
      </w:r>
      <w:r w:rsidR="00C54684">
        <w:rPr>
          <w:lang w:val="en-GB"/>
        </w:rPr>
        <w:t xml:space="preserve"> </w:t>
      </w:r>
      <w:r w:rsidRPr="00FC0819">
        <w:rPr>
          <w:lang w:val="en-GB"/>
        </w:rPr>
        <w:t>% of arabinose (</w:t>
      </w:r>
      <w:bookmarkStart w:id="6" w:name="_Hlk92984526"/>
      <w:r w:rsidRPr="00FC0819">
        <w:rPr>
          <w:lang w:val="en-GB"/>
        </w:rPr>
        <w:t>Barbosa, 2018</w:t>
      </w:r>
      <w:bookmarkEnd w:id="6"/>
      <w:r w:rsidRPr="00FC0819">
        <w:rPr>
          <w:lang w:val="en-GB"/>
        </w:rPr>
        <w:t>).</w:t>
      </w:r>
    </w:p>
    <w:p w14:paraId="35F52742" w14:textId="77777777" w:rsidR="00FC0819" w:rsidRPr="00FC0819" w:rsidRDefault="00FC0819" w:rsidP="00C54684">
      <w:pPr>
        <w:pStyle w:val="CETheadingx"/>
        <w:numPr>
          <w:ilvl w:val="0"/>
          <w:numId w:val="0"/>
        </w:numPr>
      </w:pPr>
      <w:r w:rsidRPr="00FC0819">
        <w:t>2.2. Methods</w:t>
      </w:r>
    </w:p>
    <w:p w14:paraId="6B611882" w14:textId="14B5430A" w:rsidR="00FC0819" w:rsidRPr="00FC0819" w:rsidRDefault="00FC0819" w:rsidP="00C54684">
      <w:pPr>
        <w:pStyle w:val="CETHeadingxx"/>
      </w:pPr>
      <w:r w:rsidRPr="00FC0819">
        <w:t>2.2.</w:t>
      </w:r>
      <w:r w:rsidR="008F2B36">
        <w:t>1</w:t>
      </w:r>
      <w:r w:rsidRPr="00FC0819">
        <w:t>. Catalytic reactions</w:t>
      </w:r>
    </w:p>
    <w:p w14:paraId="2D483E55" w14:textId="41802DD8" w:rsidR="00FC0819" w:rsidRPr="00FC0819" w:rsidRDefault="00FC0819" w:rsidP="00FC0819">
      <w:pPr>
        <w:pStyle w:val="CETBodytext"/>
        <w:rPr>
          <w:lang w:val="en-GB"/>
        </w:rPr>
      </w:pPr>
      <w:r w:rsidRPr="00FC0819">
        <w:rPr>
          <w:lang w:val="en-GB"/>
        </w:rPr>
        <w:t xml:space="preserve">The catalytic reactions were developed in glass tubes with a conical bottom coupled with a temperature control heating plate and a magnetic stirring system. Initially, 0.3 g of </w:t>
      </w:r>
      <w:r w:rsidR="001A55F1">
        <w:rPr>
          <w:lang w:val="en-GB"/>
        </w:rPr>
        <w:t>SCB</w:t>
      </w:r>
      <w:r w:rsidRPr="00FC0819">
        <w:rPr>
          <w:lang w:val="en-GB"/>
        </w:rPr>
        <w:t>, 0.3 g of catalyst, and 5 m</w:t>
      </w:r>
      <w:r w:rsidR="003F5262">
        <w:rPr>
          <w:lang w:val="en-GB"/>
        </w:rPr>
        <w:t xml:space="preserve">l </w:t>
      </w:r>
      <w:r w:rsidRPr="00FC0819">
        <w:rPr>
          <w:lang w:val="en-GB"/>
        </w:rPr>
        <w:t xml:space="preserve">of deionized water were added to the tubes of the first cycle, and a blank was also made, </w:t>
      </w:r>
      <w:r w:rsidR="003F5262">
        <w:rPr>
          <w:lang w:val="en-GB"/>
        </w:rPr>
        <w:t>i.e.,</w:t>
      </w:r>
      <w:r w:rsidRPr="00FC0819">
        <w:rPr>
          <w:lang w:val="en-GB"/>
        </w:rPr>
        <w:t xml:space="preserve"> without addition of catalyst. The interaction between the mixture components was increased by </w:t>
      </w:r>
      <w:r w:rsidR="003F5262" w:rsidRPr="00FC0819">
        <w:rPr>
          <w:lang w:val="en-GB"/>
        </w:rPr>
        <w:t>vigorously</w:t>
      </w:r>
      <w:r w:rsidR="003F5262" w:rsidRPr="00FC0819">
        <w:rPr>
          <w:lang w:val="en-GB"/>
        </w:rPr>
        <w:t xml:space="preserve"> </w:t>
      </w:r>
      <w:r w:rsidRPr="00FC0819">
        <w:rPr>
          <w:lang w:val="en-GB"/>
        </w:rPr>
        <w:t>shaking the tubes before the reaction using a tube shaker (CORNING – LSE).</w:t>
      </w:r>
      <w:r w:rsidR="00D402E5">
        <w:rPr>
          <w:lang w:val="en-GB"/>
        </w:rPr>
        <w:t xml:space="preserve"> </w:t>
      </w:r>
      <w:r w:rsidRPr="00FC0819">
        <w:rPr>
          <w:lang w:val="en-GB"/>
        </w:rPr>
        <w:t>The reactions were studied at two temperatures,</w:t>
      </w:r>
      <w:r w:rsidR="00BC7BE2">
        <w:rPr>
          <w:lang w:val="en-GB"/>
        </w:rPr>
        <w:t xml:space="preserve"> </w:t>
      </w:r>
      <w:r w:rsidRPr="00FC0819">
        <w:rPr>
          <w:lang w:val="en-GB"/>
        </w:rPr>
        <w:t>1</w:t>
      </w:r>
      <w:r w:rsidR="00BC7BE2">
        <w:rPr>
          <w:lang w:val="en-GB"/>
        </w:rPr>
        <w:t>1</w:t>
      </w:r>
      <w:r w:rsidRPr="00FC0819">
        <w:rPr>
          <w:lang w:val="en-GB"/>
        </w:rPr>
        <w:t xml:space="preserve">0 and 150 °C. The tubes were placed in a </w:t>
      </w:r>
      <w:r w:rsidR="00BC7BE2" w:rsidRPr="00FC0819">
        <w:rPr>
          <w:lang w:val="en-GB"/>
        </w:rPr>
        <w:t>glycerine</w:t>
      </w:r>
      <w:r w:rsidRPr="00FC0819">
        <w:rPr>
          <w:lang w:val="en-GB"/>
        </w:rPr>
        <w:t xml:space="preserve"> bath, whose temperature was controlled to ensure the accuracy of each temperature. The reaction time was five hours. After completion of the reaction, the samples were cooled to room temperature, transferred to Falcon tubes, and taken to a centrifuge (</w:t>
      </w:r>
      <w:proofErr w:type="spellStart"/>
      <w:r w:rsidRPr="00FC0819">
        <w:rPr>
          <w:lang w:val="en-GB"/>
        </w:rPr>
        <w:t>Quimis</w:t>
      </w:r>
      <w:proofErr w:type="spellEnd"/>
      <w:r w:rsidRPr="00FC0819">
        <w:rPr>
          <w:lang w:val="en-GB"/>
        </w:rPr>
        <w:t>) for five minutes.</w:t>
      </w:r>
    </w:p>
    <w:p w14:paraId="478C1E71" w14:textId="1C7D26E1" w:rsidR="00FC0819" w:rsidRPr="00FC0819" w:rsidRDefault="00FC0819" w:rsidP="00C54684">
      <w:pPr>
        <w:pStyle w:val="CETHeadingxx"/>
      </w:pPr>
      <w:r w:rsidRPr="00FC0819">
        <w:t>2.2.</w:t>
      </w:r>
      <w:r w:rsidR="008F2B36">
        <w:t>2</w:t>
      </w:r>
      <w:r w:rsidRPr="00FC0819">
        <w:t>. Liquor analysis</w:t>
      </w:r>
    </w:p>
    <w:p w14:paraId="16623AE0" w14:textId="7977E1D3" w:rsidR="00FC0819" w:rsidRDefault="00FC0819" w:rsidP="00FC0819">
      <w:pPr>
        <w:pStyle w:val="CETBodytext"/>
        <w:rPr>
          <w:lang w:val="en-GB"/>
        </w:rPr>
      </w:pPr>
      <w:r w:rsidRPr="00FC0819">
        <w:rPr>
          <w:lang w:val="en-GB"/>
        </w:rPr>
        <w:t xml:space="preserve">After completion of centrifugation, an aliquot of the supernatant was filtered using a 0.45 </w:t>
      </w:r>
      <w:proofErr w:type="spellStart"/>
      <w:r w:rsidRPr="00FC0819">
        <w:rPr>
          <w:lang w:val="en-GB"/>
        </w:rPr>
        <w:t>μm</w:t>
      </w:r>
      <w:proofErr w:type="spellEnd"/>
      <w:r w:rsidRPr="00FC0819">
        <w:rPr>
          <w:lang w:val="en-GB"/>
        </w:rPr>
        <w:t xml:space="preserve"> Nylon syringe filter into a 1.5 mL vial and taken for analysis on the HPLC</w:t>
      </w:r>
      <w:r w:rsidR="008F2B36">
        <w:rPr>
          <w:lang w:val="en-GB"/>
        </w:rPr>
        <w:t xml:space="preserve"> </w:t>
      </w:r>
      <w:r w:rsidR="008F2B36" w:rsidRPr="00FC0819">
        <w:rPr>
          <w:lang w:val="en-GB"/>
        </w:rPr>
        <w:t>in a Shimadzu Prominence chromatograph. Two detectors were used: the evaporative light scattering detector (ELSD) for carbohydrate detection and the photodiode array (PDA) for the furan analysis, i.e., HMF and Furfural. A volume of 20 µl was injected. Compounds were separated at a flow rate of 0.8 m</w:t>
      </w:r>
      <w:r w:rsidR="0018174A">
        <w:rPr>
          <w:lang w:val="en-GB"/>
        </w:rPr>
        <w:t>l</w:t>
      </w:r>
      <w:r w:rsidR="008F2B36" w:rsidRPr="00FC0819">
        <w:rPr>
          <w:lang w:val="en-GB"/>
        </w:rPr>
        <w:t>min</w:t>
      </w:r>
      <w:r w:rsidR="008F2B36" w:rsidRPr="00C54684">
        <w:rPr>
          <w:vertAlign w:val="superscript"/>
          <w:lang w:val="en-GB"/>
        </w:rPr>
        <w:t>-1</w:t>
      </w:r>
      <w:r w:rsidR="008F2B36" w:rsidRPr="00FC0819">
        <w:rPr>
          <w:lang w:val="en-GB"/>
        </w:rPr>
        <w:t xml:space="preserve"> on a </w:t>
      </w:r>
      <w:proofErr w:type="spellStart"/>
      <w:r w:rsidR="008F2B36" w:rsidRPr="00FC0819">
        <w:rPr>
          <w:lang w:val="en-GB"/>
        </w:rPr>
        <w:t>Bio-rad</w:t>
      </w:r>
      <w:proofErr w:type="spellEnd"/>
      <w:r w:rsidR="008F2B36" w:rsidRPr="00FC0819">
        <w:rPr>
          <w:lang w:val="en-GB"/>
        </w:rPr>
        <w:t xml:space="preserve"> </w:t>
      </w:r>
      <w:proofErr w:type="spellStart"/>
      <w:r w:rsidR="008F2B36" w:rsidRPr="00FC0819">
        <w:rPr>
          <w:lang w:val="en-GB"/>
        </w:rPr>
        <w:t>Aminex</w:t>
      </w:r>
      <w:proofErr w:type="spellEnd"/>
      <w:r w:rsidR="008F2B36" w:rsidRPr="00FC0819">
        <w:rPr>
          <w:lang w:val="en-GB"/>
        </w:rPr>
        <w:t xml:space="preserve"> HPX-87H column (300 mm × 7.8 mm, 9 µm particle size) maintained at a temperature of 60 °C. A pre-column of the same material was used. The mobile phase used in isocratic mode (8</w:t>
      </w:r>
      <w:r w:rsidR="008F2B36">
        <w:rPr>
          <w:lang w:val="en-GB"/>
        </w:rPr>
        <w:t>5</w:t>
      </w:r>
      <w:r w:rsidR="008F2B36" w:rsidRPr="00FC0819">
        <w:rPr>
          <w:lang w:val="en-GB"/>
        </w:rPr>
        <w:t>:</w:t>
      </w:r>
      <w:r w:rsidR="008F2B36">
        <w:rPr>
          <w:lang w:val="en-GB"/>
        </w:rPr>
        <w:t>15</w:t>
      </w:r>
      <w:r w:rsidR="008F2B36" w:rsidRPr="00FC0819">
        <w:rPr>
          <w:lang w:val="en-GB"/>
        </w:rPr>
        <w:t>, v/v) was an aqueous solution with 0.08</w:t>
      </w:r>
      <w:r w:rsidR="008F2B36">
        <w:rPr>
          <w:lang w:val="en-GB"/>
        </w:rPr>
        <w:t xml:space="preserve"> </w:t>
      </w:r>
      <w:r w:rsidR="008F2B36" w:rsidRPr="00FC0819">
        <w:rPr>
          <w:lang w:val="en-GB"/>
        </w:rPr>
        <w:t xml:space="preserve">% acetic acid and </w:t>
      </w:r>
      <w:r w:rsidR="008F2B36">
        <w:rPr>
          <w:lang w:val="en-GB"/>
        </w:rPr>
        <w:t xml:space="preserve">15 </w:t>
      </w:r>
      <w:r w:rsidR="008F2B36" w:rsidRPr="00FC0819">
        <w:rPr>
          <w:lang w:val="en-GB"/>
        </w:rPr>
        <w:t xml:space="preserve">% acetonitrile. The temperature of the ELSD detector was 50 °C at a carrier gas pressure of 350 kPa. The total running time was 19 min. Shimadzu’s </w:t>
      </w:r>
      <w:proofErr w:type="spellStart"/>
      <w:r w:rsidR="008F2B36" w:rsidRPr="00FC0819">
        <w:rPr>
          <w:lang w:val="en-GB"/>
        </w:rPr>
        <w:t>Labsolution</w:t>
      </w:r>
      <w:proofErr w:type="spellEnd"/>
      <w:r w:rsidR="008F2B36" w:rsidRPr="00FC0819">
        <w:rPr>
          <w:lang w:val="en-GB"/>
        </w:rPr>
        <w:t xml:space="preserve"> Software was used for method setup, injection, analysis, construction of the calibration models and predictions.</w:t>
      </w:r>
      <w:r w:rsidR="0077166B">
        <w:rPr>
          <w:lang w:val="en-GB"/>
        </w:rPr>
        <w:t xml:space="preserve"> </w:t>
      </w:r>
      <w:r w:rsidRPr="00FC0819">
        <w:rPr>
          <w:lang w:val="en-GB"/>
        </w:rPr>
        <w:t xml:space="preserve">The answer used to verify carbohydrate release and conversion to furfural is given by </w:t>
      </w:r>
      <w:proofErr w:type="spellStart"/>
      <w:proofErr w:type="gramStart"/>
      <w:r w:rsidRPr="00FC0819">
        <w:rPr>
          <w:lang w:val="en-GB"/>
        </w:rPr>
        <w:t>Eq</w:t>
      </w:r>
      <w:proofErr w:type="spellEnd"/>
      <w:r w:rsidR="00ED05F7">
        <w:rPr>
          <w:lang w:val="en-GB"/>
        </w:rPr>
        <w:t>(</w:t>
      </w:r>
      <w:proofErr w:type="gramEnd"/>
      <w:r w:rsidRPr="00FC0819">
        <w:rPr>
          <w:lang w:val="en-GB"/>
        </w:rPr>
        <w:t>1</w:t>
      </w:r>
      <w:r w:rsidR="00ED05F7">
        <w:rPr>
          <w:lang w:val="en-GB"/>
        </w:rPr>
        <w:t>)</w:t>
      </w:r>
      <w:r w:rsidRPr="00FC0819">
        <w:rPr>
          <w:lang w:val="en-GB"/>
        </w:rPr>
        <w:t>.</w:t>
      </w:r>
    </w:p>
    <w:p w14:paraId="100A0BE7" w14:textId="43AA5B28" w:rsidR="0018174A" w:rsidRPr="0018174A" w:rsidRDefault="0018174A" w:rsidP="0018174A">
      <w:pPr>
        <w:pStyle w:val="CETBodytext"/>
        <w:spacing w:before="120" w:after="120"/>
        <w:rPr>
          <w:lang w:val="en-GB"/>
        </w:rPr>
      </w:pPr>
      <m:oMath>
        <m:r>
          <w:rPr>
            <w:rFonts w:ascii="Times New Roman" w:hAnsi="Times New Roman"/>
            <w:szCs w:val="18"/>
          </w:rPr>
          <m:t>P</m:t>
        </m:r>
        <m:r>
          <w:rPr>
            <w:rFonts w:ascii="Cambria Math" w:hAnsi="Cambria Math"/>
            <w:szCs w:val="18"/>
          </w:rPr>
          <m:t xml:space="preserve">roductivity = </m:t>
        </m:r>
        <m:f>
          <m:fPr>
            <m:ctrlPr>
              <w:rPr>
                <w:rFonts w:ascii="Cambria Math" w:hAnsi="Cambria Math"/>
                <w:szCs w:val="18"/>
              </w:rPr>
            </m:ctrlPr>
          </m:fPr>
          <m:num>
            <m:r>
              <w:rPr>
                <w:rFonts w:ascii="Cambria Math" w:hAnsi="Cambria Math"/>
                <w:szCs w:val="18"/>
              </w:rPr>
              <m:t>Mass p</m:t>
            </m:r>
          </m:num>
          <m:den>
            <m:r>
              <w:rPr>
                <w:rFonts w:ascii="Cambria Math" w:hAnsi="Cambria Math"/>
                <w:szCs w:val="18"/>
              </w:rPr>
              <m:t>Mass SCB</m:t>
            </m:r>
          </m:den>
        </m:f>
      </m:oMath>
      <w:r>
        <w:rPr>
          <w:szCs w:val="18"/>
        </w:rPr>
        <w:t xml:space="preserve">  (1)</w:t>
      </w:r>
    </w:p>
    <w:p w14:paraId="67447734" w14:textId="77777777" w:rsidR="00ED05F7" w:rsidRPr="00ED05F7" w:rsidRDefault="00ED05F7" w:rsidP="00ED05F7">
      <w:pPr>
        <w:pStyle w:val="CETBodytext"/>
        <w:rPr>
          <w:lang w:val="en-GB"/>
        </w:rPr>
      </w:pPr>
      <w:r w:rsidRPr="00ED05F7">
        <w:rPr>
          <w:lang w:val="en-GB"/>
        </w:rPr>
        <w:t>where Mass p is the predicted mass of the compound (carbohydrate or furan) in the reactor and Mass SCB is the mass of sugarcane bagasse weighed.</w:t>
      </w:r>
    </w:p>
    <w:p w14:paraId="489DEEF1" w14:textId="442E6FB7" w:rsidR="00ED05F7" w:rsidRPr="00ED05F7" w:rsidRDefault="00ED05F7" w:rsidP="00ED05F7">
      <w:pPr>
        <w:pStyle w:val="CETHeadingxx"/>
      </w:pPr>
      <w:r w:rsidRPr="00ED05F7">
        <w:lastRenderedPageBreak/>
        <w:t>2.2.</w:t>
      </w:r>
      <w:r w:rsidR="0077166B">
        <w:t>3</w:t>
      </w:r>
      <w:r w:rsidRPr="00ED05F7">
        <w:t>. Solid-phase treatment</w:t>
      </w:r>
    </w:p>
    <w:p w14:paraId="6028AC69" w14:textId="38F0C386" w:rsidR="00ED05F7" w:rsidRPr="00ED05F7" w:rsidRDefault="00ED05F7" w:rsidP="00ED05F7">
      <w:pPr>
        <w:pStyle w:val="CETBodytext"/>
        <w:rPr>
          <w:lang w:val="en-GB"/>
        </w:rPr>
      </w:pPr>
      <w:r w:rsidRPr="00ED05F7">
        <w:rPr>
          <w:lang w:val="en-GB"/>
        </w:rPr>
        <w:t xml:space="preserve">The catalyst/biomass mixture remaining in the tube was washed with 8 ml of water, and new centrifugation was carried out for two minutes. After washing with water, a study of different </w:t>
      </w:r>
      <w:r w:rsidR="00177B50">
        <w:rPr>
          <w:lang w:val="en-GB"/>
        </w:rPr>
        <w:t>pretreatment</w:t>
      </w:r>
      <w:r w:rsidRPr="00ED05F7">
        <w:rPr>
          <w:lang w:val="en-GB"/>
        </w:rPr>
        <w:t xml:space="preserve">s was conducted to verify the most suitable for removing impurities from the catalyst. The following </w:t>
      </w:r>
      <w:r w:rsidR="00177B50">
        <w:rPr>
          <w:lang w:val="en-GB"/>
        </w:rPr>
        <w:t>pretreatment</w:t>
      </w:r>
      <w:r w:rsidRPr="00ED05F7">
        <w:rPr>
          <w:lang w:val="en-GB"/>
        </w:rPr>
        <w:t xml:space="preserve">s were studied: </w:t>
      </w:r>
      <w:r w:rsidR="000B6A26">
        <w:rPr>
          <w:lang w:val="en-GB"/>
        </w:rPr>
        <w:t>A - a</w:t>
      </w:r>
      <w:r w:rsidRPr="00ED05F7">
        <w:rPr>
          <w:lang w:val="en-GB"/>
        </w:rPr>
        <w:t>dditional washing with 8 m</w:t>
      </w:r>
      <w:r w:rsidR="000B6A26">
        <w:rPr>
          <w:lang w:val="en-GB"/>
        </w:rPr>
        <w:t>l</w:t>
      </w:r>
      <w:r w:rsidRPr="00ED05F7">
        <w:rPr>
          <w:lang w:val="en-GB"/>
        </w:rPr>
        <w:t xml:space="preserve"> of water followed by centrifugation for </w:t>
      </w:r>
      <w:r w:rsidR="000B6A26">
        <w:rPr>
          <w:lang w:val="en-GB"/>
        </w:rPr>
        <w:t>2 min</w:t>
      </w:r>
      <w:r w:rsidRPr="00ED05F7">
        <w:rPr>
          <w:lang w:val="en-GB"/>
        </w:rPr>
        <w:t>; B</w:t>
      </w:r>
      <w:r w:rsidR="000B6A26">
        <w:rPr>
          <w:lang w:val="en-GB"/>
        </w:rPr>
        <w:t xml:space="preserve"> -</w:t>
      </w:r>
      <w:r w:rsidRPr="00ED05F7">
        <w:rPr>
          <w:lang w:val="en-GB"/>
        </w:rPr>
        <w:t xml:space="preserve"> </w:t>
      </w:r>
      <w:r w:rsidR="000B6A26">
        <w:rPr>
          <w:lang w:val="en-GB"/>
        </w:rPr>
        <w:t>w</w:t>
      </w:r>
      <w:r w:rsidRPr="00ED05F7">
        <w:rPr>
          <w:lang w:val="en-GB"/>
        </w:rPr>
        <w:t xml:space="preserve">ashing </w:t>
      </w:r>
      <w:r w:rsidR="000B6A26">
        <w:rPr>
          <w:lang w:val="en-GB"/>
        </w:rPr>
        <w:t>with</w:t>
      </w:r>
      <w:r w:rsidRPr="00ED05F7">
        <w:rPr>
          <w:lang w:val="en-GB"/>
        </w:rPr>
        <w:t xml:space="preserve"> 5 ml of acetone followed by centrifugation; C</w:t>
      </w:r>
      <w:r w:rsidR="000B6A26">
        <w:rPr>
          <w:lang w:val="en-GB"/>
        </w:rPr>
        <w:t xml:space="preserve"> -</w:t>
      </w:r>
      <w:r w:rsidRPr="00ED05F7">
        <w:rPr>
          <w:lang w:val="en-GB"/>
        </w:rPr>
        <w:t xml:space="preserve"> </w:t>
      </w:r>
      <w:r w:rsidR="000B6A26">
        <w:rPr>
          <w:lang w:val="en-GB"/>
        </w:rPr>
        <w:t>t</w:t>
      </w:r>
      <w:r w:rsidRPr="00ED05F7">
        <w:rPr>
          <w:lang w:val="en-GB"/>
        </w:rPr>
        <w:t xml:space="preserve">wo washes with 5 ml </w:t>
      </w:r>
      <w:r w:rsidR="000B6A26">
        <w:rPr>
          <w:lang w:val="en-GB"/>
        </w:rPr>
        <w:t xml:space="preserve">of acetone; </w:t>
      </w:r>
      <w:r w:rsidRPr="00ED05F7">
        <w:rPr>
          <w:lang w:val="en-GB"/>
        </w:rPr>
        <w:t xml:space="preserve">each followed by centrifugation for </w:t>
      </w:r>
      <w:r w:rsidR="000B6A26">
        <w:rPr>
          <w:lang w:val="en-GB"/>
        </w:rPr>
        <w:t>2 min</w:t>
      </w:r>
      <w:r w:rsidRPr="00ED05F7">
        <w:rPr>
          <w:lang w:val="en-GB"/>
        </w:rPr>
        <w:t>; D</w:t>
      </w:r>
      <w:r w:rsidR="000B6A26">
        <w:rPr>
          <w:lang w:val="en-GB"/>
        </w:rPr>
        <w:t xml:space="preserve"> -c</w:t>
      </w:r>
      <w:r w:rsidRPr="00ED05F7">
        <w:rPr>
          <w:lang w:val="en-GB"/>
        </w:rPr>
        <w:t>alcination at 550 °C in a muffle (SP LABOR – SP 1200) for 5 h using porcelain crucibles.</w:t>
      </w:r>
      <w:r w:rsidR="00D402E5">
        <w:rPr>
          <w:lang w:val="en-GB"/>
        </w:rPr>
        <w:t xml:space="preserve"> </w:t>
      </w:r>
      <w:r w:rsidRPr="00ED05F7">
        <w:rPr>
          <w:lang w:val="en-GB"/>
        </w:rPr>
        <w:t>These pretreatments were chosen based on previous works found in the literature, which studied the removal of humins deposited on the active sites of solid acid catalysts (</w:t>
      </w:r>
      <w:bookmarkStart w:id="7" w:name="_Hlk92984598"/>
      <w:r w:rsidRPr="00ED05F7">
        <w:rPr>
          <w:lang w:val="en-GB"/>
        </w:rPr>
        <w:t>Bernal</w:t>
      </w:r>
      <w:r w:rsidR="000B6A26">
        <w:rPr>
          <w:lang w:val="en-GB"/>
        </w:rPr>
        <w:t xml:space="preserve"> et al.</w:t>
      </w:r>
      <w:r w:rsidRPr="00ED05F7">
        <w:rPr>
          <w:lang w:val="en-GB"/>
        </w:rPr>
        <w:t>, 2014</w:t>
      </w:r>
      <w:bookmarkEnd w:id="7"/>
      <w:r w:rsidRPr="00ED05F7">
        <w:rPr>
          <w:lang w:val="en-GB"/>
        </w:rPr>
        <w:t>).</w:t>
      </w:r>
      <w:r w:rsidR="00D402E5">
        <w:rPr>
          <w:lang w:val="en-GB"/>
        </w:rPr>
        <w:t xml:space="preserve"> </w:t>
      </w:r>
      <w:r w:rsidRPr="00ED05F7">
        <w:rPr>
          <w:lang w:val="en-GB"/>
        </w:rPr>
        <w:t xml:space="preserve">The supernatant from each wash was discarded. </w:t>
      </w:r>
      <w:r w:rsidR="00177B50">
        <w:rPr>
          <w:lang w:val="en-GB"/>
        </w:rPr>
        <w:t>Pretreatment</w:t>
      </w:r>
      <w:r w:rsidRPr="00ED05F7">
        <w:rPr>
          <w:lang w:val="en-GB"/>
        </w:rPr>
        <w:t>s A, B, and C were performed twice.</w:t>
      </w:r>
      <w:r w:rsidR="00D402E5">
        <w:rPr>
          <w:lang w:val="en-GB"/>
        </w:rPr>
        <w:t xml:space="preserve"> </w:t>
      </w:r>
      <w:r w:rsidRPr="00ED05F7">
        <w:rPr>
          <w:lang w:val="en-GB"/>
        </w:rPr>
        <w:t xml:space="preserve">After </w:t>
      </w:r>
      <w:r w:rsidR="00177B50">
        <w:rPr>
          <w:lang w:val="en-GB"/>
        </w:rPr>
        <w:t>pretreatment</w:t>
      </w:r>
      <w:r w:rsidRPr="00ED05F7">
        <w:rPr>
          <w:lang w:val="en-GB"/>
        </w:rPr>
        <w:t>s A, B, and C, the solids were oven-dried at 80 °C for 12</w:t>
      </w:r>
      <w:r>
        <w:rPr>
          <w:lang w:val="en-GB"/>
        </w:rPr>
        <w:t xml:space="preserve"> </w:t>
      </w:r>
      <w:r w:rsidRPr="00ED05F7">
        <w:rPr>
          <w:lang w:val="en-GB"/>
        </w:rPr>
        <w:t>h. Subsequently, the catalyst was separated from the biomass using an 80-mesh sieve. The fraction that passed through the sieve was identified as the recovered catalyst and found a percentage of 80</w:t>
      </w:r>
      <w:r w:rsidR="00A1556D">
        <w:rPr>
          <w:lang w:val="en-GB"/>
        </w:rPr>
        <w:t xml:space="preserve"> </w:t>
      </w:r>
      <w:r w:rsidRPr="00ED05F7">
        <w:rPr>
          <w:lang w:val="en-GB"/>
        </w:rPr>
        <w:t>% recovery, on average.</w:t>
      </w:r>
      <w:r w:rsidR="00D402E5">
        <w:rPr>
          <w:lang w:val="en-GB"/>
        </w:rPr>
        <w:t xml:space="preserve"> </w:t>
      </w:r>
      <w:r w:rsidRPr="00ED05F7">
        <w:rPr>
          <w:lang w:val="en-GB"/>
        </w:rPr>
        <w:t>The solids removed from the muffle were the recovered catalyst for pretreatment D.</w:t>
      </w:r>
      <w:r w:rsidR="00D402E5">
        <w:rPr>
          <w:lang w:val="en-GB"/>
        </w:rPr>
        <w:t xml:space="preserve"> </w:t>
      </w:r>
      <w:r w:rsidRPr="00ED05F7">
        <w:rPr>
          <w:lang w:val="en-GB"/>
        </w:rPr>
        <w:t>The second cycle was carried out from the recovered catalyst mass. The added bagasse mass was calculated proportionally to the recovered catalyst mass, considering the same reaction conditions of the first cycle.</w:t>
      </w:r>
      <w:r w:rsidR="00D402E5">
        <w:rPr>
          <w:lang w:val="en-GB"/>
        </w:rPr>
        <w:t xml:space="preserve"> </w:t>
      </w:r>
      <w:r w:rsidRPr="00ED05F7">
        <w:rPr>
          <w:lang w:val="en-GB"/>
        </w:rPr>
        <w:t>An analysis of variance (ANOVA) was performed, considering the cycles as a variable for all pretreatments and both temperatures. Four repetitions of the productivity values were used for each cycle.</w:t>
      </w:r>
    </w:p>
    <w:p w14:paraId="136B313B" w14:textId="145E7246" w:rsidR="00ED05F7" w:rsidRPr="00ED05F7" w:rsidRDefault="00ED05F7" w:rsidP="00A1556D">
      <w:pPr>
        <w:pStyle w:val="CETHeadingxx"/>
      </w:pPr>
      <w:r w:rsidRPr="00ED05F7">
        <w:t>2.2.</w:t>
      </w:r>
      <w:r w:rsidR="0077166B">
        <w:t>4</w:t>
      </w:r>
      <w:r w:rsidRPr="00ED05F7">
        <w:t>. Scanning electron microscopy analysis</w:t>
      </w:r>
    </w:p>
    <w:p w14:paraId="5B426A3A" w14:textId="704980BA" w:rsidR="00080F41" w:rsidRDefault="00ED05F7" w:rsidP="00ED05F7">
      <w:pPr>
        <w:pStyle w:val="CETBodytext"/>
        <w:rPr>
          <w:lang w:val="en-GB"/>
        </w:rPr>
      </w:pPr>
      <w:r w:rsidRPr="00ED05F7">
        <w:rPr>
          <w:lang w:val="en-GB"/>
        </w:rPr>
        <w:t xml:space="preserve">The solids separated in </w:t>
      </w:r>
      <w:r w:rsidR="00177B50">
        <w:rPr>
          <w:lang w:val="en-GB"/>
        </w:rPr>
        <w:t>pretreatment</w:t>
      </w:r>
      <w:r w:rsidRPr="00ED05F7">
        <w:rPr>
          <w:lang w:val="en-GB"/>
        </w:rPr>
        <w:t>s A, B and C, in addition to the catalyst recovered in pretreatment D, were placed on a double carbon adhesive tape glued to metallic stubs. The stubs were taken for metallization of the samples with gold in a metallizer (Quorum Q150R S). After metallization, the samples were analy</w:t>
      </w:r>
      <w:r w:rsidR="001F17F5">
        <w:rPr>
          <w:lang w:val="en-GB"/>
        </w:rPr>
        <w:t>s</w:t>
      </w:r>
      <w:r w:rsidRPr="00ED05F7">
        <w:rPr>
          <w:lang w:val="en-GB"/>
        </w:rPr>
        <w:t>ed in a scanning electron microscope (JEOL - JSM-6010LA). During electron microscopy, elemental analysis of the catalysts was performed using energy-dispersive X-ray spectroscopy (XEDS).</w:t>
      </w:r>
    </w:p>
    <w:p w14:paraId="32BE02D0" w14:textId="17F7412D" w:rsidR="00A1556D" w:rsidRPr="00A1556D" w:rsidRDefault="00A1556D" w:rsidP="00A1556D">
      <w:pPr>
        <w:pStyle w:val="CETHeading1"/>
        <w:numPr>
          <w:ilvl w:val="0"/>
          <w:numId w:val="24"/>
        </w:numPr>
      </w:pPr>
      <w:r w:rsidRPr="00A1556D">
        <w:t>Results and Discussion</w:t>
      </w:r>
    </w:p>
    <w:p w14:paraId="6CAD2764" w14:textId="0C812307" w:rsidR="00A1556D" w:rsidRPr="00A1556D" w:rsidRDefault="00A1556D" w:rsidP="00A1556D">
      <w:pPr>
        <w:pStyle w:val="CETBodytext"/>
        <w:rPr>
          <w:lang w:val="en-GB"/>
        </w:rPr>
      </w:pPr>
      <w:r w:rsidRPr="00A1556D">
        <w:rPr>
          <w:lang w:val="en-GB"/>
        </w:rPr>
        <w:tab/>
      </w:r>
      <w:r w:rsidR="0077166B">
        <w:rPr>
          <w:lang w:val="en-GB"/>
        </w:rPr>
        <w:t>After liquor analysis</w:t>
      </w:r>
      <w:r w:rsidR="001F17F5">
        <w:rPr>
          <w:lang w:val="en-GB"/>
        </w:rPr>
        <w:t>,</w:t>
      </w:r>
      <w:r w:rsidR="0077166B">
        <w:rPr>
          <w:lang w:val="en-GB"/>
        </w:rPr>
        <w:t xml:space="preserve"> </w:t>
      </w:r>
      <w:r w:rsidR="001F17F5">
        <w:rPr>
          <w:lang w:val="en-GB"/>
        </w:rPr>
        <w:t>i</w:t>
      </w:r>
      <w:r w:rsidRPr="00A1556D">
        <w:rPr>
          <w:lang w:val="en-GB"/>
        </w:rPr>
        <w:t>t was noted that there was low or no release of glucose, arabinose and low or no production of HMF. Thus, this work will be limited only to the results obtained for xylose and furfural.</w:t>
      </w:r>
    </w:p>
    <w:p w14:paraId="49CD183F" w14:textId="5D76924D" w:rsidR="00A1556D" w:rsidRPr="00A1556D" w:rsidRDefault="00A1556D" w:rsidP="00622FFB">
      <w:pPr>
        <w:pStyle w:val="CETheadingx"/>
        <w:numPr>
          <w:ilvl w:val="0"/>
          <w:numId w:val="0"/>
        </w:numPr>
      </w:pPr>
      <w:r w:rsidRPr="00A1556D">
        <w:t>3.</w:t>
      </w:r>
      <w:r w:rsidR="00802EA2">
        <w:t>1</w:t>
      </w:r>
      <w:r w:rsidRPr="00A1556D">
        <w:t>. Liquor analysis</w:t>
      </w:r>
    </w:p>
    <w:p w14:paraId="5C27F889" w14:textId="2E18E41A" w:rsidR="00A1556D" w:rsidRPr="00A1556D" w:rsidRDefault="00A1556D" w:rsidP="00A1556D">
      <w:pPr>
        <w:pStyle w:val="CETBodytext"/>
        <w:rPr>
          <w:lang w:val="en-GB"/>
        </w:rPr>
      </w:pPr>
      <w:r w:rsidRPr="00A1556D">
        <w:rPr>
          <w:lang w:val="en-GB"/>
        </w:rPr>
        <w:t xml:space="preserve">The productivity values obtained for xylose and furfural in the two cycles and the different </w:t>
      </w:r>
      <w:r w:rsidR="00177B50">
        <w:rPr>
          <w:lang w:val="en-GB"/>
        </w:rPr>
        <w:t>pretreatment</w:t>
      </w:r>
      <w:r w:rsidR="00622FFB" w:rsidRPr="00A1556D">
        <w:rPr>
          <w:lang w:val="en-GB"/>
        </w:rPr>
        <w:t>s</w:t>
      </w:r>
      <w:r w:rsidRPr="00A1556D">
        <w:rPr>
          <w:lang w:val="en-GB"/>
        </w:rPr>
        <w:t xml:space="preserve"> are shown in Table 1. For the </w:t>
      </w:r>
      <w:r w:rsidR="00177B50">
        <w:rPr>
          <w:lang w:val="en-GB"/>
        </w:rPr>
        <w:t>pretreatment</w:t>
      </w:r>
      <w:r w:rsidR="00622FFB" w:rsidRPr="00A1556D">
        <w:rPr>
          <w:lang w:val="en-GB"/>
        </w:rPr>
        <w:t>s</w:t>
      </w:r>
      <w:r w:rsidRPr="00A1556D">
        <w:rPr>
          <w:lang w:val="en-GB"/>
        </w:rPr>
        <w:t xml:space="preserve"> highlighted with an asterisk (*), significantly different values are observed between cycles 1 and 2 to one 0.01 significance level. Conversely, for non-highlighted </w:t>
      </w:r>
      <w:r w:rsidR="00177B50">
        <w:rPr>
          <w:lang w:val="en-GB"/>
        </w:rPr>
        <w:t>pretreatment</w:t>
      </w:r>
      <w:r w:rsidR="00622FFB" w:rsidRPr="00A1556D">
        <w:rPr>
          <w:lang w:val="en-GB"/>
        </w:rPr>
        <w:t>s</w:t>
      </w:r>
      <w:r w:rsidRPr="00A1556D">
        <w:rPr>
          <w:lang w:val="en-GB"/>
        </w:rPr>
        <w:t>, values between cycles 1 and 2 are statistically equal to a significance level of 0.01.</w:t>
      </w:r>
    </w:p>
    <w:p w14:paraId="509FC1C8" w14:textId="1B27FF4E" w:rsidR="00A1556D" w:rsidRDefault="00A1556D" w:rsidP="00A1556D">
      <w:pPr>
        <w:pStyle w:val="CETBodytext"/>
        <w:rPr>
          <w:lang w:val="en-GB"/>
        </w:rPr>
      </w:pPr>
      <w:r w:rsidRPr="00A1556D">
        <w:rPr>
          <w:lang w:val="en-GB"/>
        </w:rPr>
        <w:t>The values in parentheses are the coefficients of variation, which indicate the precision in the replicates. Overall, the accuracy was relatively good, as the studied system is complex.</w:t>
      </w:r>
    </w:p>
    <w:p w14:paraId="09A57FBC" w14:textId="1A468A9E" w:rsidR="00E43A06" w:rsidRPr="00B57B36" w:rsidRDefault="00E43A06" w:rsidP="00E43A06">
      <w:pPr>
        <w:pStyle w:val="CETTabletitle"/>
      </w:pPr>
      <w:r w:rsidRPr="00B57B36">
        <w:t xml:space="preserve">Table 1: </w:t>
      </w:r>
      <w:r w:rsidRPr="00E43A06">
        <w:t xml:space="preserve">Average yields and respective coefficients of variation for xylose and furfural in cycles 1 and 2 in different catalyst </w:t>
      </w:r>
      <w:r w:rsidR="00177B50">
        <w:t>pretreatment</w:t>
      </w:r>
      <w:r w:rsidRPr="00E43A06">
        <w: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1134"/>
        <w:gridCol w:w="1134"/>
        <w:gridCol w:w="850"/>
        <w:gridCol w:w="1134"/>
        <w:gridCol w:w="1134"/>
      </w:tblGrid>
      <w:tr w:rsidR="00094BB8" w:rsidRPr="00253372" w14:paraId="0E7F0B65" w14:textId="3CAA41E5" w:rsidTr="00612E85">
        <w:tc>
          <w:tcPr>
            <w:tcW w:w="851" w:type="dxa"/>
            <w:vMerge w:val="restart"/>
            <w:tcBorders>
              <w:top w:val="single" w:sz="12" w:space="0" w:color="008000"/>
            </w:tcBorders>
            <w:shd w:val="clear" w:color="auto" w:fill="FFFFFF"/>
            <w:vAlign w:val="center"/>
          </w:tcPr>
          <w:p w14:paraId="2D21FF67" w14:textId="1DDD2204" w:rsidR="00094BB8" w:rsidRPr="00253372" w:rsidRDefault="00D41B76" w:rsidP="00612E85">
            <w:pPr>
              <w:pStyle w:val="CETBodytext"/>
              <w:jc w:val="center"/>
              <w:rPr>
                <w:sz w:val="14"/>
                <w:szCs w:val="14"/>
                <w:lang w:val="en-GB"/>
              </w:rPr>
            </w:pPr>
            <w:r>
              <w:rPr>
                <w:sz w:val="14"/>
                <w:szCs w:val="14"/>
                <w:lang w:val="en-GB"/>
              </w:rPr>
              <w:t>Treatments</w:t>
            </w:r>
          </w:p>
        </w:tc>
        <w:tc>
          <w:tcPr>
            <w:tcW w:w="2268" w:type="dxa"/>
            <w:gridSpan w:val="2"/>
            <w:tcBorders>
              <w:top w:val="single" w:sz="12" w:space="0" w:color="008000"/>
              <w:bottom w:val="single" w:sz="6" w:space="0" w:color="008000"/>
            </w:tcBorders>
            <w:shd w:val="clear" w:color="auto" w:fill="FFFFFF"/>
            <w:vAlign w:val="center"/>
          </w:tcPr>
          <w:p w14:paraId="6EEE4B41" w14:textId="1E4DA487" w:rsidR="00094BB8" w:rsidRPr="00253372" w:rsidRDefault="00094BB8" w:rsidP="00612E85">
            <w:pPr>
              <w:pStyle w:val="CETBodytext"/>
              <w:jc w:val="center"/>
              <w:rPr>
                <w:sz w:val="14"/>
                <w:szCs w:val="14"/>
                <w:lang w:val="en-GB"/>
              </w:rPr>
            </w:pPr>
            <w:r w:rsidRPr="00253372">
              <w:rPr>
                <w:sz w:val="14"/>
                <w:szCs w:val="14"/>
                <w:lang w:val="en-GB"/>
              </w:rPr>
              <w:t>Xylose (g kg</w:t>
            </w:r>
            <w:r w:rsidRPr="00253372">
              <w:rPr>
                <w:sz w:val="14"/>
                <w:szCs w:val="14"/>
                <w:vertAlign w:val="superscript"/>
                <w:lang w:val="en-GB"/>
              </w:rPr>
              <w:t>-1</w:t>
            </w:r>
            <w:r w:rsidRPr="00253372">
              <w:rPr>
                <w:sz w:val="14"/>
                <w:szCs w:val="14"/>
                <w:lang w:val="en-GB"/>
              </w:rPr>
              <w:t>)</w:t>
            </w:r>
          </w:p>
        </w:tc>
        <w:tc>
          <w:tcPr>
            <w:tcW w:w="850" w:type="dxa"/>
            <w:vMerge w:val="restart"/>
            <w:tcBorders>
              <w:top w:val="single" w:sz="12" w:space="0" w:color="008000"/>
            </w:tcBorders>
            <w:shd w:val="clear" w:color="auto" w:fill="FFFFFF"/>
            <w:vAlign w:val="center"/>
          </w:tcPr>
          <w:p w14:paraId="46C9E058" w14:textId="4A3E4E52" w:rsidR="00094BB8" w:rsidRPr="00253372" w:rsidRDefault="00D41B76" w:rsidP="00612E85">
            <w:pPr>
              <w:pStyle w:val="CETBodytext"/>
              <w:ind w:right="-1"/>
              <w:jc w:val="center"/>
              <w:rPr>
                <w:rFonts w:cs="Arial"/>
                <w:sz w:val="14"/>
                <w:szCs w:val="14"/>
                <w:lang w:val="en-GB"/>
              </w:rPr>
            </w:pPr>
            <w:r>
              <w:rPr>
                <w:rFonts w:cs="Arial"/>
                <w:sz w:val="14"/>
                <w:szCs w:val="14"/>
                <w:lang w:val="en-GB"/>
              </w:rPr>
              <w:t>Treatments</w:t>
            </w:r>
          </w:p>
        </w:tc>
        <w:tc>
          <w:tcPr>
            <w:tcW w:w="2268" w:type="dxa"/>
            <w:gridSpan w:val="2"/>
            <w:tcBorders>
              <w:top w:val="single" w:sz="12" w:space="0" w:color="008000"/>
              <w:bottom w:val="single" w:sz="6" w:space="0" w:color="008000"/>
            </w:tcBorders>
            <w:shd w:val="clear" w:color="auto" w:fill="FFFFFF"/>
            <w:vAlign w:val="center"/>
          </w:tcPr>
          <w:p w14:paraId="6AAEC45B" w14:textId="0B2F41BD" w:rsidR="00094BB8" w:rsidRPr="00253372" w:rsidRDefault="00094BB8" w:rsidP="00612E85">
            <w:pPr>
              <w:pStyle w:val="CETBodytext"/>
              <w:ind w:right="-1"/>
              <w:jc w:val="center"/>
              <w:rPr>
                <w:sz w:val="14"/>
                <w:szCs w:val="14"/>
                <w:lang w:val="en-GB"/>
              </w:rPr>
            </w:pPr>
            <w:r w:rsidRPr="00253372">
              <w:rPr>
                <w:sz w:val="14"/>
                <w:szCs w:val="14"/>
                <w:lang w:val="en-GB"/>
              </w:rPr>
              <w:t>Furfural (g kg</w:t>
            </w:r>
            <w:r w:rsidRPr="00253372">
              <w:rPr>
                <w:sz w:val="14"/>
                <w:szCs w:val="14"/>
                <w:vertAlign w:val="superscript"/>
                <w:lang w:val="en-GB"/>
              </w:rPr>
              <w:t>-1</w:t>
            </w:r>
            <w:r w:rsidRPr="00253372">
              <w:rPr>
                <w:sz w:val="14"/>
                <w:szCs w:val="14"/>
                <w:lang w:val="en-GB"/>
              </w:rPr>
              <w:t>)</w:t>
            </w:r>
          </w:p>
        </w:tc>
      </w:tr>
      <w:tr w:rsidR="00094BB8" w:rsidRPr="00253372" w14:paraId="237D1782" w14:textId="4DAFD2EA" w:rsidTr="00612E85">
        <w:tc>
          <w:tcPr>
            <w:tcW w:w="851" w:type="dxa"/>
            <w:vMerge/>
            <w:tcBorders>
              <w:bottom w:val="single" w:sz="4" w:space="0" w:color="auto"/>
            </w:tcBorders>
            <w:shd w:val="clear" w:color="auto" w:fill="FFFFFF"/>
            <w:vAlign w:val="center"/>
          </w:tcPr>
          <w:p w14:paraId="3AE4D086" w14:textId="7989CF38" w:rsidR="00094BB8" w:rsidRPr="00253372" w:rsidRDefault="00094BB8" w:rsidP="00612E85">
            <w:pPr>
              <w:pStyle w:val="CETBodytext"/>
              <w:jc w:val="center"/>
              <w:rPr>
                <w:sz w:val="14"/>
                <w:szCs w:val="14"/>
                <w:lang w:val="en-GB"/>
              </w:rPr>
            </w:pPr>
          </w:p>
        </w:tc>
        <w:tc>
          <w:tcPr>
            <w:tcW w:w="1134" w:type="dxa"/>
            <w:tcBorders>
              <w:top w:val="single" w:sz="6" w:space="0" w:color="008000"/>
              <w:bottom w:val="single" w:sz="4" w:space="0" w:color="auto"/>
            </w:tcBorders>
            <w:shd w:val="clear" w:color="auto" w:fill="FFFFFF"/>
            <w:vAlign w:val="center"/>
          </w:tcPr>
          <w:p w14:paraId="77206C4F" w14:textId="52A2F7EB" w:rsidR="00094BB8" w:rsidRPr="00253372" w:rsidRDefault="00094BB8" w:rsidP="00612E85">
            <w:pPr>
              <w:pStyle w:val="CETBodytext"/>
              <w:jc w:val="center"/>
              <w:rPr>
                <w:sz w:val="14"/>
                <w:szCs w:val="14"/>
                <w:lang w:val="en-GB"/>
              </w:rPr>
            </w:pPr>
            <w:r w:rsidRPr="00253372">
              <w:rPr>
                <w:sz w:val="14"/>
                <w:szCs w:val="14"/>
                <w:lang w:val="en-GB"/>
              </w:rPr>
              <w:t>C1</w:t>
            </w:r>
          </w:p>
        </w:tc>
        <w:tc>
          <w:tcPr>
            <w:tcW w:w="1134" w:type="dxa"/>
            <w:tcBorders>
              <w:top w:val="single" w:sz="6" w:space="0" w:color="008000"/>
              <w:bottom w:val="single" w:sz="4" w:space="0" w:color="auto"/>
            </w:tcBorders>
            <w:shd w:val="clear" w:color="auto" w:fill="FFFFFF"/>
            <w:vAlign w:val="center"/>
          </w:tcPr>
          <w:p w14:paraId="31E8056A" w14:textId="1AECB372" w:rsidR="00094BB8" w:rsidRPr="00253372" w:rsidRDefault="00094BB8" w:rsidP="00612E85">
            <w:pPr>
              <w:pStyle w:val="CETBodytext"/>
              <w:jc w:val="center"/>
              <w:rPr>
                <w:sz w:val="14"/>
                <w:szCs w:val="14"/>
                <w:lang w:val="en-GB"/>
              </w:rPr>
            </w:pPr>
            <w:r w:rsidRPr="00253372">
              <w:rPr>
                <w:sz w:val="14"/>
                <w:szCs w:val="14"/>
                <w:lang w:val="en-GB"/>
              </w:rPr>
              <w:t>C2</w:t>
            </w:r>
          </w:p>
        </w:tc>
        <w:tc>
          <w:tcPr>
            <w:tcW w:w="850" w:type="dxa"/>
            <w:vMerge/>
            <w:tcBorders>
              <w:bottom w:val="single" w:sz="4" w:space="0" w:color="auto"/>
            </w:tcBorders>
            <w:shd w:val="clear" w:color="auto" w:fill="FFFFFF"/>
            <w:vAlign w:val="center"/>
          </w:tcPr>
          <w:p w14:paraId="2D2490F2" w14:textId="77777777" w:rsidR="00094BB8" w:rsidRPr="00253372" w:rsidRDefault="00094BB8" w:rsidP="00612E85">
            <w:pPr>
              <w:pStyle w:val="CETBodytext"/>
              <w:ind w:right="-1"/>
              <w:jc w:val="center"/>
              <w:rPr>
                <w:rFonts w:cs="Arial"/>
                <w:sz w:val="14"/>
                <w:szCs w:val="14"/>
                <w:lang w:val="en-GB"/>
              </w:rPr>
            </w:pPr>
          </w:p>
        </w:tc>
        <w:tc>
          <w:tcPr>
            <w:tcW w:w="1134" w:type="dxa"/>
            <w:tcBorders>
              <w:top w:val="single" w:sz="6" w:space="0" w:color="008000"/>
              <w:bottom w:val="single" w:sz="4" w:space="0" w:color="auto"/>
            </w:tcBorders>
            <w:shd w:val="clear" w:color="auto" w:fill="FFFFFF"/>
            <w:vAlign w:val="center"/>
          </w:tcPr>
          <w:p w14:paraId="6ED95ACB" w14:textId="2AA6D623" w:rsidR="00094BB8" w:rsidRPr="00253372" w:rsidRDefault="00094BB8" w:rsidP="00612E85">
            <w:pPr>
              <w:pStyle w:val="CETBodytext"/>
              <w:ind w:right="-1"/>
              <w:jc w:val="center"/>
              <w:rPr>
                <w:rFonts w:cs="Arial"/>
                <w:sz w:val="14"/>
                <w:szCs w:val="14"/>
                <w:lang w:val="en-GB"/>
              </w:rPr>
            </w:pPr>
            <w:r w:rsidRPr="00253372">
              <w:rPr>
                <w:sz w:val="14"/>
                <w:szCs w:val="14"/>
                <w:lang w:val="en-GB"/>
              </w:rPr>
              <w:t>C1</w:t>
            </w:r>
          </w:p>
        </w:tc>
        <w:tc>
          <w:tcPr>
            <w:tcW w:w="1134" w:type="dxa"/>
            <w:tcBorders>
              <w:top w:val="single" w:sz="6" w:space="0" w:color="008000"/>
              <w:bottom w:val="single" w:sz="4" w:space="0" w:color="auto"/>
            </w:tcBorders>
            <w:shd w:val="clear" w:color="auto" w:fill="FFFFFF"/>
            <w:vAlign w:val="center"/>
          </w:tcPr>
          <w:p w14:paraId="6D3B3E83" w14:textId="5D71B762" w:rsidR="00094BB8" w:rsidRPr="00253372" w:rsidRDefault="00094BB8" w:rsidP="00612E85">
            <w:pPr>
              <w:pStyle w:val="CETBodytext"/>
              <w:ind w:right="-1"/>
              <w:jc w:val="center"/>
              <w:rPr>
                <w:rFonts w:cs="Arial"/>
                <w:sz w:val="14"/>
                <w:szCs w:val="14"/>
                <w:lang w:val="en-GB"/>
              </w:rPr>
            </w:pPr>
            <w:r w:rsidRPr="00253372">
              <w:rPr>
                <w:sz w:val="14"/>
                <w:szCs w:val="14"/>
                <w:lang w:val="en-GB"/>
              </w:rPr>
              <w:t>C2</w:t>
            </w:r>
          </w:p>
        </w:tc>
      </w:tr>
      <w:tr w:rsidR="00094BB8" w:rsidRPr="00253372" w14:paraId="039238F1" w14:textId="77777777" w:rsidTr="00612E85">
        <w:trPr>
          <w:trHeight w:val="194"/>
        </w:trPr>
        <w:tc>
          <w:tcPr>
            <w:tcW w:w="851" w:type="dxa"/>
            <w:tcBorders>
              <w:top w:val="single" w:sz="4" w:space="0" w:color="auto"/>
            </w:tcBorders>
            <w:shd w:val="clear" w:color="auto" w:fill="FFFFFF"/>
            <w:vAlign w:val="center"/>
          </w:tcPr>
          <w:p w14:paraId="5F137275" w14:textId="26C3CE3F" w:rsidR="00094BB8" w:rsidRPr="00253372" w:rsidRDefault="00094BB8" w:rsidP="00612E85">
            <w:pPr>
              <w:pStyle w:val="CETBodytext"/>
              <w:jc w:val="center"/>
              <w:rPr>
                <w:sz w:val="14"/>
                <w:szCs w:val="14"/>
                <w:lang w:val="en-GB"/>
              </w:rPr>
            </w:pPr>
            <w:r w:rsidRPr="00253372">
              <w:rPr>
                <w:sz w:val="14"/>
                <w:szCs w:val="14"/>
                <w:lang w:val="en-GB"/>
              </w:rPr>
              <w:t>A110*</w:t>
            </w:r>
          </w:p>
        </w:tc>
        <w:tc>
          <w:tcPr>
            <w:tcW w:w="1134" w:type="dxa"/>
            <w:tcBorders>
              <w:top w:val="single" w:sz="4" w:space="0" w:color="auto"/>
            </w:tcBorders>
            <w:shd w:val="clear" w:color="auto" w:fill="FFFFFF"/>
            <w:vAlign w:val="center"/>
          </w:tcPr>
          <w:p w14:paraId="081AE85F" w14:textId="6AD1CF1A" w:rsidR="00094BB8" w:rsidRPr="00253372" w:rsidRDefault="00094BB8" w:rsidP="00612E85">
            <w:pPr>
              <w:pStyle w:val="CETBodytext"/>
              <w:jc w:val="right"/>
              <w:rPr>
                <w:sz w:val="14"/>
                <w:szCs w:val="14"/>
                <w:lang w:val="en-GB"/>
              </w:rPr>
            </w:pPr>
            <w:r w:rsidRPr="00253372">
              <w:rPr>
                <w:sz w:val="14"/>
                <w:szCs w:val="14"/>
                <w:lang w:val="en-GB"/>
              </w:rPr>
              <w:t>25.81 (18 %)</w:t>
            </w:r>
          </w:p>
        </w:tc>
        <w:tc>
          <w:tcPr>
            <w:tcW w:w="1134" w:type="dxa"/>
            <w:tcBorders>
              <w:top w:val="single" w:sz="4" w:space="0" w:color="auto"/>
            </w:tcBorders>
            <w:shd w:val="clear" w:color="auto" w:fill="FFFFFF"/>
            <w:vAlign w:val="center"/>
          </w:tcPr>
          <w:p w14:paraId="0B5138BE" w14:textId="194D40CC" w:rsidR="00094BB8" w:rsidRPr="00253372" w:rsidRDefault="00094BB8" w:rsidP="00612E85">
            <w:pPr>
              <w:pStyle w:val="CETBodytext"/>
              <w:jc w:val="right"/>
              <w:rPr>
                <w:sz w:val="14"/>
                <w:szCs w:val="14"/>
                <w:lang w:val="en-GB"/>
              </w:rPr>
            </w:pPr>
            <w:r w:rsidRPr="00253372">
              <w:rPr>
                <w:sz w:val="14"/>
                <w:szCs w:val="14"/>
                <w:lang w:val="en-GB"/>
              </w:rPr>
              <w:t>7.47 (09 %)</w:t>
            </w:r>
          </w:p>
        </w:tc>
        <w:tc>
          <w:tcPr>
            <w:tcW w:w="850" w:type="dxa"/>
            <w:tcBorders>
              <w:top w:val="single" w:sz="4" w:space="0" w:color="auto"/>
            </w:tcBorders>
            <w:shd w:val="clear" w:color="auto" w:fill="FFFFFF"/>
            <w:vAlign w:val="center"/>
          </w:tcPr>
          <w:p w14:paraId="45FA754A" w14:textId="2ECDF317" w:rsidR="00094BB8" w:rsidRPr="00253372" w:rsidRDefault="00094BB8" w:rsidP="00612E85">
            <w:pPr>
              <w:pStyle w:val="CETBodytext"/>
              <w:ind w:right="-1"/>
              <w:jc w:val="center"/>
              <w:rPr>
                <w:rFonts w:cs="Arial"/>
                <w:sz w:val="14"/>
                <w:szCs w:val="14"/>
                <w:lang w:val="en-GB"/>
              </w:rPr>
            </w:pPr>
            <w:r w:rsidRPr="00253372">
              <w:rPr>
                <w:sz w:val="14"/>
                <w:szCs w:val="14"/>
                <w:lang w:val="en-GB"/>
              </w:rPr>
              <w:t>A110</w:t>
            </w:r>
          </w:p>
        </w:tc>
        <w:tc>
          <w:tcPr>
            <w:tcW w:w="1134" w:type="dxa"/>
            <w:tcBorders>
              <w:top w:val="single" w:sz="4" w:space="0" w:color="auto"/>
            </w:tcBorders>
            <w:shd w:val="clear" w:color="auto" w:fill="FFFFFF"/>
            <w:vAlign w:val="center"/>
          </w:tcPr>
          <w:p w14:paraId="34726E6D" w14:textId="7E57CFB3" w:rsidR="00094BB8" w:rsidRPr="00253372" w:rsidRDefault="00826874" w:rsidP="00612E85">
            <w:pPr>
              <w:pStyle w:val="CETBodytext"/>
              <w:ind w:right="-1"/>
              <w:jc w:val="right"/>
              <w:rPr>
                <w:rFonts w:cs="Arial"/>
                <w:sz w:val="14"/>
                <w:szCs w:val="14"/>
                <w:lang w:val="en-GB"/>
              </w:rPr>
            </w:pPr>
            <w:r w:rsidRPr="00253372">
              <w:rPr>
                <w:rFonts w:cs="Arial"/>
                <w:sz w:val="14"/>
                <w:szCs w:val="14"/>
                <w:lang w:val="en-GB"/>
              </w:rPr>
              <w:t>1.87 (22 %)</w:t>
            </w:r>
          </w:p>
        </w:tc>
        <w:tc>
          <w:tcPr>
            <w:tcW w:w="1134" w:type="dxa"/>
            <w:tcBorders>
              <w:top w:val="single" w:sz="4" w:space="0" w:color="auto"/>
            </w:tcBorders>
            <w:shd w:val="clear" w:color="auto" w:fill="FFFFFF"/>
            <w:vAlign w:val="center"/>
          </w:tcPr>
          <w:p w14:paraId="25031D92" w14:textId="50448025" w:rsidR="00094BB8" w:rsidRPr="00253372" w:rsidRDefault="00826874" w:rsidP="00612E85">
            <w:pPr>
              <w:pStyle w:val="CETBodytext"/>
              <w:ind w:right="-1"/>
              <w:jc w:val="right"/>
              <w:rPr>
                <w:rFonts w:cs="Arial"/>
                <w:sz w:val="14"/>
                <w:szCs w:val="14"/>
                <w:lang w:val="en-GB"/>
              </w:rPr>
            </w:pPr>
            <w:r w:rsidRPr="00253372">
              <w:rPr>
                <w:rFonts w:cs="Arial"/>
                <w:sz w:val="14"/>
                <w:szCs w:val="14"/>
                <w:lang w:val="en-GB"/>
              </w:rPr>
              <w:t>1.22 (07 %)</w:t>
            </w:r>
          </w:p>
        </w:tc>
      </w:tr>
      <w:tr w:rsidR="00094BB8" w:rsidRPr="00253372" w14:paraId="5E8651C2" w14:textId="14DA09D3" w:rsidTr="00612E85">
        <w:tc>
          <w:tcPr>
            <w:tcW w:w="851" w:type="dxa"/>
            <w:shd w:val="clear" w:color="auto" w:fill="FFFFFF"/>
            <w:vAlign w:val="center"/>
          </w:tcPr>
          <w:p w14:paraId="64A3153E" w14:textId="36EE1CDD" w:rsidR="00094BB8" w:rsidRPr="00253372" w:rsidRDefault="00094BB8" w:rsidP="00612E85">
            <w:pPr>
              <w:pStyle w:val="CETBodytext"/>
              <w:jc w:val="center"/>
              <w:rPr>
                <w:sz w:val="14"/>
                <w:szCs w:val="14"/>
                <w:lang w:val="en-GB"/>
              </w:rPr>
            </w:pPr>
            <w:r w:rsidRPr="00253372">
              <w:rPr>
                <w:sz w:val="14"/>
                <w:szCs w:val="14"/>
                <w:lang w:val="en-GB"/>
              </w:rPr>
              <w:t>A150</w:t>
            </w:r>
          </w:p>
        </w:tc>
        <w:tc>
          <w:tcPr>
            <w:tcW w:w="1134" w:type="dxa"/>
            <w:shd w:val="clear" w:color="auto" w:fill="FFFFFF"/>
            <w:vAlign w:val="center"/>
          </w:tcPr>
          <w:p w14:paraId="5F72DE2A" w14:textId="1CD3D8FB" w:rsidR="00094BB8" w:rsidRPr="00253372" w:rsidRDefault="00094BB8" w:rsidP="00612E85">
            <w:pPr>
              <w:pStyle w:val="CETBodytext"/>
              <w:jc w:val="right"/>
              <w:rPr>
                <w:sz w:val="14"/>
                <w:szCs w:val="14"/>
                <w:lang w:val="en-GB"/>
              </w:rPr>
            </w:pPr>
            <w:r w:rsidRPr="00253372">
              <w:rPr>
                <w:sz w:val="14"/>
                <w:szCs w:val="14"/>
                <w:lang w:val="en-GB"/>
              </w:rPr>
              <w:t>16.66 (05 %)</w:t>
            </w:r>
          </w:p>
        </w:tc>
        <w:tc>
          <w:tcPr>
            <w:tcW w:w="1134" w:type="dxa"/>
            <w:shd w:val="clear" w:color="auto" w:fill="FFFFFF"/>
            <w:vAlign w:val="center"/>
          </w:tcPr>
          <w:p w14:paraId="54C1C7A6" w14:textId="28581596" w:rsidR="00094BB8" w:rsidRPr="00253372" w:rsidRDefault="00094BB8" w:rsidP="00612E85">
            <w:pPr>
              <w:pStyle w:val="CETBodytext"/>
              <w:jc w:val="right"/>
              <w:rPr>
                <w:sz w:val="14"/>
                <w:szCs w:val="14"/>
                <w:lang w:val="en-GB"/>
              </w:rPr>
            </w:pPr>
            <w:r w:rsidRPr="00253372">
              <w:rPr>
                <w:sz w:val="14"/>
                <w:szCs w:val="14"/>
                <w:lang w:val="en-GB"/>
              </w:rPr>
              <w:t>14.45 (08 %)</w:t>
            </w:r>
          </w:p>
        </w:tc>
        <w:tc>
          <w:tcPr>
            <w:tcW w:w="850" w:type="dxa"/>
            <w:shd w:val="clear" w:color="auto" w:fill="FFFFFF"/>
            <w:vAlign w:val="center"/>
          </w:tcPr>
          <w:p w14:paraId="291515B4" w14:textId="1D1F327A" w:rsidR="00094BB8" w:rsidRPr="00253372" w:rsidRDefault="00094BB8" w:rsidP="00612E85">
            <w:pPr>
              <w:pStyle w:val="CETBodytext"/>
              <w:ind w:right="-1"/>
              <w:jc w:val="center"/>
              <w:rPr>
                <w:rFonts w:cs="Arial"/>
                <w:sz w:val="14"/>
                <w:szCs w:val="14"/>
                <w:lang w:val="en-GB"/>
              </w:rPr>
            </w:pPr>
            <w:r w:rsidRPr="00253372">
              <w:rPr>
                <w:sz w:val="14"/>
                <w:szCs w:val="14"/>
                <w:lang w:val="en-GB"/>
              </w:rPr>
              <w:t>A150</w:t>
            </w:r>
          </w:p>
        </w:tc>
        <w:tc>
          <w:tcPr>
            <w:tcW w:w="1134" w:type="dxa"/>
            <w:shd w:val="clear" w:color="auto" w:fill="FFFFFF"/>
            <w:vAlign w:val="center"/>
          </w:tcPr>
          <w:p w14:paraId="28EE7189" w14:textId="1CDCEB93" w:rsidR="00094BB8" w:rsidRPr="00253372" w:rsidRDefault="00826874" w:rsidP="00612E85">
            <w:pPr>
              <w:pStyle w:val="CETBodytext"/>
              <w:ind w:right="-1"/>
              <w:jc w:val="right"/>
              <w:rPr>
                <w:rFonts w:cs="Arial"/>
                <w:sz w:val="14"/>
                <w:szCs w:val="14"/>
                <w:lang w:val="en-GB"/>
              </w:rPr>
            </w:pPr>
            <w:r w:rsidRPr="00253372">
              <w:rPr>
                <w:rFonts w:cs="Arial"/>
                <w:sz w:val="14"/>
                <w:szCs w:val="14"/>
                <w:lang w:val="en-GB"/>
              </w:rPr>
              <w:t>75.54 (02 %)</w:t>
            </w:r>
          </w:p>
        </w:tc>
        <w:tc>
          <w:tcPr>
            <w:tcW w:w="1134" w:type="dxa"/>
            <w:shd w:val="clear" w:color="auto" w:fill="FFFFFF"/>
            <w:vAlign w:val="center"/>
          </w:tcPr>
          <w:p w14:paraId="0BB79C3A" w14:textId="1FD1D77C" w:rsidR="00094BB8" w:rsidRPr="00253372" w:rsidRDefault="00826874" w:rsidP="00612E85">
            <w:pPr>
              <w:pStyle w:val="CETBodytext"/>
              <w:ind w:right="-1"/>
              <w:jc w:val="right"/>
              <w:rPr>
                <w:rFonts w:cs="Arial"/>
                <w:sz w:val="14"/>
                <w:szCs w:val="14"/>
                <w:lang w:val="en-GB"/>
              </w:rPr>
            </w:pPr>
            <w:r w:rsidRPr="00253372">
              <w:rPr>
                <w:rFonts w:cs="Arial"/>
                <w:sz w:val="14"/>
                <w:szCs w:val="14"/>
                <w:lang w:val="en-GB"/>
              </w:rPr>
              <w:t>76.47 (05 %)</w:t>
            </w:r>
          </w:p>
        </w:tc>
      </w:tr>
      <w:tr w:rsidR="00094BB8" w:rsidRPr="00253372" w14:paraId="0A5788AB" w14:textId="1DF115DE" w:rsidTr="00612E85">
        <w:tc>
          <w:tcPr>
            <w:tcW w:w="851" w:type="dxa"/>
            <w:shd w:val="clear" w:color="auto" w:fill="FFFFFF"/>
            <w:vAlign w:val="center"/>
          </w:tcPr>
          <w:p w14:paraId="4DA99A03" w14:textId="5A1F2E9F" w:rsidR="00094BB8" w:rsidRPr="00253372" w:rsidRDefault="00094BB8" w:rsidP="00612E85">
            <w:pPr>
              <w:pStyle w:val="CETBodytext"/>
              <w:jc w:val="center"/>
              <w:rPr>
                <w:sz w:val="14"/>
                <w:szCs w:val="14"/>
                <w:lang w:val="en-GB"/>
              </w:rPr>
            </w:pPr>
            <w:r w:rsidRPr="00253372">
              <w:rPr>
                <w:sz w:val="14"/>
                <w:szCs w:val="14"/>
                <w:lang w:val="en-GB"/>
              </w:rPr>
              <w:t>B110</w:t>
            </w:r>
          </w:p>
        </w:tc>
        <w:tc>
          <w:tcPr>
            <w:tcW w:w="1134" w:type="dxa"/>
            <w:shd w:val="clear" w:color="auto" w:fill="FFFFFF"/>
            <w:vAlign w:val="center"/>
          </w:tcPr>
          <w:p w14:paraId="7E8654CE" w14:textId="1A2A2615" w:rsidR="00094BB8" w:rsidRPr="00253372" w:rsidRDefault="00094BB8" w:rsidP="00612E85">
            <w:pPr>
              <w:pStyle w:val="CETBodytext"/>
              <w:jc w:val="right"/>
              <w:rPr>
                <w:sz w:val="14"/>
                <w:szCs w:val="14"/>
                <w:lang w:val="en-GB"/>
              </w:rPr>
            </w:pPr>
            <w:r w:rsidRPr="00253372">
              <w:rPr>
                <w:sz w:val="14"/>
                <w:szCs w:val="14"/>
                <w:lang w:val="en-GB"/>
              </w:rPr>
              <w:t>16.81 (25 %)</w:t>
            </w:r>
          </w:p>
        </w:tc>
        <w:tc>
          <w:tcPr>
            <w:tcW w:w="1134" w:type="dxa"/>
            <w:shd w:val="clear" w:color="auto" w:fill="FFFFFF"/>
            <w:vAlign w:val="center"/>
          </w:tcPr>
          <w:p w14:paraId="027067D6" w14:textId="0C6F3308" w:rsidR="00094BB8" w:rsidRPr="00253372" w:rsidRDefault="00826874" w:rsidP="00612E85">
            <w:pPr>
              <w:pStyle w:val="CETBodytext"/>
              <w:jc w:val="right"/>
              <w:rPr>
                <w:sz w:val="14"/>
                <w:szCs w:val="14"/>
                <w:lang w:val="en-GB"/>
              </w:rPr>
            </w:pPr>
            <w:r w:rsidRPr="00253372">
              <w:rPr>
                <w:sz w:val="14"/>
                <w:szCs w:val="14"/>
                <w:lang w:val="en-GB"/>
              </w:rPr>
              <w:t>11.97 (14 %)</w:t>
            </w:r>
          </w:p>
        </w:tc>
        <w:tc>
          <w:tcPr>
            <w:tcW w:w="850" w:type="dxa"/>
            <w:shd w:val="clear" w:color="auto" w:fill="FFFFFF"/>
            <w:vAlign w:val="center"/>
          </w:tcPr>
          <w:p w14:paraId="2D4C401B" w14:textId="50E041E5" w:rsidR="00094BB8" w:rsidRPr="00253372" w:rsidRDefault="00094BB8" w:rsidP="00612E85">
            <w:pPr>
              <w:pStyle w:val="CETBodytext"/>
              <w:ind w:right="-1"/>
              <w:jc w:val="center"/>
              <w:rPr>
                <w:rFonts w:cs="Arial"/>
                <w:sz w:val="14"/>
                <w:szCs w:val="14"/>
                <w:lang w:val="en-GB"/>
              </w:rPr>
            </w:pPr>
            <w:r w:rsidRPr="00253372">
              <w:rPr>
                <w:sz w:val="14"/>
                <w:szCs w:val="14"/>
                <w:lang w:val="en-GB"/>
              </w:rPr>
              <w:t>B110</w:t>
            </w:r>
          </w:p>
        </w:tc>
        <w:tc>
          <w:tcPr>
            <w:tcW w:w="1134" w:type="dxa"/>
            <w:shd w:val="clear" w:color="auto" w:fill="FFFFFF"/>
            <w:vAlign w:val="center"/>
          </w:tcPr>
          <w:p w14:paraId="61440A99" w14:textId="5533F7C4" w:rsidR="00094BB8" w:rsidRPr="00253372" w:rsidRDefault="00826874" w:rsidP="00612E85">
            <w:pPr>
              <w:pStyle w:val="CETBodytext"/>
              <w:ind w:right="-1"/>
              <w:jc w:val="right"/>
              <w:rPr>
                <w:rFonts w:cs="Arial"/>
                <w:sz w:val="14"/>
                <w:szCs w:val="14"/>
                <w:lang w:val="en-GB"/>
              </w:rPr>
            </w:pPr>
            <w:r w:rsidRPr="00253372">
              <w:rPr>
                <w:rFonts w:cs="Arial"/>
                <w:sz w:val="14"/>
                <w:szCs w:val="14"/>
                <w:lang w:val="en-GB"/>
              </w:rPr>
              <w:t>1.46 (23 %)</w:t>
            </w:r>
          </w:p>
        </w:tc>
        <w:tc>
          <w:tcPr>
            <w:tcW w:w="1134" w:type="dxa"/>
            <w:shd w:val="clear" w:color="auto" w:fill="FFFFFF"/>
            <w:vAlign w:val="center"/>
          </w:tcPr>
          <w:p w14:paraId="44E0B359" w14:textId="28AF84B7" w:rsidR="00094BB8" w:rsidRPr="00253372" w:rsidRDefault="00826874" w:rsidP="00612E85">
            <w:pPr>
              <w:pStyle w:val="CETBodytext"/>
              <w:ind w:right="-1"/>
              <w:jc w:val="right"/>
              <w:rPr>
                <w:rFonts w:cs="Arial"/>
                <w:sz w:val="14"/>
                <w:szCs w:val="14"/>
                <w:lang w:val="en-GB"/>
              </w:rPr>
            </w:pPr>
            <w:r w:rsidRPr="00253372">
              <w:rPr>
                <w:rFonts w:cs="Arial"/>
                <w:sz w:val="14"/>
                <w:szCs w:val="14"/>
                <w:lang w:val="en-GB"/>
              </w:rPr>
              <w:t>1.78 (17 %)</w:t>
            </w:r>
          </w:p>
        </w:tc>
      </w:tr>
      <w:tr w:rsidR="00094BB8" w:rsidRPr="00253372" w14:paraId="1E5B0943" w14:textId="7B4D4508" w:rsidTr="00612E85">
        <w:tc>
          <w:tcPr>
            <w:tcW w:w="851" w:type="dxa"/>
            <w:shd w:val="clear" w:color="auto" w:fill="FFFFFF"/>
            <w:vAlign w:val="center"/>
          </w:tcPr>
          <w:p w14:paraId="05ED1434" w14:textId="7502D971" w:rsidR="00094BB8" w:rsidRPr="00253372" w:rsidRDefault="00094BB8" w:rsidP="00612E85">
            <w:pPr>
              <w:pStyle w:val="CETBodytext"/>
              <w:jc w:val="center"/>
              <w:rPr>
                <w:sz w:val="14"/>
                <w:szCs w:val="14"/>
                <w:lang w:val="en-GB"/>
              </w:rPr>
            </w:pPr>
            <w:r w:rsidRPr="00253372">
              <w:rPr>
                <w:sz w:val="14"/>
                <w:szCs w:val="14"/>
                <w:lang w:val="en-GB"/>
              </w:rPr>
              <w:t>B150</w:t>
            </w:r>
          </w:p>
        </w:tc>
        <w:tc>
          <w:tcPr>
            <w:tcW w:w="1134" w:type="dxa"/>
            <w:shd w:val="clear" w:color="auto" w:fill="FFFFFF"/>
            <w:vAlign w:val="center"/>
          </w:tcPr>
          <w:p w14:paraId="732CD432" w14:textId="332AC354" w:rsidR="00094BB8" w:rsidRPr="00253372" w:rsidRDefault="00094BB8" w:rsidP="00612E85">
            <w:pPr>
              <w:pStyle w:val="CETBodytext"/>
              <w:jc w:val="right"/>
              <w:rPr>
                <w:sz w:val="14"/>
                <w:szCs w:val="14"/>
                <w:lang w:val="en-GB"/>
              </w:rPr>
            </w:pPr>
            <w:r w:rsidRPr="00253372">
              <w:rPr>
                <w:sz w:val="14"/>
                <w:szCs w:val="14"/>
                <w:lang w:val="en-GB"/>
              </w:rPr>
              <w:t>18.18 (15 %)</w:t>
            </w:r>
          </w:p>
        </w:tc>
        <w:tc>
          <w:tcPr>
            <w:tcW w:w="1134" w:type="dxa"/>
            <w:shd w:val="clear" w:color="auto" w:fill="FFFFFF"/>
            <w:vAlign w:val="center"/>
          </w:tcPr>
          <w:p w14:paraId="19D5830B" w14:textId="0A66D14C" w:rsidR="00094BB8" w:rsidRPr="00253372" w:rsidRDefault="00826874" w:rsidP="00612E85">
            <w:pPr>
              <w:pStyle w:val="CETBodytext"/>
              <w:jc w:val="right"/>
              <w:rPr>
                <w:sz w:val="14"/>
                <w:szCs w:val="14"/>
                <w:lang w:val="en-GB"/>
              </w:rPr>
            </w:pPr>
            <w:r w:rsidRPr="00253372">
              <w:rPr>
                <w:sz w:val="14"/>
                <w:szCs w:val="14"/>
                <w:lang w:val="en-GB"/>
              </w:rPr>
              <w:t>13.33 (17 %)</w:t>
            </w:r>
          </w:p>
        </w:tc>
        <w:tc>
          <w:tcPr>
            <w:tcW w:w="850" w:type="dxa"/>
            <w:shd w:val="clear" w:color="auto" w:fill="FFFFFF"/>
            <w:vAlign w:val="center"/>
          </w:tcPr>
          <w:p w14:paraId="2F1100A8" w14:textId="464CC449" w:rsidR="00094BB8" w:rsidRPr="00253372" w:rsidRDefault="00094BB8" w:rsidP="00612E85">
            <w:pPr>
              <w:pStyle w:val="CETBodytext"/>
              <w:ind w:right="-1"/>
              <w:jc w:val="center"/>
              <w:rPr>
                <w:rFonts w:cs="Arial"/>
                <w:sz w:val="14"/>
                <w:szCs w:val="14"/>
                <w:lang w:val="en-GB"/>
              </w:rPr>
            </w:pPr>
            <w:r w:rsidRPr="00253372">
              <w:rPr>
                <w:sz w:val="14"/>
                <w:szCs w:val="14"/>
                <w:lang w:val="en-GB"/>
              </w:rPr>
              <w:t>B150</w:t>
            </w:r>
          </w:p>
        </w:tc>
        <w:tc>
          <w:tcPr>
            <w:tcW w:w="1134" w:type="dxa"/>
            <w:shd w:val="clear" w:color="auto" w:fill="FFFFFF"/>
            <w:vAlign w:val="center"/>
          </w:tcPr>
          <w:p w14:paraId="3A5307B2" w14:textId="39787018" w:rsidR="00094BB8" w:rsidRPr="00253372" w:rsidRDefault="00826874" w:rsidP="00612E85">
            <w:pPr>
              <w:pStyle w:val="CETBodytext"/>
              <w:ind w:right="-1"/>
              <w:jc w:val="right"/>
              <w:rPr>
                <w:rFonts w:cs="Arial"/>
                <w:sz w:val="14"/>
                <w:szCs w:val="14"/>
                <w:lang w:val="en-GB"/>
              </w:rPr>
            </w:pPr>
            <w:r w:rsidRPr="00253372">
              <w:rPr>
                <w:rFonts w:cs="Arial"/>
                <w:sz w:val="14"/>
                <w:szCs w:val="14"/>
                <w:lang w:val="en-GB"/>
              </w:rPr>
              <w:t>80.62 (10 %)</w:t>
            </w:r>
          </w:p>
        </w:tc>
        <w:tc>
          <w:tcPr>
            <w:tcW w:w="1134" w:type="dxa"/>
            <w:shd w:val="clear" w:color="auto" w:fill="FFFFFF"/>
            <w:vAlign w:val="center"/>
          </w:tcPr>
          <w:p w14:paraId="5E5E2CBB" w14:textId="1AC5132C" w:rsidR="00094BB8" w:rsidRPr="00253372" w:rsidRDefault="00826874" w:rsidP="00612E85">
            <w:pPr>
              <w:pStyle w:val="CETBodytext"/>
              <w:ind w:right="-1"/>
              <w:jc w:val="right"/>
              <w:rPr>
                <w:rFonts w:cs="Arial"/>
                <w:sz w:val="14"/>
                <w:szCs w:val="14"/>
                <w:lang w:val="en-GB"/>
              </w:rPr>
            </w:pPr>
            <w:r w:rsidRPr="00253372">
              <w:rPr>
                <w:rFonts w:cs="Arial"/>
                <w:sz w:val="14"/>
                <w:szCs w:val="14"/>
                <w:lang w:val="en-GB"/>
              </w:rPr>
              <w:t>63.01 (14 %)</w:t>
            </w:r>
          </w:p>
        </w:tc>
      </w:tr>
      <w:tr w:rsidR="00094BB8" w:rsidRPr="00253372" w14:paraId="1E566D19" w14:textId="5DE6E044" w:rsidTr="00612E85">
        <w:tc>
          <w:tcPr>
            <w:tcW w:w="851" w:type="dxa"/>
            <w:shd w:val="clear" w:color="auto" w:fill="FFFFFF"/>
            <w:vAlign w:val="center"/>
          </w:tcPr>
          <w:p w14:paraId="220AFCDB" w14:textId="40CC1D94" w:rsidR="00094BB8" w:rsidRPr="00253372" w:rsidRDefault="00094BB8" w:rsidP="00612E85">
            <w:pPr>
              <w:pStyle w:val="CETBodytext"/>
              <w:jc w:val="center"/>
              <w:rPr>
                <w:sz w:val="14"/>
                <w:szCs w:val="14"/>
                <w:lang w:val="en-GB"/>
              </w:rPr>
            </w:pPr>
            <w:r w:rsidRPr="00253372">
              <w:rPr>
                <w:sz w:val="14"/>
                <w:szCs w:val="14"/>
                <w:lang w:val="en-GB"/>
              </w:rPr>
              <w:t>C110*</w:t>
            </w:r>
          </w:p>
        </w:tc>
        <w:tc>
          <w:tcPr>
            <w:tcW w:w="1134" w:type="dxa"/>
            <w:shd w:val="clear" w:color="auto" w:fill="FFFFFF"/>
            <w:vAlign w:val="center"/>
          </w:tcPr>
          <w:p w14:paraId="1A931E73" w14:textId="17418D1F" w:rsidR="00094BB8" w:rsidRPr="00253372" w:rsidRDefault="00094BB8" w:rsidP="00612E85">
            <w:pPr>
              <w:pStyle w:val="CETBodytext"/>
              <w:jc w:val="right"/>
              <w:rPr>
                <w:sz w:val="14"/>
                <w:szCs w:val="14"/>
                <w:lang w:val="en-GB"/>
              </w:rPr>
            </w:pPr>
            <w:r w:rsidRPr="00253372">
              <w:rPr>
                <w:sz w:val="14"/>
                <w:szCs w:val="14"/>
                <w:lang w:val="en-GB"/>
              </w:rPr>
              <w:t>11.97 (14 %)</w:t>
            </w:r>
          </w:p>
        </w:tc>
        <w:tc>
          <w:tcPr>
            <w:tcW w:w="1134" w:type="dxa"/>
            <w:shd w:val="clear" w:color="auto" w:fill="FFFFFF"/>
            <w:vAlign w:val="center"/>
          </w:tcPr>
          <w:p w14:paraId="1903E0CB" w14:textId="7123E74F" w:rsidR="00094BB8" w:rsidRPr="00253372" w:rsidRDefault="00826874" w:rsidP="00612E85">
            <w:pPr>
              <w:pStyle w:val="CETBodytext"/>
              <w:jc w:val="right"/>
              <w:rPr>
                <w:sz w:val="14"/>
                <w:szCs w:val="14"/>
                <w:lang w:val="en-GB"/>
              </w:rPr>
            </w:pPr>
            <w:r w:rsidRPr="00253372">
              <w:rPr>
                <w:sz w:val="14"/>
                <w:szCs w:val="14"/>
                <w:lang w:val="en-GB"/>
              </w:rPr>
              <w:t>4.46 (05 %)</w:t>
            </w:r>
          </w:p>
        </w:tc>
        <w:tc>
          <w:tcPr>
            <w:tcW w:w="850" w:type="dxa"/>
            <w:shd w:val="clear" w:color="auto" w:fill="FFFFFF"/>
            <w:vAlign w:val="center"/>
          </w:tcPr>
          <w:p w14:paraId="44D39C5E" w14:textId="2DF3894E" w:rsidR="00094BB8" w:rsidRPr="00253372" w:rsidRDefault="00094BB8" w:rsidP="00612E85">
            <w:pPr>
              <w:pStyle w:val="CETBodytext"/>
              <w:ind w:right="-1"/>
              <w:jc w:val="center"/>
              <w:rPr>
                <w:rFonts w:cs="Arial"/>
                <w:sz w:val="14"/>
                <w:szCs w:val="14"/>
                <w:lang w:val="en-GB"/>
              </w:rPr>
            </w:pPr>
            <w:r w:rsidRPr="00253372">
              <w:rPr>
                <w:sz w:val="14"/>
                <w:szCs w:val="14"/>
                <w:lang w:val="en-GB"/>
              </w:rPr>
              <w:t>C110</w:t>
            </w:r>
          </w:p>
        </w:tc>
        <w:tc>
          <w:tcPr>
            <w:tcW w:w="1134" w:type="dxa"/>
            <w:shd w:val="clear" w:color="auto" w:fill="FFFFFF"/>
            <w:vAlign w:val="center"/>
          </w:tcPr>
          <w:p w14:paraId="0522AD13" w14:textId="12A5BF05" w:rsidR="00094BB8" w:rsidRPr="00253372" w:rsidRDefault="00826874" w:rsidP="00612E85">
            <w:pPr>
              <w:pStyle w:val="CETBodytext"/>
              <w:ind w:right="-1"/>
              <w:jc w:val="right"/>
              <w:rPr>
                <w:rFonts w:cs="Arial"/>
                <w:sz w:val="14"/>
                <w:szCs w:val="14"/>
                <w:lang w:val="en-GB"/>
              </w:rPr>
            </w:pPr>
            <w:r w:rsidRPr="00253372">
              <w:rPr>
                <w:rFonts w:cs="Arial"/>
                <w:sz w:val="14"/>
                <w:szCs w:val="14"/>
                <w:lang w:val="en-GB"/>
              </w:rPr>
              <w:t>1.87 (22 %)</w:t>
            </w:r>
          </w:p>
        </w:tc>
        <w:tc>
          <w:tcPr>
            <w:tcW w:w="1134" w:type="dxa"/>
            <w:shd w:val="clear" w:color="auto" w:fill="FFFFFF"/>
            <w:vAlign w:val="center"/>
          </w:tcPr>
          <w:p w14:paraId="7D3684D7" w14:textId="6321EA0E" w:rsidR="00094BB8" w:rsidRPr="00253372" w:rsidRDefault="00826874" w:rsidP="00612E85">
            <w:pPr>
              <w:pStyle w:val="CETBodytext"/>
              <w:ind w:right="-1"/>
              <w:jc w:val="right"/>
              <w:rPr>
                <w:rFonts w:cs="Arial"/>
                <w:sz w:val="14"/>
                <w:szCs w:val="14"/>
                <w:lang w:val="en-GB"/>
              </w:rPr>
            </w:pPr>
            <w:r w:rsidRPr="00253372">
              <w:rPr>
                <w:rFonts w:cs="Arial"/>
                <w:sz w:val="14"/>
                <w:szCs w:val="14"/>
                <w:lang w:val="en-GB"/>
              </w:rPr>
              <w:t>0.98 (27 %)</w:t>
            </w:r>
          </w:p>
        </w:tc>
      </w:tr>
      <w:tr w:rsidR="00094BB8" w:rsidRPr="00253372" w14:paraId="424BE8D5" w14:textId="2F931AC7" w:rsidTr="00612E85">
        <w:tc>
          <w:tcPr>
            <w:tcW w:w="851" w:type="dxa"/>
            <w:shd w:val="clear" w:color="auto" w:fill="FFFFFF"/>
            <w:vAlign w:val="center"/>
          </w:tcPr>
          <w:p w14:paraId="51600EA0" w14:textId="719796AC" w:rsidR="00094BB8" w:rsidRPr="00253372" w:rsidRDefault="00094BB8" w:rsidP="00612E85">
            <w:pPr>
              <w:pStyle w:val="CETBodytext"/>
              <w:jc w:val="center"/>
              <w:rPr>
                <w:sz w:val="14"/>
                <w:szCs w:val="14"/>
                <w:lang w:val="en-GB"/>
              </w:rPr>
            </w:pPr>
            <w:r w:rsidRPr="00253372">
              <w:rPr>
                <w:sz w:val="14"/>
                <w:szCs w:val="14"/>
                <w:lang w:val="en-GB"/>
              </w:rPr>
              <w:t>C150*</w:t>
            </w:r>
          </w:p>
        </w:tc>
        <w:tc>
          <w:tcPr>
            <w:tcW w:w="1134" w:type="dxa"/>
            <w:shd w:val="clear" w:color="auto" w:fill="FFFFFF"/>
            <w:vAlign w:val="center"/>
          </w:tcPr>
          <w:p w14:paraId="6D1E0071" w14:textId="7268C403" w:rsidR="00094BB8" w:rsidRPr="00253372" w:rsidRDefault="00094BB8" w:rsidP="00612E85">
            <w:pPr>
              <w:pStyle w:val="CETBodytext"/>
              <w:jc w:val="right"/>
              <w:rPr>
                <w:sz w:val="14"/>
                <w:szCs w:val="14"/>
                <w:lang w:val="en-GB"/>
              </w:rPr>
            </w:pPr>
            <w:r w:rsidRPr="00253372">
              <w:rPr>
                <w:sz w:val="14"/>
                <w:szCs w:val="14"/>
                <w:lang w:val="en-GB"/>
              </w:rPr>
              <w:t>13.33 (17 %)</w:t>
            </w:r>
          </w:p>
        </w:tc>
        <w:tc>
          <w:tcPr>
            <w:tcW w:w="1134" w:type="dxa"/>
            <w:shd w:val="clear" w:color="auto" w:fill="FFFFFF"/>
            <w:vAlign w:val="center"/>
          </w:tcPr>
          <w:p w14:paraId="3303D39B" w14:textId="620A87EF" w:rsidR="00094BB8" w:rsidRPr="00253372" w:rsidRDefault="00826874" w:rsidP="00612E85">
            <w:pPr>
              <w:pStyle w:val="CETBodytext"/>
              <w:jc w:val="right"/>
              <w:rPr>
                <w:sz w:val="14"/>
                <w:szCs w:val="14"/>
                <w:lang w:val="en-GB"/>
              </w:rPr>
            </w:pPr>
            <w:r w:rsidRPr="00253372">
              <w:rPr>
                <w:sz w:val="14"/>
                <w:szCs w:val="14"/>
                <w:lang w:val="en-GB"/>
              </w:rPr>
              <w:t>30.23 (15 %)</w:t>
            </w:r>
          </w:p>
        </w:tc>
        <w:tc>
          <w:tcPr>
            <w:tcW w:w="850" w:type="dxa"/>
            <w:shd w:val="clear" w:color="auto" w:fill="FFFFFF"/>
            <w:vAlign w:val="center"/>
          </w:tcPr>
          <w:p w14:paraId="34D9B228" w14:textId="72E747E7" w:rsidR="00094BB8" w:rsidRPr="00253372" w:rsidRDefault="00094BB8" w:rsidP="00612E85">
            <w:pPr>
              <w:pStyle w:val="CETBodytext"/>
              <w:ind w:right="-1"/>
              <w:jc w:val="center"/>
              <w:rPr>
                <w:rFonts w:cs="Arial"/>
                <w:sz w:val="14"/>
                <w:szCs w:val="14"/>
                <w:lang w:val="en-GB"/>
              </w:rPr>
            </w:pPr>
            <w:r w:rsidRPr="00253372">
              <w:rPr>
                <w:sz w:val="14"/>
                <w:szCs w:val="14"/>
                <w:lang w:val="en-GB"/>
              </w:rPr>
              <w:t>C150</w:t>
            </w:r>
          </w:p>
        </w:tc>
        <w:tc>
          <w:tcPr>
            <w:tcW w:w="1134" w:type="dxa"/>
            <w:shd w:val="clear" w:color="auto" w:fill="FFFFFF"/>
            <w:vAlign w:val="center"/>
          </w:tcPr>
          <w:p w14:paraId="1E9481FF" w14:textId="5735A98B" w:rsidR="00094BB8" w:rsidRPr="00253372" w:rsidRDefault="00826874" w:rsidP="00612E85">
            <w:pPr>
              <w:pStyle w:val="CETBodytext"/>
              <w:ind w:right="-1"/>
              <w:jc w:val="right"/>
              <w:rPr>
                <w:rFonts w:cs="Arial"/>
                <w:sz w:val="14"/>
                <w:szCs w:val="14"/>
                <w:lang w:val="en-GB"/>
              </w:rPr>
            </w:pPr>
            <w:r w:rsidRPr="00253372">
              <w:rPr>
                <w:rFonts w:cs="Arial"/>
                <w:sz w:val="14"/>
                <w:szCs w:val="14"/>
                <w:lang w:val="en-GB"/>
              </w:rPr>
              <w:t>63.01 (14 %)</w:t>
            </w:r>
          </w:p>
        </w:tc>
        <w:tc>
          <w:tcPr>
            <w:tcW w:w="1134" w:type="dxa"/>
            <w:shd w:val="clear" w:color="auto" w:fill="FFFFFF"/>
            <w:vAlign w:val="center"/>
          </w:tcPr>
          <w:p w14:paraId="397702B5" w14:textId="36BD2248" w:rsidR="00094BB8" w:rsidRPr="00253372" w:rsidRDefault="00612E85" w:rsidP="00612E85">
            <w:pPr>
              <w:pStyle w:val="CETBodytext"/>
              <w:ind w:right="-1"/>
              <w:jc w:val="right"/>
              <w:rPr>
                <w:rFonts w:cs="Arial"/>
                <w:sz w:val="14"/>
                <w:szCs w:val="14"/>
                <w:lang w:val="en-GB"/>
              </w:rPr>
            </w:pPr>
            <w:r w:rsidRPr="00253372">
              <w:rPr>
                <w:rFonts w:cs="Arial"/>
                <w:sz w:val="14"/>
                <w:szCs w:val="14"/>
                <w:lang w:val="en-GB"/>
              </w:rPr>
              <w:t>60.39 (15 %)</w:t>
            </w:r>
          </w:p>
        </w:tc>
      </w:tr>
      <w:tr w:rsidR="00094BB8" w:rsidRPr="00253372" w14:paraId="6E0D1A99" w14:textId="25AFBF5C" w:rsidTr="00612E85">
        <w:tc>
          <w:tcPr>
            <w:tcW w:w="851" w:type="dxa"/>
            <w:shd w:val="clear" w:color="auto" w:fill="FFFFFF"/>
            <w:vAlign w:val="center"/>
          </w:tcPr>
          <w:p w14:paraId="10FB9026" w14:textId="5F7C3181" w:rsidR="00094BB8" w:rsidRPr="00253372" w:rsidRDefault="00094BB8" w:rsidP="00612E85">
            <w:pPr>
              <w:pStyle w:val="CETBodytext"/>
              <w:ind w:right="-1"/>
              <w:jc w:val="center"/>
              <w:rPr>
                <w:rFonts w:cs="Arial"/>
                <w:sz w:val="14"/>
                <w:szCs w:val="14"/>
                <w:lang w:val="en-GB"/>
              </w:rPr>
            </w:pPr>
            <w:r w:rsidRPr="00253372">
              <w:rPr>
                <w:rFonts w:cs="Arial"/>
                <w:sz w:val="14"/>
                <w:szCs w:val="14"/>
                <w:lang w:val="en-GB"/>
              </w:rPr>
              <w:t>D110*</w:t>
            </w:r>
          </w:p>
        </w:tc>
        <w:tc>
          <w:tcPr>
            <w:tcW w:w="1134" w:type="dxa"/>
            <w:shd w:val="clear" w:color="auto" w:fill="FFFFFF"/>
            <w:vAlign w:val="center"/>
          </w:tcPr>
          <w:p w14:paraId="1DD5C4F1" w14:textId="2126F1F8" w:rsidR="00094BB8" w:rsidRPr="00253372" w:rsidRDefault="00094BB8" w:rsidP="00612E85">
            <w:pPr>
              <w:pStyle w:val="CETBodytext"/>
              <w:ind w:right="-1"/>
              <w:jc w:val="right"/>
              <w:rPr>
                <w:rFonts w:cs="Arial"/>
                <w:sz w:val="14"/>
                <w:szCs w:val="14"/>
                <w:lang w:val="en-GB"/>
              </w:rPr>
            </w:pPr>
            <w:r w:rsidRPr="00253372">
              <w:rPr>
                <w:rFonts w:cs="Arial"/>
                <w:sz w:val="14"/>
                <w:szCs w:val="14"/>
                <w:lang w:val="en-GB"/>
              </w:rPr>
              <w:t>17.19 (12 %)</w:t>
            </w:r>
          </w:p>
        </w:tc>
        <w:tc>
          <w:tcPr>
            <w:tcW w:w="1134" w:type="dxa"/>
            <w:shd w:val="clear" w:color="auto" w:fill="FFFFFF"/>
            <w:vAlign w:val="center"/>
          </w:tcPr>
          <w:p w14:paraId="2CF121CD" w14:textId="0A69F96D" w:rsidR="00094BB8" w:rsidRPr="00253372" w:rsidRDefault="00826874" w:rsidP="00612E85">
            <w:pPr>
              <w:pStyle w:val="CETBodytext"/>
              <w:ind w:right="-1"/>
              <w:jc w:val="right"/>
              <w:rPr>
                <w:rFonts w:cs="Arial"/>
                <w:sz w:val="14"/>
                <w:szCs w:val="14"/>
                <w:lang w:val="en-GB"/>
              </w:rPr>
            </w:pPr>
            <w:r w:rsidRPr="00253372">
              <w:rPr>
                <w:rFonts w:cs="Arial"/>
                <w:sz w:val="14"/>
                <w:szCs w:val="14"/>
                <w:lang w:val="en-GB"/>
              </w:rPr>
              <w:t>4.50 (05 %)</w:t>
            </w:r>
          </w:p>
        </w:tc>
        <w:tc>
          <w:tcPr>
            <w:tcW w:w="850" w:type="dxa"/>
            <w:shd w:val="clear" w:color="auto" w:fill="FFFFFF"/>
            <w:vAlign w:val="center"/>
          </w:tcPr>
          <w:p w14:paraId="39AA7D8E" w14:textId="4BA3B99E" w:rsidR="00094BB8" w:rsidRPr="00253372" w:rsidRDefault="00094BB8" w:rsidP="00612E85">
            <w:pPr>
              <w:pStyle w:val="CETBodytext"/>
              <w:ind w:right="-1"/>
              <w:jc w:val="center"/>
              <w:rPr>
                <w:rFonts w:cs="Arial"/>
                <w:sz w:val="14"/>
                <w:szCs w:val="14"/>
                <w:lang w:val="en-GB"/>
              </w:rPr>
            </w:pPr>
            <w:r w:rsidRPr="00253372">
              <w:rPr>
                <w:rFonts w:cs="Arial"/>
                <w:sz w:val="14"/>
                <w:szCs w:val="14"/>
                <w:lang w:val="en-GB"/>
              </w:rPr>
              <w:t>D110*</w:t>
            </w:r>
          </w:p>
        </w:tc>
        <w:tc>
          <w:tcPr>
            <w:tcW w:w="1134" w:type="dxa"/>
            <w:shd w:val="clear" w:color="auto" w:fill="FFFFFF"/>
            <w:vAlign w:val="center"/>
          </w:tcPr>
          <w:p w14:paraId="5C9F8062" w14:textId="597FA5BC" w:rsidR="00094BB8" w:rsidRPr="00253372" w:rsidRDefault="00826874" w:rsidP="00612E85">
            <w:pPr>
              <w:pStyle w:val="CETBodytext"/>
              <w:ind w:right="-1"/>
              <w:jc w:val="right"/>
              <w:rPr>
                <w:rFonts w:cs="Arial"/>
                <w:sz w:val="14"/>
                <w:szCs w:val="14"/>
                <w:lang w:val="en-GB"/>
              </w:rPr>
            </w:pPr>
            <w:r w:rsidRPr="00253372">
              <w:rPr>
                <w:rFonts w:cs="Arial"/>
                <w:sz w:val="14"/>
                <w:szCs w:val="14"/>
                <w:lang w:val="en-GB"/>
              </w:rPr>
              <w:t>1.34 (05 %)</w:t>
            </w:r>
          </w:p>
        </w:tc>
        <w:tc>
          <w:tcPr>
            <w:tcW w:w="1134" w:type="dxa"/>
            <w:shd w:val="clear" w:color="auto" w:fill="FFFFFF"/>
            <w:vAlign w:val="center"/>
          </w:tcPr>
          <w:p w14:paraId="624CEB96" w14:textId="3CAF7E37" w:rsidR="00094BB8" w:rsidRPr="00253372" w:rsidRDefault="00612E85" w:rsidP="00612E85">
            <w:pPr>
              <w:pStyle w:val="CETBodytext"/>
              <w:ind w:right="-1"/>
              <w:jc w:val="right"/>
              <w:rPr>
                <w:rFonts w:cs="Arial"/>
                <w:sz w:val="14"/>
                <w:szCs w:val="14"/>
                <w:lang w:val="en-GB"/>
              </w:rPr>
            </w:pPr>
            <w:r w:rsidRPr="00253372">
              <w:rPr>
                <w:rFonts w:cs="Arial"/>
                <w:sz w:val="14"/>
                <w:szCs w:val="14"/>
                <w:lang w:val="en-GB"/>
              </w:rPr>
              <w:t>0.75 (09%)</w:t>
            </w:r>
          </w:p>
        </w:tc>
      </w:tr>
      <w:tr w:rsidR="00094BB8" w:rsidRPr="00253372" w14:paraId="4DC4481C" w14:textId="3BF6B80D" w:rsidTr="00612E85">
        <w:tc>
          <w:tcPr>
            <w:tcW w:w="851" w:type="dxa"/>
            <w:shd w:val="clear" w:color="auto" w:fill="FFFFFF"/>
            <w:vAlign w:val="center"/>
          </w:tcPr>
          <w:p w14:paraId="22D81FCA" w14:textId="6277BE13" w:rsidR="00094BB8" w:rsidRPr="00253372" w:rsidRDefault="00094BB8" w:rsidP="00612E85">
            <w:pPr>
              <w:pStyle w:val="CETBodytext"/>
              <w:ind w:right="-1"/>
              <w:jc w:val="center"/>
              <w:rPr>
                <w:rFonts w:cs="Arial"/>
                <w:sz w:val="14"/>
                <w:szCs w:val="14"/>
                <w:lang w:val="en-GB"/>
              </w:rPr>
            </w:pPr>
            <w:r w:rsidRPr="00253372">
              <w:rPr>
                <w:rFonts w:cs="Arial"/>
                <w:sz w:val="14"/>
                <w:szCs w:val="14"/>
                <w:lang w:val="en-GB"/>
              </w:rPr>
              <w:t>D150</w:t>
            </w:r>
          </w:p>
        </w:tc>
        <w:tc>
          <w:tcPr>
            <w:tcW w:w="1134" w:type="dxa"/>
            <w:shd w:val="clear" w:color="auto" w:fill="FFFFFF"/>
            <w:vAlign w:val="center"/>
          </w:tcPr>
          <w:p w14:paraId="5848448D" w14:textId="5C119FF7" w:rsidR="00094BB8" w:rsidRPr="00253372" w:rsidRDefault="00094BB8" w:rsidP="00612E85">
            <w:pPr>
              <w:pStyle w:val="CETBodytext"/>
              <w:ind w:right="-1"/>
              <w:jc w:val="right"/>
              <w:rPr>
                <w:rFonts w:cs="Arial"/>
                <w:sz w:val="14"/>
                <w:szCs w:val="14"/>
                <w:lang w:val="en-GB"/>
              </w:rPr>
            </w:pPr>
            <w:r w:rsidRPr="00253372">
              <w:rPr>
                <w:rFonts w:cs="Arial"/>
                <w:sz w:val="14"/>
                <w:szCs w:val="14"/>
                <w:lang w:val="en-GB"/>
              </w:rPr>
              <w:t>17.17 (17 %)</w:t>
            </w:r>
          </w:p>
        </w:tc>
        <w:tc>
          <w:tcPr>
            <w:tcW w:w="1134" w:type="dxa"/>
            <w:shd w:val="clear" w:color="auto" w:fill="FFFFFF"/>
            <w:vAlign w:val="center"/>
          </w:tcPr>
          <w:p w14:paraId="677AA997" w14:textId="01F32F82" w:rsidR="00094BB8" w:rsidRPr="00253372" w:rsidRDefault="00826874" w:rsidP="00612E85">
            <w:pPr>
              <w:pStyle w:val="CETBodytext"/>
              <w:ind w:right="-1"/>
              <w:jc w:val="right"/>
              <w:rPr>
                <w:rFonts w:cs="Arial"/>
                <w:sz w:val="14"/>
                <w:szCs w:val="14"/>
                <w:lang w:val="en-GB"/>
              </w:rPr>
            </w:pPr>
            <w:r w:rsidRPr="00253372">
              <w:rPr>
                <w:rFonts w:cs="Arial"/>
                <w:sz w:val="14"/>
                <w:szCs w:val="14"/>
                <w:lang w:val="en-GB"/>
              </w:rPr>
              <w:t>18.07 (16 %)</w:t>
            </w:r>
          </w:p>
        </w:tc>
        <w:tc>
          <w:tcPr>
            <w:tcW w:w="850" w:type="dxa"/>
            <w:shd w:val="clear" w:color="auto" w:fill="FFFFFF"/>
            <w:vAlign w:val="center"/>
          </w:tcPr>
          <w:p w14:paraId="67C8F3EC" w14:textId="6314C4C7" w:rsidR="00094BB8" w:rsidRPr="00253372" w:rsidRDefault="00094BB8" w:rsidP="00612E85">
            <w:pPr>
              <w:pStyle w:val="CETBodytext"/>
              <w:ind w:right="-1"/>
              <w:jc w:val="center"/>
              <w:rPr>
                <w:rFonts w:cs="Arial"/>
                <w:sz w:val="14"/>
                <w:szCs w:val="14"/>
                <w:lang w:val="en-GB"/>
              </w:rPr>
            </w:pPr>
            <w:r w:rsidRPr="00253372">
              <w:rPr>
                <w:rFonts w:cs="Arial"/>
                <w:sz w:val="14"/>
                <w:szCs w:val="14"/>
                <w:lang w:val="en-GB"/>
              </w:rPr>
              <w:t>D150</w:t>
            </w:r>
          </w:p>
        </w:tc>
        <w:tc>
          <w:tcPr>
            <w:tcW w:w="1134" w:type="dxa"/>
            <w:shd w:val="clear" w:color="auto" w:fill="FFFFFF"/>
            <w:vAlign w:val="center"/>
          </w:tcPr>
          <w:p w14:paraId="23429E6C" w14:textId="51862F1E" w:rsidR="00094BB8" w:rsidRPr="00253372" w:rsidRDefault="00826874" w:rsidP="00612E85">
            <w:pPr>
              <w:pStyle w:val="CETBodytext"/>
              <w:ind w:right="-1"/>
              <w:jc w:val="right"/>
              <w:rPr>
                <w:rFonts w:cs="Arial"/>
                <w:sz w:val="14"/>
                <w:szCs w:val="14"/>
                <w:lang w:val="en-GB"/>
              </w:rPr>
            </w:pPr>
            <w:r w:rsidRPr="00253372">
              <w:rPr>
                <w:rFonts w:cs="Arial"/>
                <w:sz w:val="14"/>
                <w:szCs w:val="14"/>
                <w:lang w:val="en-GB"/>
              </w:rPr>
              <w:t>78.91 (18 %)</w:t>
            </w:r>
          </w:p>
        </w:tc>
        <w:tc>
          <w:tcPr>
            <w:tcW w:w="1134" w:type="dxa"/>
            <w:shd w:val="clear" w:color="auto" w:fill="FFFFFF"/>
            <w:vAlign w:val="center"/>
          </w:tcPr>
          <w:p w14:paraId="02FFAD68" w14:textId="5754F267" w:rsidR="00094BB8" w:rsidRPr="00253372" w:rsidRDefault="00612E85" w:rsidP="00612E85">
            <w:pPr>
              <w:pStyle w:val="CETBodytext"/>
              <w:ind w:right="-1"/>
              <w:jc w:val="right"/>
              <w:rPr>
                <w:rFonts w:cs="Arial"/>
                <w:sz w:val="14"/>
                <w:szCs w:val="14"/>
                <w:lang w:val="en-GB"/>
              </w:rPr>
            </w:pPr>
            <w:r w:rsidRPr="00253372">
              <w:rPr>
                <w:rFonts w:cs="Arial"/>
                <w:sz w:val="14"/>
                <w:szCs w:val="14"/>
                <w:lang w:val="en-GB"/>
              </w:rPr>
              <w:t>82.68 (17 %)</w:t>
            </w:r>
          </w:p>
        </w:tc>
      </w:tr>
    </w:tbl>
    <w:p w14:paraId="14E4F45E" w14:textId="70E42EFC" w:rsidR="00A1556D" w:rsidRPr="00A1556D" w:rsidRDefault="00A1556D" w:rsidP="00A1556D">
      <w:pPr>
        <w:pStyle w:val="CETBodytext"/>
        <w:rPr>
          <w:lang w:val="en-GB"/>
        </w:rPr>
      </w:pPr>
      <w:r w:rsidRPr="00A1556D">
        <w:rPr>
          <w:lang w:val="en-GB"/>
        </w:rPr>
        <w:t xml:space="preserve"> </w:t>
      </w:r>
      <w:r w:rsidRPr="00A1556D">
        <w:rPr>
          <w:lang w:val="en-GB"/>
        </w:rPr>
        <w:tab/>
        <w:t>*Different at the 0.01 significance level. Values in parentheses are coefficients of variation calculated from four replicates. C1 and C2 are cycles 1 and 2, respectively.</w:t>
      </w:r>
    </w:p>
    <w:p w14:paraId="2DEDE526" w14:textId="77777777" w:rsidR="00D41B76" w:rsidRDefault="00D41B76" w:rsidP="00A1556D">
      <w:pPr>
        <w:pStyle w:val="CETBodytext"/>
        <w:rPr>
          <w:lang w:val="en-GB"/>
        </w:rPr>
      </w:pPr>
    </w:p>
    <w:p w14:paraId="6D8E5767" w14:textId="21BFE001" w:rsidR="00A1556D" w:rsidRPr="00A1556D" w:rsidRDefault="00A1556D" w:rsidP="00A1556D">
      <w:pPr>
        <w:pStyle w:val="CETBodytext"/>
        <w:rPr>
          <w:lang w:val="en-GB"/>
        </w:rPr>
      </w:pPr>
      <w:r w:rsidRPr="00A1556D">
        <w:rPr>
          <w:lang w:val="en-GB"/>
        </w:rPr>
        <w:tab/>
        <w:t xml:space="preserve">The results presented in Figure </w:t>
      </w:r>
      <w:r w:rsidR="00D73FE4">
        <w:rPr>
          <w:lang w:val="en-GB"/>
        </w:rPr>
        <w:t>3</w:t>
      </w:r>
      <w:r w:rsidRPr="00A1556D">
        <w:rPr>
          <w:lang w:val="en-GB"/>
        </w:rPr>
        <w:t xml:space="preserve"> show the variation in xylose </w:t>
      </w:r>
      <w:r w:rsidR="00D41B76">
        <w:rPr>
          <w:lang w:val="en-GB"/>
        </w:rPr>
        <w:t xml:space="preserve">and furfural </w:t>
      </w:r>
      <w:r w:rsidRPr="00A1556D">
        <w:rPr>
          <w:lang w:val="en-GB"/>
        </w:rPr>
        <w:t>productivity in cycles 1 and 2 and at the two temperatures studied.</w:t>
      </w:r>
      <w:r w:rsidR="003E5B4F">
        <w:rPr>
          <w:lang w:val="en-GB"/>
        </w:rPr>
        <w:t xml:space="preserve"> </w:t>
      </w:r>
      <w:r w:rsidR="003E5B4F">
        <w:t xml:space="preserve">The ANOVA results for </w:t>
      </w:r>
      <w:r w:rsidR="00482DA0">
        <w:t>xylose</w:t>
      </w:r>
      <w:r w:rsidR="003E5B4F">
        <w:t xml:space="preserve"> are shown in Table </w:t>
      </w:r>
      <w:r w:rsidR="00482DA0">
        <w:t>2</w:t>
      </w:r>
      <w:r w:rsidR="003E5B4F">
        <w:t>.</w:t>
      </w:r>
    </w:p>
    <w:p w14:paraId="08BBEF20" w14:textId="1B353B1D" w:rsidR="00A1556D" w:rsidRPr="00A1556D" w:rsidRDefault="00A1556D" w:rsidP="00A1556D">
      <w:pPr>
        <w:pStyle w:val="CETBodytext"/>
        <w:rPr>
          <w:lang w:val="en-GB"/>
        </w:rPr>
      </w:pPr>
      <w:r w:rsidRPr="00A1556D">
        <w:rPr>
          <w:lang w:val="en-GB"/>
        </w:rPr>
        <w:t xml:space="preserve">It can be observed </w:t>
      </w:r>
      <w:r w:rsidR="0004119B">
        <w:rPr>
          <w:lang w:val="en-GB"/>
        </w:rPr>
        <w:t xml:space="preserve">for xylose </w:t>
      </w:r>
      <w:r w:rsidRPr="00A1556D">
        <w:rPr>
          <w:lang w:val="en-GB"/>
        </w:rPr>
        <w:t xml:space="preserve">that for catalysis at a temperature of 110 °C, from the first to the second cycle, there was a deactivation of the catalyst’s active sites for </w:t>
      </w:r>
      <w:r w:rsidR="00177B50">
        <w:rPr>
          <w:lang w:val="en-GB"/>
        </w:rPr>
        <w:t>pretreatment</w:t>
      </w:r>
      <w:r w:rsidRPr="00A1556D">
        <w:rPr>
          <w:lang w:val="en-GB"/>
        </w:rPr>
        <w:t xml:space="preserve">s A, C, and D. This result is confirmed by ANOVA since the variation between the groups was significant at a level of significance 0.01. It is possible to observe that, for </w:t>
      </w:r>
      <w:r w:rsidR="00177B50">
        <w:rPr>
          <w:lang w:val="en-GB"/>
        </w:rPr>
        <w:t>pretreatment</w:t>
      </w:r>
      <w:r w:rsidRPr="00A1556D">
        <w:rPr>
          <w:lang w:val="en-GB"/>
        </w:rPr>
        <w:t xml:space="preserve"> B at 110 °C and a significance level of 0.01, the productivity of cycle 1 is </w:t>
      </w:r>
      <w:r w:rsidRPr="00A1556D">
        <w:rPr>
          <w:lang w:val="en-GB"/>
        </w:rPr>
        <w:lastRenderedPageBreak/>
        <w:t xml:space="preserve">statistically equal to that of cycle 2. This result shows that </w:t>
      </w:r>
      <w:r w:rsidR="00177B50">
        <w:rPr>
          <w:lang w:val="en-GB"/>
        </w:rPr>
        <w:t>pretreatment</w:t>
      </w:r>
      <w:r w:rsidRPr="00A1556D">
        <w:rPr>
          <w:lang w:val="en-GB"/>
        </w:rPr>
        <w:t xml:space="preserve"> B can be efficient for catalyst regeneration at this temperature.</w:t>
      </w:r>
    </w:p>
    <w:p w14:paraId="2CD156E6" w14:textId="0D8FF34C" w:rsidR="00A1556D" w:rsidRPr="00A1556D" w:rsidRDefault="00A1556D" w:rsidP="00A1556D">
      <w:pPr>
        <w:pStyle w:val="CETBodytext"/>
        <w:rPr>
          <w:lang w:val="en-GB"/>
        </w:rPr>
      </w:pPr>
      <w:r w:rsidRPr="00A1556D">
        <w:rPr>
          <w:lang w:val="en-GB"/>
        </w:rPr>
        <w:t xml:space="preserve">In contrast, for catalysis at a temperature of 150 </w:t>
      </w:r>
      <w:r w:rsidR="00D73FE4">
        <w:rPr>
          <w:lang w:val="en-GB"/>
        </w:rPr>
        <w:t>º</w:t>
      </w:r>
      <w:r w:rsidRPr="00A1556D">
        <w:rPr>
          <w:lang w:val="en-GB"/>
        </w:rPr>
        <w:t xml:space="preserve">C, the ANOVA results at a significance level of 0.01 show that there is no statistical difference between cycles 1 and 2 for </w:t>
      </w:r>
      <w:r w:rsidR="00177B50">
        <w:rPr>
          <w:lang w:val="en-GB"/>
        </w:rPr>
        <w:t>pretreatment</w:t>
      </w:r>
      <w:r w:rsidRPr="00A1556D">
        <w:rPr>
          <w:lang w:val="en-GB"/>
        </w:rPr>
        <w:t xml:space="preserve">s A, B and D. Therefore, these results prove that the </w:t>
      </w:r>
      <w:r w:rsidR="00177B50">
        <w:rPr>
          <w:lang w:val="en-GB"/>
        </w:rPr>
        <w:t>pretreatment</w:t>
      </w:r>
      <w:r w:rsidR="00D73FE4" w:rsidRPr="00A1556D">
        <w:rPr>
          <w:lang w:val="en-GB"/>
        </w:rPr>
        <w:t>s</w:t>
      </w:r>
      <w:r w:rsidRPr="00A1556D">
        <w:rPr>
          <w:lang w:val="en-GB"/>
        </w:rPr>
        <w:t xml:space="preserve"> used were efficient to reactivate the catalyst’s active sites. The temperatures of 150 °C and these </w:t>
      </w:r>
      <w:r w:rsidR="00177B50">
        <w:rPr>
          <w:lang w:val="en-GB"/>
        </w:rPr>
        <w:t>pretreatment</w:t>
      </w:r>
      <w:r w:rsidR="00D73FE4" w:rsidRPr="00A1556D">
        <w:rPr>
          <w:lang w:val="en-GB"/>
        </w:rPr>
        <w:t>s</w:t>
      </w:r>
      <w:r w:rsidRPr="00A1556D">
        <w:rPr>
          <w:lang w:val="en-GB"/>
        </w:rPr>
        <w:t xml:space="preserve"> are promising since they indicate a possibility of catalyst recovery in direct catalysis with raw </w:t>
      </w:r>
      <w:r w:rsidR="00D73FE4">
        <w:rPr>
          <w:lang w:val="en-GB"/>
        </w:rPr>
        <w:t>SCB</w:t>
      </w:r>
      <w:r w:rsidRPr="00A1556D">
        <w:rPr>
          <w:lang w:val="en-GB"/>
        </w:rPr>
        <w:t xml:space="preserve">. From an economic and environmental point of view, </w:t>
      </w:r>
      <w:r w:rsidR="00177B50">
        <w:rPr>
          <w:lang w:val="en-GB"/>
        </w:rPr>
        <w:t>pretreatment</w:t>
      </w:r>
      <w:r w:rsidRPr="00A1556D">
        <w:rPr>
          <w:lang w:val="en-GB"/>
        </w:rPr>
        <w:t xml:space="preserve"> A is the most viable since B uses a more costly and toxic solvent and D uses calcination, which consumes electricity.</w:t>
      </w:r>
    </w:p>
    <w:p w14:paraId="75FF78D6" w14:textId="3F1D49DF" w:rsidR="00A1556D" w:rsidRDefault="00A1556D" w:rsidP="00A1556D">
      <w:pPr>
        <w:pStyle w:val="CETBodytext"/>
        <w:rPr>
          <w:lang w:val="en-GB"/>
        </w:rPr>
      </w:pPr>
      <w:r w:rsidRPr="00A1556D">
        <w:rPr>
          <w:lang w:val="en-GB"/>
        </w:rPr>
        <w:t xml:space="preserve">In Figure </w:t>
      </w:r>
      <w:r w:rsidR="00FA2D4C">
        <w:rPr>
          <w:lang w:val="en-GB"/>
        </w:rPr>
        <w:t>3</w:t>
      </w:r>
      <w:r w:rsidRPr="00A1556D">
        <w:rPr>
          <w:lang w:val="en-GB"/>
        </w:rPr>
        <w:t>C, it is observed that the xylose productivity increased in the second cycle, an unexpected behavio</w:t>
      </w:r>
      <w:r w:rsidR="001F17F5">
        <w:rPr>
          <w:lang w:val="en-GB"/>
        </w:rPr>
        <w:t>u</w:t>
      </w:r>
      <w:r w:rsidRPr="00A1556D">
        <w:rPr>
          <w:lang w:val="en-GB"/>
        </w:rPr>
        <w:t>r for the temperature of 150 °C. These results were obtained from replicates; there is probably an anomalous behavio</w:t>
      </w:r>
      <w:r w:rsidR="001F17F5">
        <w:rPr>
          <w:lang w:val="en-GB"/>
        </w:rPr>
        <w:t>u</w:t>
      </w:r>
      <w:r w:rsidRPr="00A1556D">
        <w:rPr>
          <w:lang w:val="en-GB"/>
        </w:rPr>
        <w:t xml:space="preserve">r for releasing xylose when the catalyst is recovered using </w:t>
      </w:r>
      <w:r w:rsidR="00177B50">
        <w:rPr>
          <w:lang w:val="en-GB"/>
        </w:rPr>
        <w:t>pretreatment</w:t>
      </w:r>
      <w:r w:rsidRPr="00A1556D">
        <w:rPr>
          <w:lang w:val="en-GB"/>
        </w:rPr>
        <w:t xml:space="preserve"> C.</w:t>
      </w:r>
    </w:p>
    <w:p w14:paraId="1874D648" w14:textId="5F5E45EB" w:rsidR="00D73FE4" w:rsidRPr="00E02EA6" w:rsidRDefault="005D3056" w:rsidP="00E02EA6">
      <w:pPr>
        <w:pStyle w:val="CETCaption"/>
      </w:pPr>
      <w:r>
        <w:rPr>
          <w:noProof/>
        </w:rPr>
        <w:drawing>
          <wp:inline distT="0" distB="0" distL="0" distR="0" wp14:anchorId="3EAD3D56" wp14:editId="67ED901B">
            <wp:extent cx="5579745" cy="2438400"/>
            <wp:effectExtent l="0" t="0" r="190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rotWithShape="1">
                    <a:blip r:embed="rId10"/>
                    <a:srcRect b="28383"/>
                    <a:stretch/>
                  </pic:blipFill>
                  <pic:spPr bwMode="auto">
                    <a:xfrm>
                      <a:off x="0" y="0"/>
                      <a:ext cx="5579745" cy="2438400"/>
                    </a:xfrm>
                    <a:prstGeom prst="rect">
                      <a:avLst/>
                    </a:prstGeom>
                    <a:ln>
                      <a:noFill/>
                    </a:ln>
                    <a:extLst>
                      <a:ext uri="{53640926-AAD7-44D8-BBD7-CCE9431645EC}">
                        <a14:shadowObscured xmlns:a14="http://schemas.microsoft.com/office/drawing/2010/main"/>
                      </a:ext>
                    </a:extLst>
                  </pic:spPr>
                </pic:pic>
              </a:graphicData>
            </a:graphic>
          </wp:inline>
        </w:drawing>
      </w:r>
    </w:p>
    <w:p w14:paraId="2B96B644" w14:textId="64A79AF8" w:rsidR="00A1556D" w:rsidRDefault="00A1556D" w:rsidP="00E02EA6">
      <w:pPr>
        <w:pStyle w:val="CETCaption"/>
      </w:pPr>
      <w:r w:rsidRPr="00E02EA6">
        <w:t xml:space="preserve"> Figure 3</w:t>
      </w:r>
      <w:r w:rsidR="00BB78A0" w:rsidRPr="00E02EA6">
        <w:t>:</w:t>
      </w:r>
      <w:r w:rsidRPr="00E02EA6">
        <w:t xml:space="preserve"> Xylose</w:t>
      </w:r>
      <w:r w:rsidR="0004119B">
        <w:t xml:space="preserve"> (A-D)</w:t>
      </w:r>
      <w:r w:rsidRPr="00E02EA6">
        <w:t xml:space="preserve"> </w:t>
      </w:r>
      <w:r w:rsidR="00D41B76">
        <w:t>and Furfural</w:t>
      </w:r>
      <w:r w:rsidR="0004119B">
        <w:t xml:space="preserve"> (E-H)</w:t>
      </w:r>
      <w:r w:rsidR="00D41B76">
        <w:t xml:space="preserve"> </w:t>
      </w:r>
      <w:r w:rsidRPr="00E02EA6">
        <w:t xml:space="preserve">productivity at two temperatures (110 and 150 °C) in cycles 1 and 2 and different </w:t>
      </w:r>
      <w:r w:rsidR="00D41B76">
        <w:t>catalyst</w:t>
      </w:r>
      <w:r w:rsidRPr="00E02EA6">
        <w:t xml:space="preserve"> </w:t>
      </w:r>
      <w:r w:rsidR="00813DB0" w:rsidRPr="00E02EA6">
        <w:t>treatments</w:t>
      </w:r>
      <w:r w:rsidRPr="00E02EA6">
        <w:t>. A</w:t>
      </w:r>
      <w:r w:rsidR="0004119B">
        <w:t>/E</w:t>
      </w:r>
      <w:r w:rsidRPr="00E02EA6">
        <w:t>: washing with water, B</w:t>
      </w:r>
      <w:r w:rsidR="0004119B">
        <w:t>/F</w:t>
      </w:r>
      <w:r w:rsidRPr="00E02EA6">
        <w:t>: washing with acetone, C</w:t>
      </w:r>
      <w:r w:rsidR="0004119B">
        <w:t>/G</w:t>
      </w:r>
      <w:r w:rsidRPr="00E02EA6">
        <w:t>: washing with excess acetone, D</w:t>
      </w:r>
      <w:r w:rsidR="0004119B">
        <w:t>/H</w:t>
      </w:r>
      <w:r w:rsidRPr="00E02EA6">
        <w:t>: calcining in the muffle.</w:t>
      </w:r>
    </w:p>
    <w:p w14:paraId="135120EA" w14:textId="7DCC384B" w:rsidR="003E5B4F" w:rsidRPr="00B57B36" w:rsidRDefault="003E5B4F" w:rsidP="003E5B4F">
      <w:pPr>
        <w:pStyle w:val="CETTabletitle"/>
      </w:pPr>
      <w:r w:rsidRPr="00B57B36">
        <w:t xml:space="preserve">Table </w:t>
      </w:r>
      <w:r>
        <w:t>2</w:t>
      </w:r>
      <w:r w:rsidRPr="00B57B36">
        <w:t xml:space="preserve">: </w:t>
      </w:r>
      <w:r w:rsidRPr="00813DB0">
        <w:t xml:space="preserve">Analysis of variance of cycles for xylose release in the different </w:t>
      </w:r>
      <w:r w:rsidR="00177B50">
        <w:t>pretreatment</w:t>
      </w:r>
      <w:r w:rsidRPr="00813DB0">
        <w:t>s</w:t>
      </w:r>
    </w:p>
    <w:tbl>
      <w:tblPr>
        <w:tblW w:w="5082" w:type="pct"/>
        <w:shd w:val="clear" w:color="auto" w:fill="FFFFFF"/>
        <w:tblCellMar>
          <w:left w:w="0" w:type="dxa"/>
          <w:right w:w="0" w:type="dxa"/>
        </w:tblCellMar>
        <w:tblLook w:val="00A0" w:firstRow="1" w:lastRow="0" w:firstColumn="1" w:lastColumn="0" w:noHBand="0" w:noVBand="0"/>
      </w:tblPr>
      <w:tblGrid>
        <w:gridCol w:w="2003"/>
        <w:gridCol w:w="542"/>
        <w:gridCol w:w="296"/>
        <w:gridCol w:w="542"/>
        <w:gridCol w:w="418"/>
        <w:gridCol w:w="523"/>
        <w:gridCol w:w="411"/>
        <w:gridCol w:w="2002"/>
        <w:gridCol w:w="418"/>
        <w:gridCol w:w="293"/>
        <w:gridCol w:w="418"/>
        <w:gridCol w:w="418"/>
        <w:gridCol w:w="647"/>
      </w:tblGrid>
      <w:tr w:rsidR="003E5B4F" w:rsidRPr="00BE430E" w14:paraId="1B9ADFCE" w14:textId="77777777" w:rsidTr="00A66FBD">
        <w:tc>
          <w:tcPr>
            <w:tcW w:w="1121" w:type="pct"/>
            <w:tcBorders>
              <w:bottom w:val="single" w:sz="12" w:space="0" w:color="008000"/>
            </w:tcBorders>
            <w:shd w:val="clear" w:color="auto" w:fill="FFFFFF"/>
            <w:vAlign w:val="center"/>
          </w:tcPr>
          <w:p w14:paraId="2A685E57"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Xylose – A110</w:t>
            </w:r>
          </w:p>
        </w:tc>
        <w:tc>
          <w:tcPr>
            <w:tcW w:w="303" w:type="pct"/>
            <w:tcBorders>
              <w:bottom w:val="single" w:sz="12" w:space="0" w:color="008000"/>
            </w:tcBorders>
            <w:shd w:val="clear" w:color="auto" w:fill="FFFFFF"/>
            <w:vAlign w:val="center"/>
          </w:tcPr>
          <w:p w14:paraId="00F80554" w14:textId="77777777" w:rsidR="003E5B4F" w:rsidRPr="00BE430E" w:rsidRDefault="003E5B4F" w:rsidP="00A66FBD">
            <w:pPr>
              <w:pStyle w:val="CETBodytext"/>
              <w:jc w:val="center"/>
              <w:rPr>
                <w:rFonts w:cs="Arial"/>
                <w:sz w:val="14"/>
                <w:szCs w:val="14"/>
                <w:lang w:val="en-GB"/>
              </w:rPr>
            </w:pPr>
          </w:p>
        </w:tc>
        <w:tc>
          <w:tcPr>
            <w:tcW w:w="165" w:type="pct"/>
            <w:tcBorders>
              <w:bottom w:val="single" w:sz="12" w:space="0" w:color="008000"/>
            </w:tcBorders>
            <w:shd w:val="clear" w:color="auto" w:fill="FFFFFF"/>
            <w:vAlign w:val="center"/>
          </w:tcPr>
          <w:p w14:paraId="45F11333" w14:textId="77777777" w:rsidR="003E5B4F" w:rsidRPr="00BE430E" w:rsidRDefault="003E5B4F" w:rsidP="00A66FBD">
            <w:pPr>
              <w:pStyle w:val="CETBodytext"/>
              <w:jc w:val="center"/>
              <w:rPr>
                <w:rFonts w:cs="Arial"/>
                <w:sz w:val="14"/>
                <w:szCs w:val="14"/>
                <w:lang w:val="en-GB"/>
              </w:rPr>
            </w:pPr>
          </w:p>
        </w:tc>
        <w:tc>
          <w:tcPr>
            <w:tcW w:w="303" w:type="pct"/>
            <w:tcBorders>
              <w:bottom w:val="single" w:sz="12" w:space="0" w:color="008000"/>
            </w:tcBorders>
            <w:shd w:val="clear" w:color="auto" w:fill="FFFFFF"/>
            <w:vAlign w:val="center"/>
          </w:tcPr>
          <w:p w14:paraId="4C7A6165" w14:textId="77777777" w:rsidR="003E5B4F" w:rsidRPr="00BE430E" w:rsidRDefault="003E5B4F" w:rsidP="00A66FBD">
            <w:pPr>
              <w:pStyle w:val="CETBodytext"/>
              <w:jc w:val="center"/>
              <w:rPr>
                <w:rFonts w:cs="Arial"/>
                <w:sz w:val="14"/>
                <w:szCs w:val="14"/>
                <w:lang w:val="en-GB"/>
              </w:rPr>
            </w:pPr>
          </w:p>
        </w:tc>
        <w:tc>
          <w:tcPr>
            <w:tcW w:w="234" w:type="pct"/>
            <w:tcBorders>
              <w:bottom w:val="single" w:sz="12" w:space="0" w:color="008000"/>
            </w:tcBorders>
            <w:shd w:val="clear" w:color="auto" w:fill="FFFFFF"/>
            <w:vAlign w:val="center"/>
          </w:tcPr>
          <w:p w14:paraId="0DF74B24" w14:textId="77777777" w:rsidR="003E5B4F" w:rsidRPr="00BE430E" w:rsidRDefault="003E5B4F" w:rsidP="00A66FBD">
            <w:pPr>
              <w:pStyle w:val="CETBodytext"/>
              <w:jc w:val="center"/>
              <w:rPr>
                <w:rFonts w:cs="Arial"/>
                <w:sz w:val="14"/>
                <w:szCs w:val="14"/>
                <w:lang w:val="en-GB"/>
              </w:rPr>
            </w:pPr>
          </w:p>
        </w:tc>
        <w:tc>
          <w:tcPr>
            <w:tcW w:w="293" w:type="pct"/>
            <w:tcBorders>
              <w:bottom w:val="single" w:sz="12" w:space="0" w:color="008000"/>
            </w:tcBorders>
            <w:shd w:val="clear" w:color="auto" w:fill="FFFFFF"/>
            <w:vAlign w:val="center"/>
          </w:tcPr>
          <w:p w14:paraId="630A69AF" w14:textId="77777777" w:rsidR="003E5B4F" w:rsidRPr="00BE430E" w:rsidRDefault="003E5B4F" w:rsidP="00A66FBD">
            <w:pPr>
              <w:pStyle w:val="CETBodytext"/>
              <w:jc w:val="center"/>
              <w:rPr>
                <w:rFonts w:cs="Arial"/>
                <w:sz w:val="14"/>
                <w:szCs w:val="14"/>
                <w:lang w:val="en-GB"/>
              </w:rPr>
            </w:pPr>
          </w:p>
        </w:tc>
        <w:tc>
          <w:tcPr>
            <w:tcW w:w="230" w:type="pct"/>
            <w:shd w:val="clear" w:color="auto" w:fill="FFFFFF"/>
          </w:tcPr>
          <w:p w14:paraId="218554F7" w14:textId="77777777" w:rsidR="003E5B4F" w:rsidRPr="00BE430E" w:rsidRDefault="003E5B4F" w:rsidP="00A66FBD">
            <w:pPr>
              <w:pStyle w:val="CETBodytext"/>
              <w:jc w:val="center"/>
              <w:rPr>
                <w:rFonts w:cs="Arial"/>
                <w:sz w:val="14"/>
                <w:szCs w:val="14"/>
                <w:lang w:val="en-GB"/>
              </w:rPr>
            </w:pPr>
          </w:p>
        </w:tc>
        <w:tc>
          <w:tcPr>
            <w:tcW w:w="1121" w:type="pct"/>
            <w:tcBorders>
              <w:bottom w:val="single" w:sz="12" w:space="0" w:color="008000"/>
            </w:tcBorders>
            <w:shd w:val="clear" w:color="auto" w:fill="FFFFFF"/>
            <w:vAlign w:val="center"/>
          </w:tcPr>
          <w:p w14:paraId="13193AE9"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Xylose – A150</w:t>
            </w:r>
          </w:p>
        </w:tc>
        <w:tc>
          <w:tcPr>
            <w:tcW w:w="234" w:type="pct"/>
            <w:tcBorders>
              <w:bottom w:val="single" w:sz="12" w:space="0" w:color="008000"/>
            </w:tcBorders>
            <w:shd w:val="clear" w:color="auto" w:fill="FFFFFF"/>
            <w:vAlign w:val="center"/>
          </w:tcPr>
          <w:p w14:paraId="49F5B271" w14:textId="77777777" w:rsidR="003E5B4F" w:rsidRPr="00BE430E" w:rsidRDefault="003E5B4F" w:rsidP="00A66FBD">
            <w:pPr>
              <w:pStyle w:val="CETBodytext"/>
              <w:jc w:val="center"/>
              <w:rPr>
                <w:rFonts w:cs="Arial"/>
                <w:sz w:val="14"/>
                <w:szCs w:val="14"/>
                <w:lang w:val="en-GB"/>
              </w:rPr>
            </w:pPr>
          </w:p>
        </w:tc>
        <w:tc>
          <w:tcPr>
            <w:tcW w:w="164" w:type="pct"/>
            <w:tcBorders>
              <w:bottom w:val="single" w:sz="12" w:space="0" w:color="008000"/>
            </w:tcBorders>
            <w:shd w:val="clear" w:color="auto" w:fill="FFFFFF"/>
            <w:vAlign w:val="center"/>
          </w:tcPr>
          <w:p w14:paraId="71CB82EC" w14:textId="77777777" w:rsidR="003E5B4F" w:rsidRPr="00BE430E" w:rsidRDefault="003E5B4F" w:rsidP="00A66FBD">
            <w:pPr>
              <w:pStyle w:val="CETBodytext"/>
              <w:jc w:val="center"/>
              <w:rPr>
                <w:rFonts w:cs="Arial"/>
                <w:sz w:val="14"/>
                <w:szCs w:val="14"/>
                <w:lang w:val="en-GB"/>
              </w:rPr>
            </w:pPr>
          </w:p>
        </w:tc>
        <w:tc>
          <w:tcPr>
            <w:tcW w:w="234" w:type="pct"/>
            <w:tcBorders>
              <w:bottom w:val="single" w:sz="12" w:space="0" w:color="008000"/>
            </w:tcBorders>
            <w:shd w:val="clear" w:color="auto" w:fill="FFFFFF"/>
            <w:vAlign w:val="center"/>
          </w:tcPr>
          <w:p w14:paraId="276A8AD3" w14:textId="77777777" w:rsidR="003E5B4F" w:rsidRPr="00BE430E" w:rsidRDefault="003E5B4F" w:rsidP="00A66FBD">
            <w:pPr>
              <w:pStyle w:val="CETBodytext"/>
              <w:jc w:val="center"/>
              <w:rPr>
                <w:rFonts w:cs="Arial"/>
                <w:sz w:val="14"/>
                <w:szCs w:val="14"/>
                <w:lang w:val="en-GB"/>
              </w:rPr>
            </w:pPr>
          </w:p>
        </w:tc>
        <w:tc>
          <w:tcPr>
            <w:tcW w:w="234" w:type="pct"/>
            <w:tcBorders>
              <w:bottom w:val="single" w:sz="12" w:space="0" w:color="008000"/>
            </w:tcBorders>
            <w:shd w:val="clear" w:color="auto" w:fill="FFFFFF"/>
            <w:vAlign w:val="center"/>
          </w:tcPr>
          <w:p w14:paraId="3D5C9A7E" w14:textId="77777777" w:rsidR="003E5B4F" w:rsidRPr="00BE430E" w:rsidRDefault="003E5B4F" w:rsidP="00A66FBD">
            <w:pPr>
              <w:pStyle w:val="CETBodytext"/>
              <w:jc w:val="center"/>
              <w:rPr>
                <w:rFonts w:cs="Arial"/>
                <w:sz w:val="14"/>
                <w:szCs w:val="14"/>
                <w:lang w:val="en-GB"/>
              </w:rPr>
            </w:pPr>
          </w:p>
        </w:tc>
        <w:tc>
          <w:tcPr>
            <w:tcW w:w="362" w:type="pct"/>
            <w:tcBorders>
              <w:bottom w:val="single" w:sz="12" w:space="0" w:color="008000"/>
            </w:tcBorders>
            <w:shd w:val="clear" w:color="auto" w:fill="FFFFFF"/>
            <w:vAlign w:val="center"/>
          </w:tcPr>
          <w:p w14:paraId="249FA573" w14:textId="77777777" w:rsidR="003E5B4F" w:rsidRPr="00BE430E" w:rsidRDefault="003E5B4F" w:rsidP="00A66FBD">
            <w:pPr>
              <w:pStyle w:val="CETBodytext"/>
              <w:jc w:val="center"/>
              <w:rPr>
                <w:rFonts w:cs="Arial"/>
                <w:sz w:val="14"/>
                <w:szCs w:val="14"/>
                <w:lang w:val="en-GB"/>
              </w:rPr>
            </w:pPr>
          </w:p>
        </w:tc>
      </w:tr>
      <w:tr w:rsidR="003E5B4F" w:rsidRPr="00BE430E" w14:paraId="3FBC439B" w14:textId="77777777" w:rsidTr="00A66FBD">
        <w:tc>
          <w:tcPr>
            <w:tcW w:w="1121" w:type="pct"/>
            <w:tcBorders>
              <w:top w:val="single" w:sz="12" w:space="0" w:color="008000"/>
              <w:bottom w:val="single" w:sz="6" w:space="0" w:color="008000"/>
            </w:tcBorders>
            <w:shd w:val="clear" w:color="auto" w:fill="FFFFFF"/>
            <w:vAlign w:val="center"/>
          </w:tcPr>
          <w:p w14:paraId="1F88B010"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Source of Variation</w:t>
            </w:r>
          </w:p>
        </w:tc>
        <w:tc>
          <w:tcPr>
            <w:tcW w:w="303" w:type="pct"/>
            <w:tcBorders>
              <w:top w:val="single" w:sz="12" w:space="0" w:color="008000"/>
              <w:bottom w:val="single" w:sz="6" w:space="0" w:color="008000"/>
            </w:tcBorders>
            <w:shd w:val="clear" w:color="auto" w:fill="FFFFFF"/>
            <w:vAlign w:val="center"/>
          </w:tcPr>
          <w:p w14:paraId="59D72190"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QS</w:t>
            </w:r>
          </w:p>
        </w:tc>
        <w:tc>
          <w:tcPr>
            <w:tcW w:w="165" w:type="pct"/>
            <w:tcBorders>
              <w:top w:val="single" w:sz="12" w:space="0" w:color="008000"/>
              <w:bottom w:val="single" w:sz="6" w:space="0" w:color="008000"/>
            </w:tcBorders>
            <w:shd w:val="clear" w:color="auto" w:fill="FFFFFF"/>
            <w:vAlign w:val="center"/>
          </w:tcPr>
          <w:p w14:paraId="2D2F83A8"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GL</w:t>
            </w:r>
          </w:p>
        </w:tc>
        <w:tc>
          <w:tcPr>
            <w:tcW w:w="303" w:type="pct"/>
            <w:tcBorders>
              <w:top w:val="single" w:sz="12" w:space="0" w:color="008000"/>
              <w:bottom w:val="single" w:sz="6" w:space="0" w:color="008000"/>
            </w:tcBorders>
            <w:shd w:val="clear" w:color="auto" w:fill="FFFFFF"/>
            <w:vAlign w:val="center"/>
          </w:tcPr>
          <w:p w14:paraId="12DA7E8E"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MQ</w:t>
            </w:r>
          </w:p>
        </w:tc>
        <w:tc>
          <w:tcPr>
            <w:tcW w:w="234" w:type="pct"/>
            <w:tcBorders>
              <w:top w:val="single" w:sz="12" w:space="0" w:color="008000"/>
              <w:bottom w:val="single" w:sz="6" w:space="0" w:color="008000"/>
            </w:tcBorders>
            <w:shd w:val="clear" w:color="auto" w:fill="FFFFFF"/>
            <w:vAlign w:val="center"/>
          </w:tcPr>
          <w:p w14:paraId="6335BBBD"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F</w:t>
            </w:r>
          </w:p>
        </w:tc>
        <w:tc>
          <w:tcPr>
            <w:tcW w:w="293" w:type="pct"/>
            <w:tcBorders>
              <w:top w:val="single" w:sz="12" w:space="0" w:color="008000"/>
              <w:bottom w:val="single" w:sz="6" w:space="0" w:color="008000"/>
            </w:tcBorders>
            <w:shd w:val="clear" w:color="auto" w:fill="FFFFFF"/>
            <w:vAlign w:val="center"/>
          </w:tcPr>
          <w:p w14:paraId="1F703DAB"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Value-P</w:t>
            </w:r>
          </w:p>
        </w:tc>
        <w:tc>
          <w:tcPr>
            <w:tcW w:w="230" w:type="pct"/>
            <w:shd w:val="clear" w:color="auto" w:fill="FFFFFF"/>
          </w:tcPr>
          <w:p w14:paraId="2FFA9433" w14:textId="77777777" w:rsidR="003E5B4F" w:rsidRPr="00BE430E" w:rsidRDefault="003E5B4F" w:rsidP="00A66FBD">
            <w:pPr>
              <w:pStyle w:val="CETBodytext"/>
              <w:jc w:val="center"/>
              <w:rPr>
                <w:rFonts w:cs="Arial"/>
                <w:sz w:val="14"/>
                <w:szCs w:val="14"/>
                <w:lang w:val="en-GB"/>
              </w:rPr>
            </w:pPr>
          </w:p>
        </w:tc>
        <w:tc>
          <w:tcPr>
            <w:tcW w:w="1121" w:type="pct"/>
            <w:tcBorders>
              <w:top w:val="single" w:sz="12" w:space="0" w:color="008000"/>
              <w:bottom w:val="single" w:sz="6" w:space="0" w:color="008000"/>
            </w:tcBorders>
            <w:shd w:val="clear" w:color="auto" w:fill="FFFFFF"/>
            <w:vAlign w:val="center"/>
          </w:tcPr>
          <w:p w14:paraId="3B144284"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Source of Variation</w:t>
            </w:r>
          </w:p>
        </w:tc>
        <w:tc>
          <w:tcPr>
            <w:tcW w:w="234" w:type="pct"/>
            <w:tcBorders>
              <w:top w:val="single" w:sz="12" w:space="0" w:color="008000"/>
              <w:bottom w:val="single" w:sz="6" w:space="0" w:color="008000"/>
            </w:tcBorders>
            <w:shd w:val="clear" w:color="auto" w:fill="FFFFFF"/>
            <w:vAlign w:val="center"/>
          </w:tcPr>
          <w:p w14:paraId="1348A191"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QS</w:t>
            </w:r>
          </w:p>
        </w:tc>
        <w:tc>
          <w:tcPr>
            <w:tcW w:w="164" w:type="pct"/>
            <w:tcBorders>
              <w:top w:val="single" w:sz="12" w:space="0" w:color="008000"/>
              <w:bottom w:val="single" w:sz="6" w:space="0" w:color="008000"/>
            </w:tcBorders>
            <w:shd w:val="clear" w:color="auto" w:fill="FFFFFF"/>
            <w:vAlign w:val="center"/>
          </w:tcPr>
          <w:p w14:paraId="646AE275"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GL</w:t>
            </w:r>
          </w:p>
        </w:tc>
        <w:tc>
          <w:tcPr>
            <w:tcW w:w="234" w:type="pct"/>
            <w:tcBorders>
              <w:top w:val="single" w:sz="12" w:space="0" w:color="008000"/>
              <w:bottom w:val="single" w:sz="6" w:space="0" w:color="008000"/>
            </w:tcBorders>
            <w:shd w:val="clear" w:color="auto" w:fill="FFFFFF"/>
            <w:vAlign w:val="center"/>
          </w:tcPr>
          <w:p w14:paraId="737E97D7"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MQ</w:t>
            </w:r>
          </w:p>
        </w:tc>
        <w:tc>
          <w:tcPr>
            <w:tcW w:w="234" w:type="pct"/>
            <w:tcBorders>
              <w:top w:val="single" w:sz="12" w:space="0" w:color="008000"/>
              <w:bottom w:val="single" w:sz="6" w:space="0" w:color="008000"/>
            </w:tcBorders>
            <w:shd w:val="clear" w:color="auto" w:fill="FFFFFF"/>
            <w:vAlign w:val="center"/>
          </w:tcPr>
          <w:p w14:paraId="5A93FE2D"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F</w:t>
            </w:r>
          </w:p>
        </w:tc>
        <w:tc>
          <w:tcPr>
            <w:tcW w:w="362" w:type="pct"/>
            <w:tcBorders>
              <w:top w:val="single" w:sz="12" w:space="0" w:color="008000"/>
              <w:bottom w:val="single" w:sz="6" w:space="0" w:color="008000"/>
            </w:tcBorders>
            <w:shd w:val="clear" w:color="auto" w:fill="FFFFFF"/>
            <w:vAlign w:val="center"/>
          </w:tcPr>
          <w:p w14:paraId="7A8AF3EA"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Value-P</w:t>
            </w:r>
          </w:p>
        </w:tc>
      </w:tr>
      <w:tr w:rsidR="003E5B4F" w:rsidRPr="00BE430E" w14:paraId="0FA6FC1B" w14:textId="77777777" w:rsidTr="00A66FBD">
        <w:trPr>
          <w:trHeight w:val="194"/>
        </w:trPr>
        <w:tc>
          <w:tcPr>
            <w:tcW w:w="1121" w:type="pct"/>
            <w:tcBorders>
              <w:top w:val="single" w:sz="6" w:space="0" w:color="008000"/>
            </w:tcBorders>
            <w:shd w:val="clear" w:color="auto" w:fill="FFFFFF"/>
            <w:vAlign w:val="center"/>
          </w:tcPr>
          <w:p w14:paraId="347A64DB"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Between groups</w:t>
            </w:r>
          </w:p>
        </w:tc>
        <w:tc>
          <w:tcPr>
            <w:tcW w:w="303" w:type="pct"/>
            <w:tcBorders>
              <w:top w:val="single" w:sz="6" w:space="0" w:color="008000"/>
            </w:tcBorders>
            <w:shd w:val="clear" w:color="auto" w:fill="FFFFFF"/>
            <w:vAlign w:val="center"/>
          </w:tcPr>
          <w:p w14:paraId="567BED57"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673.2</w:t>
            </w:r>
          </w:p>
        </w:tc>
        <w:tc>
          <w:tcPr>
            <w:tcW w:w="165" w:type="pct"/>
            <w:tcBorders>
              <w:top w:val="single" w:sz="6" w:space="0" w:color="008000"/>
            </w:tcBorders>
            <w:shd w:val="clear" w:color="auto" w:fill="FFFFFF"/>
            <w:vAlign w:val="center"/>
          </w:tcPr>
          <w:p w14:paraId="6B4CFCE4"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1</w:t>
            </w:r>
          </w:p>
        </w:tc>
        <w:tc>
          <w:tcPr>
            <w:tcW w:w="303" w:type="pct"/>
            <w:tcBorders>
              <w:top w:val="single" w:sz="6" w:space="0" w:color="008000"/>
            </w:tcBorders>
            <w:shd w:val="clear" w:color="auto" w:fill="FFFFFF"/>
            <w:vAlign w:val="center"/>
          </w:tcPr>
          <w:p w14:paraId="038EB250"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673.2</w:t>
            </w:r>
          </w:p>
        </w:tc>
        <w:tc>
          <w:tcPr>
            <w:tcW w:w="234" w:type="pct"/>
            <w:tcBorders>
              <w:top w:val="single" w:sz="6" w:space="0" w:color="008000"/>
            </w:tcBorders>
            <w:shd w:val="clear" w:color="auto" w:fill="FFFFFF"/>
            <w:vAlign w:val="center"/>
          </w:tcPr>
          <w:p w14:paraId="145B67BB"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62.6</w:t>
            </w:r>
          </w:p>
        </w:tc>
        <w:tc>
          <w:tcPr>
            <w:tcW w:w="293" w:type="pct"/>
            <w:tcBorders>
              <w:top w:val="single" w:sz="6" w:space="0" w:color="008000"/>
            </w:tcBorders>
            <w:shd w:val="clear" w:color="auto" w:fill="FFFFFF"/>
            <w:vAlign w:val="center"/>
          </w:tcPr>
          <w:p w14:paraId="11A71B0C" w14:textId="77777777" w:rsidR="003E5B4F" w:rsidRPr="00BE430E" w:rsidRDefault="003E5B4F" w:rsidP="00A66FBD">
            <w:pPr>
              <w:pStyle w:val="CETBodytext"/>
              <w:jc w:val="center"/>
              <w:rPr>
                <w:rFonts w:cs="Arial"/>
                <w:sz w:val="14"/>
                <w:szCs w:val="14"/>
                <w:lang w:val="en-GB"/>
              </w:rPr>
            </w:pPr>
            <w:r w:rsidRPr="00BE430E">
              <w:rPr>
                <w:rFonts w:cs="Arial"/>
                <w:color w:val="FF0000"/>
                <w:sz w:val="14"/>
                <w:szCs w:val="14"/>
                <w:lang w:val="en-GB"/>
              </w:rPr>
              <w:t>0.00022</w:t>
            </w:r>
          </w:p>
        </w:tc>
        <w:tc>
          <w:tcPr>
            <w:tcW w:w="230" w:type="pct"/>
            <w:shd w:val="clear" w:color="auto" w:fill="FFFFFF"/>
          </w:tcPr>
          <w:p w14:paraId="52C551FB" w14:textId="77777777" w:rsidR="003E5B4F" w:rsidRPr="00BE430E" w:rsidRDefault="003E5B4F" w:rsidP="00A66FBD">
            <w:pPr>
              <w:pStyle w:val="CETBodytext"/>
              <w:jc w:val="center"/>
              <w:rPr>
                <w:rFonts w:cs="Arial"/>
                <w:color w:val="FF0000"/>
                <w:sz w:val="14"/>
                <w:szCs w:val="14"/>
                <w:lang w:val="en-GB"/>
              </w:rPr>
            </w:pPr>
          </w:p>
        </w:tc>
        <w:tc>
          <w:tcPr>
            <w:tcW w:w="1121" w:type="pct"/>
            <w:tcBorders>
              <w:top w:val="single" w:sz="6" w:space="0" w:color="008000"/>
            </w:tcBorders>
            <w:shd w:val="clear" w:color="auto" w:fill="FFFFFF"/>
            <w:vAlign w:val="center"/>
          </w:tcPr>
          <w:p w14:paraId="76E6F3FB" w14:textId="77777777" w:rsidR="003E5B4F" w:rsidRPr="00BE430E" w:rsidRDefault="003E5B4F" w:rsidP="00A66FBD">
            <w:pPr>
              <w:pStyle w:val="CETBodytext"/>
              <w:jc w:val="left"/>
              <w:rPr>
                <w:rFonts w:cs="Arial"/>
                <w:color w:val="FF0000"/>
                <w:sz w:val="14"/>
                <w:szCs w:val="14"/>
                <w:lang w:val="en-GB"/>
              </w:rPr>
            </w:pPr>
            <w:r w:rsidRPr="00BE430E">
              <w:rPr>
                <w:rFonts w:cs="Arial"/>
                <w:sz w:val="14"/>
                <w:szCs w:val="14"/>
                <w:lang w:val="en-GB"/>
              </w:rPr>
              <w:t>Between groups</w:t>
            </w:r>
          </w:p>
        </w:tc>
        <w:tc>
          <w:tcPr>
            <w:tcW w:w="234" w:type="pct"/>
            <w:tcBorders>
              <w:top w:val="single" w:sz="6" w:space="0" w:color="008000"/>
            </w:tcBorders>
            <w:shd w:val="clear" w:color="auto" w:fill="FFFFFF"/>
            <w:vAlign w:val="center"/>
          </w:tcPr>
          <w:p w14:paraId="152AD04F"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9.74</w:t>
            </w:r>
          </w:p>
        </w:tc>
        <w:tc>
          <w:tcPr>
            <w:tcW w:w="164" w:type="pct"/>
            <w:tcBorders>
              <w:top w:val="single" w:sz="6" w:space="0" w:color="008000"/>
            </w:tcBorders>
            <w:shd w:val="clear" w:color="auto" w:fill="FFFFFF"/>
            <w:vAlign w:val="center"/>
          </w:tcPr>
          <w:p w14:paraId="26861E5F"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1</w:t>
            </w:r>
          </w:p>
        </w:tc>
        <w:tc>
          <w:tcPr>
            <w:tcW w:w="234" w:type="pct"/>
            <w:tcBorders>
              <w:top w:val="single" w:sz="6" w:space="0" w:color="008000"/>
            </w:tcBorders>
            <w:shd w:val="clear" w:color="auto" w:fill="FFFFFF"/>
            <w:vAlign w:val="center"/>
          </w:tcPr>
          <w:p w14:paraId="0247FAC8"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9.74</w:t>
            </w:r>
          </w:p>
        </w:tc>
        <w:tc>
          <w:tcPr>
            <w:tcW w:w="234" w:type="pct"/>
            <w:tcBorders>
              <w:top w:val="single" w:sz="6" w:space="0" w:color="008000"/>
            </w:tcBorders>
            <w:shd w:val="clear" w:color="auto" w:fill="FFFFFF"/>
            <w:vAlign w:val="center"/>
          </w:tcPr>
          <w:p w14:paraId="1E6C7D16"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9.58</w:t>
            </w:r>
          </w:p>
        </w:tc>
        <w:tc>
          <w:tcPr>
            <w:tcW w:w="362" w:type="pct"/>
            <w:tcBorders>
              <w:top w:val="single" w:sz="6" w:space="0" w:color="008000"/>
            </w:tcBorders>
            <w:shd w:val="clear" w:color="auto" w:fill="FFFFFF"/>
            <w:vAlign w:val="center"/>
          </w:tcPr>
          <w:p w14:paraId="430771D6"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0.021</w:t>
            </w:r>
          </w:p>
        </w:tc>
      </w:tr>
      <w:tr w:rsidR="003E5B4F" w:rsidRPr="00BE430E" w14:paraId="5CC15C48" w14:textId="77777777" w:rsidTr="00A66FBD">
        <w:tc>
          <w:tcPr>
            <w:tcW w:w="1121" w:type="pct"/>
            <w:tcBorders>
              <w:bottom w:val="single" w:sz="12" w:space="0" w:color="008000"/>
            </w:tcBorders>
            <w:shd w:val="clear" w:color="auto" w:fill="FFFFFF"/>
            <w:vAlign w:val="center"/>
          </w:tcPr>
          <w:p w14:paraId="142257BA"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In groups (error)</w:t>
            </w:r>
          </w:p>
        </w:tc>
        <w:tc>
          <w:tcPr>
            <w:tcW w:w="303" w:type="pct"/>
            <w:tcBorders>
              <w:bottom w:val="single" w:sz="12" w:space="0" w:color="008000"/>
            </w:tcBorders>
            <w:shd w:val="clear" w:color="auto" w:fill="FFFFFF"/>
            <w:vAlign w:val="center"/>
          </w:tcPr>
          <w:p w14:paraId="048C2BBA"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64.5</w:t>
            </w:r>
          </w:p>
        </w:tc>
        <w:tc>
          <w:tcPr>
            <w:tcW w:w="165" w:type="pct"/>
            <w:tcBorders>
              <w:bottom w:val="single" w:sz="12" w:space="0" w:color="008000"/>
            </w:tcBorders>
            <w:shd w:val="clear" w:color="auto" w:fill="FFFFFF"/>
            <w:vAlign w:val="center"/>
          </w:tcPr>
          <w:p w14:paraId="1076380B"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6</w:t>
            </w:r>
          </w:p>
        </w:tc>
        <w:tc>
          <w:tcPr>
            <w:tcW w:w="303" w:type="pct"/>
            <w:tcBorders>
              <w:bottom w:val="single" w:sz="12" w:space="0" w:color="008000"/>
            </w:tcBorders>
            <w:shd w:val="clear" w:color="auto" w:fill="FFFFFF"/>
            <w:vAlign w:val="center"/>
          </w:tcPr>
          <w:p w14:paraId="2250BDB0"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10.7</w:t>
            </w:r>
          </w:p>
        </w:tc>
        <w:tc>
          <w:tcPr>
            <w:tcW w:w="234" w:type="pct"/>
            <w:tcBorders>
              <w:bottom w:val="single" w:sz="12" w:space="0" w:color="008000"/>
            </w:tcBorders>
            <w:shd w:val="clear" w:color="auto" w:fill="FFFFFF"/>
            <w:vAlign w:val="center"/>
          </w:tcPr>
          <w:p w14:paraId="0E89CB8D" w14:textId="77777777" w:rsidR="003E5B4F" w:rsidRPr="00BE430E" w:rsidRDefault="003E5B4F" w:rsidP="00A66FBD">
            <w:pPr>
              <w:pStyle w:val="CETBodytext"/>
              <w:jc w:val="center"/>
              <w:rPr>
                <w:rFonts w:cs="Arial"/>
                <w:sz w:val="14"/>
                <w:szCs w:val="14"/>
                <w:lang w:val="en-GB"/>
              </w:rPr>
            </w:pPr>
          </w:p>
        </w:tc>
        <w:tc>
          <w:tcPr>
            <w:tcW w:w="293" w:type="pct"/>
            <w:tcBorders>
              <w:bottom w:val="single" w:sz="12" w:space="0" w:color="008000"/>
            </w:tcBorders>
            <w:shd w:val="clear" w:color="auto" w:fill="FFFFFF"/>
            <w:vAlign w:val="center"/>
          </w:tcPr>
          <w:p w14:paraId="5752A60E" w14:textId="77777777" w:rsidR="003E5B4F" w:rsidRPr="00BE430E" w:rsidRDefault="003E5B4F" w:rsidP="00A66FBD">
            <w:pPr>
              <w:pStyle w:val="CETBodytext"/>
              <w:jc w:val="center"/>
              <w:rPr>
                <w:rFonts w:cs="Arial"/>
                <w:sz w:val="14"/>
                <w:szCs w:val="14"/>
                <w:lang w:val="en-GB"/>
              </w:rPr>
            </w:pPr>
          </w:p>
        </w:tc>
        <w:tc>
          <w:tcPr>
            <w:tcW w:w="230" w:type="pct"/>
            <w:shd w:val="clear" w:color="auto" w:fill="FFFFFF"/>
          </w:tcPr>
          <w:p w14:paraId="18B94C04" w14:textId="77777777" w:rsidR="003E5B4F" w:rsidRPr="00BE430E" w:rsidRDefault="003E5B4F" w:rsidP="00A66FBD">
            <w:pPr>
              <w:pStyle w:val="CETBodytext"/>
              <w:jc w:val="center"/>
              <w:rPr>
                <w:rFonts w:cs="Arial"/>
                <w:sz w:val="14"/>
                <w:szCs w:val="14"/>
                <w:lang w:val="en-GB"/>
              </w:rPr>
            </w:pPr>
          </w:p>
        </w:tc>
        <w:tc>
          <w:tcPr>
            <w:tcW w:w="1121" w:type="pct"/>
            <w:tcBorders>
              <w:bottom w:val="single" w:sz="12" w:space="0" w:color="008000"/>
            </w:tcBorders>
            <w:shd w:val="clear" w:color="auto" w:fill="FFFFFF"/>
            <w:vAlign w:val="center"/>
          </w:tcPr>
          <w:p w14:paraId="17A602A2"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In groups (error)</w:t>
            </w:r>
          </w:p>
        </w:tc>
        <w:tc>
          <w:tcPr>
            <w:tcW w:w="234" w:type="pct"/>
            <w:tcBorders>
              <w:bottom w:val="single" w:sz="12" w:space="0" w:color="008000"/>
            </w:tcBorders>
            <w:shd w:val="clear" w:color="auto" w:fill="FFFFFF"/>
            <w:vAlign w:val="center"/>
          </w:tcPr>
          <w:p w14:paraId="56BFB7C6"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6.10</w:t>
            </w:r>
          </w:p>
        </w:tc>
        <w:tc>
          <w:tcPr>
            <w:tcW w:w="164" w:type="pct"/>
            <w:tcBorders>
              <w:bottom w:val="single" w:sz="12" w:space="0" w:color="008000"/>
            </w:tcBorders>
            <w:shd w:val="clear" w:color="auto" w:fill="FFFFFF"/>
            <w:vAlign w:val="center"/>
          </w:tcPr>
          <w:p w14:paraId="13FA063E"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6</w:t>
            </w:r>
          </w:p>
        </w:tc>
        <w:tc>
          <w:tcPr>
            <w:tcW w:w="234" w:type="pct"/>
            <w:tcBorders>
              <w:bottom w:val="single" w:sz="12" w:space="0" w:color="008000"/>
            </w:tcBorders>
            <w:shd w:val="clear" w:color="auto" w:fill="FFFFFF"/>
            <w:vAlign w:val="center"/>
          </w:tcPr>
          <w:p w14:paraId="79CE2DCB"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1.02</w:t>
            </w:r>
          </w:p>
        </w:tc>
        <w:tc>
          <w:tcPr>
            <w:tcW w:w="234" w:type="pct"/>
            <w:tcBorders>
              <w:bottom w:val="single" w:sz="12" w:space="0" w:color="008000"/>
            </w:tcBorders>
            <w:shd w:val="clear" w:color="auto" w:fill="FFFFFF"/>
            <w:vAlign w:val="center"/>
          </w:tcPr>
          <w:p w14:paraId="75BFCA91" w14:textId="77777777" w:rsidR="003E5B4F" w:rsidRPr="00BE430E" w:rsidRDefault="003E5B4F" w:rsidP="00A66FBD">
            <w:pPr>
              <w:pStyle w:val="CETBodytext"/>
              <w:jc w:val="center"/>
              <w:rPr>
                <w:rFonts w:cs="Arial"/>
                <w:sz w:val="14"/>
                <w:szCs w:val="14"/>
                <w:lang w:val="en-GB"/>
              </w:rPr>
            </w:pPr>
          </w:p>
        </w:tc>
        <w:tc>
          <w:tcPr>
            <w:tcW w:w="362" w:type="pct"/>
            <w:tcBorders>
              <w:bottom w:val="single" w:sz="12" w:space="0" w:color="008000"/>
            </w:tcBorders>
            <w:shd w:val="clear" w:color="auto" w:fill="FFFFFF"/>
            <w:vAlign w:val="center"/>
          </w:tcPr>
          <w:p w14:paraId="59CB0666" w14:textId="77777777" w:rsidR="003E5B4F" w:rsidRPr="00BE430E" w:rsidRDefault="003E5B4F" w:rsidP="00A66FBD">
            <w:pPr>
              <w:pStyle w:val="CETBodytext"/>
              <w:jc w:val="center"/>
              <w:rPr>
                <w:rFonts w:cs="Arial"/>
                <w:sz w:val="14"/>
                <w:szCs w:val="14"/>
                <w:lang w:val="en-GB"/>
              </w:rPr>
            </w:pPr>
          </w:p>
        </w:tc>
      </w:tr>
      <w:tr w:rsidR="003E5B4F" w:rsidRPr="00BE430E" w14:paraId="0AD531E3" w14:textId="77777777" w:rsidTr="00A66FBD">
        <w:tc>
          <w:tcPr>
            <w:tcW w:w="1121" w:type="pct"/>
            <w:tcBorders>
              <w:top w:val="single" w:sz="12" w:space="0" w:color="008000"/>
            </w:tcBorders>
            <w:shd w:val="clear" w:color="auto" w:fill="FFFFFF"/>
            <w:vAlign w:val="center"/>
          </w:tcPr>
          <w:p w14:paraId="00FE1F36" w14:textId="77777777" w:rsidR="003E5B4F" w:rsidRPr="00BE430E" w:rsidRDefault="003E5B4F" w:rsidP="00A66FBD">
            <w:pPr>
              <w:pStyle w:val="CETBodytext"/>
              <w:jc w:val="left"/>
              <w:rPr>
                <w:rFonts w:cs="Arial"/>
                <w:sz w:val="14"/>
                <w:szCs w:val="14"/>
                <w:lang w:val="en-GB"/>
              </w:rPr>
            </w:pPr>
          </w:p>
        </w:tc>
        <w:tc>
          <w:tcPr>
            <w:tcW w:w="303" w:type="pct"/>
            <w:tcBorders>
              <w:top w:val="single" w:sz="12" w:space="0" w:color="008000"/>
            </w:tcBorders>
            <w:shd w:val="clear" w:color="auto" w:fill="FFFFFF"/>
            <w:vAlign w:val="center"/>
          </w:tcPr>
          <w:p w14:paraId="3000010F" w14:textId="77777777" w:rsidR="003E5B4F" w:rsidRPr="00BE430E" w:rsidRDefault="003E5B4F" w:rsidP="00A66FBD">
            <w:pPr>
              <w:pStyle w:val="CETBodytext"/>
              <w:jc w:val="center"/>
              <w:rPr>
                <w:rFonts w:cs="Arial"/>
                <w:sz w:val="14"/>
                <w:szCs w:val="14"/>
                <w:lang w:val="en-GB"/>
              </w:rPr>
            </w:pPr>
          </w:p>
        </w:tc>
        <w:tc>
          <w:tcPr>
            <w:tcW w:w="165" w:type="pct"/>
            <w:tcBorders>
              <w:top w:val="single" w:sz="12" w:space="0" w:color="008000"/>
            </w:tcBorders>
            <w:shd w:val="clear" w:color="auto" w:fill="FFFFFF"/>
            <w:vAlign w:val="center"/>
          </w:tcPr>
          <w:p w14:paraId="0B3556E6" w14:textId="77777777" w:rsidR="003E5B4F" w:rsidRPr="00BE430E" w:rsidRDefault="003E5B4F" w:rsidP="00A66FBD">
            <w:pPr>
              <w:pStyle w:val="CETBodytext"/>
              <w:jc w:val="center"/>
              <w:rPr>
                <w:rFonts w:cs="Arial"/>
                <w:sz w:val="14"/>
                <w:szCs w:val="14"/>
                <w:lang w:val="en-GB"/>
              </w:rPr>
            </w:pPr>
          </w:p>
        </w:tc>
        <w:tc>
          <w:tcPr>
            <w:tcW w:w="303" w:type="pct"/>
            <w:tcBorders>
              <w:top w:val="single" w:sz="12" w:space="0" w:color="008000"/>
            </w:tcBorders>
            <w:shd w:val="clear" w:color="auto" w:fill="FFFFFF"/>
            <w:vAlign w:val="center"/>
          </w:tcPr>
          <w:p w14:paraId="1853683F" w14:textId="77777777" w:rsidR="003E5B4F" w:rsidRPr="00BE430E" w:rsidRDefault="003E5B4F" w:rsidP="00A66FBD">
            <w:pPr>
              <w:pStyle w:val="CETBodytext"/>
              <w:jc w:val="center"/>
              <w:rPr>
                <w:rFonts w:cs="Arial"/>
                <w:sz w:val="14"/>
                <w:szCs w:val="14"/>
                <w:lang w:val="en-GB"/>
              </w:rPr>
            </w:pPr>
          </w:p>
        </w:tc>
        <w:tc>
          <w:tcPr>
            <w:tcW w:w="234" w:type="pct"/>
            <w:tcBorders>
              <w:top w:val="single" w:sz="12" w:space="0" w:color="008000"/>
            </w:tcBorders>
            <w:shd w:val="clear" w:color="auto" w:fill="FFFFFF"/>
            <w:vAlign w:val="center"/>
          </w:tcPr>
          <w:p w14:paraId="52D2FAEF" w14:textId="77777777" w:rsidR="003E5B4F" w:rsidRPr="00BE430E" w:rsidRDefault="003E5B4F" w:rsidP="00A66FBD">
            <w:pPr>
              <w:pStyle w:val="CETBodytext"/>
              <w:jc w:val="center"/>
              <w:rPr>
                <w:rFonts w:cs="Arial"/>
                <w:sz w:val="14"/>
                <w:szCs w:val="14"/>
                <w:lang w:val="en-GB"/>
              </w:rPr>
            </w:pPr>
          </w:p>
        </w:tc>
        <w:tc>
          <w:tcPr>
            <w:tcW w:w="293" w:type="pct"/>
            <w:tcBorders>
              <w:top w:val="single" w:sz="12" w:space="0" w:color="008000"/>
            </w:tcBorders>
            <w:shd w:val="clear" w:color="auto" w:fill="FFFFFF"/>
            <w:vAlign w:val="center"/>
          </w:tcPr>
          <w:p w14:paraId="02F1944F" w14:textId="77777777" w:rsidR="003E5B4F" w:rsidRPr="00BE430E" w:rsidRDefault="003E5B4F" w:rsidP="00A66FBD">
            <w:pPr>
              <w:pStyle w:val="CETBodytext"/>
              <w:jc w:val="center"/>
              <w:rPr>
                <w:rFonts w:cs="Arial"/>
                <w:sz w:val="14"/>
                <w:szCs w:val="14"/>
                <w:lang w:val="en-GB"/>
              </w:rPr>
            </w:pPr>
          </w:p>
        </w:tc>
        <w:tc>
          <w:tcPr>
            <w:tcW w:w="230" w:type="pct"/>
            <w:shd w:val="clear" w:color="auto" w:fill="FFFFFF"/>
          </w:tcPr>
          <w:p w14:paraId="08D33EAB" w14:textId="77777777" w:rsidR="003E5B4F" w:rsidRPr="00BE430E" w:rsidRDefault="003E5B4F" w:rsidP="00A66FBD">
            <w:pPr>
              <w:pStyle w:val="CETBodytext"/>
              <w:jc w:val="center"/>
              <w:rPr>
                <w:rFonts w:cs="Arial"/>
                <w:sz w:val="14"/>
                <w:szCs w:val="14"/>
                <w:lang w:val="en-GB"/>
              </w:rPr>
            </w:pPr>
          </w:p>
        </w:tc>
        <w:tc>
          <w:tcPr>
            <w:tcW w:w="1121" w:type="pct"/>
            <w:tcBorders>
              <w:top w:val="single" w:sz="12" w:space="0" w:color="008000"/>
            </w:tcBorders>
            <w:shd w:val="clear" w:color="auto" w:fill="FFFFFF"/>
            <w:vAlign w:val="center"/>
          </w:tcPr>
          <w:p w14:paraId="2B17E0CB" w14:textId="77777777" w:rsidR="003E5B4F" w:rsidRPr="00BE430E" w:rsidRDefault="003E5B4F" w:rsidP="00A66FBD">
            <w:pPr>
              <w:pStyle w:val="CETBodytext"/>
              <w:jc w:val="left"/>
              <w:rPr>
                <w:rFonts w:cs="Arial"/>
                <w:sz w:val="14"/>
                <w:szCs w:val="14"/>
                <w:lang w:val="en-GB"/>
              </w:rPr>
            </w:pPr>
          </w:p>
        </w:tc>
        <w:tc>
          <w:tcPr>
            <w:tcW w:w="234" w:type="pct"/>
            <w:tcBorders>
              <w:top w:val="single" w:sz="12" w:space="0" w:color="008000"/>
            </w:tcBorders>
            <w:shd w:val="clear" w:color="auto" w:fill="FFFFFF"/>
            <w:vAlign w:val="center"/>
          </w:tcPr>
          <w:p w14:paraId="4E179ED5" w14:textId="77777777" w:rsidR="003E5B4F" w:rsidRPr="00BE430E" w:rsidRDefault="003E5B4F" w:rsidP="00A66FBD">
            <w:pPr>
              <w:pStyle w:val="CETBodytext"/>
              <w:jc w:val="center"/>
              <w:rPr>
                <w:rFonts w:cs="Arial"/>
                <w:sz w:val="14"/>
                <w:szCs w:val="14"/>
                <w:lang w:val="en-GB"/>
              </w:rPr>
            </w:pPr>
          </w:p>
        </w:tc>
        <w:tc>
          <w:tcPr>
            <w:tcW w:w="164" w:type="pct"/>
            <w:tcBorders>
              <w:top w:val="single" w:sz="12" w:space="0" w:color="008000"/>
            </w:tcBorders>
            <w:shd w:val="clear" w:color="auto" w:fill="FFFFFF"/>
            <w:vAlign w:val="center"/>
          </w:tcPr>
          <w:p w14:paraId="7B352CD3" w14:textId="77777777" w:rsidR="003E5B4F" w:rsidRPr="00BE430E" w:rsidRDefault="003E5B4F" w:rsidP="00A66FBD">
            <w:pPr>
              <w:pStyle w:val="CETBodytext"/>
              <w:jc w:val="center"/>
              <w:rPr>
                <w:rFonts w:cs="Arial"/>
                <w:sz w:val="14"/>
                <w:szCs w:val="14"/>
                <w:lang w:val="en-GB"/>
              </w:rPr>
            </w:pPr>
          </w:p>
        </w:tc>
        <w:tc>
          <w:tcPr>
            <w:tcW w:w="234" w:type="pct"/>
            <w:tcBorders>
              <w:top w:val="single" w:sz="12" w:space="0" w:color="008000"/>
            </w:tcBorders>
            <w:shd w:val="clear" w:color="auto" w:fill="FFFFFF"/>
            <w:vAlign w:val="center"/>
          </w:tcPr>
          <w:p w14:paraId="4205A246" w14:textId="77777777" w:rsidR="003E5B4F" w:rsidRPr="00BE430E" w:rsidRDefault="003E5B4F" w:rsidP="00A66FBD">
            <w:pPr>
              <w:pStyle w:val="CETBodytext"/>
              <w:jc w:val="center"/>
              <w:rPr>
                <w:rFonts w:cs="Arial"/>
                <w:sz w:val="14"/>
                <w:szCs w:val="14"/>
                <w:lang w:val="en-GB"/>
              </w:rPr>
            </w:pPr>
          </w:p>
        </w:tc>
        <w:tc>
          <w:tcPr>
            <w:tcW w:w="234" w:type="pct"/>
            <w:tcBorders>
              <w:top w:val="single" w:sz="12" w:space="0" w:color="008000"/>
            </w:tcBorders>
            <w:shd w:val="clear" w:color="auto" w:fill="FFFFFF"/>
            <w:vAlign w:val="center"/>
          </w:tcPr>
          <w:p w14:paraId="6D2F2893" w14:textId="77777777" w:rsidR="003E5B4F" w:rsidRPr="00BE430E" w:rsidRDefault="003E5B4F" w:rsidP="00A66FBD">
            <w:pPr>
              <w:pStyle w:val="CETBodytext"/>
              <w:jc w:val="center"/>
              <w:rPr>
                <w:rFonts w:cs="Arial"/>
                <w:sz w:val="14"/>
                <w:szCs w:val="14"/>
                <w:lang w:val="en-GB"/>
              </w:rPr>
            </w:pPr>
          </w:p>
        </w:tc>
        <w:tc>
          <w:tcPr>
            <w:tcW w:w="362" w:type="pct"/>
            <w:tcBorders>
              <w:top w:val="single" w:sz="12" w:space="0" w:color="008000"/>
            </w:tcBorders>
            <w:shd w:val="clear" w:color="auto" w:fill="FFFFFF"/>
            <w:vAlign w:val="center"/>
          </w:tcPr>
          <w:p w14:paraId="453484BD" w14:textId="77777777" w:rsidR="003E5B4F" w:rsidRPr="00BE430E" w:rsidRDefault="003E5B4F" w:rsidP="00A66FBD">
            <w:pPr>
              <w:pStyle w:val="CETBodytext"/>
              <w:jc w:val="center"/>
              <w:rPr>
                <w:rFonts w:cs="Arial"/>
                <w:sz w:val="14"/>
                <w:szCs w:val="14"/>
                <w:lang w:val="en-GB"/>
              </w:rPr>
            </w:pPr>
          </w:p>
        </w:tc>
      </w:tr>
      <w:tr w:rsidR="003E5B4F" w:rsidRPr="00BE430E" w14:paraId="48B8DACC" w14:textId="77777777" w:rsidTr="00A66FBD">
        <w:tc>
          <w:tcPr>
            <w:tcW w:w="1121" w:type="pct"/>
            <w:tcBorders>
              <w:bottom w:val="single" w:sz="12" w:space="0" w:color="008000"/>
            </w:tcBorders>
            <w:shd w:val="clear" w:color="auto" w:fill="FFFFFF"/>
            <w:vAlign w:val="center"/>
          </w:tcPr>
          <w:p w14:paraId="2FE7822B"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Xylose – B110</w:t>
            </w:r>
          </w:p>
        </w:tc>
        <w:tc>
          <w:tcPr>
            <w:tcW w:w="303" w:type="pct"/>
            <w:tcBorders>
              <w:bottom w:val="single" w:sz="12" w:space="0" w:color="008000"/>
            </w:tcBorders>
            <w:shd w:val="clear" w:color="auto" w:fill="FFFFFF"/>
            <w:vAlign w:val="center"/>
          </w:tcPr>
          <w:p w14:paraId="5F798802" w14:textId="77777777" w:rsidR="003E5B4F" w:rsidRPr="00BE430E" w:rsidRDefault="003E5B4F" w:rsidP="00A66FBD">
            <w:pPr>
              <w:pStyle w:val="CETBodytext"/>
              <w:jc w:val="center"/>
              <w:rPr>
                <w:rFonts w:cs="Arial"/>
                <w:sz w:val="14"/>
                <w:szCs w:val="14"/>
                <w:lang w:val="en-GB"/>
              </w:rPr>
            </w:pPr>
          </w:p>
        </w:tc>
        <w:tc>
          <w:tcPr>
            <w:tcW w:w="165" w:type="pct"/>
            <w:tcBorders>
              <w:bottom w:val="single" w:sz="12" w:space="0" w:color="008000"/>
            </w:tcBorders>
            <w:shd w:val="clear" w:color="auto" w:fill="FFFFFF"/>
            <w:vAlign w:val="center"/>
          </w:tcPr>
          <w:p w14:paraId="54638D24" w14:textId="77777777" w:rsidR="003E5B4F" w:rsidRPr="00BE430E" w:rsidRDefault="003E5B4F" w:rsidP="00A66FBD">
            <w:pPr>
              <w:pStyle w:val="CETBodytext"/>
              <w:jc w:val="center"/>
              <w:rPr>
                <w:rFonts w:cs="Arial"/>
                <w:sz w:val="14"/>
                <w:szCs w:val="14"/>
                <w:lang w:val="en-GB"/>
              </w:rPr>
            </w:pPr>
          </w:p>
        </w:tc>
        <w:tc>
          <w:tcPr>
            <w:tcW w:w="303" w:type="pct"/>
            <w:tcBorders>
              <w:bottom w:val="single" w:sz="12" w:space="0" w:color="008000"/>
            </w:tcBorders>
            <w:shd w:val="clear" w:color="auto" w:fill="FFFFFF"/>
            <w:vAlign w:val="center"/>
          </w:tcPr>
          <w:p w14:paraId="0A2A84CF" w14:textId="77777777" w:rsidR="003E5B4F" w:rsidRPr="00BE430E" w:rsidRDefault="003E5B4F" w:rsidP="00A66FBD">
            <w:pPr>
              <w:pStyle w:val="CETBodytext"/>
              <w:jc w:val="center"/>
              <w:rPr>
                <w:rFonts w:cs="Arial"/>
                <w:sz w:val="14"/>
                <w:szCs w:val="14"/>
                <w:lang w:val="en-GB"/>
              </w:rPr>
            </w:pPr>
          </w:p>
        </w:tc>
        <w:tc>
          <w:tcPr>
            <w:tcW w:w="234" w:type="pct"/>
            <w:tcBorders>
              <w:bottom w:val="single" w:sz="12" w:space="0" w:color="008000"/>
            </w:tcBorders>
            <w:shd w:val="clear" w:color="auto" w:fill="FFFFFF"/>
            <w:vAlign w:val="center"/>
          </w:tcPr>
          <w:p w14:paraId="1C35ADCD" w14:textId="77777777" w:rsidR="003E5B4F" w:rsidRPr="00BE430E" w:rsidRDefault="003E5B4F" w:rsidP="00A66FBD">
            <w:pPr>
              <w:pStyle w:val="CETBodytext"/>
              <w:jc w:val="center"/>
              <w:rPr>
                <w:rFonts w:cs="Arial"/>
                <w:sz w:val="14"/>
                <w:szCs w:val="14"/>
                <w:lang w:val="en-GB"/>
              </w:rPr>
            </w:pPr>
          </w:p>
        </w:tc>
        <w:tc>
          <w:tcPr>
            <w:tcW w:w="293" w:type="pct"/>
            <w:tcBorders>
              <w:bottom w:val="single" w:sz="12" w:space="0" w:color="008000"/>
            </w:tcBorders>
            <w:shd w:val="clear" w:color="auto" w:fill="FFFFFF"/>
            <w:vAlign w:val="center"/>
          </w:tcPr>
          <w:p w14:paraId="52595894" w14:textId="77777777" w:rsidR="003E5B4F" w:rsidRPr="00BE430E" w:rsidRDefault="003E5B4F" w:rsidP="00A66FBD">
            <w:pPr>
              <w:pStyle w:val="CETBodytext"/>
              <w:jc w:val="center"/>
              <w:rPr>
                <w:rFonts w:cs="Arial"/>
                <w:sz w:val="14"/>
                <w:szCs w:val="14"/>
                <w:lang w:val="en-GB"/>
              </w:rPr>
            </w:pPr>
          </w:p>
        </w:tc>
        <w:tc>
          <w:tcPr>
            <w:tcW w:w="230" w:type="pct"/>
            <w:shd w:val="clear" w:color="auto" w:fill="FFFFFF"/>
          </w:tcPr>
          <w:p w14:paraId="48A80E11" w14:textId="77777777" w:rsidR="003E5B4F" w:rsidRPr="00BE430E" w:rsidRDefault="003E5B4F" w:rsidP="00A66FBD">
            <w:pPr>
              <w:pStyle w:val="CETBodytext"/>
              <w:jc w:val="center"/>
              <w:rPr>
                <w:rFonts w:cs="Arial"/>
                <w:sz w:val="14"/>
                <w:szCs w:val="14"/>
                <w:lang w:val="en-GB"/>
              </w:rPr>
            </w:pPr>
          </w:p>
        </w:tc>
        <w:tc>
          <w:tcPr>
            <w:tcW w:w="1121" w:type="pct"/>
            <w:tcBorders>
              <w:bottom w:val="single" w:sz="12" w:space="0" w:color="008000"/>
            </w:tcBorders>
            <w:shd w:val="clear" w:color="auto" w:fill="FFFFFF"/>
            <w:vAlign w:val="center"/>
          </w:tcPr>
          <w:p w14:paraId="72307605"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Xylose – B150</w:t>
            </w:r>
          </w:p>
        </w:tc>
        <w:tc>
          <w:tcPr>
            <w:tcW w:w="234" w:type="pct"/>
            <w:tcBorders>
              <w:bottom w:val="single" w:sz="12" w:space="0" w:color="008000"/>
            </w:tcBorders>
            <w:shd w:val="clear" w:color="auto" w:fill="FFFFFF"/>
            <w:vAlign w:val="center"/>
          </w:tcPr>
          <w:p w14:paraId="482C8179" w14:textId="77777777" w:rsidR="003E5B4F" w:rsidRPr="00BE430E" w:rsidRDefault="003E5B4F" w:rsidP="00A66FBD">
            <w:pPr>
              <w:pStyle w:val="CETBodytext"/>
              <w:jc w:val="center"/>
              <w:rPr>
                <w:rFonts w:cs="Arial"/>
                <w:sz w:val="14"/>
                <w:szCs w:val="14"/>
                <w:lang w:val="en-GB"/>
              </w:rPr>
            </w:pPr>
          </w:p>
        </w:tc>
        <w:tc>
          <w:tcPr>
            <w:tcW w:w="164" w:type="pct"/>
            <w:tcBorders>
              <w:bottom w:val="single" w:sz="12" w:space="0" w:color="008000"/>
            </w:tcBorders>
            <w:shd w:val="clear" w:color="auto" w:fill="FFFFFF"/>
            <w:vAlign w:val="center"/>
          </w:tcPr>
          <w:p w14:paraId="6E6FC8E9" w14:textId="77777777" w:rsidR="003E5B4F" w:rsidRPr="00BE430E" w:rsidRDefault="003E5B4F" w:rsidP="00A66FBD">
            <w:pPr>
              <w:pStyle w:val="CETBodytext"/>
              <w:jc w:val="center"/>
              <w:rPr>
                <w:rFonts w:cs="Arial"/>
                <w:sz w:val="14"/>
                <w:szCs w:val="14"/>
                <w:lang w:val="en-GB"/>
              </w:rPr>
            </w:pPr>
          </w:p>
        </w:tc>
        <w:tc>
          <w:tcPr>
            <w:tcW w:w="234" w:type="pct"/>
            <w:tcBorders>
              <w:bottom w:val="single" w:sz="12" w:space="0" w:color="008000"/>
            </w:tcBorders>
            <w:shd w:val="clear" w:color="auto" w:fill="FFFFFF"/>
            <w:vAlign w:val="center"/>
          </w:tcPr>
          <w:p w14:paraId="517B7733" w14:textId="77777777" w:rsidR="003E5B4F" w:rsidRPr="00BE430E" w:rsidRDefault="003E5B4F" w:rsidP="00A66FBD">
            <w:pPr>
              <w:pStyle w:val="CETBodytext"/>
              <w:jc w:val="center"/>
              <w:rPr>
                <w:rFonts w:cs="Arial"/>
                <w:sz w:val="14"/>
                <w:szCs w:val="14"/>
                <w:lang w:val="en-GB"/>
              </w:rPr>
            </w:pPr>
          </w:p>
        </w:tc>
        <w:tc>
          <w:tcPr>
            <w:tcW w:w="234" w:type="pct"/>
            <w:tcBorders>
              <w:bottom w:val="single" w:sz="12" w:space="0" w:color="008000"/>
            </w:tcBorders>
            <w:shd w:val="clear" w:color="auto" w:fill="FFFFFF"/>
            <w:vAlign w:val="center"/>
          </w:tcPr>
          <w:p w14:paraId="0898B061" w14:textId="77777777" w:rsidR="003E5B4F" w:rsidRPr="00BE430E" w:rsidRDefault="003E5B4F" w:rsidP="00A66FBD">
            <w:pPr>
              <w:pStyle w:val="CETBodytext"/>
              <w:jc w:val="center"/>
              <w:rPr>
                <w:rFonts w:cs="Arial"/>
                <w:sz w:val="14"/>
                <w:szCs w:val="14"/>
                <w:lang w:val="en-GB"/>
              </w:rPr>
            </w:pPr>
          </w:p>
        </w:tc>
        <w:tc>
          <w:tcPr>
            <w:tcW w:w="362" w:type="pct"/>
            <w:tcBorders>
              <w:bottom w:val="single" w:sz="12" w:space="0" w:color="008000"/>
            </w:tcBorders>
            <w:shd w:val="clear" w:color="auto" w:fill="FFFFFF"/>
            <w:vAlign w:val="center"/>
          </w:tcPr>
          <w:p w14:paraId="64B32C56" w14:textId="77777777" w:rsidR="003E5B4F" w:rsidRPr="00BE430E" w:rsidRDefault="003E5B4F" w:rsidP="00A66FBD">
            <w:pPr>
              <w:pStyle w:val="CETBodytext"/>
              <w:jc w:val="center"/>
              <w:rPr>
                <w:rFonts w:cs="Arial"/>
                <w:sz w:val="14"/>
                <w:szCs w:val="14"/>
                <w:lang w:val="en-GB"/>
              </w:rPr>
            </w:pPr>
          </w:p>
        </w:tc>
      </w:tr>
      <w:tr w:rsidR="003E5B4F" w:rsidRPr="00BE430E" w14:paraId="203979C1" w14:textId="77777777" w:rsidTr="00A66FBD">
        <w:tc>
          <w:tcPr>
            <w:tcW w:w="1121" w:type="pct"/>
            <w:tcBorders>
              <w:top w:val="single" w:sz="12" w:space="0" w:color="008000"/>
              <w:bottom w:val="single" w:sz="6" w:space="0" w:color="008000"/>
            </w:tcBorders>
            <w:shd w:val="clear" w:color="auto" w:fill="FFFFFF"/>
            <w:vAlign w:val="center"/>
          </w:tcPr>
          <w:p w14:paraId="76AEB21A"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Source of Variation</w:t>
            </w:r>
          </w:p>
        </w:tc>
        <w:tc>
          <w:tcPr>
            <w:tcW w:w="303" w:type="pct"/>
            <w:tcBorders>
              <w:top w:val="single" w:sz="12" w:space="0" w:color="008000"/>
              <w:bottom w:val="single" w:sz="6" w:space="0" w:color="008000"/>
            </w:tcBorders>
            <w:shd w:val="clear" w:color="auto" w:fill="FFFFFF"/>
            <w:vAlign w:val="center"/>
          </w:tcPr>
          <w:p w14:paraId="26F3822A"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QS</w:t>
            </w:r>
          </w:p>
        </w:tc>
        <w:tc>
          <w:tcPr>
            <w:tcW w:w="165" w:type="pct"/>
            <w:tcBorders>
              <w:top w:val="single" w:sz="12" w:space="0" w:color="008000"/>
              <w:bottom w:val="single" w:sz="6" w:space="0" w:color="008000"/>
            </w:tcBorders>
            <w:shd w:val="clear" w:color="auto" w:fill="FFFFFF"/>
            <w:vAlign w:val="center"/>
          </w:tcPr>
          <w:p w14:paraId="66D53C54"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GL</w:t>
            </w:r>
          </w:p>
        </w:tc>
        <w:tc>
          <w:tcPr>
            <w:tcW w:w="303" w:type="pct"/>
            <w:tcBorders>
              <w:top w:val="single" w:sz="12" w:space="0" w:color="008000"/>
              <w:bottom w:val="single" w:sz="6" w:space="0" w:color="008000"/>
            </w:tcBorders>
            <w:shd w:val="clear" w:color="auto" w:fill="FFFFFF"/>
            <w:vAlign w:val="center"/>
          </w:tcPr>
          <w:p w14:paraId="1D784FC3"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MQ</w:t>
            </w:r>
          </w:p>
        </w:tc>
        <w:tc>
          <w:tcPr>
            <w:tcW w:w="234" w:type="pct"/>
            <w:tcBorders>
              <w:top w:val="single" w:sz="12" w:space="0" w:color="008000"/>
              <w:bottom w:val="single" w:sz="6" w:space="0" w:color="008000"/>
            </w:tcBorders>
            <w:shd w:val="clear" w:color="auto" w:fill="FFFFFF"/>
            <w:vAlign w:val="center"/>
          </w:tcPr>
          <w:p w14:paraId="2B98BF3D"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F</w:t>
            </w:r>
          </w:p>
        </w:tc>
        <w:tc>
          <w:tcPr>
            <w:tcW w:w="293" w:type="pct"/>
            <w:tcBorders>
              <w:top w:val="single" w:sz="12" w:space="0" w:color="008000"/>
              <w:bottom w:val="single" w:sz="6" w:space="0" w:color="008000"/>
            </w:tcBorders>
            <w:shd w:val="clear" w:color="auto" w:fill="FFFFFF"/>
            <w:vAlign w:val="center"/>
          </w:tcPr>
          <w:p w14:paraId="1DED4102"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Value-P</w:t>
            </w:r>
          </w:p>
        </w:tc>
        <w:tc>
          <w:tcPr>
            <w:tcW w:w="230" w:type="pct"/>
            <w:shd w:val="clear" w:color="auto" w:fill="FFFFFF"/>
          </w:tcPr>
          <w:p w14:paraId="31E3A5E5" w14:textId="77777777" w:rsidR="003E5B4F" w:rsidRPr="00BE430E" w:rsidRDefault="003E5B4F" w:rsidP="00A66FBD">
            <w:pPr>
              <w:pStyle w:val="CETBodytext"/>
              <w:jc w:val="center"/>
              <w:rPr>
                <w:rFonts w:cs="Arial"/>
                <w:sz w:val="14"/>
                <w:szCs w:val="14"/>
                <w:lang w:val="en-GB"/>
              </w:rPr>
            </w:pPr>
          </w:p>
        </w:tc>
        <w:tc>
          <w:tcPr>
            <w:tcW w:w="1121" w:type="pct"/>
            <w:tcBorders>
              <w:top w:val="single" w:sz="12" w:space="0" w:color="008000"/>
              <w:bottom w:val="single" w:sz="6" w:space="0" w:color="008000"/>
            </w:tcBorders>
            <w:shd w:val="clear" w:color="auto" w:fill="FFFFFF"/>
            <w:vAlign w:val="center"/>
          </w:tcPr>
          <w:p w14:paraId="05601691"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Source of Variation</w:t>
            </w:r>
          </w:p>
        </w:tc>
        <w:tc>
          <w:tcPr>
            <w:tcW w:w="234" w:type="pct"/>
            <w:tcBorders>
              <w:top w:val="single" w:sz="12" w:space="0" w:color="008000"/>
              <w:bottom w:val="single" w:sz="6" w:space="0" w:color="008000"/>
            </w:tcBorders>
            <w:shd w:val="clear" w:color="auto" w:fill="FFFFFF"/>
            <w:vAlign w:val="center"/>
          </w:tcPr>
          <w:p w14:paraId="524E5A05"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QS</w:t>
            </w:r>
          </w:p>
        </w:tc>
        <w:tc>
          <w:tcPr>
            <w:tcW w:w="164" w:type="pct"/>
            <w:tcBorders>
              <w:top w:val="single" w:sz="12" w:space="0" w:color="008000"/>
              <w:bottom w:val="single" w:sz="6" w:space="0" w:color="008000"/>
            </w:tcBorders>
            <w:shd w:val="clear" w:color="auto" w:fill="FFFFFF"/>
            <w:vAlign w:val="center"/>
          </w:tcPr>
          <w:p w14:paraId="22E04524"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GL</w:t>
            </w:r>
          </w:p>
        </w:tc>
        <w:tc>
          <w:tcPr>
            <w:tcW w:w="234" w:type="pct"/>
            <w:tcBorders>
              <w:top w:val="single" w:sz="12" w:space="0" w:color="008000"/>
              <w:bottom w:val="single" w:sz="6" w:space="0" w:color="008000"/>
            </w:tcBorders>
            <w:shd w:val="clear" w:color="auto" w:fill="FFFFFF"/>
            <w:vAlign w:val="center"/>
          </w:tcPr>
          <w:p w14:paraId="10C928F5"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MQ</w:t>
            </w:r>
          </w:p>
        </w:tc>
        <w:tc>
          <w:tcPr>
            <w:tcW w:w="234" w:type="pct"/>
            <w:tcBorders>
              <w:top w:val="single" w:sz="12" w:space="0" w:color="008000"/>
              <w:bottom w:val="single" w:sz="6" w:space="0" w:color="008000"/>
            </w:tcBorders>
            <w:shd w:val="clear" w:color="auto" w:fill="FFFFFF"/>
            <w:vAlign w:val="center"/>
          </w:tcPr>
          <w:p w14:paraId="1034FF4C"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F</w:t>
            </w:r>
          </w:p>
        </w:tc>
        <w:tc>
          <w:tcPr>
            <w:tcW w:w="362" w:type="pct"/>
            <w:tcBorders>
              <w:top w:val="single" w:sz="12" w:space="0" w:color="008000"/>
              <w:bottom w:val="single" w:sz="6" w:space="0" w:color="008000"/>
            </w:tcBorders>
            <w:shd w:val="clear" w:color="auto" w:fill="FFFFFF"/>
            <w:vAlign w:val="center"/>
          </w:tcPr>
          <w:p w14:paraId="5C32B43D"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Value-P</w:t>
            </w:r>
          </w:p>
        </w:tc>
      </w:tr>
      <w:tr w:rsidR="003E5B4F" w:rsidRPr="00BE430E" w14:paraId="0ED032DF" w14:textId="77777777" w:rsidTr="00A66FBD">
        <w:tc>
          <w:tcPr>
            <w:tcW w:w="1121" w:type="pct"/>
            <w:tcBorders>
              <w:top w:val="single" w:sz="6" w:space="0" w:color="008000"/>
            </w:tcBorders>
            <w:shd w:val="clear" w:color="auto" w:fill="FFFFFF"/>
            <w:vAlign w:val="center"/>
          </w:tcPr>
          <w:p w14:paraId="5800A2AD"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Between groups</w:t>
            </w:r>
          </w:p>
        </w:tc>
        <w:tc>
          <w:tcPr>
            <w:tcW w:w="303" w:type="pct"/>
            <w:tcBorders>
              <w:top w:val="single" w:sz="6" w:space="0" w:color="008000"/>
            </w:tcBorders>
            <w:shd w:val="clear" w:color="auto" w:fill="FFFFFF"/>
            <w:vAlign w:val="center"/>
          </w:tcPr>
          <w:p w14:paraId="2B6D9E37"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46.8</w:t>
            </w:r>
          </w:p>
        </w:tc>
        <w:tc>
          <w:tcPr>
            <w:tcW w:w="165" w:type="pct"/>
            <w:tcBorders>
              <w:top w:val="single" w:sz="6" w:space="0" w:color="008000"/>
            </w:tcBorders>
            <w:shd w:val="clear" w:color="auto" w:fill="FFFFFF"/>
            <w:vAlign w:val="center"/>
          </w:tcPr>
          <w:p w14:paraId="275B75E1"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1</w:t>
            </w:r>
          </w:p>
        </w:tc>
        <w:tc>
          <w:tcPr>
            <w:tcW w:w="303" w:type="pct"/>
            <w:tcBorders>
              <w:top w:val="single" w:sz="6" w:space="0" w:color="008000"/>
            </w:tcBorders>
            <w:shd w:val="clear" w:color="auto" w:fill="FFFFFF"/>
            <w:vAlign w:val="center"/>
          </w:tcPr>
          <w:p w14:paraId="7AC600AB"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46.8</w:t>
            </w:r>
          </w:p>
        </w:tc>
        <w:tc>
          <w:tcPr>
            <w:tcW w:w="234" w:type="pct"/>
            <w:tcBorders>
              <w:top w:val="single" w:sz="6" w:space="0" w:color="008000"/>
            </w:tcBorders>
            <w:shd w:val="clear" w:color="auto" w:fill="FFFFFF"/>
            <w:vAlign w:val="center"/>
          </w:tcPr>
          <w:p w14:paraId="19148859"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4.47</w:t>
            </w:r>
          </w:p>
        </w:tc>
        <w:tc>
          <w:tcPr>
            <w:tcW w:w="293" w:type="pct"/>
            <w:tcBorders>
              <w:top w:val="single" w:sz="6" w:space="0" w:color="008000"/>
            </w:tcBorders>
            <w:shd w:val="clear" w:color="auto" w:fill="FFFFFF"/>
            <w:vAlign w:val="center"/>
          </w:tcPr>
          <w:p w14:paraId="43BF8B49"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0.08</w:t>
            </w:r>
          </w:p>
        </w:tc>
        <w:tc>
          <w:tcPr>
            <w:tcW w:w="230" w:type="pct"/>
            <w:shd w:val="clear" w:color="auto" w:fill="FFFFFF"/>
          </w:tcPr>
          <w:p w14:paraId="264F37E7" w14:textId="77777777" w:rsidR="003E5B4F" w:rsidRPr="00BE430E" w:rsidRDefault="003E5B4F" w:rsidP="00A66FBD">
            <w:pPr>
              <w:pStyle w:val="CETBodytext"/>
              <w:jc w:val="center"/>
              <w:rPr>
                <w:rFonts w:cs="Arial"/>
                <w:sz w:val="14"/>
                <w:szCs w:val="14"/>
                <w:lang w:val="en-GB"/>
              </w:rPr>
            </w:pPr>
          </w:p>
        </w:tc>
        <w:tc>
          <w:tcPr>
            <w:tcW w:w="1121" w:type="pct"/>
            <w:tcBorders>
              <w:top w:val="single" w:sz="6" w:space="0" w:color="008000"/>
            </w:tcBorders>
            <w:shd w:val="clear" w:color="auto" w:fill="FFFFFF"/>
            <w:vAlign w:val="center"/>
          </w:tcPr>
          <w:p w14:paraId="48205E3A"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Between groups</w:t>
            </w:r>
          </w:p>
        </w:tc>
        <w:tc>
          <w:tcPr>
            <w:tcW w:w="234" w:type="pct"/>
            <w:tcBorders>
              <w:top w:val="single" w:sz="6" w:space="0" w:color="008000"/>
            </w:tcBorders>
            <w:shd w:val="clear" w:color="auto" w:fill="FFFFFF"/>
            <w:vAlign w:val="center"/>
          </w:tcPr>
          <w:p w14:paraId="1CCBB196"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46.83</w:t>
            </w:r>
          </w:p>
        </w:tc>
        <w:tc>
          <w:tcPr>
            <w:tcW w:w="164" w:type="pct"/>
            <w:tcBorders>
              <w:top w:val="single" w:sz="6" w:space="0" w:color="008000"/>
            </w:tcBorders>
            <w:shd w:val="clear" w:color="auto" w:fill="FFFFFF"/>
            <w:vAlign w:val="center"/>
          </w:tcPr>
          <w:p w14:paraId="4D688B27"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1</w:t>
            </w:r>
          </w:p>
        </w:tc>
        <w:tc>
          <w:tcPr>
            <w:tcW w:w="234" w:type="pct"/>
            <w:tcBorders>
              <w:top w:val="single" w:sz="6" w:space="0" w:color="008000"/>
            </w:tcBorders>
            <w:shd w:val="clear" w:color="auto" w:fill="FFFFFF"/>
            <w:vAlign w:val="center"/>
          </w:tcPr>
          <w:p w14:paraId="3EAF31D5"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46.83</w:t>
            </w:r>
          </w:p>
        </w:tc>
        <w:tc>
          <w:tcPr>
            <w:tcW w:w="234" w:type="pct"/>
            <w:tcBorders>
              <w:top w:val="single" w:sz="6" w:space="0" w:color="008000"/>
            </w:tcBorders>
            <w:shd w:val="clear" w:color="auto" w:fill="FFFFFF"/>
            <w:vAlign w:val="center"/>
          </w:tcPr>
          <w:p w14:paraId="621789F9"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4.47</w:t>
            </w:r>
          </w:p>
        </w:tc>
        <w:tc>
          <w:tcPr>
            <w:tcW w:w="362" w:type="pct"/>
            <w:tcBorders>
              <w:top w:val="single" w:sz="6" w:space="0" w:color="008000"/>
            </w:tcBorders>
            <w:shd w:val="clear" w:color="auto" w:fill="FFFFFF"/>
            <w:vAlign w:val="center"/>
          </w:tcPr>
          <w:p w14:paraId="3C150E3E"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0.079</w:t>
            </w:r>
          </w:p>
        </w:tc>
      </w:tr>
      <w:tr w:rsidR="003E5B4F" w:rsidRPr="00BE430E" w14:paraId="5857F51B" w14:textId="77777777" w:rsidTr="00A66FBD">
        <w:tc>
          <w:tcPr>
            <w:tcW w:w="1121" w:type="pct"/>
            <w:tcBorders>
              <w:bottom w:val="single" w:sz="12" w:space="0" w:color="008000"/>
            </w:tcBorders>
            <w:shd w:val="clear" w:color="auto" w:fill="FFFFFF"/>
            <w:vAlign w:val="center"/>
          </w:tcPr>
          <w:p w14:paraId="643C6063"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In groups (error)</w:t>
            </w:r>
          </w:p>
        </w:tc>
        <w:tc>
          <w:tcPr>
            <w:tcW w:w="303" w:type="pct"/>
            <w:tcBorders>
              <w:bottom w:val="single" w:sz="12" w:space="0" w:color="008000"/>
            </w:tcBorders>
            <w:shd w:val="clear" w:color="auto" w:fill="FFFFFF"/>
            <w:vAlign w:val="center"/>
          </w:tcPr>
          <w:p w14:paraId="7B4AABD3"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62.9</w:t>
            </w:r>
          </w:p>
        </w:tc>
        <w:tc>
          <w:tcPr>
            <w:tcW w:w="165" w:type="pct"/>
            <w:tcBorders>
              <w:bottom w:val="single" w:sz="12" w:space="0" w:color="008000"/>
            </w:tcBorders>
            <w:shd w:val="clear" w:color="auto" w:fill="FFFFFF"/>
            <w:vAlign w:val="center"/>
          </w:tcPr>
          <w:p w14:paraId="7AAEB323"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6</w:t>
            </w:r>
          </w:p>
        </w:tc>
        <w:tc>
          <w:tcPr>
            <w:tcW w:w="303" w:type="pct"/>
            <w:tcBorders>
              <w:bottom w:val="single" w:sz="12" w:space="0" w:color="008000"/>
            </w:tcBorders>
            <w:shd w:val="clear" w:color="auto" w:fill="FFFFFF"/>
            <w:vAlign w:val="center"/>
          </w:tcPr>
          <w:p w14:paraId="1B1B3EBA"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10.5</w:t>
            </w:r>
          </w:p>
        </w:tc>
        <w:tc>
          <w:tcPr>
            <w:tcW w:w="234" w:type="pct"/>
            <w:tcBorders>
              <w:bottom w:val="single" w:sz="12" w:space="0" w:color="008000"/>
            </w:tcBorders>
            <w:shd w:val="clear" w:color="auto" w:fill="FFFFFF"/>
            <w:vAlign w:val="center"/>
          </w:tcPr>
          <w:p w14:paraId="7F422688" w14:textId="77777777" w:rsidR="003E5B4F" w:rsidRPr="00BE430E" w:rsidRDefault="003E5B4F" w:rsidP="00A66FBD">
            <w:pPr>
              <w:pStyle w:val="CETBodytext"/>
              <w:ind w:right="-1"/>
              <w:jc w:val="center"/>
              <w:rPr>
                <w:rFonts w:cs="Arial"/>
                <w:sz w:val="14"/>
                <w:szCs w:val="14"/>
                <w:lang w:val="en-GB"/>
              </w:rPr>
            </w:pPr>
          </w:p>
        </w:tc>
        <w:tc>
          <w:tcPr>
            <w:tcW w:w="293" w:type="pct"/>
            <w:tcBorders>
              <w:bottom w:val="single" w:sz="12" w:space="0" w:color="008000"/>
            </w:tcBorders>
            <w:shd w:val="clear" w:color="auto" w:fill="FFFFFF"/>
            <w:vAlign w:val="center"/>
          </w:tcPr>
          <w:p w14:paraId="27CD1BC1" w14:textId="77777777" w:rsidR="003E5B4F" w:rsidRPr="00BE430E" w:rsidRDefault="003E5B4F" w:rsidP="00A66FBD">
            <w:pPr>
              <w:pStyle w:val="CETBodytext"/>
              <w:ind w:right="-1"/>
              <w:jc w:val="center"/>
              <w:rPr>
                <w:rFonts w:cs="Arial"/>
                <w:sz w:val="14"/>
                <w:szCs w:val="14"/>
                <w:lang w:val="en-GB"/>
              </w:rPr>
            </w:pPr>
          </w:p>
        </w:tc>
        <w:tc>
          <w:tcPr>
            <w:tcW w:w="230" w:type="pct"/>
            <w:shd w:val="clear" w:color="auto" w:fill="FFFFFF"/>
          </w:tcPr>
          <w:p w14:paraId="02AE87C5" w14:textId="77777777" w:rsidR="003E5B4F" w:rsidRPr="00BE430E" w:rsidRDefault="003E5B4F" w:rsidP="00A66FBD">
            <w:pPr>
              <w:pStyle w:val="CETBodytext"/>
              <w:ind w:right="-1"/>
              <w:jc w:val="center"/>
              <w:rPr>
                <w:rFonts w:cs="Arial"/>
                <w:sz w:val="14"/>
                <w:szCs w:val="14"/>
                <w:lang w:val="en-GB"/>
              </w:rPr>
            </w:pPr>
          </w:p>
        </w:tc>
        <w:tc>
          <w:tcPr>
            <w:tcW w:w="1121" w:type="pct"/>
            <w:tcBorders>
              <w:bottom w:val="single" w:sz="12" w:space="0" w:color="008000"/>
            </w:tcBorders>
            <w:shd w:val="clear" w:color="auto" w:fill="FFFFFF"/>
            <w:vAlign w:val="center"/>
          </w:tcPr>
          <w:p w14:paraId="7C9B3D12"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In groups (error)</w:t>
            </w:r>
          </w:p>
        </w:tc>
        <w:tc>
          <w:tcPr>
            <w:tcW w:w="234" w:type="pct"/>
            <w:tcBorders>
              <w:bottom w:val="single" w:sz="12" w:space="0" w:color="008000"/>
            </w:tcBorders>
            <w:shd w:val="clear" w:color="auto" w:fill="FFFFFF"/>
            <w:vAlign w:val="center"/>
          </w:tcPr>
          <w:p w14:paraId="6A82D7B2"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62.88</w:t>
            </w:r>
          </w:p>
        </w:tc>
        <w:tc>
          <w:tcPr>
            <w:tcW w:w="164" w:type="pct"/>
            <w:tcBorders>
              <w:bottom w:val="single" w:sz="12" w:space="0" w:color="008000"/>
            </w:tcBorders>
            <w:shd w:val="clear" w:color="auto" w:fill="FFFFFF"/>
            <w:vAlign w:val="center"/>
          </w:tcPr>
          <w:p w14:paraId="3899B7AF"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6</w:t>
            </w:r>
          </w:p>
        </w:tc>
        <w:tc>
          <w:tcPr>
            <w:tcW w:w="234" w:type="pct"/>
            <w:tcBorders>
              <w:bottom w:val="single" w:sz="12" w:space="0" w:color="008000"/>
            </w:tcBorders>
            <w:shd w:val="clear" w:color="auto" w:fill="FFFFFF"/>
            <w:vAlign w:val="center"/>
          </w:tcPr>
          <w:p w14:paraId="7C287D40"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10.48</w:t>
            </w:r>
          </w:p>
        </w:tc>
        <w:tc>
          <w:tcPr>
            <w:tcW w:w="234" w:type="pct"/>
            <w:tcBorders>
              <w:bottom w:val="single" w:sz="12" w:space="0" w:color="008000"/>
            </w:tcBorders>
            <w:shd w:val="clear" w:color="auto" w:fill="FFFFFF"/>
            <w:vAlign w:val="center"/>
          </w:tcPr>
          <w:p w14:paraId="385A07CC" w14:textId="77777777" w:rsidR="003E5B4F" w:rsidRPr="00BE430E" w:rsidRDefault="003E5B4F" w:rsidP="00A66FBD">
            <w:pPr>
              <w:pStyle w:val="CETBodytext"/>
              <w:ind w:right="-1"/>
              <w:jc w:val="center"/>
              <w:rPr>
                <w:rFonts w:cs="Arial"/>
                <w:sz w:val="14"/>
                <w:szCs w:val="14"/>
                <w:lang w:val="en-GB"/>
              </w:rPr>
            </w:pPr>
          </w:p>
        </w:tc>
        <w:tc>
          <w:tcPr>
            <w:tcW w:w="362" w:type="pct"/>
            <w:tcBorders>
              <w:bottom w:val="single" w:sz="12" w:space="0" w:color="008000"/>
            </w:tcBorders>
            <w:shd w:val="clear" w:color="auto" w:fill="FFFFFF"/>
            <w:vAlign w:val="center"/>
          </w:tcPr>
          <w:p w14:paraId="70E9E736" w14:textId="77777777" w:rsidR="003E5B4F" w:rsidRPr="00BE430E" w:rsidRDefault="003E5B4F" w:rsidP="00A66FBD">
            <w:pPr>
              <w:pStyle w:val="CETBodytext"/>
              <w:ind w:right="-1"/>
              <w:jc w:val="center"/>
              <w:rPr>
                <w:rFonts w:cs="Arial"/>
                <w:sz w:val="14"/>
                <w:szCs w:val="14"/>
                <w:lang w:val="en-GB"/>
              </w:rPr>
            </w:pPr>
          </w:p>
        </w:tc>
      </w:tr>
      <w:tr w:rsidR="003E5B4F" w:rsidRPr="00BE430E" w14:paraId="126CA1C1" w14:textId="77777777" w:rsidTr="00A66FBD">
        <w:tc>
          <w:tcPr>
            <w:tcW w:w="1121" w:type="pct"/>
            <w:tcBorders>
              <w:top w:val="single" w:sz="12" w:space="0" w:color="008000"/>
            </w:tcBorders>
            <w:shd w:val="clear" w:color="auto" w:fill="FFFFFF"/>
            <w:vAlign w:val="center"/>
          </w:tcPr>
          <w:p w14:paraId="4162FBA1" w14:textId="77777777" w:rsidR="003E5B4F" w:rsidRPr="00BE430E" w:rsidRDefault="003E5B4F" w:rsidP="00A66FBD">
            <w:pPr>
              <w:pStyle w:val="CETBodytext"/>
              <w:ind w:right="-1"/>
              <w:jc w:val="left"/>
              <w:rPr>
                <w:rFonts w:cs="Arial"/>
                <w:sz w:val="14"/>
                <w:szCs w:val="14"/>
                <w:lang w:val="en-GB"/>
              </w:rPr>
            </w:pPr>
          </w:p>
        </w:tc>
        <w:tc>
          <w:tcPr>
            <w:tcW w:w="303" w:type="pct"/>
            <w:tcBorders>
              <w:top w:val="single" w:sz="12" w:space="0" w:color="008000"/>
            </w:tcBorders>
            <w:shd w:val="clear" w:color="auto" w:fill="FFFFFF"/>
            <w:vAlign w:val="center"/>
          </w:tcPr>
          <w:p w14:paraId="0D5C1BC5" w14:textId="77777777" w:rsidR="003E5B4F" w:rsidRPr="00BE430E" w:rsidRDefault="003E5B4F" w:rsidP="00A66FBD">
            <w:pPr>
              <w:pStyle w:val="CETBodytext"/>
              <w:ind w:right="-1"/>
              <w:jc w:val="center"/>
              <w:rPr>
                <w:rFonts w:cs="Arial"/>
                <w:sz w:val="14"/>
                <w:szCs w:val="14"/>
                <w:lang w:val="en-GB"/>
              </w:rPr>
            </w:pPr>
          </w:p>
        </w:tc>
        <w:tc>
          <w:tcPr>
            <w:tcW w:w="165" w:type="pct"/>
            <w:tcBorders>
              <w:top w:val="single" w:sz="12" w:space="0" w:color="008000"/>
            </w:tcBorders>
            <w:shd w:val="clear" w:color="auto" w:fill="FFFFFF"/>
            <w:vAlign w:val="center"/>
          </w:tcPr>
          <w:p w14:paraId="21A20499" w14:textId="77777777" w:rsidR="003E5B4F" w:rsidRPr="00BE430E" w:rsidRDefault="003E5B4F" w:rsidP="00A66FBD">
            <w:pPr>
              <w:pStyle w:val="CETBodytext"/>
              <w:ind w:right="-1"/>
              <w:jc w:val="center"/>
              <w:rPr>
                <w:rFonts w:cs="Arial"/>
                <w:sz w:val="14"/>
                <w:szCs w:val="14"/>
                <w:lang w:val="en-GB"/>
              </w:rPr>
            </w:pPr>
          </w:p>
        </w:tc>
        <w:tc>
          <w:tcPr>
            <w:tcW w:w="303" w:type="pct"/>
            <w:tcBorders>
              <w:top w:val="single" w:sz="12" w:space="0" w:color="008000"/>
            </w:tcBorders>
            <w:shd w:val="clear" w:color="auto" w:fill="FFFFFF"/>
            <w:vAlign w:val="center"/>
          </w:tcPr>
          <w:p w14:paraId="5F97259E" w14:textId="77777777" w:rsidR="003E5B4F" w:rsidRPr="00BE430E" w:rsidRDefault="003E5B4F" w:rsidP="00A66FBD">
            <w:pPr>
              <w:pStyle w:val="CETBodytext"/>
              <w:ind w:right="-1"/>
              <w:jc w:val="center"/>
              <w:rPr>
                <w:rFonts w:cs="Arial"/>
                <w:sz w:val="14"/>
                <w:szCs w:val="14"/>
                <w:lang w:val="en-GB"/>
              </w:rPr>
            </w:pPr>
          </w:p>
        </w:tc>
        <w:tc>
          <w:tcPr>
            <w:tcW w:w="234" w:type="pct"/>
            <w:tcBorders>
              <w:top w:val="single" w:sz="12" w:space="0" w:color="008000"/>
            </w:tcBorders>
            <w:shd w:val="clear" w:color="auto" w:fill="FFFFFF"/>
            <w:vAlign w:val="center"/>
          </w:tcPr>
          <w:p w14:paraId="448AF58A" w14:textId="77777777" w:rsidR="003E5B4F" w:rsidRPr="00BE430E" w:rsidRDefault="003E5B4F" w:rsidP="00A66FBD">
            <w:pPr>
              <w:pStyle w:val="CETBodytext"/>
              <w:ind w:right="-1"/>
              <w:jc w:val="center"/>
              <w:rPr>
                <w:rFonts w:cs="Arial"/>
                <w:sz w:val="14"/>
                <w:szCs w:val="14"/>
                <w:lang w:val="en-GB"/>
              </w:rPr>
            </w:pPr>
          </w:p>
        </w:tc>
        <w:tc>
          <w:tcPr>
            <w:tcW w:w="293" w:type="pct"/>
            <w:tcBorders>
              <w:top w:val="single" w:sz="12" w:space="0" w:color="008000"/>
            </w:tcBorders>
            <w:shd w:val="clear" w:color="auto" w:fill="FFFFFF"/>
            <w:vAlign w:val="center"/>
          </w:tcPr>
          <w:p w14:paraId="21FA927D" w14:textId="77777777" w:rsidR="003E5B4F" w:rsidRPr="00BE430E" w:rsidRDefault="003E5B4F" w:rsidP="00A66FBD">
            <w:pPr>
              <w:pStyle w:val="CETBodytext"/>
              <w:ind w:right="-1"/>
              <w:jc w:val="center"/>
              <w:rPr>
                <w:rFonts w:cs="Arial"/>
                <w:sz w:val="14"/>
                <w:szCs w:val="14"/>
                <w:lang w:val="en-GB"/>
              </w:rPr>
            </w:pPr>
          </w:p>
        </w:tc>
        <w:tc>
          <w:tcPr>
            <w:tcW w:w="230" w:type="pct"/>
            <w:shd w:val="clear" w:color="auto" w:fill="FFFFFF"/>
          </w:tcPr>
          <w:p w14:paraId="24D299B5" w14:textId="77777777" w:rsidR="003E5B4F" w:rsidRPr="00BE430E" w:rsidRDefault="003E5B4F" w:rsidP="00A66FBD">
            <w:pPr>
              <w:pStyle w:val="CETBodytext"/>
              <w:ind w:right="-1"/>
              <w:jc w:val="center"/>
              <w:rPr>
                <w:rFonts w:cs="Arial"/>
                <w:sz w:val="14"/>
                <w:szCs w:val="14"/>
                <w:lang w:val="en-GB"/>
              </w:rPr>
            </w:pPr>
          </w:p>
        </w:tc>
        <w:tc>
          <w:tcPr>
            <w:tcW w:w="1121" w:type="pct"/>
            <w:tcBorders>
              <w:top w:val="single" w:sz="12" w:space="0" w:color="008000"/>
            </w:tcBorders>
            <w:shd w:val="clear" w:color="auto" w:fill="FFFFFF"/>
            <w:vAlign w:val="center"/>
          </w:tcPr>
          <w:p w14:paraId="3E5F757E" w14:textId="77777777" w:rsidR="003E5B4F" w:rsidRPr="00BE430E" w:rsidRDefault="003E5B4F" w:rsidP="00A66FBD">
            <w:pPr>
              <w:pStyle w:val="CETBodytext"/>
              <w:ind w:right="-1"/>
              <w:jc w:val="left"/>
              <w:rPr>
                <w:rFonts w:cs="Arial"/>
                <w:sz w:val="14"/>
                <w:szCs w:val="14"/>
                <w:lang w:val="en-GB"/>
              </w:rPr>
            </w:pPr>
          </w:p>
        </w:tc>
        <w:tc>
          <w:tcPr>
            <w:tcW w:w="234" w:type="pct"/>
            <w:tcBorders>
              <w:top w:val="single" w:sz="12" w:space="0" w:color="008000"/>
            </w:tcBorders>
            <w:shd w:val="clear" w:color="auto" w:fill="FFFFFF"/>
            <w:vAlign w:val="center"/>
          </w:tcPr>
          <w:p w14:paraId="6F2B3A36" w14:textId="77777777" w:rsidR="003E5B4F" w:rsidRPr="00BE430E" w:rsidRDefault="003E5B4F" w:rsidP="00A66FBD">
            <w:pPr>
              <w:pStyle w:val="CETBodytext"/>
              <w:ind w:right="-1"/>
              <w:jc w:val="center"/>
              <w:rPr>
                <w:rFonts w:cs="Arial"/>
                <w:sz w:val="14"/>
                <w:szCs w:val="14"/>
                <w:lang w:val="en-GB"/>
              </w:rPr>
            </w:pPr>
          </w:p>
        </w:tc>
        <w:tc>
          <w:tcPr>
            <w:tcW w:w="164" w:type="pct"/>
            <w:tcBorders>
              <w:top w:val="single" w:sz="12" w:space="0" w:color="008000"/>
            </w:tcBorders>
            <w:shd w:val="clear" w:color="auto" w:fill="FFFFFF"/>
            <w:vAlign w:val="center"/>
          </w:tcPr>
          <w:p w14:paraId="686528D8" w14:textId="77777777" w:rsidR="003E5B4F" w:rsidRPr="00BE430E" w:rsidRDefault="003E5B4F" w:rsidP="00A66FBD">
            <w:pPr>
              <w:pStyle w:val="CETBodytext"/>
              <w:ind w:right="-1"/>
              <w:jc w:val="center"/>
              <w:rPr>
                <w:rFonts w:cs="Arial"/>
                <w:sz w:val="14"/>
                <w:szCs w:val="14"/>
                <w:lang w:val="en-GB"/>
              </w:rPr>
            </w:pPr>
          </w:p>
        </w:tc>
        <w:tc>
          <w:tcPr>
            <w:tcW w:w="234" w:type="pct"/>
            <w:tcBorders>
              <w:top w:val="single" w:sz="12" w:space="0" w:color="008000"/>
            </w:tcBorders>
            <w:shd w:val="clear" w:color="auto" w:fill="FFFFFF"/>
            <w:vAlign w:val="center"/>
          </w:tcPr>
          <w:p w14:paraId="0BDCD0CC" w14:textId="77777777" w:rsidR="003E5B4F" w:rsidRPr="00BE430E" w:rsidRDefault="003E5B4F" w:rsidP="00A66FBD">
            <w:pPr>
              <w:pStyle w:val="CETBodytext"/>
              <w:ind w:right="-1"/>
              <w:jc w:val="center"/>
              <w:rPr>
                <w:rFonts w:cs="Arial"/>
                <w:sz w:val="14"/>
                <w:szCs w:val="14"/>
                <w:lang w:val="en-GB"/>
              </w:rPr>
            </w:pPr>
          </w:p>
        </w:tc>
        <w:tc>
          <w:tcPr>
            <w:tcW w:w="234" w:type="pct"/>
            <w:tcBorders>
              <w:top w:val="single" w:sz="12" w:space="0" w:color="008000"/>
            </w:tcBorders>
            <w:shd w:val="clear" w:color="auto" w:fill="FFFFFF"/>
            <w:vAlign w:val="center"/>
          </w:tcPr>
          <w:p w14:paraId="3142CBEC" w14:textId="77777777" w:rsidR="003E5B4F" w:rsidRPr="00BE430E" w:rsidRDefault="003E5B4F" w:rsidP="00A66FBD">
            <w:pPr>
              <w:pStyle w:val="CETBodytext"/>
              <w:ind w:right="-1"/>
              <w:jc w:val="center"/>
              <w:rPr>
                <w:rFonts w:cs="Arial"/>
                <w:sz w:val="14"/>
                <w:szCs w:val="14"/>
                <w:lang w:val="en-GB"/>
              </w:rPr>
            </w:pPr>
          </w:p>
        </w:tc>
        <w:tc>
          <w:tcPr>
            <w:tcW w:w="362" w:type="pct"/>
            <w:tcBorders>
              <w:top w:val="single" w:sz="12" w:space="0" w:color="008000"/>
            </w:tcBorders>
            <w:shd w:val="clear" w:color="auto" w:fill="FFFFFF"/>
            <w:vAlign w:val="center"/>
          </w:tcPr>
          <w:p w14:paraId="6A95DDD8" w14:textId="77777777" w:rsidR="003E5B4F" w:rsidRPr="00BE430E" w:rsidRDefault="003E5B4F" w:rsidP="00A66FBD">
            <w:pPr>
              <w:pStyle w:val="CETBodytext"/>
              <w:ind w:right="-1"/>
              <w:jc w:val="center"/>
              <w:rPr>
                <w:rFonts w:cs="Arial"/>
                <w:sz w:val="14"/>
                <w:szCs w:val="14"/>
                <w:lang w:val="en-GB"/>
              </w:rPr>
            </w:pPr>
          </w:p>
        </w:tc>
      </w:tr>
      <w:tr w:rsidR="003E5B4F" w:rsidRPr="00BE430E" w14:paraId="40376C48" w14:textId="77777777" w:rsidTr="00A66FBD">
        <w:tc>
          <w:tcPr>
            <w:tcW w:w="1121" w:type="pct"/>
            <w:tcBorders>
              <w:bottom w:val="single" w:sz="12" w:space="0" w:color="008000"/>
            </w:tcBorders>
            <w:shd w:val="clear" w:color="auto" w:fill="FFFFFF"/>
            <w:vAlign w:val="center"/>
          </w:tcPr>
          <w:p w14:paraId="6C862D5F"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Xylose – C110</w:t>
            </w:r>
          </w:p>
        </w:tc>
        <w:tc>
          <w:tcPr>
            <w:tcW w:w="303" w:type="pct"/>
            <w:tcBorders>
              <w:bottom w:val="single" w:sz="12" w:space="0" w:color="008000"/>
            </w:tcBorders>
            <w:shd w:val="clear" w:color="auto" w:fill="FFFFFF"/>
            <w:vAlign w:val="center"/>
          </w:tcPr>
          <w:p w14:paraId="7287818E" w14:textId="77777777" w:rsidR="003E5B4F" w:rsidRPr="00BE430E" w:rsidRDefault="003E5B4F" w:rsidP="00A66FBD">
            <w:pPr>
              <w:pStyle w:val="CETBodytext"/>
              <w:ind w:right="-1"/>
              <w:jc w:val="center"/>
              <w:rPr>
                <w:rFonts w:cs="Arial"/>
                <w:sz w:val="14"/>
                <w:szCs w:val="14"/>
                <w:lang w:val="en-GB"/>
              </w:rPr>
            </w:pPr>
          </w:p>
        </w:tc>
        <w:tc>
          <w:tcPr>
            <w:tcW w:w="165" w:type="pct"/>
            <w:tcBorders>
              <w:bottom w:val="single" w:sz="12" w:space="0" w:color="008000"/>
            </w:tcBorders>
            <w:shd w:val="clear" w:color="auto" w:fill="FFFFFF"/>
            <w:vAlign w:val="center"/>
          </w:tcPr>
          <w:p w14:paraId="53822217" w14:textId="77777777" w:rsidR="003E5B4F" w:rsidRPr="00BE430E" w:rsidRDefault="003E5B4F" w:rsidP="00A66FBD">
            <w:pPr>
              <w:pStyle w:val="CETBodytext"/>
              <w:ind w:right="-1"/>
              <w:jc w:val="center"/>
              <w:rPr>
                <w:rFonts w:cs="Arial"/>
                <w:sz w:val="14"/>
                <w:szCs w:val="14"/>
                <w:lang w:val="en-GB"/>
              </w:rPr>
            </w:pPr>
          </w:p>
        </w:tc>
        <w:tc>
          <w:tcPr>
            <w:tcW w:w="303" w:type="pct"/>
            <w:tcBorders>
              <w:bottom w:val="single" w:sz="12" w:space="0" w:color="008000"/>
            </w:tcBorders>
            <w:shd w:val="clear" w:color="auto" w:fill="FFFFFF"/>
            <w:vAlign w:val="center"/>
          </w:tcPr>
          <w:p w14:paraId="4262AFC9" w14:textId="77777777" w:rsidR="003E5B4F" w:rsidRPr="00BE430E" w:rsidRDefault="003E5B4F" w:rsidP="00A66FBD">
            <w:pPr>
              <w:pStyle w:val="CETBodytext"/>
              <w:ind w:right="-1"/>
              <w:jc w:val="center"/>
              <w:rPr>
                <w:rFonts w:cs="Arial"/>
                <w:sz w:val="14"/>
                <w:szCs w:val="14"/>
                <w:lang w:val="en-GB"/>
              </w:rPr>
            </w:pPr>
          </w:p>
        </w:tc>
        <w:tc>
          <w:tcPr>
            <w:tcW w:w="234" w:type="pct"/>
            <w:tcBorders>
              <w:bottom w:val="single" w:sz="12" w:space="0" w:color="008000"/>
            </w:tcBorders>
            <w:shd w:val="clear" w:color="auto" w:fill="FFFFFF"/>
            <w:vAlign w:val="center"/>
          </w:tcPr>
          <w:p w14:paraId="5EFE8D48" w14:textId="77777777" w:rsidR="003E5B4F" w:rsidRPr="00BE430E" w:rsidRDefault="003E5B4F" w:rsidP="00A66FBD">
            <w:pPr>
              <w:pStyle w:val="CETBodytext"/>
              <w:ind w:right="-1"/>
              <w:jc w:val="center"/>
              <w:rPr>
                <w:rFonts w:cs="Arial"/>
                <w:sz w:val="14"/>
                <w:szCs w:val="14"/>
                <w:lang w:val="en-GB"/>
              </w:rPr>
            </w:pPr>
          </w:p>
        </w:tc>
        <w:tc>
          <w:tcPr>
            <w:tcW w:w="293" w:type="pct"/>
            <w:tcBorders>
              <w:bottom w:val="single" w:sz="12" w:space="0" w:color="008000"/>
            </w:tcBorders>
            <w:shd w:val="clear" w:color="auto" w:fill="FFFFFF"/>
            <w:vAlign w:val="center"/>
          </w:tcPr>
          <w:p w14:paraId="667EE622" w14:textId="77777777" w:rsidR="003E5B4F" w:rsidRPr="00BE430E" w:rsidRDefault="003E5B4F" w:rsidP="00A66FBD">
            <w:pPr>
              <w:pStyle w:val="CETBodytext"/>
              <w:ind w:right="-1"/>
              <w:jc w:val="center"/>
              <w:rPr>
                <w:rFonts w:cs="Arial"/>
                <w:sz w:val="14"/>
                <w:szCs w:val="14"/>
                <w:lang w:val="en-GB"/>
              </w:rPr>
            </w:pPr>
          </w:p>
        </w:tc>
        <w:tc>
          <w:tcPr>
            <w:tcW w:w="230" w:type="pct"/>
            <w:shd w:val="clear" w:color="auto" w:fill="FFFFFF"/>
          </w:tcPr>
          <w:p w14:paraId="2D4FA488" w14:textId="77777777" w:rsidR="003E5B4F" w:rsidRPr="00BE430E" w:rsidRDefault="003E5B4F" w:rsidP="00A66FBD">
            <w:pPr>
              <w:pStyle w:val="CETBodytext"/>
              <w:ind w:right="-1"/>
              <w:jc w:val="center"/>
              <w:rPr>
                <w:rFonts w:cs="Arial"/>
                <w:sz w:val="14"/>
                <w:szCs w:val="14"/>
                <w:lang w:val="en-GB"/>
              </w:rPr>
            </w:pPr>
          </w:p>
        </w:tc>
        <w:tc>
          <w:tcPr>
            <w:tcW w:w="1121" w:type="pct"/>
            <w:tcBorders>
              <w:bottom w:val="single" w:sz="12" w:space="0" w:color="008000"/>
            </w:tcBorders>
            <w:shd w:val="clear" w:color="auto" w:fill="FFFFFF"/>
            <w:vAlign w:val="center"/>
          </w:tcPr>
          <w:p w14:paraId="6367CABF"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Xylose – C150</w:t>
            </w:r>
          </w:p>
        </w:tc>
        <w:tc>
          <w:tcPr>
            <w:tcW w:w="234" w:type="pct"/>
            <w:tcBorders>
              <w:bottom w:val="single" w:sz="12" w:space="0" w:color="008000"/>
            </w:tcBorders>
            <w:shd w:val="clear" w:color="auto" w:fill="FFFFFF"/>
            <w:vAlign w:val="center"/>
          </w:tcPr>
          <w:p w14:paraId="1FD9FD52" w14:textId="77777777" w:rsidR="003E5B4F" w:rsidRPr="00BE430E" w:rsidRDefault="003E5B4F" w:rsidP="00A66FBD">
            <w:pPr>
              <w:pStyle w:val="CETBodytext"/>
              <w:ind w:right="-1"/>
              <w:jc w:val="center"/>
              <w:rPr>
                <w:rFonts w:cs="Arial"/>
                <w:sz w:val="14"/>
                <w:szCs w:val="14"/>
                <w:lang w:val="en-GB"/>
              </w:rPr>
            </w:pPr>
          </w:p>
        </w:tc>
        <w:tc>
          <w:tcPr>
            <w:tcW w:w="164" w:type="pct"/>
            <w:tcBorders>
              <w:bottom w:val="single" w:sz="12" w:space="0" w:color="008000"/>
            </w:tcBorders>
            <w:shd w:val="clear" w:color="auto" w:fill="FFFFFF"/>
            <w:vAlign w:val="center"/>
          </w:tcPr>
          <w:p w14:paraId="08D7F6E7" w14:textId="77777777" w:rsidR="003E5B4F" w:rsidRPr="00BE430E" w:rsidRDefault="003E5B4F" w:rsidP="00A66FBD">
            <w:pPr>
              <w:pStyle w:val="CETBodytext"/>
              <w:ind w:right="-1"/>
              <w:jc w:val="center"/>
              <w:rPr>
                <w:rFonts w:cs="Arial"/>
                <w:sz w:val="14"/>
                <w:szCs w:val="14"/>
                <w:lang w:val="en-GB"/>
              </w:rPr>
            </w:pPr>
          </w:p>
        </w:tc>
        <w:tc>
          <w:tcPr>
            <w:tcW w:w="234" w:type="pct"/>
            <w:tcBorders>
              <w:bottom w:val="single" w:sz="12" w:space="0" w:color="008000"/>
            </w:tcBorders>
            <w:shd w:val="clear" w:color="auto" w:fill="FFFFFF"/>
            <w:vAlign w:val="center"/>
          </w:tcPr>
          <w:p w14:paraId="6027B3AA" w14:textId="77777777" w:rsidR="003E5B4F" w:rsidRPr="00BE430E" w:rsidRDefault="003E5B4F" w:rsidP="00A66FBD">
            <w:pPr>
              <w:pStyle w:val="CETBodytext"/>
              <w:ind w:right="-1"/>
              <w:jc w:val="center"/>
              <w:rPr>
                <w:rFonts w:cs="Arial"/>
                <w:sz w:val="14"/>
                <w:szCs w:val="14"/>
                <w:lang w:val="en-GB"/>
              </w:rPr>
            </w:pPr>
          </w:p>
        </w:tc>
        <w:tc>
          <w:tcPr>
            <w:tcW w:w="234" w:type="pct"/>
            <w:tcBorders>
              <w:bottom w:val="single" w:sz="12" w:space="0" w:color="008000"/>
            </w:tcBorders>
            <w:shd w:val="clear" w:color="auto" w:fill="FFFFFF"/>
            <w:vAlign w:val="center"/>
          </w:tcPr>
          <w:p w14:paraId="6E245FFD" w14:textId="77777777" w:rsidR="003E5B4F" w:rsidRPr="00BE430E" w:rsidRDefault="003E5B4F" w:rsidP="00A66FBD">
            <w:pPr>
              <w:pStyle w:val="CETBodytext"/>
              <w:ind w:right="-1"/>
              <w:jc w:val="center"/>
              <w:rPr>
                <w:rFonts w:cs="Arial"/>
                <w:sz w:val="14"/>
                <w:szCs w:val="14"/>
                <w:lang w:val="en-GB"/>
              </w:rPr>
            </w:pPr>
          </w:p>
        </w:tc>
        <w:tc>
          <w:tcPr>
            <w:tcW w:w="362" w:type="pct"/>
            <w:tcBorders>
              <w:bottom w:val="single" w:sz="12" w:space="0" w:color="008000"/>
            </w:tcBorders>
            <w:shd w:val="clear" w:color="auto" w:fill="FFFFFF"/>
            <w:vAlign w:val="center"/>
          </w:tcPr>
          <w:p w14:paraId="048367F2" w14:textId="77777777" w:rsidR="003E5B4F" w:rsidRPr="00BE430E" w:rsidRDefault="003E5B4F" w:rsidP="00A66FBD">
            <w:pPr>
              <w:pStyle w:val="CETBodytext"/>
              <w:ind w:right="-1"/>
              <w:jc w:val="center"/>
              <w:rPr>
                <w:rFonts w:cs="Arial"/>
                <w:sz w:val="14"/>
                <w:szCs w:val="14"/>
                <w:lang w:val="en-GB"/>
              </w:rPr>
            </w:pPr>
          </w:p>
        </w:tc>
      </w:tr>
      <w:tr w:rsidR="003E5B4F" w:rsidRPr="00BE430E" w14:paraId="31F69A16" w14:textId="77777777" w:rsidTr="00A66FBD">
        <w:tc>
          <w:tcPr>
            <w:tcW w:w="1121" w:type="pct"/>
            <w:tcBorders>
              <w:top w:val="single" w:sz="12" w:space="0" w:color="008000"/>
              <w:bottom w:val="single" w:sz="6" w:space="0" w:color="008000"/>
            </w:tcBorders>
            <w:shd w:val="clear" w:color="auto" w:fill="FFFFFF"/>
            <w:vAlign w:val="center"/>
          </w:tcPr>
          <w:p w14:paraId="2941D6EE"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Source of Variation</w:t>
            </w:r>
          </w:p>
        </w:tc>
        <w:tc>
          <w:tcPr>
            <w:tcW w:w="303" w:type="pct"/>
            <w:tcBorders>
              <w:top w:val="single" w:sz="12" w:space="0" w:color="008000"/>
              <w:bottom w:val="single" w:sz="6" w:space="0" w:color="008000"/>
            </w:tcBorders>
            <w:shd w:val="clear" w:color="auto" w:fill="FFFFFF"/>
            <w:vAlign w:val="center"/>
          </w:tcPr>
          <w:p w14:paraId="5DDF3AF5"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QS</w:t>
            </w:r>
          </w:p>
        </w:tc>
        <w:tc>
          <w:tcPr>
            <w:tcW w:w="165" w:type="pct"/>
            <w:tcBorders>
              <w:top w:val="single" w:sz="12" w:space="0" w:color="008000"/>
              <w:bottom w:val="single" w:sz="6" w:space="0" w:color="008000"/>
            </w:tcBorders>
            <w:shd w:val="clear" w:color="auto" w:fill="FFFFFF"/>
            <w:vAlign w:val="center"/>
          </w:tcPr>
          <w:p w14:paraId="57E5A251"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GL</w:t>
            </w:r>
          </w:p>
        </w:tc>
        <w:tc>
          <w:tcPr>
            <w:tcW w:w="303" w:type="pct"/>
            <w:tcBorders>
              <w:top w:val="single" w:sz="12" w:space="0" w:color="008000"/>
              <w:bottom w:val="single" w:sz="6" w:space="0" w:color="008000"/>
            </w:tcBorders>
            <w:shd w:val="clear" w:color="auto" w:fill="FFFFFF"/>
            <w:vAlign w:val="center"/>
          </w:tcPr>
          <w:p w14:paraId="1F90EB0C"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MQ</w:t>
            </w:r>
          </w:p>
        </w:tc>
        <w:tc>
          <w:tcPr>
            <w:tcW w:w="234" w:type="pct"/>
            <w:tcBorders>
              <w:top w:val="single" w:sz="12" w:space="0" w:color="008000"/>
              <w:bottom w:val="single" w:sz="6" w:space="0" w:color="008000"/>
            </w:tcBorders>
            <w:shd w:val="clear" w:color="auto" w:fill="FFFFFF"/>
            <w:vAlign w:val="center"/>
          </w:tcPr>
          <w:p w14:paraId="1595FB3C"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F</w:t>
            </w:r>
          </w:p>
        </w:tc>
        <w:tc>
          <w:tcPr>
            <w:tcW w:w="293" w:type="pct"/>
            <w:tcBorders>
              <w:top w:val="single" w:sz="12" w:space="0" w:color="008000"/>
              <w:bottom w:val="single" w:sz="6" w:space="0" w:color="008000"/>
            </w:tcBorders>
            <w:shd w:val="clear" w:color="auto" w:fill="FFFFFF"/>
            <w:vAlign w:val="center"/>
          </w:tcPr>
          <w:p w14:paraId="35D3F867"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Value-P</w:t>
            </w:r>
          </w:p>
        </w:tc>
        <w:tc>
          <w:tcPr>
            <w:tcW w:w="230" w:type="pct"/>
            <w:shd w:val="clear" w:color="auto" w:fill="FFFFFF"/>
          </w:tcPr>
          <w:p w14:paraId="1FED4576" w14:textId="77777777" w:rsidR="003E5B4F" w:rsidRPr="00BE430E" w:rsidRDefault="003E5B4F" w:rsidP="00A66FBD">
            <w:pPr>
              <w:pStyle w:val="CETBodytext"/>
              <w:ind w:right="-1"/>
              <w:jc w:val="center"/>
              <w:rPr>
                <w:rFonts w:cs="Arial"/>
                <w:sz w:val="14"/>
                <w:szCs w:val="14"/>
                <w:lang w:val="en-GB"/>
              </w:rPr>
            </w:pPr>
          </w:p>
        </w:tc>
        <w:tc>
          <w:tcPr>
            <w:tcW w:w="1121" w:type="pct"/>
            <w:tcBorders>
              <w:top w:val="single" w:sz="12" w:space="0" w:color="008000"/>
              <w:bottom w:val="single" w:sz="6" w:space="0" w:color="008000"/>
            </w:tcBorders>
            <w:shd w:val="clear" w:color="auto" w:fill="FFFFFF"/>
            <w:vAlign w:val="center"/>
          </w:tcPr>
          <w:p w14:paraId="6C8E82A0"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Source of Variation</w:t>
            </w:r>
          </w:p>
        </w:tc>
        <w:tc>
          <w:tcPr>
            <w:tcW w:w="234" w:type="pct"/>
            <w:tcBorders>
              <w:top w:val="single" w:sz="12" w:space="0" w:color="008000"/>
              <w:bottom w:val="single" w:sz="6" w:space="0" w:color="008000"/>
            </w:tcBorders>
            <w:shd w:val="clear" w:color="auto" w:fill="FFFFFF"/>
            <w:vAlign w:val="center"/>
          </w:tcPr>
          <w:p w14:paraId="32362E42"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QS</w:t>
            </w:r>
          </w:p>
        </w:tc>
        <w:tc>
          <w:tcPr>
            <w:tcW w:w="164" w:type="pct"/>
            <w:tcBorders>
              <w:top w:val="single" w:sz="12" w:space="0" w:color="008000"/>
              <w:bottom w:val="single" w:sz="6" w:space="0" w:color="008000"/>
            </w:tcBorders>
            <w:shd w:val="clear" w:color="auto" w:fill="FFFFFF"/>
            <w:vAlign w:val="center"/>
          </w:tcPr>
          <w:p w14:paraId="639976D0"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GL</w:t>
            </w:r>
          </w:p>
        </w:tc>
        <w:tc>
          <w:tcPr>
            <w:tcW w:w="234" w:type="pct"/>
            <w:tcBorders>
              <w:top w:val="single" w:sz="12" w:space="0" w:color="008000"/>
              <w:bottom w:val="single" w:sz="6" w:space="0" w:color="008000"/>
            </w:tcBorders>
            <w:shd w:val="clear" w:color="auto" w:fill="FFFFFF"/>
            <w:vAlign w:val="center"/>
          </w:tcPr>
          <w:p w14:paraId="116FE56E"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MQ</w:t>
            </w:r>
          </w:p>
        </w:tc>
        <w:tc>
          <w:tcPr>
            <w:tcW w:w="234" w:type="pct"/>
            <w:tcBorders>
              <w:top w:val="single" w:sz="12" w:space="0" w:color="008000"/>
              <w:bottom w:val="single" w:sz="6" w:space="0" w:color="008000"/>
            </w:tcBorders>
            <w:shd w:val="clear" w:color="auto" w:fill="FFFFFF"/>
            <w:vAlign w:val="center"/>
          </w:tcPr>
          <w:p w14:paraId="0CC1549A"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F</w:t>
            </w:r>
          </w:p>
        </w:tc>
        <w:tc>
          <w:tcPr>
            <w:tcW w:w="362" w:type="pct"/>
            <w:tcBorders>
              <w:top w:val="single" w:sz="12" w:space="0" w:color="008000"/>
              <w:bottom w:val="single" w:sz="6" w:space="0" w:color="008000"/>
            </w:tcBorders>
            <w:shd w:val="clear" w:color="auto" w:fill="FFFFFF"/>
            <w:vAlign w:val="center"/>
          </w:tcPr>
          <w:p w14:paraId="6FD74ECA"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Value-P</w:t>
            </w:r>
          </w:p>
        </w:tc>
      </w:tr>
      <w:tr w:rsidR="003E5B4F" w:rsidRPr="00BE430E" w14:paraId="48D82370" w14:textId="77777777" w:rsidTr="00A66FBD">
        <w:tc>
          <w:tcPr>
            <w:tcW w:w="1121" w:type="pct"/>
            <w:tcBorders>
              <w:top w:val="single" w:sz="6" w:space="0" w:color="008000"/>
            </w:tcBorders>
            <w:shd w:val="clear" w:color="auto" w:fill="FFFFFF"/>
            <w:vAlign w:val="center"/>
          </w:tcPr>
          <w:p w14:paraId="5C821DD3"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Between groups</w:t>
            </w:r>
          </w:p>
        </w:tc>
        <w:tc>
          <w:tcPr>
            <w:tcW w:w="303" w:type="pct"/>
            <w:tcBorders>
              <w:top w:val="single" w:sz="6" w:space="0" w:color="008000"/>
            </w:tcBorders>
            <w:shd w:val="clear" w:color="auto" w:fill="FFFFFF"/>
            <w:vAlign w:val="center"/>
          </w:tcPr>
          <w:p w14:paraId="06BF0DB5"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148.6</w:t>
            </w:r>
          </w:p>
        </w:tc>
        <w:tc>
          <w:tcPr>
            <w:tcW w:w="165" w:type="pct"/>
            <w:tcBorders>
              <w:top w:val="single" w:sz="6" w:space="0" w:color="008000"/>
            </w:tcBorders>
            <w:shd w:val="clear" w:color="auto" w:fill="FFFFFF"/>
            <w:vAlign w:val="center"/>
          </w:tcPr>
          <w:p w14:paraId="6A7D9B5D"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w:t>
            </w:r>
          </w:p>
        </w:tc>
        <w:tc>
          <w:tcPr>
            <w:tcW w:w="303" w:type="pct"/>
            <w:tcBorders>
              <w:top w:val="single" w:sz="6" w:space="0" w:color="008000"/>
            </w:tcBorders>
            <w:shd w:val="clear" w:color="auto" w:fill="FFFFFF"/>
            <w:vAlign w:val="center"/>
          </w:tcPr>
          <w:p w14:paraId="6FBE2AFB"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148.6</w:t>
            </w:r>
          </w:p>
        </w:tc>
        <w:tc>
          <w:tcPr>
            <w:tcW w:w="234" w:type="pct"/>
            <w:tcBorders>
              <w:top w:val="single" w:sz="6" w:space="0" w:color="008000"/>
            </w:tcBorders>
            <w:shd w:val="clear" w:color="auto" w:fill="FFFFFF"/>
            <w:vAlign w:val="center"/>
          </w:tcPr>
          <w:p w14:paraId="6D83C41C"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38.4</w:t>
            </w:r>
          </w:p>
        </w:tc>
        <w:tc>
          <w:tcPr>
            <w:tcW w:w="293" w:type="pct"/>
            <w:tcBorders>
              <w:top w:val="single" w:sz="6" w:space="0" w:color="008000"/>
            </w:tcBorders>
            <w:shd w:val="clear" w:color="auto" w:fill="FFFFFF"/>
            <w:vAlign w:val="center"/>
          </w:tcPr>
          <w:p w14:paraId="730759C9" w14:textId="77777777" w:rsidR="003E5B4F" w:rsidRPr="00BE430E" w:rsidRDefault="003E5B4F" w:rsidP="00A66FBD">
            <w:pPr>
              <w:pStyle w:val="CETBodytext"/>
              <w:ind w:right="-1"/>
              <w:jc w:val="center"/>
              <w:rPr>
                <w:rFonts w:cs="Arial"/>
                <w:sz w:val="14"/>
                <w:szCs w:val="14"/>
                <w:lang w:val="en-GB"/>
              </w:rPr>
            </w:pPr>
            <w:r w:rsidRPr="00BE430E">
              <w:rPr>
                <w:rFonts w:cs="Arial"/>
                <w:color w:val="FF0000"/>
                <w:sz w:val="14"/>
                <w:szCs w:val="14"/>
                <w:lang w:val="en-GB"/>
              </w:rPr>
              <w:t>0.00082</w:t>
            </w:r>
          </w:p>
        </w:tc>
        <w:tc>
          <w:tcPr>
            <w:tcW w:w="230" w:type="pct"/>
            <w:shd w:val="clear" w:color="auto" w:fill="FFFFFF"/>
          </w:tcPr>
          <w:p w14:paraId="7C0C5858" w14:textId="77777777" w:rsidR="003E5B4F" w:rsidRPr="00BE430E" w:rsidRDefault="003E5B4F" w:rsidP="00A66FBD">
            <w:pPr>
              <w:pStyle w:val="CETBodytext"/>
              <w:ind w:right="-1"/>
              <w:jc w:val="center"/>
              <w:rPr>
                <w:rFonts w:cs="Arial"/>
                <w:sz w:val="14"/>
                <w:szCs w:val="14"/>
                <w:lang w:val="en-GB"/>
              </w:rPr>
            </w:pPr>
          </w:p>
        </w:tc>
        <w:tc>
          <w:tcPr>
            <w:tcW w:w="1121" w:type="pct"/>
            <w:tcBorders>
              <w:top w:val="single" w:sz="6" w:space="0" w:color="008000"/>
            </w:tcBorders>
            <w:shd w:val="clear" w:color="auto" w:fill="FFFFFF"/>
            <w:vAlign w:val="center"/>
          </w:tcPr>
          <w:p w14:paraId="00A63091"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Between groups</w:t>
            </w:r>
          </w:p>
        </w:tc>
        <w:tc>
          <w:tcPr>
            <w:tcW w:w="234" w:type="pct"/>
            <w:tcBorders>
              <w:top w:val="single" w:sz="6" w:space="0" w:color="008000"/>
            </w:tcBorders>
            <w:shd w:val="clear" w:color="auto" w:fill="FFFFFF"/>
            <w:vAlign w:val="center"/>
          </w:tcPr>
          <w:p w14:paraId="02A1E340"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174.8</w:t>
            </w:r>
          </w:p>
        </w:tc>
        <w:tc>
          <w:tcPr>
            <w:tcW w:w="164" w:type="pct"/>
            <w:tcBorders>
              <w:top w:val="single" w:sz="6" w:space="0" w:color="008000"/>
            </w:tcBorders>
            <w:shd w:val="clear" w:color="auto" w:fill="FFFFFF"/>
            <w:vAlign w:val="center"/>
          </w:tcPr>
          <w:p w14:paraId="1797C70D"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w:t>
            </w:r>
          </w:p>
        </w:tc>
        <w:tc>
          <w:tcPr>
            <w:tcW w:w="234" w:type="pct"/>
            <w:tcBorders>
              <w:top w:val="single" w:sz="6" w:space="0" w:color="008000"/>
            </w:tcBorders>
            <w:shd w:val="clear" w:color="auto" w:fill="FFFFFF"/>
            <w:vAlign w:val="center"/>
          </w:tcPr>
          <w:p w14:paraId="34BBF08F"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174.8</w:t>
            </w:r>
          </w:p>
        </w:tc>
        <w:tc>
          <w:tcPr>
            <w:tcW w:w="234" w:type="pct"/>
            <w:tcBorders>
              <w:top w:val="single" w:sz="6" w:space="0" w:color="008000"/>
            </w:tcBorders>
            <w:shd w:val="clear" w:color="auto" w:fill="FFFFFF"/>
            <w:vAlign w:val="center"/>
          </w:tcPr>
          <w:p w14:paraId="29087D4C"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1.41</w:t>
            </w:r>
          </w:p>
        </w:tc>
        <w:tc>
          <w:tcPr>
            <w:tcW w:w="362" w:type="pct"/>
            <w:tcBorders>
              <w:top w:val="single" w:sz="6" w:space="0" w:color="008000"/>
            </w:tcBorders>
            <w:shd w:val="clear" w:color="auto" w:fill="FFFFFF"/>
            <w:vAlign w:val="center"/>
          </w:tcPr>
          <w:p w14:paraId="45BB988D"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0.279</w:t>
            </w:r>
          </w:p>
        </w:tc>
      </w:tr>
      <w:tr w:rsidR="003E5B4F" w:rsidRPr="00BE430E" w14:paraId="3DF7DEC3" w14:textId="77777777" w:rsidTr="00A66FBD">
        <w:tc>
          <w:tcPr>
            <w:tcW w:w="1121" w:type="pct"/>
            <w:tcBorders>
              <w:bottom w:val="single" w:sz="12" w:space="0" w:color="008000"/>
            </w:tcBorders>
            <w:shd w:val="clear" w:color="auto" w:fill="FFFFFF"/>
            <w:vAlign w:val="center"/>
          </w:tcPr>
          <w:p w14:paraId="26D4697D"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In groups (error)</w:t>
            </w:r>
          </w:p>
        </w:tc>
        <w:tc>
          <w:tcPr>
            <w:tcW w:w="303" w:type="pct"/>
            <w:tcBorders>
              <w:bottom w:val="single" w:sz="12" w:space="0" w:color="008000"/>
            </w:tcBorders>
            <w:shd w:val="clear" w:color="auto" w:fill="FFFFFF"/>
            <w:vAlign w:val="center"/>
          </w:tcPr>
          <w:p w14:paraId="3DDFA62B"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23.2</w:t>
            </w:r>
          </w:p>
        </w:tc>
        <w:tc>
          <w:tcPr>
            <w:tcW w:w="165" w:type="pct"/>
            <w:tcBorders>
              <w:bottom w:val="single" w:sz="12" w:space="0" w:color="008000"/>
            </w:tcBorders>
            <w:shd w:val="clear" w:color="auto" w:fill="FFFFFF"/>
            <w:vAlign w:val="center"/>
          </w:tcPr>
          <w:p w14:paraId="47F69D95"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6</w:t>
            </w:r>
          </w:p>
        </w:tc>
        <w:tc>
          <w:tcPr>
            <w:tcW w:w="303" w:type="pct"/>
            <w:tcBorders>
              <w:bottom w:val="single" w:sz="12" w:space="0" w:color="008000"/>
            </w:tcBorders>
            <w:shd w:val="clear" w:color="auto" w:fill="FFFFFF"/>
            <w:vAlign w:val="center"/>
          </w:tcPr>
          <w:p w14:paraId="5B082E6D"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3.9</w:t>
            </w:r>
          </w:p>
        </w:tc>
        <w:tc>
          <w:tcPr>
            <w:tcW w:w="234" w:type="pct"/>
            <w:tcBorders>
              <w:bottom w:val="single" w:sz="12" w:space="0" w:color="008000"/>
            </w:tcBorders>
            <w:shd w:val="clear" w:color="auto" w:fill="FFFFFF"/>
            <w:vAlign w:val="center"/>
          </w:tcPr>
          <w:p w14:paraId="63E9E882" w14:textId="77777777" w:rsidR="003E5B4F" w:rsidRPr="00BE430E" w:rsidRDefault="003E5B4F" w:rsidP="00A66FBD">
            <w:pPr>
              <w:pStyle w:val="CETBodytext"/>
              <w:ind w:right="-1"/>
              <w:jc w:val="center"/>
              <w:rPr>
                <w:rFonts w:cs="Arial"/>
                <w:sz w:val="14"/>
                <w:szCs w:val="14"/>
                <w:lang w:val="en-GB"/>
              </w:rPr>
            </w:pPr>
          </w:p>
        </w:tc>
        <w:tc>
          <w:tcPr>
            <w:tcW w:w="293" w:type="pct"/>
            <w:tcBorders>
              <w:bottom w:val="single" w:sz="12" w:space="0" w:color="008000"/>
            </w:tcBorders>
            <w:shd w:val="clear" w:color="auto" w:fill="FFFFFF"/>
            <w:vAlign w:val="center"/>
          </w:tcPr>
          <w:p w14:paraId="1F89A60F" w14:textId="77777777" w:rsidR="003E5B4F" w:rsidRPr="00BE430E" w:rsidRDefault="003E5B4F" w:rsidP="00A66FBD">
            <w:pPr>
              <w:pStyle w:val="CETBodytext"/>
              <w:ind w:right="-1"/>
              <w:jc w:val="center"/>
              <w:rPr>
                <w:rFonts w:cs="Arial"/>
                <w:sz w:val="14"/>
                <w:szCs w:val="14"/>
                <w:lang w:val="en-GB"/>
              </w:rPr>
            </w:pPr>
          </w:p>
        </w:tc>
        <w:tc>
          <w:tcPr>
            <w:tcW w:w="230" w:type="pct"/>
            <w:shd w:val="clear" w:color="auto" w:fill="FFFFFF"/>
          </w:tcPr>
          <w:p w14:paraId="7EB45753" w14:textId="77777777" w:rsidR="003E5B4F" w:rsidRPr="00BE430E" w:rsidRDefault="003E5B4F" w:rsidP="00A66FBD">
            <w:pPr>
              <w:pStyle w:val="CETBodytext"/>
              <w:ind w:right="-1"/>
              <w:jc w:val="center"/>
              <w:rPr>
                <w:rFonts w:cs="Arial"/>
                <w:sz w:val="14"/>
                <w:szCs w:val="14"/>
                <w:lang w:val="en-GB"/>
              </w:rPr>
            </w:pPr>
          </w:p>
        </w:tc>
        <w:tc>
          <w:tcPr>
            <w:tcW w:w="1121" w:type="pct"/>
            <w:tcBorders>
              <w:bottom w:val="single" w:sz="12" w:space="0" w:color="008000"/>
            </w:tcBorders>
            <w:shd w:val="clear" w:color="auto" w:fill="FFFFFF"/>
            <w:vAlign w:val="center"/>
          </w:tcPr>
          <w:p w14:paraId="67870F19"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In groups (error)</w:t>
            </w:r>
          </w:p>
        </w:tc>
        <w:tc>
          <w:tcPr>
            <w:tcW w:w="234" w:type="pct"/>
            <w:tcBorders>
              <w:bottom w:val="single" w:sz="12" w:space="0" w:color="008000"/>
            </w:tcBorders>
            <w:shd w:val="clear" w:color="auto" w:fill="FFFFFF"/>
            <w:vAlign w:val="center"/>
          </w:tcPr>
          <w:p w14:paraId="435B2D57"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742.0</w:t>
            </w:r>
          </w:p>
        </w:tc>
        <w:tc>
          <w:tcPr>
            <w:tcW w:w="164" w:type="pct"/>
            <w:tcBorders>
              <w:bottom w:val="single" w:sz="12" w:space="0" w:color="008000"/>
            </w:tcBorders>
            <w:shd w:val="clear" w:color="auto" w:fill="FFFFFF"/>
            <w:vAlign w:val="center"/>
          </w:tcPr>
          <w:p w14:paraId="1BE734BB"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6</w:t>
            </w:r>
          </w:p>
        </w:tc>
        <w:tc>
          <w:tcPr>
            <w:tcW w:w="234" w:type="pct"/>
            <w:tcBorders>
              <w:bottom w:val="single" w:sz="12" w:space="0" w:color="008000"/>
            </w:tcBorders>
            <w:shd w:val="clear" w:color="auto" w:fill="FFFFFF"/>
            <w:vAlign w:val="center"/>
          </w:tcPr>
          <w:p w14:paraId="0FDEA069"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123.7</w:t>
            </w:r>
          </w:p>
        </w:tc>
        <w:tc>
          <w:tcPr>
            <w:tcW w:w="234" w:type="pct"/>
            <w:tcBorders>
              <w:bottom w:val="single" w:sz="12" w:space="0" w:color="008000"/>
            </w:tcBorders>
            <w:shd w:val="clear" w:color="auto" w:fill="FFFFFF"/>
            <w:vAlign w:val="center"/>
          </w:tcPr>
          <w:p w14:paraId="6ABC91A4" w14:textId="77777777" w:rsidR="003E5B4F" w:rsidRPr="00BE430E" w:rsidRDefault="003E5B4F" w:rsidP="00A66FBD">
            <w:pPr>
              <w:pStyle w:val="CETBodytext"/>
              <w:ind w:right="-1"/>
              <w:jc w:val="center"/>
              <w:rPr>
                <w:rFonts w:cs="Arial"/>
                <w:sz w:val="14"/>
                <w:szCs w:val="14"/>
                <w:lang w:val="en-GB"/>
              </w:rPr>
            </w:pPr>
          </w:p>
        </w:tc>
        <w:tc>
          <w:tcPr>
            <w:tcW w:w="362" w:type="pct"/>
            <w:tcBorders>
              <w:bottom w:val="single" w:sz="12" w:space="0" w:color="008000"/>
            </w:tcBorders>
            <w:shd w:val="clear" w:color="auto" w:fill="FFFFFF"/>
            <w:vAlign w:val="center"/>
          </w:tcPr>
          <w:p w14:paraId="5F2C34F1" w14:textId="77777777" w:rsidR="003E5B4F" w:rsidRPr="00BE430E" w:rsidRDefault="003E5B4F" w:rsidP="00A66FBD">
            <w:pPr>
              <w:pStyle w:val="CETBodytext"/>
              <w:ind w:right="-1"/>
              <w:jc w:val="center"/>
              <w:rPr>
                <w:rFonts w:cs="Arial"/>
                <w:sz w:val="14"/>
                <w:szCs w:val="14"/>
                <w:lang w:val="en-GB"/>
              </w:rPr>
            </w:pPr>
          </w:p>
        </w:tc>
      </w:tr>
      <w:tr w:rsidR="003E5B4F" w:rsidRPr="00BE430E" w14:paraId="516593D8" w14:textId="77777777" w:rsidTr="00A66FBD">
        <w:tc>
          <w:tcPr>
            <w:tcW w:w="1121" w:type="pct"/>
            <w:tcBorders>
              <w:top w:val="single" w:sz="12" w:space="0" w:color="008000"/>
            </w:tcBorders>
            <w:shd w:val="clear" w:color="auto" w:fill="FFFFFF"/>
            <w:vAlign w:val="center"/>
          </w:tcPr>
          <w:p w14:paraId="6929B72E" w14:textId="77777777" w:rsidR="003E5B4F" w:rsidRPr="00BE430E" w:rsidRDefault="003E5B4F" w:rsidP="00A66FBD">
            <w:pPr>
              <w:pStyle w:val="CETBodytext"/>
              <w:ind w:right="-1"/>
              <w:jc w:val="left"/>
              <w:rPr>
                <w:rFonts w:cs="Arial"/>
                <w:sz w:val="14"/>
                <w:szCs w:val="14"/>
                <w:lang w:val="en-GB"/>
              </w:rPr>
            </w:pPr>
          </w:p>
        </w:tc>
        <w:tc>
          <w:tcPr>
            <w:tcW w:w="303" w:type="pct"/>
            <w:tcBorders>
              <w:top w:val="single" w:sz="12" w:space="0" w:color="008000"/>
            </w:tcBorders>
            <w:shd w:val="clear" w:color="auto" w:fill="FFFFFF"/>
            <w:vAlign w:val="center"/>
          </w:tcPr>
          <w:p w14:paraId="00653F79" w14:textId="77777777" w:rsidR="003E5B4F" w:rsidRPr="00BE430E" w:rsidRDefault="003E5B4F" w:rsidP="00A66FBD">
            <w:pPr>
              <w:pStyle w:val="CETBodytext"/>
              <w:ind w:right="-1"/>
              <w:jc w:val="center"/>
              <w:rPr>
                <w:rFonts w:cs="Arial"/>
                <w:sz w:val="14"/>
                <w:szCs w:val="14"/>
                <w:lang w:val="en-GB"/>
              </w:rPr>
            </w:pPr>
          </w:p>
        </w:tc>
        <w:tc>
          <w:tcPr>
            <w:tcW w:w="165" w:type="pct"/>
            <w:tcBorders>
              <w:top w:val="single" w:sz="12" w:space="0" w:color="008000"/>
            </w:tcBorders>
            <w:shd w:val="clear" w:color="auto" w:fill="FFFFFF"/>
            <w:vAlign w:val="center"/>
          </w:tcPr>
          <w:p w14:paraId="4740BDAD" w14:textId="77777777" w:rsidR="003E5B4F" w:rsidRPr="00BE430E" w:rsidRDefault="003E5B4F" w:rsidP="00A66FBD">
            <w:pPr>
              <w:pStyle w:val="CETBodytext"/>
              <w:ind w:right="-1"/>
              <w:jc w:val="center"/>
              <w:rPr>
                <w:rFonts w:cs="Arial"/>
                <w:sz w:val="14"/>
                <w:szCs w:val="14"/>
                <w:lang w:val="en-GB"/>
              </w:rPr>
            </w:pPr>
          </w:p>
        </w:tc>
        <w:tc>
          <w:tcPr>
            <w:tcW w:w="303" w:type="pct"/>
            <w:tcBorders>
              <w:top w:val="single" w:sz="12" w:space="0" w:color="008000"/>
            </w:tcBorders>
            <w:shd w:val="clear" w:color="auto" w:fill="FFFFFF"/>
            <w:vAlign w:val="center"/>
          </w:tcPr>
          <w:p w14:paraId="19B982F3" w14:textId="77777777" w:rsidR="003E5B4F" w:rsidRPr="00BE430E" w:rsidRDefault="003E5B4F" w:rsidP="00A66FBD">
            <w:pPr>
              <w:pStyle w:val="CETBodytext"/>
              <w:ind w:right="-1"/>
              <w:jc w:val="center"/>
              <w:rPr>
                <w:rFonts w:cs="Arial"/>
                <w:sz w:val="14"/>
                <w:szCs w:val="14"/>
                <w:lang w:val="en-GB"/>
              </w:rPr>
            </w:pPr>
          </w:p>
        </w:tc>
        <w:tc>
          <w:tcPr>
            <w:tcW w:w="234" w:type="pct"/>
            <w:tcBorders>
              <w:top w:val="single" w:sz="12" w:space="0" w:color="008000"/>
            </w:tcBorders>
            <w:shd w:val="clear" w:color="auto" w:fill="FFFFFF"/>
            <w:vAlign w:val="center"/>
          </w:tcPr>
          <w:p w14:paraId="7CE151C1" w14:textId="77777777" w:rsidR="003E5B4F" w:rsidRPr="00BE430E" w:rsidRDefault="003E5B4F" w:rsidP="00A66FBD">
            <w:pPr>
              <w:pStyle w:val="CETBodytext"/>
              <w:ind w:right="-1"/>
              <w:jc w:val="center"/>
              <w:rPr>
                <w:rFonts w:cs="Arial"/>
                <w:sz w:val="14"/>
                <w:szCs w:val="14"/>
                <w:lang w:val="en-GB"/>
              </w:rPr>
            </w:pPr>
          </w:p>
        </w:tc>
        <w:tc>
          <w:tcPr>
            <w:tcW w:w="293" w:type="pct"/>
            <w:tcBorders>
              <w:top w:val="single" w:sz="12" w:space="0" w:color="008000"/>
            </w:tcBorders>
            <w:shd w:val="clear" w:color="auto" w:fill="FFFFFF"/>
            <w:vAlign w:val="center"/>
          </w:tcPr>
          <w:p w14:paraId="6B0A6321" w14:textId="77777777" w:rsidR="003E5B4F" w:rsidRPr="00BE430E" w:rsidRDefault="003E5B4F" w:rsidP="00A66FBD">
            <w:pPr>
              <w:pStyle w:val="CETBodytext"/>
              <w:ind w:right="-1"/>
              <w:jc w:val="center"/>
              <w:rPr>
                <w:rFonts w:cs="Arial"/>
                <w:sz w:val="14"/>
                <w:szCs w:val="14"/>
                <w:lang w:val="en-GB"/>
              </w:rPr>
            </w:pPr>
          </w:p>
        </w:tc>
        <w:tc>
          <w:tcPr>
            <w:tcW w:w="230" w:type="pct"/>
            <w:shd w:val="clear" w:color="auto" w:fill="FFFFFF"/>
          </w:tcPr>
          <w:p w14:paraId="0889D94F" w14:textId="77777777" w:rsidR="003E5B4F" w:rsidRPr="00BE430E" w:rsidRDefault="003E5B4F" w:rsidP="00A66FBD">
            <w:pPr>
              <w:pStyle w:val="CETBodytext"/>
              <w:ind w:right="-1"/>
              <w:jc w:val="center"/>
              <w:rPr>
                <w:rFonts w:cs="Arial"/>
                <w:sz w:val="14"/>
                <w:szCs w:val="14"/>
                <w:lang w:val="en-GB"/>
              </w:rPr>
            </w:pPr>
          </w:p>
        </w:tc>
        <w:tc>
          <w:tcPr>
            <w:tcW w:w="1121" w:type="pct"/>
            <w:tcBorders>
              <w:top w:val="single" w:sz="12" w:space="0" w:color="008000"/>
            </w:tcBorders>
            <w:shd w:val="clear" w:color="auto" w:fill="FFFFFF"/>
            <w:vAlign w:val="center"/>
          </w:tcPr>
          <w:p w14:paraId="2B6269F7" w14:textId="77777777" w:rsidR="003E5B4F" w:rsidRPr="00BE430E" w:rsidRDefault="003E5B4F" w:rsidP="00A66FBD">
            <w:pPr>
              <w:pStyle w:val="CETBodytext"/>
              <w:ind w:right="-1"/>
              <w:jc w:val="left"/>
              <w:rPr>
                <w:rFonts w:cs="Arial"/>
                <w:sz w:val="14"/>
                <w:szCs w:val="14"/>
                <w:lang w:val="en-GB"/>
              </w:rPr>
            </w:pPr>
          </w:p>
        </w:tc>
        <w:tc>
          <w:tcPr>
            <w:tcW w:w="234" w:type="pct"/>
            <w:tcBorders>
              <w:top w:val="single" w:sz="12" w:space="0" w:color="008000"/>
            </w:tcBorders>
            <w:shd w:val="clear" w:color="auto" w:fill="FFFFFF"/>
            <w:vAlign w:val="center"/>
          </w:tcPr>
          <w:p w14:paraId="79880065" w14:textId="77777777" w:rsidR="003E5B4F" w:rsidRPr="00BE430E" w:rsidRDefault="003E5B4F" w:rsidP="00A66FBD">
            <w:pPr>
              <w:pStyle w:val="CETBodytext"/>
              <w:ind w:right="-1"/>
              <w:jc w:val="center"/>
              <w:rPr>
                <w:rFonts w:cs="Arial"/>
                <w:sz w:val="14"/>
                <w:szCs w:val="14"/>
                <w:lang w:val="en-GB"/>
              </w:rPr>
            </w:pPr>
          </w:p>
        </w:tc>
        <w:tc>
          <w:tcPr>
            <w:tcW w:w="164" w:type="pct"/>
            <w:tcBorders>
              <w:top w:val="single" w:sz="12" w:space="0" w:color="008000"/>
            </w:tcBorders>
            <w:shd w:val="clear" w:color="auto" w:fill="FFFFFF"/>
            <w:vAlign w:val="center"/>
          </w:tcPr>
          <w:p w14:paraId="71841075" w14:textId="77777777" w:rsidR="003E5B4F" w:rsidRPr="00BE430E" w:rsidRDefault="003E5B4F" w:rsidP="00A66FBD">
            <w:pPr>
              <w:pStyle w:val="CETBodytext"/>
              <w:ind w:right="-1"/>
              <w:jc w:val="center"/>
              <w:rPr>
                <w:rFonts w:cs="Arial"/>
                <w:sz w:val="14"/>
                <w:szCs w:val="14"/>
                <w:lang w:val="en-GB"/>
              </w:rPr>
            </w:pPr>
          </w:p>
        </w:tc>
        <w:tc>
          <w:tcPr>
            <w:tcW w:w="234" w:type="pct"/>
            <w:tcBorders>
              <w:top w:val="single" w:sz="12" w:space="0" w:color="008000"/>
            </w:tcBorders>
            <w:shd w:val="clear" w:color="auto" w:fill="FFFFFF"/>
            <w:vAlign w:val="center"/>
          </w:tcPr>
          <w:p w14:paraId="72785CC0" w14:textId="77777777" w:rsidR="003E5B4F" w:rsidRPr="00BE430E" w:rsidRDefault="003E5B4F" w:rsidP="00A66FBD">
            <w:pPr>
              <w:pStyle w:val="CETBodytext"/>
              <w:ind w:right="-1"/>
              <w:jc w:val="center"/>
              <w:rPr>
                <w:rFonts w:cs="Arial"/>
                <w:sz w:val="14"/>
                <w:szCs w:val="14"/>
                <w:lang w:val="en-GB"/>
              </w:rPr>
            </w:pPr>
          </w:p>
        </w:tc>
        <w:tc>
          <w:tcPr>
            <w:tcW w:w="234" w:type="pct"/>
            <w:tcBorders>
              <w:top w:val="single" w:sz="12" w:space="0" w:color="008000"/>
            </w:tcBorders>
            <w:shd w:val="clear" w:color="auto" w:fill="FFFFFF"/>
            <w:vAlign w:val="center"/>
          </w:tcPr>
          <w:p w14:paraId="0E8B2285" w14:textId="77777777" w:rsidR="003E5B4F" w:rsidRPr="00BE430E" w:rsidRDefault="003E5B4F" w:rsidP="00A66FBD">
            <w:pPr>
              <w:pStyle w:val="CETBodytext"/>
              <w:ind w:right="-1"/>
              <w:jc w:val="center"/>
              <w:rPr>
                <w:rFonts w:cs="Arial"/>
                <w:sz w:val="14"/>
                <w:szCs w:val="14"/>
                <w:lang w:val="en-GB"/>
              </w:rPr>
            </w:pPr>
          </w:p>
        </w:tc>
        <w:tc>
          <w:tcPr>
            <w:tcW w:w="362" w:type="pct"/>
            <w:tcBorders>
              <w:top w:val="single" w:sz="12" w:space="0" w:color="008000"/>
            </w:tcBorders>
            <w:shd w:val="clear" w:color="auto" w:fill="FFFFFF"/>
            <w:vAlign w:val="center"/>
          </w:tcPr>
          <w:p w14:paraId="0AB80A08" w14:textId="77777777" w:rsidR="003E5B4F" w:rsidRPr="00BE430E" w:rsidRDefault="003E5B4F" w:rsidP="00A66FBD">
            <w:pPr>
              <w:pStyle w:val="CETBodytext"/>
              <w:ind w:right="-1"/>
              <w:jc w:val="center"/>
              <w:rPr>
                <w:rFonts w:cs="Arial"/>
                <w:sz w:val="14"/>
                <w:szCs w:val="14"/>
                <w:lang w:val="en-GB"/>
              </w:rPr>
            </w:pPr>
          </w:p>
        </w:tc>
      </w:tr>
      <w:tr w:rsidR="003E5B4F" w:rsidRPr="00BE430E" w14:paraId="4B8882AB" w14:textId="77777777" w:rsidTr="00A66FBD">
        <w:tc>
          <w:tcPr>
            <w:tcW w:w="1121" w:type="pct"/>
            <w:tcBorders>
              <w:bottom w:val="single" w:sz="12" w:space="0" w:color="008000"/>
            </w:tcBorders>
            <w:shd w:val="clear" w:color="auto" w:fill="FFFFFF"/>
            <w:vAlign w:val="center"/>
          </w:tcPr>
          <w:p w14:paraId="40E5B57D"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Xylose – D110</w:t>
            </w:r>
          </w:p>
        </w:tc>
        <w:tc>
          <w:tcPr>
            <w:tcW w:w="303" w:type="pct"/>
            <w:tcBorders>
              <w:bottom w:val="single" w:sz="12" w:space="0" w:color="008000"/>
            </w:tcBorders>
            <w:shd w:val="clear" w:color="auto" w:fill="FFFFFF"/>
            <w:vAlign w:val="center"/>
          </w:tcPr>
          <w:p w14:paraId="47704517" w14:textId="77777777" w:rsidR="003E5B4F" w:rsidRPr="00BE430E" w:rsidRDefault="003E5B4F" w:rsidP="00A66FBD">
            <w:pPr>
              <w:pStyle w:val="CETBodytext"/>
              <w:ind w:right="-1"/>
              <w:jc w:val="center"/>
              <w:rPr>
                <w:rFonts w:cs="Arial"/>
                <w:sz w:val="14"/>
                <w:szCs w:val="14"/>
                <w:lang w:val="en-GB"/>
              </w:rPr>
            </w:pPr>
          </w:p>
        </w:tc>
        <w:tc>
          <w:tcPr>
            <w:tcW w:w="165" w:type="pct"/>
            <w:tcBorders>
              <w:bottom w:val="single" w:sz="12" w:space="0" w:color="008000"/>
            </w:tcBorders>
            <w:shd w:val="clear" w:color="auto" w:fill="FFFFFF"/>
            <w:vAlign w:val="center"/>
          </w:tcPr>
          <w:p w14:paraId="3917648A" w14:textId="77777777" w:rsidR="003E5B4F" w:rsidRPr="00BE430E" w:rsidRDefault="003E5B4F" w:rsidP="00A66FBD">
            <w:pPr>
              <w:pStyle w:val="CETBodytext"/>
              <w:ind w:right="-1"/>
              <w:jc w:val="center"/>
              <w:rPr>
                <w:rFonts w:cs="Arial"/>
                <w:sz w:val="14"/>
                <w:szCs w:val="14"/>
                <w:lang w:val="en-GB"/>
              </w:rPr>
            </w:pPr>
          </w:p>
        </w:tc>
        <w:tc>
          <w:tcPr>
            <w:tcW w:w="303" w:type="pct"/>
            <w:tcBorders>
              <w:bottom w:val="single" w:sz="12" w:space="0" w:color="008000"/>
            </w:tcBorders>
            <w:shd w:val="clear" w:color="auto" w:fill="FFFFFF"/>
            <w:vAlign w:val="center"/>
          </w:tcPr>
          <w:p w14:paraId="5178CC29" w14:textId="77777777" w:rsidR="003E5B4F" w:rsidRPr="00BE430E" w:rsidRDefault="003E5B4F" w:rsidP="00A66FBD">
            <w:pPr>
              <w:pStyle w:val="CETBodytext"/>
              <w:ind w:right="-1"/>
              <w:jc w:val="center"/>
              <w:rPr>
                <w:rFonts w:cs="Arial"/>
                <w:sz w:val="14"/>
                <w:szCs w:val="14"/>
                <w:lang w:val="en-GB"/>
              </w:rPr>
            </w:pPr>
          </w:p>
        </w:tc>
        <w:tc>
          <w:tcPr>
            <w:tcW w:w="234" w:type="pct"/>
            <w:tcBorders>
              <w:bottom w:val="single" w:sz="12" w:space="0" w:color="008000"/>
            </w:tcBorders>
            <w:shd w:val="clear" w:color="auto" w:fill="FFFFFF"/>
            <w:vAlign w:val="center"/>
          </w:tcPr>
          <w:p w14:paraId="223D2C6B" w14:textId="77777777" w:rsidR="003E5B4F" w:rsidRPr="00BE430E" w:rsidRDefault="003E5B4F" w:rsidP="00A66FBD">
            <w:pPr>
              <w:pStyle w:val="CETBodytext"/>
              <w:ind w:right="-1"/>
              <w:jc w:val="center"/>
              <w:rPr>
                <w:rFonts w:cs="Arial"/>
                <w:sz w:val="14"/>
                <w:szCs w:val="14"/>
                <w:lang w:val="en-GB"/>
              </w:rPr>
            </w:pPr>
          </w:p>
        </w:tc>
        <w:tc>
          <w:tcPr>
            <w:tcW w:w="293" w:type="pct"/>
            <w:tcBorders>
              <w:bottom w:val="single" w:sz="12" w:space="0" w:color="008000"/>
            </w:tcBorders>
            <w:shd w:val="clear" w:color="auto" w:fill="FFFFFF"/>
            <w:vAlign w:val="center"/>
          </w:tcPr>
          <w:p w14:paraId="1FDDD173" w14:textId="77777777" w:rsidR="003E5B4F" w:rsidRPr="00BE430E" w:rsidRDefault="003E5B4F" w:rsidP="00A66FBD">
            <w:pPr>
              <w:pStyle w:val="CETBodytext"/>
              <w:ind w:right="-1"/>
              <w:jc w:val="center"/>
              <w:rPr>
                <w:rFonts w:cs="Arial"/>
                <w:sz w:val="14"/>
                <w:szCs w:val="14"/>
                <w:lang w:val="en-GB"/>
              </w:rPr>
            </w:pPr>
          </w:p>
        </w:tc>
        <w:tc>
          <w:tcPr>
            <w:tcW w:w="230" w:type="pct"/>
            <w:shd w:val="clear" w:color="auto" w:fill="FFFFFF"/>
          </w:tcPr>
          <w:p w14:paraId="1BB8F4AF" w14:textId="77777777" w:rsidR="003E5B4F" w:rsidRPr="00BE430E" w:rsidRDefault="003E5B4F" w:rsidP="00A66FBD">
            <w:pPr>
              <w:pStyle w:val="CETBodytext"/>
              <w:ind w:right="-1"/>
              <w:jc w:val="center"/>
              <w:rPr>
                <w:rFonts w:cs="Arial"/>
                <w:sz w:val="14"/>
                <w:szCs w:val="14"/>
                <w:lang w:val="en-GB"/>
              </w:rPr>
            </w:pPr>
          </w:p>
        </w:tc>
        <w:tc>
          <w:tcPr>
            <w:tcW w:w="1121" w:type="pct"/>
            <w:tcBorders>
              <w:bottom w:val="single" w:sz="12" w:space="0" w:color="008000"/>
            </w:tcBorders>
            <w:shd w:val="clear" w:color="auto" w:fill="FFFFFF"/>
            <w:vAlign w:val="center"/>
          </w:tcPr>
          <w:p w14:paraId="218F9121"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Xylose – D150</w:t>
            </w:r>
          </w:p>
        </w:tc>
        <w:tc>
          <w:tcPr>
            <w:tcW w:w="234" w:type="pct"/>
            <w:tcBorders>
              <w:bottom w:val="single" w:sz="12" w:space="0" w:color="008000"/>
            </w:tcBorders>
            <w:shd w:val="clear" w:color="auto" w:fill="FFFFFF"/>
            <w:vAlign w:val="center"/>
          </w:tcPr>
          <w:p w14:paraId="1BBF5145" w14:textId="77777777" w:rsidR="003E5B4F" w:rsidRPr="00BE430E" w:rsidRDefault="003E5B4F" w:rsidP="00A66FBD">
            <w:pPr>
              <w:pStyle w:val="CETBodytext"/>
              <w:ind w:right="-1"/>
              <w:jc w:val="center"/>
              <w:rPr>
                <w:rFonts w:cs="Arial"/>
                <w:sz w:val="14"/>
                <w:szCs w:val="14"/>
                <w:lang w:val="en-GB"/>
              </w:rPr>
            </w:pPr>
          </w:p>
        </w:tc>
        <w:tc>
          <w:tcPr>
            <w:tcW w:w="164" w:type="pct"/>
            <w:tcBorders>
              <w:bottom w:val="single" w:sz="12" w:space="0" w:color="008000"/>
            </w:tcBorders>
            <w:shd w:val="clear" w:color="auto" w:fill="FFFFFF"/>
            <w:vAlign w:val="center"/>
          </w:tcPr>
          <w:p w14:paraId="159D72F9" w14:textId="77777777" w:rsidR="003E5B4F" w:rsidRPr="00BE430E" w:rsidRDefault="003E5B4F" w:rsidP="00A66FBD">
            <w:pPr>
              <w:pStyle w:val="CETBodytext"/>
              <w:ind w:right="-1"/>
              <w:jc w:val="center"/>
              <w:rPr>
                <w:rFonts w:cs="Arial"/>
                <w:sz w:val="14"/>
                <w:szCs w:val="14"/>
                <w:lang w:val="en-GB"/>
              </w:rPr>
            </w:pPr>
          </w:p>
        </w:tc>
        <w:tc>
          <w:tcPr>
            <w:tcW w:w="234" w:type="pct"/>
            <w:tcBorders>
              <w:bottom w:val="single" w:sz="12" w:space="0" w:color="008000"/>
            </w:tcBorders>
            <w:shd w:val="clear" w:color="auto" w:fill="FFFFFF"/>
            <w:vAlign w:val="center"/>
          </w:tcPr>
          <w:p w14:paraId="5450890E" w14:textId="77777777" w:rsidR="003E5B4F" w:rsidRPr="00BE430E" w:rsidRDefault="003E5B4F" w:rsidP="00A66FBD">
            <w:pPr>
              <w:pStyle w:val="CETBodytext"/>
              <w:ind w:right="-1"/>
              <w:jc w:val="center"/>
              <w:rPr>
                <w:rFonts w:cs="Arial"/>
                <w:sz w:val="14"/>
                <w:szCs w:val="14"/>
                <w:lang w:val="en-GB"/>
              </w:rPr>
            </w:pPr>
          </w:p>
        </w:tc>
        <w:tc>
          <w:tcPr>
            <w:tcW w:w="234" w:type="pct"/>
            <w:tcBorders>
              <w:bottom w:val="single" w:sz="12" w:space="0" w:color="008000"/>
            </w:tcBorders>
            <w:shd w:val="clear" w:color="auto" w:fill="FFFFFF"/>
            <w:vAlign w:val="center"/>
          </w:tcPr>
          <w:p w14:paraId="30A6CCAE" w14:textId="77777777" w:rsidR="003E5B4F" w:rsidRPr="00BE430E" w:rsidRDefault="003E5B4F" w:rsidP="00A66FBD">
            <w:pPr>
              <w:pStyle w:val="CETBodytext"/>
              <w:ind w:right="-1"/>
              <w:jc w:val="center"/>
              <w:rPr>
                <w:rFonts w:cs="Arial"/>
                <w:sz w:val="14"/>
                <w:szCs w:val="14"/>
                <w:lang w:val="en-GB"/>
              </w:rPr>
            </w:pPr>
          </w:p>
        </w:tc>
        <w:tc>
          <w:tcPr>
            <w:tcW w:w="362" w:type="pct"/>
            <w:tcBorders>
              <w:bottom w:val="single" w:sz="12" w:space="0" w:color="008000"/>
            </w:tcBorders>
            <w:shd w:val="clear" w:color="auto" w:fill="FFFFFF"/>
            <w:vAlign w:val="center"/>
          </w:tcPr>
          <w:p w14:paraId="0A070CF3" w14:textId="77777777" w:rsidR="003E5B4F" w:rsidRPr="00BE430E" w:rsidRDefault="003E5B4F" w:rsidP="00A66FBD">
            <w:pPr>
              <w:pStyle w:val="CETBodytext"/>
              <w:ind w:right="-1"/>
              <w:jc w:val="center"/>
              <w:rPr>
                <w:rFonts w:cs="Arial"/>
                <w:sz w:val="14"/>
                <w:szCs w:val="14"/>
                <w:lang w:val="en-GB"/>
              </w:rPr>
            </w:pPr>
          </w:p>
        </w:tc>
      </w:tr>
      <w:tr w:rsidR="003E5B4F" w:rsidRPr="00BE430E" w14:paraId="3FC9EC54" w14:textId="77777777" w:rsidTr="00A66FBD">
        <w:tc>
          <w:tcPr>
            <w:tcW w:w="1121" w:type="pct"/>
            <w:tcBorders>
              <w:top w:val="single" w:sz="12" w:space="0" w:color="008000"/>
              <w:bottom w:val="single" w:sz="6" w:space="0" w:color="008000"/>
            </w:tcBorders>
            <w:shd w:val="clear" w:color="auto" w:fill="FFFFFF"/>
            <w:vAlign w:val="center"/>
          </w:tcPr>
          <w:p w14:paraId="4F09C365"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Source of Variation</w:t>
            </w:r>
          </w:p>
        </w:tc>
        <w:tc>
          <w:tcPr>
            <w:tcW w:w="303" w:type="pct"/>
            <w:tcBorders>
              <w:top w:val="single" w:sz="12" w:space="0" w:color="008000"/>
              <w:bottom w:val="single" w:sz="6" w:space="0" w:color="008000"/>
            </w:tcBorders>
            <w:shd w:val="clear" w:color="auto" w:fill="FFFFFF"/>
            <w:vAlign w:val="center"/>
          </w:tcPr>
          <w:p w14:paraId="4499DB66"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QS</w:t>
            </w:r>
          </w:p>
        </w:tc>
        <w:tc>
          <w:tcPr>
            <w:tcW w:w="165" w:type="pct"/>
            <w:tcBorders>
              <w:top w:val="single" w:sz="12" w:space="0" w:color="008000"/>
              <w:bottom w:val="single" w:sz="6" w:space="0" w:color="008000"/>
            </w:tcBorders>
            <w:shd w:val="clear" w:color="auto" w:fill="FFFFFF"/>
            <w:vAlign w:val="center"/>
          </w:tcPr>
          <w:p w14:paraId="5D82AC7F"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GL</w:t>
            </w:r>
          </w:p>
        </w:tc>
        <w:tc>
          <w:tcPr>
            <w:tcW w:w="303" w:type="pct"/>
            <w:tcBorders>
              <w:top w:val="single" w:sz="12" w:space="0" w:color="008000"/>
              <w:bottom w:val="single" w:sz="6" w:space="0" w:color="008000"/>
            </w:tcBorders>
            <w:shd w:val="clear" w:color="auto" w:fill="FFFFFF"/>
            <w:vAlign w:val="center"/>
          </w:tcPr>
          <w:p w14:paraId="7920792C"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MQ</w:t>
            </w:r>
          </w:p>
        </w:tc>
        <w:tc>
          <w:tcPr>
            <w:tcW w:w="234" w:type="pct"/>
            <w:tcBorders>
              <w:top w:val="single" w:sz="12" w:space="0" w:color="008000"/>
              <w:bottom w:val="single" w:sz="6" w:space="0" w:color="008000"/>
            </w:tcBorders>
            <w:shd w:val="clear" w:color="auto" w:fill="FFFFFF"/>
            <w:vAlign w:val="center"/>
          </w:tcPr>
          <w:p w14:paraId="6DD5828B"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F</w:t>
            </w:r>
          </w:p>
        </w:tc>
        <w:tc>
          <w:tcPr>
            <w:tcW w:w="293" w:type="pct"/>
            <w:tcBorders>
              <w:top w:val="single" w:sz="12" w:space="0" w:color="008000"/>
              <w:bottom w:val="single" w:sz="6" w:space="0" w:color="008000"/>
            </w:tcBorders>
            <w:shd w:val="clear" w:color="auto" w:fill="FFFFFF"/>
            <w:vAlign w:val="center"/>
          </w:tcPr>
          <w:p w14:paraId="32FE0E8D"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Value-P</w:t>
            </w:r>
          </w:p>
        </w:tc>
        <w:tc>
          <w:tcPr>
            <w:tcW w:w="230" w:type="pct"/>
            <w:shd w:val="clear" w:color="auto" w:fill="FFFFFF"/>
          </w:tcPr>
          <w:p w14:paraId="5780FB08" w14:textId="77777777" w:rsidR="003E5B4F" w:rsidRPr="00BE430E" w:rsidRDefault="003E5B4F" w:rsidP="00A66FBD">
            <w:pPr>
              <w:pStyle w:val="CETBodytext"/>
              <w:ind w:right="-1"/>
              <w:jc w:val="center"/>
              <w:rPr>
                <w:rFonts w:cs="Arial"/>
                <w:sz w:val="14"/>
                <w:szCs w:val="14"/>
                <w:lang w:val="en-GB"/>
              </w:rPr>
            </w:pPr>
          </w:p>
        </w:tc>
        <w:tc>
          <w:tcPr>
            <w:tcW w:w="1121" w:type="pct"/>
            <w:tcBorders>
              <w:top w:val="single" w:sz="12" w:space="0" w:color="008000"/>
              <w:bottom w:val="single" w:sz="6" w:space="0" w:color="008000"/>
            </w:tcBorders>
            <w:shd w:val="clear" w:color="auto" w:fill="FFFFFF"/>
            <w:vAlign w:val="center"/>
          </w:tcPr>
          <w:p w14:paraId="0A2B4A82"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Source of Variation</w:t>
            </w:r>
          </w:p>
        </w:tc>
        <w:tc>
          <w:tcPr>
            <w:tcW w:w="234" w:type="pct"/>
            <w:tcBorders>
              <w:top w:val="single" w:sz="12" w:space="0" w:color="008000"/>
              <w:bottom w:val="single" w:sz="6" w:space="0" w:color="008000"/>
            </w:tcBorders>
            <w:shd w:val="clear" w:color="auto" w:fill="FFFFFF"/>
            <w:vAlign w:val="center"/>
          </w:tcPr>
          <w:p w14:paraId="39D62695"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QS</w:t>
            </w:r>
          </w:p>
        </w:tc>
        <w:tc>
          <w:tcPr>
            <w:tcW w:w="164" w:type="pct"/>
            <w:tcBorders>
              <w:top w:val="single" w:sz="12" w:space="0" w:color="008000"/>
              <w:bottom w:val="single" w:sz="6" w:space="0" w:color="008000"/>
            </w:tcBorders>
            <w:shd w:val="clear" w:color="auto" w:fill="FFFFFF"/>
            <w:vAlign w:val="center"/>
          </w:tcPr>
          <w:p w14:paraId="6792F54C"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GL</w:t>
            </w:r>
          </w:p>
        </w:tc>
        <w:tc>
          <w:tcPr>
            <w:tcW w:w="234" w:type="pct"/>
            <w:tcBorders>
              <w:top w:val="single" w:sz="12" w:space="0" w:color="008000"/>
              <w:bottom w:val="single" w:sz="6" w:space="0" w:color="008000"/>
            </w:tcBorders>
            <w:shd w:val="clear" w:color="auto" w:fill="FFFFFF"/>
            <w:vAlign w:val="center"/>
          </w:tcPr>
          <w:p w14:paraId="0BD95647"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MQ</w:t>
            </w:r>
          </w:p>
        </w:tc>
        <w:tc>
          <w:tcPr>
            <w:tcW w:w="234" w:type="pct"/>
            <w:tcBorders>
              <w:top w:val="single" w:sz="12" w:space="0" w:color="008000"/>
              <w:bottom w:val="single" w:sz="6" w:space="0" w:color="008000"/>
            </w:tcBorders>
            <w:shd w:val="clear" w:color="auto" w:fill="FFFFFF"/>
            <w:vAlign w:val="center"/>
          </w:tcPr>
          <w:p w14:paraId="2BCFAA53"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F</w:t>
            </w:r>
          </w:p>
        </w:tc>
        <w:tc>
          <w:tcPr>
            <w:tcW w:w="362" w:type="pct"/>
            <w:tcBorders>
              <w:top w:val="single" w:sz="12" w:space="0" w:color="008000"/>
              <w:bottom w:val="single" w:sz="6" w:space="0" w:color="008000"/>
            </w:tcBorders>
            <w:shd w:val="clear" w:color="auto" w:fill="FFFFFF"/>
            <w:vAlign w:val="center"/>
          </w:tcPr>
          <w:p w14:paraId="58C60566"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Value-P</w:t>
            </w:r>
          </w:p>
        </w:tc>
      </w:tr>
      <w:tr w:rsidR="003E5B4F" w:rsidRPr="00BE430E" w14:paraId="7FBFB399" w14:textId="77777777" w:rsidTr="00A66FBD">
        <w:tc>
          <w:tcPr>
            <w:tcW w:w="1121" w:type="pct"/>
            <w:tcBorders>
              <w:top w:val="single" w:sz="6" w:space="0" w:color="008000"/>
            </w:tcBorders>
            <w:shd w:val="clear" w:color="auto" w:fill="FFFFFF"/>
            <w:vAlign w:val="center"/>
          </w:tcPr>
          <w:p w14:paraId="407C16ED"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Between groups</w:t>
            </w:r>
          </w:p>
        </w:tc>
        <w:tc>
          <w:tcPr>
            <w:tcW w:w="303" w:type="pct"/>
            <w:tcBorders>
              <w:top w:val="single" w:sz="6" w:space="0" w:color="008000"/>
            </w:tcBorders>
            <w:shd w:val="clear" w:color="auto" w:fill="FFFFFF"/>
            <w:vAlign w:val="center"/>
          </w:tcPr>
          <w:p w14:paraId="738855B7"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381.6</w:t>
            </w:r>
          </w:p>
        </w:tc>
        <w:tc>
          <w:tcPr>
            <w:tcW w:w="165" w:type="pct"/>
            <w:tcBorders>
              <w:top w:val="single" w:sz="6" w:space="0" w:color="008000"/>
            </w:tcBorders>
            <w:shd w:val="clear" w:color="auto" w:fill="FFFFFF"/>
            <w:vAlign w:val="center"/>
          </w:tcPr>
          <w:p w14:paraId="504D4298"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w:t>
            </w:r>
          </w:p>
        </w:tc>
        <w:tc>
          <w:tcPr>
            <w:tcW w:w="303" w:type="pct"/>
            <w:tcBorders>
              <w:top w:val="single" w:sz="6" w:space="0" w:color="008000"/>
            </w:tcBorders>
            <w:shd w:val="clear" w:color="auto" w:fill="FFFFFF"/>
            <w:vAlign w:val="center"/>
          </w:tcPr>
          <w:p w14:paraId="3F009776"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381.6</w:t>
            </w:r>
          </w:p>
        </w:tc>
        <w:tc>
          <w:tcPr>
            <w:tcW w:w="234" w:type="pct"/>
            <w:tcBorders>
              <w:top w:val="single" w:sz="6" w:space="0" w:color="008000"/>
            </w:tcBorders>
            <w:shd w:val="clear" w:color="auto" w:fill="FFFFFF"/>
            <w:vAlign w:val="center"/>
          </w:tcPr>
          <w:p w14:paraId="14BF6655"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79.2</w:t>
            </w:r>
          </w:p>
        </w:tc>
        <w:tc>
          <w:tcPr>
            <w:tcW w:w="293" w:type="pct"/>
            <w:tcBorders>
              <w:top w:val="single" w:sz="6" w:space="0" w:color="008000"/>
            </w:tcBorders>
            <w:shd w:val="clear" w:color="auto" w:fill="FFFFFF"/>
            <w:vAlign w:val="center"/>
          </w:tcPr>
          <w:p w14:paraId="0DC583E7" w14:textId="77777777" w:rsidR="003E5B4F" w:rsidRPr="00BE430E" w:rsidRDefault="003E5B4F" w:rsidP="00A66FBD">
            <w:pPr>
              <w:pStyle w:val="CETBodytext"/>
              <w:ind w:right="-1"/>
              <w:jc w:val="center"/>
              <w:rPr>
                <w:rFonts w:cs="Arial"/>
                <w:sz w:val="14"/>
                <w:szCs w:val="14"/>
                <w:lang w:val="en-GB"/>
              </w:rPr>
            </w:pPr>
            <w:r w:rsidRPr="00BE430E">
              <w:rPr>
                <w:rFonts w:cs="Arial"/>
                <w:color w:val="FF0000"/>
                <w:sz w:val="14"/>
                <w:szCs w:val="14"/>
                <w:lang w:val="en-GB"/>
              </w:rPr>
              <w:t>0.00011</w:t>
            </w:r>
          </w:p>
        </w:tc>
        <w:tc>
          <w:tcPr>
            <w:tcW w:w="230" w:type="pct"/>
            <w:shd w:val="clear" w:color="auto" w:fill="FFFFFF"/>
          </w:tcPr>
          <w:p w14:paraId="6D61F128" w14:textId="77777777" w:rsidR="003E5B4F" w:rsidRPr="00BE430E" w:rsidRDefault="003E5B4F" w:rsidP="00A66FBD">
            <w:pPr>
              <w:pStyle w:val="CETBodytext"/>
              <w:ind w:right="-1"/>
              <w:jc w:val="center"/>
              <w:rPr>
                <w:rFonts w:cs="Arial"/>
                <w:sz w:val="14"/>
                <w:szCs w:val="14"/>
                <w:lang w:val="en-GB"/>
              </w:rPr>
            </w:pPr>
          </w:p>
        </w:tc>
        <w:tc>
          <w:tcPr>
            <w:tcW w:w="1121" w:type="pct"/>
            <w:tcBorders>
              <w:top w:val="single" w:sz="6" w:space="0" w:color="008000"/>
            </w:tcBorders>
            <w:shd w:val="clear" w:color="auto" w:fill="FFFFFF"/>
            <w:vAlign w:val="center"/>
          </w:tcPr>
          <w:p w14:paraId="616D8D3B"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Between groups</w:t>
            </w:r>
          </w:p>
        </w:tc>
        <w:tc>
          <w:tcPr>
            <w:tcW w:w="234" w:type="pct"/>
            <w:tcBorders>
              <w:top w:val="single" w:sz="6" w:space="0" w:color="008000"/>
            </w:tcBorders>
            <w:shd w:val="clear" w:color="auto" w:fill="FFFFFF"/>
            <w:vAlign w:val="center"/>
          </w:tcPr>
          <w:p w14:paraId="42CFFA75"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26.17</w:t>
            </w:r>
          </w:p>
        </w:tc>
        <w:tc>
          <w:tcPr>
            <w:tcW w:w="164" w:type="pct"/>
            <w:tcBorders>
              <w:top w:val="single" w:sz="6" w:space="0" w:color="008000"/>
            </w:tcBorders>
            <w:shd w:val="clear" w:color="auto" w:fill="FFFFFF"/>
            <w:vAlign w:val="center"/>
          </w:tcPr>
          <w:p w14:paraId="3FC8352B"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w:t>
            </w:r>
          </w:p>
        </w:tc>
        <w:tc>
          <w:tcPr>
            <w:tcW w:w="234" w:type="pct"/>
            <w:tcBorders>
              <w:top w:val="single" w:sz="6" w:space="0" w:color="008000"/>
            </w:tcBorders>
            <w:shd w:val="clear" w:color="auto" w:fill="FFFFFF"/>
            <w:vAlign w:val="center"/>
          </w:tcPr>
          <w:p w14:paraId="7EAC8437"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26.17</w:t>
            </w:r>
          </w:p>
        </w:tc>
        <w:tc>
          <w:tcPr>
            <w:tcW w:w="234" w:type="pct"/>
            <w:tcBorders>
              <w:top w:val="single" w:sz="6" w:space="0" w:color="008000"/>
            </w:tcBorders>
            <w:shd w:val="clear" w:color="auto" w:fill="FFFFFF"/>
            <w:vAlign w:val="center"/>
          </w:tcPr>
          <w:p w14:paraId="3B592AC4"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0.55</w:t>
            </w:r>
          </w:p>
        </w:tc>
        <w:tc>
          <w:tcPr>
            <w:tcW w:w="362" w:type="pct"/>
            <w:tcBorders>
              <w:top w:val="single" w:sz="6" w:space="0" w:color="008000"/>
            </w:tcBorders>
            <w:shd w:val="clear" w:color="auto" w:fill="FFFFFF"/>
            <w:vAlign w:val="center"/>
          </w:tcPr>
          <w:p w14:paraId="66CA738C"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0.488</w:t>
            </w:r>
          </w:p>
        </w:tc>
      </w:tr>
      <w:tr w:rsidR="003E5B4F" w:rsidRPr="00BE430E" w14:paraId="64A8D72A" w14:textId="77777777" w:rsidTr="00A66FBD">
        <w:tc>
          <w:tcPr>
            <w:tcW w:w="1121" w:type="pct"/>
            <w:tcBorders>
              <w:bottom w:val="single" w:sz="12" w:space="0" w:color="008000"/>
            </w:tcBorders>
            <w:shd w:val="clear" w:color="auto" w:fill="FFFFFF"/>
            <w:vAlign w:val="center"/>
          </w:tcPr>
          <w:p w14:paraId="7859EA71"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In groups (error)</w:t>
            </w:r>
          </w:p>
        </w:tc>
        <w:tc>
          <w:tcPr>
            <w:tcW w:w="303" w:type="pct"/>
            <w:tcBorders>
              <w:bottom w:val="single" w:sz="12" w:space="0" w:color="008000"/>
            </w:tcBorders>
            <w:shd w:val="clear" w:color="auto" w:fill="FFFFFF"/>
            <w:vAlign w:val="center"/>
          </w:tcPr>
          <w:p w14:paraId="2C83E69D"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28.9</w:t>
            </w:r>
          </w:p>
        </w:tc>
        <w:tc>
          <w:tcPr>
            <w:tcW w:w="165" w:type="pct"/>
            <w:tcBorders>
              <w:bottom w:val="single" w:sz="12" w:space="0" w:color="008000"/>
            </w:tcBorders>
            <w:shd w:val="clear" w:color="auto" w:fill="FFFFFF"/>
            <w:vAlign w:val="center"/>
          </w:tcPr>
          <w:p w14:paraId="5B32EEB9"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6</w:t>
            </w:r>
          </w:p>
        </w:tc>
        <w:tc>
          <w:tcPr>
            <w:tcW w:w="303" w:type="pct"/>
            <w:tcBorders>
              <w:bottom w:val="single" w:sz="12" w:space="0" w:color="008000"/>
            </w:tcBorders>
            <w:shd w:val="clear" w:color="auto" w:fill="FFFFFF"/>
            <w:vAlign w:val="center"/>
          </w:tcPr>
          <w:p w14:paraId="4BFD194E"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4.8</w:t>
            </w:r>
          </w:p>
        </w:tc>
        <w:tc>
          <w:tcPr>
            <w:tcW w:w="234" w:type="pct"/>
            <w:tcBorders>
              <w:bottom w:val="single" w:sz="12" w:space="0" w:color="008000"/>
            </w:tcBorders>
            <w:shd w:val="clear" w:color="auto" w:fill="FFFFFF"/>
            <w:vAlign w:val="center"/>
          </w:tcPr>
          <w:p w14:paraId="47C0A6F8" w14:textId="77777777" w:rsidR="003E5B4F" w:rsidRPr="00BE430E" w:rsidRDefault="003E5B4F" w:rsidP="00A66FBD">
            <w:pPr>
              <w:pStyle w:val="CETBodytext"/>
              <w:ind w:right="-1"/>
              <w:jc w:val="center"/>
              <w:rPr>
                <w:rFonts w:cs="Arial"/>
                <w:sz w:val="14"/>
                <w:szCs w:val="14"/>
                <w:lang w:val="en-GB"/>
              </w:rPr>
            </w:pPr>
          </w:p>
        </w:tc>
        <w:tc>
          <w:tcPr>
            <w:tcW w:w="293" w:type="pct"/>
            <w:tcBorders>
              <w:bottom w:val="single" w:sz="12" w:space="0" w:color="008000"/>
            </w:tcBorders>
            <w:shd w:val="clear" w:color="auto" w:fill="FFFFFF"/>
            <w:vAlign w:val="center"/>
          </w:tcPr>
          <w:p w14:paraId="44D24592" w14:textId="77777777" w:rsidR="003E5B4F" w:rsidRPr="00BE430E" w:rsidRDefault="003E5B4F" w:rsidP="00A66FBD">
            <w:pPr>
              <w:pStyle w:val="CETBodytext"/>
              <w:ind w:right="-1"/>
              <w:jc w:val="center"/>
              <w:rPr>
                <w:rFonts w:cs="Arial"/>
                <w:sz w:val="14"/>
                <w:szCs w:val="14"/>
                <w:lang w:val="en-GB"/>
              </w:rPr>
            </w:pPr>
          </w:p>
        </w:tc>
        <w:tc>
          <w:tcPr>
            <w:tcW w:w="230" w:type="pct"/>
            <w:shd w:val="clear" w:color="auto" w:fill="FFFFFF"/>
          </w:tcPr>
          <w:p w14:paraId="51C3C4D6" w14:textId="77777777" w:rsidR="003E5B4F" w:rsidRPr="00BE430E" w:rsidRDefault="003E5B4F" w:rsidP="00A66FBD">
            <w:pPr>
              <w:pStyle w:val="CETBodytext"/>
              <w:ind w:right="-1"/>
              <w:jc w:val="center"/>
              <w:rPr>
                <w:rFonts w:cs="Arial"/>
                <w:sz w:val="14"/>
                <w:szCs w:val="14"/>
                <w:lang w:val="en-GB"/>
              </w:rPr>
            </w:pPr>
          </w:p>
        </w:tc>
        <w:tc>
          <w:tcPr>
            <w:tcW w:w="1121" w:type="pct"/>
            <w:tcBorders>
              <w:bottom w:val="single" w:sz="12" w:space="0" w:color="008000"/>
            </w:tcBorders>
            <w:shd w:val="clear" w:color="auto" w:fill="FFFFFF"/>
            <w:vAlign w:val="center"/>
          </w:tcPr>
          <w:p w14:paraId="5E631491"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In groups (error)</w:t>
            </w:r>
          </w:p>
        </w:tc>
        <w:tc>
          <w:tcPr>
            <w:tcW w:w="234" w:type="pct"/>
            <w:tcBorders>
              <w:bottom w:val="single" w:sz="12" w:space="0" w:color="008000"/>
            </w:tcBorders>
            <w:shd w:val="clear" w:color="auto" w:fill="FFFFFF"/>
            <w:vAlign w:val="center"/>
          </w:tcPr>
          <w:p w14:paraId="1A18DBD0"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287.4</w:t>
            </w:r>
          </w:p>
        </w:tc>
        <w:tc>
          <w:tcPr>
            <w:tcW w:w="164" w:type="pct"/>
            <w:tcBorders>
              <w:bottom w:val="single" w:sz="12" w:space="0" w:color="008000"/>
            </w:tcBorders>
            <w:shd w:val="clear" w:color="auto" w:fill="FFFFFF"/>
            <w:vAlign w:val="center"/>
          </w:tcPr>
          <w:p w14:paraId="46B58BEF"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6</w:t>
            </w:r>
          </w:p>
        </w:tc>
        <w:tc>
          <w:tcPr>
            <w:tcW w:w="234" w:type="pct"/>
            <w:tcBorders>
              <w:bottom w:val="single" w:sz="12" w:space="0" w:color="008000"/>
            </w:tcBorders>
            <w:shd w:val="clear" w:color="auto" w:fill="FFFFFF"/>
            <w:vAlign w:val="center"/>
          </w:tcPr>
          <w:p w14:paraId="3DC633B4"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47.90</w:t>
            </w:r>
          </w:p>
        </w:tc>
        <w:tc>
          <w:tcPr>
            <w:tcW w:w="234" w:type="pct"/>
            <w:tcBorders>
              <w:bottom w:val="single" w:sz="12" w:space="0" w:color="008000"/>
            </w:tcBorders>
            <w:shd w:val="clear" w:color="auto" w:fill="FFFFFF"/>
            <w:vAlign w:val="center"/>
          </w:tcPr>
          <w:p w14:paraId="77BA5F19" w14:textId="77777777" w:rsidR="003E5B4F" w:rsidRPr="00BE430E" w:rsidRDefault="003E5B4F" w:rsidP="00A66FBD">
            <w:pPr>
              <w:pStyle w:val="CETBodytext"/>
              <w:ind w:right="-1"/>
              <w:jc w:val="center"/>
              <w:rPr>
                <w:rFonts w:cs="Arial"/>
                <w:sz w:val="14"/>
                <w:szCs w:val="14"/>
                <w:lang w:val="en-GB"/>
              </w:rPr>
            </w:pPr>
          </w:p>
        </w:tc>
        <w:tc>
          <w:tcPr>
            <w:tcW w:w="362" w:type="pct"/>
            <w:tcBorders>
              <w:bottom w:val="single" w:sz="12" w:space="0" w:color="008000"/>
            </w:tcBorders>
            <w:shd w:val="clear" w:color="auto" w:fill="FFFFFF"/>
            <w:vAlign w:val="center"/>
          </w:tcPr>
          <w:p w14:paraId="43DF32B3" w14:textId="77777777" w:rsidR="003E5B4F" w:rsidRPr="00BE430E" w:rsidRDefault="003E5B4F" w:rsidP="00A66FBD">
            <w:pPr>
              <w:pStyle w:val="CETBodytext"/>
              <w:ind w:right="-1"/>
              <w:jc w:val="center"/>
              <w:rPr>
                <w:rFonts w:cs="Arial"/>
                <w:sz w:val="14"/>
                <w:szCs w:val="14"/>
                <w:lang w:val="en-GB"/>
              </w:rPr>
            </w:pPr>
          </w:p>
        </w:tc>
      </w:tr>
    </w:tbl>
    <w:p w14:paraId="3C5353CE" w14:textId="77777777" w:rsidR="003E5B4F" w:rsidRDefault="003E5B4F" w:rsidP="003E5B4F">
      <w:pPr>
        <w:pStyle w:val="CETBodytext"/>
      </w:pPr>
    </w:p>
    <w:p w14:paraId="6AC9E80C" w14:textId="231F9039" w:rsidR="00BB78A0" w:rsidRDefault="00BB78A0" w:rsidP="00BB78A0">
      <w:pPr>
        <w:pStyle w:val="CETBodytext"/>
      </w:pPr>
      <w:r>
        <w:tab/>
        <w:t xml:space="preserve">The results presented in Figure </w:t>
      </w:r>
      <w:r w:rsidR="0004119B">
        <w:t>3 (E-H)</w:t>
      </w:r>
      <w:r>
        <w:t xml:space="preserve"> show the variation in furfural productivity in cycles 1 and 2 and at the two temperatures studied.</w:t>
      </w:r>
      <w:r w:rsidR="00482DA0">
        <w:t xml:space="preserve"> The ANOVA results for furfural are shown in Table 3.</w:t>
      </w:r>
    </w:p>
    <w:p w14:paraId="1A45D71E" w14:textId="5B0EA1B1" w:rsidR="00813DB0" w:rsidRDefault="00BB78A0" w:rsidP="00BB78A0">
      <w:pPr>
        <w:pStyle w:val="CETBodytext"/>
      </w:pPr>
      <w:r>
        <w:t xml:space="preserve">It can be observed that for catalysis at a temperature of 110 °C, from the first to the second cycle, there was a low furfural production for all pretreatments, as observed in Figure </w:t>
      </w:r>
      <w:r w:rsidR="0004119B">
        <w:t>3 (E-H)</w:t>
      </w:r>
      <w:r>
        <w:t xml:space="preserve">. This result was expected because, at this temperature, the reaction of dehydration from xylose to furfural is not thermodynamically favorable. When checking the ANOVA, it is observed that there was significant variation between cycles for pretreatment D. </w:t>
      </w:r>
      <w:r>
        <w:lastRenderedPageBreak/>
        <w:t>Despite this significant variation, it is noted that the values are low; therefore, this ANOVA result should be disregarded.</w:t>
      </w:r>
    </w:p>
    <w:p w14:paraId="4A13A4A5" w14:textId="65EFACCA" w:rsidR="00AE5243" w:rsidRPr="00AE5243" w:rsidRDefault="00AE5243" w:rsidP="00AE5243">
      <w:pPr>
        <w:pStyle w:val="CETBodytext"/>
        <w:rPr>
          <w:lang w:val="en-GB"/>
        </w:rPr>
      </w:pPr>
      <w:r w:rsidRPr="00AE5243">
        <w:rPr>
          <w:lang w:val="en-GB"/>
        </w:rPr>
        <w:t xml:space="preserve">In contrast, for catalysis at a temperature of 150 °C, ANOVA noted no significant difference between cycles at a significance level of 0.01 for all </w:t>
      </w:r>
      <w:r w:rsidR="00177B50">
        <w:rPr>
          <w:lang w:val="en-GB"/>
        </w:rPr>
        <w:t>pretreatment</w:t>
      </w:r>
      <w:r w:rsidRPr="00AE5243">
        <w:rPr>
          <w:lang w:val="en-GB"/>
        </w:rPr>
        <w:t xml:space="preserve">s. Therefore, the active catalyst sites were not significantly affected by these </w:t>
      </w:r>
      <w:r w:rsidR="00177B50">
        <w:rPr>
          <w:lang w:val="en-GB"/>
        </w:rPr>
        <w:t>pretreatment</w:t>
      </w:r>
      <w:r w:rsidRPr="00AE5243">
        <w:rPr>
          <w:lang w:val="en-GB"/>
        </w:rPr>
        <w:t>s. The results for a temperature of 150 °C for all pretreatments are promising</w:t>
      </w:r>
      <w:r w:rsidR="001F17F5">
        <w:rPr>
          <w:lang w:val="en-GB"/>
        </w:rPr>
        <w:t xml:space="preserve"> and</w:t>
      </w:r>
      <w:r w:rsidRPr="00AE5243">
        <w:rPr>
          <w:lang w:val="en-GB"/>
        </w:rPr>
        <w:t xml:space="preserve"> indicate a possibility of catalyst recovery in direct catalysis with raw </w:t>
      </w:r>
      <w:r w:rsidR="00876701">
        <w:rPr>
          <w:lang w:val="en-GB"/>
        </w:rPr>
        <w:t>SCB</w:t>
      </w:r>
      <w:r w:rsidRPr="00AE5243">
        <w:rPr>
          <w:lang w:val="en-GB"/>
        </w:rPr>
        <w:t>.</w:t>
      </w:r>
    </w:p>
    <w:p w14:paraId="017EF6C5" w14:textId="3426D5F8" w:rsidR="003E5B4F" w:rsidRDefault="00AE5243" w:rsidP="003E5B4F">
      <w:pPr>
        <w:pStyle w:val="CETBodytext"/>
        <w:rPr>
          <w:lang w:val="en-GB"/>
        </w:rPr>
      </w:pPr>
      <w:r w:rsidRPr="00AE5243">
        <w:rPr>
          <w:lang w:val="en-GB"/>
        </w:rPr>
        <w:t xml:space="preserve">From an economic and environmental point of view, </w:t>
      </w:r>
      <w:r w:rsidR="00177B50">
        <w:rPr>
          <w:lang w:val="en-GB"/>
        </w:rPr>
        <w:t>pretreatment</w:t>
      </w:r>
      <w:r w:rsidRPr="00AE5243">
        <w:rPr>
          <w:lang w:val="en-GB"/>
        </w:rPr>
        <w:t xml:space="preserve"> </w:t>
      </w:r>
      <w:r w:rsidR="00876701">
        <w:rPr>
          <w:lang w:val="en-GB"/>
        </w:rPr>
        <w:t>E</w:t>
      </w:r>
      <w:r w:rsidRPr="00AE5243">
        <w:rPr>
          <w:lang w:val="en-GB"/>
        </w:rPr>
        <w:t xml:space="preserve"> is the most viable since </w:t>
      </w:r>
      <w:r w:rsidR="00876701">
        <w:rPr>
          <w:lang w:val="en-GB"/>
        </w:rPr>
        <w:t>F</w:t>
      </w:r>
      <w:r w:rsidRPr="00AE5243">
        <w:rPr>
          <w:lang w:val="en-GB"/>
        </w:rPr>
        <w:t xml:space="preserve"> and </w:t>
      </w:r>
      <w:r w:rsidR="00876701">
        <w:rPr>
          <w:lang w:val="en-GB"/>
        </w:rPr>
        <w:t>G</w:t>
      </w:r>
      <w:r w:rsidRPr="00AE5243">
        <w:rPr>
          <w:lang w:val="en-GB"/>
        </w:rPr>
        <w:t xml:space="preserve"> use a more costly and toxic solvent, and </w:t>
      </w:r>
      <w:r w:rsidR="00876701">
        <w:rPr>
          <w:lang w:val="en-GB"/>
        </w:rPr>
        <w:t>H</w:t>
      </w:r>
      <w:r w:rsidRPr="00AE5243">
        <w:rPr>
          <w:lang w:val="en-GB"/>
        </w:rPr>
        <w:t xml:space="preserve"> uses calcination, which consumes electricity.</w:t>
      </w:r>
    </w:p>
    <w:p w14:paraId="7ECD8E0C" w14:textId="6F612F74" w:rsidR="003E5B4F" w:rsidRPr="00B57B36" w:rsidRDefault="003E5B4F" w:rsidP="003E5B4F">
      <w:pPr>
        <w:pStyle w:val="CETTabletitle"/>
      </w:pPr>
      <w:r w:rsidRPr="00B57B36">
        <w:t xml:space="preserve">Table </w:t>
      </w:r>
      <w:r>
        <w:t>3</w:t>
      </w:r>
      <w:r w:rsidRPr="00B57B36">
        <w:t xml:space="preserve">: </w:t>
      </w:r>
      <w:r w:rsidRPr="00813DB0">
        <w:t xml:space="preserve">Analysis of variance of cycles for </w:t>
      </w:r>
      <w:r>
        <w:t>furfural</w:t>
      </w:r>
      <w:r w:rsidRPr="00813DB0">
        <w:t xml:space="preserve"> release in the different </w:t>
      </w:r>
      <w:r w:rsidR="00177B50">
        <w:t>pretreatment</w:t>
      </w:r>
      <w:r w:rsidRPr="00813DB0">
        <w:t>s</w:t>
      </w:r>
    </w:p>
    <w:tbl>
      <w:tblPr>
        <w:tblW w:w="5082" w:type="pct"/>
        <w:shd w:val="clear" w:color="auto" w:fill="FFFFFF"/>
        <w:tblCellMar>
          <w:left w:w="0" w:type="dxa"/>
          <w:right w:w="0" w:type="dxa"/>
        </w:tblCellMar>
        <w:tblLook w:val="00A0" w:firstRow="1" w:lastRow="0" w:firstColumn="1" w:lastColumn="0" w:noHBand="0" w:noVBand="0"/>
      </w:tblPr>
      <w:tblGrid>
        <w:gridCol w:w="2000"/>
        <w:gridCol w:w="539"/>
        <w:gridCol w:w="293"/>
        <w:gridCol w:w="539"/>
        <w:gridCol w:w="416"/>
        <w:gridCol w:w="521"/>
        <w:gridCol w:w="409"/>
        <w:gridCol w:w="2001"/>
        <w:gridCol w:w="429"/>
        <w:gridCol w:w="292"/>
        <w:gridCol w:w="429"/>
        <w:gridCol w:w="417"/>
        <w:gridCol w:w="646"/>
      </w:tblGrid>
      <w:tr w:rsidR="003E5B4F" w:rsidRPr="00BE430E" w14:paraId="21A0C950" w14:textId="77777777" w:rsidTr="00A66FBD">
        <w:tc>
          <w:tcPr>
            <w:tcW w:w="1121" w:type="pct"/>
            <w:tcBorders>
              <w:bottom w:val="single" w:sz="12" w:space="0" w:color="008000"/>
            </w:tcBorders>
            <w:shd w:val="clear" w:color="auto" w:fill="FFFFFF"/>
            <w:vAlign w:val="center"/>
          </w:tcPr>
          <w:p w14:paraId="2ECF6231"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Furfural – A110</w:t>
            </w:r>
          </w:p>
        </w:tc>
        <w:tc>
          <w:tcPr>
            <w:tcW w:w="303" w:type="pct"/>
            <w:tcBorders>
              <w:bottom w:val="single" w:sz="12" w:space="0" w:color="008000"/>
            </w:tcBorders>
            <w:shd w:val="clear" w:color="auto" w:fill="FFFFFF"/>
            <w:vAlign w:val="center"/>
          </w:tcPr>
          <w:p w14:paraId="64F6AC2B" w14:textId="77777777" w:rsidR="003E5B4F" w:rsidRPr="00BE430E" w:rsidRDefault="003E5B4F" w:rsidP="00A66FBD">
            <w:pPr>
              <w:pStyle w:val="CETBodytext"/>
              <w:jc w:val="center"/>
              <w:rPr>
                <w:rFonts w:cs="Arial"/>
                <w:sz w:val="14"/>
                <w:szCs w:val="14"/>
                <w:lang w:val="en-GB"/>
              </w:rPr>
            </w:pPr>
          </w:p>
        </w:tc>
        <w:tc>
          <w:tcPr>
            <w:tcW w:w="165" w:type="pct"/>
            <w:tcBorders>
              <w:bottom w:val="single" w:sz="12" w:space="0" w:color="008000"/>
            </w:tcBorders>
            <w:shd w:val="clear" w:color="auto" w:fill="FFFFFF"/>
            <w:vAlign w:val="center"/>
          </w:tcPr>
          <w:p w14:paraId="6637DA91" w14:textId="77777777" w:rsidR="003E5B4F" w:rsidRPr="00BE430E" w:rsidRDefault="003E5B4F" w:rsidP="00A66FBD">
            <w:pPr>
              <w:pStyle w:val="CETBodytext"/>
              <w:jc w:val="center"/>
              <w:rPr>
                <w:rFonts w:cs="Arial"/>
                <w:sz w:val="14"/>
                <w:szCs w:val="14"/>
                <w:lang w:val="en-GB"/>
              </w:rPr>
            </w:pPr>
          </w:p>
        </w:tc>
        <w:tc>
          <w:tcPr>
            <w:tcW w:w="303" w:type="pct"/>
            <w:tcBorders>
              <w:bottom w:val="single" w:sz="12" w:space="0" w:color="008000"/>
            </w:tcBorders>
            <w:shd w:val="clear" w:color="auto" w:fill="FFFFFF"/>
            <w:vAlign w:val="center"/>
          </w:tcPr>
          <w:p w14:paraId="07C8CA91" w14:textId="77777777" w:rsidR="003E5B4F" w:rsidRPr="00BE430E" w:rsidRDefault="003E5B4F" w:rsidP="00A66FBD">
            <w:pPr>
              <w:pStyle w:val="CETBodytext"/>
              <w:jc w:val="center"/>
              <w:rPr>
                <w:rFonts w:cs="Arial"/>
                <w:sz w:val="14"/>
                <w:szCs w:val="14"/>
                <w:lang w:val="en-GB"/>
              </w:rPr>
            </w:pPr>
          </w:p>
        </w:tc>
        <w:tc>
          <w:tcPr>
            <w:tcW w:w="234" w:type="pct"/>
            <w:tcBorders>
              <w:bottom w:val="single" w:sz="12" w:space="0" w:color="008000"/>
            </w:tcBorders>
            <w:shd w:val="clear" w:color="auto" w:fill="FFFFFF"/>
            <w:vAlign w:val="center"/>
          </w:tcPr>
          <w:p w14:paraId="3D0FC0A4" w14:textId="77777777" w:rsidR="003E5B4F" w:rsidRPr="00BE430E" w:rsidRDefault="003E5B4F" w:rsidP="00A66FBD">
            <w:pPr>
              <w:pStyle w:val="CETBodytext"/>
              <w:jc w:val="center"/>
              <w:rPr>
                <w:rFonts w:cs="Arial"/>
                <w:sz w:val="14"/>
                <w:szCs w:val="14"/>
                <w:lang w:val="en-GB"/>
              </w:rPr>
            </w:pPr>
          </w:p>
        </w:tc>
        <w:tc>
          <w:tcPr>
            <w:tcW w:w="293" w:type="pct"/>
            <w:tcBorders>
              <w:bottom w:val="single" w:sz="12" w:space="0" w:color="008000"/>
            </w:tcBorders>
            <w:shd w:val="clear" w:color="auto" w:fill="FFFFFF"/>
            <w:vAlign w:val="center"/>
          </w:tcPr>
          <w:p w14:paraId="205E349D" w14:textId="77777777" w:rsidR="003E5B4F" w:rsidRPr="00BE430E" w:rsidRDefault="003E5B4F" w:rsidP="00A66FBD">
            <w:pPr>
              <w:pStyle w:val="CETBodytext"/>
              <w:jc w:val="center"/>
              <w:rPr>
                <w:rFonts w:cs="Arial"/>
                <w:sz w:val="14"/>
                <w:szCs w:val="14"/>
                <w:lang w:val="en-GB"/>
              </w:rPr>
            </w:pPr>
          </w:p>
        </w:tc>
        <w:tc>
          <w:tcPr>
            <w:tcW w:w="230" w:type="pct"/>
            <w:shd w:val="clear" w:color="auto" w:fill="FFFFFF"/>
          </w:tcPr>
          <w:p w14:paraId="59152720" w14:textId="77777777" w:rsidR="003E5B4F" w:rsidRPr="00BE430E" w:rsidRDefault="003E5B4F" w:rsidP="00A66FBD">
            <w:pPr>
              <w:pStyle w:val="CETBodytext"/>
              <w:jc w:val="center"/>
              <w:rPr>
                <w:rFonts w:cs="Arial"/>
                <w:sz w:val="14"/>
                <w:szCs w:val="14"/>
                <w:lang w:val="en-GB"/>
              </w:rPr>
            </w:pPr>
          </w:p>
        </w:tc>
        <w:tc>
          <w:tcPr>
            <w:tcW w:w="1121" w:type="pct"/>
            <w:tcBorders>
              <w:bottom w:val="single" w:sz="12" w:space="0" w:color="008000"/>
            </w:tcBorders>
            <w:shd w:val="clear" w:color="auto" w:fill="FFFFFF"/>
            <w:vAlign w:val="center"/>
          </w:tcPr>
          <w:p w14:paraId="1B8AEA64"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Furfural – A150</w:t>
            </w:r>
          </w:p>
        </w:tc>
        <w:tc>
          <w:tcPr>
            <w:tcW w:w="234" w:type="pct"/>
            <w:tcBorders>
              <w:bottom w:val="single" w:sz="12" w:space="0" w:color="008000"/>
            </w:tcBorders>
            <w:shd w:val="clear" w:color="auto" w:fill="FFFFFF"/>
            <w:vAlign w:val="center"/>
          </w:tcPr>
          <w:p w14:paraId="3B4ECA28" w14:textId="77777777" w:rsidR="003E5B4F" w:rsidRPr="00BE430E" w:rsidRDefault="003E5B4F" w:rsidP="00A66FBD">
            <w:pPr>
              <w:pStyle w:val="CETBodytext"/>
              <w:jc w:val="center"/>
              <w:rPr>
                <w:rFonts w:cs="Arial"/>
                <w:sz w:val="14"/>
                <w:szCs w:val="14"/>
                <w:lang w:val="en-GB"/>
              </w:rPr>
            </w:pPr>
          </w:p>
        </w:tc>
        <w:tc>
          <w:tcPr>
            <w:tcW w:w="164" w:type="pct"/>
            <w:tcBorders>
              <w:bottom w:val="single" w:sz="12" w:space="0" w:color="008000"/>
            </w:tcBorders>
            <w:shd w:val="clear" w:color="auto" w:fill="FFFFFF"/>
            <w:vAlign w:val="center"/>
          </w:tcPr>
          <w:p w14:paraId="58AE337A" w14:textId="77777777" w:rsidR="003E5B4F" w:rsidRPr="00BE430E" w:rsidRDefault="003E5B4F" w:rsidP="00A66FBD">
            <w:pPr>
              <w:pStyle w:val="CETBodytext"/>
              <w:jc w:val="center"/>
              <w:rPr>
                <w:rFonts w:cs="Arial"/>
                <w:sz w:val="14"/>
                <w:szCs w:val="14"/>
                <w:lang w:val="en-GB"/>
              </w:rPr>
            </w:pPr>
          </w:p>
        </w:tc>
        <w:tc>
          <w:tcPr>
            <w:tcW w:w="234" w:type="pct"/>
            <w:tcBorders>
              <w:bottom w:val="single" w:sz="12" w:space="0" w:color="008000"/>
            </w:tcBorders>
            <w:shd w:val="clear" w:color="auto" w:fill="FFFFFF"/>
            <w:vAlign w:val="center"/>
          </w:tcPr>
          <w:p w14:paraId="2DF9AC15" w14:textId="77777777" w:rsidR="003E5B4F" w:rsidRPr="00BE430E" w:rsidRDefault="003E5B4F" w:rsidP="00A66FBD">
            <w:pPr>
              <w:pStyle w:val="CETBodytext"/>
              <w:jc w:val="center"/>
              <w:rPr>
                <w:rFonts w:cs="Arial"/>
                <w:sz w:val="14"/>
                <w:szCs w:val="14"/>
                <w:lang w:val="en-GB"/>
              </w:rPr>
            </w:pPr>
          </w:p>
        </w:tc>
        <w:tc>
          <w:tcPr>
            <w:tcW w:w="234" w:type="pct"/>
            <w:tcBorders>
              <w:bottom w:val="single" w:sz="12" w:space="0" w:color="008000"/>
            </w:tcBorders>
            <w:shd w:val="clear" w:color="auto" w:fill="FFFFFF"/>
            <w:vAlign w:val="center"/>
          </w:tcPr>
          <w:p w14:paraId="5E4B7685" w14:textId="77777777" w:rsidR="003E5B4F" w:rsidRPr="00BE430E" w:rsidRDefault="003E5B4F" w:rsidP="00A66FBD">
            <w:pPr>
              <w:pStyle w:val="CETBodytext"/>
              <w:jc w:val="center"/>
              <w:rPr>
                <w:rFonts w:cs="Arial"/>
                <w:sz w:val="14"/>
                <w:szCs w:val="14"/>
                <w:lang w:val="en-GB"/>
              </w:rPr>
            </w:pPr>
          </w:p>
        </w:tc>
        <w:tc>
          <w:tcPr>
            <w:tcW w:w="362" w:type="pct"/>
            <w:tcBorders>
              <w:bottom w:val="single" w:sz="12" w:space="0" w:color="008000"/>
            </w:tcBorders>
            <w:shd w:val="clear" w:color="auto" w:fill="FFFFFF"/>
            <w:vAlign w:val="center"/>
          </w:tcPr>
          <w:p w14:paraId="100EC4CE" w14:textId="77777777" w:rsidR="003E5B4F" w:rsidRPr="00BE430E" w:rsidRDefault="003E5B4F" w:rsidP="00A66FBD">
            <w:pPr>
              <w:pStyle w:val="CETBodytext"/>
              <w:jc w:val="center"/>
              <w:rPr>
                <w:rFonts w:cs="Arial"/>
                <w:sz w:val="14"/>
                <w:szCs w:val="14"/>
                <w:lang w:val="en-GB"/>
              </w:rPr>
            </w:pPr>
          </w:p>
        </w:tc>
      </w:tr>
      <w:tr w:rsidR="003E5B4F" w:rsidRPr="00BE430E" w14:paraId="638B5CF0" w14:textId="77777777" w:rsidTr="00A66FBD">
        <w:tc>
          <w:tcPr>
            <w:tcW w:w="1121" w:type="pct"/>
            <w:tcBorders>
              <w:top w:val="single" w:sz="12" w:space="0" w:color="008000"/>
              <w:bottom w:val="single" w:sz="6" w:space="0" w:color="008000"/>
            </w:tcBorders>
            <w:shd w:val="clear" w:color="auto" w:fill="FFFFFF"/>
            <w:vAlign w:val="center"/>
          </w:tcPr>
          <w:p w14:paraId="3057B790"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Source of Variation</w:t>
            </w:r>
          </w:p>
        </w:tc>
        <w:tc>
          <w:tcPr>
            <w:tcW w:w="303" w:type="pct"/>
            <w:tcBorders>
              <w:top w:val="single" w:sz="12" w:space="0" w:color="008000"/>
              <w:bottom w:val="single" w:sz="6" w:space="0" w:color="008000"/>
            </w:tcBorders>
            <w:shd w:val="clear" w:color="auto" w:fill="FFFFFF"/>
            <w:vAlign w:val="center"/>
          </w:tcPr>
          <w:p w14:paraId="3029DD50"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QS</w:t>
            </w:r>
          </w:p>
        </w:tc>
        <w:tc>
          <w:tcPr>
            <w:tcW w:w="165" w:type="pct"/>
            <w:tcBorders>
              <w:top w:val="single" w:sz="12" w:space="0" w:color="008000"/>
              <w:bottom w:val="single" w:sz="6" w:space="0" w:color="008000"/>
            </w:tcBorders>
            <w:shd w:val="clear" w:color="auto" w:fill="FFFFFF"/>
            <w:vAlign w:val="center"/>
          </w:tcPr>
          <w:p w14:paraId="511C2346"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GL</w:t>
            </w:r>
          </w:p>
        </w:tc>
        <w:tc>
          <w:tcPr>
            <w:tcW w:w="303" w:type="pct"/>
            <w:tcBorders>
              <w:top w:val="single" w:sz="12" w:space="0" w:color="008000"/>
              <w:bottom w:val="single" w:sz="6" w:space="0" w:color="008000"/>
            </w:tcBorders>
            <w:shd w:val="clear" w:color="auto" w:fill="FFFFFF"/>
            <w:vAlign w:val="center"/>
          </w:tcPr>
          <w:p w14:paraId="3F820CC5"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MQ</w:t>
            </w:r>
          </w:p>
        </w:tc>
        <w:tc>
          <w:tcPr>
            <w:tcW w:w="234" w:type="pct"/>
            <w:tcBorders>
              <w:top w:val="single" w:sz="12" w:space="0" w:color="008000"/>
              <w:bottom w:val="single" w:sz="6" w:space="0" w:color="008000"/>
            </w:tcBorders>
            <w:shd w:val="clear" w:color="auto" w:fill="FFFFFF"/>
            <w:vAlign w:val="center"/>
          </w:tcPr>
          <w:p w14:paraId="7B30C152"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F</w:t>
            </w:r>
          </w:p>
        </w:tc>
        <w:tc>
          <w:tcPr>
            <w:tcW w:w="293" w:type="pct"/>
            <w:tcBorders>
              <w:top w:val="single" w:sz="12" w:space="0" w:color="008000"/>
              <w:bottom w:val="single" w:sz="6" w:space="0" w:color="008000"/>
            </w:tcBorders>
            <w:shd w:val="clear" w:color="auto" w:fill="FFFFFF"/>
            <w:vAlign w:val="center"/>
          </w:tcPr>
          <w:p w14:paraId="18756C3D"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Value-P</w:t>
            </w:r>
          </w:p>
        </w:tc>
        <w:tc>
          <w:tcPr>
            <w:tcW w:w="230" w:type="pct"/>
            <w:shd w:val="clear" w:color="auto" w:fill="FFFFFF"/>
          </w:tcPr>
          <w:p w14:paraId="6BC626F7" w14:textId="77777777" w:rsidR="003E5B4F" w:rsidRPr="00BE430E" w:rsidRDefault="003E5B4F" w:rsidP="00A66FBD">
            <w:pPr>
              <w:pStyle w:val="CETBodytext"/>
              <w:jc w:val="center"/>
              <w:rPr>
                <w:rFonts w:cs="Arial"/>
                <w:sz w:val="14"/>
                <w:szCs w:val="14"/>
                <w:lang w:val="en-GB"/>
              </w:rPr>
            </w:pPr>
          </w:p>
        </w:tc>
        <w:tc>
          <w:tcPr>
            <w:tcW w:w="1121" w:type="pct"/>
            <w:tcBorders>
              <w:top w:val="single" w:sz="12" w:space="0" w:color="008000"/>
              <w:bottom w:val="single" w:sz="6" w:space="0" w:color="008000"/>
            </w:tcBorders>
            <w:shd w:val="clear" w:color="auto" w:fill="FFFFFF"/>
            <w:vAlign w:val="center"/>
          </w:tcPr>
          <w:p w14:paraId="2BD1C486"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Source of Variation</w:t>
            </w:r>
          </w:p>
        </w:tc>
        <w:tc>
          <w:tcPr>
            <w:tcW w:w="234" w:type="pct"/>
            <w:tcBorders>
              <w:top w:val="single" w:sz="12" w:space="0" w:color="008000"/>
              <w:bottom w:val="single" w:sz="6" w:space="0" w:color="008000"/>
            </w:tcBorders>
            <w:shd w:val="clear" w:color="auto" w:fill="FFFFFF"/>
            <w:vAlign w:val="center"/>
          </w:tcPr>
          <w:p w14:paraId="296D06A6"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QS</w:t>
            </w:r>
          </w:p>
        </w:tc>
        <w:tc>
          <w:tcPr>
            <w:tcW w:w="164" w:type="pct"/>
            <w:tcBorders>
              <w:top w:val="single" w:sz="12" w:space="0" w:color="008000"/>
              <w:bottom w:val="single" w:sz="6" w:space="0" w:color="008000"/>
            </w:tcBorders>
            <w:shd w:val="clear" w:color="auto" w:fill="FFFFFF"/>
            <w:vAlign w:val="center"/>
          </w:tcPr>
          <w:p w14:paraId="56A4CA19"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GL</w:t>
            </w:r>
          </w:p>
        </w:tc>
        <w:tc>
          <w:tcPr>
            <w:tcW w:w="234" w:type="pct"/>
            <w:tcBorders>
              <w:top w:val="single" w:sz="12" w:space="0" w:color="008000"/>
              <w:bottom w:val="single" w:sz="6" w:space="0" w:color="008000"/>
            </w:tcBorders>
            <w:shd w:val="clear" w:color="auto" w:fill="FFFFFF"/>
            <w:vAlign w:val="center"/>
          </w:tcPr>
          <w:p w14:paraId="0AE9F8FA"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MQ</w:t>
            </w:r>
          </w:p>
        </w:tc>
        <w:tc>
          <w:tcPr>
            <w:tcW w:w="234" w:type="pct"/>
            <w:tcBorders>
              <w:top w:val="single" w:sz="12" w:space="0" w:color="008000"/>
              <w:bottom w:val="single" w:sz="6" w:space="0" w:color="008000"/>
            </w:tcBorders>
            <w:shd w:val="clear" w:color="auto" w:fill="FFFFFF"/>
            <w:vAlign w:val="center"/>
          </w:tcPr>
          <w:p w14:paraId="4D0144C5"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F</w:t>
            </w:r>
          </w:p>
        </w:tc>
        <w:tc>
          <w:tcPr>
            <w:tcW w:w="362" w:type="pct"/>
            <w:tcBorders>
              <w:top w:val="single" w:sz="12" w:space="0" w:color="008000"/>
              <w:bottom w:val="single" w:sz="6" w:space="0" w:color="008000"/>
            </w:tcBorders>
            <w:shd w:val="clear" w:color="auto" w:fill="FFFFFF"/>
            <w:vAlign w:val="center"/>
          </w:tcPr>
          <w:p w14:paraId="44B80B03"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Value-P</w:t>
            </w:r>
          </w:p>
        </w:tc>
      </w:tr>
      <w:tr w:rsidR="003E5B4F" w:rsidRPr="00BE430E" w14:paraId="32D44F61" w14:textId="77777777" w:rsidTr="00A66FBD">
        <w:trPr>
          <w:trHeight w:val="194"/>
        </w:trPr>
        <w:tc>
          <w:tcPr>
            <w:tcW w:w="1121" w:type="pct"/>
            <w:tcBorders>
              <w:top w:val="single" w:sz="6" w:space="0" w:color="008000"/>
            </w:tcBorders>
            <w:shd w:val="clear" w:color="auto" w:fill="FFFFFF"/>
            <w:vAlign w:val="center"/>
          </w:tcPr>
          <w:p w14:paraId="74793DC6"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Between groups</w:t>
            </w:r>
          </w:p>
        </w:tc>
        <w:tc>
          <w:tcPr>
            <w:tcW w:w="303" w:type="pct"/>
            <w:tcBorders>
              <w:top w:val="single" w:sz="6" w:space="0" w:color="008000"/>
            </w:tcBorders>
            <w:shd w:val="clear" w:color="auto" w:fill="FFFFFF"/>
            <w:vAlign w:val="center"/>
          </w:tcPr>
          <w:p w14:paraId="6A43C5EB"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0.853</w:t>
            </w:r>
          </w:p>
        </w:tc>
        <w:tc>
          <w:tcPr>
            <w:tcW w:w="165" w:type="pct"/>
            <w:tcBorders>
              <w:top w:val="single" w:sz="6" w:space="0" w:color="008000"/>
            </w:tcBorders>
            <w:shd w:val="clear" w:color="auto" w:fill="FFFFFF"/>
            <w:vAlign w:val="center"/>
          </w:tcPr>
          <w:p w14:paraId="450CC547"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1</w:t>
            </w:r>
          </w:p>
        </w:tc>
        <w:tc>
          <w:tcPr>
            <w:tcW w:w="303" w:type="pct"/>
            <w:tcBorders>
              <w:top w:val="single" w:sz="6" w:space="0" w:color="008000"/>
            </w:tcBorders>
            <w:shd w:val="clear" w:color="auto" w:fill="FFFFFF"/>
            <w:vAlign w:val="center"/>
          </w:tcPr>
          <w:p w14:paraId="15F906C4"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0.853</w:t>
            </w:r>
          </w:p>
        </w:tc>
        <w:tc>
          <w:tcPr>
            <w:tcW w:w="234" w:type="pct"/>
            <w:tcBorders>
              <w:top w:val="single" w:sz="6" w:space="0" w:color="008000"/>
            </w:tcBorders>
            <w:shd w:val="clear" w:color="auto" w:fill="FFFFFF"/>
            <w:vAlign w:val="center"/>
          </w:tcPr>
          <w:p w14:paraId="0D855C1B"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9.35</w:t>
            </w:r>
          </w:p>
        </w:tc>
        <w:tc>
          <w:tcPr>
            <w:tcW w:w="293" w:type="pct"/>
            <w:tcBorders>
              <w:top w:val="single" w:sz="6" w:space="0" w:color="008000"/>
            </w:tcBorders>
            <w:shd w:val="clear" w:color="auto" w:fill="FFFFFF"/>
            <w:vAlign w:val="center"/>
          </w:tcPr>
          <w:p w14:paraId="502B358D"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0.022</w:t>
            </w:r>
          </w:p>
        </w:tc>
        <w:tc>
          <w:tcPr>
            <w:tcW w:w="230" w:type="pct"/>
            <w:shd w:val="clear" w:color="auto" w:fill="FFFFFF"/>
          </w:tcPr>
          <w:p w14:paraId="24B22F7A" w14:textId="77777777" w:rsidR="003E5B4F" w:rsidRPr="00BE430E" w:rsidRDefault="003E5B4F" w:rsidP="00A66FBD">
            <w:pPr>
              <w:pStyle w:val="CETBodytext"/>
              <w:jc w:val="center"/>
              <w:rPr>
                <w:rFonts w:cs="Arial"/>
                <w:color w:val="FF0000"/>
                <w:sz w:val="14"/>
                <w:szCs w:val="14"/>
                <w:lang w:val="en-GB"/>
              </w:rPr>
            </w:pPr>
          </w:p>
        </w:tc>
        <w:tc>
          <w:tcPr>
            <w:tcW w:w="1121" w:type="pct"/>
            <w:tcBorders>
              <w:top w:val="single" w:sz="6" w:space="0" w:color="008000"/>
            </w:tcBorders>
            <w:shd w:val="clear" w:color="auto" w:fill="FFFFFF"/>
            <w:vAlign w:val="center"/>
          </w:tcPr>
          <w:p w14:paraId="62D41936" w14:textId="77777777" w:rsidR="003E5B4F" w:rsidRPr="00BE430E" w:rsidRDefault="003E5B4F" w:rsidP="00A66FBD">
            <w:pPr>
              <w:pStyle w:val="CETBodytext"/>
              <w:jc w:val="left"/>
              <w:rPr>
                <w:rFonts w:cs="Arial"/>
                <w:color w:val="FF0000"/>
                <w:sz w:val="14"/>
                <w:szCs w:val="14"/>
                <w:lang w:val="en-GB"/>
              </w:rPr>
            </w:pPr>
            <w:r w:rsidRPr="00BE430E">
              <w:rPr>
                <w:rFonts w:cs="Arial"/>
                <w:sz w:val="14"/>
                <w:szCs w:val="14"/>
                <w:lang w:val="en-GB"/>
              </w:rPr>
              <w:t>Between groups</w:t>
            </w:r>
          </w:p>
        </w:tc>
        <w:tc>
          <w:tcPr>
            <w:tcW w:w="234" w:type="pct"/>
            <w:tcBorders>
              <w:top w:val="single" w:sz="6" w:space="0" w:color="008000"/>
            </w:tcBorders>
            <w:shd w:val="clear" w:color="auto" w:fill="FFFFFF"/>
            <w:vAlign w:val="center"/>
          </w:tcPr>
          <w:p w14:paraId="7DD807CD"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1.74</w:t>
            </w:r>
          </w:p>
        </w:tc>
        <w:tc>
          <w:tcPr>
            <w:tcW w:w="164" w:type="pct"/>
            <w:tcBorders>
              <w:top w:val="single" w:sz="6" w:space="0" w:color="008000"/>
            </w:tcBorders>
            <w:shd w:val="clear" w:color="auto" w:fill="FFFFFF"/>
            <w:vAlign w:val="center"/>
          </w:tcPr>
          <w:p w14:paraId="63B045D9"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1</w:t>
            </w:r>
          </w:p>
        </w:tc>
        <w:tc>
          <w:tcPr>
            <w:tcW w:w="234" w:type="pct"/>
            <w:tcBorders>
              <w:top w:val="single" w:sz="6" w:space="0" w:color="008000"/>
            </w:tcBorders>
            <w:shd w:val="clear" w:color="auto" w:fill="FFFFFF"/>
            <w:vAlign w:val="center"/>
          </w:tcPr>
          <w:p w14:paraId="7C7471C4"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1.74</w:t>
            </w:r>
          </w:p>
        </w:tc>
        <w:tc>
          <w:tcPr>
            <w:tcW w:w="234" w:type="pct"/>
            <w:tcBorders>
              <w:top w:val="single" w:sz="6" w:space="0" w:color="008000"/>
            </w:tcBorders>
            <w:shd w:val="clear" w:color="auto" w:fill="FFFFFF"/>
            <w:vAlign w:val="center"/>
          </w:tcPr>
          <w:p w14:paraId="1A3D678A"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0.19</w:t>
            </w:r>
          </w:p>
        </w:tc>
        <w:tc>
          <w:tcPr>
            <w:tcW w:w="362" w:type="pct"/>
            <w:tcBorders>
              <w:top w:val="single" w:sz="6" w:space="0" w:color="008000"/>
            </w:tcBorders>
            <w:shd w:val="clear" w:color="auto" w:fill="FFFFFF"/>
            <w:vAlign w:val="center"/>
          </w:tcPr>
          <w:p w14:paraId="40B9CC02"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0.681</w:t>
            </w:r>
          </w:p>
        </w:tc>
      </w:tr>
      <w:tr w:rsidR="003E5B4F" w:rsidRPr="00BE430E" w14:paraId="7AAD0656" w14:textId="77777777" w:rsidTr="00A66FBD">
        <w:tc>
          <w:tcPr>
            <w:tcW w:w="1121" w:type="pct"/>
            <w:tcBorders>
              <w:bottom w:val="single" w:sz="12" w:space="0" w:color="008000"/>
            </w:tcBorders>
            <w:shd w:val="clear" w:color="auto" w:fill="FFFFFF"/>
            <w:vAlign w:val="center"/>
          </w:tcPr>
          <w:p w14:paraId="15F6103C"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In groups (error)</w:t>
            </w:r>
          </w:p>
        </w:tc>
        <w:tc>
          <w:tcPr>
            <w:tcW w:w="303" w:type="pct"/>
            <w:tcBorders>
              <w:bottom w:val="single" w:sz="12" w:space="0" w:color="008000"/>
            </w:tcBorders>
            <w:shd w:val="clear" w:color="auto" w:fill="FFFFFF"/>
            <w:vAlign w:val="center"/>
          </w:tcPr>
          <w:p w14:paraId="1BD99907"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0.547</w:t>
            </w:r>
          </w:p>
        </w:tc>
        <w:tc>
          <w:tcPr>
            <w:tcW w:w="165" w:type="pct"/>
            <w:tcBorders>
              <w:bottom w:val="single" w:sz="12" w:space="0" w:color="008000"/>
            </w:tcBorders>
            <w:shd w:val="clear" w:color="auto" w:fill="FFFFFF"/>
            <w:vAlign w:val="center"/>
          </w:tcPr>
          <w:p w14:paraId="05D0631C"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6</w:t>
            </w:r>
          </w:p>
        </w:tc>
        <w:tc>
          <w:tcPr>
            <w:tcW w:w="303" w:type="pct"/>
            <w:tcBorders>
              <w:bottom w:val="single" w:sz="12" w:space="0" w:color="008000"/>
            </w:tcBorders>
            <w:shd w:val="clear" w:color="auto" w:fill="FFFFFF"/>
            <w:vAlign w:val="center"/>
          </w:tcPr>
          <w:p w14:paraId="2676DA2D"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0.091</w:t>
            </w:r>
          </w:p>
        </w:tc>
        <w:tc>
          <w:tcPr>
            <w:tcW w:w="234" w:type="pct"/>
            <w:tcBorders>
              <w:bottom w:val="single" w:sz="12" w:space="0" w:color="008000"/>
            </w:tcBorders>
            <w:shd w:val="clear" w:color="auto" w:fill="FFFFFF"/>
            <w:vAlign w:val="center"/>
          </w:tcPr>
          <w:p w14:paraId="389CC23F" w14:textId="77777777" w:rsidR="003E5B4F" w:rsidRPr="00BE430E" w:rsidRDefault="003E5B4F" w:rsidP="00A66FBD">
            <w:pPr>
              <w:pStyle w:val="CETBodytext"/>
              <w:jc w:val="center"/>
              <w:rPr>
                <w:rFonts w:cs="Arial"/>
                <w:sz w:val="14"/>
                <w:szCs w:val="14"/>
                <w:lang w:val="en-GB"/>
              </w:rPr>
            </w:pPr>
          </w:p>
        </w:tc>
        <w:tc>
          <w:tcPr>
            <w:tcW w:w="293" w:type="pct"/>
            <w:tcBorders>
              <w:bottom w:val="single" w:sz="12" w:space="0" w:color="008000"/>
            </w:tcBorders>
            <w:shd w:val="clear" w:color="auto" w:fill="FFFFFF"/>
            <w:vAlign w:val="center"/>
          </w:tcPr>
          <w:p w14:paraId="70D4B2D1" w14:textId="77777777" w:rsidR="003E5B4F" w:rsidRPr="00BE430E" w:rsidRDefault="003E5B4F" w:rsidP="00A66FBD">
            <w:pPr>
              <w:pStyle w:val="CETBodytext"/>
              <w:jc w:val="center"/>
              <w:rPr>
                <w:rFonts w:cs="Arial"/>
                <w:sz w:val="14"/>
                <w:szCs w:val="14"/>
                <w:lang w:val="en-GB"/>
              </w:rPr>
            </w:pPr>
          </w:p>
        </w:tc>
        <w:tc>
          <w:tcPr>
            <w:tcW w:w="230" w:type="pct"/>
            <w:shd w:val="clear" w:color="auto" w:fill="FFFFFF"/>
          </w:tcPr>
          <w:p w14:paraId="2ADCE427" w14:textId="77777777" w:rsidR="003E5B4F" w:rsidRPr="00BE430E" w:rsidRDefault="003E5B4F" w:rsidP="00A66FBD">
            <w:pPr>
              <w:pStyle w:val="CETBodytext"/>
              <w:jc w:val="center"/>
              <w:rPr>
                <w:rFonts w:cs="Arial"/>
                <w:sz w:val="14"/>
                <w:szCs w:val="14"/>
                <w:lang w:val="en-GB"/>
              </w:rPr>
            </w:pPr>
          </w:p>
        </w:tc>
        <w:tc>
          <w:tcPr>
            <w:tcW w:w="1121" w:type="pct"/>
            <w:tcBorders>
              <w:bottom w:val="single" w:sz="12" w:space="0" w:color="008000"/>
            </w:tcBorders>
            <w:shd w:val="clear" w:color="auto" w:fill="FFFFFF"/>
            <w:vAlign w:val="center"/>
          </w:tcPr>
          <w:p w14:paraId="7729791E"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In groups (error)</w:t>
            </w:r>
          </w:p>
        </w:tc>
        <w:tc>
          <w:tcPr>
            <w:tcW w:w="234" w:type="pct"/>
            <w:tcBorders>
              <w:bottom w:val="single" w:sz="12" w:space="0" w:color="008000"/>
            </w:tcBorders>
            <w:shd w:val="clear" w:color="auto" w:fill="FFFFFF"/>
            <w:vAlign w:val="center"/>
          </w:tcPr>
          <w:p w14:paraId="0D1862A5"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56.25</w:t>
            </w:r>
          </w:p>
        </w:tc>
        <w:tc>
          <w:tcPr>
            <w:tcW w:w="164" w:type="pct"/>
            <w:tcBorders>
              <w:bottom w:val="single" w:sz="12" w:space="0" w:color="008000"/>
            </w:tcBorders>
            <w:shd w:val="clear" w:color="auto" w:fill="FFFFFF"/>
            <w:vAlign w:val="center"/>
          </w:tcPr>
          <w:p w14:paraId="7B8D1966"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6</w:t>
            </w:r>
          </w:p>
        </w:tc>
        <w:tc>
          <w:tcPr>
            <w:tcW w:w="234" w:type="pct"/>
            <w:tcBorders>
              <w:bottom w:val="single" w:sz="12" w:space="0" w:color="008000"/>
            </w:tcBorders>
            <w:shd w:val="clear" w:color="auto" w:fill="FFFFFF"/>
            <w:vAlign w:val="center"/>
          </w:tcPr>
          <w:p w14:paraId="6F144681"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9.37</w:t>
            </w:r>
          </w:p>
        </w:tc>
        <w:tc>
          <w:tcPr>
            <w:tcW w:w="234" w:type="pct"/>
            <w:tcBorders>
              <w:bottom w:val="single" w:sz="12" w:space="0" w:color="008000"/>
            </w:tcBorders>
            <w:shd w:val="clear" w:color="auto" w:fill="FFFFFF"/>
            <w:vAlign w:val="center"/>
          </w:tcPr>
          <w:p w14:paraId="77E1A4CB" w14:textId="77777777" w:rsidR="003E5B4F" w:rsidRPr="00BE430E" w:rsidRDefault="003E5B4F" w:rsidP="00A66FBD">
            <w:pPr>
              <w:pStyle w:val="CETBodytext"/>
              <w:jc w:val="center"/>
              <w:rPr>
                <w:rFonts w:cs="Arial"/>
                <w:sz w:val="14"/>
                <w:szCs w:val="14"/>
                <w:lang w:val="en-GB"/>
              </w:rPr>
            </w:pPr>
          </w:p>
        </w:tc>
        <w:tc>
          <w:tcPr>
            <w:tcW w:w="362" w:type="pct"/>
            <w:tcBorders>
              <w:bottom w:val="single" w:sz="12" w:space="0" w:color="008000"/>
            </w:tcBorders>
            <w:shd w:val="clear" w:color="auto" w:fill="FFFFFF"/>
            <w:vAlign w:val="center"/>
          </w:tcPr>
          <w:p w14:paraId="267BE92C" w14:textId="77777777" w:rsidR="003E5B4F" w:rsidRPr="00BE430E" w:rsidRDefault="003E5B4F" w:rsidP="00A66FBD">
            <w:pPr>
              <w:pStyle w:val="CETBodytext"/>
              <w:jc w:val="center"/>
              <w:rPr>
                <w:rFonts w:cs="Arial"/>
                <w:sz w:val="14"/>
                <w:szCs w:val="14"/>
                <w:lang w:val="en-GB"/>
              </w:rPr>
            </w:pPr>
          </w:p>
        </w:tc>
      </w:tr>
      <w:tr w:rsidR="003E5B4F" w:rsidRPr="00BE430E" w14:paraId="065EF762" w14:textId="77777777" w:rsidTr="00A66FBD">
        <w:tc>
          <w:tcPr>
            <w:tcW w:w="1121" w:type="pct"/>
            <w:tcBorders>
              <w:top w:val="single" w:sz="12" w:space="0" w:color="008000"/>
            </w:tcBorders>
            <w:shd w:val="clear" w:color="auto" w:fill="FFFFFF"/>
            <w:vAlign w:val="center"/>
          </w:tcPr>
          <w:p w14:paraId="5AD90AC6" w14:textId="77777777" w:rsidR="003E5B4F" w:rsidRPr="00BE430E" w:rsidRDefault="003E5B4F" w:rsidP="00A66FBD">
            <w:pPr>
              <w:pStyle w:val="CETBodytext"/>
              <w:jc w:val="left"/>
              <w:rPr>
                <w:rFonts w:cs="Arial"/>
                <w:sz w:val="14"/>
                <w:szCs w:val="14"/>
                <w:lang w:val="en-GB"/>
              </w:rPr>
            </w:pPr>
          </w:p>
        </w:tc>
        <w:tc>
          <w:tcPr>
            <w:tcW w:w="303" w:type="pct"/>
            <w:tcBorders>
              <w:top w:val="single" w:sz="12" w:space="0" w:color="008000"/>
            </w:tcBorders>
            <w:shd w:val="clear" w:color="auto" w:fill="FFFFFF"/>
            <w:vAlign w:val="center"/>
          </w:tcPr>
          <w:p w14:paraId="537F3FBF" w14:textId="77777777" w:rsidR="003E5B4F" w:rsidRPr="00BE430E" w:rsidRDefault="003E5B4F" w:rsidP="00A66FBD">
            <w:pPr>
              <w:pStyle w:val="CETBodytext"/>
              <w:jc w:val="center"/>
              <w:rPr>
                <w:rFonts w:cs="Arial"/>
                <w:sz w:val="14"/>
                <w:szCs w:val="14"/>
                <w:lang w:val="en-GB"/>
              </w:rPr>
            </w:pPr>
          </w:p>
        </w:tc>
        <w:tc>
          <w:tcPr>
            <w:tcW w:w="165" w:type="pct"/>
            <w:tcBorders>
              <w:top w:val="single" w:sz="12" w:space="0" w:color="008000"/>
            </w:tcBorders>
            <w:shd w:val="clear" w:color="auto" w:fill="FFFFFF"/>
            <w:vAlign w:val="center"/>
          </w:tcPr>
          <w:p w14:paraId="53BD58DA" w14:textId="77777777" w:rsidR="003E5B4F" w:rsidRPr="00BE430E" w:rsidRDefault="003E5B4F" w:rsidP="00A66FBD">
            <w:pPr>
              <w:pStyle w:val="CETBodytext"/>
              <w:jc w:val="center"/>
              <w:rPr>
                <w:rFonts w:cs="Arial"/>
                <w:sz w:val="14"/>
                <w:szCs w:val="14"/>
                <w:lang w:val="en-GB"/>
              </w:rPr>
            </w:pPr>
          </w:p>
        </w:tc>
        <w:tc>
          <w:tcPr>
            <w:tcW w:w="303" w:type="pct"/>
            <w:tcBorders>
              <w:top w:val="single" w:sz="12" w:space="0" w:color="008000"/>
            </w:tcBorders>
            <w:shd w:val="clear" w:color="auto" w:fill="FFFFFF"/>
            <w:vAlign w:val="center"/>
          </w:tcPr>
          <w:p w14:paraId="22069490" w14:textId="77777777" w:rsidR="003E5B4F" w:rsidRPr="00BE430E" w:rsidRDefault="003E5B4F" w:rsidP="00A66FBD">
            <w:pPr>
              <w:pStyle w:val="CETBodytext"/>
              <w:jc w:val="center"/>
              <w:rPr>
                <w:rFonts w:cs="Arial"/>
                <w:sz w:val="14"/>
                <w:szCs w:val="14"/>
                <w:lang w:val="en-GB"/>
              </w:rPr>
            </w:pPr>
          </w:p>
        </w:tc>
        <w:tc>
          <w:tcPr>
            <w:tcW w:w="234" w:type="pct"/>
            <w:tcBorders>
              <w:top w:val="single" w:sz="12" w:space="0" w:color="008000"/>
            </w:tcBorders>
            <w:shd w:val="clear" w:color="auto" w:fill="FFFFFF"/>
            <w:vAlign w:val="center"/>
          </w:tcPr>
          <w:p w14:paraId="717E2B55" w14:textId="77777777" w:rsidR="003E5B4F" w:rsidRPr="00BE430E" w:rsidRDefault="003E5B4F" w:rsidP="00A66FBD">
            <w:pPr>
              <w:pStyle w:val="CETBodytext"/>
              <w:jc w:val="center"/>
              <w:rPr>
                <w:rFonts w:cs="Arial"/>
                <w:sz w:val="14"/>
                <w:szCs w:val="14"/>
                <w:lang w:val="en-GB"/>
              </w:rPr>
            </w:pPr>
          </w:p>
        </w:tc>
        <w:tc>
          <w:tcPr>
            <w:tcW w:w="293" w:type="pct"/>
            <w:tcBorders>
              <w:top w:val="single" w:sz="12" w:space="0" w:color="008000"/>
            </w:tcBorders>
            <w:shd w:val="clear" w:color="auto" w:fill="FFFFFF"/>
            <w:vAlign w:val="center"/>
          </w:tcPr>
          <w:p w14:paraId="10513F9D" w14:textId="77777777" w:rsidR="003E5B4F" w:rsidRPr="00BE430E" w:rsidRDefault="003E5B4F" w:rsidP="00A66FBD">
            <w:pPr>
              <w:pStyle w:val="CETBodytext"/>
              <w:jc w:val="center"/>
              <w:rPr>
                <w:rFonts w:cs="Arial"/>
                <w:sz w:val="14"/>
                <w:szCs w:val="14"/>
                <w:lang w:val="en-GB"/>
              </w:rPr>
            </w:pPr>
          </w:p>
        </w:tc>
        <w:tc>
          <w:tcPr>
            <w:tcW w:w="230" w:type="pct"/>
            <w:shd w:val="clear" w:color="auto" w:fill="FFFFFF"/>
          </w:tcPr>
          <w:p w14:paraId="18021486" w14:textId="77777777" w:rsidR="003E5B4F" w:rsidRPr="00BE430E" w:rsidRDefault="003E5B4F" w:rsidP="00A66FBD">
            <w:pPr>
              <w:pStyle w:val="CETBodytext"/>
              <w:jc w:val="center"/>
              <w:rPr>
                <w:rFonts w:cs="Arial"/>
                <w:sz w:val="14"/>
                <w:szCs w:val="14"/>
                <w:lang w:val="en-GB"/>
              </w:rPr>
            </w:pPr>
          </w:p>
        </w:tc>
        <w:tc>
          <w:tcPr>
            <w:tcW w:w="1121" w:type="pct"/>
            <w:tcBorders>
              <w:top w:val="single" w:sz="12" w:space="0" w:color="008000"/>
            </w:tcBorders>
            <w:shd w:val="clear" w:color="auto" w:fill="FFFFFF"/>
            <w:vAlign w:val="center"/>
          </w:tcPr>
          <w:p w14:paraId="22DA0BC8" w14:textId="77777777" w:rsidR="003E5B4F" w:rsidRPr="00BE430E" w:rsidRDefault="003E5B4F" w:rsidP="00A66FBD">
            <w:pPr>
              <w:pStyle w:val="CETBodytext"/>
              <w:jc w:val="left"/>
              <w:rPr>
                <w:rFonts w:cs="Arial"/>
                <w:sz w:val="14"/>
                <w:szCs w:val="14"/>
                <w:lang w:val="en-GB"/>
              </w:rPr>
            </w:pPr>
          </w:p>
        </w:tc>
        <w:tc>
          <w:tcPr>
            <w:tcW w:w="234" w:type="pct"/>
            <w:tcBorders>
              <w:top w:val="single" w:sz="12" w:space="0" w:color="008000"/>
            </w:tcBorders>
            <w:shd w:val="clear" w:color="auto" w:fill="FFFFFF"/>
            <w:vAlign w:val="center"/>
          </w:tcPr>
          <w:p w14:paraId="2202CCDA" w14:textId="77777777" w:rsidR="003E5B4F" w:rsidRPr="00BE430E" w:rsidRDefault="003E5B4F" w:rsidP="00A66FBD">
            <w:pPr>
              <w:pStyle w:val="CETBodytext"/>
              <w:jc w:val="center"/>
              <w:rPr>
                <w:rFonts w:cs="Arial"/>
                <w:sz w:val="14"/>
                <w:szCs w:val="14"/>
                <w:lang w:val="en-GB"/>
              </w:rPr>
            </w:pPr>
          </w:p>
        </w:tc>
        <w:tc>
          <w:tcPr>
            <w:tcW w:w="164" w:type="pct"/>
            <w:tcBorders>
              <w:top w:val="single" w:sz="12" w:space="0" w:color="008000"/>
            </w:tcBorders>
            <w:shd w:val="clear" w:color="auto" w:fill="FFFFFF"/>
            <w:vAlign w:val="center"/>
          </w:tcPr>
          <w:p w14:paraId="60798ED3" w14:textId="77777777" w:rsidR="003E5B4F" w:rsidRPr="00BE430E" w:rsidRDefault="003E5B4F" w:rsidP="00A66FBD">
            <w:pPr>
              <w:pStyle w:val="CETBodytext"/>
              <w:jc w:val="center"/>
              <w:rPr>
                <w:rFonts w:cs="Arial"/>
                <w:sz w:val="14"/>
                <w:szCs w:val="14"/>
                <w:lang w:val="en-GB"/>
              </w:rPr>
            </w:pPr>
          </w:p>
        </w:tc>
        <w:tc>
          <w:tcPr>
            <w:tcW w:w="234" w:type="pct"/>
            <w:tcBorders>
              <w:top w:val="single" w:sz="12" w:space="0" w:color="008000"/>
            </w:tcBorders>
            <w:shd w:val="clear" w:color="auto" w:fill="FFFFFF"/>
            <w:vAlign w:val="center"/>
          </w:tcPr>
          <w:p w14:paraId="3269275E" w14:textId="77777777" w:rsidR="003E5B4F" w:rsidRPr="00BE430E" w:rsidRDefault="003E5B4F" w:rsidP="00A66FBD">
            <w:pPr>
              <w:pStyle w:val="CETBodytext"/>
              <w:jc w:val="center"/>
              <w:rPr>
                <w:rFonts w:cs="Arial"/>
                <w:sz w:val="14"/>
                <w:szCs w:val="14"/>
                <w:lang w:val="en-GB"/>
              </w:rPr>
            </w:pPr>
          </w:p>
        </w:tc>
        <w:tc>
          <w:tcPr>
            <w:tcW w:w="234" w:type="pct"/>
            <w:tcBorders>
              <w:top w:val="single" w:sz="12" w:space="0" w:color="008000"/>
            </w:tcBorders>
            <w:shd w:val="clear" w:color="auto" w:fill="FFFFFF"/>
            <w:vAlign w:val="center"/>
          </w:tcPr>
          <w:p w14:paraId="07181E83" w14:textId="77777777" w:rsidR="003E5B4F" w:rsidRPr="00BE430E" w:rsidRDefault="003E5B4F" w:rsidP="00A66FBD">
            <w:pPr>
              <w:pStyle w:val="CETBodytext"/>
              <w:jc w:val="center"/>
              <w:rPr>
                <w:rFonts w:cs="Arial"/>
                <w:sz w:val="14"/>
                <w:szCs w:val="14"/>
                <w:lang w:val="en-GB"/>
              </w:rPr>
            </w:pPr>
          </w:p>
        </w:tc>
        <w:tc>
          <w:tcPr>
            <w:tcW w:w="362" w:type="pct"/>
            <w:tcBorders>
              <w:top w:val="single" w:sz="12" w:space="0" w:color="008000"/>
            </w:tcBorders>
            <w:shd w:val="clear" w:color="auto" w:fill="FFFFFF"/>
            <w:vAlign w:val="center"/>
          </w:tcPr>
          <w:p w14:paraId="43574781" w14:textId="77777777" w:rsidR="003E5B4F" w:rsidRPr="00BE430E" w:rsidRDefault="003E5B4F" w:rsidP="00A66FBD">
            <w:pPr>
              <w:pStyle w:val="CETBodytext"/>
              <w:jc w:val="center"/>
              <w:rPr>
                <w:rFonts w:cs="Arial"/>
                <w:sz w:val="14"/>
                <w:szCs w:val="14"/>
                <w:lang w:val="en-GB"/>
              </w:rPr>
            </w:pPr>
          </w:p>
        </w:tc>
      </w:tr>
      <w:tr w:rsidR="003E5B4F" w:rsidRPr="00BE430E" w14:paraId="22B8FF7A" w14:textId="77777777" w:rsidTr="00A66FBD">
        <w:tc>
          <w:tcPr>
            <w:tcW w:w="1121" w:type="pct"/>
            <w:tcBorders>
              <w:bottom w:val="single" w:sz="12" w:space="0" w:color="008000"/>
            </w:tcBorders>
            <w:shd w:val="clear" w:color="auto" w:fill="FFFFFF"/>
            <w:vAlign w:val="center"/>
          </w:tcPr>
          <w:p w14:paraId="04452413"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Furfural – B110</w:t>
            </w:r>
          </w:p>
        </w:tc>
        <w:tc>
          <w:tcPr>
            <w:tcW w:w="303" w:type="pct"/>
            <w:tcBorders>
              <w:bottom w:val="single" w:sz="12" w:space="0" w:color="008000"/>
            </w:tcBorders>
            <w:shd w:val="clear" w:color="auto" w:fill="FFFFFF"/>
            <w:vAlign w:val="center"/>
          </w:tcPr>
          <w:p w14:paraId="6B85AC97" w14:textId="77777777" w:rsidR="003E5B4F" w:rsidRPr="00BE430E" w:rsidRDefault="003E5B4F" w:rsidP="00A66FBD">
            <w:pPr>
              <w:pStyle w:val="CETBodytext"/>
              <w:jc w:val="center"/>
              <w:rPr>
                <w:rFonts w:cs="Arial"/>
                <w:sz w:val="14"/>
                <w:szCs w:val="14"/>
                <w:lang w:val="en-GB"/>
              </w:rPr>
            </w:pPr>
          </w:p>
        </w:tc>
        <w:tc>
          <w:tcPr>
            <w:tcW w:w="165" w:type="pct"/>
            <w:tcBorders>
              <w:bottom w:val="single" w:sz="12" w:space="0" w:color="008000"/>
            </w:tcBorders>
            <w:shd w:val="clear" w:color="auto" w:fill="FFFFFF"/>
            <w:vAlign w:val="center"/>
          </w:tcPr>
          <w:p w14:paraId="023B05D6" w14:textId="77777777" w:rsidR="003E5B4F" w:rsidRPr="00BE430E" w:rsidRDefault="003E5B4F" w:rsidP="00A66FBD">
            <w:pPr>
              <w:pStyle w:val="CETBodytext"/>
              <w:jc w:val="center"/>
              <w:rPr>
                <w:rFonts w:cs="Arial"/>
                <w:sz w:val="14"/>
                <w:szCs w:val="14"/>
                <w:lang w:val="en-GB"/>
              </w:rPr>
            </w:pPr>
          </w:p>
        </w:tc>
        <w:tc>
          <w:tcPr>
            <w:tcW w:w="303" w:type="pct"/>
            <w:tcBorders>
              <w:bottom w:val="single" w:sz="12" w:space="0" w:color="008000"/>
            </w:tcBorders>
            <w:shd w:val="clear" w:color="auto" w:fill="FFFFFF"/>
            <w:vAlign w:val="center"/>
          </w:tcPr>
          <w:p w14:paraId="2D5B824A" w14:textId="77777777" w:rsidR="003E5B4F" w:rsidRPr="00BE430E" w:rsidRDefault="003E5B4F" w:rsidP="00A66FBD">
            <w:pPr>
              <w:pStyle w:val="CETBodytext"/>
              <w:jc w:val="center"/>
              <w:rPr>
                <w:rFonts w:cs="Arial"/>
                <w:sz w:val="14"/>
                <w:szCs w:val="14"/>
                <w:lang w:val="en-GB"/>
              </w:rPr>
            </w:pPr>
          </w:p>
        </w:tc>
        <w:tc>
          <w:tcPr>
            <w:tcW w:w="234" w:type="pct"/>
            <w:tcBorders>
              <w:bottom w:val="single" w:sz="12" w:space="0" w:color="008000"/>
            </w:tcBorders>
            <w:shd w:val="clear" w:color="auto" w:fill="FFFFFF"/>
            <w:vAlign w:val="center"/>
          </w:tcPr>
          <w:p w14:paraId="2AA2166C" w14:textId="77777777" w:rsidR="003E5B4F" w:rsidRPr="00BE430E" w:rsidRDefault="003E5B4F" w:rsidP="00A66FBD">
            <w:pPr>
              <w:pStyle w:val="CETBodytext"/>
              <w:jc w:val="center"/>
              <w:rPr>
                <w:rFonts w:cs="Arial"/>
                <w:sz w:val="14"/>
                <w:szCs w:val="14"/>
                <w:lang w:val="en-GB"/>
              </w:rPr>
            </w:pPr>
          </w:p>
        </w:tc>
        <w:tc>
          <w:tcPr>
            <w:tcW w:w="293" w:type="pct"/>
            <w:tcBorders>
              <w:bottom w:val="single" w:sz="12" w:space="0" w:color="008000"/>
            </w:tcBorders>
            <w:shd w:val="clear" w:color="auto" w:fill="FFFFFF"/>
            <w:vAlign w:val="center"/>
          </w:tcPr>
          <w:p w14:paraId="2742E6EE" w14:textId="77777777" w:rsidR="003E5B4F" w:rsidRPr="00BE430E" w:rsidRDefault="003E5B4F" w:rsidP="00A66FBD">
            <w:pPr>
              <w:pStyle w:val="CETBodytext"/>
              <w:jc w:val="center"/>
              <w:rPr>
                <w:rFonts w:cs="Arial"/>
                <w:sz w:val="14"/>
                <w:szCs w:val="14"/>
                <w:lang w:val="en-GB"/>
              </w:rPr>
            </w:pPr>
          </w:p>
        </w:tc>
        <w:tc>
          <w:tcPr>
            <w:tcW w:w="230" w:type="pct"/>
            <w:shd w:val="clear" w:color="auto" w:fill="FFFFFF"/>
          </w:tcPr>
          <w:p w14:paraId="4CA20D0E" w14:textId="77777777" w:rsidR="003E5B4F" w:rsidRPr="00BE430E" w:rsidRDefault="003E5B4F" w:rsidP="00A66FBD">
            <w:pPr>
              <w:pStyle w:val="CETBodytext"/>
              <w:jc w:val="center"/>
              <w:rPr>
                <w:rFonts w:cs="Arial"/>
                <w:sz w:val="14"/>
                <w:szCs w:val="14"/>
                <w:lang w:val="en-GB"/>
              </w:rPr>
            </w:pPr>
          </w:p>
        </w:tc>
        <w:tc>
          <w:tcPr>
            <w:tcW w:w="1121" w:type="pct"/>
            <w:tcBorders>
              <w:bottom w:val="single" w:sz="12" w:space="0" w:color="008000"/>
            </w:tcBorders>
            <w:shd w:val="clear" w:color="auto" w:fill="FFFFFF"/>
            <w:vAlign w:val="center"/>
          </w:tcPr>
          <w:p w14:paraId="7FDBAEB2"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Furfural – B150</w:t>
            </w:r>
          </w:p>
        </w:tc>
        <w:tc>
          <w:tcPr>
            <w:tcW w:w="234" w:type="pct"/>
            <w:tcBorders>
              <w:bottom w:val="single" w:sz="12" w:space="0" w:color="008000"/>
            </w:tcBorders>
            <w:shd w:val="clear" w:color="auto" w:fill="FFFFFF"/>
            <w:vAlign w:val="center"/>
          </w:tcPr>
          <w:p w14:paraId="29C9CFFC" w14:textId="77777777" w:rsidR="003E5B4F" w:rsidRPr="00BE430E" w:rsidRDefault="003E5B4F" w:rsidP="00A66FBD">
            <w:pPr>
              <w:pStyle w:val="CETBodytext"/>
              <w:jc w:val="center"/>
              <w:rPr>
                <w:rFonts w:cs="Arial"/>
                <w:sz w:val="14"/>
                <w:szCs w:val="14"/>
                <w:lang w:val="en-GB"/>
              </w:rPr>
            </w:pPr>
          </w:p>
        </w:tc>
        <w:tc>
          <w:tcPr>
            <w:tcW w:w="164" w:type="pct"/>
            <w:tcBorders>
              <w:bottom w:val="single" w:sz="12" w:space="0" w:color="008000"/>
            </w:tcBorders>
            <w:shd w:val="clear" w:color="auto" w:fill="FFFFFF"/>
            <w:vAlign w:val="center"/>
          </w:tcPr>
          <w:p w14:paraId="3E3CD0FC" w14:textId="77777777" w:rsidR="003E5B4F" w:rsidRPr="00BE430E" w:rsidRDefault="003E5B4F" w:rsidP="00A66FBD">
            <w:pPr>
              <w:pStyle w:val="CETBodytext"/>
              <w:jc w:val="center"/>
              <w:rPr>
                <w:rFonts w:cs="Arial"/>
                <w:sz w:val="14"/>
                <w:szCs w:val="14"/>
                <w:lang w:val="en-GB"/>
              </w:rPr>
            </w:pPr>
          </w:p>
        </w:tc>
        <w:tc>
          <w:tcPr>
            <w:tcW w:w="234" w:type="pct"/>
            <w:tcBorders>
              <w:bottom w:val="single" w:sz="12" w:space="0" w:color="008000"/>
            </w:tcBorders>
            <w:shd w:val="clear" w:color="auto" w:fill="FFFFFF"/>
            <w:vAlign w:val="center"/>
          </w:tcPr>
          <w:p w14:paraId="3E2A369A" w14:textId="77777777" w:rsidR="003E5B4F" w:rsidRPr="00BE430E" w:rsidRDefault="003E5B4F" w:rsidP="00A66FBD">
            <w:pPr>
              <w:pStyle w:val="CETBodytext"/>
              <w:jc w:val="center"/>
              <w:rPr>
                <w:rFonts w:cs="Arial"/>
                <w:sz w:val="14"/>
                <w:szCs w:val="14"/>
                <w:lang w:val="en-GB"/>
              </w:rPr>
            </w:pPr>
          </w:p>
        </w:tc>
        <w:tc>
          <w:tcPr>
            <w:tcW w:w="234" w:type="pct"/>
            <w:tcBorders>
              <w:bottom w:val="single" w:sz="12" w:space="0" w:color="008000"/>
            </w:tcBorders>
            <w:shd w:val="clear" w:color="auto" w:fill="FFFFFF"/>
            <w:vAlign w:val="center"/>
          </w:tcPr>
          <w:p w14:paraId="747D90BA" w14:textId="77777777" w:rsidR="003E5B4F" w:rsidRPr="00BE430E" w:rsidRDefault="003E5B4F" w:rsidP="00A66FBD">
            <w:pPr>
              <w:pStyle w:val="CETBodytext"/>
              <w:jc w:val="center"/>
              <w:rPr>
                <w:rFonts w:cs="Arial"/>
                <w:sz w:val="14"/>
                <w:szCs w:val="14"/>
                <w:lang w:val="en-GB"/>
              </w:rPr>
            </w:pPr>
          </w:p>
        </w:tc>
        <w:tc>
          <w:tcPr>
            <w:tcW w:w="362" w:type="pct"/>
            <w:tcBorders>
              <w:bottom w:val="single" w:sz="12" w:space="0" w:color="008000"/>
            </w:tcBorders>
            <w:shd w:val="clear" w:color="auto" w:fill="FFFFFF"/>
            <w:vAlign w:val="center"/>
          </w:tcPr>
          <w:p w14:paraId="10262729" w14:textId="77777777" w:rsidR="003E5B4F" w:rsidRPr="00BE430E" w:rsidRDefault="003E5B4F" w:rsidP="00A66FBD">
            <w:pPr>
              <w:pStyle w:val="CETBodytext"/>
              <w:jc w:val="center"/>
              <w:rPr>
                <w:rFonts w:cs="Arial"/>
                <w:sz w:val="14"/>
                <w:szCs w:val="14"/>
                <w:lang w:val="en-GB"/>
              </w:rPr>
            </w:pPr>
          </w:p>
        </w:tc>
      </w:tr>
      <w:tr w:rsidR="003E5B4F" w:rsidRPr="00BE430E" w14:paraId="766B66E0" w14:textId="77777777" w:rsidTr="00A66FBD">
        <w:tc>
          <w:tcPr>
            <w:tcW w:w="1121" w:type="pct"/>
            <w:tcBorders>
              <w:top w:val="single" w:sz="12" w:space="0" w:color="008000"/>
              <w:bottom w:val="single" w:sz="6" w:space="0" w:color="008000"/>
            </w:tcBorders>
            <w:shd w:val="clear" w:color="auto" w:fill="FFFFFF"/>
            <w:vAlign w:val="center"/>
          </w:tcPr>
          <w:p w14:paraId="2E2DABE9"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Source of Variation</w:t>
            </w:r>
          </w:p>
        </w:tc>
        <w:tc>
          <w:tcPr>
            <w:tcW w:w="303" w:type="pct"/>
            <w:tcBorders>
              <w:top w:val="single" w:sz="12" w:space="0" w:color="008000"/>
              <w:bottom w:val="single" w:sz="6" w:space="0" w:color="008000"/>
            </w:tcBorders>
            <w:shd w:val="clear" w:color="auto" w:fill="FFFFFF"/>
            <w:vAlign w:val="center"/>
          </w:tcPr>
          <w:p w14:paraId="2928D327"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QS</w:t>
            </w:r>
          </w:p>
        </w:tc>
        <w:tc>
          <w:tcPr>
            <w:tcW w:w="165" w:type="pct"/>
            <w:tcBorders>
              <w:top w:val="single" w:sz="12" w:space="0" w:color="008000"/>
              <w:bottom w:val="single" w:sz="6" w:space="0" w:color="008000"/>
            </w:tcBorders>
            <w:shd w:val="clear" w:color="auto" w:fill="FFFFFF"/>
            <w:vAlign w:val="center"/>
          </w:tcPr>
          <w:p w14:paraId="1E3939EA"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GL</w:t>
            </w:r>
          </w:p>
        </w:tc>
        <w:tc>
          <w:tcPr>
            <w:tcW w:w="303" w:type="pct"/>
            <w:tcBorders>
              <w:top w:val="single" w:sz="12" w:space="0" w:color="008000"/>
              <w:bottom w:val="single" w:sz="6" w:space="0" w:color="008000"/>
            </w:tcBorders>
            <w:shd w:val="clear" w:color="auto" w:fill="FFFFFF"/>
            <w:vAlign w:val="center"/>
          </w:tcPr>
          <w:p w14:paraId="146F8912"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MQ</w:t>
            </w:r>
          </w:p>
        </w:tc>
        <w:tc>
          <w:tcPr>
            <w:tcW w:w="234" w:type="pct"/>
            <w:tcBorders>
              <w:top w:val="single" w:sz="12" w:space="0" w:color="008000"/>
              <w:bottom w:val="single" w:sz="6" w:space="0" w:color="008000"/>
            </w:tcBorders>
            <w:shd w:val="clear" w:color="auto" w:fill="FFFFFF"/>
            <w:vAlign w:val="center"/>
          </w:tcPr>
          <w:p w14:paraId="15EA40D2"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F</w:t>
            </w:r>
          </w:p>
        </w:tc>
        <w:tc>
          <w:tcPr>
            <w:tcW w:w="293" w:type="pct"/>
            <w:tcBorders>
              <w:top w:val="single" w:sz="12" w:space="0" w:color="008000"/>
              <w:bottom w:val="single" w:sz="6" w:space="0" w:color="008000"/>
            </w:tcBorders>
            <w:shd w:val="clear" w:color="auto" w:fill="FFFFFF"/>
            <w:vAlign w:val="center"/>
          </w:tcPr>
          <w:p w14:paraId="56C5847D"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Value-P</w:t>
            </w:r>
          </w:p>
        </w:tc>
        <w:tc>
          <w:tcPr>
            <w:tcW w:w="230" w:type="pct"/>
            <w:shd w:val="clear" w:color="auto" w:fill="FFFFFF"/>
          </w:tcPr>
          <w:p w14:paraId="7278A532" w14:textId="77777777" w:rsidR="003E5B4F" w:rsidRPr="00BE430E" w:rsidRDefault="003E5B4F" w:rsidP="00A66FBD">
            <w:pPr>
              <w:pStyle w:val="CETBodytext"/>
              <w:jc w:val="center"/>
              <w:rPr>
                <w:rFonts w:cs="Arial"/>
                <w:sz w:val="14"/>
                <w:szCs w:val="14"/>
                <w:lang w:val="en-GB"/>
              </w:rPr>
            </w:pPr>
          </w:p>
        </w:tc>
        <w:tc>
          <w:tcPr>
            <w:tcW w:w="1121" w:type="pct"/>
            <w:tcBorders>
              <w:top w:val="single" w:sz="12" w:space="0" w:color="008000"/>
              <w:bottom w:val="single" w:sz="6" w:space="0" w:color="008000"/>
            </w:tcBorders>
            <w:shd w:val="clear" w:color="auto" w:fill="FFFFFF"/>
            <w:vAlign w:val="center"/>
          </w:tcPr>
          <w:p w14:paraId="19665DB0"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Source of Variation</w:t>
            </w:r>
          </w:p>
        </w:tc>
        <w:tc>
          <w:tcPr>
            <w:tcW w:w="234" w:type="pct"/>
            <w:tcBorders>
              <w:top w:val="single" w:sz="12" w:space="0" w:color="008000"/>
              <w:bottom w:val="single" w:sz="6" w:space="0" w:color="008000"/>
            </w:tcBorders>
            <w:shd w:val="clear" w:color="auto" w:fill="FFFFFF"/>
            <w:vAlign w:val="center"/>
          </w:tcPr>
          <w:p w14:paraId="0724D96B"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QS</w:t>
            </w:r>
          </w:p>
        </w:tc>
        <w:tc>
          <w:tcPr>
            <w:tcW w:w="164" w:type="pct"/>
            <w:tcBorders>
              <w:top w:val="single" w:sz="12" w:space="0" w:color="008000"/>
              <w:bottom w:val="single" w:sz="6" w:space="0" w:color="008000"/>
            </w:tcBorders>
            <w:shd w:val="clear" w:color="auto" w:fill="FFFFFF"/>
            <w:vAlign w:val="center"/>
          </w:tcPr>
          <w:p w14:paraId="2BB5A55B"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GL</w:t>
            </w:r>
          </w:p>
        </w:tc>
        <w:tc>
          <w:tcPr>
            <w:tcW w:w="234" w:type="pct"/>
            <w:tcBorders>
              <w:top w:val="single" w:sz="12" w:space="0" w:color="008000"/>
              <w:bottom w:val="single" w:sz="6" w:space="0" w:color="008000"/>
            </w:tcBorders>
            <w:shd w:val="clear" w:color="auto" w:fill="FFFFFF"/>
            <w:vAlign w:val="center"/>
          </w:tcPr>
          <w:p w14:paraId="72955279"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MQ</w:t>
            </w:r>
          </w:p>
        </w:tc>
        <w:tc>
          <w:tcPr>
            <w:tcW w:w="234" w:type="pct"/>
            <w:tcBorders>
              <w:top w:val="single" w:sz="12" w:space="0" w:color="008000"/>
              <w:bottom w:val="single" w:sz="6" w:space="0" w:color="008000"/>
            </w:tcBorders>
            <w:shd w:val="clear" w:color="auto" w:fill="FFFFFF"/>
            <w:vAlign w:val="center"/>
          </w:tcPr>
          <w:p w14:paraId="6589D18F"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F</w:t>
            </w:r>
          </w:p>
        </w:tc>
        <w:tc>
          <w:tcPr>
            <w:tcW w:w="362" w:type="pct"/>
            <w:tcBorders>
              <w:top w:val="single" w:sz="12" w:space="0" w:color="008000"/>
              <w:bottom w:val="single" w:sz="6" w:space="0" w:color="008000"/>
            </w:tcBorders>
            <w:shd w:val="clear" w:color="auto" w:fill="FFFFFF"/>
            <w:vAlign w:val="center"/>
          </w:tcPr>
          <w:p w14:paraId="73394079"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Value-P</w:t>
            </w:r>
          </w:p>
        </w:tc>
      </w:tr>
      <w:tr w:rsidR="003E5B4F" w:rsidRPr="00BE430E" w14:paraId="2A3F92B2" w14:textId="77777777" w:rsidTr="00A66FBD">
        <w:tc>
          <w:tcPr>
            <w:tcW w:w="1121" w:type="pct"/>
            <w:tcBorders>
              <w:top w:val="single" w:sz="6" w:space="0" w:color="008000"/>
            </w:tcBorders>
            <w:shd w:val="clear" w:color="auto" w:fill="FFFFFF"/>
            <w:vAlign w:val="center"/>
          </w:tcPr>
          <w:p w14:paraId="1156A892"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Between groups</w:t>
            </w:r>
          </w:p>
        </w:tc>
        <w:tc>
          <w:tcPr>
            <w:tcW w:w="303" w:type="pct"/>
            <w:tcBorders>
              <w:top w:val="single" w:sz="6" w:space="0" w:color="008000"/>
            </w:tcBorders>
            <w:shd w:val="clear" w:color="auto" w:fill="FFFFFF"/>
            <w:vAlign w:val="center"/>
          </w:tcPr>
          <w:p w14:paraId="448DB2FE"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0.21</w:t>
            </w:r>
          </w:p>
        </w:tc>
        <w:tc>
          <w:tcPr>
            <w:tcW w:w="165" w:type="pct"/>
            <w:tcBorders>
              <w:top w:val="single" w:sz="6" w:space="0" w:color="008000"/>
            </w:tcBorders>
            <w:shd w:val="clear" w:color="auto" w:fill="FFFFFF"/>
            <w:vAlign w:val="center"/>
          </w:tcPr>
          <w:p w14:paraId="0B189ED5"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1</w:t>
            </w:r>
          </w:p>
        </w:tc>
        <w:tc>
          <w:tcPr>
            <w:tcW w:w="303" w:type="pct"/>
            <w:tcBorders>
              <w:top w:val="single" w:sz="6" w:space="0" w:color="008000"/>
            </w:tcBorders>
            <w:shd w:val="clear" w:color="auto" w:fill="FFFFFF"/>
            <w:vAlign w:val="center"/>
          </w:tcPr>
          <w:p w14:paraId="4A91FBB7"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0.21</w:t>
            </w:r>
          </w:p>
        </w:tc>
        <w:tc>
          <w:tcPr>
            <w:tcW w:w="234" w:type="pct"/>
            <w:tcBorders>
              <w:top w:val="single" w:sz="6" w:space="0" w:color="008000"/>
            </w:tcBorders>
            <w:shd w:val="clear" w:color="auto" w:fill="FFFFFF"/>
            <w:vAlign w:val="center"/>
          </w:tcPr>
          <w:p w14:paraId="5D726702"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2.11</w:t>
            </w:r>
          </w:p>
        </w:tc>
        <w:tc>
          <w:tcPr>
            <w:tcW w:w="293" w:type="pct"/>
            <w:tcBorders>
              <w:top w:val="single" w:sz="6" w:space="0" w:color="008000"/>
            </w:tcBorders>
            <w:shd w:val="clear" w:color="auto" w:fill="FFFFFF"/>
            <w:vAlign w:val="center"/>
          </w:tcPr>
          <w:p w14:paraId="08E6952A"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0.197</w:t>
            </w:r>
          </w:p>
        </w:tc>
        <w:tc>
          <w:tcPr>
            <w:tcW w:w="230" w:type="pct"/>
            <w:shd w:val="clear" w:color="auto" w:fill="FFFFFF"/>
          </w:tcPr>
          <w:p w14:paraId="10F53325" w14:textId="77777777" w:rsidR="003E5B4F" w:rsidRPr="00BE430E" w:rsidRDefault="003E5B4F" w:rsidP="00A66FBD">
            <w:pPr>
              <w:pStyle w:val="CETBodytext"/>
              <w:jc w:val="center"/>
              <w:rPr>
                <w:rFonts w:cs="Arial"/>
                <w:sz w:val="14"/>
                <w:szCs w:val="14"/>
                <w:lang w:val="en-GB"/>
              </w:rPr>
            </w:pPr>
          </w:p>
        </w:tc>
        <w:tc>
          <w:tcPr>
            <w:tcW w:w="1121" w:type="pct"/>
            <w:tcBorders>
              <w:top w:val="single" w:sz="6" w:space="0" w:color="008000"/>
            </w:tcBorders>
            <w:shd w:val="clear" w:color="auto" w:fill="FFFFFF"/>
            <w:vAlign w:val="center"/>
          </w:tcPr>
          <w:p w14:paraId="29B7BF7A" w14:textId="77777777" w:rsidR="003E5B4F" w:rsidRPr="00BE430E" w:rsidRDefault="003E5B4F" w:rsidP="00A66FBD">
            <w:pPr>
              <w:pStyle w:val="CETBodytext"/>
              <w:jc w:val="left"/>
              <w:rPr>
                <w:rFonts w:cs="Arial"/>
                <w:sz w:val="14"/>
                <w:szCs w:val="14"/>
                <w:lang w:val="en-GB"/>
              </w:rPr>
            </w:pPr>
            <w:r w:rsidRPr="00BE430E">
              <w:rPr>
                <w:rFonts w:cs="Arial"/>
                <w:sz w:val="14"/>
                <w:szCs w:val="14"/>
                <w:lang w:val="en-GB"/>
              </w:rPr>
              <w:t>Between groups</w:t>
            </w:r>
          </w:p>
        </w:tc>
        <w:tc>
          <w:tcPr>
            <w:tcW w:w="234" w:type="pct"/>
            <w:tcBorders>
              <w:top w:val="single" w:sz="6" w:space="0" w:color="008000"/>
            </w:tcBorders>
            <w:shd w:val="clear" w:color="auto" w:fill="FFFFFF"/>
            <w:vAlign w:val="center"/>
          </w:tcPr>
          <w:p w14:paraId="0939652B"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620.0</w:t>
            </w:r>
          </w:p>
        </w:tc>
        <w:tc>
          <w:tcPr>
            <w:tcW w:w="164" w:type="pct"/>
            <w:tcBorders>
              <w:top w:val="single" w:sz="6" w:space="0" w:color="008000"/>
            </w:tcBorders>
            <w:shd w:val="clear" w:color="auto" w:fill="FFFFFF"/>
            <w:vAlign w:val="center"/>
          </w:tcPr>
          <w:p w14:paraId="79EADEC9"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1</w:t>
            </w:r>
          </w:p>
        </w:tc>
        <w:tc>
          <w:tcPr>
            <w:tcW w:w="234" w:type="pct"/>
            <w:tcBorders>
              <w:top w:val="single" w:sz="6" w:space="0" w:color="008000"/>
            </w:tcBorders>
            <w:shd w:val="clear" w:color="auto" w:fill="FFFFFF"/>
            <w:vAlign w:val="center"/>
          </w:tcPr>
          <w:p w14:paraId="4271BFC1"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620.0</w:t>
            </w:r>
          </w:p>
        </w:tc>
        <w:tc>
          <w:tcPr>
            <w:tcW w:w="234" w:type="pct"/>
            <w:tcBorders>
              <w:top w:val="single" w:sz="6" w:space="0" w:color="008000"/>
            </w:tcBorders>
            <w:shd w:val="clear" w:color="auto" w:fill="FFFFFF"/>
            <w:vAlign w:val="center"/>
          </w:tcPr>
          <w:p w14:paraId="20D616F9"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8.92</w:t>
            </w:r>
          </w:p>
        </w:tc>
        <w:tc>
          <w:tcPr>
            <w:tcW w:w="362" w:type="pct"/>
            <w:tcBorders>
              <w:top w:val="single" w:sz="6" w:space="0" w:color="008000"/>
            </w:tcBorders>
            <w:shd w:val="clear" w:color="auto" w:fill="FFFFFF"/>
            <w:vAlign w:val="center"/>
          </w:tcPr>
          <w:p w14:paraId="503C095A" w14:textId="77777777" w:rsidR="003E5B4F" w:rsidRPr="00BE430E" w:rsidRDefault="003E5B4F" w:rsidP="00A66FBD">
            <w:pPr>
              <w:pStyle w:val="CETBodytext"/>
              <w:jc w:val="center"/>
              <w:rPr>
                <w:rFonts w:cs="Arial"/>
                <w:sz w:val="14"/>
                <w:szCs w:val="14"/>
                <w:lang w:val="en-GB"/>
              </w:rPr>
            </w:pPr>
            <w:r w:rsidRPr="00BE430E">
              <w:rPr>
                <w:rFonts w:cs="Arial"/>
                <w:sz w:val="14"/>
                <w:szCs w:val="14"/>
                <w:lang w:val="en-GB"/>
              </w:rPr>
              <w:t>0.024</w:t>
            </w:r>
          </w:p>
        </w:tc>
      </w:tr>
      <w:tr w:rsidR="003E5B4F" w:rsidRPr="00BE430E" w14:paraId="61872BA2" w14:textId="77777777" w:rsidTr="00A66FBD">
        <w:tc>
          <w:tcPr>
            <w:tcW w:w="1121" w:type="pct"/>
            <w:tcBorders>
              <w:bottom w:val="single" w:sz="12" w:space="0" w:color="008000"/>
            </w:tcBorders>
            <w:shd w:val="clear" w:color="auto" w:fill="FFFFFF"/>
            <w:vAlign w:val="center"/>
          </w:tcPr>
          <w:p w14:paraId="63EB77B3"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In groups (error)</w:t>
            </w:r>
          </w:p>
        </w:tc>
        <w:tc>
          <w:tcPr>
            <w:tcW w:w="303" w:type="pct"/>
            <w:tcBorders>
              <w:bottom w:val="single" w:sz="12" w:space="0" w:color="008000"/>
            </w:tcBorders>
            <w:shd w:val="clear" w:color="auto" w:fill="FFFFFF"/>
            <w:vAlign w:val="center"/>
          </w:tcPr>
          <w:p w14:paraId="5B5C0157"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0.59</w:t>
            </w:r>
          </w:p>
        </w:tc>
        <w:tc>
          <w:tcPr>
            <w:tcW w:w="165" w:type="pct"/>
            <w:tcBorders>
              <w:bottom w:val="single" w:sz="12" w:space="0" w:color="008000"/>
            </w:tcBorders>
            <w:shd w:val="clear" w:color="auto" w:fill="FFFFFF"/>
            <w:vAlign w:val="center"/>
          </w:tcPr>
          <w:p w14:paraId="73AC5559"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6</w:t>
            </w:r>
          </w:p>
        </w:tc>
        <w:tc>
          <w:tcPr>
            <w:tcW w:w="303" w:type="pct"/>
            <w:tcBorders>
              <w:bottom w:val="single" w:sz="12" w:space="0" w:color="008000"/>
            </w:tcBorders>
            <w:shd w:val="clear" w:color="auto" w:fill="FFFFFF"/>
            <w:vAlign w:val="center"/>
          </w:tcPr>
          <w:p w14:paraId="35532301"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0.10</w:t>
            </w:r>
          </w:p>
        </w:tc>
        <w:tc>
          <w:tcPr>
            <w:tcW w:w="234" w:type="pct"/>
            <w:tcBorders>
              <w:bottom w:val="single" w:sz="12" w:space="0" w:color="008000"/>
            </w:tcBorders>
            <w:shd w:val="clear" w:color="auto" w:fill="FFFFFF"/>
            <w:vAlign w:val="center"/>
          </w:tcPr>
          <w:p w14:paraId="5172B7F3" w14:textId="77777777" w:rsidR="003E5B4F" w:rsidRPr="00BE430E" w:rsidRDefault="003E5B4F" w:rsidP="00A66FBD">
            <w:pPr>
              <w:pStyle w:val="CETBodytext"/>
              <w:ind w:right="-1"/>
              <w:jc w:val="center"/>
              <w:rPr>
                <w:rFonts w:cs="Arial"/>
                <w:sz w:val="14"/>
                <w:szCs w:val="14"/>
                <w:lang w:val="en-GB"/>
              </w:rPr>
            </w:pPr>
          </w:p>
        </w:tc>
        <w:tc>
          <w:tcPr>
            <w:tcW w:w="293" w:type="pct"/>
            <w:tcBorders>
              <w:bottom w:val="single" w:sz="12" w:space="0" w:color="008000"/>
            </w:tcBorders>
            <w:shd w:val="clear" w:color="auto" w:fill="FFFFFF"/>
            <w:vAlign w:val="center"/>
          </w:tcPr>
          <w:p w14:paraId="3907D645" w14:textId="77777777" w:rsidR="003E5B4F" w:rsidRPr="00BE430E" w:rsidRDefault="003E5B4F" w:rsidP="00A66FBD">
            <w:pPr>
              <w:pStyle w:val="CETBodytext"/>
              <w:ind w:right="-1"/>
              <w:jc w:val="center"/>
              <w:rPr>
                <w:rFonts w:cs="Arial"/>
                <w:sz w:val="14"/>
                <w:szCs w:val="14"/>
                <w:lang w:val="en-GB"/>
              </w:rPr>
            </w:pPr>
          </w:p>
        </w:tc>
        <w:tc>
          <w:tcPr>
            <w:tcW w:w="230" w:type="pct"/>
            <w:shd w:val="clear" w:color="auto" w:fill="FFFFFF"/>
          </w:tcPr>
          <w:p w14:paraId="7CB3EB9B" w14:textId="77777777" w:rsidR="003E5B4F" w:rsidRPr="00BE430E" w:rsidRDefault="003E5B4F" w:rsidP="00A66FBD">
            <w:pPr>
              <w:pStyle w:val="CETBodytext"/>
              <w:ind w:right="-1"/>
              <w:jc w:val="center"/>
              <w:rPr>
                <w:rFonts w:cs="Arial"/>
                <w:sz w:val="14"/>
                <w:szCs w:val="14"/>
                <w:lang w:val="en-GB"/>
              </w:rPr>
            </w:pPr>
          </w:p>
        </w:tc>
        <w:tc>
          <w:tcPr>
            <w:tcW w:w="1121" w:type="pct"/>
            <w:tcBorders>
              <w:bottom w:val="single" w:sz="12" w:space="0" w:color="008000"/>
            </w:tcBorders>
            <w:shd w:val="clear" w:color="auto" w:fill="FFFFFF"/>
            <w:vAlign w:val="center"/>
          </w:tcPr>
          <w:p w14:paraId="1D6291A5"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In groups (error)</w:t>
            </w:r>
          </w:p>
        </w:tc>
        <w:tc>
          <w:tcPr>
            <w:tcW w:w="234" w:type="pct"/>
            <w:tcBorders>
              <w:bottom w:val="single" w:sz="12" w:space="0" w:color="008000"/>
            </w:tcBorders>
            <w:shd w:val="clear" w:color="auto" w:fill="FFFFFF"/>
            <w:vAlign w:val="center"/>
          </w:tcPr>
          <w:p w14:paraId="697A35FD"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416.8</w:t>
            </w:r>
          </w:p>
        </w:tc>
        <w:tc>
          <w:tcPr>
            <w:tcW w:w="164" w:type="pct"/>
            <w:tcBorders>
              <w:bottom w:val="single" w:sz="12" w:space="0" w:color="008000"/>
            </w:tcBorders>
            <w:shd w:val="clear" w:color="auto" w:fill="FFFFFF"/>
            <w:vAlign w:val="center"/>
          </w:tcPr>
          <w:p w14:paraId="10761CF4"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6</w:t>
            </w:r>
          </w:p>
        </w:tc>
        <w:tc>
          <w:tcPr>
            <w:tcW w:w="234" w:type="pct"/>
            <w:tcBorders>
              <w:bottom w:val="single" w:sz="12" w:space="0" w:color="008000"/>
            </w:tcBorders>
            <w:shd w:val="clear" w:color="auto" w:fill="FFFFFF"/>
            <w:vAlign w:val="center"/>
          </w:tcPr>
          <w:p w14:paraId="1E4181A7"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69.5</w:t>
            </w:r>
          </w:p>
        </w:tc>
        <w:tc>
          <w:tcPr>
            <w:tcW w:w="234" w:type="pct"/>
            <w:tcBorders>
              <w:bottom w:val="single" w:sz="12" w:space="0" w:color="008000"/>
            </w:tcBorders>
            <w:shd w:val="clear" w:color="auto" w:fill="FFFFFF"/>
            <w:vAlign w:val="center"/>
          </w:tcPr>
          <w:p w14:paraId="5217A24F" w14:textId="77777777" w:rsidR="003E5B4F" w:rsidRPr="00BE430E" w:rsidRDefault="003E5B4F" w:rsidP="00A66FBD">
            <w:pPr>
              <w:pStyle w:val="CETBodytext"/>
              <w:ind w:right="-1"/>
              <w:jc w:val="center"/>
              <w:rPr>
                <w:rFonts w:cs="Arial"/>
                <w:sz w:val="14"/>
                <w:szCs w:val="14"/>
                <w:lang w:val="en-GB"/>
              </w:rPr>
            </w:pPr>
          </w:p>
        </w:tc>
        <w:tc>
          <w:tcPr>
            <w:tcW w:w="362" w:type="pct"/>
            <w:tcBorders>
              <w:bottom w:val="single" w:sz="12" w:space="0" w:color="008000"/>
            </w:tcBorders>
            <w:shd w:val="clear" w:color="auto" w:fill="FFFFFF"/>
            <w:vAlign w:val="center"/>
          </w:tcPr>
          <w:p w14:paraId="6FBA84D7" w14:textId="77777777" w:rsidR="003E5B4F" w:rsidRPr="00BE430E" w:rsidRDefault="003E5B4F" w:rsidP="00A66FBD">
            <w:pPr>
              <w:pStyle w:val="CETBodytext"/>
              <w:ind w:right="-1"/>
              <w:jc w:val="center"/>
              <w:rPr>
                <w:rFonts w:cs="Arial"/>
                <w:sz w:val="14"/>
                <w:szCs w:val="14"/>
                <w:lang w:val="en-GB"/>
              </w:rPr>
            </w:pPr>
          </w:p>
        </w:tc>
      </w:tr>
      <w:tr w:rsidR="003E5B4F" w:rsidRPr="00BE430E" w14:paraId="79225E58" w14:textId="77777777" w:rsidTr="00A66FBD">
        <w:tc>
          <w:tcPr>
            <w:tcW w:w="1121" w:type="pct"/>
            <w:tcBorders>
              <w:top w:val="single" w:sz="12" w:space="0" w:color="008000"/>
            </w:tcBorders>
            <w:shd w:val="clear" w:color="auto" w:fill="FFFFFF"/>
            <w:vAlign w:val="center"/>
          </w:tcPr>
          <w:p w14:paraId="19A1C5B0" w14:textId="77777777" w:rsidR="003E5B4F" w:rsidRPr="00BE430E" w:rsidRDefault="003E5B4F" w:rsidP="00A66FBD">
            <w:pPr>
              <w:pStyle w:val="CETBodytext"/>
              <w:ind w:right="-1"/>
              <w:jc w:val="left"/>
              <w:rPr>
                <w:rFonts w:cs="Arial"/>
                <w:sz w:val="14"/>
                <w:szCs w:val="14"/>
                <w:lang w:val="en-GB"/>
              </w:rPr>
            </w:pPr>
          </w:p>
        </w:tc>
        <w:tc>
          <w:tcPr>
            <w:tcW w:w="303" w:type="pct"/>
            <w:tcBorders>
              <w:top w:val="single" w:sz="12" w:space="0" w:color="008000"/>
            </w:tcBorders>
            <w:shd w:val="clear" w:color="auto" w:fill="FFFFFF"/>
            <w:vAlign w:val="center"/>
          </w:tcPr>
          <w:p w14:paraId="6E29B0A0" w14:textId="77777777" w:rsidR="003E5B4F" w:rsidRPr="00BE430E" w:rsidRDefault="003E5B4F" w:rsidP="00A66FBD">
            <w:pPr>
              <w:pStyle w:val="CETBodytext"/>
              <w:ind w:right="-1"/>
              <w:jc w:val="center"/>
              <w:rPr>
                <w:rFonts w:cs="Arial"/>
                <w:sz w:val="14"/>
                <w:szCs w:val="14"/>
                <w:lang w:val="en-GB"/>
              </w:rPr>
            </w:pPr>
          </w:p>
        </w:tc>
        <w:tc>
          <w:tcPr>
            <w:tcW w:w="165" w:type="pct"/>
            <w:tcBorders>
              <w:top w:val="single" w:sz="12" w:space="0" w:color="008000"/>
            </w:tcBorders>
            <w:shd w:val="clear" w:color="auto" w:fill="FFFFFF"/>
            <w:vAlign w:val="center"/>
          </w:tcPr>
          <w:p w14:paraId="5069D319" w14:textId="77777777" w:rsidR="003E5B4F" w:rsidRPr="00BE430E" w:rsidRDefault="003E5B4F" w:rsidP="00A66FBD">
            <w:pPr>
              <w:pStyle w:val="CETBodytext"/>
              <w:ind w:right="-1"/>
              <w:jc w:val="center"/>
              <w:rPr>
                <w:rFonts w:cs="Arial"/>
                <w:sz w:val="14"/>
                <w:szCs w:val="14"/>
                <w:lang w:val="en-GB"/>
              </w:rPr>
            </w:pPr>
          </w:p>
        </w:tc>
        <w:tc>
          <w:tcPr>
            <w:tcW w:w="303" w:type="pct"/>
            <w:tcBorders>
              <w:top w:val="single" w:sz="12" w:space="0" w:color="008000"/>
            </w:tcBorders>
            <w:shd w:val="clear" w:color="auto" w:fill="FFFFFF"/>
            <w:vAlign w:val="center"/>
          </w:tcPr>
          <w:p w14:paraId="06D4525B" w14:textId="77777777" w:rsidR="003E5B4F" w:rsidRPr="00BE430E" w:rsidRDefault="003E5B4F" w:rsidP="00A66FBD">
            <w:pPr>
              <w:pStyle w:val="CETBodytext"/>
              <w:ind w:right="-1"/>
              <w:jc w:val="center"/>
              <w:rPr>
                <w:rFonts w:cs="Arial"/>
                <w:sz w:val="14"/>
                <w:szCs w:val="14"/>
                <w:lang w:val="en-GB"/>
              </w:rPr>
            </w:pPr>
          </w:p>
        </w:tc>
        <w:tc>
          <w:tcPr>
            <w:tcW w:w="234" w:type="pct"/>
            <w:tcBorders>
              <w:top w:val="single" w:sz="12" w:space="0" w:color="008000"/>
            </w:tcBorders>
            <w:shd w:val="clear" w:color="auto" w:fill="FFFFFF"/>
            <w:vAlign w:val="center"/>
          </w:tcPr>
          <w:p w14:paraId="1A683298" w14:textId="77777777" w:rsidR="003E5B4F" w:rsidRPr="00BE430E" w:rsidRDefault="003E5B4F" w:rsidP="00A66FBD">
            <w:pPr>
              <w:pStyle w:val="CETBodytext"/>
              <w:ind w:right="-1"/>
              <w:jc w:val="center"/>
              <w:rPr>
                <w:rFonts w:cs="Arial"/>
                <w:sz w:val="14"/>
                <w:szCs w:val="14"/>
                <w:lang w:val="en-GB"/>
              </w:rPr>
            </w:pPr>
          </w:p>
        </w:tc>
        <w:tc>
          <w:tcPr>
            <w:tcW w:w="293" w:type="pct"/>
            <w:tcBorders>
              <w:top w:val="single" w:sz="12" w:space="0" w:color="008000"/>
            </w:tcBorders>
            <w:shd w:val="clear" w:color="auto" w:fill="FFFFFF"/>
            <w:vAlign w:val="center"/>
          </w:tcPr>
          <w:p w14:paraId="2A69BA47" w14:textId="77777777" w:rsidR="003E5B4F" w:rsidRPr="00BE430E" w:rsidRDefault="003E5B4F" w:rsidP="00A66FBD">
            <w:pPr>
              <w:pStyle w:val="CETBodytext"/>
              <w:ind w:right="-1"/>
              <w:jc w:val="center"/>
              <w:rPr>
                <w:rFonts w:cs="Arial"/>
                <w:sz w:val="14"/>
                <w:szCs w:val="14"/>
                <w:lang w:val="en-GB"/>
              </w:rPr>
            </w:pPr>
          </w:p>
        </w:tc>
        <w:tc>
          <w:tcPr>
            <w:tcW w:w="230" w:type="pct"/>
            <w:shd w:val="clear" w:color="auto" w:fill="FFFFFF"/>
          </w:tcPr>
          <w:p w14:paraId="351BED17" w14:textId="77777777" w:rsidR="003E5B4F" w:rsidRPr="00BE430E" w:rsidRDefault="003E5B4F" w:rsidP="00A66FBD">
            <w:pPr>
              <w:pStyle w:val="CETBodytext"/>
              <w:ind w:right="-1"/>
              <w:jc w:val="center"/>
              <w:rPr>
                <w:rFonts w:cs="Arial"/>
                <w:sz w:val="14"/>
                <w:szCs w:val="14"/>
                <w:lang w:val="en-GB"/>
              </w:rPr>
            </w:pPr>
          </w:p>
        </w:tc>
        <w:tc>
          <w:tcPr>
            <w:tcW w:w="1121" w:type="pct"/>
            <w:tcBorders>
              <w:top w:val="single" w:sz="12" w:space="0" w:color="008000"/>
            </w:tcBorders>
            <w:shd w:val="clear" w:color="auto" w:fill="FFFFFF"/>
            <w:vAlign w:val="center"/>
          </w:tcPr>
          <w:p w14:paraId="0B636725" w14:textId="77777777" w:rsidR="003E5B4F" w:rsidRPr="00BE430E" w:rsidRDefault="003E5B4F" w:rsidP="00A66FBD">
            <w:pPr>
              <w:pStyle w:val="CETBodytext"/>
              <w:ind w:right="-1"/>
              <w:jc w:val="left"/>
              <w:rPr>
                <w:rFonts w:cs="Arial"/>
                <w:sz w:val="14"/>
                <w:szCs w:val="14"/>
                <w:lang w:val="en-GB"/>
              </w:rPr>
            </w:pPr>
          </w:p>
        </w:tc>
        <w:tc>
          <w:tcPr>
            <w:tcW w:w="234" w:type="pct"/>
            <w:tcBorders>
              <w:top w:val="single" w:sz="12" w:space="0" w:color="008000"/>
            </w:tcBorders>
            <w:shd w:val="clear" w:color="auto" w:fill="FFFFFF"/>
            <w:vAlign w:val="center"/>
          </w:tcPr>
          <w:p w14:paraId="7F78BD78" w14:textId="77777777" w:rsidR="003E5B4F" w:rsidRPr="00BE430E" w:rsidRDefault="003E5B4F" w:rsidP="00A66FBD">
            <w:pPr>
              <w:pStyle w:val="CETBodytext"/>
              <w:ind w:right="-1"/>
              <w:jc w:val="center"/>
              <w:rPr>
                <w:rFonts w:cs="Arial"/>
                <w:sz w:val="14"/>
                <w:szCs w:val="14"/>
                <w:lang w:val="en-GB"/>
              </w:rPr>
            </w:pPr>
          </w:p>
        </w:tc>
        <w:tc>
          <w:tcPr>
            <w:tcW w:w="164" w:type="pct"/>
            <w:tcBorders>
              <w:top w:val="single" w:sz="12" w:space="0" w:color="008000"/>
            </w:tcBorders>
            <w:shd w:val="clear" w:color="auto" w:fill="FFFFFF"/>
            <w:vAlign w:val="center"/>
          </w:tcPr>
          <w:p w14:paraId="5609AC4A" w14:textId="77777777" w:rsidR="003E5B4F" w:rsidRPr="00BE430E" w:rsidRDefault="003E5B4F" w:rsidP="00A66FBD">
            <w:pPr>
              <w:pStyle w:val="CETBodytext"/>
              <w:ind w:right="-1"/>
              <w:jc w:val="center"/>
              <w:rPr>
                <w:rFonts w:cs="Arial"/>
                <w:sz w:val="14"/>
                <w:szCs w:val="14"/>
                <w:lang w:val="en-GB"/>
              </w:rPr>
            </w:pPr>
          </w:p>
        </w:tc>
        <w:tc>
          <w:tcPr>
            <w:tcW w:w="234" w:type="pct"/>
            <w:tcBorders>
              <w:top w:val="single" w:sz="12" w:space="0" w:color="008000"/>
            </w:tcBorders>
            <w:shd w:val="clear" w:color="auto" w:fill="FFFFFF"/>
            <w:vAlign w:val="center"/>
          </w:tcPr>
          <w:p w14:paraId="4C236AEC" w14:textId="77777777" w:rsidR="003E5B4F" w:rsidRPr="00BE430E" w:rsidRDefault="003E5B4F" w:rsidP="00A66FBD">
            <w:pPr>
              <w:pStyle w:val="CETBodytext"/>
              <w:ind w:right="-1"/>
              <w:jc w:val="center"/>
              <w:rPr>
                <w:rFonts w:cs="Arial"/>
                <w:sz w:val="14"/>
                <w:szCs w:val="14"/>
                <w:lang w:val="en-GB"/>
              </w:rPr>
            </w:pPr>
          </w:p>
        </w:tc>
        <w:tc>
          <w:tcPr>
            <w:tcW w:w="234" w:type="pct"/>
            <w:tcBorders>
              <w:top w:val="single" w:sz="12" w:space="0" w:color="008000"/>
            </w:tcBorders>
            <w:shd w:val="clear" w:color="auto" w:fill="FFFFFF"/>
            <w:vAlign w:val="center"/>
          </w:tcPr>
          <w:p w14:paraId="05C9C9FD" w14:textId="77777777" w:rsidR="003E5B4F" w:rsidRPr="00BE430E" w:rsidRDefault="003E5B4F" w:rsidP="00A66FBD">
            <w:pPr>
              <w:pStyle w:val="CETBodytext"/>
              <w:ind w:right="-1"/>
              <w:jc w:val="center"/>
              <w:rPr>
                <w:rFonts w:cs="Arial"/>
                <w:sz w:val="14"/>
                <w:szCs w:val="14"/>
                <w:lang w:val="en-GB"/>
              </w:rPr>
            </w:pPr>
          </w:p>
        </w:tc>
        <w:tc>
          <w:tcPr>
            <w:tcW w:w="362" w:type="pct"/>
            <w:tcBorders>
              <w:top w:val="single" w:sz="12" w:space="0" w:color="008000"/>
            </w:tcBorders>
            <w:shd w:val="clear" w:color="auto" w:fill="FFFFFF"/>
            <w:vAlign w:val="center"/>
          </w:tcPr>
          <w:p w14:paraId="295691C1" w14:textId="77777777" w:rsidR="003E5B4F" w:rsidRPr="00BE430E" w:rsidRDefault="003E5B4F" w:rsidP="00A66FBD">
            <w:pPr>
              <w:pStyle w:val="CETBodytext"/>
              <w:ind w:right="-1"/>
              <w:jc w:val="center"/>
              <w:rPr>
                <w:rFonts w:cs="Arial"/>
                <w:sz w:val="14"/>
                <w:szCs w:val="14"/>
                <w:lang w:val="en-GB"/>
              </w:rPr>
            </w:pPr>
          </w:p>
        </w:tc>
      </w:tr>
      <w:tr w:rsidR="003E5B4F" w:rsidRPr="00BE430E" w14:paraId="4AF93DF1" w14:textId="77777777" w:rsidTr="00A66FBD">
        <w:tc>
          <w:tcPr>
            <w:tcW w:w="1121" w:type="pct"/>
            <w:tcBorders>
              <w:bottom w:val="single" w:sz="12" w:space="0" w:color="008000"/>
            </w:tcBorders>
            <w:shd w:val="clear" w:color="auto" w:fill="FFFFFF"/>
            <w:vAlign w:val="center"/>
          </w:tcPr>
          <w:p w14:paraId="368A4FE1"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Furfural – C110</w:t>
            </w:r>
          </w:p>
        </w:tc>
        <w:tc>
          <w:tcPr>
            <w:tcW w:w="303" w:type="pct"/>
            <w:tcBorders>
              <w:bottom w:val="single" w:sz="12" w:space="0" w:color="008000"/>
            </w:tcBorders>
            <w:shd w:val="clear" w:color="auto" w:fill="FFFFFF"/>
            <w:vAlign w:val="center"/>
          </w:tcPr>
          <w:p w14:paraId="73273297" w14:textId="77777777" w:rsidR="003E5B4F" w:rsidRPr="00BE430E" w:rsidRDefault="003E5B4F" w:rsidP="00A66FBD">
            <w:pPr>
              <w:pStyle w:val="CETBodytext"/>
              <w:ind w:right="-1"/>
              <w:jc w:val="center"/>
              <w:rPr>
                <w:rFonts w:cs="Arial"/>
                <w:sz w:val="14"/>
                <w:szCs w:val="14"/>
                <w:lang w:val="en-GB"/>
              </w:rPr>
            </w:pPr>
          </w:p>
        </w:tc>
        <w:tc>
          <w:tcPr>
            <w:tcW w:w="165" w:type="pct"/>
            <w:tcBorders>
              <w:bottom w:val="single" w:sz="12" w:space="0" w:color="008000"/>
            </w:tcBorders>
            <w:shd w:val="clear" w:color="auto" w:fill="FFFFFF"/>
            <w:vAlign w:val="center"/>
          </w:tcPr>
          <w:p w14:paraId="41CCD27A" w14:textId="77777777" w:rsidR="003E5B4F" w:rsidRPr="00BE430E" w:rsidRDefault="003E5B4F" w:rsidP="00A66FBD">
            <w:pPr>
              <w:pStyle w:val="CETBodytext"/>
              <w:ind w:right="-1"/>
              <w:jc w:val="center"/>
              <w:rPr>
                <w:rFonts w:cs="Arial"/>
                <w:sz w:val="14"/>
                <w:szCs w:val="14"/>
                <w:lang w:val="en-GB"/>
              </w:rPr>
            </w:pPr>
          </w:p>
        </w:tc>
        <w:tc>
          <w:tcPr>
            <w:tcW w:w="303" w:type="pct"/>
            <w:tcBorders>
              <w:bottom w:val="single" w:sz="12" w:space="0" w:color="008000"/>
            </w:tcBorders>
            <w:shd w:val="clear" w:color="auto" w:fill="FFFFFF"/>
            <w:vAlign w:val="center"/>
          </w:tcPr>
          <w:p w14:paraId="69B36377" w14:textId="77777777" w:rsidR="003E5B4F" w:rsidRPr="00BE430E" w:rsidRDefault="003E5B4F" w:rsidP="00A66FBD">
            <w:pPr>
              <w:pStyle w:val="CETBodytext"/>
              <w:ind w:right="-1"/>
              <w:jc w:val="center"/>
              <w:rPr>
                <w:rFonts w:cs="Arial"/>
                <w:sz w:val="14"/>
                <w:szCs w:val="14"/>
                <w:lang w:val="en-GB"/>
              </w:rPr>
            </w:pPr>
          </w:p>
        </w:tc>
        <w:tc>
          <w:tcPr>
            <w:tcW w:w="234" w:type="pct"/>
            <w:tcBorders>
              <w:bottom w:val="single" w:sz="12" w:space="0" w:color="008000"/>
            </w:tcBorders>
            <w:shd w:val="clear" w:color="auto" w:fill="FFFFFF"/>
            <w:vAlign w:val="center"/>
          </w:tcPr>
          <w:p w14:paraId="21FBC192" w14:textId="77777777" w:rsidR="003E5B4F" w:rsidRPr="00BE430E" w:rsidRDefault="003E5B4F" w:rsidP="00A66FBD">
            <w:pPr>
              <w:pStyle w:val="CETBodytext"/>
              <w:ind w:right="-1"/>
              <w:jc w:val="center"/>
              <w:rPr>
                <w:rFonts w:cs="Arial"/>
                <w:sz w:val="14"/>
                <w:szCs w:val="14"/>
                <w:lang w:val="en-GB"/>
              </w:rPr>
            </w:pPr>
          </w:p>
        </w:tc>
        <w:tc>
          <w:tcPr>
            <w:tcW w:w="293" w:type="pct"/>
            <w:tcBorders>
              <w:bottom w:val="single" w:sz="12" w:space="0" w:color="008000"/>
            </w:tcBorders>
            <w:shd w:val="clear" w:color="auto" w:fill="FFFFFF"/>
            <w:vAlign w:val="center"/>
          </w:tcPr>
          <w:p w14:paraId="523DC2BF" w14:textId="77777777" w:rsidR="003E5B4F" w:rsidRPr="00BE430E" w:rsidRDefault="003E5B4F" w:rsidP="00A66FBD">
            <w:pPr>
              <w:pStyle w:val="CETBodytext"/>
              <w:ind w:right="-1"/>
              <w:jc w:val="center"/>
              <w:rPr>
                <w:rFonts w:cs="Arial"/>
                <w:sz w:val="14"/>
                <w:szCs w:val="14"/>
                <w:lang w:val="en-GB"/>
              </w:rPr>
            </w:pPr>
          </w:p>
        </w:tc>
        <w:tc>
          <w:tcPr>
            <w:tcW w:w="230" w:type="pct"/>
            <w:shd w:val="clear" w:color="auto" w:fill="FFFFFF"/>
          </w:tcPr>
          <w:p w14:paraId="266508E2" w14:textId="77777777" w:rsidR="003E5B4F" w:rsidRPr="00BE430E" w:rsidRDefault="003E5B4F" w:rsidP="00A66FBD">
            <w:pPr>
              <w:pStyle w:val="CETBodytext"/>
              <w:ind w:right="-1"/>
              <w:jc w:val="center"/>
              <w:rPr>
                <w:rFonts w:cs="Arial"/>
                <w:sz w:val="14"/>
                <w:szCs w:val="14"/>
                <w:lang w:val="en-GB"/>
              </w:rPr>
            </w:pPr>
          </w:p>
        </w:tc>
        <w:tc>
          <w:tcPr>
            <w:tcW w:w="1121" w:type="pct"/>
            <w:tcBorders>
              <w:bottom w:val="single" w:sz="12" w:space="0" w:color="008000"/>
            </w:tcBorders>
            <w:shd w:val="clear" w:color="auto" w:fill="FFFFFF"/>
            <w:vAlign w:val="center"/>
          </w:tcPr>
          <w:p w14:paraId="0D12845F"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Furfural – C150</w:t>
            </w:r>
          </w:p>
        </w:tc>
        <w:tc>
          <w:tcPr>
            <w:tcW w:w="234" w:type="pct"/>
            <w:tcBorders>
              <w:bottom w:val="single" w:sz="12" w:space="0" w:color="008000"/>
            </w:tcBorders>
            <w:shd w:val="clear" w:color="auto" w:fill="FFFFFF"/>
            <w:vAlign w:val="center"/>
          </w:tcPr>
          <w:p w14:paraId="1A6CE1D1" w14:textId="77777777" w:rsidR="003E5B4F" w:rsidRPr="00BE430E" w:rsidRDefault="003E5B4F" w:rsidP="00A66FBD">
            <w:pPr>
              <w:pStyle w:val="CETBodytext"/>
              <w:ind w:right="-1"/>
              <w:jc w:val="center"/>
              <w:rPr>
                <w:rFonts w:cs="Arial"/>
                <w:sz w:val="14"/>
                <w:szCs w:val="14"/>
                <w:lang w:val="en-GB"/>
              </w:rPr>
            </w:pPr>
          </w:p>
        </w:tc>
        <w:tc>
          <w:tcPr>
            <w:tcW w:w="164" w:type="pct"/>
            <w:tcBorders>
              <w:bottom w:val="single" w:sz="12" w:space="0" w:color="008000"/>
            </w:tcBorders>
            <w:shd w:val="clear" w:color="auto" w:fill="FFFFFF"/>
            <w:vAlign w:val="center"/>
          </w:tcPr>
          <w:p w14:paraId="5E1FD655" w14:textId="77777777" w:rsidR="003E5B4F" w:rsidRPr="00BE430E" w:rsidRDefault="003E5B4F" w:rsidP="00A66FBD">
            <w:pPr>
              <w:pStyle w:val="CETBodytext"/>
              <w:ind w:right="-1"/>
              <w:jc w:val="center"/>
              <w:rPr>
                <w:rFonts w:cs="Arial"/>
                <w:sz w:val="14"/>
                <w:szCs w:val="14"/>
                <w:lang w:val="en-GB"/>
              </w:rPr>
            </w:pPr>
          </w:p>
        </w:tc>
        <w:tc>
          <w:tcPr>
            <w:tcW w:w="234" w:type="pct"/>
            <w:tcBorders>
              <w:bottom w:val="single" w:sz="12" w:space="0" w:color="008000"/>
            </w:tcBorders>
            <w:shd w:val="clear" w:color="auto" w:fill="FFFFFF"/>
            <w:vAlign w:val="center"/>
          </w:tcPr>
          <w:p w14:paraId="066E58B1" w14:textId="77777777" w:rsidR="003E5B4F" w:rsidRPr="00BE430E" w:rsidRDefault="003E5B4F" w:rsidP="00A66FBD">
            <w:pPr>
              <w:pStyle w:val="CETBodytext"/>
              <w:ind w:right="-1"/>
              <w:jc w:val="center"/>
              <w:rPr>
                <w:rFonts w:cs="Arial"/>
                <w:sz w:val="14"/>
                <w:szCs w:val="14"/>
                <w:lang w:val="en-GB"/>
              </w:rPr>
            </w:pPr>
          </w:p>
        </w:tc>
        <w:tc>
          <w:tcPr>
            <w:tcW w:w="234" w:type="pct"/>
            <w:tcBorders>
              <w:bottom w:val="single" w:sz="12" w:space="0" w:color="008000"/>
            </w:tcBorders>
            <w:shd w:val="clear" w:color="auto" w:fill="FFFFFF"/>
            <w:vAlign w:val="center"/>
          </w:tcPr>
          <w:p w14:paraId="524D41A9" w14:textId="77777777" w:rsidR="003E5B4F" w:rsidRPr="00BE430E" w:rsidRDefault="003E5B4F" w:rsidP="00A66FBD">
            <w:pPr>
              <w:pStyle w:val="CETBodytext"/>
              <w:ind w:right="-1"/>
              <w:jc w:val="center"/>
              <w:rPr>
                <w:rFonts w:cs="Arial"/>
                <w:sz w:val="14"/>
                <w:szCs w:val="14"/>
                <w:lang w:val="en-GB"/>
              </w:rPr>
            </w:pPr>
          </w:p>
        </w:tc>
        <w:tc>
          <w:tcPr>
            <w:tcW w:w="362" w:type="pct"/>
            <w:tcBorders>
              <w:bottom w:val="single" w:sz="12" w:space="0" w:color="008000"/>
            </w:tcBorders>
            <w:shd w:val="clear" w:color="auto" w:fill="FFFFFF"/>
            <w:vAlign w:val="center"/>
          </w:tcPr>
          <w:p w14:paraId="78DCD58B" w14:textId="77777777" w:rsidR="003E5B4F" w:rsidRPr="00BE430E" w:rsidRDefault="003E5B4F" w:rsidP="00A66FBD">
            <w:pPr>
              <w:pStyle w:val="CETBodytext"/>
              <w:ind w:right="-1"/>
              <w:jc w:val="center"/>
              <w:rPr>
                <w:rFonts w:cs="Arial"/>
                <w:sz w:val="14"/>
                <w:szCs w:val="14"/>
                <w:lang w:val="en-GB"/>
              </w:rPr>
            </w:pPr>
          </w:p>
        </w:tc>
      </w:tr>
      <w:tr w:rsidR="003E5B4F" w:rsidRPr="00BE430E" w14:paraId="7E3AF2B1" w14:textId="77777777" w:rsidTr="00A66FBD">
        <w:tc>
          <w:tcPr>
            <w:tcW w:w="1121" w:type="pct"/>
            <w:tcBorders>
              <w:top w:val="single" w:sz="12" w:space="0" w:color="008000"/>
              <w:bottom w:val="single" w:sz="6" w:space="0" w:color="008000"/>
            </w:tcBorders>
            <w:shd w:val="clear" w:color="auto" w:fill="FFFFFF"/>
            <w:vAlign w:val="center"/>
          </w:tcPr>
          <w:p w14:paraId="56CA178C"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Source of Variation</w:t>
            </w:r>
          </w:p>
        </w:tc>
        <w:tc>
          <w:tcPr>
            <w:tcW w:w="303" w:type="pct"/>
            <w:tcBorders>
              <w:top w:val="single" w:sz="12" w:space="0" w:color="008000"/>
              <w:bottom w:val="single" w:sz="6" w:space="0" w:color="008000"/>
            </w:tcBorders>
            <w:shd w:val="clear" w:color="auto" w:fill="FFFFFF"/>
            <w:vAlign w:val="center"/>
          </w:tcPr>
          <w:p w14:paraId="21F63D43"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QS</w:t>
            </w:r>
          </w:p>
        </w:tc>
        <w:tc>
          <w:tcPr>
            <w:tcW w:w="165" w:type="pct"/>
            <w:tcBorders>
              <w:top w:val="single" w:sz="12" w:space="0" w:color="008000"/>
              <w:bottom w:val="single" w:sz="6" w:space="0" w:color="008000"/>
            </w:tcBorders>
            <w:shd w:val="clear" w:color="auto" w:fill="FFFFFF"/>
            <w:vAlign w:val="center"/>
          </w:tcPr>
          <w:p w14:paraId="7E99004A"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GL</w:t>
            </w:r>
          </w:p>
        </w:tc>
        <w:tc>
          <w:tcPr>
            <w:tcW w:w="303" w:type="pct"/>
            <w:tcBorders>
              <w:top w:val="single" w:sz="12" w:space="0" w:color="008000"/>
              <w:bottom w:val="single" w:sz="6" w:space="0" w:color="008000"/>
            </w:tcBorders>
            <w:shd w:val="clear" w:color="auto" w:fill="FFFFFF"/>
            <w:vAlign w:val="center"/>
          </w:tcPr>
          <w:p w14:paraId="4EAD05A0"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MQ</w:t>
            </w:r>
          </w:p>
        </w:tc>
        <w:tc>
          <w:tcPr>
            <w:tcW w:w="234" w:type="pct"/>
            <w:tcBorders>
              <w:top w:val="single" w:sz="12" w:space="0" w:color="008000"/>
              <w:bottom w:val="single" w:sz="6" w:space="0" w:color="008000"/>
            </w:tcBorders>
            <w:shd w:val="clear" w:color="auto" w:fill="FFFFFF"/>
            <w:vAlign w:val="center"/>
          </w:tcPr>
          <w:p w14:paraId="5EBDB6F2"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F</w:t>
            </w:r>
          </w:p>
        </w:tc>
        <w:tc>
          <w:tcPr>
            <w:tcW w:w="293" w:type="pct"/>
            <w:tcBorders>
              <w:top w:val="single" w:sz="12" w:space="0" w:color="008000"/>
              <w:bottom w:val="single" w:sz="6" w:space="0" w:color="008000"/>
            </w:tcBorders>
            <w:shd w:val="clear" w:color="auto" w:fill="FFFFFF"/>
            <w:vAlign w:val="center"/>
          </w:tcPr>
          <w:p w14:paraId="2F204A5E"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Value-P</w:t>
            </w:r>
          </w:p>
        </w:tc>
        <w:tc>
          <w:tcPr>
            <w:tcW w:w="230" w:type="pct"/>
            <w:shd w:val="clear" w:color="auto" w:fill="FFFFFF"/>
          </w:tcPr>
          <w:p w14:paraId="04D1B392" w14:textId="77777777" w:rsidR="003E5B4F" w:rsidRPr="00BE430E" w:rsidRDefault="003E5B4F" w:rsidP="00A66FBD">
            <w:pPr>
              <w:pStyle w:val="CETBodytext"/>
              <w:ind w:right="-1"/>
              <w:jc w:val="center"/>
              <w:rPr>
                <w:rFonts w:cs="Arial"/>
                <w:sz w:val="14"/>
                <w:szCs w:val="14"/>
                <w:lang w:val="en-GB"/>
              </w:rPr>
            </w:pPr>
          </w:p>
        </w:tc>
        <w:tc>
          <w:tcPr>
            <w:tcW w:w="1121" w:type="pct"/>
            <w:tcBorders>
              <w:top w:val="single" w:sz="12" w:space="0" w:color="008000"/>
              <w:bottom w:val="single" w:sz="6" w:space="0" w:color="008000"/>
            </w:tcBorders>
            <w:shd w:val="clear" w:color="auto" w:fill="FFFFFF"/>
            <w:vAlign w:val="center"/>
          </w:tcPr>
          <w:p w14:paraId="7BE29D16"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Source of Variation</w:t>
            </w:r>
          </w:p>
        </w:tc>
        <w:tc>
          <w:tcPr>
            <w:tcW w:w="234" w:type="pct"/>
            <w:tcBorders>
              <w:top w:val="single" w:sz="12" w:space="0" w:color="008000"/>
              <w:bottom w:val="single" w:sz="6" w:space="0" w:color="008000"/>
            </w:tcBorders>
            <w:shd w:val="clear" w:color="auto" w:fill="FFFFFF"/>
            <w:vAlign w:val="center"/>
          </w:tcPr>
          <w:p w14:paraId="3FB145E9"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QS</w:t>
            </w:r>
          </w:p>
        </w:tc>
        <w:tc>
          <w:tcPr>
            <w:tcW w:w="164" w:type="pct"/>
            <w:tcBorders>
              <w:top w:val="single" w:sz="12" w:space="0" w:color="008000"/>
              <w:bottom w:val="single" w:sz="6" w:space="0" w:color="008000"/>
            </w:tcBorders>
            <w:shd w:val="clear" w:color="auto" w:fill="FFFFFF"/>
            <w:vAlign w:val="center"/>
          </w:tcPr>
          <w:p w14:paraId="0ED3CB4C"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GL</w:t>
            </w:r>
          </w:p>
        </w:tc>
        <w:tc>
          <w:tcPr>
            <w:tcW w:w="234" w:type="pct"/>
            <w:tcBorders>
              <w:top w:val="single" w:sz="12" w:space="0" w:color="008000"/>
              <w:bottom w:val="single" w:sz="6" w:space="0" w:color="008000"/>
            </w:tcBorders>
            <w:shd w:val="clear" w:color="auto" w:fill="FFFFFF"/>
            <w:vAlign w:val="center"/>
          </w:tcPr>
          <w:p w14:paraId="6E2AD94E"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MQ</w:t>
            </w:r>
          </w:p>
        </w:tc>
        <w:tc>
          <w:tcPr>
            <w:tcW w:w="234" w:type="pct"/>
            <w:tcBorders>
              <w:top w:val="single" w:sz="12" w:space="0" w:color="008000"/>
              <w:bottom w:val="single" w:sz="6" w:space="0" w:color="008000"/>
            </w:tcBorders>
            <w:shd w:val="clear" w:color="auto" w:fill="FFFFFF"/>
            <w:vAlign w:val="center"/>
          </w:tcPr>
          <w:p w14:paraId="7CDF761A"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F</w:t>
            </w:r>
          </w:p>
        </w:tc>
        <w:tc>
          <w:tcPr>
            <w:tcW w:w="362" w:type="pct"/>
            <w:tcBorders>
              <w:top w:val="single" w:sz="12" w:space="0" w:color="008000"/>
              <w:bottom w:val="single" w:sz="6" w:space="0" w:color="008000"/>
            </w:tcBorders>
            <w:shd w:val="clear" w:color="auto" w:fill="FFFFFF"/>
            <w:vAlign w:val="center"/>
          </w:tcPr>
          <w:p w14:paraId="23C2AB86"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Value-P</w:t>
            </w:r>
          </w:p>
        </w:tc>
      </w:tr>
      <w:tr w:rsidR="003E5B4F" w:rsidRPr="00BE430E" w14:paraId="19BB99A3" w14:textId="77777777" w:rsidTr="00A66FBD">
        <w:tc>
          <w:tcPr>
            <w:tcW w:w="1121" w:type="pct"/>
            <w:tcBorders>
              <w:top w:val="single" w:sz="6" w:space="0" w:color="008000"/>
            </w:tcBorders>
            <w:shd w:val="clear" w:color="auto" w:fill="FFFFFF"/>
            <w:vAlign w:val="center"/>
          </w:tcPr>
          <w:p w14:paraId="367D674A"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Between groups</w:t>
            </w:r>
          </w:p>
        </w:tc>
        <w:tc>
          <w:tcPr>
            <w:tcW w:w="303" w:type="pct"/>
            <w:tcBorders>
              <w:top w:val="single" w:sz="6" w:space="0" w:color="008000"/>
            </w:tcBorders>
            <w:shd w:val="clear" w:color="auto" w:fill="FFFFFF"/>
            <w:vAlign w:val="center"/>
          </w:tcPr>
          <w:p w14:paraId="03F04672"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2.57</w:t>
            </w:r>
          </w:p>
        </w:tc>
        <w:tc>
          <w:tcPr>
            <w:tcW w:w="165" w:type="pct"/>
            <w:tcBorders>
              <w:top w:val="single" w:sz="6" w:space="0" w:color="008000"/>
            </w:tcBorders>
            <w:shd w:val="clear" w:color="auto" w:fill="FFFFFF"/>
            <w:vAlign w:val="center"/>
          </w:tcPr>
          <w:p w14:paraId="33CB3E9C"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w:t>
            </w:r>
          </w:p>
        </w:tc>
        <w:tc>
          <w:tcPr>
            <w:tcW w:w="303" w:type="pct"/>
            <w:tcBorders>
              <w:top w:val="single" w:sz="6" w:space="0" w:color="008000"/>
            </w:tcBorders>
            <w:shd w:val="clear" w:color="auto" w:fill="FFFFFF"/>
            <w:vAlign w:val="center"/>
          </w:tcPr>
          <w:p w14:paraId="172DAD2F"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2.57</w:t>
            </w:r>
          </w:p>
        </w:tc>
        <w:tc>
          <w:tcPr>
            <w:tcW w:w="234" w:type="pct"/>
            <w:tcBorders>
              <w:top w:val="single" w:sz="6" w:space="0" w:color="008000"/>
            </w:tcBorders>
            <w:shd w:val="clear" w:color="auto" w:fill="FFFFFF"/>
            <w:vAlign w:val="center"/>
          </w:tcPr>
          <w:p w14:paraId="4E5994A1"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11.06</w:t>
            </w:r>
          </w:p>
        </w:tc>
        <w:tc>
          <w:tcPr>
            <w:tcW w:w="293" w:type="pct"/>
            <w:tcBorders>
              <w:top w:val="single" w:sz="6" w:space="0" w:color="008000"/>
            </w:tcBorders>
            <w:shd w:val="clear" w:color="auto" w:fill="FFFFFF"/>
            <w:vAlign w:val="center"/>
          </w:tcPr>
          <w:p w14:paraId="5DA7B2F0"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0.016</w:t>
            </w:r>
          </w:p>
        </w:tc>
        <w:tc>
          <w:tcPr>
            <w:tcW w:w="230" w:type="pct"/>
            <w:shd w:val="clear" w:color="auto" w:fill="FFFFFF"/>
          </w:tcPr>
          <w:p w14:paraId="058881D9" w14:textId="77777777" w:rsidR="003E5B4F" w:rsidRPr="00BE430E" w:rsidRDefault="003E5B4F" w:rsidP="00A66FBD">
            <w:pPr>
              <w:pStyle w:val="CETBodytext"/>
              <w:ind w:right="-1"/>
              <w:jc w:val="center"/>
              <w:rPr>
                <w:rFonts w:cs="Arial"/>
                <w:sz w:val="14"/>
                <w:szCs w:val="14"/>
                <w:lang w:val="en-GB"/>
              </w:rPr>
            </w:pPr>
          </w:p>
        </w:tc>
        <w:tc>
          <w:tcPr>
            <w:tcW w:w="1121" w:type="pct"/>
            <w:tcBorders>
              <w:top w:val="single" w:sz="6" w:space="0" w:color="008000"/>
            </w:tcBorders>
            <w:shd w:val="clear" w:color="auto" w:fill="FFFFFF"/>
            <w:vAlign w:val="center"/>
          </w:tcPr>
          <w:p w14:paraId="60EA2172"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Between groups</w:t>
            </w:r>
          </w:p>
        </w:tc>
        <w:tc>
          <w:tcPr>
            <w:tcW w:w="234" w:type="pct"/>
            <w:tcBorders>
              <w:top w:val="single" w:sz="6" w:space="0" w:color="008000"/>
            </w:tcBorders>
            <w:shd w:val="clear" w:color="auto" w:fill="FFFFFF"/>
            <w:vAlign w:val="center"/>
          </w:tcPr>
          <w:p w14:paraId="1111F46C"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627.8</w:t>
            </w:r>
          </w:p>
        </w:tc>
        <w:tc>
          <w:tcPr>
            <w:tcW w:w="164" w:type="pct"/>
            <w:tcBorders>
              <w:top w:val="single" w:sz="6" w:space="0" w:color="008000"/>
            </w:tcBorders>
            <w:shd w:val="clear" w:color="auto" w:fill="FFFFFF"/>
            <w:vAlign w:val="center"/>
          </w:tcPr>
          <w:p w14:paraId="78DA9D2F"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w:t>
            </w:r>
          </w:p>
        </w:tc>
        <w:tc>
          <w:tcPr>
            <w:tcW w:w="234" w:type="pct"/>
            <w:tcBorders>
              <w:top w:val="single" w:sz="6" w:space="0" w:color="008000"/>
            </w:tcBorders>
            <w:shd w:val="clear" w:color="auto" w:fill="FFFFFF"/>
            <w:vAlign w:val="center"/>
          </w:tcPr>
          <w:p w14:paraId="75CD1EFD"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627.79</w:t>
            </w:r>
          </w:p>
        </w:tc>
        <w:tc>
          <w:tcPr>
            <w:tcW w:w="234" w:type="pct"/>
            <w:tcBorders>
              <w:top w:val="single" w:sz="6" w:space="0" w:color="008000"/>
            </w:tcBorders>
            <w:shd w:val="clear" w:color="auto" w:fill="FFFFFF"/>
            <w:vAlign w:val="center"/>
          </w:tcPr>
          <w:p w14:paraId="592AC71F"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1.20</w:t>
            </w:r>
          </w:p>
        </w:tc>
        <w:tc>
          <w:tcPr>
            <w:tcW w:w="362" w:type="pct"/>
            <w:tcBorders>
              <w:top w:val="single" w:sz="6" w:space="0" w:color="008000"/>
            </w:tcBorders>
            <w:shd w:val="clear" w:color="auto" w:fill="FFFFFF"/>
            <w:vAlign w:val="center"/>
          </w:tcPr>
          <w:p w14:paraId="5925C9CD"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0.314</w:t>
            </w:r>
          </w:p>
        </w:tc>
      </w:tr>
      <w:tr w:rsidR="003E5B4F" w:rsidRPr="00BE430E" w14:paraId="6A96E0C4" w14:textId="77777777" w:rsidTr="00A66FBD">
        <w:tc>
          <w:tcPr>
            <w:tcW w:w="1121" w:type="pct"/>
            <w:tcBorders>
              <w:bottom w:val="single" w:sz="12" w:space="0" w:color="008000"/>
            </w:tcBorders>
            <w:shd w:val="clear" w:color="auto" w:fill="FFFFFF"/>
            <w:vAlign w:val="center"/>
          </w:tcPr>
          <w:p w14:paraId="4D01C5BA"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In groups (error)</w:t>
            </w:r>
          </w:p>
        </w:tc>
        <w:tc>
          <w:tcPr>
            <w:tcW w:w="303" w:type="pct"/>
            <w:tcBorders>
              <w:bottom w:val="single" w:sz="12" w:space="0" w:color="008000"/>
            </w:tcBorders>
            <w:shd w:val="clear" w:color="auto" w:fill="FFFFFF"/>
            <w:vAlign w:val="center"/>
          </w:tcPr>
          <w:p w14:paraId="580B3D4C"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1.40</w:t>
            </w:r>
          </w:p>
        </w:tc>
        <w:tc>
          <w:tcPr>
            <w:tcW w:w="165" w:type="pct"/>
            <w:tcBorders>
              <w:bottom w:val="single" w:sz="12" w:space="0" w:color="008000"/>
            </w:tcBorders>
            <w:shd w:val="clear" w:color="auto" w:fill="FFFFFF"/>
            <w:vAlign w:val="center"/>
          </w:tcPr>
          <w:p w14:paraId="423B6673"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6</w:t>
            </w:r>
          </w:p>
        </w:tc>
        <w:tc>
          <w:tcPr>
            <w:tcW w:w="303" w:type="pct"/>
            <w:tcBorders>
              <w:bottom w:val="single" w:sz="12" w:space="0" w:color="008000"/>
            </w:tcBorders>
            <w:shd w:val="clear" w:color="auto" w:fill="FFFFFF"/>
            <w:vAlign w:val="center"/>
          </w:tcPr>
          <w:p w14:paraId="7BD61B72"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0.23</w:t>
            </w:r>
          </w:p>
        </w:tc>
        <w:tc>
          <w:tcPr>
            <w:tcW w:w="234" w:type="pct"/>
            <w:tcBorders>
              <w:bottom w:val="single" w:sz="12" w:space="0" w:color="008000"/>
            </w:tcBorders>
            <w:shd w:val="clear" w:color="auto" w:fill="FFFFFF"/>
            <w:vAlign w:val="center"/>
          </w:tcPr>
          <w:p w14:paraId="5FE7E42A" w14:textId="77777777" w:rsidR="003E5B4F" w:rsidRPr="00BE430E" w:rsidRDefault="003E5B4F" w:rsidP="00A66FBD">
            <w:pPr>
              <w:pStyle w:val="CETBodytext"/>
              <w:ind w:right="-1"/>
              <w:jc w:val="center"/>
              <w:rPr>
                <w:rFonts w:cs="Arial"/>
                <w:sz w:val="14"/>
                <w:szCs w:val="14"/>
                <w:lang w:val="en-GB"/>
              </w:rPr>
            </w:pPr>
          </w:p>
        </w:tc>
        <w:tc>
          <w:tcPr>
            <w:tcW w:w="293" w:type="pct"/>
            <w:tcBorders>
              <w:bottom w:val="single" w:sz="12" w:space="0" w:color="008000"/>
            </w:tcBorders>
            <w:shd w:val="clear" w:color="auto" w:fill="FFFFFF"/>
            <w:vAlign w:val="center"/>
          </w:tcPr>
          <w:p w14:paraId="5E2913EB" w14:textId="77777777" w:rsidR="003E5B4F" w:rsidRPr="00BE430E" w:rsidRDefault="003E5B4F" w:rsidP="00A66FBD">
            <w:pPr>
              <w:pStyle w:val="CETBodytext"/>
              <w:ind w:right="-1"/>
              <w:jc w:val="center"/>
              <w:rPr>
                <w:rFonts w:cs="Arial"/>
                <w:sz w:val="14"/>
                <w:szCs w:val="14"/>
                <w:lang w:val="en-GB"/>
              </w:rPr>
            </w:pPr>
          </w:p>
        </w:tc>
        <w:tc>
          <w:tcPr>
            <w:tcW w:w="230" w:type="pct"/>
            <w:shd w:val="clear" w:color="auto" w:fill="FFFFFF"/>
          </w:tcPr>
          <w:p w14:paraId="68EE1774" w14:textId="77777777" w:rsidR="003E5B4F" w:rsidRPr="00BE430E" w:rsidRDefault="003E5B4F" w:rsidP="00A66FBD">
            <w:pPr>
              <w:pStyle w:val="CETBodytext"/>
              <w:ind w:right="-1"/>
              <w:jc w:val="center"/>
              <w:rPr>
                <w:rFonts w:cs="Arial"/>
                <w:sz w:val="14"/>
                <w:szCs w:val="14"/>
                <w:lang w:val="en-GB"/>
              </w:rPr>
            </w:pPr>
          </w:p>
        </w:tc>
        <w:tc>
          <w:tcPr>
            <w:tcW w:w="1121" w:type="pct"/>
            <w:tcBorders>
              <w:bottom w:val="single" w:sz="12" w:space="0" w:color="008000"/>
            </w:tcBorders>
            <w:shd w:val="clear" w:color="auto" w:fill="FFFFFF"/>
            <w:vAlign w:val="center"/>
          </w:tcPr>
          <w:p w14:paraId="1106AB5D"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In groups (error)</w:t>
            </w:r>
          </w:p>
        </w:tc>
        <w:tc>
          <w:tcPr>
            <w:tcW w:w="234" w:type="pct"/>
            <w:tcBorders>
              <w:bottom w:val="single" w:sz="12" w:space="0" w:color="008000"/>
            </w:tcBorders>
            <w:shd w:val="clear" w:color="auto" w:fill="FFFFFF"/>
            <w:vAlign w:val="center"/>
          </w:tcPr>
          <w:p w14:paraId="47E8C9AE"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3126.9</w:t>
            </w:r>
          </w:p>
        </w:tc>
        <w:tc>
          <w:tcPr>
            <w:tcW w:w="164" w:type="pct"/>
            <w:tcBorders>
              <w:bottom w:val="single" w:sz="12" w:space="0" w:color="008000"/>
            </w:tcBorders>
            <w:shd w:val="clear" w:color="auto" w:fill="FFFFFF"/>
            <w:vAlign w:val="center"/>
          </w:tcPr>
          <w:p w14:paraId="488DE935"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6</w:t>
            </w:r>
          </w:p>
        </w:tc>
        <w:tc>
          <w:tcPr>
            <w:tcW w:w="234" w:type="pct"/>
            <w:tcBorders>
              <w:bottom w:val="single" w:sz="12" w:space="0" w:color="008000"/>
            </w:tcBorders>
            <w:shd w:val="clear" w:color="auto" w:fill="FFFFFF"/>
            <w:vAlign w:val="center"/>
          </w:tcPr>
          <w:p w14:paraId="07387DA9"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521.15</w:t>
            </w:r>
          </w:p>
        </w:tc>
        <w:tc>
          <w:tcPr>
            <w:tcW w:w="234" w:type="pct"/>
            <w:tcBorders>
              <w:bottom w:val="single" w:sz="12" w:space="0" w:color="008000"/>
            </w:tcBorders>
            <w:shd w:val="clear" w:color="auto" w:fill="FFFFFF"/>
            <w:vAlign w:val="center"/>
          </w:tcPr>
          <w:p w14:paraId="1D3962FC" w14:textId="77777777" w:rsidR="003E5B4F" w:rsidRPr="00BE430E" w:rsidRDefault="003E5B4F" w:rsidP="00A66FBD">
            <w:pPr>
              <w:pStyle w:val="CETBodytext"/>
              <w:ind w:right="-1"/>
              <w:jc w:val="center"/>
              <w:rPr>
                <w:rFonts w:cs="Arial"/>
                <w:sz w:val="14"/>
                <w:szCs w:val="14"/>
                <w:lang w:val="en-GB"/>
              </w:rPr>
            </w:pPr>
          </w:p>
        </w:tc>
        <w:tc>
          <w:tcPr>
            <w:tcW w:w="362" w:type="pct"/>
            <w:tcBorders>
              <w:bottom w:val="single" w:sz="12" w:space="0" w:color="008000"/>
            </w:tcBorders>
            <w:shd w:val="clear" w:color="auto" w:fill="FFFFFF"/>
            <w:vAlign w:val="center"/>
          </w:tcPr>
          <w:p w14:paraId="3D9725EE" w14:textId="77777777" w:rsidR="003E5B4F" w:rsidRPr="00BE430E" w:rsidRDefault="003E5B4F" w:rsidP="00A66FBD">
            <w:pPr>
              <w:pStyle w:val="CETBodytext"/>
              <w:ind w:right="-1"/>
              <w:jc w:val="center"/>
              <w:rPr>
                <w:rFonts w:cs="Arial"/>
                <w:sz w:val="14"/>
                <w:szCs w:val="14"/>
                <w:lang w:val="en-GB"/>
              </w:rPr>
            </w:pPr>
          </w:p>
        </w:tc>
      </w:tr>
      <w:tr w:rsidR="003E5B4F" w:rsidRPr="00BE430E" w14:paraId="097752BF" w14:textId="77777777" w:rsidTr="00A66FBD">
        <w:tc>
          <w:tcPr>
            <w:tcW w:w="1121" w:type="pct"/>
            <w:tcBorders>
              <w:top w:val="single" w:sz="12" w:space="0" w:color="008000"/>
            </w:tcBorders>
            <w:shd w:val="clear" w:color="auto" w:fill="FFFFFF"/>
            <w:vAlign w:val="center"/>
          </w:tcPr>
          <w:p w14:paraId="3939C015" w14:textId="77777777" w:rsidR="003E5B4F" w:rsidRPr="00BE430E" w:rsidRDefault="003E5B4F" w:rsidP="00A66FBD">
            <w:pPr>
              <w:pStyle w:val="CETBodytext"/>
              <w:ind w:right="-1"/>
              <w:jc w:val="left"/>
              <w:rPr>
                <w:rFonts w:cs="Arial"/>
                <w:sz w:val="14"/>
                <w:szCs w:val="14"/>
                <w:lang w:val="en-GB"/>
              </w:rPr>
            </w:pPr>
          </w:p>
        </w:tc>
        <w:tc>
          <w:tcPr>
            <w:tcW w:w="303" w:type="pct"/>
            <w:tcBorders>
              <w:top w:val="single" w:sz="12" w:space="0" w:color="008000"/>
            </w:tcBorders>
            <w:shd w:val="clear" w:color="auto" w:fill="FFFFFF"/>
            <w:vAlign w:val="center"/>
          </w:tcPr>
          <w:p w14:paraId="778AA949" w14:textId="77777777" w:rsidR="003E5B4F" w:rsidRPr="00BE430E" w:rsidRDefault="003E5B4F" w:rsidP="00A66FBD">
            <w:pPr>
              <w:pStyle w:val="CETBodytext"/>
              <w:ind w:right="-1"/>
              <w:jc w:val="center"/>
              <w:rPr>
                <w:rFonts w:cs="Arial"/>
                <w:sz w:val="14"/>
                <w:szCs w:val="14"/>
                <w:lang w:val="en-GB"/>
              </w:rPr>
            </w:pPr>
          </w:p>
        </w:tc>
        <w:tc>
          <w:tcPr>
            <w:tcW w:w="165" w:type="pct"/>
            <w:tcBorders>
              <w:top w:val="single" w:sz="12" w:space="0" w:color="008000"/>
            </w:tcBorders>
            <w:shd w:val="clear" w:color="auto" w:fill="FFFFFF"/>
            <w:vAlign w:val="center"/>
          </w:tcPr>
          <w:p w14:paraId="1D8D568C" w14:textId="77777777" w:rsidR="003E5B4F" w:rsidRPr="00BE430E" w:rsidRDefault="003E5B4F" w:rsidP="00A66FBD">
            <w:pPr>
              <w:pStyle w:val="CETBodytext"/>
              <w:ind w:right="-1"/>
              <w:jc w:val="center"/>
              <w:rPr>
                <w:rFonts w:cs="Arial"/>
                <w:sz w:val="14"/>
                <w:szCs w:val="14"/>
                <w:lang w:val="en-GB"/>
              </w:rPr>
            </w:pPr>
          </w:p>
        </w:tc>
        <w:tc>
          <w:tcPr>
            <w:tcW w:w="303" w:type="pct"/>
            <w:tcBorders>
              <w:top w:val="single" w:sz="12" w:space="0" w:color="008000"/>
            </w:tcBorders>
            <w:shd w:val="clear" w:color="auto" w:fill="FFFFFF"/>
            <w:vAlign w:val="center"/>
          </w:tcPr>
          <w:p w14:paraId="523E0A9B" w14:textId="77777777" w:rsidR="003E5B4F" w:rsidRPr="00BE430E" w:rsidRDefault="003E5B4F" w:rsidP="00A66FBD">
            <w:pPr>
              <w:pStyle w:val="CETBodytext"/>
              <w:ind w:right="-1"/>
              <w:jc w:val="center"/>
              <w:rPr>
                <w:rFonts w:cs="Arial"/>
                <w:sz w:val="14"/>
                <w:szCs w:val="14"/>
                <w:lang w:val="en-GB"/>
              </w:rPr>
            </w:pPr>
          </w:p>
        </w:tc>
        <w:tc>
          <w:tcPr>
            <w:tcW w:w="234" w:type="pct"/>
            <w:tcBorders>
              <w:top w:val="single" w:sz="12" w:space="0" w:color="008000"/>
            </w:tcBorders>
            <w:shd w:val="clear" w:color="auto" w:fill="FFFFFF"/>
            <w:vAlign w:val="center"/>
          </w:tcPr>
          <w:p w14:paraId="3129BCAB" w14:textId="77777777" w:rsidR="003E5B4F" w:rsidRPr="00BE430E" w:rsidRDefault="003E5B4F" w:rsidP="00A66FBD">
            <w:pPr>
              <w:pStyle w:val="CETBodytext"/>
              <w:ind w:right="-1"/>
              <w:jc w:val="center"/>
              <w:rPr>
                <w:rFonts w:cs="Arial"/>
                <w:sz w:val="14"/>
                <w:szCs w:val="14"/>
                <w:lang w:val="en-GB"/>
              </w:rPr>
            </w:pPr>
          </w:p>
        </w:tc>
        <w:tc>
          <w:tcPr>
            <w:tcW w:w="293" w:type="pct"/>
            <w:tcBorders>
              <w:top w:val="single" w:sz="12" w:space="0" w:color="008000"/>
            </w:tcBorders>
            <w:shd w:val="clear" w:color="auto" w:fill="FFFFFF"/>
            <w:vAlign w:val="center"/>
          </w:tcPr>
          <w:p w14:paraId="2937B63A" w14:textId="77777777" w:rsidR="003E5B4F" w:rsidRPr="00BE430E" w:rsidRDefault="003E5B4F" w:rsidP="00A66FBD">
            <w:pPr>
              <w:pStyle w:val="CETBodytext"/>
              <w:ind w:right="-1"/>
              <w:jc w:val="center"/>
              <w:rPr>
                <w:rFonts w:cs="Arial"/>
                <w:sz w:val="14"/>
                <w:szCs w:val="14"/>
                <w:lang w:val="en-GB"/>
              </w:rPr>
            </w:pPr>
          </w:p>
        </w:tc>
        <w:tc>
          <w:tcPr>
            <w:tcW w:w="230" w:type="pct"/>
            <w:shd w:val="clear" w:color="auto" w:fill="FFFFFF"/>
          </w:tcPr>
          <w:p w14:paraId="59569B32" w14:textId="77777777" w:rsidR="003E5B4F" w:rsidRPr="00BE430E" w:rsidRDefault="003E5B4F" w:rsidP="00A66FBD">
            <w:pPr>
              <w:pStyle w:val="CETBodytext"/>
              <w:ind w:right="-1"/>
              <w:jc w:val="center"/>
              <w:rPr>
                <w:rFonts w:cs="Arial"/>
                <w:sz w:val="14"/>
                <w:szCs w:val="14"/>
                <w:lang w:val="en-GB"/>
              </w:rPr>
            </w:pPr>
          </w:p>
        </w:tc>
        <w:tc>
          <w:tcPr>
            <w:tcW w:w="1121" w:type="pct"/>
            <w:tcBorders>
              <w:top w:val="single" w:sz="12" w:space="0" w:color="008000"/>
            </w:tcBorders>
            <w:shd w:val="clear" w:color="auto" w:fill="FFFFFF"/>
            <w:vAlign w:val="center"/>
          </w:tcPr>
          <w:p w14:paraId="6A8CBBFB" w14:textId="77777777" w:rsidR="003E5B4F" w:rsidRPr="00BE430E" w:rsidRDefault="003E5B4F" w:rsidP="00A66FBD">
            <w:pPr>
              <w:pStyle w:val="CETBodytext"/>
              <w:ind w:right="-1"/>
              <w:jc w:val="left"/>
              <w:rPr>
                <w:rFonts w:cs="Arial"/>
                <w:sz w:val="14"/>
                <w:szCs w:val="14"/>
                <w:lang w:val="en-GB"/>
              </w:rPr>
            </w:pPr>
          </w:p>
        </w:tc>
        <w:tc>
          <w:tcPr>
            <w:tcW w:w="234" w:type="pct"/>
            <w:tcBorders>
              <w:top w:val="single" w:sz="12" w:space="0" w:color="008000"/>
            </w:tcBorders>
            <w:shd w:val="clear" w:color="auto" w:fill="FFFFFF"/>
            <w:vAlign w:val="center"/>
          </w:tcPr>
          <w:p w14:paraId="34147ED3" w14:textId="77777777" w:rsidR="003E5B4F" w:rsidRPr="00BE430E" w:rsidRDefault="003E5B4F" w:rsidP="00A66FBD">
            <w:pPr>
              <w:pStyle w:val="CETBodytext"/>
              <w:ind w:right="-1"/>
              <w:jc w:val="center"/>
              <w:rPr>
                <w:rFonts w:cs="Arial"/>
                <w:sz w:val="14"/>
                <w:szCs w:val="14"/>
                <w:lang w:val="en-GB"/>
              </w:rPr>
            </w:pPr>
          </w:p>
        </w:tc>
        <w:tc>
          <w:tcPr>
            <w:tcW w:w="164" w:type="pct"/>
            <w:tcBorders>
              <w:top w:val="single" w:sz="12" w:space="0" w:color="008000"/>
            </w:tcBorders>
            <w:shd w:val="clear" w:color="auto" w:fill="FFFFFF"/>
            <w:vAlign w:val="center"/>
          </w:tcPr>
          <w:p w14:paraId="11523B0C" w14:textId="77777777" w:rsidR="003E5B4F" w:rsidRPr="00BE430E" w:rsidRDefault="003E5B4F" w:rsidP="00A66FBD">
            <w:pPr>
              <w:pStyle w:val="CETBodytext"/>
              <w:ind w:right="-1"/>
              <w:jc w:val="center"/>
              <w:rPr>
                <w:rFonts w:cs="Arial"/>
                <w:sz w:val="14"/>
                <w:szCs w:val="14"/>
                <w:lang w:val="en-GB"/>
              </w:rPr>
            </w:pPr>
          </w:p>
        </w:tc>
        <w:tc>
          <w:tcPr>
            <w:tcW w:w="234" w:type="pct"/>
            <w:tcBorders>
              <w:top w:val="single" w:sz="12" w:space="0" w:color="008000"/>
            </w:tcBorders>
            <w:shd w:val="clear" w:color="auto" w:fill="FFFFFF"/>
            <w:vAlign w:val="center"/>
          </w:tcPr>
          <w:p w14:paraId="1AAFFF66" w14:textId="77777777" w:rsidR="003E5B4F" w:rsidRPr="00BE430E" w:rsidRDefault="003E5B4F" w:rsidP="00A66FBD">
            <w:pPr>
              <w:pStyle w:val="CETBodytext"/>
              <w:ind w:right="-1"/>
              <w:jc w:val="center"/>
              <w:rPr>
                <w:rFonts w:cs="Arial"/>
                <w:sz w:val="14"/>
                <w:szCs w:val="14"/>
                <w:lang w:val="en-GB"/>
              </w:rPr>
            </w:pPr>
          </w:p>
        </w:tc>
        <w:tc>
          <w:tcPr>
            <w:tcW w:w="234" w:type="pct"/>
            <w:tcBorders>
              <w:top w:val="single" w:sz="12" w:space="0" w:color="008000"/>
            </w:tcBorders>
            <w:shd w:val="clear" w:color="auto" w:fill="FFFFFF"/>
            <w:vAlign w:val="center"/>
          </w:tcPr>
          <w:p w14:paraId="6CE59CD5" w14:textId="77777777" w:rsidR="003E5B4F" w:rsidRPr="00BE430E" w:rsidRDefault="003E5B4F" w:rsidP="00A66FBD">
            <w:pPr>
              <w:pStyle w:val="CETBodytext"/>
              <w:ind w:right="-1"/>
              <w:jc w:val="center"/>
              <w:rPr>
                <w:rFonts w:cs="Arial"/>
                <w:sz w:val="14"/>
                <w:szCs w:val="14"/>
                <w:lang w:val="en-GB"/>
              </w:rPr>
            </w:pPr>
          </w:p>
        </w:tc>
        <w:tc>
          <w:tcPr>
            <w:tcW w:w="362" w:type="pct"/>
            <w:tcBorders>
              <w:top w:val="single" w:sz="12" w:space="0" w:color="008000"/>
            </w:tcBorders>
            <w:shd w:val="clear" w:color="auto" w:fill="FFFFFF"/>
            <w:vAlign w:val="center"/>
          </w:tcPr>
          <w:p w14:paraId="3FBE7ABC" w14:textId="77777777" w:rsidR="003E5B4F" w:rsidRPr="00BE430E" w:rsidRDefault="003E5B4F" w:rsidP="00A66FBD">
            <w:pPr>
              <w:pStyle w:val="CETBodytext"/>
              <w:ind w:right="-1"/>
              <w:jc w:val="center"/>
              <w:rPr>
                <w:rFonts w:cs="Arial"/>
                <w:sz w:val="14"/>
                <w:szCs w:val="14"/>
                <w:lang w:val="en-GB"/>
              </w:rPr>
            </w:pPr>
          </w:p>
        </w:tc>
      </w:tr>
      <w:tr w:rsidR="003E5B4F" w:rsidRPr="00BE430E" w14:paraId="56D44D13" w14:textId="77777777" w:rsidTr="00A66FBD">
        <w:tc>
          <w:tcPr>
            <w:tcW w:w="1121" w:type="pct"/>
            <w:tcBorders>
              <w:bottom w:val="single" w:sz="12" w:space="0" w:color="008000"/>
            </w:tcBorders>
            <w:shd w:val="clear" w:color="auto" w:fill="FFFFFF"/>
            <w:vAlign w:val="center"/>
          </w:tcPr>
          <w:p w14:paraId="41AE11B3"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Furfural – D110</w:t>
            </w:r>
          </w:p>
        </w:tc>
        <w:tc>
          <w:tcPr>
            <w:tcW w:w="303" w:type="pct"/>
            <w:tcBorders>
              <w:bottom w:val="single" w:sz="12" w:space="0" w:color="008000"/>
            </w:tcBorders>
            <w:shd w:val="clear" w:color="auto" w:fill="FFFFFF"/>
            <w:vAlign w:val="center"/>
          </w:tcPr>
          <w:p w14:paraId="4DE9CF3A" w14:textId="77777777" w:rsidR="003E5B4F" w:rsidRPr="00BE430E" w:rsidRDefault="003E5B4F" w:rsidP="00A66FBD">
            <w:pPr>
              <w:pStyle w:val="CETBodytext"/>
              <w:ind w:right="-1"/>
              <w:jc w:val="center"/>
              <w:rPr>
                <w:rFonts w:cs="Arial"/>
                <w:sz w:val="14"/>
                <w:szCs w:val="14"/>
                <w:lang w:val="en-GB"/>
              </w:rPr>
            </w:pPr>
          </w:p>
        </w:tc>
        <w:tc>
          <w:tcPr>
            <w:tcW w:w="165" w:type="pct"/>
            <w:tcBorders>
              <w:bottom w:val="single" w:sz="12" w:space="0" w:color="008000"/>
            </w:tcBorders>
            <w:shd w:val="clear" w:color="auto" w:fill="FFFFFF"/>
            <w:vAlign w:val="center"/>
          </w:tcPr>
          <w:p w14:paraId="1DBFBDB0" w14:textId="77777777" w:rsidR="003E5B4F" w:rsidRPr="00BE430E" w:rsidRDefault="003E5B4F" w:rsidP="00A66FBD">
            <w:pPr>
              <w:pStyle w:val="CETBodytext"/>
              <w:ind w:right="-1"/>
              <w:jc w:val="center"/>
              <w:rPr>
                <w:rFonts w:cs="Arial"/>
                <w:sz w:val="14"/>
                <w:szCs w:val="14"/>
                <w:lang w:val="en-GB"/>
              </w:rPr>
            </w:pPr>
          </w:p>
        </w:tc>
        <w:tc>
          <w:tcPr>
            <w:tcW w:w="303" w:type="pct"/>
            <w:tcBorders>
              <w:bottom w:val="single" w:sz="12" w:space="0" w:color="008000"/>
            </w:tcBorders>
            <w:shd w:val="clear" w:color="auto" w:fill="FFFFFF"/>
            <w:vAlign w:val="center"/>
          </w:tcPr>
          <w:p w14:paraId="5FDCC5B4" w14:textId="77777777" w:rsidR="003E5B4F" w:rsidRPr="00BE430E" w:rsidRDefault="003E5B4F" w:rsidP="00A66FBD">
            <w:pPr>
              <w:pStyle w:val="CETBodytext"/>
              <w:ind w:right="-1"/>
              <w:jc w:val="center"/>
              <w:rPr>
                <w:rFonts w:cs="Arial"/>
                <w:sz w:val="14"/>
                <w:szCs w:val="14"/>
                <w:lang w:val="en-GB"/>
              </w:rPr>
            </w:pPr>
          </w:p>
        </w:tc>
        <w:tc>
          <w:tcPr>
            <w:tcW w:w="234" w:type="pct"/>
            <w:tcBorders>
              <w:bottom w:val="single" w:sz="12" w:space="0" w:color="008000"/>
            </w:tcBorders>
            <w:shd w:val="clear" w:color="auto" w:fill="FFFFFF"/>
            <w:vAlign w:val="center"/>
          </w:tcPr>
          <w:p w14:paraId="33997025" w14:textId="77777777" w:rsidR="003E5B4F" w:rsidRPr="00BE430E" w:rsidRDefault="003E5B4F" w:rsidP="00A66FBD">
            <w:pPr>
              <w:pStyle w:val="CETBodytext"/>
              <w:ind w:right="-1"/>
              <w:jc w:val="center"/>
              <w:rPr>
                <w:rFonts w:cs="Arial"/>
                <w:sz w:val="14"/>
                <w:szCs w:val="14"/>
                <w:lang w:val="en-GB"/>
              </w:rPr>
            </w:pPr>
          </w:p>
        </w:tc>
        <w:tc>
          <w:tcPr>
            <w:tcW w:w="293" w:type="pct"/>
            <w:tcBorders>
              <w:bottom w:val="single" w:sz="12" w:space="0" w:color="008000"/>
            </w:tcBorders>
            <w:shd w:val="clear" w:color="auto" w:fill="FFFFFF"/>
            <w:vAlign w:val="center"/>
          </w:tcPr>
          <w:p w14:paraId="2070088B" w14:textId="77777777" w:rsidR="003E5B4F" w:rsidRPr="00BE430E" w:rsidRDefault="003E5B4F" w:rsidP="00A66FBD">
            <w:pPr>
              <w:pStyle w:val="CETBodytext"/>
              <w:ind w:right="-1"/>
              <w:jc w:val="center"/>
              <w:rPr>
                <w:rFonts w:cs="Arial"/>
                <w:sz w:val="14"/>
                <w:szCs w:val="14"/>
                <w:lang w:val="en-GB"/>
              </w:rPr>
            </w:pPr>
          </w:p>
        </w:tc>
        <w:tc>
          <w:tcPr>
            <w:tcW w:w="230" w:type="pct"/>
            <w:shd w:val="clear" w:color="auto" w:fill="FFFFFF"/>
          </w:tcPr>
          <w:p w14:paraId="050492D1" w14:textId="77777777" w:rsidR="003E5B4F" w:rsidRPr="00BE430E" w:rsidRDefault="003E5B4F" w:rsidP="00A66FBD">
            <w:pPr>
              <w:pStyle w:val="CETBodytext"/>
              <w:ind w:right="-1"/>
              <w:jc w:val="center"/>
              <w:rPr>
                <w:rFonts w:cs="Arial"/>
                <w:sz w:val="14"/>
                <w:szCs w:val="14"/>
                <w:lang w:val="en-GB"/>
              </w:rPr>
            </w:pPr>
          </w:p>
        </w:tc>
        <w:tc>
          <w:tcPr>
            <w:tcW w:w="1121" w:type="pct"/>
            <w:tcBorders>
              <w:bottom w:val="single" w:sz="12" w:space="0" w:color="008000"/>
            </w:tcBorders>
            <w:shd w:val="clear" w:color="auto" w:fill="FFFFFF"/>
            <w:vAlign w:val="center"/>
          </w:tcPr>
          <w:p w14:paraId="1B8118FF"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Furfural – D150</w:t>
            </w:r>
          </w:p>
        </w:tc>
        <w:tc>
          <w:tcPr>
            <w:tcW w:w="234" w:type="pct"/>
            <w:tcBorders>
              <w:bottom w:val="single" w:sz="12" w:space="0" w:color="008000"/>
            </w:tcBorders>
            <w:shd w:val="clear" w:color="auto" w:fill="FFFFFF"/>
            <w:vAlign w:val="center"/>
          </w:tcPr>
          <w:p w14:paraId="42A8A389" w14:textId="77777777" w:rsidR="003E5B4F" w:rsidRPr="00BE430E" w:rsidRDefault="003E5B4F" w:rsidP="00A66FBD">
            <w:pPr>
              <w:pStyle w:val="CETBodytext"/>
              <w:ind w:right="-1"/>
              <w:jc w:val="center"/>
              <w:rPr>
                <w:rFonts w:cs="Arial"/>
                <w:sz w:val="14"/>
                <w:szCs w:val="14"/>
                <w:lang w:val="en-GB"/>
              </w:rPr>
            </w:pPr>
          </w:p>
        </w:tc>
        <w:tc>
          <w:tcPr>
            <w:tcW w:w="164" w:type="pct"/>
            <w:tcBorders>
              <w:bottom w:val="single" w:sz="12" w:space="0" w:color="008000"/>
            </w:tcBorders>
            <w:shd w:val="clear" w:color="auto" w:fill="FFFFFF"/>
            <w:vAlign w:val="center"/>
          </w:tcPr>
          <w:p w14:paraId="5A96A1C0" w14:textId="77777777" w:rsidR="003E5B4F" w:rsidRPr="00BE430E" w:rsidRDefault="003E5B4F" w:rsidP="00A66FBD">
            <w:pPr>
              <w:pStyle w:val="CETBodytext"/>
              <w:ind w:right="-1"/>
              <w:jc w:val="center"/>
              <w:rPr>
                <w:rFonts w:cs="Arial"/>
                <w:sz w:val="14"/>
                <w:szCs w:val="14"/>
                <w:lang w:val="en-GB"/>
              </w:rPr>
            </w:pPr>
          </w:p>
        </w:tc>
        <w:tc>
          <w:tcPr>
            <w:tcW w:w="234" w:type="pct"/>
            <w:tcBorders>
              <w:bottom w:val="single" w:sz="12" w:space="0" w:color="008000"/>
            </w:tcBorders>
            <w:shd w:val="clear" w:color="auto" w:fill="FFFFFF"/>
            <w:vAlign w:val="center"/>
          </w:tcPr>
          <w:p w14:paraId="5FC81A90" w14:textId="77777777" w:rsidR="003E5B4F" w:rsidRPr="00BE430E" w:rsidRDefault="003E5B4F" w:rsidP="00A66FBD">
            <w:pPr>
              <w:pStyle w:val="CETBodytext"/>
              <w:ind w:right="-1"/>
              <w:jc w:val="center"/>
              <w:rPr>
                <w:rFonts w:cs="Arial"/>
                <w:sz w:val="14"/>
                <w:szCs w:val="14"/>
                <w:lang w:val="en-GB"/>
              </w:rPr>
            </w:pPr>
          </w:p>
        </w:tc>
        <w:tc>
          <w:tcPr>
            <w:tcW w:w="234" w:type="pct"/>
            <w:tcBorders>
              <w:bottom w:val="single" w:sz="12" w:space="0" w:color="008000"/>
            </w:tcBorders>
            <w:shd w:val="clear" w:color="auto" w:fill="FFFFFF"/>
            <w:vAlign w:val="center"/>
          </w:tcPr>
          <w:p w14:paraId="1AB00206" w14:textId="77777777" w:rsidR="003E5B4F" w:rsidRPr="00BE430E" w:rsidRDefault="003E5B4F" w:rsidP="00A66FBD">
            <w:pPr>
              <w:pStyle w:val="CETBodytext"/>
              <w:ind w:right="-1"/>
              <w:jc w:val="center"/>
              <w:rPr>
                <w:rFonts w:cs="Arial"/>
                <w:sz w:val="14"/>
                <w:szCs w:val="14"/>
                <w:lang w:val="en-GB"/>
              </w:rPr>
            </w:pPr>
          </w:p>
        </w:tc>
        <w:tc>
          <w:tcPr>
            <w:tcW w:w="362" w:type="pct"/>
            <w:tcBorders>
              <w:bottom w:val="single" w:sz="12" w:space="0" w:color="008000"/>
            </w:tcBorders>
            <w:shd w:val="clear" w:color="auto" w:fill="FFFFFF"/>
            <w:vAlign w:val="center"/>
          </w:tcPr>
          <w:p w14:paraId="6D4A4F62" w14:textId="77777777" w:rsidR="003E5B4F" w:rsidRPr="00BE430E" w:rsidRDefault="003E5B4F" w:rsidP="00A66FBD">
            <w:pPr>
              <w:pStyle w:val="CETBodytext"/>
              <w:ind w:right="-1"/>
              <w:jc w:val="center"/>
              <w:rPr>
                <w:rFonts w:cs="Arial"/>
                <w:sz w:val="14"/>
                <w:szCs w:val="14"/>
                <w:lang w:val="en-GB"/>
              </w:rPr>
            </w:pPr>
          </w:p>
        </w:tc>
      </w:tr>
      <w:tr w:rsidR="003E5B4F" w:rsidRPr="00BE430E" w14:paraId="33CF2D28" w14:textId="77777777" w:rsidTr="00A66FBD">
        <w:tc>
          <w:tcPr>
            <w:tcW w:w="1121" w:type="pct"/>
            <w:tcBorders>
              <w:top w:val="single" w:sz="12" w:space="0" w:color="008000"/>
              <w:bottom w:val="single" w:sz="6" w:space="0" w:color="008000"/>
            </w:tcBorders>
            <w:shd w:val="clear" w:color="auto" w:fill="FFFFFF"/>
            <w:vAlign w:val="center"/>
          </w:tcPr>
          <w:p w14:paraId="299DB017"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Source of Variation</w:t>
            </w:r>
          </w:p>
        </w:tc>
        <w:tc>
          <w:tcPr>
            <w:tcW w:w="303" w:type="pct"/>
            <w:tcBorders>
              <w:top w:val="single" w:sz="12" w:space="0" w:color="008000"/>
              <w:bottom w:val="single" w:sz="6" w:space="0" w:color="008000"/>
            </w:tcBorders>
            <w:shd w:val="clear" w:color="auto" w:fill="FFFFFF"/>
            <w:vAlign w:val="center"/>
          </w:tcPr>
          <w:p w14:paraId="21792232"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QS</w:t>
            </w:r>
          </w:p>
        </w:tc>
        <w:tc>
          <w:tcPr>
            <w:tcW w:w="165" w:type="pct"/>
            <w:tcBorders>
              <w:top w:val="single" w:sz="12" w:space="0" w:color="008000"/>
              <w:bottom w:val="single" w:sz="6" w:space="0" w:color="008000"/>
            </w:tcBorders>
            <w:shd w:val="clear" w:color="auto" w:fill="FFFFFF"/>
            <w:vAlign w:val="center"/>
          </w:tcPr>
          <w:p w14:paraId="3F21A8B6"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GL</w:t>
            </w:r>
          </w:p>
        </w:tc>
        <w:tc>
          <w:tcPr>
            <w:tcW w:w="303" w:type="pct"/>
            <w:tcBorders>
              <w:top w:val="single" w:sz="12" w:space="0" w:color="008000"/>
              <w:bottom w:val="single" w:sz="6" w:space="0" w:color="008000"/>
            </w:tcBorders>
            <w:shd w:val="clear" w:color="auto" w:fill="FFFFFF"/>
            <w:vAlign w:val="center"/>
          </w:tcPr>
          <w:p w14:paraId="09523213"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MQ</w:t>
            </w:r>
          </w:p>
        </w:tc>
        <w:tc>
          <w:tcPr>
            <w:tcW w:w="234" w:type="pct"/>
            <w:tcBorders>
              <w:top w:val="single" w:sz="12" w:space="0" w:color="008000"/>
              <w:bottom w:val="single" w:sz="6" w:space="0" w:color="008000"/>
            </w:tcBorders>
            <w:shd w:val="clear" w:color="auto" w:fill="FFFFFF"/>
            <w:vAlign w:val="center"/>
          </w:tcPr>
          <w:p w14:paraId="3157C238"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F</w:t>
            </w:r>
          </w:p>
        </w:tc>
        <w:tc>
          <w:tcPr>
            <w:tcW w:w="293" w:type="pct"/>
            <w:tcBorders>
              <w:top w:val="single" w:sz="12" w:space="0" w:color="008000"/>
              <w:bottom w:val="single" w:sz="6" w:space="0" w:color="008000"/>
            </w:tcBorders>
            <w:shd w:val="clear" w:color="auto" w:fill="FFFFFF"/>
            <w:vAlign w:val="center"/>
          </w:tcPr>
          <w:p w14:paraId="0EC2A47B"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Value-P</w:t>
            </w:r>
          </w:p>
        </w:tc>
        <w:tc>
          <w:tcPr>
            <w:tcW w:w="230" w:type="pct"/>
            <w:shd w:val="clear" w:color="auto" w:fill="FFFFFF"/>
          </w:tcPr>
          <w:p w14:paraId="5C2CB6C2" w14:textId="77777777" w:rsidR="003E5B4F" w:rsidRPr="00BE430E" w:rsidRDefault="003E5B4F" w:rsidP="00A66FBD">
            <w:pPr>
              <w:pStyle w:val="CETBodytext"/>
              <w:ind w:right="-1"/>
              <w:jc w:val="center"/>
              <w:rPr>
                <w:rFonts w:cs="Arial"/>
                <w:sz w:val="14"/>
                <w:szCs w:val="14"/>
                <w:lang w:val="en-GB"/>
              </w:rPr>
            </w:pPr>
          </w:p>
        </w:tc>
        <w:tc>
          <w:tcPr>
            <w:tcW w:w="1121" w:type="pct"/>
            <w:tcBorders>
              <w:top w:val="single" w:sz="12" w:space="0" w:color="008000"/>
              <w:bottom w:val="single" w:sz="6" w:space="0" w:color="008000"/>
            </w:tcBorders>
            <w:shd w:val="clear" w:color="auto" w:fill="FFFFFF"/>
            <w:vAlign w:val="center"/>
          </w:tcPr>
          <w:p w14:paraId="3A6C1388"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Source of Variation</w:t>
            </w:r>
          </w:p>
        </w:tc>
        <w:tc>
          <w:tcPr>
            <w:tcW w:w="234" w:type="pct"/>
            <w:tcBorders>
              <w:top w:val="single" w:sz="12" w:space="0" w:color="008000"/>
              <w:bottom w:val="single" w:sz="6" w:space="0" w:color="008000"/>
            </w:tcBorders>
            <w:shd w:val="clear" w:color="auto" w:fill="FFFFFF"/>
            <w:vAlign w:val="center"/>
          </w:tcPr>
          <w:p w14:paraId="5F362730"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QS</w:t>
            </w:r>
          </w:p>
        </w:tc>
        <w:tc>
          <w:tcPr>
            <w:tcW w:w="164" w:type="pct"/>
            <w:tcBorders>
              <w:top w:val="single" w:sz="12" w:space="0" w:color="008000"/>
              <w:bottom w:val="single" w:sz="6" w:space="0" w:color="008000"/>
            </w:tcBorders>
            <w:shd w:val="clear" w:color="auto" w:fill="FFFFFF"/>
            <w:vAlign w:val="center"/>
          </w:tcPr>
          <w:p w14:paraId="3B8A5406"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GL</w:t>
            </w:r>
          </w:p>
        </w:tc>
        <w:tc>
          <w:tcPr>
            <w:tcW w:w="234" w:type="pct"/>
            <w:tcBorders>
              <w:top w:val="single" w:sz="12" w:space="0" w:color="008000"/>
              <w:bottom w:val="single" w:sz="6" w:space="0" w:color="008000"/>
            </w:tcBorders>
            <w:shd w:val="clear" w:color="auto" w:fill="FFFFFF"/>
            <w:vAlign w:val="center"/>
          </w:tcPr>
          <w:p w14:paraId="44C6401F"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MQ</w:t>
            </w:r>
          </w:p>
        </w:tc>
        <w:tc>
          <w:tcPr>
            <w:tcW w:w="234" w:type="pct"/>
            <w:tcBorders>
              <w:top w:val="single" w:sz="12" w:space="0" w:color="008000"/>
              <w:bottom w:val="single" w:sz="6" w:space="0" w:color="008000"/>
            </w:tcBorders>
            <w:shd w:val="clear" w:color="auto" w:fill="FFFFFF"/>
            <w:vAlign w:val="center"/>
          </w:tcPr>
          <w:p w14:paraId="0496CC38"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F</w:t>
            </w:r>
          </w:p>
        </w:tc>
        <w:tc>
          <w:tcPr>
            <w:tcW w:w="362" w:type="pct"/>
            <w:tcBorders>
              <w:top w:val="single" w:sz="12" w:space="0" w:color="008000"/>
              <w:bottom w:val="single" w:sz="6" w:space="0" w:color="008000"/>
            </w:tcBorders>
            <w:shd w:val="clear" w:color="auto" w:fill="FFFFFF"/>
            <w:vAlign w:val="center"/>
          </w:tcPr>
          <w:p w14:paraId="2825237D"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Value-P</w:t>
            </w:r>
          </w:p>
        </w:tc>
      </w:tr>
      <w:tr w:rsidR="003E5B4F" w:rsidRPr="00BE430E" w14:paraId="0B1F4865" w14:textId="77777777" w:rsidTr="00A66FBD">
        <w:tc>
          <w:tcPr>
            <w:tcW w:w="1121" w:type="pct"/>
            <w:tcBorders>
              <w:top w:val="single" w:sz="6" w:space="0" w:color="008000"/>
            </w:tcBorders>
            <w:shd w:val="clear" w:color="auto" w:fill="FFFFFF"/>
            <w:vAlign w:val="center"/>
          </w:tcPr>
          <w:p w14:paraId="2E041A98"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Between groups</w:t>
            </w:r>
          </w:p>
        </w:tc>
        <w:tc>
          <w:tcPr>
            <w:tcW w:w="303" w:type="pct"/>
            <w:tcBorders>
              <w:top w:val="single" w:sz="6" w:space="0" w:color="008000"/>
            </w:tcBorders>
            <w:shd w:val="clear" w:color="auto" w:fill="FFFFFF"/>
            <w:vAlign w:val="center"/>
          </w:tcPr>
          <w:p w14:paraId="6E7D027F"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1.22</w:t>
            </w:r>
          </w:p>
        </w:tc>
        <w:tc>
          <w:tcPr>
            <w:tcW w:w="165" w:type="pct"/>
            <w:tcBorders>
              <w:top w:val="single" w:sz="6" w:space="0" w:color="008000"/>
            </w:tcBorders>
            <w:shd w:val="clear" w:color="auto" w:fill="FFFFFF"/>
            <w:vAlign w:val="center"/>
          </w:tcPr>
          <w:p w14:paraId="4CD5B4B4"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w:t>
            </w:r>
          </w:p>
        </w:tc>
        <w:tc>
          <w:tcPr>
            <w:tcW w:w="303" w:type="pct"/>
            <w:tcBorders>
              <w:top w:val="single" w:sz="6" w:space="0" w:color="008000"/>
            </w:tcBorders>
            <w:shd w:val="clear" w:color="auto" w:fill="FFFFFF"/>
            <w:vAlign w:val="center"/>
          </w:tcPr>
          <w:p w14:paraId="3D822CE4"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1.22</w:t>
            </w:r>
          </w:p>
        </w:tc>
        <w:tc>
          <w:tcPr>
            <w:tcW w:w="234" w:type="pct"/>
            <w:tcBorders>
              <w:top w:val="single" w:sz="6" w:space="0" w:color="008000"/>
            </w:tcBorders>
            <w:shd w:val="clear" w:color="auto" w:fill="FFFFFF"/>
            <w:vAlign w:val="center"/>
          </w:tcPr>
          <w:p w14:paraId="4600F5F4"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16.31</w:t>
            </w:r>
          </w:p>
        </w:tc>
        <w:tc>
          <w:tcPr>
            <w:tcW w:w="293" w:type="pct"/>
            <w:tcBorders>
              <w:top w:val="single" w:sz="6" w:space="0" w:color="008000"/>
            </w:tcBorders>
            <w:shd w:val="clear" w:color="auto" w:fill="FFFFFF"/>
            <w:vAlign w:val="center"/>
          </w:tcPr>
          <w:p w14:paraId="2DE8644A" w14:textId="77777777" w:rsidR="003E5B4F" w:rsidRPr="00BE430E" w:rsidRDefault="003E5B4F" w:rsidP="00A66FBD">
            <w:pPr>
              <w:pStyle w:val="CETBodytext"/>
              <w:ind w:right="-1"/>
              <w:jc w:val="center"/>
              <w:rPr>
                <w:rFonts w:cs="Arial"/>
                <w:sz w:val="14"/>
                <w:szCs w:val="14"/>
                <w:lang w:val="en-GB"/>
              </w:rPr>
            </w:pPr>
            <w:r w:rsidRPr="00BE430E">
              <w:rPr>
                <w:rFonts w:cs="Arial"/>
                <w:color w:val="FF0000"/>
                <w:sz w:val="14"/>
                <w:szCs w:val="14"/>
                <w:lang w:val="en-GB"/>
              </w:rPr>
              <w:t>0.0068</w:t>
            </w:r>
          </w:p>
        </w:tc>
        <w:tc>
          <w:tcPr>
            <w:tcW w:w="230" w:type="pct"/>
            <w:shd w:val="clear" w:color="auto" w:fill="FFFFFF"/>
          </w:tcPr>
          <w:p w14:paraId="475C2BC5" w14:textId="77777777" w:rsidR="003E5B4F" w:rsidRPr="00BE430E" w:rsidRDefault="003E5B4F" w:rsidP="00A66FBD">
            <w:pPr>
              <w:pStyle w:val="CETBodytext"/>
              <w:ind w:right="-1"/>
              <w:jc w:val="center"/>
              <w:rPr>
                <w:rFonts w:cs="Arial"/>
                <w:sz w:val="14"/>
                <w:szCs w:val="14"/>
                <w:lang w:val="en-GB"/>
              </w:rPr>
            </w:pPr>
          </w:p>
        </w:tc>
        <w:tc>
          <w:tcPr>
            <w:tcW w:w="1121" w:type="pct"/>
            <w:tcBorders>
              <w:top w:val="single" w:sz="6" w:space="0" w:color="008000"/>
            </w:tcBorders>
            <w:shd w:val="clear" w:color="auto" w:fill="FFFFFF"/>
            <w:vAlign w:val="center"/>
          </w:tcPr>
          <w:p w14:paraId="360809F2"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Between groups</w:t>
            </w:r>
          </w:p>
        </w:tc>
        <w:tc>
          <w:tcPr>
            <w:tcW w:w="234" w:type="pct"/>
            <w:tcBorders>
              <w:top w:val="single" w:sz="6" w:space="0" w:color="008000"/>
            </w:tcBorders>
            <w:shd w:val="clear" w:color="auto" w:fill="FFFFFF"/>
            <w:vAlign w:val="center"/>
          </w:tcPr>
          <w:p w14:paraId="6D725989"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571</w:t>
            </w:r>
          </w:p>
        </w:tc>
        <w:tc>
          <w:tcPr>
            <w:tcW w:w="164" w:type="pct"/>
            <w:tcBorders>
              <w:top w:val="single" w:sz="6" w:space="0" w:color="008000"/>
            </w:tcBorders>
            <w:shd w:val="clear" w:color="auto" w:fill="FFFFFF"/>
            <w:vAlign w:val="center"/>
          </w:tcPr>
          <w:p w14:paraId="56E1C7B1"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w:t>
            </w:r>
          </w:p>
        </w:tc>
        <w:tc>
          <w:tcPr>
            <w:tcW w:w="234" w:type="pct"/>
            <w:tcBorders>
              <w:top w:val="single" w:sz="6" w:space="0" w:color="008000"/>
            </w:tcBorders>
            <w:shd w:val="clear" w:color="auto" w:fill="FFFFFF"/>
            <w:vAlign w:val="center"/>
          </w:tcPr>
          <w:p w14:paraId="2EB6B2EF"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571.2</w:t>
            </w:r>
          </w:p>
        </w:tc>
        <w:tc>
          <w:tcPr>
            <w:tcW w:w="234" w:type="pct"/>
            <w:tcBorders>
              <w:top w:val="single" w:sz="6" w:space="0" w:color="008000"/>
            </w:tcBorders>
            <w:shd w:val="clear" w:color="auto" w:fill="FFFFFF"/>
            <w:vAlign w:val="center"/>
          </w:tcPr>
          <w:p w14:paraId="31FB484D"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0.56</w:t>
            </w:r>
          </w:p>
        </w:tc>
        <w:tc>
          <w:tcPr>
            <w:tcW w:w="362" w:type="pct"/>
            <w:tcBorders>
              <w:top w:val="single" w:sz="6" w:space="0" w:color="008000"/>
            </w:tcBorders>
            <w:shd w:val="clear" w:color="auto" w:fill="FFFFFF"/>
            <w:vAlign w:val="center"/>
          </w:tcPr>
          <w:p w14:paraId="101184C6"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0.482</w:t>
            </w:r>
          </w:p>
        </w:tc>
      </w:tr>
      <w:tr w:rsidR="003E5B4F" w:rsidRPr="00BE430E" w14:paraId="7643C748" w14:textId="77777777" w:rsidTr="00A66FBD">
        <w:tc>
          <w:tcPr>
            <w:tcW w:w="1121" w:type="pct"/>
            <w:tcBorders>
              <w:bottom w:val="single" w:sz="12" w:space="0" w:color="008000"/>
            </w:tcBorders>
            <w:shd w:val="clear" w:color="auto" w:fill="FFFFFF"/>
            <w:vAlign w:val="center"/>
          </w:tcPr>
          <w:p w14:paraId="4A290177"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In groups (error)</w:t>
            </w:r>
          </w:p>
        </w:tc>
        <w:tc>
          <w:tcPr>
            <w:tcW w:w="303" w:type="pct"/>
            <w:tcBorders>
              <w:bottom w:val="single" w:sz="12" w:space="0" w:color="008000"/>
            </w:tcBorders>
            <w:shd w:val="clear" w:color="auto" w:fill="FFFFFF"/>
            <w:vAlign w:val="center"/>
          </w:tcPr>
          <w:p w14:paraId="222A039B"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0.45</w:t>
            </w:r>
          </w:p>
        </w:tc>
        <w:tc>
          <w:tcPr>
            <w:tcW w:w="165" w:type="pct"/>
            <w:tcBorders>
              <w:bottom w:val="single" w:sz="12" w:space="0" w:color="008000"/>
            </w:tcBorders>
            <w:shd w:val="clear" w:color="auto" w:fill="FFFFFF"/>
            <w:vAlign w:val="center"/>
          </w:tcPr>
          <w:p w14:paraId="40D90ED3"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6</w:t>
            </w:r>
          </w:p>
        </w:tc>
        <w:tc>
          <w:tcPr>
            <w:tcW w:w="303" w:type="pct"/>
            <w:tcBorders>
              <w:bottom w:val="single" w:sz="12" w:space="0" w:color="008000"/>
            </w:tcBorders>
            <w:shd w:val="clear" w:color="auto" w:fill="FFFFFF"/>
            <w:vAlign w:val="center"/>
          </w:tcPr>
          <w:p w14:paraId="621A935C"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0.075</w:t>
            </w:r>
          </w:p>
        </w:tc>
        <w:tc>
          <w:tcPr>
            <w:tcW w:w="234" w:type="pct"/>
            <w:tcBorders>
              <w:bottom w:val="single" w:sz="12" w:space="0" w:color="008000"/>
            </w:tcBorders>
            <w:shd w:val="clear" w:color="auto" w:fill="FFFFFF"/>
            <w:vAlign w:val="center"/>
          </w:tcPr>
          <w:p w14:paraId="3094210A" w14:textId="77777777" w:rsidR="003E5B4F" w:rsidRPr="00BE430E" w:rsidRDefault="003E5B4F" w:rsidP="00A66FBD">
            <w:pPr>
              <w:pStyle w:val="CETBodytext"/>
              <w:ind w:right="-1"/>
              <w:jc w:val="center"/>
              <w:rPr>
                <w:rFonts w:cs="Arial"/>
                <w:sz w:val="14"/>
                <w:szCs w:val="14"/>
                <w:lang w:val="en-GB"/>
              </w:rPr>
            </w:pPr>
          </w:p>
        </w:tc>
        <w:tc>
          <w:tcPr>
            <w:tcW w:w="293" w:type="pct"/>
            <w:tcBorders>
              <w:bottom w:val="single" w:sz="12" w:space="0" w:color="008000"/>
            </w:tcBorders>
            <w:shd w:val="clear" w:color="auto" w:fill="FFFFFF"/>
            <w:vAlign w:val="center"/>
          </w:tcPr>
          <w:p w14:paraId="3DC456B2" w14:textId="77777777" w:rsidR="003E5B4F" w:rsidRPr="00BE430E" w:rsidRDefault="003E5B4F" w:rsidP="00A66FBD">
            <w:pPr>
              <w:pStyle w:val="CETBodytext"/>
              <w:ind w:right="-1"/>
              <w:jc w:val="center"/>
              <w:rPr>
                <w:rFonts w:cs="Arial"/>
                <w:sz w:val="14"/>
                <w:szCs w:val="14"/>
                <w:lang w:val="en-GB"/>
              </w:rPr>
            </w:pPr>
          </w:p>
        </w:tc>
        <w:tc>
          <w:tcPr>
            <w:tcW w:w="230" w:type="pct"/>
            <w:shd w:val="clear" w:color="auto" w:fill="FFFFFF"/>
          </w:tcPr>
          <w:p w14:paraId="303ED13E" w14:textId="77777777" w:rsidR="003E5B4F" w:rsidRPr="00BE430E" w:rsidRDefault="003E5B4F" w:rsidP="00A66FBD">
            <w:pPr>
              <w:pStyle w:val="CETBodytext"/>
              <w:ind w:right="-1"/>
              <w:jc w:val="center"/>
              <w:rPr>
                <w:rFonts w:cs="Arial"/>
                <w:sz w:val="14"/>
                <w:szCs w:val="14"/>
                <w:lang w:val="en-GB"/>
              </w:rPr>
            </w:pPr>
          </w:p>
        </w:tc>
        <w:tc>
          <w:tcPr>
            <w:tcW w:w="1121" w:type="pct"/>
            <w:tcBorders>
              <w:bottom w:val="single" w:sz="12" w:space="0" w:color="008000"/>
            </w:tcBorders>
            <w:shd w:val="clear" w:color="auto" w:fill="FFFFFF"/>
            <w:vAlign w:val="center"/>
          </w:tcPr>
          <w:p w14:paraId="74EE048C" w14:textId="77777777" w:rsidR="003E5B4F" w:rsidRPr="00BE430E" w:rsidRDefault="003E5B4F" w:rsidP="00A66FBD">
            <w:pPr>
              <w:pStyle w:val="CETBodytext"/>
              <w:ind w:right="-1"/>
              <w:jc w:val="left"/>
              <w:rPr>
                <w:rFonts w:cs="Arial"/>
                <w:sz w:val="14"/>
                <w:szCs w:val="14"/>
                <w:lang w:val="en-GB"/>
              </w:rPr>
            </w:pPr>
            <w:r w:rsidRPr="00BE430E">
              <w:rPr>
                <w:rFonts w:cs="Arial"/>
                <w:sz w:val="14"/>
                <w:szCs w:val="14"/>
                <w:lang w:val="en-GB"/>
              </w:rPr>
              <w:t>In groups (error)</w:t>
            </w:r>
          </w:p>
        </w:tc>
        <w:tc>
          <w:tcPr>
            <w:tcW w:w="234" w:type="pct"/>
            <w:tcBorders>
              <w:bottom w:val="single" w:sz="12" w:space="0" w:color="008000"/>
            </w:tcBorders>
            <w:shd w:val="clear" w:color="auto" w:fill="FFFFFF"/>
            <w:vAlign w:val="center"/>
          </w:tcPr>
          <w:p w14:paraId="6A316492"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6102</w:t>
            </w:r>
          </w:p>
        </w:tc>
        <w:tc>
          <w:tcPr>
            <w:tcW w:w="164" w:type="pct"/>
            <w:tcBorders>
              <w:bottom w:val="single" w:sz="12" w:space="0" w:color="008000"/>
            </w:tcBorders>
            <w:shd w:val="clear" w:color="auto" w:fill="FFFFFF"/>
            <w:vAlign w:val="center"/>
          </w:tcPr>
          <w:p w14:paraId="03EC1CAB"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6</w:t>
            </w:r>
          </w:p>
        </w:tc>
        <w:tc>
          <w:tcPr>
            <w:tcW w:w="234" w:type="pct"/>
            <w:tcBorders>
              <w:bottom w:val="single" w:sz="12" w:space="0" w:color="008000"/>
            </w:tcBorders>
            <w:shd w:val="clear" w:color="auto" w:fill="FFFFFF"/>
            <w:vAlign w:val="center"/>
          </w:tcPr>
          <w:p w14:paraId="1414879E" w14:textId="77777777" w:rsidR="003E5B4F" w:rsidRPr="00BE430E" w:rsidRDefault="003E5B4F" w:rsidP="00A66FBD">
            <w:pPr>
              <w:pStyle w:val="CETBodytext"/>
              <w:ind w:right="-1"/>
              <w:jc w:val="center"/>
              <w:rPr>
                <w:rFonts w:cs="Arial"/>
                <w:sz w:val="14"/>
                <w:szCs w:val="14"/>
                <w:lang w:val="en-GB"/>
              </w:rPr>
            </w:pPr>
            <w:r w:rsidRPr="00BE430E">
              <w:rPr>
                <w:rFonts w:cs="Arial"/>
                <w:sz w:val="14"/>
                <w:szCs w:val="14"/>
                <w:lang w:val="en-GB"/>
              </w:rPr>
              <w:t>1016.9</w:t>
            </w:r>
          </w:p>
        </w:tc>
        <w:tc>
          <w:tcPr>
            <w:tcW w:w="234" w:type="pct"/>
            <w:tcBorders>
              <w:bottom w:val="single" w:sz="12" w:space="0" w:color="008000"/>
            </w:tcBorders>
            <w:shd w:val="clear" w:color="auto" w:fill="FFFFFF"/>
            <w:vAlign w:val="center"/>
          </w:tcPr>
          <w:p w14:paraId="72A3746A" w14:textId="77777777" w:rsidR="003E5B4F" w:rsidRPr="00BE430E" w:rsidRDefault="003E5B4F" w:rsidP="00A66FBD">
            <w:pPr>
              <w:pStyle w:val="CETBodytext"/>
              <w:ind w:right="-1"/>
              <w:jc w:val="center"/>
              <w:rPr>
                <w:rFonts w:cs="Arial"/>
                <w:sz w:val="14"/>
                <w:szCs w:val="14"/>
                <w:lang w:val="en-GB"/>
              </w:rPr>
            </w:pPr>
          </w:p>
        </w:tc>
        <w:tc>
          <w:tcPr>
            <w:tcW w:w="362" w:type="pct"/>
            <w:tcBorders>
              <w:bottom w:val="single" w:sz="12" w:space="0" w:color="008000"/>
            </w:tcBorders>
            <w:shd w:val="clear" w:color="auto" w:fill="FFFFFF"/>
            <w:vAlign w:val="center"/>
          </w:tcPr>
          <w:p w14:paraId="03B5F34F" w14:textId="77777777" w:rsidR="003E5B4F" w:rsidRPr="00BE430E" w:rsidRDefault="003E5B4F" w:rsidP="00A66FBD">
            <w:pPr>
              <w:pStyle w:val="CETBodytext"/>
              <w:ind w:right="-1"/>
              <w:jc w:val="center"/>
              <w:rPr>
                <w:rFonts w:cs="Arial"/>
                <w:sz w:val="14"/>
                <w:szCs w:val="14"/>
                <w:lang w:val="en-GB"/>
              </w:rPr>
            </w:pPr>
          </w:p>
        </w:tc>
      </w:tr>
    </w:tbl>
    <w:p w14:paraId="21410E18" w14:textId="77777777" w:rsidR="003E5B4F" w:rsidRDefault="003E5B4F" w:rsidP="003E5B4F">
      <w:pPr>
        <w:pStyle w:val="CETBodytext"/>
      </w:pPr>
    </w:p>
    <w:p w14:paraId="7034523D" w14:textId="4EADED8C" w:rsidR="00AE5243" w:rsidRPr="00AE5243" w:rsidRDefault="00AE5243" w:rsidP="003E5B4F">
      <w:pPr>
        <w:pStyle w:val="CETheadingx"/>
        <w:numPr>
          <w:ilvl w:val="0"/>
          <w:numId w:val="0"/>
        </w:numPr>
      </w:pPr>
      <w:r w:rsidRPr="00AE5243">
        <w:t>3.3. Scanning electron microscopy analysis</w:t>
      </w:r>
      <w:r w:rsidR="004037B8">
        <w:t xml:space="preserve"> and </w:t>
      </w:r>
      <w:r w:rsidR="004037B8" w:rsidRPr="00AE5243">
        <w:t>Energy Dispersive X-Ray Spectroscopy</w:t>
      </w:r>
    </w:p>
    <w:p w14:paraId="2243F076" w14:textId="537F9719" w:rsidR="00AE5243" w:rsidRDefault="00AE5243" w:rsidP="00AE5243">
      <w:pPr>
        <w:pStyle w:val="CETBodytext"/>
        <w:rPr>
          <w:lang w:val="en-GB"/>
        </w:rPr>
      </w:pPr>
      <w:r w:rsidRPr="00AE5243">
        <w:rPr>
          <w:lang w:val="en-GB"/>
        </w:rPr>
        <w:t xml:space="preserve">A morphology with a larger particle size and disaggregated particles </w:t>
      </w:r>
      <w:r w:rsidR="00601543">
        <w:rPr>
          <w:lang w:val="en-GB"/>
        </w:rPr>
        <w:t>was</w:t>
      </w:r>
      <w:r w:rsidRPr="00AE5243">
        <w:rPr>
          <w:lang w:val="en-GB"/>
        </w:rPr>
        <w:t xml:space="preserve"> observed</w:t>
      </w:r>
      <w:r w:rsidR="00601543" w:rsidRPr="00601543">
        <w:rPr>
          <w:lang w:val="en-GB"/>
        </w:rPr>
        <w:t xml:space="preserve"> </w:t>
      </w:r>
      <w:r w:rsidR="00601543">
        <w:rPr>
          <w:lang w:val="en-GB"/>
        </w:rPr>
        <w:t xml:space="preserve">for </w:t>
      </w:r>
      <w:r w:rsidR="00601543" w:rsidRPr="00AE5243">
        <w:rPr>
          <w:lang w:val="en-GB"/>
        </w:rPr>
        <w:t>pure NbP</w:t>
      </w:r>
      <w:r w:rsidRPr="00AE5243">
        <w:rPr>
          <w:lang w:val="en-GB"/>
        </w:rPr>
        <w:t xml:space="preserve">. After catalysis, there </w:t>
      </w:r>
      <w:r w:rsidR="00601543">
        <w:rPr>
          <w:lang w:val="en-GB"/>
        </w:rPr>
        <w:t>was</w:t>
      </w:r>
      <w:r w:rsidRPr="00AE5243">
        <w:rPr>
          <w:lang w:val="en-GB"/>
        </w:rPr>
        <w:t xml:space="preserve"> a significant change in morphology for </w:t>
      </w:r>
      <w:r w:rsidR="00601543" w:rsidRPr="00AE5243">
        <w:t>NbP after pretreatment with</w:t>
      </w:r>
      <w:r w:rsidR="00601543" w:rsidRPr="00AE5243">
        <w:rPr>
          <w:lang w:val="en-GB"/>
        </w:rPr>
        <w:t xml:space="preserve"> </w:t>
      </w:r>
      <w:r w:rsidR="001D0B88">
        <w:rPr>
          <w:lang w:val="en-GB"/>
        </w:rPr>
        <w:t xml:space="preserve">water at 150 ºC, acetone and </w:t>
      </w:r>
      <w:r w:rsidR="001D0B88" w:rsidRPr="00AE5243">
        <w:t>calcination in a muffle</w:t>
      </w:r>
      <w:r w:rsidR="001D0B88">
        <w:t xml:space="preserve"> at both temperatures</w:t>
      </w:r>
      <w:r w:rsidRPr="00AE5243">
        <w:rPr>
          <w:lang w:val="en-GB"/>
        </w:rPr>
        <w:t>.</w:t>
      </w:r>
      <w:r w:rsidR="006A071B">
        <w:rPr>
          <w:lang w:val="en-GB"/>
        </w:rPr>
        <w:t xml:space="preserve"> </w:t>
      </w:r>
      <w:r w:rsidR="001D0B88">
        <w:rPr>
          <w:lang w:val="en-GB"/>
        </w:rPr>
        <w:t>A</w:t>
      </w:r>
      <w:proofErr w:type="spellStart"/>
      <w:r w:rsidR="001D0B88" w:rsidRPr="00AE5243">
        <w:t>fter</w:t>
      </w:r>
      <w:proofErr w:type="spellEnd"/>
      <w:r w:rsidR="001D0B88" w:rsidRPr="00AE5243">
        <w:t xml:space="preserve"> pretreatment with</w:t>
      </w:r>
      <w:r w:rsidR="001D0B88" w:rsidRPr="00AE5243">
        <w:rPr>
          <w:lang w:val="en-GB"/>
        </w:rPr>
        <w:t xml:space="preserve"> </w:t>
      </w:r>
      <w:r w:rsidR="001D0B88">
        <w:rPr>
          <w:lang w:val="en-GB"/>
        </w:rPr>
        <w:t>water at 110 ºC</w:t>
      </w:r>
      <w:r w:rsidRPr="00AE5243">
        <w:rPr>
          <w:lang w:val="en-GB"/>
        </w:rPr>
        <w:t xml:space="preserve"> the catalyst structure did not change significantly from the pure.</w:t>
      </w:r>
    </w:p>
    <w:p w14:paraId="40A7AE01" w14:textId="7BA2307B" w:rsidR="00802EA2" w:rsidRPr="00AE5243" w:rsidRDefault="00802EA2" w:rsidP="00802EA2">
      <w:pPr>
        <w:pStyle w:val="CETBodytext"/>
        <w:rPr>
          <w:lang w:val="en-GB"/>
        </w:rPr>
      </w:pPr>
      <w:r w:rsidRPr="00AE5243">
        <w:rPr>
          <w:lang w:val="en-GB"/>
        </w:rPr>
        <w:t xml:space="preserve">In general, for </w:t>
      </w:r>
      <w:r w:rsidRPr="00AE5243">
        <w:t>pretreatment with</w:t>
      </w:r>
      <w:r w:rsidRPr="00AE5243">
        <w:rPr>
          <w:lang w:val="en-GB"/>
        </w:rPr>
        <w:t xml:space="preserve"> </w:t>
      </w:r>
      <w:r>
        <w:rPr>
          <w:lang w:val="en-GB"/>
        </w:rPr>
        <w:t xml:space="preserve">water at 150 ºC, and acetone and </w:t>
      </w:r>
      <w:r w:rsidRPr="00AE5243">
        <w:t>calcination in a muffle</w:t>
      </w:r>
      <w:r>
        <w:t xml:space="preserve"> at both temperatures</w:t>
      </w:r>
      <w:r w:rsidRPr="00AE5243">
        <w:rPr>
          <w:lang w:val="en-GB"/>
        </w:rPr>
        <w:t>, the particle size has decreased, the particles appear</w:t>
      </w:r>
      <w:r>
        <w:rPr>
          <w:lang w:val="en-GB"/>
        </w:rPr>
        <w:t>ed</w:t>
      </w:r>
      <w:r w:rsidRPr="00AE5243">
        <w:rPr>
          <w:lang w:val="en-GB"/>
        </w:rPr>
        <w:t xml:space="preserve"> to be more aggregated, and, therefore, there is a larger contact surface.</w:t>
      </w:r>
      <w:r>
        <w:rPr>
          <w:lang w:val="en-GB"/>
        </w:rPr>
        <w:t xml:space="preserve"> </w:t>
      </w:r>
      <w:r w:rsidRPr="00AE5243">
        <w:rPr>
          <w:lang w:val="en-GB"/>
        </w:rPr>
        <w:t xml:space="preserve">The appearance of residual organic particulates (humins or lignocellulosic material) is not observed in the </w:t>
      </w:r>
      <w:r w:rsidR="001F17F5">
        <w:rPr>
          <w:lang w:val="en-GB"/>
        </w:rPr>
        <w:t>Figure 4</w:t>
      </w:r>
      <w:r w:rsidRPr="00AE5243">
        <w:rPr>
          <w:lang w:val="en-GB"/>
        </w:rPr>
        <w:t>, which shows that the pretreatments effectively cleaned the surface.</w:t>
      </w:r>
    </w:p>
    <w:p w14:paraId="70BBC992" w14:textId="4C685D02" w:rsidR="00894671" w:rsidRDefault="005D3056" w:rsidP="00894671">
      <w:pPr>
        <w:pStyle w:val="CETCaption"/>
      </w:pPr>
      <w:r>
        <w:rPr>
          <w:noProof/>
        </w:rPr>
        <w:drawing>
          <wp:inline distT="0" distB="0" distL="0" distR="0" wp14:anchorId="5AC4F316" wp14:editId="5B665E39">
            <wp:extent cx="5579745" cy="1657350"/>
            <wp:effectExtent l="0" t="0" r="190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rotWithShape="1">
                    <a:blip r:embed="rId11"/>
                    <a:srcRect b="47198"/>
                    <a:stretch/>
                  </pic:blipFill>
                  <pic:spPr bwMode="auto">
                    <a:xfrm>
                      <a:off x="0" y="0"/>
                      <a:ext cx="5579745" cy="1657350"/>
                    </a:xfrm>
                    <a:prstGeom prst="rect">
                      <a:avLst/>
                    </a:prstGeom>
                    <a:ln>
                      <a:noFill/>
                    </a:ln>
                    <a:extLst>
                      <a:ext uri="{53640926-AAD7-44D8-BBD7-CCE9431645EC}">
                        <a14:shadowObscured xmlns:a14="http://schemas.microsoft.com/office/drawing/2010/main"/>
                      </a:ext>
                    </a:extLst>
                  </pic:spPr>
                </pic:pic>
              </a:graphicData>
            </a:graphic>
          </wp:inline>
        </w:drawing>
      </w:r>
    </w:p>
    <w:p w14:paraId="4646C27D" w14:textId="77C53F45" w:rsidR="00894671" w:rsidRPr="00AE5243" w:rsidRDefault="00894671" w:rsidP="00894671">
      <w:pPr>
        <w:pStyle w:val="CETCaption"/>
      </w:pPr>
      <w:r w:rsidRPr="00AE5243">
        <w:t xml:space="preserve">Figure </w:t>
      </w:r>
      <w:r>
        <w:t>4:</w:t>
      </w:r>
      <w:r w:rsidRPr="00AE5243">
        <w:t xml:space="preserve"> Elemental analysis of oxygen (O), carbon (C), and phosphorus (P) in the catalyst in different pretreatments using XEDS. Pretreatments: A) with water; B) with </w:t>
      </w:r>
      <w:r>
        <w:t>10 m</w:t>
      </w:r>
      <w:r w:rsidR="001F17F5">
        <w:t xml:space="preserve">l </w:t>
      </w:r>
      <w:r>
        <w:t xml:space="preserve">of </w:t>
      </w:r>
      <w:r w:rsidRPr="00AE5243">
        <w:t>acetone; C) calcination.</w:t>
      </w:r>
    </w:p>
    <w:p w14:paraId="671D268F" w14:textId="0F8298AA" w:rsidR="00AE5243" w:rsidRPr="00AE5243" w:rsidRDefault="00AE5243" w:rsidP="00AE5243">
      <w:pPr>
        <w:pStyle w:val="CETBodytext"/>
        <w:rPr>
          <w:lang w:val="en-GB"/>
        </w:rPr>
      </w:pPr>
      <w:r w:rsidRPr="00AE5243">
        <w:rPr>
          <w:lang w:val="en-GB"/>
        </w:rPr>
        <w:t xml:space="preserve">The relative quantification of the </w:t>
      </w:r>
      <w:proofErr w:type="gramStart"/>
      <w:r w:rsidRPr="00AE5243">
        <w:rPr>
          <w:lang w:val="en-GB"/>
        </w:rPr>
        <w:t>elements</w:t>
      </w:r>
      <w:proofErr w:type="gramEnd"/>
      <w:r w:rsidRPr="00AE5243">
        <w:rPr>
          <w:lang w:val="en-GB"/>
        </w:rPr>
        <w:t xml:space="preserve"> oxygen, carbon, and phosphorus in percentage by mass in the NbP catalyst</w:t>
      </w:r>
      <w:r w:rsidR="009833E2">
        <w:rPr>
          <w:lang w:val="en-GB"/>
        </w:rPr>
        <w:t xml:space="preserve"> was</w:t>
      </w:r>
      <w:r w:rsidRPr="00AE5243">
        <w:rPr>
          <w:lang w:val="en-GB"/>
        </w:rPr>
        <w:t xml:space="preserve"> </w:t>
      </w:r>
      <w:r w:rsidR="004270A8">
        <w:rPr>
          <w:lang w:val="en-GB"/>
        </w:rPr>
        <w:t xml:space="preserve">accessed for </w:t>
      </w:r>
      <w:r w:rsidRPr="00AE5243">
        <w:rPr>
          <w:lang w:val="en-GB"/>
        </w:rPr>
        <w:t xml:space="preserve">the different </w:t>
      </w:r>
      <w:r w:rsidR="00177B50">
        <w:rPr>
          <w:lang w:val="en-GB"/>
        </w:rPr>
        <w:t>pretreatment</w:t>
      </w:r>
      <w:r w:rsidR="003A41F4" w:rsidRPr="00AE5243">
        <w:rPr>
          <w:lang w:val="en-GB"/>
        </w:rPr>
        <w:t>s</w:t>
      </w:r>
      <w:r w:rsidR="009833E2">
        <w:rPr>
          <w:lang w:val="en-GB"/>
        </w:rPr>
        <w:t xml:space="preserve"> (</w:t>
      </w:r>
      <w:r w:rsidRPr="00AE5243">
        <w:rPr>
          <w:lang w:val="en-GB"/>
        </w:rPr>
        <w:t>i.e., with water</w:t>
      </w:r>
      <w:r w:rsidR="009833E2">
        <w:rPr>
          <w:lang w:val="en-GB"/>
        </w:rPr>
        <w:t xml:space="preserve">, </w:t>
      </w:r>
      <w:r w:rsidRPr="00AE5243">
        <w:rPr>
          <w:lang w:val="en-GB"/>
        </w:rPr>
        <w:t>acetone</w:t>
      </w:r>
      <w:r w:rsidR="009833E2">
        <w:rPr>
          <w:lang w:val="en-GB"/>
        </w:rPr>
        <w:t xml:space="preserve"> </w:t>
      </w:r>
      <w:r w:rsidRPr="00AE5243">
        <w:rPr>
          <w:lang w:val="en-GB"/>
        </w:rPr>
        <w:t>and after calcination</w:t>
      </w:r>
      <w:r w:rsidR="009833E2">
        <w:rPr>
          <w:lang w:val="en-GB"/>
        </w:rPr>
        <w:t>) by XEDS</w:t>
      </w:r>
      <w:r w:rsidR="004270A8">
        <w:rPr>
          <w:lang w:val="en-GB"/>
        </w:rPr>
        <w:t xml:space="preserve"> (Figure 4)</w:t>
      </w:r>
      <w:r w:rsidRPr="00AE5243">
        <w:rPr>
          <w:lang w:val="en-GB"/>
        </w:rPr>
        <w:t xml:space="preserve">. It </w:t>
      </w:r>
      <w:r w:rsidR="001D0B88">
        <w:rPr>
          <w:lang w:val="en-GB"/>
        </w:rPr>
        <w:t>was</w:t>
      </w:r>
      <w:r w:rsidRPr="00AE5243">
        <w:rPr>
          <w:lang w:val="en-GB"/>
        </w:rPr>
        <w:t xml:space="preserve"> noted for </w:t>
      </w:r>
      <w:r w:rsidR="003A41F4">
        <w:rPr>
          <w:lang w:val="en-GB"/>
        </w:rPr>
        <w:t xml:space="preserve">all </w:t>
      </w:r>
      <w:r w:rsidR="00177B50">
        <w:rPr>
          <w:lang w:val="en-GB"/>
        </w:rPr>
        <w:t>pretreatment</w:t>
      </w:r>
      <w:r w:rsidRPr="00AE5243">
        <w:rPr>
          <w:lang w:val="en-GB"/>
        </w:rPr>
        <w:t xml:space="preserve">s, proportionally, the amounts of oxygen and phosphorus decreased </w:t>
      </w:r>
      <w:r w:rsidRPr="00AE5243">
        <w:rPr>
          <w:lang w:val="en-GB"/>
        </w:rPr>
        <w:lastRenderedPageBreak/>
        <w:t>and that of carbon increased, which the carbon strip can explain used to perform the procedure. This shows the formation of humins on the catalyst, which justifies the increase in carbon.</w:t>
      </w:r>
    </w:p>
    <w:p w14:paraId="7BF73331" w14:textId="1F9D9399" w:rsidR="00AE5243" w:rsidRPr="00AE5243" w:rsidRDefault="00AE5243" w:rsidP="004F1F8E">
      <w:pPr>
        <w:pStyle w:val="CETBodytext"/>
      </w:pPr>
      <w:r w:rsidRPr="00AE5243">
        <w:t xml:space="preserve">The results for </w:t>
      </w:r>
      <w:r w:rsidR="003A41F4">
        <w:t xml:space="preserve">calcination </w:t>
      </w:r>
      <w:r w:rsidRPr="00AE5243">
        <w:t>pretreatment</w:t>
      </w:r>
      <w:r w:rsidR="004270A8">
        <w:t xml:space="preserve"> (Figure 4-C)</w:t>
      </w:r>
      <w:r w:rsidRPr="00AE5243">
        <w:t xml:space="preserve"> indicate that </w:t>
      </w:r>
      <w:r w:rsidR="003A41F4">
        <w:t>it</w:t>
      </w:r>
      <w:r w:rsidRPr="00AE5243">
        <w:t xml:space="preserve"> promotes burning of humins, loss of water, and volatilization of phosphorus compounds.</w:t>
      </w:r>
    </w:p>
    <w:p w14:paraId="5573DEA1" w14:textId="24044DB8" w:rsidR="00AE5243" w:rsidRPr="00AE5243" w:rsidRDefault="00AE5243" w:rsidP="00AE5243">
      <w:pPr>
        <w:pStyle w:val="CETBodytext"/>
        <w:rPr>
          <w:lang w:val="en-GB"/>
        </w:rPr>
      </w:pPr>
      <w:r w:rsidRPr="00AE5243">
        <w:rPr>
          <w:lang w:val="en-GB"/>
        </w:rPr>
        <w:t xml:space="preserve">By performing the two temperatures comparison, it can be observed that, for </w:t>
      </w:r>
      <w:r w:rsidR="003A41F4">
        <w:rPr>
          <w:lang w:val="en-GB"/>
        </w:rPr>
        <w:t xml:space="preserve">all </w:t>
      </w:r>
      <w:r w:rsidR="00177B50">
        <w:rPr>
          <w:lang w:val="en-GB"/>
        </w:rPr>
        <w:t>pretreatment</w:t>
      </w:r>
      <w:r w:rsidRPr="00AE5243">
        <w:rPr>
          <w:lang w:val="en-GB"/>
        </w:rPr>
        <w:t>s, there was a more significant increase in carbon at the temperature of 150 °C. This result suggests greater catalyst activity with xylose dehydration to furfural and, thus, greater humin production.</w:t>
      </w:r>
    </w:p>
    <w:p w14:paraId="40CA3B6C" w14:textId="5CB6832C" w:rsidR="00AE5243" w:rsidRPr="00A17BA5" w:rsidRDefault="00AE5243" w:rsidP="00AE5243">
      <w:pPr>
        <w:pStyle w:val="CETBodytext"/>
        <w:rPr>
          <w:lang w:val="en-GB"/>
        </w:rPr>
      </w:pPr>
      <w:r w:rsidRPr="00AE5243">
        <w:rPr>
          <w:lang w:val="en-GB"/>
        </w:rPr>
        <w:t xml:space="preserve">There is probably a loss of sites from the catalyst to the solution during the catalytic reaction for </w:t>
      </w:r>
      <w:r w:rsidR="003A41F4">
        <w:rPr>
          <w:lang w:val="en-GB"/>
        </w:rPr>
        <w:t xml:space="preserve">calcination </w:t>
      </w:r>
      <w:r w:rsidR="00177B50">
        <w:rPr>
          <w:lang w:val="en-GB"/>
        </w:rPr>
        <w:t>pretreatment</w:t>
      </w:r>
      <w:r w:rsidRPr="00AE5243">
        <w:rPr>
          <w:lang w:val="en-GB"/>
        </w:rPr>
        <w:t xml:space="preserve">. </w:t>
      </w:r>
      <w:r w:rsidR="003A41F4">
        <w:rPr>
          <w:lang w:val="en-GB"/>
        </w:rPr>
        <w:t>T</w:t>
      </w:r>
      <w:r w:rsidRPr="00AE5243">
        <w:rPr>
          <w:lang w:val="en-GB"/>
        </w:rPr>
        <w:t xml:space="preserve">his loss </w:t>
      </w:r>
      <w:r w:rsidR="003A41F4">
        <w:rPr>
          <w:lang w:val="en-GB"/>
        </w:rPr>
        <w:t>wa</w:t>
      </w:r>
      <w:r w:rsidRPr="00AE5243">
        <w:rPr>
          <w:lang w:val="en-GB"/>
        </w:rPr>
        <w:t xml:space="preserve">s more significant at 150 °C since the mass percentage </w:t>
      </w:r>
      <w:r w:rsidR="003A41F4">
        <w:rPr>
          <w:lang w:val="en-GB"/>
        </w:rPr>
        <w:t>was</w:t>
      </w:r>
      <w:r w:rsidRPr="00AE5243">
        <w:rPr>
          <w:lang w:val="en-GB"/>
        </w:rPr>
        <w:t xml:space="preserve"> lower at this temperature after calcination.</w:t>
      </w:r>
    </w:p>
    <w:p w14:paraId="68D26B83" w14:textId="76E80B3C" w:rsidR="00600535" w:rsidRPr="00B57B36" w:rsidRDefault="00600535" w:rsidP="00742644">
      <w:pPr>
        <w:pStyle w:val="CETHeading1"/>
        <w:numPr>
          <w:ilvl w:val="0"/>
          <w:numId w:val="24"/>
        </w:numPr>
        <w:rPr>
          <w:lang w:val="en-GB"/>
        </w:rPr>
      </w:pPr>
      <w:r w:rsidRPr="00B57B36">
        <w:rPr>
          <w:lang w:val="en-GB"/>
        </w:rPr>
        <w:t>Conclusions</w:t>
      </w:r>
    </w:p>
    <w:p w14:paraId="52DAFDE0" w14:textId="1CE0A2FD" w:rsidR="001D0CFB" w:rsidRDefault="00742644" w:rsidP="00600535">
      <w:pPr>
        <w:pStyle w:val="CETBodytext"/>
        <w:rPr>
          <w:lang w:val="en-GB"/>
        </w:rPr>
      </w:pPr>
      <w:r w:rsidRPr="00742644">
        <w:rPr>
          <w:lang w:val="en-GB"/>
        </w:rPr>
        <w:t>The study of the reuse of the heterogeneous catalyst NbOPO</w:t>
      </w:r>
      <w:r w:rsidRPr="00742644">
        <w:rPr>
          <w:vertAlign w:val="subscript"/>
          <w:lang w:val="en-GB"/>
        </w:rPr>
        <w:t>4</w:t>
      </w:r>
      <w:r w:rsidRPr="00742644">
        <w:rPr>
          <w:lang w:val="en-GB"/>
        </w:rPr>
        <w:t>.nH</w:t>
      </w:r>
      <w:r w:rsidRPr="00742644">
        <w:rPr>
          <w:vertAlign w:val="subscript"/>
          <w:lang w:val="en-GB"/>
        </w:rPr>
        <w:t>2</w:t>
      </w:r>
      <w:r w:rsidRPr="00742644">
        <w:rPr>
          <w:lang w:val="en-GB"/>
        </w:rPr>
        <w:t xml:space="preserve">O in converting </w:t>
      </w:r>
      <w:r>
        <w:rPr>
          <w:lang w:val="en-GB"/>
        </w:rPr>
        <w:t>SCB</w:t>
      </w:r>
      <w:r w:rsidRPr="00742644">
        <w:rPr>
          <w:lang w:val="en-GB"/>
        </w:rPr>
        <w:t xml:space="preserve"> into furfural was successfully carried out. The results showed that it is possible to produce furfural and reuse the catalyst even using raw </w:t>
      </w:r>
      <w:r>
        <w:rPr>
          <w:lang w:val="en-GB"/>
        </w:rPr>
        <w:t>SCB</w:t>
      </w:r>
      <w:r w:rsidRPr="00742644">
        <w:rPr>
          <w:lang w:val="en-GB"/>
        </w:rPr>
        <w:t xml:space="preserve">. Furthermore, the work showed that it is possible to separate the catalyst from the biomass by simple sieving. Regarding reuse, the study pointed out that at 150 °C, there is a more outstanding production of furfural and that the </w:t>
      </w:r>
      <w:r w:rsidR="00177B50">
        <w:rPr>
          <w:lang w:val="en-GB"/>
        </w:rPr>
        <w:t>pretreatment</w:t>
      </w:r>
      <w:r w:rsidRPr="00742644">
        <w:rPr>
          <w:lang w:val="en-GB"/>
        </w:rPr>
        <w:t xml:space="preserve"> carried out using only water is enough to regenerate the catalyst in at least one cycle.</w:t>
      </w:r>
    </w:p>
    <w:p w14:paraId="459D05E6" w14:textId="77777777" w:rsidR="00600535" w:rsidRPr="00B57B36" w:rsidRDefault="00600535" w:rsidP="00600535">
      <w:pPr>
        <w:pStyle w:val="CETAcknowledgementstitle"/>
      </w:pPr>
      <w:r w:rsidRPr="00B57B36">
        <w:t>Acknowledgments</w:t>
      </w:r>
    </w:p>
    <w:p w14:paraId="33F8138F" w14:textId="0EE02510" w:rsidR="00600535" w:rsidRPr="00B57B36" w:rsidRDefault="00AD1EBD" w:rsidP="00600535">
      <w:pPr>
        <w:pStyle w:val="CETBodytext"/>
        <w:rPr>
          <w:lang w:val="en-GB"/>
        </w:rPr>
      </w:pPr>
      <w:r w:rsidRPr="00AD1EBD">
        <w:rPr>
          <w:lang w:val="en-GB"/>
        </w:rPr>
        <w:t xml:space="preserve">To </w:t>
      </w:r>
      <w:proofErr w:type="spellStart"/>
      <w:r w:rsidRPr="00AD1EBD">
        <w:rPr>
          <w:lang w:val="en-GB"/>
        </w:rPr>
        <w:t>CNPq</w:t>
      </w:r>
      <w:proofErr w:type="spellEnd"/>
      <w:r w:rsidRPr="00AD1EBD">
        <w:rPr>
          <w:lang w:val="en-GB"/>
        </w:rPr>
        <w:t xml:space="preserve"> and CAPES for the financial incentive and Brazilian Metallurgy and Mining Company (CBMM) for the niobium phosphate catalyst.</w:t>
      </w:r>
    </w:p>
    <w:p w14:paraId="4F1327F8" w14:textId="77777777" w:rsidR="00600535" w:rsidRPr="00B57B36" w:rsidRDefault="00600535" w:rsidP="00600535">
      <w:pPr>
        <w:pStyle w:val="CETReference"/>
      </w:pPr>
      <w:r w:rsidRPr="00B57B36">
        <w:t>References</w:t>
      </w:r>
    </w:p>
    <w:p w14:paraId="35C86F2A" w14:textId="77777777" w:rsidR="0011151E" w:rsidRPr="00BE430E" w:rsidRDefault="0011151E" w:rsidP="00EC0F98">
      <w:pPr>
        <w:pStyle w:val="CETBodytext"/>
        <w:ind w:left="284" w:hanging="284"/>
        <w:rPr>
          <w:lang w:val="en-GB"/>
        </w:rPr>
      </w:pPr>
      <w:r w:rsidRPr="00491754">
        <w:t xml:space="preserve">Aranda D.A.G., </w:t>
      </w:r>
      <w:r>
        <w:t>Gonçalves J. de A.</w:t>
      </w:r>
      <w:r w:rsidRPr="00491754">
        <w:t xml:space="preserve">, </w:t>
      </w:r>
      <w:r>
        <w:t>Peres J.S</w:t>
      </w:r>
      <w:r w:rsidRPr="00491754">
        <w:t xml:space="preserve">., </w:t>
      </w:r>
      <w:r>
        <w:t>Ramos A.L.D</w:t>
      </w:r>
      <w:r w:rsidRPr="00491754">
        <w:t xml:space="preserve">., </w:t>
      </w:r>
      <w:r>
        <w:t>de Melo Jr. C.A.R., Antunes O.A.C.,</w:t>
      </w:r>
      <w:r w:rsidRPr="00491754">
        <w:t xml:space="preserve"> </w:t>
      </w:r>
      <w:r>
        <w:t>Furtado N.C., Taft C.A</w:t>
      </w:r>
      <w:r w:rsidRPr="00674F95">
        <w:t xml:space="preserve">., </w:t>
      </w:r>
      <w:r w:rsidRPr="00BE430E">
        <w:rPr>
          <w:lang w:val="en-GB"/>
        </w:rPr>
        <w:t>2009</w:t>
      </w:r>
      <w:r>
        <w:rPr>
          <w:lang w:val="en-GB"/>
        </w:rPr>
        <w:t xml:space="preserve">, </w:t>
      </w:r>
      <w:r w:rsidRPr="00BE430E">
        <w:rPr>
          <w:lang w:val="en-GB"/>
        </w:rPr>
        <w:t>The use of acids, niobium oxide, and zeolite catalysts for esterification reactions, Journal of Physical Organic Chemistry, 22, 709–716.</w:t>
      </w:r>
    </w:p>
    <w:p w14:paraId="4B17C84F" w14:textId="77777777" w:rsidR="0011151E" w:rsidRDefault="0011151E" w:rsidP="00EC0F98">
      <w:pPr>
        <w:pStyle w:val="CETBodytext"/>
        <w:ind w:left="284" w:hanging="284"/>
        <w:rPr>
          <w:lang w:val="en-GB"/>
        </w:rPr>
      </w:pPr>
      <w:r w:rsidRPr="00BE430E">
        <w:rPr>
          <w:lang w:val="en-GB"/>
        </w:rPr>
        <w:t>Barbosa P.S.</w:t>
      </w:r>
      <w:r>
        <w:rPr>
          <w:lang w:val="en-GB"/>
        </w:rPr>
        <w:t xml:space="preserve">, </w:t>
      </w:r>
      <w:r w:rsidRPr="00BE430E">
        <w:rPr>
          <w:lang w:val="en-GB"/>
        </w:rPr>
        <w:t>2018</w:t>
      </w:r>
      <w:r>
        <w:rPr>
          <w:lang w:val="en-GB"/>
        </w:rPr>
        <w:t xml:space="preserve">, </w:t>
      </w:r>
      <w:r w:rsidRPr="00BE430E">
        <w:rPr>
          <w:lang w:val="en-GB"/>
        </w:rPr>
        <w:t xml:space="preserve">Procedures for chemical characterization of sugarcane bagasse: Studies for optimization and standardization, </w:t>
      </w:r>
      <w:r>
        <w:rPr>
          <w:lang w:val="en-GB"/>
        </w:rPr>
        <w:t xml:space="preserve">MSc Dissertation, </w:t>
      </w:r>
      <w:r w:rsidRPr="00BE430E">
        <w:rPr>
          <w:lang w:val="en-GB"/>
        </w:rPr>
        <w:t xml:space="preserve">Federal University of </w:t>
      </w:r>
      <w:proofErr w:type="spellStart"/>
      <w:r w:rsidRPr="00BE430E">
        <w:rPr>
          <w:lang w:val="en-GB"/>
        </w:rPr>
        <w:t>Viçosa</w:t>
      </w:r>
      <w:proofErr w:type="spellEnd"/>
      <w:r>
        <w:rPr>
          <w:lang w:val="en-GB"/>
        </w:rPr>
        <w:t xml:space="preserve">, </w:t>
      </w:r>
      <w:proofErr w:type="spellStart"/>
      <w:r>
        <w:rPr>
          <w:lang w:val="en-GB"/>
        </w:rPr>
        <w:t>Viçosa</w:t>
      </w:r>
      <w:proofErr w:type="spellEnd"/>
      <w:r>
        <w:rPr>
          <w:lang w:val="en-GB"/>
        </w:rPr>
        <w:t>, Brazil.</w:t>
      </w:r>
    </w:p>
    <w:p w14:paraId="6A6C602E" w14:textId="77777777" w:rsidR="0011151E" w:rsidRDefault="0011151E" w:rsidP="00EC0F98">
      <w:pPr>
        <w:pStyle w:val="CETBodytext"/>
        <w:ind w:left="284" w:hanging="284"/>
        <w:rPr>
          <w:lang w:val="en-GB"/>
        </w:rPr>
      </w:pPr>
      <w:r w:rsidRPr="00BE430E">
        <w:rPr>
          <w:lang w:val="en-GB"/>
        </w:rPr>
        <w:t>Bernal H.G., Maria</w:t>
      </w:r>
      <w:r>
        <w:rPr>
          <w:lang w:val="en-GB"/>
        </w:rPr>
        <w:t xml:space="preserve"> </w:t>
      </w:r>
      <w:r w:rsidRPr="00BE430E">
        <w:rPr>
          <w:lang w:val="en-GB"/>
        </w:rPr>
        <w:t>A.</w:t>
      </w:r>
      <w:r>
        <w:rPr>
          <w:lang w:val="en-GB"/>
        </w:rPr>
        <w:t xml:space="preserve">, </w:t>
      </w:r>
      <w:proofErr w:type="spellStart"/>
      <w:r w:rsidRPr="00BE430E">
        <w:rPr>
          <w:lang w:val="en-GB"/>
        </w:rPr>
        <w:t>Galletti</w:t>
      </w:r>
      <w:proofErr w:type="spellEnd"/>
      <w:r w:rsidRPr="00BE430E">
        <w:rPr>
          <w:lang w:val="en-GB"/>
        </w:rPr>
        <w:t>, R</w:t>
      </w:r>
      <w:r>
        <w:rPr>
          <w:lang w:val="en-GB"/>
        </w:rPr>
        <w:t xml:space="preserve">., </w:t>
      </w:r>
      <w:r w:rsidRPr="00BE430E">
        <w:rPr>
          <w:lang w:val="en-GB"/>
        </w:rPr>
        <w:t>2014</w:t>
      </w:r>
      <w:r>
        <w:rPr>
          <w:lang w:val="en-GB"/>
        </w:rPr>
        <w:t xml:space="preserve">, </w:t>
      </w:r>
      <w:r w:rsidRPr="00BE430E">
        <w:rPr>
          <w:lang w:val="en-GB"/>
        </w:rPr>
        <w:t>Furfural from corn stover hemicelluloses. A mineral acid-free approach, Green Chemistry</w:t>
      </w:r>
      <w:r>
        <w:rPr>
          <w:lang w:val="en-GB"/>
        </w:rPr>
        <w:t>,</w:t>
      </w:r>
      <w:r w:rsidRPr="00BE430E">
        <w:rPr>
          <w:lang w:val="en-GB"/>
        </w:rPr>
        <w:t xml:space="preserve"> 16, 3734–3740</w:t>
      </w:r>
      <w:r>
        <w:rPr>
          <w:lang w:val="en-GB"/>
        </w:rPr>
        <w:t>.</w:t>
      </w:r>
    </w:p>
    <w:p w14:paraId="519CBAFA" w14:textId="77777777" w:rsidR="0011151E" w:rsidRPr="00BE430E" w:rsidRDefault="0011151E" w:rsidP="00EC0F98">
      <w:pPr>
        <w:pStyle w:val="CETBodytext"/>
        <w:ind w:left="284" w:hanging="284"/>
        <w:rPr>
          <w:lang w:val="en-GB"/>
        </w:rPr>
      </w:pPr>
      <w:proofErr w:type="spellStart"/>
      <w:r w:rsidRPr="00BE430E">
        <w:rPr>
          <w:lang w:val="en-GB"/>
        </w:rPr>
        <w:t>Carniti</w:t>
      </w:r>
      <w:proofErr w:type="spellEnd"/>
      <w:r w:rsidRPr="00BE430E">
        <w:rPr>
          <w:lang w:val="en-GB"/>
        </w:rPr>
        <w:t xml:space="preserve"> P</w:t>
      </w:r>
      <w:r>
        <w:rPr>
          <w:lang w:val="en-GB"/>
        </w:rPr>
        <w:t xml:space="preserve">., </w:t>
      </w:r>
      <w:proofErr w:type="spellStart"/>
      <w:r>
        <w:rPr>
          <w:lang w:val="en-GB"/>
        </w:rPr>
        <w:t>Gervasini</w:t>
      </w:r>
      <w:proofErr w:type="spellEnd"/>
      <w:r>
        <w:rPr>
          <w:lang w:val="en-GB"/>
        </w:rPr>
        <w:t xml:space="preserve"> A., Biella S., </w:t>
      </w:r>
      <w:proofErr w:type="spellStart"/>
      <w:r>
        <w:rPr>
          <w:lang w:val="en-GB"/>
        </w:rPr>
        <w:t>Auroux</w:t>
      </w:r>
      <w:proofErr w:type="spellEnd"/>
      <w:r>
        <w:rPr>
          <w:lang w:val="en-GB"/>
        </w:rPr>
        <w:t xml:space="preserve"> A.,</w:t>
      </w:r>
      <w:r w:rsidRPr="00BE430E">
        <w:rPr>
          <w:lang w:val="en-GB"/>
        </w:rPr>
        <w:t xml:space="preserve"> 2006</w:t>
      </w:r>
      <w:r>
        <w:rPr>
          <w:lang w:val="en-GB"/>
        </w:rPr>
        <w:t xml:space="preserve">, </w:t>
      </w:r>
      <w:r w:rsidRPr="00BE430E">
        <w:rPr>
          <w:lang w:val="en-GB"/>
        </w:rPr>
        <w:t>Niobic acid and niobium phosphate as highly acidic viable catalysts in aqueous medium: Fructose dehydration reaction, Catalysis Today, 118, 373–378.</w:t>
      </w:r>
    </w:p>
    <w:p w14:paraId="04BDED01" w14:textId="77777777" w:rsidR="0011151E" w:rsidRPr="00BE430E" w:rsidRDefault="0011151E" w:rsidP="00EC0F98">
      <w:pPr>
        <w:pStyle w:val="CETBodytext"/>
        <w:ind w:left="284" w:hanging="284"/>
        <w:rPr>
          <w:lang w:val="en-GB"/>
        </w:rPr>
      </w:pPr>
      <w:proofErr w:type="spellStart"/>
      <w:r w:rsidRPr="00BE430E">
        <w:rPr>
          <w:lang w:val="en-GB"/>
        </w:rPr>
        <w:t>Catrinck</w:t>
      </w:r>
      <w:proofErr w:type="spellEnd"/>
      <w:r w:rsidRPr="00BE430E">
        <w:rPr>
          <w:lang w:val="en-GB"/>
        </w:rPr>
        <w:t xml:space="preserve"> M.N</w:t>
      </w:r>
      <w:r>
        <w:rPr>
          <w:lang w:val="en-GB"/>
        </w:rPr>
        <w:t xml:space="preserve">. Barbosa P.S., </w:t>
      </w:r>
      <w:proofErr w:type="spellStart"/>
      <w:r>
        <w:rPr>
          <w:lang w:val="en-GB"/>
        </w:rPr>
        <w:t>Helder</w:t>
      </w:r>
      <w:proofErr w:type="spellEnd"/>
      <w:r>
        <w:rPr>
          <w:lang w:val="en-GB"/>
        </w:rPr>
        <w:t xml:space="preserve"> F.R.O., Monteiro R.S., Barbosa M.H., </w:t>
      </w:r>
      <w:proofErr w:type="spellStart"/>
      <w:r>
        <w:rPr>
          <w:lang w:val="en-GB"/>
        </w:rPr>
        <w:t>Ribas</w:t>
      </w:r>
      <w:proofErr w:type="spellEnd"/>
      <w:r>
        <w:rPr>
          <w:lang w:val="en-GB"/>
        </w:rPr>
        <w:t xml:space="preserve"> R.M., </w:t>
      </w:r>
      <w:proofErr w:type="spellStart"/>
      <w:r>
        <w:rPr>
          <w:lang w:val="en-GB"/>
        </w:rPr>
        <w:t>Teófilo</w:t>
      </w:r>
      <w:proofErr w:type="spellEnd"/>
      <w:r>
        <w:rPr>
          <w:lang w:val="en-GB"/>
        </w:rPr>
        <w:t xml:space="preserve"> R.F</w:t>
      </w:r>
      <w:r w:rsidRPr="00BE430E">
        <w:rPr>
          <w:lang w:val="en-GB"/>
        </w:rPr>
        <w:t>.</w:t>
      </w:r>
      <w:r>
        <w:rPr>
          <w:lang w:val="en-GB"/>
        </w:rPr>
        <w:t>,</w:t>
      </w:r>
      <w:r w:rsidRPr="00BE430E">
        <w:rPr>
          <w:lang w:val="en-GB"/>
        </w:rPr>
        <w:t xml:space="preserve"> 2020</w:t>
      </w:r>
      <w:r>
        <w:rPr>
          <w:lang w:val="en-GB"/>
        </w:rPr>
        <w:t xml:space="preserve">, </w:t>
      </w:r>
      <w:r w:rsidRPr="00BE430E">
        <w:rPr>
          <w:lang w:val="en-GB"/>
        </w:rPr>
        <w:t>One-step process to produce furfural from sugarcane bagasse over niobium-based solid acid catalysts in a water medium, Fuel Processing Technology. 207.</w:t>
      </w:r>
    </w:p>
    <w:p w14:paraId="11B1A801" w14:textId="77777777" w:rsidR="0011151E" w:rsidRPr="00BE430E" w:rsidRDefault="0011151E" w:rsidP="00EC0F98">
      <w:pPr>
        <w:pStyle w:val="CETBodytext"/>
        <w:ind w:left="284" w:hanging="284"/>
        <w:rPr>
          <w:lang w:val="en-GB"/>
        </w:rPr>
      </w:pPr>
      <w:proofErr w:type="spellStart"/>
      <w:r w:rsidRPr="00BE430E">
        <w:rPr>
          <w:lang w:val="en-GB"/>
        </w:rPr>
        <w:t>Mamman</w:t>
      </w:r>
      <w:proofErr w:type="spellEnd"/>
      <w:r w:rsidRPr="00BE430E">
        <w:rPr>
          <w:lang w:val="en-GB"/>
        </w:rPr>
        <w:t xml:space="preserve"> A.S</w:t>
      </w:r>
      <w:r>
        <w:rPr>
          <w:lang w:val="en-GB"/>
        </w:rPr>
        <w:t xml:space="preserve">., Lee J.M., Kim Y.C., Hwang I.T., Park N.J., Hwang Y.K. et al., </w:t>
      </w:r>
      <w:r w:rsidRPr="00BE430E">
        <w:rPr>
          <w:lang w:val="en-GB"/>
        </w:rPr>
        <w:t>2008</w:t>
      </w:r>
      <w:r>
        <w:rPr>
          <w:lang w:val="en-GB"/>
        </w:rPr>
        <w:t xml:space="preserve">, </w:t>
      </w:r>
      <w:r w:rsidRPr="00BE430E">
        <w:rPr>
          <w:lang w:val="en-GB"/>
        </w:rPr>
        <w:t>Furfural: Hemicellulose/xylose</w:t>
      </w:r>
      <w:r>
        <w:rPr>
          <w:lang w:val="en-GB"/>
        </w:rPr>
        <w:t xml:space="preserve"> </w:t>
      </w:r>
      <w:r w:rsidRPr="00BE430E">
        <w:rPr>
          <w:lang w:val="en-GB"/>
        </w:rPr>
        <w:t>derived biochemical, Biofuels</w:t>
      </w:r>
      <w:r>
        <w:rPr>
          <w:lang w:val="en-GB"/>
        </w:rPr>
        <w:t xml:space="preserve"> </w:t>
      </w:r>
      <w:r w:rsidRPr="00BE430E">
        <w:rPr>
          <w:lang w:val="en-GB"/>
        </w:rPr>
        <w:t>Bioproducts and Biorefining</w:t>
      </w:r>
      <w:r>
        <w:rPr>
          <w:lang w:val="en-GB"/>
        </w:rPr>
        <w:t>,</w:t>
      </w:r>
      <w:r w:rsidRPr="00BE430E">
        <w:rPr>
          <w:lang w:val="en-GB"/>
        </w:rPr>
        <w:t xml:space="preserve"> 2, 438–454.</w:t>
      </w:r>
    </w:p>
    <w:p w14:paraId="3D4ABE80" w14:textId="77777777" w:rsidR="0011151E" w:rsidRPr="00BE430E" w:rsidRDefault="0011151E" w:rsidP="00EC0F98">
      <w:pPr>
        <w:pStyle w:val="CETBodytext"/>
        <w:ind w:left="284" w:hanging="284"/>
        <w:rPr>
          <w:lang w:val="en-GB"/>
        </w:rPr>
      </w:pPr>
      <w:r w:rsidRPr="00BE430E">
        <w:rPr>
          <w:lang w:val="en-GB"/>
        </w:rPr>
        <w:t xml:space="preserve">Mika L.T., </w:t>
      </w:r>
      <w:proofErr w:type="spellStart"/>
      <w:r w:rsidRPr="00BE430E">
        <w:rPr>
          <w:lang w:val="en-GB"/>
        </w:rPr>
        <w:t>Cséfalvay</w:t>
      </w:r>
      <w:proofErr w:type="spellEnd"/>
      <w:r>
        <w:rPr>
          <w:lang w:val="en-GB"/>
        </w:rPr>
        <w:t xml:space="preserve"> </w:t>
      </w:r>
      <w:r w:rsidRPr="00BE430E">
        <w:rPr>
          <w:lang w:val="en-GB"/>
        </w:rPr>
        <w:t>E.</w:t>
      </w:r>
      <w:r>
        <w:rPr>
          <w:lang w:val="en-GB"/>
        </w:rPr>
        <w:t xml:space="preserve">, </w:t>
      </w:r>
      <w:proofErr w:type="spellStart"/>
      <w:proofErr w:type="gramStart"/>
      <w:r w:rsidRPr="00BE430E">
        <w:rPr>
          <w:lang w:val="en-GB"/>
        </w:rPr>
        <w:t>Németh</w:t>
      </w:r>
      <w:proofErr w:type="spellEnd"/>
      <w:r>
        <w:rPr>
          <w:lang w:val="en-GB"/>
        </w:rPr>
        <w:t xml:space="preserve"> </w:t>
      </w:r>
      <w:r w:rsidRPr="00BE430E">
        <w:rPr>
          <w:lang w:val="en-GB"/>
        </w:rPr>
        <w:t xml:space="preserve"> Á.</w:t>
      </w:r>
      <w:proofErr w:type="gramEnd"/>
      <w:r>
        <w:rPr>
          <w:lang w:val="en-GB"/>
        </w:rPr>
        <w:t xml:space="preserve">, </w:t>
      </w:r>
      <w:r w:rsidRPr="00BE430E">
        <w:rPr>
          <w:lang w:val="en-GB"/>
        </w:rPr>
        <w:t>2018</w:t>
      </w:r>
      <w:r>
        <w:rPr>
          <w:lang w:val="en-GB"/>
        </w:rPr>
        <w:t xml:space="preserve">, </w:t>
      </w:r>
      <w:r w:rsidRPr="00BE430E">
        <w:rPr>
          <w:lang w:val="en-GB"/>
        </w:rPr>
        <w:t>Catalytic Conversion of Carbohydrates to Initial Platform Chemicals: Chemistry and Sustainability, Chemical Reviews, 118, 505–613.</w:t>
      </w:r>
    </w:p>
    <w:p w14:paraId="4788A9C7" w14:textId="77777777" w:rsidR="0011151E" w:rsidRPr="00BE430E" w:rsidRDefault="0011151E" w:rsidP="00EC0F98">
      <w:pPr>
        <w:pStyle w:val="CETBodytext"/>
        <w:ind w:left="284" w:hanging="284"/>
        <w:rPr>
          <w:lang w:val="en-GB"/>
        </w:rPr>
      </w:pPr>
      <w:proofErr w:type="spellStart"/>
      <w:r w:rsidRPr="00BE430E">
        <w:rPr>
          <w:lang w:val="en-GB"/>
        </w:rPr>
        <w:t>Pholjaroen</w:t>
      </w:r>
      <w:proofErr w:type="spellEnd"/>
      <w:r w:rsidRPr="00BE430E">
        <w:rPr>
          <w:lang w:val="en-GB"/>
        </w:rPr>
        <w:t xml:space="preserve"> B.</w:t>
      </w:r>
      <w:r>
        <w:rPr>
          <w:lang w:val="en-GB"/>
        </w:rPr>
        <w:t>,</w:t>
      </w:r>
      <w:r w:rsidRPr="00BE430E">
        <w:rPr>
          <w:lang w:val="en-GB"/>
        </w:rPr>
        <w:t xml:space="preserve"> Li, N.</w:t>
      </w:r>
      <w:r>
        <w:rPr>
          <w:lang w:val="en-GB"/>
        </w:rPr>
        <w:t xml:space="preserve">, </w:t>
      </w:r>
      <w:r w:rsidRPr="00BE430E">
        <w:rPr>
          <w:lang w:val="en-GB"/>
        </w:rPr>
        <w:t>2013</w:t>
      </w:r>
      <w:r>
        <w:rPr>
          <w:lang w:val="en-GB"/>
        </w:rPr>
        <w:t xml:space="preserve">, </w:t>
      </w:r>
      <w:r w:rsidRPr="00BE430E">
        <w:rPr>
          <w:lang w:val="en-GB"/>
        </w:rPr>
        <w:t>Dehydration of xylose to furfural over niobium phosphate catalyst in biphasic solvent system, Journal of Energy Chemistry, 22, 826–832.</w:t>
      </w:r>
    </w:p>
    <w:p w14:paraId="12A63BCB" w14:textId="2233FE3B" w:rsidR="00894671" w:rsidRDefault="00894671" w:rsidP="00EC0F98">
      <w:pPr>
        <w:pStyle w:val="CETBodytext"/>
        <w:ind w:left="284" w:hanging="284"/>
        <w:rPr>
          <w:lang w:val="en-GB"/>
        </w:rPr>
      </w:pPr>
    </w:p>
    <w:sectPr w:rsidR="0089467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474E" w14:textId="77777777" w:rsidR="00FA232C" w:rsidRDefault="00FA232C" w:rsidP="004F5E36">
      <w:r>
        <w:separator/>
      </w:r>
    </w:p>
  </w:endnote>
  <w:endnote w:type="continuationSeparator" w:id="0">
    <w:p w14:paraId="61186595" w14:textId="77777777" w:rsidR="00FA232C" w:rsidRDefault="00FA232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E9EB" w14:textId="77777777" w:rsidR="00FA232C" w:rsidRDefault="00FA232C" w:rsidP="004F5E36">
      <w:r>
        <w:separator/>
      </w:r>
    </w:p>
  </w:footnote>
  <w:footnote w:type="continuationSeparator" w:id="0">
    <w:p w14:paraId="55DB5025" w14:textId="77777777" w:rsidR="00FA232C" w:rsidRDefault="00FA232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2502661"/>
    <w:multiLevelType w:val="multilevel"/>
    <w:tmpl w:val="3A121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7"/>
  </w:num>
  <w:num w:numId="20">
    <w:abstractNumId w:val="16"/>
  </w:num>
  <w:num w:numId="21">
    <w:abstractNumId w:val="14"/>
  </w:num>
  <w:num w:numId="22">
    <w:abstractNumId w:val="13"/>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4BD1"/>
    <w:rsid w:val="0003148D"/>
    <w:rsid w:val="00031EEC"/>
    <w:rsid w:val="0004119B"/>
    <w:rsid w:val="00051566"/>
    <w:rsid w:val="00062A9A"/>
    <w:rsid w:val="00065058"/>
    <w:rsid w:val="00080F41"/>
    <w:rsid w:val="00086C39"/>
    <w:rsid w:val="00094BB8"/>
    <w:rsid w:val="000A03B2"/>
    <w:rsid w:val="000A7B7A"/>
    <w:rsid w:val="000B6A26"/>
    <w:rsid w:val="000D0268"/>
    <w:rsid w:val="000D34BE"/>
    <w:rsid w:val="000E102F"/>
    <w:rsid w:val="000E36F1"/>
    <w:rsid w:val="000E3A73"/>
    <w:rsid w:val="000E414A"/>
    <w:rsid w:val="000F093C"/>
    <w:rsid w:val="000F787B"/>
    <w:rsid w:val="0011151E"/>
    <w:rsid w:val="0012091F"/>
    <w:rsid w:val="00125F34"/>
    <w:rsid w:val="001266BB"/>
    <w:rsid w:val="00126BC2"/>
    <w:rsid w:val="001308B6"/>
    <w:rsid w:val="0013121F"/>
    <w:rsid w:val="00131FE6"/>
    <w:rsid w:val="0013263F"/>
    <w:rsid w:val="001331DF"/>
    <w:rsid w:val="00134DE4"/>
    <w:rsid w:val="00135FB3"/>
    <w:rsid w:val="0014034D"/>
    <w:rsid w:val="00144D16"/>
    <w:rsid w:val="00150E59"/>
    <w:rsid w:val="00152DE3"/>
    <w:rsid w:val="00155ED7"/>
    <w:rsid w:val="00164CF9"/>
    <w:rsid w:val="001667A6"/>
    <w:rsid w:val="00177B50"/>
    <w:rsid w:val="0018174A"/>
    <w:rsid w:val="00184AD6"/>
    <w:rsid w:val="001A4AF7"/>
    <w:rsid w:val="001A55F1"/>
    <w:rsid w:val="001B0349"/>
    <w:rsid w:val="001B1E93"/>
    <w:rsid w:val="001B65C1"/>
    <w:rsid w:val="001B7D8C"/>
    <w:rsid w:val="001C579A"/>
    <w:rsid w:val="001C684B"/>
    <w:rsid w:val="001D0B88"/>
    <w:rsid w:val="001D0CFB"/>
    <w:rsid w:val="001D21AF"/>
    <w:rsid w:val="001D53FC"/>
    <w:rsid w:val="001F17F5"/>
    <w:rsid w:val="001F42A5"/>
    <w:rsid w:val="001F7B9D"/>
    <w:rsid w:val="00201C93"/>
    <w:rsid w:val="002224B4"/>
    <w:rsid w:val="002447EF"/>
    <w:rsid w:val="00251550"/>
    <w:rsid w:val="00253372"/>
    <w:rsid w:val="00261E42"/>
    <w:rsid w:val="00263B05"/>
    <w:rsid w:val="0027221A"/>
    <w:rsid w:val="00275B61"/>
    <w:rsid w:val="00280FAF"/>
    <w:rsid w:val="00282656"/>
    <w:rsid w:val="00291A9B"/>
    <w:rsid w:val="00294CE5"/>
    <w:rsid w:val="00296B83"/>
    <w:rsid w:val="002B4015"/>
    <w:rsid w:val="002B78CE"/>
    <w:rsid w:val="002C2FB6"/>
    <w:rsid w:val="002D09A0"/>
    <w:rsid w:val="002D4FE7"/>
    <w:rsid w:val="002E5FA7"/>
    <w:rsid w:val="002F3309"/>
    <w:rsid w:val="003008CE"/>
    <w:rsid w:val="003009B7"/>
    <w:rsid w:val="00300E56"/>
    <w:rsid w:val="0030469C"/>
    <w:rsid w:val="003169FA"/>
    <w:rsid w:val="00321CA6"/>
    <w:rsid w:val="00323763"/>
    <w:rsid w:val="00334C09"/>
    <w:rsid w:val="003723D4"/>
    <w:rsid w:val="00381905"/>
    <w:rsid w:val="00384CC8"/>
    <w:rsid w:val="003871FD"/>
    <w:rsid w:val="003A1E30"/>
    <w:rsid w:val="003A2829"/>
    <w:rsid w:val="003A41F4"/>
    <w:rsid w:val="003A5C53"/>
    <w:rsid w:val="003A7D1C"/>
    <w:rsid w:val="003B304B"/>
    <w:rsid w:val="003B3146"/>
    <w:rsid w:val="003E1DFF"/>
    <w:rsid w:val="003E5B4F"/>
    <w:rsid w:val="003F015E"/>
    <w:rsid w:val="003F5262"/>
    <w:rsid w:val="00400414"/>
    <w:rsid w:val="004037B8"/>
    <w:rsid w:val="0041175B"/>
    <w:rsid w:val="0041446B"/>
    <w:rsid w:val="004270A8"/>
    <w:rsid w:val="004305FC"/>
    <w:rsid w:val="0044071E"/>
    <w:rsid w:val="0044329C"/>
    <w:rsid w:val="00453E24"/>
    <w:rsid w:val="00457456"/>
    <w:rsid w:val="004577FE"/>
    <w:rsid w:val="00457B9C"/>
    <w:rsid w:val="0046164A"/>
    <w:rsid w:val="004628D2"/>
    <w:rsid w:val="00462DCD"/>
    <w:rsid w:val="004648AD"/>
    <w:rsid w:val="004703A9"/>
    <w:rsid w:val="00471B04"/>
    <w:rsid w:val="004760DE"/>
    <w:rsid w:val="004763D7"/>
    <w:rsid w:val="00482DA0"/>
    <w:rsid w:val="00491754"/>
    <w:rsid w:val="004A004E"/>
    <w:rsid w:val="004A24CF"/>
    <w:rsid w:val="004B0E44"/>
    <w:rsid w:val="004C3D1D"/>
    <w:rsid w:val="004C7913"/>
    <w:rsid w:val="004E4DD6"/>
    <w:rsid w:val="004F1F8E"/>
    <w:rsid w:val="004F5E36"/>
    <w:rsid w:val="00507B47"/>
    <w:rsid w:val="00507BEF"/>
    <w:rsid w:val="00507CC9"/>
    <w:rsid w:val="005119A5"/>
    <w:rsid w:val="005278B7"/>
    <w:rsid w:val="00532016"/>
    <w:rsid w:val="005346C8"/>
    <w:rsid w:val="00543E7D"/>
    <w:rsid w:val="00547A68"/>
    <w:rsid w:val="005531C9"/>
    <w:rsid w:val="00570C43"/>
    <w:rsid w:val="00572821"/>
    <w:rsid w:val="00572EA0"/>
    <w:rsid w:val="005B2110"/>
    <w:rsid w:val="005B4E0E"/>
    <w:rsid w:val="005B61E6"/>
    <w:rsid w:val="005C77E1"/>
    <w:rsid w:val="005D3056"/>
    <w:rsid w:val="005D668A"/>
    <w:rsid w:val="005D6A2F"/>
    <w:rsid w:val="005E1A82"/>
    <w:rsid w:val="005E794C"/>
    <w:rsid w:val="005F0A28"/>
    <w:rsid w:val="005F0E5E"/>
    <w:rsid w:val="00600535"/>
    <w:rsid w:val="00601543"/>
    <w:rsid w:val="00607A6B"/>
    <w:rsid w:val="00610CD6"/>
    <w:rsid w:val="00612E85"/>
    <w:rsid w:val="00620120"/>
    <w:rsid w:val="00620DEE"/>
    <w:rsid w:val="00621F92"/>
    <w:rsid w:val="0062280A"/>
    <w:rsid w:val="00622FFB"/>
    <w:rsid w:val="00625639"/>
    <w:rsid w:val="00631B33"/>
    <w:rsid w:val="0064184D"/>
    <w:rsid w:val="006422CC"/>
    <w:rsid w:val="00660E3E"/>
    <w:rsid w:val="00662E74"/>
    <w:rsid w:val="00674F95"/>
    <w:rsid w:val="00680C23"/>
    <w:rsid w:val="0069226E"/>
    <w:rsid w:val="00693766"/>
    <w:rsid w:val="006A071B"/>
    <w:rsid w:val="006A226A"/>
    <w:rsid w:val="006A3281"/>
    <w:rsid w:val="006B4888"/>
    <w:rsid w:val="006C2E45"/>
    <w:rsid w:val="006C359C"/>
    <w:rsid w:val="006C5579"/>
    <w:rsid w:val="006D6E8B"/>
    <w:rsid w:val="006E1F78"/>
    <w:rsid w:val="006E737D"/>
    <w:rsid w:val="00713973"/>
    <w:rsid w:val="00720A24"/>
    <w:rsid w:val="00732386"/>
    <w:rsid w:val="0073514D"/>
    <w:rsid w:val="00742644"/>
    <w:rsid w:val="007447F3"/>
    <w:rsid w:val="007539E7"/>
    <w:rsid w:val="0075499F"/>
    <w:rsid w:val="007661C8"/>
    <w:rsid w:val="007705AC"/>
    <w:rsid w:val="0077098D"/>
    <w:rsid w:val="0077166B"/>
    <w:rsid w:val="007931FA"/>
    <w:rsid w:val="007A4861"/>
    <w:rsid w:val="007A7BBA"/>
    <w:rsid w:val="007B0C50"/>
    <w:rsid w:val="007B48F9"/>
    <w:rsid w:val="007C1A43"/>
    <w:rsid w:val="007E01C1"/>
    <w:rsid w:val="0080013E"/>
    <w:rsid w:val="00802EA2"/>
    <w:rsid w:val="00813288"/>
    <w:rsid w:val="00813DB0"/>
    <w:rsid w:val="008168FC"/>
    <w:rsid w:val="00826874"/>
    <w:rsid w:val="00830996"/>
    <w:rsid w:val="008345F1"/>
    <w:rsid w:val="00856FC3"/>
    <w:rsid w:val="00865B07"/>
    <w:rsid w:val="008667EA"/>
    <w:rsid w:val="0087637F"/>
    <w:rsid w:val="00876701"/>
    <w:rsid w:val="00892AD5"/>
    <w:rsid w:val="00894671"/>
    <w:rsid w:val="008A1512"/>
    <w:rsid w:val="008B04B8"/>
    <w:rsid w:val="008D32B9"/>
    <w:rsid w:val="008D433B"/>
    <w:rsid w:val="008E566E"/>
    <w:rsid w:val="008E6460"/>
    <w:rsid w:val="008F2B36"/>
    <w:rsid w:val="008F35E8"/>
    <w:rsid w:val="0090161A"/>
    <w:rsid w:val="00901EB6"/>
    <w:rsid w:val="00904C62"/>
    <w:rsid w:val="00921FD8"/>
    <w:rsid w:val="00922BA8"/>
    <w:rsid w:val="00924DAC"/>
    <w:rsid w:val="00927058"/>
    <w:rsid w:val="00942750"/>
    <w:rsid w:val="009450CE"/>
    <w:rsid w:val="00947179"/>
    <w:rsid w:val="0095164B"/>
    <w:rsid w:val="00954090"/>
    <w:rsid w:val="009573E7"/>
    <w:rsid w:val="00963E05"/>
    <w:rsid w:val="00964A45"/>
    <w:rsid w:val="00967843"/>
    <w:rsid w:val="00967D54"/>
    <w:rsid w:val="00971028"/>
    <w:rsid w:val="009833E2"/>
    <w:rsid w:val="00993B84"/>
    <w:rsid w:val="00996483"/>
    <w:rsid w:val="00996F5A"/>
    <w:rsid w:val="009B041A"/>
    <w:rsid w:val="009C37C3"/>
    <w:rsid w:val="009C7C86"/>
    <w:rsid w:val="009D2FF7"/>
    <w:rsid w:val="009D4C5F"/>
    <w:rsid w:val="009E7884"/>
    <w:rsid w:val="009E788A"/>
    <w:rsid w:val="009F0E08"/>
    <w:rsid w:val="00A01745"/>
    <w:rsid w:val="00A10A9D"/>
    <w:rsid w:val="00A1556D"/>
    <w:rsid w:val="00A1763D"/>
    <w:rsid w:val="00A17BA5"/>
    <w:rsid w:val="00A17CEC"/>
    <w:rsid w:val="00A27EF0"/>
    <w:rsid w:val="00A42361"/>
    <w:rsid w:val="00A50B20"/>
    <w:rsid w:val="00A51390"/>
    <w:rsid w:val="00A60D13"/>
    <w:rsid w:val="00A616AD"/>
    <w:rsid w:val="00A66FBD"/>
    <w:rsid w:val="00A72745"/>
    <w:rsid w:val="00A76EFC"/>
    <w:rsid w:val="00A91010"/>
    <w:rsid w:val="00A97F29"/>
    <w:rsid w:val="00AA702E"/>
    <w:rsid w:val="00AB0964"/>
    <w:rsid w:val="00AB5011"/>
    <w:rsid w:val="00AB629F"/>
    <w:rsid w:val="00AC7368"/>
    <w:rsid w:val="00AD16B9"/>
    <w:rsid w:val="00AD1EBD"/>
    <w:rsid w:val="00AE377D"/>
    <w:rsid w:val="00AE5243"/>
    <w:rsid w:val="00AF0EBA"/>
    <w:rsid w:val="00B02C8A"/>
    <w:rsid w:val="00B17FBD"/>
    <w:rsid w:val="00B315A6"/>
    <w:rsid w:val="00B31813"/>
    <w:rsid w:val="00B33365"/>
    <w:rsid w:val="00B57B36"/>
    <w:rsid w:val="00B57E6F"/>
    <w:rsid w:val="00B8219E"/>
    <w:rsid w:val="00B8686D"/>
    <w:rsid w:val="00B93F69"/>
    <w:rsid w:val="00BB13E4"/>
    <w:rsid w:val="00BB1DDC"/>
    <w:rsid w:val="00BB656F"/>
    <w:rsid w:val="00BB78A0"/>
    <w:rsid w:val="00BC30C9"/>
    <w:rsid w:val="00BC7BE2"/>
    <w:rsid w:val="00BD077D"/>
    <w:rsid w:val="00BE00F8"/>
    <w:rsid w:val="00BE3E58"/>
    <w:rsid w:val="00BE430E"/>
    <w:rsid w:val="00BF5A34"/>
    <w:rsid w:val="00C01616"/>
    <w:rsid w:val="00C0162B"/>
    <w:rsid w:val="00C068ED"/>
    <w:rsid w:val="00C22E0C"/>
    <w:rsid w:val="00C30F0B"/>
    <w:rsid w:val="00C345B1"/>
    <w:rsid w:val="00C36B53"/>
    <w:rsid w:val="00C40142"/>
    <w:rsid w:val="00C45FAB"/>
    <w:rsid w:val="00C52C3C"/>
    <w:rsid w:val="00C54684"/>
    <w:rsid w:val="00C57182"/>
    <w:rsid w:val="00C57863"/>
    <w:rsid w:val="00C655FD"/>
    <w:rsid w:val="00C7417D"/>
    <w:rsid w:val="00C75407"/>
    <w:rsid w:val="00C870A8"/>
    <w:rsid w:val="00C94434"/>
    <w:rsid w:val="00CA0D75"/>
    <w:rsid w:val="00CA1C95"/>
    <w:rsid w:val="00CA5A9C"/>
    <w:rsid w:val="00CA7FA0"/>
    <w:rsid w:val="00CB715C"/>
    <w:rsid w:val="00CC4C20"/>
    <w:rsid w:val="00CD3517"/>
    <w:rsid w:val="00CD5FE2"/>
    <w:rsid w:val="00CE4C6D"/>
    <w:rsid w:val="00CE76F2"/>
    <w:rsid w:val="00CE7C68"/>
    <w:rsid w:val="00CF0519"/>
    <w:rsid w:val="00D02B4C"/>
    <w:rsid w:val="00D040C4"/>
    <w:rsid w:val="00D26AAC"/>
    <w:rsid w:val="00D402E5"/>
    <w:rsid w:val="00D41B76"/>
    <w:rsid w:val="00D4328A"/>
    <w:rsid w:val="00D46B7E"/>
    <w:rsid w:val="00D57C84"/>
    <w:rsid w:val="00D6057D"/>
    <w:rsid w:val="00D713BB"/>
    <w:rsid w:val="00D71640"/>
    <w:rsid w:val="00D73FE4"/>
    <w:rsid w:val="00D836C5"/>
    <w:rsid w:val="00D84576"/>
    <w:rsid w:val="00DA1399"/>
    <w:rsid w:val="00DA24C6"/>
    <w:rsid w:val="00DA4D7B"/>
    <w:rsid w:val="00DA67A4"/>
    <w:rsid w:val="00DC1D6B"/>
    <w:rsid w:val="00DE264A"/>
    <w:rsid w:val="00DF5072"/>
    <w:rsid w:val="00E02D18"/>
    <w:rsid w:val="00E02EA6"/>
    <w:rsid w:val="00E041E7"/>
    <w:rsid w:val="00E1219B"/>
    <w:rsid w:val="00E23CA1"/>
    <w:rsid w:val="00E409A8"/>
    <w:rsid w:val="00E42F5E"/>
    <w:rsid w:val="00E43A06"/>
    <w:rsid w:val="00E50C12"/>
    <w:rsid w:val="00E6067C"/>
    <w:rsid w:val="00E60E92"/>
    <w:rsid w:val="00E65B91"/>
    <w:rsid w:val="00E7209D"/>
    <w:rsid w:val="00E72EAD"/>
    <w:rsid w:val="00E77223"/>
    <w:rsid w:val="00E8528B"/>
    <w:rsid w:val="00E85B94"/>
    <w:rsid w:val="00E978D0"/>
    <w:rsid w:val="00EA4613"/>
    <w:rsid w:val="00EA7F91"/>
    <w:rsid w:val="00EB1523"/>
    <w:rsid w:val="00EC0E49"/>
    <w:rsid w:val="00EC0F98"/>
    <w:rsid w:val="00EC101F"/>
    <w:rsid w:val="00EC1D9F"/>
    <w:rsid w:val="00EC4B11"/>
    <w:rsid w:val="00EC6BB5"/>
    <w:rsid w:val="00ED05F7"/>
    <w:rsid w:val="00EE0131"/>
    <w:rsid w:val="00EE17B0"/>
    <w:rsid w:val="00EF06D9"/>
    <w:rsid w:val="00F05A3E"/>
    <w:rsid w:val="00F30C64"/>
    <w:rsid w:val="00F32BA2"/>
    <w:rsid w:val="00F32CDB"/>
    <w:rsid w:val="00F565FE"/>
    <w:rsid w:val="00F63A70"/>
    <w:rsid w:val="00F7534E"/>
    <w:rsid w:val="00FA1802"/>
    <w:rsid w:val="00FA21D0"/>
    <w:rsid w:val="00FA232C"/>
    <w:rsid w:val="00FA2D4C"/>
    <w:rsid w:val="00FA5F5F"/>
    <w:rsid w:val="00FB730C"/>
    <w:rsid w:val="00FC0819"/>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MenoPendente1">
    <w:name w:val="Menção Pendente1"/>
    <w:basedOn w:val="Fontepargpadro"/>
    <w:uiPriority w:val="99"/>
    <w:semiHidden/>
    <w:unhideWhenUsed/>
    <w:rsid w:val="00CE4C6D"/>
    <w:rPr>
      <w:color w:val="605E5C"/>
      <w:shd w:val="clear" w:color="auto" w:fill="E1DFDD"/>
    </w:rPr>
  </w:style>
  <w:style w:type="paragraph" w:styleId="SemEspaamento">
    <w:name w:val="No Spacing"/>
    <w:uiPriority w:val="1"/>
    <w:qFormat/>
    <w:rsid w:val="006E1F78"/>
    <w:pPr>
      <w:tabs>
        <w:tab w:val="right" w:pos="7100"/>
      </w:tabs>
      <w:spacing w:after="0" w:line="240" w:lineRule="auto"/>
      <w:jc w:val="both"/>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C9F33-DBBF-48E1-AB4E-01945176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3671</Words>
  <Characters>19824</Characters>
  <Application>Microsoft Office Word</Application>
  <DocSecurity>0</DocSecurity>
  <Lines>165</Lines>
  <Paragraphs>46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Diêgo Morais Chaves</cp:lastModifiedBy>
  <cp:revision>14</cp:revision>
  <cp:lastPrinted>2015-05-12T18:31:00Z</cp:lastPrinted>
  <dcterms:created xsi:type="dcterms:W3CDTF">2022-01-31T21:59:00Z</dcterms:created>
  <dcterms:modified xsi:type="dcterms:W3CDTF">2022-02-16T18:13:00Z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