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26343A5E" w:rsidR="00E978D0" w:rsidRPr="00B57B36" w:rsidRDefault="000539EE" w:rsidP="00E978D0">
      <w:pPr>
        <w:pStyle w:val="CETTitle"/>
      </w:pPr>
      <w:r w:rsidRPr="002009E0">
        <w:t>Multi-Biomass Refinery Siting: A G</w:t>
      </w:r>
      <w:r>
        <w:t>IS</w:t>
      </w:r>
      <w:r w:rsidRPr="002009E0">
        <w:t xml:space="preserve"> Geospatial Optimi</w:t>
      </w:r>
      <w:r w:rsidR="005C212E">
        <w:t>s</w:t>
      </w:r>
      <w:r w:rsidRPr="002009E0">
        <w:t>ation Approach</w:t>
      </w:r>
    </w:p>
    <w:p w14:paraId="6B2D21B3" w14:textId="1678EB4D" w:rsidR="00B57E6F" w:rsidRPr="00B57B36" w:rsidRDefault="00DF6E92" w:rsidP="00B57E6F">
      <w:pPr>
        <w:pStyle w:val="CETAddress"/>
      </w:pPr>
      <w:r w:rsidRPr="00DF6E92">
        <w:rPr>
          <w:sz w:val="24"/>
        </w:rPr>
        <w:t>Mohammad Alherbawi</w:t>
      </w:r>
      <w:r w:rsidRPr="00DF6E92">
        <w:rPr>
          <w:sz w:val="24"/>
          <w:vertAlign w:val="superscript"/>
        </w:rPr>
        <w:t>a</w:t>
      </w:r>
      <w:r w:rsidRPr="00DF6E92">
        <w:rPr>
          <w:sz w:val="24"/>
        </w:rPr>
        <w:t>, Gordon McKay</w:t>
      </w:r>
      <w:r w:rsidRPr="00DF6E92">
        <w:rPr>
          <w:sz w:val="24"/>
          <w:vertAlign w:val="superscript"/>
        </w:rPr>
        <w:t>a</w:t>
      </w:r>
      <w:r w:rsidRPr="00DF6E92">
        <w:rPr>
          <w:sz w:val="24"/>
        </w:rPr>
        <w:t>, Hamish R. Mackey</w:t>
      </w:r>
      <w:r w:rsidRPr="00DF6E92">
        <w:rPr>
          <w:sz w:val="24"/>
          <w:vertAlign w:val="superscript"/>
        </w:rPr>
        <w:t>a</w:t>
      </w:r>
      <w:r w:rsidRPr="00DF6E92">
        <w:rPr>
          <w:sz w:val="24"/>
        </w:rPr>
        <w:t>, Tareq Al-Ansari</w:t>
      </w:r>
      <w:r w:rsidRPr="00DF6E92">
        <w:rPr>
          <w:sz w:val="24"/>
          <w:vertAlign w:val="superscript"/>
        </w:rPr>
        <w:t>a,*</w:t>
      </w:r>
      <w:r>
        <w:rPr>
          <w:sz w:val="24"/>
        </w:rPr>
        <w:t xml:space="preserve"> </w:t>
      </w:r>
      <w:r w:rsidR="00B57E6F" w:rsidRPr="00B57B36">
        <w:rPr>
          <w:vertAlign w:val="superscript"/>
        </w:rPr>
        <w:t>a</w:t>
      </w:r>
      <w:r w:rsidR="005A2EF9" w:rsidRPr="005A2EF9">
        <w:t>College of Science and Engineering, Hamad Bin Khalifa University, Qatar Foundation, Doha, Qatar.</w:t>
      </w:r>
    </w:p>
    <w:p w14:paraId="73F1267A" w14:textId="342AEAE0" w:rsidR="00B57E6F" w:rsidRPr="00B57B36" w:rsidRDefault="00DA4E44" w:rsidP="00B57E6F">
      <w:pPr>
        <w:pStyle w:val="CETemail"/>
      </w:pPr>
      <w:r w:rsidRPr="00DA4E44">
        <w:t>talansari@hbku.edu.qa</w:t>
      </w:r>
      <w:r>
        <w:t xml:space="preserve"> </w:t>
      </w:r>
    </w:p>
    <w:p w14:paraId="3EF8E3E2" w14:textId="77777777" w:rsidR="00680D99" w:rsidRPr="00B40D92" w:rsidRDefault="00680D99" w:rsidP="00B40D92">
      <w:pPr>
        <w:pStyle w:val="CETListbullets"/>
        <w:spacing w:before="240" w:after="120"/>
        <w:ind w:left="0" w:firstLine="0"/>
        <w:rPr>
          <w:b/>
          <w:bCs/>
          <w:sz w:val="20"/>
          <w:szCs w:val="22"/>
        </w:rPr>
      </w:pPr>
      <w:r w:rsidRPr="00B40D92">
        <w:rPr>
          <w:b/>
          <w:bCs/>
          <w:sz w:val="20"/>
          <w:szCs w:val="22"/>
        </w:rPr>
        <w:t>Abstract</w:t>
      </w:r>
    </w:p>
    <w:p w14:paraId="6D4B2772" w14:textId="0492BBD9" w:rsidR="00680D99" w:rsidRPr="00473DF3" w:rsidRDefault="00680D99" w:rsidP="00680D99">
      <w:pPr>
        <w:pStyle w:val="CETListbullets"/>
        <w:ind w:left="0" w:firstLine="0"/>
      </w:pPr>
      <w:r>
        <w:t>Biomass feedstock is a key sustainable alternative to the finite fossil resources to produce fuels and chemicals. Biomass sources vary from energy crops to a wide range of municipal, agricultural, and industrial wastes. Therefore, it is attracting growing attention due to its wide availability in almost every country worldwide. However, due to the irregular generation and the scattered distribution of biomass resources, the design of supply chains and</w:t>
      </w:r>
      <w:r w:rsidR="0007669E">
        <w:t xml:space="preserve"> the</w:t>
      </w:r>
      <w:r>
        <w:t xml:space="preserve"> selection of refinery site</w:t>
      </w:r>
      <w:r w:rsidR="0007669E">
        <w:t>s</w:t>
      </w:r>
      <w:r>
        <w:t xml:space="preserve"> become a challenging task.  As such, this study presents a framework for an optimal site selection of a multiple biomass refinery. Qatar is chosen as the case study, whereby, its main sources and locations of biomass are identified. While a mathematical optimi</w:t>
      </w:r>
      <w:r w:rsidR="003C4F09">
        <w:t>s</w:t>
      </w:r>
      <w:r>
        <w:t xml:space="preserve">ation model is established by utilising the </w:t>
      </w:r>
      <w:r w:rsidR="00C10F5B">
        <w:t>g</w:t>
      </w:r>
      <w:r>
        <w:t xml:space="preserve">eographic </w:t>
      </w:r>
      <w:r w:rsidR="00C10F5B">
        <w:t>i</w:t>
      </w:r>
      <w:r>
        <w:t xml:space="preserve">nformation </w:t>
      </w:r>
      <w:r w:rsidR="00C10F5B">
        <w:t>s</w:t>
      </w:r>
      <w:r>
        <w:t xml:space="preserve">ystem (GIS) and </w:t>
      </w:r>
      <w:r w:rsidR="00C10F5B">
        <w:t>a</w:t>
      </w:r>
      <w:r>
        <w:t xml:space="preserve">nalytical </w:t>
      </w:r>
      <w:r w:rsidR="00C10F5B">
        <w:t>h</w:t>
      </w:r>
      <w:r>
        <w:t xml:space="preserve">ierarchy </w:t>
      </w:r>
      <w:r w:rsidR="00C10F5B">
        <w:t>p</w:t>
      </w:r>
      <w:r>
        <w:t xml:space="preserve">rocess (AHP) to spot optimal biorefinery sites that may enhance the supply chain of available biomass. Multiple criteria are considered in the model including the </w:t>
      </w:r>
      <w:r w:rsidR="006D4A1A">
        <w:t>site accessibility to key infrastructural facilities</w:t>
      </w:r>
      <w:r w:rsidR="00782838">
        <w:t xml:space="preserve">, as </w:t>
      </w:r>
      <w:r w:rsidR="00782838" w:rsidRPr="00473DF3">
        <w:t>we</w:t>
      </w:r>
      <w:r w:rsidR="00FB0CC5">
        <w:t>ll</w:t>
      </w:r>
      <w:r w:rsidR="00782838" w:rsidRPr="00473DF3">
        <w:t xml:space="preserve"> as </w:t>
      </w:r>
      <w:r w:rsidRPr="00473DF3">
        <w:t>biomass locations, availability, and calorific values. While several constrain</w:t>
      </w:r>
      <w:r w:rsidR="0007669E">
        <w:t>t</w:t>
      </w:r>
      <w:r w:rsidRPr="00473DF3">
        <w:t xml:space="preserve">s are employed to alleviate social and environmental concerns. The model generates several </w:t>
      </w:r>
      <w:r w:rsidR="003C4F09" w:rsidRPr="00473DF3">
        <w:t>candidate sites</w:t>
      </w:r>
      <w:r w:rsidR="0007669E">
        <w:t>,</w:t>
      </w:r>
      <w:r w:rsidRPr="00473DF3">
        <w:t xml:space="preserve"> which are </w:t>
      </w:r>
      <w:r w:rsidR="00640874" w:rsidRPr="00473DF3">
        <w:t xml:space="preserve">then reduced to </w:t>
      </w:r>
      <w:r w:rsidR="00782838" w:rsidRPr="00473DF3">
        <w:t>a single</w:t>
      </w:r>
      <w:r w:rsidR="00640874" w:rsidRPr="00473DF3">
        <w:t xml:space="preserve"> optimal site (at </w:t>
      </w:r>
      <w:r w:rsidR="000E2EB3" w:rsidRPr="00473DF3">
        <w:t>coordinates: 25.144, 51.351)</w:t>
      </w:r>
      <w:r w:rsidR="00782838" w:rsidRPr="00473DF3">
        <w:t>.</w:t>
      </w:r>
      <w:r w:rsidR="00640874" w:rsidRPr="00473DF3">
        <w:t xml:space="preserve"> </w:t>
      </w:r>
      <w:r w:rsidR="00782838" w:rsidRPr="00473DF3">
        <w:t xml:space="preserve">The </w:t>
      </w:r>
      <w:r w:rsidR="00BC739A" w:rsidRPr="00473DF3">
        <w:t xml:space="preserve">selected </w:t>
      </w:r>
      <w:r w:rsidR="00782838" w:rsidRPr="00473DF3">
        <w:t xml:space="preserve">optimal </w:t>
      </w:r>
      <w:r w:rsidR="00BC739A" w:rsidRPr="00473DF3">
        <w:t>site</w:t>
      </w:r>
      <w:r w:rsidR="00C34B28">
        <w:t xml:space="preserve"> is believed to</w:t>
      </w:r>
      <w:r w:rsidR="00BC739A" w:rsidRPr="00473DF3">
        <w:t xml:space="preserve"> maximise</w:t>
      </w:r>
      <w:r w:rsidR="0007669E">
        <w:t xml:space="preserve"> the</w:t>
      </w:r>
      <w:r w:rsidR="00BC739A" w:rsidRPr="00473DF3">
        <w:t xml:space="preserve"> potential biomass energy supply and enhance </w:t>
      </w:r>
      <w:r w:rsidR="0007669E">
        <w:t xml:space="preserve">the </w:t>
      </w:r>
      <w:r w:rsidR="00BC739A" w:rsidRPr="00473DF3">
        <w:t xml:space="preserve">biomass supply chain </w:t>
      </w:r>
      <w:r w:rsidR="008E4606" w:rsidRPr="00473DF3">
        <w:t xml:space="preserve">through </w:t>
      </w:r>
      <w:r w:rsidR="00B40B3D">
        <w:t>minimis</w:t>
      </w:r>
      <w:r w:rsidR="005D5DE6">
        <w:t>in</w:t>
      </w:r>
      <w:r w:rsidR="00B40B3D">
        <w:t xml:space="preserve">g </w:t>
      </w:r>
      <w:r w:rsidR="008E4606" w:rsidRPr="00473DF3">
        <w:t xml:space="preserve">biomass transportation cost, which is evaluated at </w:t>
      </w:r>
      <w:r w:rsidR="00C34B28">
        <w:t xml:space="preserve">an average of </w:t>
      </w:r>
      <w:r w:rsidR="008E4606" w:rsidRPr="00473DF3">
        <w:t>7 $/tonne</w:t>
      </w:r>
      <w:r w:rsidR="008E4606" w:rsidRPr="00C34B28">
        <w:t>.</w:t>
      </w:r>
    </w:p>
    <w:p w14:paraId="01E7B6C7" w14:textId="77777777" w:rsidR="00B40D92" w:rsidRDefault="00B40D92" w:rsidP="00B40D92">
      <w:pPr>
        <w:pStyle w:val="CETListbullets"/>
        <w:ind w:left="0" w:firstLine="0"/>
      </w:pPr>
    </w:p>
    <w:p w14:paraId="6A5B5C3C" w14:textId="1E68DC27" w:rsidR="002656D8" w:rsidRDefault="00680D99" w:rsidP="00B40D92">
      <w:pPr>
        <w:pStyle w:val="CETListbullets"/>
        <w:ind w:left="0" w:firstLine="0"/>
      </w:pPr>
      <w:r w:rsidRPr="00B40D92">
        <w:rPr>
          <w:b/>
          <w:bCs/>
        </w:rPr>
        <w:t>Keywords:</w:t>
      </w:r>
      <w:r>
        <w:t xml:space="preserve"> Biomass, Biorefinery siting, Supply chain, GIS, AHP, </w:t>
      </w:r>
      <w:r w:rsidR="00E65D69">
        <w:t xml:space="preserve">MCLP, </w:t>
      </w:r>
      <w:r>
        <w:t>Qatar.</w:t>
      </w:r>
    </w:p>
    <w:p w14:paraId="7C5F583A" w14:textId="77777777" w:rsidR="002656D8" w:rsidRDefault="002656D8" w:rsidP="00E65D69">
      <w:pPr>
        <w:pStyle w:val="CETListbullets"/>
        <w:ind w:left="0" w:firstLine="0"/>
      </w:pPr>
    </w:p>
    <w:p w14:paraId="476B2F2E" w14:textId="77777777" w:rsidR="00600535" w:rsidRPr="00B57B36" w:rsidRDefault="00600535" w:rsidP="00600535">
      <w:pPr>
        <w:pStyle w:val="CETHeading1"/>
        <w:rPr>
          <w:lang w:val="en-GB"/>
        </w:rPr>
      </w:pPr>
      <w:r w:rsidRPr="00B57B36">
        <w:rPr>
          <w:lang w:val="en-GB"/>
        </w:rPr>
        <w:t>Introduction</w:t>
      </w:r>
    </w:p>
    <w:p w14:paraId="401A4F3D" w14:textId="73CAF203" w:rsidR="00B61C9A" w:rsidRDefault="00656C02" w:rsidP="009A42C7">
      <w:pPr>
        <w:pStyle w:val="CETBodytext"/>
        <w:rPr>
          <w:lang w:val="en-GB"/>
        </w:rPr>
      </w:pPr>
      <w:r>
        <w:rPr>
          <w:lang w:val="en-GB"/>
        </w:rPr>
        <w:t xml:space="preserve">The continuous development of biomass processing </w:t>
      </w:r>
      <w:r w:rsidR="00B61C9A">
        <w:rPr>
          <w:lang w:val="en-GB"/>
        </w:rPr>
        <w:t>technologies</w:t>
      </w:r>
      <w:r>
        <w:rPr>
          <w:lang w:val="en-GB"/>
        </w:rPr>
        <w:t xml:space="preserve"> </w:t>
      </w:r>
      <w:r w:rsidR="000B7F16">
        <w:rPr>
          <w:lang w:val="en-GB"/>
        </w:rPr>
        <w:t>created</w:t>
      </w:r>
      <w:r w:rsidR="00A31231">
        <w:rPr>
          <w:lang w:val="en-GB"/>
        </w:rPr>
        <w:t xml:space="preserve"> great </w:t>
      </w:r>
      <w:r w:rsidR="00A510EB">
        <w:rPr>
          <w:lang w:val="en-GB"/>
        </w:rPr>
        <w:t>momentum</w:t>
      </w:r>
      <w:r w:rsidR="00A31231">
        <w:rPr>
          <w:lang w:val="en-GB"/>
        </w:rPr>
        <w:t xml:space="preserve"> </w:t>
      </w:r>
      <w:r w:rsidR="000B7F16">
        <w:rPr>
          <w:lang w:val="en-GB"/>
        </w:rPr>
        <w:t>for</w:t>
      </w:r>
      <w:r w:rsidR="00A31231">
        <w:rPr>
          <w:lang w:val="en-GB"/>
        </w:rPr>
        <w:t xml:space="preserve"> b</w:t>
      </w:r>
      <w:r w:rsidR="00131B56">
        <w:rPr>
          <w:lang w:val="en-GB"/>
        </w:rPr>
        <w:t>iorefineries establishment</w:t>
      </w:r>
      <w:r w:rsidR="00A510EB">
        <w:rPr>
          <w:lang w:val="en-GB"/>
        </w:rPr>
        <w:t>, especially in countries with depleting or no oil resources.</w:t>
      </w:r>
      <w:r w:rsidR="00284C7A">
        <w:rPr>
          <w:lang w:val="en-GB"/>
        </w:rPr>
        <w:t xml:space="preserve"> </w:t>
      </w:r>
      <w:r w:rsidR="00E226D6">
        <w:rPr>
          <w:lang w:val="en-GB"/>
        </w:rPr>
        <w:t>Biomass-based biofuels</w:t>
      </w:r>
      <w:r w:rsidR="00B245B4">
        <w:rPr>
          <w:lang w:val="en-GB"/>
        </w:rPr>
        <w:t xml:space="preserve"> </w:t>
      </w:r>
      <w:r w:rsidR="00E226D6">
        <w:rPr>
          <w:lang w:val="en-GB"/>
        </w:rPr>
        <w:t>occupies nearly 70% of global</w:t>
      </w:r>
      <w:r w:rsidR="00B245B4">
        <w:rPr>
          <w:lang w:val="en-GB"/>
        </w:rPr>
        <w:t xml:space="preserve"> gross</w:t>
      </w:r>
      <w:r w:rsidR="00E226D6">
        <w:rPr>
          <w:lang w:val="en-GB"/>
        </w:rPr>
        <w:t xml:space="preserve"> renewable mix</w:t>
      </w:r>
      <w:r w:rsidR="00B245B4">
        <w:rPr>
          <w:lang w:val="en-GB"/>
        </w:rPr>
        <w:t xml:space="preserve"> </w:t>
      </w:r>
      <w:r w:rsidR="00B245B4">
        <w:rPr>
          <w:lang w:val="en-GB"/>
        </w:rPr>
        <w:fldChar w:fldCharType="begin" w:fldLock="1"/>
      </w:r>
      <w:r w:rsidR="007C4093">
        <w:rPr>
          <w:lang w:val="en-GB"/>
        </w:rPr>
        <w:instrText>ADDIN CSL_CITATION {"citationItems":[{"id":"ITEM-1","itemData":{"author":[{"dropping-particle":"","family":"WBA","given":"","non-dropping-particle":"","parse-names":false,"suffix":""}],"id":"ITEM-1","issued":{"date-parts":[["2019"]]},"number-of-pages":"10-13","title":"Global Bioenergy Statistics 2019","type":"report"},"uris":["http://www.mendeley.com/documents/?uuid=660891cf-000b-4523-95fa-f0790143bc79"]}],"mendeley":{"formattedCitation":"(WBA, 2019)","plainTextFormattedCitation":"(WBA, 2019)","previouslyFormattedCitation":"(WBA, 2019)"},"properties":{"noteIndex":0},"schema":"https://github.com/citation-style-language/schema/raw/master/csl-citation.json"}</w:instrText>
      </w:r>
      <w:r w:rsidR="00B245B4">
        <w:rPr>
          <w:lang w:val="en-GB"/>
        </w:rPr>
        <w:fldChar w:fldCharType="separate"/>
      </w:r>
      <w:r w:rsidR="00B245B4" w:rsidRPr="00B245B4">
        <w:rPr>
          <w:noProof/>
          <w:lang w:val="en-GB"/>
        </w:rPr>
        <w:t>(WBA, 2019)</w:t>
      </w:r>
      <w:r w:rsidR="00B245B4">
        <w:rPr>
          <w:lang w:val="en-GB"/>
        </w:rPr>
        <w:fldChar w:fldCharType="end"/>
      </w:r>
      <w:r w:rsidR="00B245B4">
        <w:rPr>
          <w:lang w:val="en-GB"/>
        </w:rPr>
        <w:t>, which is expected to increase with the great price fluctuation of fossil-based fuels</w:t>
      </w:r>
      <w:r w:rsidR="005324A4">
        <w:rPr>
          <w:lang w:val="en-GB"/>
        </w:rPr>
        <w:t xml:space="preserve"> </w:t>
      </w:r>
      <w:r w:rsidR="00B245B4">
        <w:rPr>
          <w:lang w:val="en-GB"/>
        </w:rPr>
        <w:t xml:space="preserve">and the </w:t>
      </w:r>
      <w:r w:rsidR="00DC7079">
        <w:rPr>
          <w:lang w:val="en-GB"/>
        </w:rPr>
        <w:t xml:space="preserve">global </w:t>
      </w:r>
      <w:r w:rsidR="000B7F16">
        <w:rPr>
          <w:lang w:val="en-GB"/>
        </w:rPr>
        <w:t xml:space="preserve">rising </w:t>
      </w:r>
      <w:r w:rsidR="00DC7079">
        <w:rPr>
          <w:lang w:val="en-GB"/>
        </w:rPr>
        <w:t>concerns on climate change issues.</w:t>
      </w:r>
      <w:r w:rsidR="00BC2CD2">
        <w:rPr>
          <w:lang w:val="en-GB"/>
        </w:rPr>
        <w:t xml:space="preserve"> </w:t>
      </w:r>
    </w:p>
    <w:p w14:paraId="5741900F" w14:textId="04D66C09" w:rsidR="00453E24" w:rsidRDefault="001C21F9" w:rsidP="009A42C7">
      <w:pPr>
        <w:pStyle w:val="CETBodytext"/>
        <w:rPr>
          <w:lang w:val="en-GB"/>
        </w:rPr>
      </w:pPr>
      <w:r>
        <w:rPr>
          <w:lang w:val="en-GB"/>
        </w:rPr>
        <w:t xml:space="preserve">Meanwhile, several technologies </w:t>
      </w:r>
      <w:r w:rsidR="0007669E">
        <w:rPr>
          <w:lang w:val="en-GB"/>
        </w:rPr>
        <w:t>have been</w:t>
      </w:r>
      <w:r>
        <w:rPr>
          <w:lang w:val="en-GB"/>
        </w:rPr>
        <w:t xml:space="preserve"> developed to accommodate different </w:t>
      </w:r>
      <w:r w:rsidR="0045714F">
        <w:rPr>
          <w:lang w:val="en-GB"/>
        </w:rPr>
        <w:t xml:space="preserve">biomass categories, including the traditional </w:t>
      </w:r>
      <w:r w:rsidR="00010A47">
        <w:rPr>
          <w:lang w:val="en-GB"/>
        </w:rPr>
        <w:t>anaerobic</w:t>
      </w:r>
      <w:r w:rsidR="0045714F">
        <w:rPr>
          <w:lang w:val="en-GB"/>
        </w:rPr>
        <w:t xml:space="preserve"> digestion</w:t>
      </w:r>
      <w:r w:rsidR="00010A47">
        <w:rPr>
          <w:lang w:val="en-GB"/>
        </w:rPr>
        <w:t xml:space="preserve"> to valorise </w:t>
      </w:r>
      <w:r w:rsidR="00FC2C77" w:rsidRPr="00FC2C77">
        <w:rPr>
          <w:lang w:val="en-GB"/>
        </w:rPr>
        <w:t>putrescible materials</w:t>
      </w:r>
      <w:r w:rsidR="00FC2C77">
        <w:rPr>
          <w:lang w:val="en-GB"/>
        </w:rPr>
        <w:t xml:space="preserve"> </w:t>
      </w:r>
      <w:r w:rsidR="007C4093">
        <w:rPr>
          <w:lang w:val="en-GB"/>
        </w:rPr>
        <w:fldChar w:fldCharType="begin" w:fldLock="1"/>
      </w:r>
      <w:r w:rsidR="007C4093">
        <w:rPr>
          <w:lang w:val="en-GB"/>
        </w:rPr>
        <w:instrText>ADDIN CSL_CITATION {"citationItems":[{"id":"ITEM-1","itemData":{"DOI":"https://doi.org/10.1016/B978-0-444-64083-3.00014-2","ISBN":"978-0-444-64083-3","abstract":"For future sustainability, there is great concern for the steady supply of affordable, renewable and clean energy sources with minimum societal and environmental damage. To meet growing energy demands, solid waste is a great hope among the available renewable energy sources. Incineration dominates the waste-to-energy (WTE) market all over the world, and specifically in developed countries. After thermal processes, anaerobic digestion is the emerging technology in clean energy production. Incineration is one of the thermal processes with low environmental impact and reduces the waste volume to be dumped in landfills. For the evaluation of the environmental impact of WTE technology, life-cycle assessment helps to find a suitable option for a particular region. Reduction of greenhouse gas emissions and generation of alternatives to fossil fuels are major goals of WTE. Moreover, the development of compact, cost-saving, yet highly efficient technologies are required, with the best solutions for the disposal/utilization of filter ashes and residues from air pollution control devices.","author":[{"dropping-particle":"","family":"Mubeen","given":"Ishrat","non-dropping-particle":"","parse-names":false,"suffix":""},{"dropping-particle":"","family":"Buekens","given":"Alfons","non-dropping-particle":"","parse-names":false,"suffix":""}],"editor":[{"dropping-particle":"","family":"Kumar","given":"Sunil","non-dropping-particle":"","parse-names":false,"suffix":""},{"dropping-particle":"","family":"Kumar","given":"Rakesh","non-dropping-particle":"","parse-names":false,"suffix":""},{"dropping-particle":"","family":"Pandey","given":"Ashok B T - Current Developments in Biotechnology and Bioengineering","non-dropping-particle":"","parse-names":false,"suffix":""}],"id":"ITEM-1","issued":{"date-parts":[["2019"]]},"page":"283-305","publisher":"Elsevier","title":"Chapter 14 - Energy From Waste: Future Prospects Toward Sustainable Development","type":"chapter"},"uris":["http://www.mendeley.com/documents/?uuid=d2da9550-ada5-4871-9efb-f51037c5ed34"]}],"mendeley":{"formattedCitation":"(Mubeen and Buekens, 2019)","plainTextFormattedCitation":"(Mubeen and Buekens, 2019)","previouslyFormattedCitation":"(Mubeen and Buekens, 2019)"},"properties":{"noteIndex":0},"schema":"https://github.com/citation-style-language/schema/raw/master/csl-citation.json"}</w:instrText>
      </w:r>
      <w:r w:rsidR="007C4093">
        <w:rPr>
          <w:lang w:val="en-GB"/>
        </w:rPr>
        <w:fldChar w:fldCharType="separate"/>
      </w:r>
      <w:r w:rsidR="007C4093" w:rsidRPr="007C4093">
        <w:rPr>
          <w:noProof/>
          <w:lang w:val="en-GB"/>
        </w:rPr>
        <w:t>(Mubeen and Buekens, 2019)</w:t>
      </w:r>
      <w:r w:rsidR="007C4093">
        <w:rPr>
          <w:lang w:val="en-GB"/>
        </w:rPr>
        <w:fldChar w:fldCharType="end"/>
      </w:r>
      <w:r w:rsidR="00B7629F">
        <w:t xml:space="preserve">, gasification and pyrolysis to accommodate </w:t>
      </w:r>
      <w:r w:rsidR="00EF7306">
        <w:t xml:space="preserve">low-moisture </w:t>
      </w:r>
      <w:r w:rsidR="007C4093">
        <w:t>lignocellulosic</w:t>
      </w:r>
      <w:r w:rsidR="00EF7306">
        <w:t xml:space="preserve"> biomass</w:t>
      </w:r>
      <w:r w:rsidR="007C4093">
        <w:t xml:space="preserve"> </w:t>
      </w:r>
      <w:r w:rsidR="007C4093">
        <w:fldChar w:fldCharType="begin" w:fldLock="1"/>
      </w:r>
      <w:r w:rsidR="00D430D1">
        <w:instrText>ADDIN CSL_CITATION {"citationItems":[{"id":"ITEM-1","itemData":{"DOI":"https://doi.org/10.1016/j.jclepro.2019.118499","ISSN":"0959-6526","abstract":"Considering changes in the global climate, there is an impetus to diversify away from fossil fuels as part of efforts to reduce greenhouse gas emissions. Biomass, as a source of energy, has the potential to generate sustainable power and fuels and contribute towards a cleaner future. In fact, the utilisation of biomass as a carbon dioxide neutral organic source in an integrated system generates valuable products, and reduces waste and the consumption of non-renewable resources. Gasification, the preferred option for converting biomass to combustible gas, provides higher electrical efficiencies than combustion, whereby the syngas generated from the gasification process can be utilised to generate clean energy. In addition, syngas can be utilised for the production of ammonia and methanol thus reducing their respective dependencies on natural gas. This study will detail an optimised biomass gasification process considering multiple parameters, including the thermodynamic operating conditions, the type of gasifier (gasifying agent) and feedstock. Fundamentally, this study considers the process pathways for the recycling of multiple sources of biomass to generate high energy syngas from the available biomass options when used in combination as blends or individually. To achieve this aim, an Aspen Plus simulation model is developed for four different biomass agent-based gasification techniques using the biomass characteristics of certain Qatar biomass materials, which include date pits, manure and sewage sludge. Outcomes of the study included an optimisation of the gasification processes to yield different blending options of the biomass feedstock satisfying the downstream operations of power and fuels production. The results demonstrate the domination of date pits for two of the considered configurations with over 99% w/w date pit feed composition. Moreover, the sensitivity analysis conducted on the different configurations highlighted specific optimum operation points in terms of temperature, pressure, and oxygen and steam feed ratios. The hydrogen content in the generated syngas, considered important for the downstream production, yields a peak at approximately 850 °C and 1 bar with a modified equivalence ratio of approximately 2.5, and a ratio of oxygen supplied by an air-steam combination of approximately 0.6. The process can be further optimised by considering trade-offs between product purity or yield, profit, operating efficiency, quality of raw mate…","author":[{"dropping-particle":"","family":"AlNouss","given":"Ahmed","non-dropping-particle":"","parse-names":false,"suffix":""},{"dropping-particle":"","family":"McKay","given":"Gordon","non-dropping-particle":"","parse-names":false,"suffix":""},{"dropping-particle":"","family":"Al-Ansari","given":"Tareq","non-dropping-particle":"","parse-names":false,"suffix":""}],"container-title":"Journal of Cleaner Production","id":"ITEM-1","issued":{"date-parts":[["2020"]]},"page":"118499","title":"Production of syngas via gasification using optimum blends of biomass","type":"article-journal","volume":"242"},"uris":["http://www.mendeley.com/documents/?uuid=0bd98666-e557-4c59-a8fe-165ac235f83a"]},{"id":"ITEM-2","itemData":{"DOI":"https://doi.org/10.1016/j.resconrec.2019.01.024","ISSN":"0921-3449","abstract":"Waste generated from anthropogenic activities contributes toward stresses on our natural systems through impacts associated with both production and disposal. Sustainable waste management necessitates that industries shift from the current linear model to a circular based economy, utilizing wastes as raw materials for the production of new products, eg. fuels and chemicals. Biomass and associated waste materials can be converted into value-added products using thermochemical processes. The pyrolysis process is a convenient thermochemical method, whereby biomass is efficiently converted into biofuels, biochars and BBQ briquettes; and further processing yields additional value added products, such as activated carbons, carbon black and printing ink. This paper reviews current development work and evaluates potential opportunities for food waste pyrolysis focusing on the conversion of food waste to biochar products. Overall, it was found that the constituents of the food waste together with the process conditions play a major role in the yield and composition of the produced chars. Moreover, more research work needs to be conducted on food waste to biochar and on mixed food blends in particular.","author":[{"dropping-particle":"","family":"Elkhalifa","given":"Samar","non-dropping-particle":"","parse-names":false,"suffix":""},{"dropping-particle":"","family":"Al-Ansari","given":"Tareq","non-dropping-particle":"","parse-names":false,"suffix":""},{"dropping-particle":"","family":"Mackey","given":"Hamish R","non-dropping-particle":"","parse-names":false,"suffix":""},{"dropping-particle":"","family":"McKay","given":"Gordon","non-dropping-particle":"","parse-names":false,"suffix":""}],"container-title":"Resources, Conservation and Recycling","id":"ITEM-2","issued":{"date-parts":[["2019"]]},"page":"310-320","title":"Food waste to biochars through pyrolysis: A review","type":"article-journal","volume":"144"},"uris":["http://www.mendeley.com/documents/?uuid=758a385a-d02e-4ebc-9765-384c898d645a"]}],"mendeley":{"formattedCitation":"(AlNouss et al., 2020b; Elkhalifa et al., 2019)","plainTextFormattedCitation":"(AlNouss et al., 2020b; Elkhalifa et al., 2019)","previouslyFormattedCitation":"(AlNouss et al., 2020b; Elkhalifa et al., 2019)"},"properties":{"noteIndex":0},"schema":"https://github.com/citation-style-language/schema/raw/master/csl-citation.json"}</w:instrText>
      </w:r>
      <w:r w:rsidR="007C4093">
        <w:fldChar w:fldCharType="separate"/>
      </w:r>
      <w:r w:rsidR="000E52FC" w:rsidRPr="000E52FC">
        <w:rPr>
          <w:noProof/>
        </w:rPr>
        <w:t>(AlNouss et al., 2020b; Elkhalifa et al., 2019)</w:t>
      </w:r>
      <w:r w:rsidR="007C4093">
        <w:fldChar w:fldCharType="end"/>
      </w:r>
      <w:r w:rsidR="00EF7306">
        <w:t xml:space="preserve">, hydrothermal liquefaction to </w:t>
      </w:r>
      <w:r w:rsidR="007C4093">
        <w:t>liqu</w:t>
      </w:r>
      <w:r w:rsidR="00FC2C77">
        <w:t>e</w:t>
      </w:r>
      <w:r w:rsidR="007C4093">
        <w:t xml:space="preserve">fy wet biomass </w:t>
      </w:r>
      <w:r w:rsidR="007C4093">
        <w:fldChar w:fldCharType="begin" w:fldLock="1"/>
      </w:r>
      <w:r w:rsidR="00520565">
        <w:instrText>ADDIN CSL_CITATION {"citationItems":[{"id":"ITEM-1","itemData":{"DOI":"https://doi.org/10.1016/j.energy.2021.121027","ISSN":"0360-5442","abstract":"Livestock manures significantly contribute to greenhouse gas emissions and soil contamination if not valorised or disposed properly. Meanwhile, hydrothermal liquefaction has emerged as a promising technology for the conversion of wet wastes into value-added products. As such, this study investigates the potential of hydrothermal liquefaction of camel manure and subsequent upgrading into drop-in fuels in Qatar. Experimental characterisation of manure samples is conducted, while a small-scale plant is simulated and evaluated using Aspen Plus®. Excess treated wastewater of Qatar is utilised as an alternative to fresh water in the process, while power is completely generated on-site. The demonstrated results are promising; whereby, a biocrude yield of 37.9% (on dry and ash-free basis) is achieved, while the biocrude is upgraded into a high-quality bio-gasoline. The produced bio-gasoline contributes to a 7% reduction in greenhouse gas emissions relative to conventional gasoline. The project capital investment is estimated to be 38 M$, while the bio-gasoline’s minimum selling price is at 0.87 $/kg, which is still above the market price of conventional gasoline in Qatar (</w:instrText>
      </w:r>
      <w:r w:rsidR="00520565">
        <w:rPr>
          <w:rFonts w:ascii="Cambria Math" w:hAnsi="Cambria Math" w:cs="Cambria Math"/>
        </w:rPr>
        <w:instrText>∼</w:instrText>
      </w:r>
      <w:r w:rsidR="00520565">
        <w:instrText>0.6 $/kg). However, the conducted sensitivity analysis indicates that scaling-up the plant by 5-fold can shift the fuel’s minimum selling price below the average market price. As such, it has a high potential to be locally commercialised especially at times of petroleum price hikes.","author":[{"dropping-particle":"","family":"Alherbawi","given":"Mohammad","non-dropping-particle":"","parse-names":false,"suffix":""},{"dropping-particle":"","family":"Parthasarathy","given":"Prakash","non-dropping-particle":"","parse-names":false,"suffix":""},{"dropping-particle":"","family":"Al-Ansari","given":"Tareq","non-dropping-particle":"","parse-names":false,"suffix":""},{"dropping-particle":"","family":"Mackey","given":"Hamish R","non-dropping-particle":"","parse-names":false,"suffix":""},{"dropping-particle":"","family":"McKay","given":"Gordon","non-dropping-particle":"","parse-names":false,"suffix":""}],"container-title":"Energy","id":"ITEM-1","issued":{"date-parts":[["2021"]]},"page":"121027","title":"Potential of drop-in biofuel production from camel manure by hydrothermal liquefaction and biocrude upgrading: A Qatar case study","type":"article-journal"},"uris":["http://www.mendeley.com/documents/?uuid=28fad5a9-4adf-4e32-9643-f9b29c268158"]}],"mendeley":{"formattedCitation":"(Alherbawi et al., 2021)","plainTextFormattedCitation":"(Alherbawi et al., 2021)","previouslyFormattedCitation":"(Alherbawi et al., 2021)"},"properties":{"noteIndex":0},"schema":"https://github.com/citation-style-language/schema/raw/master/csl-citation.json"}</w:instrText>
      </w:r>
      <w:r w:rsidR="007C4093">
        <w:fldChar w:fldCharType="separate"/>
      </w:r>
      <w:r w:rsidR="00520565" w:rsidRPr="00520565">
        <w:rPr>
          <w:noProof/>
        </w:rPr>
        <w:t>(Alherbawi et al., 2021)</w:t>
      </w:r>
      <w:r w:rsidR="007C4093">
        <w:fldChar w:fldCharType="end"/>
      </w:r>
      <w:r w:rsidR="007C4093">
        <w:rPr>
          <w:lang w:val="en-GB"/>
        </w:rPr>
        <w:t>, as well as incineration for direct power generation.</w:t>
      </w:r>
    </w:p>
    <w:p w14:paraId="7B045A88" w14:textId="243EA7CE" w:rsidR="002C024E" w:rsidRDefault="00851A7A" w:rsidP="002C024E">
      <w:pPr>
        <w:pStyle w:val="CETBodytext"/>
        <w:rPr>
          <w:lang w:val="en-GB"/>
        </w:rPr>
      </w:pPr>
      <w:r>
        <w:rPr>
          <w:lang w:val="en-GB"/>
        </w:rPr>
        <w:t>In addition, a</w:t>
      </w:r>
      <w:r w:rsidR="008847AB">
        <w:rPr>
          <w:lang w:val="en-GB"/>
        </w:rPr>
        <w:t xml:space="preserve"> considerable effort </w:t>
      </w:r>
      <w:r w:rsidR="0007669E">
        <w:rPr>
          <w:lang w:val="en-GB"/>
        </w:rPr>
        <w:t>has been made</w:t>
      </w:r>
      <w:r w:rsidR="008847AB">
        <w:rPr>
          <w:lang w:val="en-GB"/>
        </w:rPr>
        <w:t xml:space="preserve"> to </w:t>
      </w:r>
      <w:r w:rsidR="005E3D64">
        <w:rPr>
          <w:lang w:val="en-GB"/>
        </w:rPr>
        <w:t>develop</w:t>
      </w:r>
      <w:r w:rsidR="008847AB">
        <w:rPr>
          <w:lang w:val="en-GB"/>
        </w:rPr>
        <w:t xml:space="preserve"> </w:t>
      </w:r>
      <w:r w:rsidR="005E3D64">
        <w:rPr>
          <w:lang w:val="en-GB"/>
        </w:rPr>
        <w:t>integrated</w:t>
      </w:r>
      <w:r>
        <w:rPr>
          <w:lang w:val="en-GB"/>
        </w:rPr>
        <w:t xml:space="preserve"> technologies that combine multiple processes to valorise different biomass types </w:t>
      </w:r>
      <w:r>
        <w:rPr>
          <w:lang w:val="en-GB"/>
        </w:rPr>
        <w:fldChar w:fldCharType="begin" w:fldLock="1"/>
      </w:r>
      <w:r w:rsidR="005F6DFA">
        <w:rPr>
          <w:lang w:val="en-GB"/>
        </w:rPr>
        <w:instrText>ADDIN CSL_CITATION {"citationItems":[{"id":"ITEM-1","itemData":{"DOI":"10.1021/ie100063y","ISSN":"0888-5885","author":[{"dropping-particle":"","family":"Baliban","given":"Richard C","non-dropping-particle":"","parse-names":false,"suffix":""},{"dropping-particle":"","family":"Elia","given":"Josephine A","non-dropping-particle":"","parse-names":false,"suffix":""},{"dropping-particle":"","family":"Floudas","given":"Christodoulos A","non-dropping-particle":"","parse-names":false,"suffix":""}],"container-title":"Industrial &amp; Engineering Chemistry Research","id":"ITEM-1","issue":"16","issued":{"date-parts":[["2010","8","18"]]},"note":"doi: 10.1021/ie100063y","page":"7343-7370","publisher":"American Chemical Society","title":"Toward Novel Hybrid Biomass, Coal, and Natural Gas Processes for Satisfying Current Transportation Fuel Demands, 1: Process Alternatives, Gasification Modeling, Process Simulation, and Economic Analysis","type":"article-journal","volume":"49"},"uris":["http://www.mendeley.com/documents/?uuid=76245c13-3196-4188-8963-1243cbde8772"]},{"id":"ITEM-2","itemData":{"DOI":"https://doi.org/10.1016/j.compchemeng.2012.02.008","ISSN":"0098-1354","abstract":"This review provides a detailed account of the key contributions within the energy communities with specific emphasis on thermochemically based hybrid energy systems for liquid transportation fuels. Specifically, the advances in the indirect liquefaction of coal to liquid (CTL), natural gas to liquid (GTL), biomass to liquid (BTL), coal and natural gas to liquid (CGTL), coal and biomass to liquid (CBTL), natural gas and biomass to liquid (BGTL), and coal, biomass, and natural gas to liquid (CBGTL) are presented. This review is the first work that provides a comprehensive description of the contributions for the single-feedstock energy systems and the hybrid feedstock energy systems, for single stand-alone processes and energy supply chain networks. The focus is on contributions in (a) conceptual design, (b) process simulation, (c) economic analysis, (d) heat integration, (e) power integration, (f) water integration, (g) process synthesis, (h) life cycle analysis, (i) sensitivity analysis, (j) uncertainty issues, and (k) supply chain. A classification of the contributions based on the products, as well as different research groups is also provided.","author":[{"dropping-particle":"","family":"Floudas","given":"Christodoulos A","non-dropping-particle":"","parse-names":false,"suffix":""},{"dropping-particle":"","family":"Elia","given":"Josephine A","non-dropping-particle":"","parse-names":false,"suffix":""},{"dropping-particle":"","family":"Baliban","given":"Richard C","non-dropping-particle":"","parse-names":false,"suffix":""}],"container-title":"Computers &amp; Chemical Engineering","id":"ITEM-2","issued":{"date-parts":[["2012"]]},"page":"24-51","title":"Hybrid and single feedstock energy processes for liquid transportation fuels: A critical review","type":"article-journal","volume":"41"},"uris":["http://www.mendeley.com/documents/?uuid=946addc6-5120-41e5-b278-ce24b86be394"]},{"id":"ITEM-3","itemData":{"author":[{"dropping-particle":"","family":"Magdeldin","given":"Mohamed","non-dropping-particle":"","parse-names":false,"suffix":""},{"dropping-particle":"","family":"Kohl","given":"Thomas","non-dropping-particle":"","parse-names":false,"suffix":""},{"dropping-particle":"","family":"Järvinen","given":"Mika","non-dropping-particle":"","parse-names":false,"suffix":""}],"container-title":"Journal of Sustainable Development of Energy, Water and Environment Systems","id":"ITEM-3","issue":"1","issued":{"date-parts":[["2018"]]},"page":"89-113","title":"Techno-economic Assessment of Integrated Hydrothermal Liquefaction and Combined Heat and Power Production from Lignocellulose Residues","type":"article-journal","volume":"6"},"uris":["http://www.mendeley.com/documents/?uuid=1874dfe7-d500-46fb-b964-b08347c93456"]},{"id":"ITEM-4","itemData":{"DOI":"https://doi.org/10.1016/j.rser.2019.109607","ISSN":"1364-0321","abstract":"Crude oil price volatility directly affects the worldwide fuels and chemicals markets, impacts food production costs, as well as it influences investments in alternative energy sources. Global warming is a consequence of greenhouse gases emissions, among which CO2 plays a crucial role. A circular economy appears to be a global consensus to limit the negative impacts on the environment caused by fossil-based emissions. Transportation of goods and people are responsible for a large fraction of manmade CO2 vented to the atmosphere. Although alternatives have already been developed and are already in use for Otto and Diesel cycle engines in the form of bioethanol and biodiesel, respectively, the aviation sector is still short of a consolidated solution for biojet fuel procurement. Among the possible pathways, Biomass-to-Liquids (BTL) thermochemical routes are candidates to produce green hydrocarbons in the near future, including biojet fuel. For the deployment of a BTL thermochemical route, a true biorefinery concept can be employed, through which a flexibility in the product portfolio may increase business competitiveness and reduce production costs through heat and mass integration. Bearing this context in mind, the present work presents a vision on BTL thermochemical routes focusing on biojet fuel production through fast pyrolysis, gasification, and Fischer-Tropsch (FT) synthesis in integrated sugarcane biorefineries.","author":[{"dropping-particle":"","family":"Neves","given":"Renato Cruz","non-dropping-particle":"","parse-names":false,"suffix":""},{"dropping-particle":"","family":"Klein","given":"Bruno Colling","non-dropping-particle":"","parse-names":false,"suffix":""},{"dropping-particle":"","family":"Silva","given":"Ricardo Justino","non-dropping-particle":"da","parse-names":false,"suffix":""},{"dropping-particle":"","family":"Rezende","given":"Mylene Cristina Alves Ferreira","non-dropping-particle":"","parse-names":false,"suffix":""},{"dropping-particle":"","family":"Funke","given":"Axel","non-dropping-particle":"","parse-names":false,"suffix":""},{"dropping-particle":"","family":"Olivarez-Gómez","given":"Edgardo","non-dropping-particle":"","parse-names":false,"suffix":""},{"dropping-particle":"","family":"Bonomi","given":"Antonio","non-dropping-particle":"","parse-names":false,"suffix":""},{"dropping-particle":"","family":"Maciel-Filho","given":"Rubens","non-dropping-particle":"","parse-names":false,"suffix":""}],"container-title":"Renewable and Sustainable Energy Reviews","id":"ITEM-4","issued":{"date-parts":[["2020"]]},"page":"109607","title":"A vision on biomass-to-liquids (BTL) thermochemical routes in integrated sugarcane biorefineries for biojet fuel production","type":"article-journal","volume":"119"},"uris":["http://www.mendeley.com/documents/?uuid=6db32748-d30a-496c-aed5-b3c2af220760"]},{"id":"ITEM-5","itemData":{"DOI":"https://doi.org/10.1016/B978-0-12-823377-1.50273-1","ISBN":"1570-7946","abstract":"As effects of climate change and resource scarcity disturb the modern world, there is an urgent need to shift from the traditional fossil fuel-based economy towards a more sustainable future. Transitioning towards a bio-economy can serve waste reduction and energy diversification objectives. Whilst technologies continue to develop that are capable of processing a wide array of wastes as feedstock, it is necessary to devise methodologies that optimise strategic decisions within bio-economies and increase the competitiveness with traditional fossil fuel-based industries. As such, the objective of this study is to develop an integrated framework that can inform optimal technological pathways for the conversion of various biomass waste into value-added products. The biomass feedstock include: date seeds, municipal solid waste, food waste, camel manure, and sludge. To achieve this objective, a two stage optimisation framework is developed based on three technologies; gasification, pyrolysis, hydrothermal liquefaction. Outputs of process specific models are used in a multi-objective mathematical formulation model to identify optimal pathways that encompass technology pathways and corresponding value-added product for each waste type. The mathematical model maximises the total revenue and minimises total emissions within the waste to value added product pathways. The simulation results demonstrate that the process yield of syngas production using gasification is higher than the pyrolysis for the date seeds, MSW, food wastes, and camel manure by about 58.67%, 69.81%, 60.38%, and 58.32% respectively. The results of the optimisation indicate the need to improve the efficiency of the hydrothermal liquefaction process, which is the optimal pathway to produce bio-oil from date seeds alone. However, for the other waste types, the gasification process is the preferred technology discarding bio-oil quality.","author":[{"dropping-particle":"","family":"Al-Ansari","given":"Tareq","non-dropping-particle":"","parse-names":false,"suffix":""},{"dropping-particle":"","family":"AlNouss","given":"Ahmed","non-dropping-particle":"","parse-names":false,"suffix":""},{"dropping-particle":"","family":"Al-Thani","given":"Nayla","non-dropping-particle":"","parse-names":false,"suffix":""},{"dropping-particle":"","family":"Parthasarathy","given":"Prakash","non-dropping-particle":"","parse-names":false,"suffix":""},{"dropping-particle":"","family":"ElKhalifa","given":"Samar","non-dropping-particle":"","parse-names":false,"suffix":""},{"dropping-particle":"","family":"Mckay","given":"Gordon","non-dropping-particle":"","parse-names":false,"suffix":""},{"dropping-particle":"","family":"Alherbawi","given":"Mohammad","non-dropping-particle":"","parse-names":false,"suffix":""}],"container-title":"30 European Symposium on Computer Aided Process Engineering","editor":[{"dropping-particle":"","family":"Pierucci","given":"Sauro","non-dropping-particle":"","parse-names":false,"suffix":""},{"dropping-particle":"","family":"Manenti","given":"Flavio","non-dropping-particle":"","parse-names":false,"suffix":""},{"dropping-particle":"","family":"Bozzano","given":"Giulia Luisa","non-dropping-particle":"","parse-names":false,"suffix":""},{"dropping-particle":"","family":"Manca","given":"Davide B T - Computer Aided Chemical Engineering","non-dropping-particle":"","parse-names":false,"suffix":""}],"id":"ITEM-5","issued":{"date-parts":[["2020"]]},"page":"1633-1638","publisher":"Elsevier","title":"Optimising Multi Biomass Feedstock Utilisation Considering a Multi Technology Approach","type":"chapter","volume":"48"},"uris":["http://www.mendeley.com/documents/?uuid=98b816a9-bcd6-471c-a9c7-152c238fae74"]},{"id":"ITEM-6","itemData":{"ISSN":"2283-9216","author":[{"dropping-particle":"","family":"Dias","given":"M","non-dropping-particle":"","parse-names":false,"suffix":""},{"dropping-particle":"","family":"Cavalett","given":"O","non-dropping-particle":"","parse-names":false,"suffix":""},{"dropping-particle":"","family":"Maciel Filho","given":"R","non-dropping-particle":"","parse-names":false,"suffix":""},{"dropping-particle":"","family":"Bonomi","given":"A","non-dropping-particle":"","parse-names":false,"suffix":""}],"container-title":"Chemical Engineering Transactions","id":"ITEM-6","issued":{"date-parts":[["2014"]]},"page":"445-450","title":"Integrated first and second generation ethanol production from sugarcane","type":"article-journal","volume":"37"},"uris":["http://www.mendeley.com/documents/?uuid=b34c1110-919e-4747-adac-250ee1c92582"]}],"mendeley":{"formattedCitation":"(Al-Ansari et al., 2020; Baliban et al., 2010; Dias et al., 2014; Floudas et al., 2012; Magdeldin et al., 2018; Neves et al., 2020)","plainTextFormattedCitation":"(Al-Ansari et al., 2020; Baliban et al., 2010; Dias et al., 2014; Floudas et al., 2012; Magdeldin et al., 2018; Neves et al., 2020)","previouslyFormattedCitation":"(Al-Ansari et al., 2020; Baliban et al., 2010; Floudas et al., 2012; Magdeldin et al., 2018; Neves et al., 2020)"},"properties":{"noteIndex":0},"schema":"https://github.com/citation-style-language/schema/raw/master/csl-citation.json"}</w:instrText>
      </w:r>
      <w:r>
        <w:rPr>
          <w:lang w:val="en-GB"/>
        </w:rPr>
        <w:fldChar w:fldCharType="separate"/>
      </w:r>
      <w:r w:rsidR="005F6DFA" w:rsidRPr="005F6DFA">
        <w:rPr>
          <w:noProof/>
          <w:lang w:val="en-GB"/>
        </w:rPr>
        <w:t>(Al-Ansari et al., 2020; Baliban et al., 2010; Dias et al., 2014; Floudas et al., 2012; Magdeldin et al., 2018; Neves et al., 2020)</w:t>
      </w:r>
      <w:r>
        <w:rPr>
          <w:lang w:val="en-GB"/>
        </w:rPr>
        <w:fldChar w:fldCharType="end"/>
      </w:r>
      <w:r>
        <w:rPr>
          <w:lang w:val="en-GB"/>
        </w:rPr>
        <w:t>.</w:t>
      </w:r>
      <w:r w:rsidR="008847AB">
        <w:rPr>
          <w:lang w:val="en-GB"/>
        </w:rPr>
        <w:t xml:space="preserve"> </w:t>
      </w:r>
    </w:p>
    <w:p w14:paraId="25E9ED25" w14:textId="65308945" w:rsidR="002C024E" w:rsidRDefault="002C024E" w:rsidP="009A42C7">
      <w:pPr>
        <w:pStyle w:val="CETBodytext"/>
        <w:rPr>
          <w:lang w:val="en-GB"/>
        </w:rPr>
      </w:pPr>
      <w:r>
        <w:rPr>
          <w:lang w:val="en-GB"/>
        </w:rPr>
        <w:t>In this context, the</w:t>
      </w:r>
      <w:r w:rsidR="00EE4EC2">
        <w:rPr>
          <w:lang w:val="en-GB"/>
        </w:rPr>
        <w:t xml:space="preserve"> identification of</w:t>
      </w:r>
      <w:r w:rsidR="006D35C4">
        <w:rPr>
          <w:lang w:val="en-GB"/>
        </w:rPr>
        <w:t xml:space="preserve"> </w:t>
      </w:r>
      <w:r w:rsidR="00EE4EC2">
        <w:rPr>
          <w:lang w:val="en-GB"/>
        </w:rPr>
        <w:t>biomass refinery</w:t>
      </w:r>
      <w:r w:rsidR="006D35C4">
        <w:rPr>
          <w:lang w:val="en-GB"/>
        </w:rPr>
        <w:t xml:space="preserve"> site</w:t>
      </w:r>
      <w:r w:rsidR="00635EB4">
        <w:rPr>
          <w:lang w:val="en-GB"/>
        </w:rPr>
        <w:t>s</w:t>
      </w:r>
      <w:r w:rsidR="00EE4EC2">
        <w:rPr>
          <w:lang w:val="en-GB"/>
        </w:rPr>
        <w:t xml:space="preserve"> is </w:t>
      </w:r>
      <w:r w:rsidR="006D35C4">
        <w:rPr>
          <w:lang w:val="en-GB"/>
        </w:rPr>
        <w:t xml:space="preserve">becoming more </w:t>
      </w:r>
      <w:r w:rsidR="00EE4EC2">
        <w:rPr>
          <w:lang w:val="en-GB"/>
        </w:rPr>
        <w:t xml:space="preserve">important </w:t>
      </w:r>
      <w:r w:rsidR="006D35C4">
        <w:rPr>
          <w:lang w:val="en-GB"/>
        </w:rPr>
        <w:t xml:space="preserve">and challenging due to the extremely </w:t>
      </w:r>
      <w:r w:rsidR="001F03BF">
        <w:rPr>
          <w:lang w:val="en-GB"/>
        </w:rPr>
        <w:t xml:space="preserve">irregular generation and scattered distribution of biomass resources. </w:t>
      </w:r>
      <w:r w:rsidR="00E9408B">
        <w:rPr>
          <w:lang w:val="en-GB"/>
        </w:rPr>
        <w:t xml:space="preserve">Several approaches have been earlier proposed for biorefinery siting. </w:t>
      </w:r>
      <w:proofErr w:type="spellStart"/>
      <w:r w:rsidR="0089666A">
        <w:rPr>
          <w:lang w:val="en-GB"/>
        </w:rPr>
        <w:t>Martinkus</w:t>
      </w:r>
      <w:proofErr w:type="spellEnd"/>
      <w:r w:rsidR="00CA3D9D">
        <w:rPr>
          <w:lang w:val="en-GB"/>
        </w:rPr>
        <w:t xml:space="preserve"> et al.</w:t>
      </w:r>
      <w:r w:rsidR="0089666A">
        <w:rPr>
          <w:lang w:val="en-GB"/>
        </w:rPr>
        <w:t xml:space="preserve"> </w:t>
      </w:r>
      <w:r w:rsidR="003155E7">
        <w:rPr>
          <w:lang w:val="en-GB"/>
        </w:rPr>
        <w:fldChar w:fldCharType="begin" w:fldLock="1"/>
      </w:r>
      <w:r w:rsidR="00D44870">
        <w:rPr>
          <w:lang w:val="en-GB"/>
        </w:rPr>
        <w:instrText>ADDIN CSL_CITATION {"citationItems":[{"id":"ITEM-1","itemData":{"DOI":"https://doi.org/10.1016/j.biombioe.2016.12.022","ISSN":"0961-9534","abstract":"A key factor in the production of economically viable and environmentally sustainable biofuels is biorefinery site selection. Facility location analysis has traditionally been driven by access to feedstock, proximity to customers, and local incentives. While economic constraints will always be major factors in site selection, incorporating social metrics may further reduce the cost of constructing a biorefinery. A community's disposition toward a biorefinery project may significantly impact implementation success: grassroots support can lower implementation costs while opposition may increase the costs of permitting blockages and other scale-up delays. The proposed biorefinery siting tool improves upon previous research by incorporating site-specific biogeophysical measures and more complete and comprehensive social measures of community innovation and capacity for collective action. A refined biogeophysical analysis assesses pulp mills for their potential as repurposed biorefineries. The social asset components of site selection are greatly improved by enhancing and disaggregating key metrics through the use of multiple indicators of community collective action capacity and propensity for change. The refined measures are integrated into a biorefinery site-selection tool. Pulp mills that rank highly in both the biogeophysical and social asset measures may be considered more suitable candidates for repurpose into a biorefinery. This enriched methodology has been applied to biorefinery siting decisions in the U.S. Pacific Northwest region; however, it is suitable for applications to infrastructure development projects in any region of the U.S.","author":[{"dropping-particle":"","family":"Martinkus","given":"Natalie","non-dropping-particle":"","parse-names":false,"suffix":""},{"dropping-particle":"","family":"Rijkhoff","given":"Sanne A M","non-dropping-particle":"","parse-names":false,"suffix":""},{"dropping-particle":"","family":"Hoard","given":"Season A","non-dropping-particle":"","parse-names":false,"suffix":""},{"dropping-particle":"","family":"Shi","given":"Wenping","non-dropping-particle":"","parse-names":false,"suffix":""},{"dropping-particle":"","family":"Smith","given":"Paul","non-dropping-particle":"","parse-names":false,"suffix":""},{"dropping-particle":"","family":"Gaffney","given":"Michael","non-dropping-particle":"","parse-names":false,"suffix":""},{"dropping-particle":"","family":"Wolcott","given":"Michael","non-dropping-particle":"","parse-names":false,"suffix":""}],"container-title":"Biomass and Bioenergy","id":"ITEM-1","issued":{"date-parts":[["2017"]]},"page":"139-148","title":"Biorefinery site selection using a stepwise biogeophysical and social analysis approach","type":"article-journal","volume":"97"},"uris":["http://www.mendeley.com/documents/?uuid=a4cd1b1d-9a26-4ba2-bbbe-eb2ee5511e50"]}],"mendeley":{"formattedCitation":"(Martinkus et al., 2017)","manualFormatting":"(2017)","plainTextFormattedCitation":"(Martinkus et al., 2017)","previouslyFormattedCitation":"(Martinkus et al., 2017)"},"properties":{"noteIndex":0},"schema":"https://github.com/citation-style-language/schema/raw/master/csl-citation.json"}</w:instrText>
      </w:r>
      <w:r w:rsidR="003155E7">
        <w:rPr>
          <w:lang w:val="en-GB"/>
        </w:rPr>
        <w:fldChar w:fldCharType="separate"/>
      </w:r>
      <w:r w:rsidR="003155E7" w:rsidRPr="003155E7">
        <w:rPr>
          <w:noProof/>
          <w:lang w:val="en-GB"/>
        </w:rPr>
        <w:t>(2017)</w:t>
      </w:r>
      <w:r w:rsidR="003155E7">
        <w:rPr>
          <w:lang w:val="en-GB"/>
        </w:rPr>
        <w:fldChar w:fldCharType="end"/>
      </w:r>
      <w:r w:rsidR="00CA3D9D">
        <w:rPr>
          <w:lang w:val="en-GB"/>
        </w:rPr>
        <w:t xml:space="preserve"> combine</w:t>
      </w:r>
      <w:r w:rsidR="0007669E">
        <w:rPr>
          <w:lang w:val="en-GB"/>
        </w:rPr>
        <w:t>d</w:t>
      </w:r>
      <w:r w:rsidR="00CA3D9D">
        <w:rPr>
          <w:lang w:val="en-GB"/>
        </w:rPr>
        <w:t xml:space="preserve"> social </w:t>
      </w:r>
      <w:r w:rsidR="00010439">
        <w:rPr>
          <w:lang w:val="en-GB"/>
        </w:rPr>
        <w:t xml:space="preserve">and </w:t>
      </w:r>
      <w:proofErr w:type="spellStart"/>
      <w:r w:rsidR="00010439" w:rsidRPr="00010439">
        <w:rPr>
          <w:lang w:val="en-GB"/>
        </w:rPr>
        <w:t>biogeophysical</w:t>
      </w:r>
      <w:proofErr w:type="spellEnd"/>
      <w:r w:rsidR="00010439">
        <w:rPr>
          <w:lang w:val="en-GB"/>
        </w:rPr>
        <w:t xml:space="preserve"> analysis to </w:t>
      </w:r>
      <w:r w:rsidR="007C45D1">
        <w:rPr>
          <w:lang w:val="en-GB"/>
        </w:rPr>
        <w:t xml:space="preserve">spot and </w:t>
      </w:r>
      <w:r w:rsidR="00620B51">
        <w:rPr>
          <w:lang w:val="en-GB"/>
        </w:rPr>
        <w:t>evaluate</w:t>
      </w:r>
      <w:r w:rsidR="00620B51" w:rsidRPr="00620B51">
        <w:rPr>
          <w:lang w:val="en-GB"/>
        </w:rPr>
        <w:t xml:space="preserve"> pulp mills </w:t>
      </w:r>
      <w:r w:rsidR="00620B51">
        <w:rPr>
          <w:lang w:val="en-GB"/>
        </w:rPr>
        <w:t xml:space="preserve">potential to be turned into </w:t>
      </w:r>
      <w:r w:rsidR="00620B51" w:rsidRPr="00620B51">
        <w:rPr>
          <w:lang w:val="en-GB"/>
        </w:rPr>
        <w:t>biorefineries</w:t>
      </w:r>
      <w:r w:rsidR="00CB319A">
        <w:rPr>
          <w:lang w:val="en-GB"/>
        </w:rPr>
        <w:t xml:space="preserve">. Whereas, </w:t>
      </w:r>
      <w:r w:rsidR="00D44870">
        <w:rPr>
          <w:lang w:val="en-GB"/>
        </w:rPr>
        <w:t xml:space="preserve">Marvin et al. </w:t>
      </w:r>
      <w:r w:rsidR="00D44870">
        <w:rPr>
          <w:lang w:val="en-GB"/>
        </w:rPr>
        <w:fldChar w:fldCharType="begin" w:fldLock="1"/>
      </w:r>
      <w:r w:rsidR="000E52FC">
        <w:rPr>
          <w:lang w:val="en-GB"/>
        </w:rPr>
        <w:instrText>ADDIN CSL_CITATION {"citationItems":[{"id":"ITEM-1","itemData":{"DOI":"10.1021/ie3010463","ISSN":"0888-5885","author":[{"dropping-particle":"","family":"Marvin","given":"W Alex","non-dropping-particle":"","parse-names":false,"suffix":""},{"dropping-particle":"","family":"Schmidt","given":"Lanny D","non-dropping-particle":"","parse-names":false,"suffix":""},{"dropping-particle":"","family":"Daoutidis","given":"Prodromos","non-dropping-particle":"","parse-names":false,"suffix":""}],"container-title":"Industrial &amp; Engineering Chemistry Research","id":"ITEM-1","issue":"9","issued":{"date-parts":[["2013","3","6"]]},"note":"doi: 10.1021/ie3010463","page":"3192-3208","publisher":"American Chemical Society","title":"Biorefinery Location and Technology Selection Through Supply Chain Optimization","type":"article-journal","volume":"52"},"uris":["http://www.mendeley.com/documents/?uuid=90327415-7e24-4b9a-b666-daaae84d0b92"]}],"mendeley":{"formattedCitation":"(Marvin et al., 2013)","manualFormatting":"(2013)","plainTextFormattedCitation":"(Marvin et al., 2013)","previouslyFormattedCitation":"(Marvin et al., 2013)"},"properties":{"noteIndex":0},"schema":"https://github.com/citation-style-language/schema/raw/master/csl-citation.json"}</w:instrText>
      </w:r>
      <w:r w:rsidR="00D44870">
        <w:rPr>
          <w:lang w:val="en-GB"/>
        </w:rPr>
        <w:fldChar w:fldCharType="separate"/>
      </w:r>
      <w:r w:rsidR="00D44870" w:rsidRPr="00D44870">
        <w:rPr>
          <w:noProof/>
          <w:lang w:val="en-GB"/>
        </w:rPr>
        <w:t>(2013)</w:t>
      </w:r>
      <w:r w:rsidR="00D44870">
        <w:rPr>
          <w:lang w:val="en-GB"/>
        </w:rPr>
        <w:fldChar w:fldCharType="end"/>
      </w:r>
      <w:r w:rsidR="00A839BC">
        <w:rPr>
          <w:lang w:val="en-GB"/>
        </w:rPr>
        <w:t xml:space="preserve"> </w:t>
      </w:r>
      <w:r w:rsidR="00974B45">
        <w:rPr>
          <w:lang w:val="en-GB"/>
        </w:rPr>
        <w:t xml:space="preserve">and </w:t>
      </w:r>
      <w:r w:rsidR="00D430D1">
        <w:rPr>
          <w:lang w:val="en-GB"/>
        </w:rPr>
        <w:t xml:space="preserve">Ng </w:t>
      </w:r>
      <w:r w:rsidR="00D430D1">
        <w:rPr>
          <w:lang w:val="en-GB"/>
        </w:rPr>
        <w:lastRenderedPageBreak/>
        <w:t xml:space="preserve">and </w:t>
      </w:r>
      <w:proofErr w:type="spellStart"/>
      <w:r w:rsidR="00D430D1">
        <w:rPr>
          <w:lang w:val="en-GB"/>
        </w:rPr>
        <w:t>Maravelias</w:t>
      </w:r>
      <w:proofErr w:type="spellEnd"/>
      <w:r w:rsidR="00D430D1">
        <w:rPr>
          <w:lang w:val="en-GB"/>
        </w:rPr>
        <w:t xml:space="preserve"> </w:t>
      </w:r>
      <w:r w:rsidR="00D430D1">
        <w:rPr>
          <w:lang w:val="en-GB"/>
        </w:rPr>
        <w:fldChar w:fldCharType="begin" w:fldLock="1"/>
      </w:r>
      <w:r w:rsidR="00520565">
        <w:rPr>
          <w:lang w:val="en-GB"/>
        </w:rPr>
        <w:instrText>ADDIN CSL_CITATION {"citationItems":[{"id":"ITEM-1","itemData":{"DOI":"https://doi.org/10.1016/j.renene.2016.05.009","ISSN":"0960-1481","abstract":"We propose a multi-period mixed-integer linear programming (MILP) model for the design and operational planning of cellulosic biofuel supply chains. Specifically, the proposed MILP model accounts for biomass selection and allocation, technology selection and capacity planning at regional depots and biorefineries. Importantly, it considers the location of regional depots and biorefineries as continuous optimization decisions. We introduce approximation and reformulation methods for the calculation of the shipments and transportation distance in order to obtain a linear model. We illustrate the applicability of the proposed methods using two medium-scale examples with realistic data.","author":[{"dropping-particle":"","family":"Ng","given":"Rex T L","non-dropping-particle":"","parse-names":false,"suffix":""},{"dropping-particle":"","family":"Maravelias","given":"Christos T","non-dropping-particle":"","parse-names":false,"suffix":""}],"container-title":"Renewable Energy","id":"ITEM-1","issued":{"date-parts":[["2017"]]},"page":"90-102","title":"Design of biofuel supply chains with variable regional depot and biorefinery locations","type":"article-journal","volume":"100"},"uris":["http://www.mendeley.com/documents/?uuid=9aa5ff2d-7f1f-4dd9-b960-42656a9bbe4d"]}],"mendeley":{"formattedCitation":"(Ng and Maravelias, 2017)","manualFormatting":"(2017)","plainTextFormattedCitation":"(Ng and Maravelias, 2017)","previouslyFormattedCitation":"(Ng and Maravelias, 2017)"},"properties":{"noteIndex":0},"schema":"https://github.com/citation-style-language/schema/raw/master/csl-citation.json"}</w:instrText>
      </w:r>
      <w:r w:rsidR="00D430D1">
        <w:rPr>
          <w:lang w:val="en-GB"/>
        </w:rPr>
        <w:fldChar w:fldCharType="separate"/>
      </w:r>
      <w:r w:rsidR="00D430D1" w:rsidRPr="00D430D1">
        <w:rPr>
          <w:noProof/>
          <w:lang w:val="en-GB"/>
        </w:rPr>
        <w:t>(2017)</w:t>
      </w:r>
      <w:r w:rsidR="00D430D1">
        <w:rPr>
          <w:lang w:val="en-GB"/>
        </w:rPr>
        <w:fldChar w:fldCharType="end"/>
      </w:r>
      <w:r w:rsidR="00D430D1">
        <w:rPr>
          <w:lang w:val="en-GB"/>
        </w:rPr>
        <w:t xml:space="preserve"> </w:t>
      </w:r>
      <w:r w:rsidR="00A839BC">
        <w:rPr>
          <w:lang w:val="en-GB"/>
        </w:rPr>
        <w:t xml:space="preserve">proposed </w:t>
      </w:r>
      <w:r w:rsidR="00D430D1">
        <w:rPr>
          <w:lang w:val="en-GB"/>
        </w:rPr>
        <w:t xml:space="preserve">different </w:t>
      </w:r>
      <w:r w:rsidR="00A839BC" w:rsidRPr="00A839BC">
        <w:rPr>
          <w:lang w:val="en-GB"/>
        </w:rPr>
        <w:t xml:space="preserve">mixed integer linear program </w:t>
      </w:r>
      <w:r w:rsidR="002F0639">
        <w:rPr>
          <w:lang w:val="en-GB"/>
        </w:rPr>
        <w:t>(MILP)</w:t>
      </w:r>
      <w:r w:rsidR="00D430D1">
        <w:rPr>
          <w:lang w:val="en-GB"/>
        </w:rPr>
        <w:t xml:space="preserve"> </w:t>
      </w:r>
      <w:r w:rsidR="00582D0F">
        <w:rPr>
          <w:lang w:val="en-GB"/>
        </w:rPr>
        <w:t>models</w:t>
      </w:r>
      <w:r w:rsidR="002F0639">
        <w:rPr>
          <w:lang w:val="en-GB"/>
        </w:rPr>
        <w:t xml:space="preserve"> to identify</w:t>
      </w:r>
      <w:r w:rsidR="009C2093">
        <w:rPr>
          <w:lang w:val="en-GB"/>
        </w:rPr>
        <w:t xml:space="preserve"> an</w:t>
      </w:r>
      <w:r w:rsidR="002F0639">
        <w:rPr>
          <w:lang w:val="en-GB"/>
        </w:rPr>
        <w:t xml:space="preserve"> </w:t>
      </w:r>
      <w:r w:rsidR="009C2093">
        <w:rPr>
          <w:lang w:val="en-GB"/>
        </w:rPr>
        <w:t xml:space="preserve">economic </w:t>
      </w:r>
      <w:r w:rsidR="007C45D1">
        <w:rPr>
          <w:lang w:val="en-GB"/>
        </w:rPr>
        <w:t>bio</w:t>
      </w:r>
      <w:r w:rsidR="000E52FC">
        <w:rPr>
          <w:lang w:val="en-GB"/>
        </w:rPr>
        <w:t>refinery</w:t>
      </w:r>
      <w:r w:rsidR="009C2093">
        <w:rPr>
          <w:lang w:val="en-GB"/>
        </w:rPr>
        <w:t xml:space="preserve"> </w:t>
      </w:r>
      <w:r w:rsidR="00760F59">
        <w:rPr>
          <w:lang w:val="en-GB"/>
        </w:rPr>
        <w:t>site</w:t>
      </w:r>
      <w:r w:rsidR="000E52FC">
        <w:rPr>
          <w:lang w:val="en-GB"/>
        </w:rPr>
        <w:t xml:space="preserve"> through enhanced supply chains. Meanwhile, AlNouss et al. </w:t>
      </w:r>
      <w:r w:rsidR="000E52FC">
        <w:rPr>
          <w:lang w:val="en-GB"/>
        </w:rPr>
        <w:fldChar w:fldCharType="begin" w:fldLock="1"/>
      </w:r>
      <w:r w:rsidR="00D430D1">
        <w:rPr>
          <w:lang w:val="en-GB"/>
        </w:rPr>
        <w:instrText>ADDIN CSL_CITATION {"citationItems":[{"id":"ITEM-1","itemData":{"DOI":"https://doi.org/10.1016/B978-0-12-823377-1.50272-X","ISBN":"1570-7946","abstract":"Biomass utilisation has witnessed growing attention as a promising alternative to fossil fuels. However, the biomass supply chain is generally unstable due to the fluctuation of the supply and the difficulty to accommodate all the available biomass feedstock and utilisation pathways. This has made the optimisation of the supply chain a challenging task due to the complexities of modelling the different interconnected systems consisting of various production sources, intermediate processing methods, and utilisation sinks. The objective of this study is to develop a geospatial information systems (GIS)-based decision framework integrated with statistical learning and heuristic optimisation capabilities in order to establish the design solutions for biomass supply chains on a national scale and subsequent strategic decision-making. The artificial neural network (ANN)-based surrogate models for the biomass processing system were developed and validated to predict the synthesis gas flowrate and composition linked to the input parameters of biomass attributes in terms of their proximate and ultimate analysis, as simulated in previously developed Aspen Plus models. The surrogate models were then coupled with GIS, including information about biomass sources, candidate plant locations, and utilisation sinks. The optimal biomass utilisation routes were subsequently solved using the genetic algorithm (GA). The framework implementation is illustrated through a biomass gasification case study in the state of Qatar. The results demonstrate the importance of domestic biomass resources to support the local economy through the production of methanol as a final product, and utilising primarily manure-based biomass feedstock in an optimal blend with sludge and date pits. The economic optimisation of the biomass processing-plant locations reveals production routes supporting the generation of methanol and the utilisation of manure feedstock in Qatar.","author":[{"dropping-particle":"","family":"AlNouss","given":"Ahmed","non-dropping-particle":"","parse-names":false,"suffix":""},{"dropping-particle":"","family":"Govindan","given":"Rajesh","non-dropping-particle":"","parse-names":false,"suffix":""},{"dropping-particle":"","family":"McKay","given":"Gordon","non-dropping-particle":"","parse-names":false,"suffix":""},{"dropping-particle":"","family":"Al-Ansari","given":"Tareq","non-dropping-particle":"","parse-names":false,"suffix":""}],"container-title":"30 European Symposium on Computer Aided Process Engineering","editor":[{"dropping-particle":"","family":"Pierucci","given":"Sauro","non-dropping-particle":"","parse-names":false,"suffix":""},{"dropping-particle":"","family":"Manenti","given":"Flavio","non-dropping-particle":"","parse-names":false,"suffix":""},{"dropping-particle":"","family":"Bozzano","given":"Giulia Luisa","non-dropping-particle":"","parse-names":false,"suffix":""},{"dropping-particle":"","family":"Manca","given":"Davide B T - Computer Aided Chemical Engineering","non-dropping-particle":"","parse-names":false,"suffix":""}],"id":"ITEM-1","issued":{"date-parts":[["2020"]]},"page":"1627-1632","publisher":"Elsevier","title":"Development of a Computational Intelligence Framework for the Strategic Design and Implementation of Large-scale Biomass Supply Chains","type":"chapter","volume":"48"},"uris":["http://www.mendeley.com/documents/?uuid=bf57dc3b-5d7f-4e34-a436-3b6bf1185ab0"]}],"mendeley":{"formattedCitation":"(AlNouss et al., 2020a)","manualFormatting":"(2020a)","plainTextFormattedCitation":"(AlNouss et al., 2020a)","previouslyFormattedCitation":"(AlNouss et al., 2020a)"},"properties":{"noteIndex":0},"schema":"https://github.com/citation-style-language/schema/raw/master/csl-citation.json"}</w:instrText>
      </w:r>
      <w:r w:rsidR="000E52FC">
        <w:rPr>
          <w:lang w:val="en-GB"/>
        </w:rPr>
        <w:fldChar w:fldCharType="separate"/>
      </w:r>
      <w:r w:rsidR="000E52FC" w:rsidRPr="000E52FC">
        <w:rPr>
          <w:noProof/>
          <w:lang w:val="en-GB"/>
        </w:rPr>
        <w:t>(2020a)</w:t>
      </w:r>
      <w:r w:rsidR="000E52FC">
        <w:rPr>
          <w:lang w:val="en-GB"/>
        </w:rPr>
        <w:fldChar w:fldCharType="end"/>
      </w:r>
      <w:r w:rsidR="006663A3">
        <w:rPr>
          <w:lang w:val="en-GB"/>
        </w:rPr>
        <w:t xml:space="preserve"> developed a computational intell</w:t>
      </w:r>
      <w:r w:rsidR="006E42F7">
        <w:rPr>
          <w:lang w:val="en-GB"/>
        </w:rPr>
        <w:t xml:space="preserve">igence framework for the design of biomass supply chains based on </w:t>
      </w:r>
      <w:r w:rsidR="00105F2C">
        <w:rPr>
          <w:lang w:val="en-GB"/>
        </w:rPr>
        <w:t>the</w:t>
      </w:r>
      <w:r w:rsidR="00105F2C" w:rsidRPr="00105F2C">
        <w:rPr>
          <w:lang w:val="en-GB"/>
        </w:rPr>
        <w:t xml:space="preserve"> artificial neural network</w:t>
      </w:r>
      <w:r w:rsidR="00105F2C">
        <w:rPr>
          <w:lang w:val="en-GB"/>
        </w:rPr>
        <w:t xml:space="preserve"> (ANN)</w:t>
      </w:r>
      <w:r w:rsidR="00105F2C" w:rsidRPr="00105F2C">
        <w:rPr>
          <w:lang w:val="en-GB"/>
        </w:rPr>
        <w:t xml:space="preserve"> </w:t>
      </w:r>
      <w:r w:rsidR="00105F2C">
        <w:rPr>
          <w:lang w:val="en-GB"/>
        </w:rPr>
        <w:t xml:space="preserve">approach. </w:t>
      </w:r>
    </w:p>
    <w:p w14:paraId="749B3A01" w14:textId="7A30D4C7" w:rsidR="001C616C" w:rsidRDefault="00F1716D" w:rsidP="009A42C7">
      <w:pPr>
        <w:pStyle w:val="CETBodytext"/>
        <w:rPr>
          <w:lang w:val="en-GB"/>
        </w:rPr>
      </w:pPr>
      <w:r>
        <w:rPr>
          <w:lang w:val="en-GB"/>
        </w:rPr>
        <w:t xml:space="preserve">This study proposes a </w:t>
      </w:r>
      <w:r w:rsidR="0034220F">
        <w:rPr>
          <w:lang w:val="en-GB"/>
        </w:rPr>
        <w:t>multi-criteria GIS-approach based on</w:t>
      </w:r>
      <w:r w:rsidR="0027723E">
        <w:rPr>
          <w:lang w:val="en-GB"/>
        </w:rPr>
        <w:t xml:space="preserve"> the</w:t>
      </w:r>
      <w:r w:rsidR="0034220F">
        <w:rPr>
          <w:lang w:val="en-GB"/>
        </w:rPr>
        <w:t xml:space="preserve"> </w:t>
      </w:r>
      <w:r w:rsidR="0027723E" w:rsidRPr="0027723E">
        <w:rPr>
          <w:lang w:val="en-GB"/>
        </w:rPr>
        <w:t>maximal coverage location problem (MCLP)</w:t>
      </w:r>
      <w:r w:rsidR="0027723E">
        <w:rPr>
          <w:lang w:val="en-GB"/>
        </w:rPr>
        <w:t xml:space="preserve"> models to identify </w:t>
      </w:r>
      <w:r w:rsidR="00527CD2">
        <w:rPr>
          <w:lang w:val="en-GB"/>
        </w:rPr>
        <w:t xml:space="preserve">an optimal multiple biomass refinery site in the State of Qatar. </w:t>
      </w:r>
      <w:r w:rsidR="000251E3">
        <w:rPr>
          <w:lang w:val="en-GB"/>
        </w:rPr>
        <w:t>A w</w:t>
      </w:r>
      <w:r w:rsidR="00527CD2">
        <w:rPr>
          <w:lang w:val="en-GB"/>
        </w:rPr>
        <w:t xml:space="preserve">ide-range biomass </w:t>
      </w:r>
      <w:r w:rsidR="00F2079B">
        <w:rPr>
          <w:lang w:val="en-GB"/>
        </w:rPr>
        <w:t>availability</w:t>
      </w:r>
      <w:r w:rsidR="000251E3">
        <w:rPr>
          <w:lang w:val="en-GB"/>
        </w:rPr>
        <w:t xml:space="preserve"> and </w:t>
      </w:r>
      <w:r w:rsidR="00527CD2">
        <w:rPr>
          <w:lang w:val="en-GB"/>
        </w:rPr>
        <w:t xml:space="preserve">geospatial data </w:t>
      </w:r>
      <w:r w:rsidR="00F2079B">
        <w:rPr>
          <w:lang w:val="en-GB"/>
        </w:rPr>
        <w:t>are collected</w:t>
      </w:r>
      <w:r w:rsidR="00FF67B7">
        <w:rPr>
          <w:lang w:val="en-GB"/>
        </w:rPr>
        <w:t xml:space="preserve"> and mapped</w:t>
      </w:r>
      <w:r w:rsidR="00F2079B">
        <w:rPr>
          <w:lang w:val="en-GB"/>
        </w:rPr>
        <w:t>, while an optimised initial infrastructure map of Qatar is developed</w:t>
      </w:r>
      <w:r w:rsidR="00345481">
        <w:rPr>
          <w:lang w:val="en-GB"/>
        </w:rPr>
        <w:t xml:space="preserve"> considering developmental, social and environmental aspects. Candidate </w:t>
      </w:r>
      <w:r w:rsidR="0084543D">
        <w:rPr>
          <w:lang w:val="en-GB"/>
        </w:rPr>
        <w:t>nodes</w:t>
      </w:r>
      <w:r w:rsidR="00345481">
        <w:rPr>
          <w:lang w:val="en-GB"/>
        </w:rPr>
        <w:t xml:space="preserve"> are identified </w:t>
      </w:r>
      <w:r w:rsidR="001E1BE7">
        <w:rPr>
          <w:lang w:val="en-GB"/>
        </w:rPr>
        <w:t>based on suitability analysis</w:t>
      </w:r>
      <w:r w:rsidR="00EE0E8E">
        <w:rPr>
          <w:lang w:val="en-GB"/>
        </w:rPr>
        <w:t xml:space="preserve"> with the aid of the analytical hierarchy process (AHP)</w:t>
      </w:r>
      <w:r w:rsidR="001E1BE7">
        <w:rPr>
          <w:lang w:val="en-GB"/>
        </w:rPr>
        <w:t>, while a mathematical</w:t>
      </w:r>
      <w:r w:rsidR="00D32246">
        <w:rPr>
          <w:lang w:val="en-GB"/>
        </w:rPr>
        <w:t xml:space="preserve"> MCLP model</w:t>
      </w:r>
      <w:r w:rsidR="0084543D">
        <w:rPr>
          <w:lang w:val="en-GB"/>
        </w:rPr>
        <w:t xml:space="preserve"> is solved in ArcGIS </w:t>
      </w:r>
      <w:r w:rsidR="001614AC">
        <w:rPr>
          <w:lang w:val="en-GB"/>
        </w:rPr>
        <w:t xml:space="preserve">(V10.7.1) </w:t>
      </w:r>
      <w:r w:rsidR="0084543D">
        <w:rPr>
          <w:lang w:val="en-GB"/>
        </w:rPr>
        <w:t xml:space="preserve">to identify </w:t>
      </w:r>
      <w:r w:rsidR="00D32246">
        <w:rPr>
          <w:lang w:val="en-GB"/>
        </w:rPr>
        <w:t xml:space="preserve">the </w:t>
      </w:r>
      <w:r w:rsidR="0084543D">
        <w:rPr>
          <w:lang w:val="en-GB"/>
        </w:rPr>
        <w:t>optimal biorefinery site amongst the candidate nodes</w:t>
      </w:r>
      <w:r w:rsidR="007E3733">
        <w:rPr>
          <w:lang w:val="en-GB"/>
        </w:rPr>
        <w:t xml:space="preserve">, in which the biomass supply chain is enhanced, transportation costs </w:t>
      </w:r>
      <w:r w:rsidR="00D32246">
        <w:rPr>
          <w:lang w:val="en-GB"/>
        </w:rPr>
        <w:t xml:space="preserve">into the refinery </w:t>
      </w:r>
      <w:r w:rsidR="007E3733">
        <w:rPr>
          <w:lang w:val="en-GB"/>
        </w:rPr>
        <w:t xml:space="preserve">are </w:t>
      </w:r>
      <w:r w:rsidR="00FF67B7">
        <w:rPr>
          <w:lang w:val="en-GB"/>
        </w:rPr>
        <w:t>minimised, and potential biomass energy</w:t>
      </w:r>
      <w:r w:rsidR="00BA5BE7">
        <w:rPr>
          <w:lang w:val="en-GB"/>
        </w:rPr>
        <w:t xml:space="preserve"> supply </w:t>
      </w:r>
      <w:r w:rsidR="00FF67B7">
        <w:rPr>
          <w:lang w:val="en-GB"/>
        </w:rPr>
        <w:t>is maximised</w:t>
      </w:r>
      <w:r w:rsidR="007E3733">
        <w:rPr>
          <w:lang w:val="en-GB"/>
        </w:rPr>
        <w:t>.</w:t>
      </w:r>
    </w:p>
    <w:p w14:paraId="4C375095" w14:textId="68C0F09C" w:rsidR="00B63076" w:rsidRPr="00B57B36" w:rsidRDefault="00B63076" w:rsidP="00B63076">
      <w:pPr>
        <w:pStyle w:val="CETHeading1"/>
        <w:rPr>
          <w:lang w:val="en-GB"/>
        </w:rPr>
      </w:pPr>
      <w:r>
        <w:rPr>
          <w:lang w:val="en-GB"/>
        </w:rPr>
        <w:t>Metho</w:t>
      </w:r>
      <w:r w:rsidR="006B0D99">
        <w:rPr>
          <w:lang w:val="en-GB"/>
        </w:rPr>
        <w:t>dology</w:t>
      </w:r>
    </w:p>
    <w:p w14:paraId="0B54EAD3" w14:textId="556533B2" w:rsidR="00366FC6" w:rsidRDefault="0057613F" w:rsidP="00A632F5">
      <w:pPr>
        <w:pStyle w:val="CETBodytext"/>
        <w:jc w:val="lowKashida"/>
      </w:pPr>
      <w:r>
        <w:t>I</w:t>
      </w:r>
      <w:r w:rsidR="001F24D9">
        <w:t>dentification of</w:t>
      </w:r>
      <w:r w:rsidR="00A85BAA">
        <w:t xml:space="preserve"> </w:t>
      </w:r>
      <w:r w:rsidR="00DE0711">
        <w:t xml:space="preserve">the optimal site for a biorefinery setup is </w:t>
      </w:r>
      <w:r w:rsidR="003400BF">
        <w:t xml:space="preserve">dependent on multiple </w:t>
      </w:r>
      <w:r w:rsidR="00EF3523">
        <w:t>criteria</w:t>
      </w:r>
      <w:r w:rsidR="003400BF">
        <w:t xml:space="preserve"> </w:t>
      </w:r>
      <w:r w:rsidR="00EF3523">
        <w:t xml:space="preserve">including the availability, </w:t>
      </w:r>
      <w:r w:rsidR="00613AE4">
        <w:t>distribution,</w:t>
      </w:r>
      <w:r w:rsidR="00EF3523">
        <w:t xml:space="preserve"> and calorific value of biomass</w:t>
      </w:r>
      <w:r w:rsidR="00915A0A">
        <w:t xml:space="preserve"> resources</w:t>
      </w:r>
      <w:r w:rsidR="00EF3523">
        <w:t xml:space="preserve">, </w:t>
      </w:r>
      <w:r w:rsidR="008F74D8">
        <w:t xml:space="preserve">as well as the accessibility of the </w:t>
      </w:r>
      <w:r w:rsidR="00915A0A">
        <w:t xml:space="preserve">proposed </w:t>
      </w:r>
      <w:r w:rsidR="008F74D8">
        <w:t xml:space="preserve">site to electricity, </w:t>
      </w:r>
      <w:r w:rsidR="00613AE4">
        <w:t>water,</w:t>
      </w:r>
      <w:r w:rsidR="008F74D8">
        <w:t xml:space="preserve"> and </w:t>
      </w:r>
      <w:r w:rsidR="00322715">
        <w:t>roads network</w:t>
      </w:r>
      <w:r w:rsidR="00760F59">
        <w:t>, i</w:t>
      </w:r>
      <w:r w:rsidR="0037287B">
        <w:t xml:space="preserve">n addition to </w:t>
      </w:r>
      <w:r w:rsidR="00613AE4">
        <w:t>several</w:t>
      </w:r>
      <w:r w:rsidR="0037287B">
        <w:t xml:space="preserve"> </w:t>
      </w:r>
      <w:r w:rsidR="00915A0A">
        <w:t xml:space="preserve">other </w:t>
      </w:r>
      <w:r w:rsidR="0037287B">
        <w:t xml:space="preserve">environmental and social </w:t>
      </w:r>
      <w:r w:rsidR="00613AE4">
        <w:t xml:space="preserve">criteria. </w:t>
      </w:r>
      <w:r w:rsidR="001F24D9">
        <w:t xml:space="preserve">The methodological framework </w:t>
      </w:r>
      <w:r w:rsidR="00915A0A">
        <w:t xml:space="preserve">to define the optimal </w:t>
      </w:r>
      <w:r w:rsidR="002A5746">
        <w:t xml:space="preserve">biorefinery site </w:t>
      </w:r>
      <w:r w:rsidR="001F24D9">
        <w:t xml:space="preserve">is detailed out through the </w:t>
      </w:r>
      <w:r w:rsidR="004A1F49">
        <w:t>following subsections.</w:t>
      </w:r>
    </w:p>
    <w:p w14:paraId="2B35AF4C" w14:textId="7366D2CB" w:rsidR="00915410" w:rsidRDefault="00915410" w:rsidP="00915410">
      <w:pPr>
        <w:pStyle w:val="CETheadingx"/>
      </w:pPr>
      <w:r>
        <w:t>Data collection</w:t>
      </w:r>
    </w:p>
    <w:p w14:paraId="4592AF68" w14:textId="035C2AF2" w:rsidR="00915410" w:rsidRPr="00853F60" w:rsidRDefault="008869DA" w:rsidP="00661666">
      <w:pPr>
        <w:pStyle w:val="CETBodytext"/>
        <w:spacing w:after="240"/>
      </w:pPr>
      <w:r w:rsidRPr="00853F60">
        <w:t xml:space="preserve">The sources of </w:t>
      </w:r>
      <w:r w:rsidR="000F43D3" w:rsidRPr="00853F60">
        <w:t xml:space="preserve">different municipal, industrial and agricultural </w:t>
      </w:r>
      <w:r w:rsidR="00184D1F" w:rsidRPr="00853F60">
        <w:t xml:space="preserve">wastes </w:t>
      </w:r>
      <w:r w:rsidRPr="00853F60">
        <w:t xml:space="preserve">are selected carefully to ensure a regular and long-term </w:t>
      </w:r>
      <w:r w:rsidR="004F4376" w:rsidRPr="00853F60">
        <w:t xml:space="preserve">biomass </w:t>
      </w:r>
      <w:r w:rsidRPr="00853F60">
        <w:t>generation</w:t>
      </w:r>
      <w:r w:rsidR="005A32E6" w:rsidRPr="00853F60">
        <w:t xml:space="preserve"> in the State of Qatar</w:t>
      </w:r>
      <w:r w:rsidR="0012128D" w:rsidRPr="00853F60">
        <w:t>. Amongst the selected sources are</w:t>
      </w:r>
      <w:r w:rsidRPr="00853F60">
        <w:t xml:space="preserve"> large scale facilities such as wastewater treatment plants (WWTPs), oil </w:t>
      </w:r>
      <w:r w:rsidR="00A35D22" w:rsidRPr="00853F60">
        <w:t xml:space="preserve">and gas refineries, </w:t>
      </w:r>
      <w:r w:rsidR="0012128D" w:rsidRPr="00853F60">
        <w:t xml:space="preserve">municipal waste collection </w:t>
      </w:r>
      <w:r w:rsidR="00F71EFA" w:rsidRPr="00853F60">
        <w:t xml:space="preserve">and landfill </w:t>
      </w:r>
      <w:r w:rsidR="0012128D" w:rsidRPr="00853F60">
        <w:t>sites</w:t>
      </w:r>
      <w:r w:rsidR="00F71EFA" w:rsidRPr="00853F60">
        <w:t xml:space="preserve">, as well as key </w:t>
      </w:r>
      <w:r w:rsidR="004F4376" w:rsidRPr="00853F60">
        <w:t>agricultural</w:t>
      </w:r>
      <w:r w:rsidR="008B105A" w:rsidRPr="00853F60">
        <w:t xml:space="preserve">, poultry and </w:t>
      </w:r>
      <w:r w:rsidR="00F71EFA" w:rsidRPr="00853F60">
        <w:t>dairy production</w:t>
      </w:r>
      <w:r w:rsidRPr="00853F60">
        <w:t xml:space="preserve"> </w:t>
      </w:r>
      <w:r w:rsidR="004F4376" w:rsidRPr="00853F60">
        <w:t>farms</w:t>
      </w:r>
      <w:r w:rsidRPr="00853F60">
        <w:t xml:space="preserve">. </w:t>
      </w:r>
      <w:r w:rsidR="00590AFD" w:rsidRPr="00853F60">
        <w:t xml:space="preserve">The data on the availability and distribution of </w:t>
      </w:r>
      <w:r w:rsidR="001614AC" w:rsidRPr="00853F60">
        <w:t>biomass</w:t>
      </w:r>
      <w:r w:rsidR="00590AFD" w:rsidRPr="00853F60">
        <w:t xml:space="preserve"> </w:t>
      </w:r>
      <w:r w:rsidR="00B051DD" w:rsidRPr="00853F60">
        <w:t xml:space="preserve">are collected </w:t>
      </w:r>
      <w:r w:rsidR="00402BC2" w:rsidRPr="00853F60">
        <w:t xml:space="preserve">and evaluated in terms of </w:t>
      </w:r>
      <w:r w:rsidR="008B105A" w:rsidRPr="00853F60">
        <w:t xml:space="preserve">potential </w:t>
      </w:r>
      <w:r w:rsidR="00402BC2" w:rsidRPr="00853F60">
        <w:t xml:space="preserve">annual generation </w:t>
      </w:r>
      <w:r w:rsidR="00C17268" w:rsidRPr="00853F60">
        <w:t xml:space="preserve">(tonnes/y) </w:t>
      </w:r>
      <w:r w:rsidR="00402BC2" w:rsidRPr="00853F60">
        <w:t xml:space="preserve">and </w:t>
      </w:r>
      <w:r w:rsidR="000C23BC" w:rsidRPr="00853F60">
        <w:t>calorific</w:t>
      </w:r>
      <w:r w:rsidR="00402BC2" w:rsidRPr="00853F60">
        <w:t xml:space="preserve"> values</w:t>
      </w:r>
      <w:r w:rsidR="00C17268" w:rsidRPr="00853F60">
        <w:t xml:space="preserve"> (GJ/y)</w:t>
      </w:r>
      <w:r w:rsidR="00D326CD" w:rsidRPr="00853F60">
        <w:t xml:space="preserve"> </w:t>
      </w:r>
      <w:r w:rsidR="006D2E85" w:rsidRPr="00853F60">
        <w:fldChar w:fldCharType="begin" w:fldLock="1"/>
      </w:r>
      <w:r w:rsidR="00335FBD" w:rsidRPr="00853F60">
        <w:instrText>ADDIN CSL_CITATION {"citationItems":[{"id":"ITEM-1","itemData":{"author":[{"dropping-particle":"","family":"AlrayyanTV","given":"","non-dropping-particle":"","parse-names":false,"suffix":""}],"id":"ITEM-1","issued":{"date-parts":[["2018"]]},"title":"Made in Qatar Series","type":"broadcast"},"uris":["http://www.mendeley.com/documents/?uuid=4547bf58-16a2-4cf9-bd63-8f6c7aff1e6a"]},{"id":"ITEM-2","itemData":{"URL":"https://gis.psa.gov.qa/QatarAtlas/StatisticalSector?Left_Menu_DIV=Settlements_Census1986_2020&amp;Left_Menu_DIV_SubItem=MenuItem_Settlements_0","accessed":{"date-parts":[["2021","3","20"]]},"author":[{"dropping-particle":"","family":"Planning and Statistics Authority of Qatar","given":"","non-dropping-particle":"","parse-names":false,"suffix":""}],"id":"ITEM-2","issued":{"date-parts":[["2021"]]},"title":"Statistical Maps of Qatar","type":"webpage"},"uris":["http://www.mendeley.com/documents/?uuid=f393f898-0c39-44c4-8c69-50cdbcea178e"]},{"id":"ITEM-3","itemData":{"author":[{"dropping-particle":"","family":"MDPS","given":"","non-dropping-particle":"","parse-names":false,"suffix":""}],"id":"ITEM-3","issued":{"date-parts":[["2018"]]},"title":"Water Statistics in the State of Qatar 2017","type":"patent"},"uris":["http://www.mendeley.com/documents/?uuid=aae18a5b-11b7-4da5-859f-403533d4c6e9"]},{"id":"ITEM-4","itemData":{"author":[{"dropping-particle":"","family":"Qatarpetroleum","given":"","non-dropping-particle":"","parse-names":false,"suffix":""}],"id":"ITEM-4","issued":{"date-parts":[["2019"]]},"title":"Qatar Petroleum Sustainability Report 2019","type":"report"},"uris":["http://www.mendeley.com/documents/?uuid=a742ba4f-a447-43b1-b285-b251a1555d19"]},{"id":"ITEM-5","itemData":{"author":[{"dropping-particle":"","family":"Ministry of Development Planning and Statistics","given":"","non-dropping-particle":"","parse-names":false,"suffix":""}],"id":"ITEM-5","issued":{"date-parts":[["2013"]]},"title":"Environment Statistics Annual Report 2013","type":"article-journal"},"uris":["http://www.mendeley.com/documents/?uuid=a047beb7-cc85-47fb-95d9-c28a58ab284a"]}],"mendeley":{"formattedCitation":"(AlrayyanTV, 2018; MDPS, 2018; Ministry of Development Planning and Statistics, 2013; Planning and Statistics Authority of Qatar, 2021; Qatarpetroleum, 2019)","plainTextFormattedCitation":"(AlrayyanTV, 2018; MDPS, 2018; Ministry of Development Planning and Statistics, 2013; Planning and Statistics Authority of Qatar, 2021; Qatarpetroleum, 2019)","previouslyFormattedCitation":"(AlrayyanTV, 2018; MDPS, 2018; Ministry of Development Planning and Statistics, 2013; Planning and Statistics Authority of Qatar, 2021; Qatarpetroleum, 2019)"},"properties":{"noteIndex":0},"schema":"https://github.com/citation-style-language/schema/raw/master/csl-citation.json"}</w:instrText>
      </w:r>
      <w:r w:rsidR="006D2E85" w:rsidRPr="00853F60">
        <w:fldChar w:fldCharType="separate"/>
      </w:r>
      <w:r w:rsidR="008F6323" w:rsidRPr="00853F60">
        <w:rPr>
          <w:noProof/>
        </w:rPr>
        <w:t>(AlrayyanTV, 2018; MDPS, 2018; Ministry of Development Planning and Statistics, 2013; Planning and Statistics Authority of Qatar, 2021; Qatarpetroleum, 2019)</w:t>
      </w:r>
      <w:r w:rsidR="006D2E85" w:rsidRPr="00853F60">
        <w:fldChar w:fldCharType="end"/>
      </w:r>
      <w:r w:rsidR="00402BC2" w:rsidRPr="00853F60">
        <w:t>.</w:t>
      </w:r>
      <w:r w:rsidR="00B051DD" w:rsidRPr="00853F60">
        <w:t xml:space="preserve"> </w:t>
      </w:r>
      <w:r w:rsidR="00C56EC7" w:rsidRPr="00853F60">
        <w:t>In addition, t</w:t>
      </w:r>
      <w:r w:rsidR="00172694" w:rsidRPr="00853F60">
        <w:t xml:space="preserve">he spatial distribution of </w:t>
      </w:r>
      <w:r w:rsidR="00EF0A5D" w:rsidRPr="00853F60">
        <w:t>the selected</w:t>
      </w:r>
      <w:r w:rsidR="00172694" w:rsidRPr="00853F60">
        <w:t xml:space="preserve"> biomass </w:t>
      </w:r>
      <w:r w:rsidR="002A5746" w:rsidRPr="00853F60">
        <w:t>is mapped in ArcGIS as illustrated in Figure 1.</w:t>
      </w:r>
      <w:r w:rsidR="009D7750" w:rsidRPr="00853F60">
        <w:t xml:space="preserve"> </w:t>
      </w:r>
      <w:r w:rsidR="00310825" w:rsidRPr="00853F60">
        <w:t>The targeted</w:t>
      </w:r>
      <w:r w:rsidR="009D7750" w:rsidRPr="00853F60">
        <w:t xml:space="preserve"> biomass</w:t>
      </w:r>
      <w:r w:rsidR="0009565A" w:rsidRPr="00853F60">
        <w:t xml:space="preserve"> categories</w:t>
      </w:r>
      <w:r w:rsidR="009D7750" w:rsidRPr="00853F60">
        <w:t xml:space="preserve"> </w:t>
      </w:r>
      <w:r w:rsidR="003E6791" w:rsidRPr="00853F60">
        <w:t>comprise</w:t>
      </w:r>
      <w:r w:rsidR="0009565A" w:rsidRPr="00853F60">
        <w:t xml:space="preserve"> industrial wastes, sewage sludge, tires, municipal solid wastes (MSW), </w:t>
      </w:r>
      <w:r w:rsidR="007A4A87" w:rsidRPr="00853F60">
        <w:t xml:space="preserve">agro-wastes and </w:t>
      </w:r>
      <w:r w:rsidR="00310825" w:rsidRPr="00853F60">
        <w:t xml:space="preserve">five different </w:t>
      </w:r>
      <w:r w:rsidR="007A4A87" w:rsidRPr="00853F60">
        <w:t>types of livestock manures</w:t>
      </w:r>
      <w:r w:rsidR="00C17268" w:rsidRPr="00853F60">
        <w:t>.</w:t>
      </w:r>
      <w:r w:rsidR="009A6602" w:rsidRPr="00853F60">
        <w:t xml:space="preserve"> </w:t>
      </w:r>
    </w:p>
    <w:p w14:paraId="733332FD" w14:textId="74E0A538" w:rsidR="001C616C" w:rsidRDefault="000C23BC" w:rsidP="00F63571">
      <w:pPr>
        <w:pStyle w:val="CETBodytext"/>
        <w:jc w:val="center"/>
        <w:rPr>
          <w:lang w:val="en-GB"/>
        </w:rPr>
      </w:pPr>
      <w:r>
        <w:rPr>
          <w:noProof/>
        </w:rPr>
        <w:drawing>
          <wp:inline distT="0" distB="0" distL="0" distR="0" wp14:anchorId="189C2BF5" wp14:editId="1369CE8F">
            <wp:extent cx="2069055" cy="294004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tretch>
                      <a:fillRect/>
                    </a:stretch>
                  </pic:blipFill>
                  <pic:spPr bwMode="auto">
                    <a:xfrm>
                      <a:off x="0" y="0"/>
                      <a:ext cx="2069055" cy="2940049"/>
                    </a:xfrm>
                    <a:prstGeom prst="rect">
                      <a:avLst/>
                    </a:prstGeom>
                    <a:noFill/>
                    <a:ln>
                      <a:noFill/>
                    </a:ln>
                  </pic:spPr>
                </pic:pic>
              </a:graphicData>
            </a:graphic>
          </wp:inline>
        </w:drawing>
      </w:r>
    </w:p>
    <w:p w14:paraId="69BF83E1" w14:textId="65B5D268" w:rsidR="001C616C" w:rsidRPr="001C616C" w:rsidRDefault="001C616C" w:rsidP="00F63571">
      <w:pPr>
        <w:pStyle w:val="CETCaption"/>
        <w:jc w:val="center"/>
      </w:pPr>
      <w:r w:rsidRPr="00BD077D">
        <w:rPr>
          <w:rStyle w:val="CETCaptionCarattere"/>
          <w:i/>
        </w:rPr>
        <w:t xml:space="preserve">Figure 1: </w:t>
      </w:r>
      <w:r w:rsidR="008D0F32">
        <w:rPr>
          <w:rStyle w:val="CETCaptionCarattere"/>
          <w:i/>
        </w:rPr>
        <w:t>Geospatial distribution</w:t>
      </w:r>
      <w:r w:rsidR="00F63571">
        <w:rPr>
          <w:rStyle w:val="CETCaptionCarattere"/>
          <w:i/>
        </w:rPr>
        <w:t xml:space="preserve"> of key biomass resources and quantities in Qatar</w:t>
      </w:r>
      <w:r w:rsidR="00DF1BE2">
        <w:rPr>
          <w:rStyle w:val="CETCaptionCarattere"/>
          <w:i/>
        </w:rPr>
        <w:t>.</w:t>
      </w:r>
    </w:p>
    <w:p w14:paraId="275FF67C" w14:textId="50117A7C" w:rsidR="00915410" w:rsidRPr="00B57B36" w:rsidRDefault="001371C9" w:rsidP="00915410">
      <w:pPr>
        <w:pStyle w:val="CETheadingx"/>
      </w:pPr>
      <w:r>
        <w:t>Infrastructure’s</w:t>
      </w:r>
      <w:r w:rsidR="004766C4">
        <w:t xml:space="preserve"> mapping</w:t>
      </w:r>
    </w:p>
    <w:p w14:paraId="277FB463" w14:textId="69D06147" w:rsidR="00915410" w:rsidRDefault="006A658E" w:rsidP="00915410">
      <w:pPr>
        <w:pStyle w:val="CETBodytext"/>
        <w:rPr>
          <w:lang w:val="en-GB"/>
        </w:rPr>
      </w:pPr>
      <w:r>
        <w:rPr>
          <w:lang w:val="en-GB"/>
        </w:rPr>
        <w:t xml:space="preserve">A biorefinery access to key </w:t>
      </w:r>
      <w:r w:rsidR="000100F2">
        <w:rPr>
          <w:lang w:val="en-GB"/>
        </w:rPr>
        <w:t xml:space="preserve">infrastructural facilities </w:t>
      </w:r>
      <w:r w:rsidR="00A172C5">
        <w:rPr>
          <w:lang w:val="en-GB"/>
        </w:rPr>
        <w:t xml:space="preserve">is crucial </w:t>
      </w:r>
      <w:r w:rsidR="005D5CA2">
        <w:rPr>
          <w:lang w:val="en-GB"/>
        </w:rPr>
        <w:t>to</w:t>
      </w:r>
      <w:r w:rsidR="00A172C5">
        <w:rPr>
          <w:lang w:val="en-GB"/>
        </w:rPr>
        <w:t xml:space="preserve"> defin</w:t>
      </w:r>
      <w:r w:rsidR="005D5CA2">
        <w:rPr>
          <w:lang w:val="en-GB"/>
        </w:rPr>
        <w:t>e</w:t>
      </w:r>
      <w:r w:rsidR="00A172C5">
        <w:rPr>
          <w:lang w:val="en-GB"/>
        </w:rPr>
        <w:t xml:space="preserve"> its initial candidate sites. As such, </w:t>
      </w:r>
      <w:r w:rsidR="00F37C74">
        <w:rPr>
          <w:lang w:val="en-GB"/>
        </w:rPr>
        <w:t xml:space="preserve">this study identified three key infrastructural criteria: roads, electricity and water networks. The detailed </w:t>
      </w:r>
      <w:r w:rsidR="007A1CA2">
        <w:rPr>
          <w:lang w:val="en-GB"/>
        </w:rPr>
        <w:t>extent</w:t>
      </w:r>
      <w:r w:rsidR="00F31892">
        <w:rPr>
          <w:lang w:val="en-GB"/>
        </w:rPr>
        <w:t xml:space="preserve"> of the </w:t>
      </w:r>
      <w:r w:rsidR="00FA5ED8">
        <w:rPr>
          <w:lang w:val="en-GB"/>
        </w:rPr>
        <w:lastRenderedPageBreak/>
        <w:t xml:space="preserve">aforementioned networks </w:t>
      </w:r>
      <w:r w:rsidR="00F31892">
        <w:rPr>
          <w:lang w:val="en-GB"/>
        </w:rPr>
        <w:t xml:space="preserve">in Qatar </w:t>
      </w:r>
      <w:r w:rsidR="00FA5ED8">
        <w:rPr>
          <w:lang w:val="en-GB"/>
        </w:rPr>
        <w:t xml:space="preserve">are adapted from Qatar’s Atlas </w:t>
      </w:r>
      <w:r w:rsidR="00335FBD">
        <w:rPr>
          <w:lang w:val="en-GB"/>
        </w:rPr>
        <w:fldChar w:fldCharType="begin" w:fldLock="1"/>
      </w:r>
      <w:r w:rsidR="006B4632">
        <w:rPr>
          <w:lang w:val="en-GB"/>
        </w:rPr>
        <w:instrText>ADDIN CSL_CITATION {"citationItems":[{"id":"ITEM-1","itemData":{"author":[{"dropping-particle":"","family":"Qatar Statistics Authority","given":"","non-dropping-particle":"","parse-names":false,"suffix":""}],"id":"ITEM-1","issued":{"date-parts":[["2013"]]},"title":"Qatar Atlas","type":"entry-encyclopedia"},"uris":["http://www.mendeley.com/documents/?uuid=e4f6630c-463f-433b-8e2c-435fe1402645"]}],"mendeley":{"formattedCitation":"(Qatar Statistics Authority, 2013)","plainTextFormattedCitation":"(Qatar Statistics Authority, 2013)","previouslyFormattedCitation":"(Qatar Statistics Authority, 2013)"},"properties":{"noteIndex":0},"schema":"https://github.com/citation-style-language/schema/raw/master/csl-citation.json"}</w:instrText>
      </w:r>
      <w:r w:rsidR="00335FBD">
        <w:rPr>
          <w:lang w:val="en-GB"/>
        </w:rPr>
        <w:fldChar w:fldCharType="separate"/>
      </w:r>
      <w:r w:rsidR="00335FBD" w:rsidRPr="00335FBD">
        <w:rPr>
          <w:noProof/>
          <w:lang w:val="en-GB"/>
        </w:rPr>
        <w:t>(Qatar Statistics Authority, 2013)</w:t>
      </w:r>
      <w:r w:rsidR="00335FBD">
        <w:rPr>
          <w:lang w:val="en-GB"/>
        </w:rPr>
        <w:fldChar w:fldCharType="end"/>
      </w:r>
      <w:r w:rsidR="00335FBD">
        <w:rPr>
          <w:lang w:val="en-GB"/>
        </w:rPr>
        <w:t xml:space="preserve"> and </w:t>
      </w:r>
      <w:r w:rsidR="00F31892">
        <w:rPr>
          <w:lang w:val="en-GB"/>
        </w:rPr>
        <w:t>re-</w:t>
      </w:r>
      <w:r w:rsidR="00335FBD">
        <w:rPr>
          <w:lang w:val="en-GB"/>
        </w:rPr>
        <w:t>mapped in ArcGIS</w:t>
      </w:r>
      <w:r w:rsidR="002B262E">
        <w:rPr>
          <w:lang w:val="en-GB"/>
        </w:rPr>
        <w:t xml:space="preserve"> </w:t>
      </w:r>
      <w:r w:rsidR="004A74A7">
        <w:rPr>
          <w:lang w:val="en-GB"/>
        </w:rPr>
        <w:t>as presented in Figures 2a, 2b and 2c.</w:t>
      </w:r>
    </w:p>
    <w:p w14:paraId="59F01CB2" w14:textId="3E162D85" w:rsidR="007A1CA2" w:rsidRDefault="000649E9" w:rsidP="00661666">
      <w:pPr>
        <w:pStyle w:val="CETBodytext"/>
        <w:spacing w:after="240"/>
        <w:rPr>
          <w:lang w:val="en-GB"/>
        </w:rPr>
      </w:pPr>
      <w:r>
        <w:rPr>
          <w:lang w:val="en-GB"/>
        </w:rPr>
        <w:t xml:space="preserve">The </w:t>
      </w:r>
      <w:r w:rsidR="00881333">
        <w:rPr>
          <w:lang w:val="en-GB"/>
        </w:rPr>
        <w:t>E</w:t>
      </w:r>
      <w:r w:rsidR="00881333" w:rsidRPr="00881333">
        <w:rPr>
          <w:lang w:val="en-GB"/>
        </w:rPr>
        <w:t>uclidean distance</w:t>
      </w:r>
      <w:r w:rsidR="00881333">
        <w:rPr>
          <w:lang w:val="en-GB"/>
        </w:rPr>
        <w:t xml:space="preserve"> function of ArcGIS is utilised to </w:t>
      </w:r>
      <w:r w:rsidR="00B322F9">
        <w:rPr>
          <w:lang w:val="en-GB"/>
        </w:rPr>
        <w:t xml:space="preserve">plot a criteria map for each network, which is calculated </w:t>
      </w:r>
      <w:r w:rsidR="00A17919">
        <w:rPr>
          <w:lang w:val="en-GB"/>
        </w:rPr>
        <w:t xml:space="preserve">from the </w:t>
      </w:r>
      <w:r w:rsidR="00A17919" w:rsidRPr="00881333">
        <w:rPr>
          <w:lang w:val="en-GB"/>
        </w:rPr>
        <w:t>Cartesian coordinates</w:t>
      </w:r>
      <w:r w:rsidR="00A17919">
        <w:rPr>
          <w:lang w:val="en-GB"/>
        </w:rPr>
        <w:t xml:space="preserve"> for each point in the network using </w:t>
      </w:r>
      <w:r w:rsidR="006915A1">
        <w:rPr>
          <w:lang w:val="en-GB"/>
        </w:rPr>
        <w:t xml:space="preserve">the </w:t>
      </w:r>
      <w:r w:rsidR="00A17919" w:rsidRPr="00881333">
        <w:rPr>
          <w:lang w:val="en-GB"/>
        </w:rPr>
        <w:t>Pythagorean theorem</w:t>
      </w:r>
      <w:r w:rsidR="00A17919">
        <w:rPr>
          <w:lang w:val="en-GB"/>
        </w:rPr>
        <w:t xml:space="preserve">. </w:t>
      </w:r>
      <w:r w:rsidR="00E8345A">
        <w:rPr>
          <w:lang w:val="en-GB"/>
        </w:rPr>
        <w:t xml:space="preserve">All areas that are within 2 km of each network are defined as </w:t>
      </w:r>
      <w:r w:rsidR="00291F1D">
        <w:rPr>
          <w:lang w:val="en-GB"/>
        </w:rPr>
        <w:t>“</w:t>
      </w:r>
      <w:r w:rsidR="00E8345A">
        <w:rPr>
          <w:lang w:val="en-GB"/>
        </w:rPr>
        <w:t>highly suitable</w:t>
      </w:r>
      <w:r w:rsidR="00291F1D">
        <w:rPr>
          <w:lang w:val="en-GB"/>
        </w:rPr>
        <w:t>”</w:t>
      </w:r>
      <w:r w:rsidR="00E8345A">
        <w:rPr>
          <w:lang w:val="en-GB"/>
        </w:rPr>
        <w:t xml:space="preserve"> </w:t>
      </w:r>
      <w:r w:rsidR="00A75D7E">
        <w:rPr>
          <w:lang w:val="en-GB"/>
        </w:rPr>
        <w:t>to establish the biorefinery</w:t>
      </w:r>
      <w:r w:rsidR="0059127A">
        <w:rPr>
          <w:lang w:val="en-GB"/>
        </w:rPr>
        <w:t xml:space="preserve">, while the areas located between 2-4 km of each network are defined as “moderately suitable”. </w:t>
      </w:r>
      <w:r w:rsidR="0018718A">
        <w:rPr>
          <w:lang w:val="en-GB"/>
        </w:rPr>
        <w:t>Whereas</w:t>
      </w:r>
      <w:r w:rsidR="0059127A">
        <w:rPr>
          <w:lang w:val="en-GB"/>
        </w:rPr>
        <w:t xml:space="preserve"> </w:t>
      </w:r>
      <w:r w:rsidR="00EA7CAE">
        <w:rPr>
          <w:lang w:val="en-GB"/>
        </w:rPr>
        <w:t>all</w:t>
      </w:r>
      <w:r w:rsidR="0059127A">
        <w:rPr>
          <w:lang w:val="en-GB"/>
        </w:rPr>
        <w:t xml:space="preserve"> the remaining area is </w:t>
      </w:r>
      <w:r w:rsidR="0095007E">
        <w:rPr>
          <w:lang w:val="en-GB"/>
        </w:rPr>
        <w:t xml:space="preserve">identified as </w:t>
      </w:r>
      <w:r w:rsidR="0018718A">
        <w:rPr>
          <w:lang w:val="en-GB"/>
        </w:rPr>
        <w:t>“</w:t>
      </w:r>
      <w:r w:rsidR="0095007E">
        <w:rPr>
          <w:lang w:val="en-GB"/>
        </w:rPr>
        <w:t>non-suitable</w:t>
      </w:r>
      <w:r w:rsidR="0018718A">
        <w:rPr>
          <w:lang w:val="en-GB"/>
        </w:rPr>
        <w:t>”</w:t>
      </w:r>
      <w:r w:rsidR="0095007E">
        <w:rPr>
          <w:lang w:val="en-GB"/>
        </w:rPr>
        <w:t xml:space="preserve"> due to </w:t>
      </w:r>
      <w:r w:rsidR="003D483D">
        <w:rPr>
          <w:lang w:val="en-GB"/>
        </w:rPr>
        <w:t xml:space="preserve">the </w:t>
      </w:r>
      <w:r w:rsidR="0095007E">
        <w:rPr>
          <w:lang w:val="en-GB"/>
        </w:rPr>
        <w:t>lack of access to key infrastructural facilities.</w:t>
      </w:r>
    </w:p>
    <w:p w14:paraId="35BBA970" w14:textId="77777777" w:rsidR="00661666" w:rsidRDefault="00661666" w:rsidP="00661666">
      <w:pPr>
        <w:pStyle w:val="CETBodytext"/>
        <w:jc w:val="center"/>
        <w:rPr>
          <w:lang w:val="en-GB"/>
        </w:rPr>
      </w:pPr>
      <w:r>
        <w:rPr>
          <w:noProof/>
        </w:rPr>
        <w:drawing>
          <wp:inline distT="0" distB="0" distL="0" distR="0" wp14:anchorId="2CD45CD1" wp14:editId="14A6015E">
            <wp:extent cx="1377106" cy="19568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stretch>
                      <a:fillRect/>
                    </a:stretch>
                  </pic:blipFill>
                  <pic:spPr bwMode="auto">
                    <a:xfrm>
                      <a:off x="0" y="0"/>
                      <a:ext cx="1377106" cy="1956816"/>
                    </a:xfrm>
                    <a:prstGeom prst="rect">
                      <a:avLst/>
                    </a:prstGeom>
                    <a:noFill/>
                    <a:ln>
                      <a:noFill/>
                    </a:ln>
                  </pic:spPr>
                </pic:pic>
              </a:graphicData>
            </a:graphic>
          </wp:inline>
        </w:drawing>
      </w:r>
      <w:r>
        <w:rPr>
          <w:noProof/>
        </w:rPr>
        <w:drawing>
          <wp:inline distT="0" distB="0" distL="0" distR="0" wp14:anchorId="2426AF92" wp14:editId="73256A25">
            <wp:extent cx="1377106" cy="19568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stretch>
                      <a:fillRect/>
                    </a:stretch>
                  </pic:blipFill>
                  <pic:spPr bwMode="auto">
                    <a:xfrm>
                      <a:off x="0" y="0"/>
                      <a:ext cx="1377106" cy="1956816"/>
                    </a:xfrm>
                    <a:prstGeom prst="rect">
                      <a:avLst/>
                    </a:prstGeom>
                    <a:noFill/>
                    <a:ln>
                      <a:noFill/>
                    </a:ln>
                  </pic:spPr>
                </pic:pic>
              </a:graphicData>
            </a:graphic>
          </wp:inline>
        </w:drawing>
      </w:r>
      <w:r>
        <w:rPr>
          <w:noProof/>
        </w:rPr>
        <w:drawing>
          <wp:inline distT="0" distB="0" distL="0" distR="0" wp14:anchorId="1EE3DA78" wp14:editId="4F17E569">
            <wp:extent cx="1377106" cy="19568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stretch>
                      <a:fillRect/>
                    </a:stretch>
                  </pic:blipFill>
                  <pic:spPr bwMode="auto">
                    <a:xfrm>
                      <a:off x="0" y="0"/>
                      <a:ext cx="1377106" cy="1956816"/>
                    </a:xfrm>
                    <a:prstGeom prst="rect">
                      <a:avLst/>
                    </a:prstGeom>
                    <a:noFill/>
                    <a:ln>
                      <a:noFill/>
                    </a:ln>
                  </pic:spPr>
                </pic:pic>
              </a:graphicData>
            </a:graphic>
          </wp:inline>
        </w:drawing>
      </w:r>
      <w:r w:rsidRPr="00C100C1">
        <w:rPr>
          <w:noProof/>
          <w:lang w:val="en-GB"/>
        </w:rPr>
        <w:t xml:space="preserve"> </w:t>
      </w:r>
      <w:r>
        <w:rPr>
          <w:noProof/>
        </w:rPr>
        <w:drawing>
          <wp:inline distT="0" distB="0" distL="0" distR="0" wp14:anchorId="21D94348" wp14:editId="4AE58A76">
            <wp:extent cx="1377106" cy="19568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stretch>
                      <a:fillRect/>
                    </a:stretch>
                  </pic:blipFill>
                  <pic:spPr bwMode="auto">
                    <a:xfrm>
                      <a:off x="0" y="0"/>
                      <a:ext cx="1377106" cy="1956816"/>
                    </a:xfrm>
                    <a:prstGeom prst="rect">
                      <a:avLst/>
                    </a:prstGeom>
                    <a:noFill/>
                    <a:ln>
                      <a:noFill/>
                    </a:ln>
                  </pic:spPr>
                </pic:pic>
              </a:graphicData>
            </a:graphic>
          </wp:inline>
        </w:drawing>
      </w:r>
    </w:p>
    <w:p w14:paraId="7B5FFF5C" w14:textId="125EA4A9" w:rsidR="00661666" w:rsidRDefault="00661666" w:rsidP="00661666">
      <w:pPr>
        <w:pStyle w:val="CETBodytext"/>
        <w:spacing w:before="240" w:after="240"/>
        <w:jc w:val="center"/>
        <w:rPr>
          <w:lang w:val="en-GB"/>
        </w:rPr>
      </w:pPr>
      <w:r w:rsidRPr="003109F0">
        <w:rPr>
          <w:rStyle w:val="CETCaptionCarattere"/>
        </w:rPr>
        <w:t xml:space="preserve">Figure </w:t>
      </w:r>
      <w:r>
        <w:rPr>
          <w:rStyle w:val="CETCaptionCarattere"/>
        </w:rPr>
        <w:t>2</w:t>
      </w:r>
      <w:r w:rsidRPr="003109F0">
        <w:rPr>
          <w:rStyle w:val="CETCaptionCarattere"/>
        </w:rPr>
        <w:t xml:space="preserve">: </w:t>
      </w:r>
      <w:r>
        <w:rPr>
          <w:rStyle w:val="CETCaptionCarattere"/>
        </w:rPr>
        <w:t>Key infrastructural facilities in Qatar including a) roads network, b) electricity network, c) water network, and d) defined restricted areas</w:t>
      </w:r>
      <w:r w:rsidR="00BA5BE7">
        <w:rPr>
          <w:rStyle w:val="CETCaptionCarattere"/>
        </w:rPr>
        <w:t>.</w:t>
      </w:r>
    </w:p>
    <w:p w14:paraId="5D08E5EE" w14:textId="19E349E6" w:rsidR="008300FF" w:rsidRDefault="00EA7CAE" w:rsidP="001371C9">
      <w:pPr>
        <w:pStyle w:val="CETBodytext"/>
        <w:rPr>
          <w:lang w:val="en-GB"/>
        </w:rPr>
      </w:pPr>
      <w:r>
        <w:rPr>
          <w:lang w:val="en-GB"/>
        </w:rPr>
        <w:t xml:space="preserve">A </w:t>
      </w:r>
      <w:r w:rsidR="000F04B0">
        <w:rPr>
          <w:lang w:val="en-GB"/>
        </w:rPr>
        <w:t>composite suitability map optimising the</w:t>
      </w:r>
      <w:r w:rsidR="003D483D">
        <w:rPr>
          <w:lang w:val="en-GB"/>
        </w:rPr>
        <w:t xml:space="preserve"> </w:t>
      </w:r>
      <w:r w:rsidR="002D1CE8">
        <w:rPr>
          <w:lang w:val="en-GB"/>
        </w:rPr>
        <w:t>accessible area based on the three criteria maps is generated using the map algebra</w:t>
      </w:r>
      <w:r w:rsidR="006915A1">
        <w:rPr>
          <w:lang w:val="en-GB"/>
        </w:rPr>
        <w:t>ic</w:t>
      </w:r>
      <w:r w:rsidR="002D1CE8">
        <w:rPr>
          <w:lang w:val="en-GB"/>
        </w:rPr>
        <w:t xml:space="preserve"> </w:t>
      </w:r>
      <w:r w:rsidR="002C6ADA">
        <w:rPr>
          <w:lang w:val="en-GB"/>
        </w:rPr>
        <w:t xml:space="preserve">function of ArcGIS </w:t>
      </w:r>
      <w:r w:rsidR="009B17E8">
        <w:rPr>
          <w:lang w:val="en-GB"/>
        </w:rPr>
        <w:t>based on</w:t>
      </w:r>
      <w:r w:rsidR="002C6ADA">
        <w:rPr>
          <w:lang w:val="en-GB"/>
        </w:rPr>
        <w:t xml:space="preserve"> </w:t>
      </w:r>
      <w:proofErr w:type="gramStart"/>
      <w:r w:rsidR="002C6ADA">
        <w:rPr>
          <w:lang w:val="en-GB"/>
        </w:rPr>
        <w:t>Eq</w:t>
      </w:r>
      <w:r w:rsidR="008300FF">
        <w:rPr>
          <w:lang w:val="en-GB"/>
        </w:rPr>
        <w:t>(</w:t>
      </w:r>
      <w:proofErr w:type="gramEnd"/>
      <w:r w:rsidR="002C6ADA">
        <w:rPr>
          <w:lang w:val="en-GB"/>
        </w:rPr>
        <w:t>1</w:t>
      </w:r>
      <w:r w:rsidR="008300FF">
        <w:rPr>
          <w:lang w:val="en-GB"/>
        </w:rPr>
        <w:t>)</w:t>
      </w:r>
      <w:r w:rsidR="002C6ADA">
        <w:rPr>
          <w:lang w:val="en-GB"/>
        </w:rPr>
        <w:t>.</w:t>
      </w:r>
      <w:r w:rsidR="000F04B0">
        <w:rPr>
          <w:lang w:val="en-GB"/>
        </w:rPr>
        <w:t xml:space="preserve"> </w:t>
      </w:r>
    </w:p>
    <w:tbl>
      <w:tblPr>
        <w:tblW w:w="5000" w:type="pct"/>
        <w:tblLook w:val="04A0" w:firstRow="1" w:lastRow="0" w:firstColumn="1" w:lastColumn="0" w:noHBand="0" w:noVBand="1"/>
      </w:tblPr>
      <w:tblGrid>
        <w:gridCol w:w="7983"/>
        <w:gridCol w:w="804"/>
      </w:tblGrid>
      <w:tr w:rsidR="001371C9" w:rsidRPr="00B57B36" w14:paraId="7E9C9293" w14:textId="77777777" w:rsidTr="00251F54">
        <w:tc>
          <w:tcPr>
            <w:tcW w:w="7983" w:type="dxa"/>
            <w:shd w:val="clear" w:color="auto" w:fill="auto"/>
            <w:vAlign w:val="center"/>
          </w:tcPr>
          <w:p w14:paraId="15B9A618" w14:textId="59695730" w:rsidR="001371C9" w:rsidRDefault="00F44B22" w:rsidP="00343193">
            <w:pPr>
              <w:pStyle w:val="CETEquation"/>
              <w:rPr>
                <w:rFonts w:asciiTheme="minorBidi" w:hAnsiTheme="minorBidi" w:cstheme="minorBidi"/>
                <w:i/>
                <w:iCs/>
              </w:rPr>
            </w:pPr>
            <w:r w:rsidRPr="00F0444A">
              <w:rPr>
                <w:rFonts w:asciiTheme="minorBidi" w:hAnsiTheme="minorBidi" w:cstheme="minorBidi"/>
                <w:i/>
                <w:iCs/>
              </w:rPr>
              <w:t xml:space="preserve">Site suitability = </w:t>
            </w:r>
            <m:oMath>
              <m:nary>
                <m:naryPr>
                  <m:chr m:val="∑"/>
                  <m:limLoc m:val="undOvr"/>
                  <m:ctrlPr>
                    <w:rPr>
                      <w:rFonts w:ascii="Cambria Math" w:hAnsi="Cambria Math" w:cstheme="minorBidi"/>
                      <w:i/>
                      <w:iCs/>
                    </w:rPr>
                  </m:ctrlPr>
                </m:naryPr>
                <m:sub>
                  <m:r>
                    <w:rPr>
                      <w:rFonts w:ascii="Cambria Math" w:hAnsi="Cambria Math" w:cstheme="minorBidi"/>
                    </w:rPr>
                    <m:t>i=1</m:t>
                  </m:r>
                </m:sub>
                <m:sup>
                  <m:r>
                    <w:rPr>
                      <w:rFonts w:ascii="Cambria Math" w:hAnsi="Cambria Math" w:cstheme="minorBidi"/>
                    </w:rPr>
                    <m:t>3</m:t>
                  </m:r>
                </m:sup>
                <m:e>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RW</m:t>
                      </m:r>
                    </m:e>
                    <m:sub>
                      <m:r>
                        <w:rPr>
                          <w:rFonts w:ascii="Cambria Math" w:hAnsi="Cambria Math" w:cstheme="minorBidi"/>
                        </w:rPr>
                        <m:t>i</m:t>
                      </m:r>
                    </m:sub>
                  </m:sSub>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C</m:t>
                      </m:r>
                    </m:e>
                    <m:sub>
                      <m:r>
                        <w:rPr>
                          <w:rFonts w:ascii="Cambria Math" w:hAnsi="Cambria Math" w:cstheme="minorBidi"/>
                        </w:rPr>
                        <m:t>i</m:t>
                      </m:r>
                    </m:sub>
                  </m:sSub>
                  <m:r>
                    <w:rPr>
                      <w:rFonts w:ascii="Cambria Math" w:hAnsi="Cambria Math" w:cstheme="minorBidi"/>
                    </w:rPr>
                    <m:t>)</m:t>
                  </m:r>
                </m:e>
              </m:nary>
            </m:oMath>
            <w:r w:rsidRPr="00F0444A">
              <w:rPr>
                <w:rFonts w:asciiTheme="minorBidi" w:hAnsiTheme="minorBidi" w:cstheme="minorBidi"/>
                <w:i/>
                <w:iCs/>
              </w:rPr>
              <w:t xml:space="preserve">        </w:t>
            </w:r>
          </w:p>
          <w:p w14:paraId="0F2FE6D3" w14:textId="77777777" w:rsidR="00251F54" w:rsidRDefault="00251F54" w:rsidP="00251F54">
            <w:pPr>
              <w:pStyle w:val="CETBodytext"/>
              <w:rPr>
                <w:lang w:val="en-GB"/>
              </w:rPr>
            </w:pPr>
            <w:r w:rsidRPr="00251F54">
              <w:rPr>
                <w:lang w:val="en-GB"/>
              </w:rPr>
              <w:t xml:space="preserve">Where, </w:t>
            </w:r>
            <w:r w:rsidRPr="00251F54">
              <w:rPr>
                <w:i/>
                <w:iCs/>
                <w:lang w:val="en-GB"/>
              </w:rPr>
              <w:t>RW</w:t>
            </w:r>
            <w:r w:rsidRPr="00251F54">
              <w:rPr>
                <w:i/>
                <w:iCs/>
                <w:vertAlign w:val="subscript"/>
                <w:lang w:val="en-GB"/>
              </w:rPr>
              <w:t>i</w:t>
            </w:r>
            <w:r w:rsidRPr="00251F54">
              <w:rPr>
                <w:lang w:val="en-GB"/>
              </w:rPr>
              <w:t xml:space="preserve">: is the relative weight of criterion </w:t>
            </w:r>
            <w:r w:rsidRPr="00251F54">
              <w:rPr>
                <w:i/>
                <w:iCs/>
                <w:lang w:val="en-GB"/>
              </w:rPr>
              <w:t>C</w:t>
            </w:r>
            <w:r w:rsidRPr="00251F54">
              <w:rPr>
                <w:i/>
                <w:iCs/>
                <w:vertAlign w:val="subscript"/>
                <w:lang w:val="en-GB"/>
              </w:rPr>
              <w:t>i</w:t>
            </w:r>
            <w:r>
              <w:rPr>
                <w:lang w:val="en-GB"/>
              </w:rPr>
              <w:t>.</w:t>
            </w:r>
          </w:p>
          <w:p w14:paraId="44F7FFA3" w14:textId="2A07FADE" w:rsidR="007930AC" w:rsidRPr="00251F54" w:rsidRDefault="007930AC" w:rsidP="00251F54">
            <w:pPr>
              <w:pStyle w:val="CETBodytext"/>
              <w:rPr>
                <w:lang w:val="en-GB"/>
              </w:rPr>
            </w:pPr>
          </w:p>
        </w:tc>
        <w:tc>
          <w:tcPr>
            <w:tcW w:w="804" w:type="dxa"/>
            <w:shd w:val="clear" w:color="auto" w:fill="auto"/>
            <w:vAlign w:val="center"/>
          </w:tcPr>
          <w:p w14:paraId="654C01EB" w14:textId="77777777" w:rsidR="001371C9" w:rsidRDefault="001371C9" w:rsidP="00343193">
            <w:pPr>
              <w:pStyle w:val="CETEquation"/>
              <w:jc w:val="right"/>
            </w:pPr>
            <w:r w:rsidRPr="00B57B36">
              <w:t>(1)</w:t>
            </w:r>
          </w:p>
          <w:p w14:paraId="7916E6AE" w14:textId="507CF83C" w:rsidR="00251F54" w:rsidRPr="00251F54" w:rsidRDefault="00251F54" w:rsidP="00251F54">
            <w:pPr>
              <w:pStyle w:val="CETBodytext"/>
              <w:rPr>
                <w:lang w:val="en-GB"/>
              </w:rPr>
            </w:pPr>
          </w:p>
        </w:tc>
      </w:tr>
    </w:tbl>
    <w:p w14:paraId="144BA3D7" w14:textId="42405D12" w:rsidR="00DF1BE2" w:rsidRDefault="00D32E72" w:rsidP="00915410">
      <w:pPr>
        <w:pStyle w:val="CETBodytext"/>
        <w:rPr>
          <w:lang w:val="en-GB"/>
        </w:rPr>
      </w:pPr>
      <w:r>
        <w:rPr>
          <w:lang w:val="en-GB"/>
        </w:rPr>
        <w:t xml:space="preserve">The </w:t>
      </w:r>
      <w:r w:rsidR="00771974">
        <w:rPr>
          <w:lang w:val="en-GB"/>
        </w:rPr>
        <w:t xml:space="preserve">relative weight of each criterion </w:t>
      </w:r>
      <w:r w:rsidR="006B4632">
        <w:rPr>
          <w:lang w:val="en-GB"/>
        </w:rPr>
        <w:t xml:space="preserve">is estimated with the aid of the </w:t>
      </w:r>
      <w:r w:rsidR="00FB36EC">
        <w:rPr>
          <w:lang w:val="en-GB"/>
        </w:rPr>
        <w:t>a</w:t>
      </w:r>
      <w:r w:rsidR="006B4632">
        <w:rPr>
          <w:lang w:val="en-GB"/>
        </w:rPr>
        <w:t xml:space="preserve">nalytical </w:t>
      </w:r>
      <w:r w:rsidR="00FB36EC">
        <w:rPr>
          <w:lang w:val="en-GB"/>
        </w:rPr>
        <w:t>h</w:t>
      </w:r>
      <w:r w:rsidR="006B4632">
        <w:rPr>
          <w:lang w:val="en-GB"/>
        </w:rPr>
        <w:t xml:space="preserve">ierarchy </w:t>
      </w:r>
      <w:r w:rsidR="00FB36EC">
        <w:rPr>
          <w:lang w:val="en-GB"/>
        </w:rPr>
        <w:t>p</w:t>
      </w:r>
      <w:r w:rsidR="006B4632">
        <w:rPr>
          <w:lang w:val="en-GB"/>
        </w:rPr>
        <w:t>rocess (AHP)</w:t>
      </w:r>
      <w:r>
        <w:rPr>
          <w:lang w:val="en-GB"/>
        </w:rPr>
        <w:t xml:space="preserve"> </w:t>
      </w:r>
      <w:r w:rsidR="006B4632">
        <w:rPr>
          <w:lang w:val="en-GB"/>
        </w:rPr>
        <w:fldChar w:fldCharType="begin" w:fldLock="1"/>
      </w:r>
      <w:r w:rsidR="00ED14AA">
        <w:rPr>
          <w:lang w:val="en-GB"/>
        </w:rPr>
        <w:instrText>ADDIN CSL_CITATION {"citationItems":[{"id":"ITEM-1","itemData":{"ISSN":"1137-2141","author":[{"dropping-particle":"","family":"Saaty","given":"Thomas L","non-dropping-particle":"","parse-names":false,"suffix":""}],"container-title":"Revista de la Real Academia de Ciencias Exactas Fisicas y Naturales","id":"ITEM-1","issue":"4","issued":{"date-parts":[["1999"]]},"page":"395-423","title":"Basic theory of the analytic hierarchy process: How to make a decision.","type":"article-journal","volume":"93"},"uris":["http://www.mendeley.com/documents/?uuid=bb8b54db-cb1b-4201-b971-a7bac13a6c30"]}],"mendeley":{"formattedCitation":"(Saaty, 1999)","plainTextFormattedCitation":"(Saaty, 1999)","previouslyFormattedCitation":"(Saaty, 1999)"},"properties":{"noteIndex":0},"schema":"https://github.com/citation-style-language/schema/raw/master/csl-citation.json"}</w:instrText>
      </w:r>
      <w:r w:rsidR="006B4632">
        <w:rPr>
          <w:lang w:val="en-GB"/>
        </w:rPr>
        <w:fldChar w:fldCharType="separate"/>
      </w:r>
      <w:r w:rsidR="006B4632" w:rsidRPr="006B4632">
        <w:rPr>
          <w:noProof/>
          <w:lang w:val="en-GB"/>
        </w:rPr>
        <w:t>(Saaty, 1999)</w:t>
      </w:r>
      <w:r w:rsidR="006B4632">
        <w:rPr>
          <w:lang w:val="en-GB"/>
        </w:rPr>
        <w:fldChar w:fldCharType="end"/>
      </w:r>
      <w:r w:rsidR="00E01BDA">
        <w:rPr>
          <w:lang w:val="en-GB"/>
        </w:rPr>
        <w:t xml:space="preserve">, through which a pair-wise comparison table is developed </w:t>
      </w:r>
      <w:r w:rsidR="00661666">
        <w:rPr>
          <w:lang w:val="en-GB"/>
        </w:rPr>
        <w:t xml:space="preserve">(Table 1). </w:t>
      </w:r>
      <w:r w:rsidR="000E4B70">
        <w:rPr>
          <w:lang w:val="en-GB"/>
        </w:rPr>
        <w:t>Using AHP too</w:t>
      </w:r>
      <w:r w:rsidR="009B17E8">
        <w:rPr>
          <w:lang w:val="en-GB"/>
        </w:rPr>
        <w:t>l</w:t>
      </w:r>
      <w:r w:rsidR="000E4B70">
        <w:rPr>
          <w:lang w:val="en-GB"/>
        </w:rPr>
        <w:t xml:space="preserve">, both </w:t>
      </w:r>
      <w:r w:rsidR="000E4B70" w:rsidRPr="000E4B70">
        <w:rPr>
          <w:lang w:val="en-GB"/>
        </w:rPr>
        <w:t xml:space="preserve">qualitative and quantitative characteristics of the </w:t>
      </w:r>
      <w:r w:rsidR="009B17E8">
        <w:rPr>
          <w:lang w:val="en-GB"/>
        </w:rPr>
        <w:t>problem</w:t>
      </w:r>
      <w:r w:rsidR="000E4B70" w:rsidRPr="000E4B70">
        <w:rPr>
          <w:lang w:val="en-GB"/>
        </w:rPr>
        <w:t xml:space="preserve"> are collectively </w:t>
      </w:r>
      <w:r w:rsidR="00784F9A">
        <w:rPr>
          <w:lang w:val="en-GB"/>
        </w:rPr>
        <w:t>regarded.</w:t>
      </w:r>
    </w:p>
    <w:p w14:paraId="64C9E44B" w14:textId="51B886AC" w:rsidR="00771974" w:rsidRDefault="00F90DEB" w:rsidP="00915410">
      <w:pPr>
        <w:pStyle w:val="CETBodytext"/>
        <w:rPr>
          <w:lang w:val="en-GB"/>
        </w:rPr>
      </w:pPr>
      <w:r>
        <w:rPr>
          <w:lang w:val="en-GB"/>
        </w:rPr>
        <w:t xml:space="preserve">The pair-wise comparison is conducted through comparing </w:t>
      </w:r>
      <w:r w:rsidR="007C24F1">
        <w:rPr>
          <w:lang w:val="en-GB"/>
        </w:rPr>
        <w:t xml:space="preserve">each criterion in the left column to the criteria in </w:t>
      </w:r>
      <w:r w:rsidR="006915A1">
        <w:rPr>
          <w:lang w:val="en-GB"/>
        </w:rPr>
        <w:t xml:space="preserve">the </w:t>
      </w:r>
      <w:r w:rsidR="007C24F1">
        <w:rPr>
          <w:lang w:val="en-GB"/>
        </w:rPr>
        <w:t xml:space="preserve">top row in terms of relative importance </w:t>
      </w:r>
      <w:r w:rsidR="009B17E8">
        <w:rPr>
          <w:lang w:val="en-GB"/>
        </w:rPr>
        <w:t>for</w:t>
      </w:r>
      <w:r w:rsidR="007C24F1">
        <w:rPr>
          <w:lang w:val="en-GB"/>
        </w:rPr>
        <w:t xml:space="preserve"> the problem in hand. </w:t>
      </w:r>
      <w:r w:rsidR="003248F6">
        <w:rPr>
          <w:lang w:val="en-GB"/>
        </w:rPr>
        <w:t xml:space="preserve">A value from 1 to 9 is </w:t>
      </w:r>
      <w:r w:rsidR="006915A1">
        <w:rPr>
          <w:lang w:val="en-GB"/>
        </w:rPr>
        <w:t>allocated</w:t>
      </w:r>
      <w:r w:rsidR="003248F6">
        <w:rPr>
          <w:lang w:val="en-GB"/>
        </w:rPr>
        <w:t xml:space="preserve"> to indicate the relative importance, with 1 </w:t>
      </w:r>
      <w:r w:rsidR="004A7263">
        <w:rPr>
          <w:lang w:val="en-GB"/>
        </w:rPr>
        <w:t>indicating equal importance, and 9 indicating the highest importance gap between the criteria</w:t>
      </w:r>
      <w:r w:rsidR="00882520">
        <w:rPr>
          <w:lang w:val="en-GB"/>
        </w:rPr>
        <w:t xml:space="preserve"> pair</w:t>
      </w:r>
      <w:r w:rsidR="004A7263">
        <w:rPr>
          <w:lang w:val="en-GB"/>
        </w:rPr>
        <w:t xml:space="preserve">. </w:t>
      </w:r>
      <w:r w:rsidR="00F50ADA">
        <w:rPr>
          <w:lang w:val="en-GB"/>
        </w:rPr>
        <w:t xml:space="preserve">The pair-wise </w:t>
      </w:r>
      <w:r w:rsidR="00E06EC3">
        <w:rPr>
          <w:lang w:val="en-GB"/>
        </w:rPr>
        <w:t>matrix</w:t>
      </w:r>
      <w:r w:rsidR="00DC39B8">
        <w:rPr>
          <w:lang w:val="en-GB"/>
        </w:rPr>
        <w:t xml:space="preserve"> presented in Table 1</w:t>
      </w:r>
      <w:r w:rsidR="00F50ADA">
        <w:rPr>
          <w:lang w:val="en-GB"/>
        </w:rPr>
        <w:t xml:space="preserve"> is then normalised by dividing </w:t>
      </w:r>
      <w:r w:rsidR="00CC5ADA">
        <w:rPr>
          <w:lang w:val="en-GB"/>
        </w:rPr>
        <w:t xml:space="preserve">each cell by </w:t>
      </w:r>
      <w:r w:rsidR="00ED2C9D">
        <w:rPr>
          <w:lang w:val="en-GB"/>
        </w:rPr>
        <w:t xml:space="preserve">the </w:t>
      </w:r>
      <w:r w:rsidR="00C370AA">
        <w:rPr>
          <w:lang w:val="en-GB"/>
        </w:rPr>
        <w:t xml:space="preserve">column’s </w:t>
      </w:r>
      <w:r w:rsidR="00ED2C9D">
        <w:rPr>
          <w:lang w:val="en-GB"/>
        </w:rPr>
        <w:t>sum</w:t>
      </w:r>
      <w:r w:rsidR="00C370AA">
        <w:rPr>
          <w:lang w:val="en-GB"/>
        </w:rPr>
        <w:t>, in which the cell exist</w:t>
      </w:r>
      <w:r w:rsidR="00E06EC3">
        <w:rPr>
          <w:lang w:val="en-GB"/>
        </w:rPr>
        <w:t>s</w:t>
      </w:r>
      <w:r w:rsidR="00C370AA">
        <w:rPr>
          <w:lang w:val="en-GB"/>
        </w:rPr>
        <w:t>.</w:t>
      </w:r>
      <w:r w:rsidR="00ED2C9D">
        <w:rPr>
          <w:lang w:val="en-GB"/>
        </w:rPr>
        <w:t xml:space="preserve"> </w:t>
      </w:r>
      <w:r w:rsidR="00E06EC3">
        <w:rPr>
          <w:lang w:val="en-GB"/>
        </w:rPr>
        <w:t xml:space="preserve">Finally, the average </w:t>
      </w:r>
      <w:r w:rsidR="005E0026">
        <w:rPr>
          <w:lang w:val="en-GB"/>
        </w:rPr>
        <w:t xml:space="preserve">of each row in the </w:t>
      </w:r>
      <w:r w:rsidR="00E06EC3">
        <w:rPr>
          <w:lang w:val="en-GB"/>
        </w:rPr>
        <w:t xml:space="preserve">normalised pair-wise matrix </w:t>
      </w:r>
      <w:r w:rsidR="005E0026">
        <w:rPr>
          <w:lang w:val="en-GB"/>
        </w:rPr>
        <w:t xml:space="preserve">is calculated, which represents the relative weight of the corresponding </w:t>
      </w:r>
      <w:r w:rsidR="00E61289">
        <w:rPr>
          <w:lang w:val="en-GB"/>
        </w:rPr>
        <w:t xml:space="preserve">criterion. The consistency of </w:t>
      </w:r>
      <w:r w:rsidR="00282387">
        <w:rPr>
          <w:lang w:val="en-GB"/>
        </w:rPr>
        <w:t xml:space="preserve">the </w:t>
      </w:r>
      <w:r w:rsidR="00E61289">
        <w:rPr>
          <w:lang w:val="en-GB"/>
        </w:rPr>
        <w:t xml:space="preserve">estimated relative weights is tested </w:t>
      </w:r>
      <w:r w:rsidR="00ED14AA">
        <w:rPr>
          <w:lang w:val="en-GB"/>
        </w:rPr>
        <w:t xml:space="preserve">using the consistency ratio approach </w:t>
      </w:r>
      <w:r w:rsidR="00ED14AA">
        <w:rPr>
          <w:lang w:val="en-GB"/>
        </w:rPr>
        <w:fldChar w:fldCharType="begin" w:fldLock="1"/>
      </w:r>
      <w:r w:rsidR="00EF5692">
        <w:rPr>
          <w:lang w:val="en-GB"/>
        </w:rPr>
        <w:instrText>ADDIN CSL_CITATION {"citationItems":[{"id":"ITEM-1","itemData":{"author":[{"dropping-particle":"","family":"Saaty","given":"Thomas L","non-dropping-particle":"","parse-names":false,"suffix":""}],"container-title":"Mathematical models for decision support","id":"ITEM-1","issued":{"date-parts":[["1988"]]},"page":"109-121","publisher":"Springer","title":"What is the analytic hierarchy process?","type":"chapter"},"uris":["http://www.mendeley.com/documents/?uuid=0d788add-ed92-4374-ae32-d709774418f6"]}],"mendeley":{"formattedCitation":"(Saaty, 1988)","plainTextFormattedCitation":"(Saaty, 1988)","previouslyFormattedCitation":"(Saaty, 1988)"},"properties":{"noteIndex":0},"schema":"https://github.com/citation-style-language/schema/raw/master/csl-citation.json"}</w:instrText>
      </w:r>
      <w:r w:rsidR="00ED14AA">
        <w:rPr>
          <w:lang w:val="en-GB"/>
        </w:rPr>
        <w:fldChar w:fldCharType="separate"/>
      </w:r>
      <w:r w:rsidR="00ED14AA" w:rsidRPr="00ED14AA">
        <w:rPr>
          <w:noProof/>
          <w:lang w:val="en-GB"/>
        </w:rPr>
        <w:t>(Saaty, 1988)</w:t>
      </w:r>
      <w:r w:rsidR="00ED14AA">
        <w:rPr>
          <w:lang w:val="en-GB"/>
        </w:rPr>
        <w:fldChar w:fldCharType="end"/>
      </w:r>
      <w:r w:rsidR="00ED14AA">
        <w:rPr>
          <w:lang w:val="en-GB"/>
        </w:rPr>
        <w:t xml:space="preserve">. </w:t>
      </w:r>
      <w:r w:rsidR="00296CF2">
        <w:rPr>
          <w:lang w:val="en-GB"/>
        </w:rPr>
        <w:t xml:space="preserve">Consistency ratios below 10% </w:t>
      </w:r>
      <w:r w:rsidR="005B558B">
        <w:rPr>
          <w:lang w:val="en-GB"/>
        </w:rPr>
        <w:t xml:space="preserve">indicate a valid pair-wise comparison and reasonable </w:t>
      </w:r>
      <w:r w:rsidR="007930AC">
        <w:rPr>
          <w:lang w:val="en-GB"/>
        </w:rPr>
        <w:t>obtained criteria relative weights</w:t>
      </w:r>
      <w:r w:rsidR="005B558B">
        <w:rPr>
          <w:lang w:val="en-GB"/>
        </w:rPr>
        <w:t>.</w:t>
      </w:r>
    </w:p>
    <w:p w14:paraId="7E59C358" w14:textId="1C8AECCF" w:rsidR="000E34BC" w:rsidRDefault="00682A0F" w:rsidP="000E34BC">
      <w:pPr>
        <w:pStyle w:val="CETBodytext"/>
        <w:rPr>
          <w:lang w:val="en-GB"/>
        </w:rPr>
      </w:pPr>
      <w:r>
        <w:rPr>
          <w:lang w:val="en-GB"/>
        </w:rPr>
        <w:t xml:space="preserve">Furthermore, </w:t>
      </w:r>
      <w:r w:rsidR="00FB73F5">
        <w:rPr>
          <w:lang w:val="en-GB"/>
        </w:rPr>
        <w:t xml:space="preserve">several restricted areas are defined </w:t>
      </w:r>
      <w:r w:rsidR="0005748A">
        <w:rPr>
          <w:lang w:val="en-GB"/>
        </w:rPr>
        <w:t>to alleviate social and environmental</w:t>
      </w:r>
      <w:r w:rsidR="00E44206">
        <w:rPr>
          <w:lang w:val="en-GB"/>
        </w:rPr>
        <w:t xml:space="preserve"> </w:t>
      </w:r>
      <w:r w:rsidR="00282387">
        <w:rPr>
          <w:lang w:val="en-GB"/>
        </w:rPr>
        <w:t xml:space="preserve">concerns </w:t>
      </w:r>
      <w:r w:rsidR="00E44206">
        <w:rPr>
          <w:lang w:val="en-GB"/>
        </w:rPr>
        <w:t xml:space="preserve">as illustrated in Figure </w:t>
      </w:r>
      <w:r w:rsidR="00AA25C9">
        <w:rPr>
          <w:lang w:val="en-GB"/>
        </w:rPr>
        <w:t>2</w:t>
      </w:r>
      <w:r w:rsidR="00E44206">
        <w:rPr>
          <w:lang w:val="en-GB"/>
        </w:rPr>
        <w:t>d</w:t>
      </w:r>
      <w:r w:rsidR="0005748A">
        <w:rPr>
          <w:lang w:val="en-GB"/>
        </w:rPr>
        <w:t xml:space="preserve">. Whereby all </w:t>
      </w:r>
      <w:r w:rsidR="00334666">
        <w:rPr>
          <w:lang w:val="en-GB"/>
        </w:rPr>
        <w:t xml:space="preserve">settlements </w:t>
      </w:r>
      <w:r w:rsidR="00AA25C9">
        <w:rPr>
          <w:lang w:val="en-GB"/>
        </w:rPr>
        <w:t xml:space="preserve">and </w:t>
      </w:r>
      <w:r w:rsidR="00334666">
        <w:rPr>
          <w:lang w:val="en-GB"/>
        </w:rPr>
        <w:t xml:space="preserve">agricultural </w:t>
      </w:r>
      <w:r w:rsidR="00AA25C9">
        <w:rPr>
          <w:lang w:val="en-GB"/>
        </w:rPr>
        <w:t>areas</w:t>
      </w:r>
      <w:r w:rsidR="00BB60BD">
        <w:rPr>
          <w:lang w:val="en-GB"/>
        </w:rPr>
        <w:t xml:space="preserve"> are</w:t>
      </w:r>
      <w:r w:rsidR="00AA25C9">
        <w:rPr>
          <w:lang w:val="en-GB"/>
        </w:rPr>
        <w:t xml:space="preserve"> </w:t>
      </w:r>
      <w:r w:rsidR="00BB60BD">
        <w:rPr>
          <w:lang w:val="en-GB"/>
        </w:rPr>
        <w:t>restricted</w:t>
      </w:r>
      <w:r w:rsidR="00AA25C9">
        <w:rPr>
          <w:lang w:val="en-GB"/>
        </w:rPr>
        <w:t xml:space="preserve"> with</w:t>
      </w:r>
      <w:r w:rsidR="00BB60BD">
        <w:rPr>
          <w:lang w:val="en-GB"/>
        </w:rPr>
        <w:t xml:space="preserve"> an additional</w:t>
      </w:r>
      <w:r w:rsidR="00AA25C9">
        <w:rPr>
          <w:lang w:val="en-GB"/>
        </w:rPr>
        <w:t xml:space="preserve"> 1 km buffer zone beyond</w:t>
      </w:r>
      <w:r w:rsidR="00BB60BD">
        <w:rPr>
          <w:lang w:val="en-GB"/>
        </w:rPr>
        <w:t xml:space="preserve"> them</w:t>
      </w:r>
      <w:r w:rsidR="00AA25C9">
        <w:rPr>
          <w:lang w:val="en-GB"/>
        </w:rPr>
        <w:t>.</w:t>
      </w:r>
      <w:r w:rsidR="00BB60BD">
        <w:rPr>
          <w:lang w:val="en-GB"/>
        </w:rPr>
        <w:t xml:space="preserve"> Besides, natural reserves and Qatar Energy </w:t>
      </w:r>
      <w:r w:rsidR="00701A76">
        <w:rPr>
          <w:lang w:val="en-GB"/>
        </w:rPr>
        <w:t xml:space="preserve">concessions area </w:t>
      </w:r>
      <w:r w:rsidR="00BB60BD">
        <w:rPr>
          <w:lang w:val="en-GB"/>
        </w:rPr>
        <w:t xml:space="preserve">(formerly known as Qatar </w:t>
      </w:r>
      <w:r w:rsidR="00701A76">
        <w:rPr>
          <w:lang w:val="en-GB"/>
        </w:rPr>
        <w:t>Petroleum) are completely restricted to avoid being selected in the process.</w:t>
      </w:r>
      <w:r w:rsidR="000E34BC">
        <w:rPr>
          <w:lang w:val="en-GB"/>
        </w:rPr>
        <w:t xml:space="preserve"> </w:t>
      </w:r>
    </w:p>
    <w:p w14:paraId="452800C7" w14:textId="5BD7D455" w:rsidR="005C4ADC" w:rsidRDefault="000E34BC" w:rsidP="000E34BC">
      <w:pPr>
        <w:pStyle w:val="CETBodytext"/>
        <w:rPr>
          <w:lang w:val="en-GB"/>
        </w:rPr>
      </w:pPr>
      <w:r>
        <w:rPr>
          <w:lang w:val="en-GB"/>
        </w:rPr>
        <w:t xml:space="preserve">The </w:t>
      </w:r>
      <w:r w:rsidR="00A512BF">
        <w:rPr>
          <w:lang w:val="en-GB"/>
        </w:rPr>
        <w:t xml:space="preserve">obtained </w:t>
      </w:r>
      <w:r w:rsidR="005F08E3">
        <w:rPr>
          <w:lang w:val="en-GB"/>
        </w:rPr>
        <w:t xml:space="preserve">final </w:t>
      </w:r>
      <w:r w:rsidR="00A512BF">
        <w:rPr>
          <w:lang w:val="en-GB"/>
        </w:rPr>
        <w:t xml:space="preserve">composite infrastructural criteria map is </w:t>
      </w:r>
      <w:r w:rsidR="00FC2C77" w:rsidRPr="00FC2C77">
        <w:rPr>
          <w:lang w:val="en-GB"/>
        </w:rPr>
        <w:t>reclassified</w:t>
      </w:r>
      <w:r w:rsidR="00FC2C77">
        <w:rPr>
          <w:lang w:val="en-GB"/>
        </w:rPr>
        <w:t xml:space="preserve"> </w:t>
      </w:r>
      <w:r w:rsidR="00473F88">
        <w:rPr>
          <w:lang w:val="en-GB"/>
        </w:rPr>
        <w:t xml:space="preserve">into 10 classes of suitability, with classes 9 and 10 representing </w:t>
      </w:r>
      <w:r w:rsidR="008E51C0">
        <w:rPr>
          <w:lang w:val="en-GB"/>
        </w:rPr>
        <w:t xml:space="preserve">the highly suitable areas for biorefinery </w:t>
      </w:r>
      <w:r w:rsidR="001F08DF">
        <w:rPr>
          <w:lang w:val="en-GB"/>
        </w:rPr>
        <w:t xml:space="preserve">establishment. </w:t>
      </w:r>
      <w:r w:rsidR="008526D6">
        <w:rPr>
          <w:lang w:val="en-GB"/>
        </w:rPr>
        <w:t>A fishnet of nodes</w:t>
      </w:r>
      <w:r w:rsidR="00FB36EC">
        <w:rPr>
          <w:lang w:val="en-GB"/>
        </w:rPr>
        <w:t>’</w:t>
      </w:r>
      <w:r w:rsidR="008526D6">
        <w:rPr>
          <w:lang w:val="en-GB"/>
        </w:rPr>
        <w:t xml:space="preserve"> </w:t>
      </w:r>
      <w:r w:rsidR="00335A95">
        <w:rPr>
          <w:lang w:val="en-GB"/>
        </w:rPr>
        <w:t xml:space="preserve">matrix </w:t>
      </w:r>
      <w:r w:rsidR="008526D6">
        <w:rPr>
          <w:lang w:val="en-GB"/>
        </w:rPr>
        <w:t xml:space="preserve">with </w:t>
      </w:r>
      <w:r w:rsidR="00421A1E">
        <w:rPr>
          <w:lang w:val="en-GB"/>
        </w:rPr>
        <w:t>(</w:t>
      </w:r>
      <w:r w:rsidR="008526D6">
        <w:rPr>
          <w:lang w:val="en-GB"/>
        </w:rPr>
        <w:t>1x1 km</w:t>
      </w:r>
      <w:r w:rsidR="00421A1E">
        <w:rPr>
          <w:lang w:val="en-GB"/>
        </w:rPr>
        <w:t>)</w:t>
      </w:r>
      <w:r w:rsidR="008526D6">
        <w:rPr>
          <w:lang w:val="en-GB"/>
        </w:rPr>
        <w:t xml:space="preserve"> actual spacing </w:t>
      </w:r>
      <w:r w:rsidR="00C838AE">
        <w:rPr>
          <w:lang w:val="en-GB"/>
        </w:rPr>
        <w:t>is created over the composite suitability map, whereby the value of each node is extracted</w:t>
      </w:r>
      <w:r w:rsidR="00335A95">
        <w:rPr>
          <w:lang w:val="en-GB"/>
        </w:rPr>
        <w:t xml:space="preserve"> based on its position in the map. All nodes </w:t>
      </w:r>
      <w:r w:rsidR="009C6E89">
        <w:rPr>
          <w:lang w:val="en-GB"/>
        </w:rPr>
        <w:t>that scored (</w:t>
      </w:r>
      <w:r w:rsidR="0087344C">
        <w:rPr>
          <w:rFonts w:cs="Arial"/>
          <w:lang w:val="en-GB"/>
        </w:rPr>
        <w:t>≥</w:t>
      </w:r>
      <w:r w:rsidR="009C6E89">
        <w:rPr>
          <w:lang w:val="en-GB"/>
        </w:rPr>
        <w:t xml:space="preserve">9) </w:t>
      </w:r>
      <w:r w:rsidR="0087344C">
        <w:rPr>
          <w:lang w:val="en-GB"/>
        </w:rPr>
        <w:t>are</w:t>
      </w:r>
      <w:r w:rsidR="009C6E89">
        <w:rPr>
          <w:lang w:val="en-GB"/>
        </w:rPr>
        <w:t xml:space="preserve"> considered as initial </w:t>
      </w:r>
      <w:r w:rsidR="006915A1">
        <w:rPr>
          <w:lang w:val="en-GB"/>
        </w:rPr>
        <w:t xml:space="preserve">potential </w:t>
      </w:r>
      <w:r w:rsidR="009C6E89">
        <w:rPr>
          <w:lang w:val="en-GB"/>
        </w:rPr>
        <w:t>candidate sites</w:t>
      </w:r>
      <w:r w:rsidR="0087344C">
        <w:rPr>
          <w:lang w:val="en-GB"/>
        </w:rPr>
        <w:t>, while the remaining nodes are excluded from the process.</w:t>
      </w:r>
    </w:p>
    <w:p w14:paraId="1B7F6649" w14:textId="0AC0E987" w:rsidR="00FC46BE" w:rsidRPr="00B57B36" w:rsidRDefault="00FC46BE" w:rsidP="00FC46BE">
      <w:pPr>
        <w:pStyle w:val="CETTabletitle"/>
      </w:pPr>
      <w:r w:rsidRPr="00B57B36">
        <w:t xml:space="preserve">Table 1: </w:t>
      </w:r>
      <w:r>
        <w:t>AHP’s</w:t>
      </w:r>
      <w:r w:rsidRPr="00C654DF">
        <w:t xml:space="preserve"> pair-wise comparison matrix</w:t>
      </w:r>
      <w:r>
        <w:t xml:space="preserve"> of identified infrastructur</w:t>
      </w:r>
      <w:r w:rsidR="00DE1011">
        <w:t>al</w:t>
      </w:r>
      <w:r>
        <w:t xml:space="preserve"> criteria</w:t>
      </w:r>
      <w:r w:rsidRPr="00C654DF">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0"/>
        <w:gridCol w:w="1710"/>
        <w:gridCol w:w="2070"/>
        <w:gridCol w:w="1620"/>
      </w:tblGrid>
      <w:tr w:rsidR="00FC46BE" w:rsidRPr="00B57B36" w14:paraId="27856B9D" w14:textId="77777777" w:rsidTr="00343193">
        <w:tc>
          <w:tcPr>
            <w:tcW w:w="1980" w:type="dxa"/>
            <w:tcBorders>
              <w:top w:val="single" w:sz="12" w:space="0" w:color="008000"/>
              <w:bottom w:val="single" w:sz="6" w:space="0" w:color="008000"/>
            </w:tcBorders>
            <w:shd w:val="clear" w:color="auto" w:fill="FFFFFF"/>
          </w:tcPr>
          <w:p w14:paraId="0183C255" w14:textId="77777777" w:rsidR="00FC46BE" w:rsidRPr="00B57B36" w:rsidRDefault="00FC46BE" w:rsidP="00343193">
            <w:pPr>
              <w:pStyle w:val="CETBodytext"/>
              <w:rPr>
                <w:lang w:val="en-GB"/>
              </w:rPr>
            </w:pPr>
          </w:p>
        </w:tc>
        <w:tc>
          <w:tcPr>
            <w:tcW w:w="1710" w:type="dxa"/>
            <w:tcBorders>
              <w:top w:val="single" w:sz="12" w:space="0" w:color="008000"/>
              <w:bottom w:val="single" w:sz="6" w:space="0" w:color="008000"/>
            </w:tcBorders>
            <w:shd w:val="clear" w:color="auto" w:fill="FFFFFF"/>
          </w:tcPr>
          <w:p w14:paraId="36C2F91E" w14:textId="77777777" w:rsidR="00FC46BE" w:rsidRPr="00B57B36" w:rsidRDefault="00FC46BE" w:rsidP="00343193">
            <w:pPr>
              <w:pStyle w:val="CETBodytext"/>
              <w:rPr>
                <w:lang w:val="en-GB"/>
              </w:rPr>
            </w:pPr>
            <w:r w:rsidRPr="00C22F9B">
              <w:t>Road</w:t>
            </w:r>
            <w:r>
              <w:t xml:space="preserve"> network</w:t>
            </w:r>
          </w:p>
        </w:tc>
        <w:tc>
          <w:tcPr>
            <w:tcW w:w="2070" w:type="dxa"/>
            <w:tcBorders>
              <w:top w:val="single" w:sz="12" w:space="0" w:color="008000"/>
              <w:bottom w:val="single" w:sz="6" w:space="0" w:color="008000"/>
            </w:tcBorders>
            <w:shd w:val="clear" w:color="auto" w:fill="FFFFFF"/>
          </w:tcPr>
          <w:p w14:paraId="70DBBD40" w14:textId="77777777" w:rsidR="00FC46BE" w:rsidRPr="00B57B36" w:rsidRDefault="00FC46BE" w:rsidP="00343193">
            <w:pPr>
              <w:pStyle w:val="CETBodytext"/>
              <w:rPr>
                <w:lang w:val="en-GB"/>
              </w:rPr>
            </w:pPr>
            <w:r w:rsidRPr="00C22F9B">
              <w:t>Electricity</w:t>
            </w:r>
            <w:r>
              <w:t xml:space="preserve"> network</w:t>
            </w:r>
          </w:p>
        </w:tc>
        <w:tc>
          <w:tcPr>
            <w:tcW w:w="1620" w:type="dxa"/>
            <w:tcBorders>
              <w:top w:val="single" w:sz="12" w:space="0" w:color="008000"/>
              <w:bottom w:val="single" w:sz="6" w:space="0" w:color="008000"/>
            </w:tcBorders>
            <w:shd w:val="clear" w:color="auto" w:fill="FFFFFF"/>
          </w:tcPr>
          <w:p w14:paraId="38F84540" w14:textId="77777777" w:rsidR="00FC46BE" w:rsidRPr="00B57B36" w:rsidRDefault="00FC46BE" w:rsidP="00343193">
            <w:pPr>
              <w:pStyle w:val="CETBodytext"/>
              <w:ind w:right="-1"/>
              <w:rPr>
                <w:rFonts w:cs="Arial"/>
                <w:szCs w:val="18"/>
                <w:lang w:val="en-GB"/>
              </w:rPr>
            </w:pPr>
            <w:r w:rsidRPr="00C22F9B">
              <w:t>Water</w:t>
            </w:r>
            <w:r>
              <w:t xml:space="preserve"> network</w:t>
            </w:r>
          </w:p>
        </w:tc>
      </w:tr>
      <w:tr w:rsidR="00FC46BE" w:rsidRPr="00B57B36" w14:paraId="6A49E05D" w14:textId="77777777" w:rsidTr="00343193">
        <w:tc>
          <w:tcPr>
            <w:tcW w:w="1980" w:type="dxa"/>
            <w:shd w:val="clear" w:color="auto" w:fill="FFFFFF"/>
          </w:tcPr>
          <w:p w14:paraId="447E24D3" w14:textId="77777777" w:rsidR="00FC46BE" w:rsidRPr="00B57B36" w:rsidRDefault="00FC46BE" w:rsidP="00343193">
            <w:pPr>
              <w:pStyle w:val="CETBodytext"/>
              <w:rPr>
                <w:lang w:val="en-GB"/>
              </w:rPr>
            </w:pPr>
            <w:r w:rsidRPr="00C22F9B">
              <w:t>Road</w:t>
            </w:r>
            <w:r>
              <w:t xml:space="preserve"> network</w:t>
            </w:r>
          </w:p>
        </w:tc>
        <w:tc>
          <w:tcPr>
            <w:tcW w:w="1710" w:type="dxa"/>
            <w:shd w:val="clear" w:color="auto" w:fill="FFFFFF"/>
          </w:tcPr>
          <w:p w14:paraId="365794BC" w14:textId="77777777" w:rsidR="00FC46BE" w:rsidRPr="00B57B36" w:rsidRDefault="00FC46BE" w:rsidP="00343193">
            <w:pPr>
              <w:pStyle w:val="CETBodytext"/>
              <w:rPr>
                <w:lang w:val="en-GB"/>
              </w:rPr>
            </w:pPr>
            <w:r w:rsidRPr="00C22F9B">
              <w:t>1.00</w:t>
            </w:r>
          </w:p>
        </w:tc>
        <w:tc>
          <w:tcPr>
            <w:tcW w:w="2070" w:type="dxa"/>
            <w:shd w:val="clear" w:color="auto" w:fill="FFFFFF"/>
          </w:tcPr>
          <w:p w14:paraId="58F1C138" w14:textId="77777777" w:rsidR="00FC46BE" w:rsidRPr="00B57B36" w:rsidRDefault="00FC46BE" w:rsidP="00343193">
            <w:pPr>
              <w:pStyle w:val="CETBodytext"/>
              <w:rPr>
                <w:lang w:val="en-GB"/>
              </w:rPr>
            </w:pPr>
            <w:r w:rsidRPr="00C22F9B">
              <w:t>3.00</w:t>
            </w:r>
          </w:p>
        </w:tc>
        <w:tc>
          <w:tcPr>
            <w:tcW w:w="1620" w:type="dxa"/>
            <w:shd w:val="clear" w:color="auto" w:fill="FFFFFF"/>
          </w:tcPr>
          <w:p w14:paraId="4D8E61C7" w14:textId="77777777" w:rsidR="00FC46BE" w:rsidRPr="00B57B36" w:rsidRDefault="00FC46BE" w:rsidP="00343193">
            <w:pPr>
              <w:pStyle w:val="CETBodytext"/>
              <w:ind w:right="-1"/>
              <w:rPr>
                <w:rFonts w:cs="Arial"/>
                <w:szCs w:val="18"/>
                <w:lang w:val="en-GB"/>
              </w:rPr>
            </w:pPr>
            <w:r w:rsidRPr="00C22F9B">
              <w:t>5.00</w:t>
            </w:r>
          </w:p>
        </w:tc>
      </w:tr>
      <w:tr w:rsidR="00FC46BE" w:rsidRPr="00B57B36" w14:paraId="0B5D2D6E" w14:textId="77777777" w:rsidTr="00343193">
        <w:tc>
          <w:tcPr>
            <w:tcW w:w="1980" w:type="dxa"/>
            <w:shd w:val="clear" w:color="auto" w:fill="FFFFFF"/>
          </w:tcPr>
          <w:p w14:paraId="2F313E28" w14:textId="77777777" w:rsidR="00FC46BE" w:rsidRPr="00B57B36" w:rsidRDefault="00FC46BE" w:rsidP="00343193">
            <w:pPr>
              <w:pStyle w:val="CETBodytext"/>
              <w:rPr>
                <w:lang w:val="en-GB"/>
              </w:rPr>
            </w:pPr>
            <w:r w:rsidRPr="00C22F9B">
              <w:t>Electricity</w:t>
            </w:r>
            <w:r>
              <w:t xml:space="preserve"> network</w:t>
            </w:r>
          </w:p>
        </w:tc>
        <w:tc>
          <w:tcPr>
            <w:tcW w:w="1710" w:type="dxa"/>
            <w:shd w:val="clear" w:color="auto" w:fill="FFFFFF"/>
          </w:tcPr>
          <w:p w14:paraId="0F2A4D5D" w14:textId="77777777" w:rsidR="00FC46BE" w:rsidRPr="00B57B36" w:rsidRDefault="00FC46BE" w:rsidP="00343193">
            <w:pPr>
              <w:pStyle w:val="CETBodytext"/>
              <w:rPr>
                <w:lang w:val="en-GB"/>
              </w:rPr>
            </w:pPr>
            <w:r w:rsidRPr="00C22F9B">
              <w:t>0.33</w:t>
            </w:r>
          </w:p>
        </w:tc>
        <w:tc>
          <w:tcPr>
            <w:tcW w:w="2070" w:type="dxa"/>
            <w:shd w:val="clear" w:color="auto" w:fill="FFFFFF"/>
          </w:tcPr>
          <w:p w14:paraId="64E6B18A" w14:textId="77777777" w:rsidR="00FC46BE" w:rsidRPr="00B57B36" w:rsidRDefault="00FC46BE" w:rsidP="00343193">
            <w:pPr>
              <w:pStyle w:val="CETBodytext"/>
              <w:rPr>
                <w:lang w:val="en-GB"/>
              </w:rPr>
            </w:pPr>
            <w:r w:rsidRPr="00C22F9B">
              <w:t>1.00</w:t>
            </w:r>
          </w:p>
        </w:tc>
        <w:tc>
          <w:tcPr>
            <w:tcW w:w="1620" w:type="dxa"/>
            <w:shd w:val="clear" w:color="auto" w:fill="FFFFFF"/>
          </w:tcPr>
          <w:p w14:paraId="0135E34A" w14:textId="77777777" w:rsidR="00FC46BE" w:rsidRPr="00B57B36" w:rsidRDefault="00FC46BE" w:rsidP="00343193">
            <w:pPr>
              <w:pStyle w:val="CETBodytext"/>
              <w:ind w:right="-1"/>
              <w:rPr>
                <w:rFonts w:cs="Arial"/>
                <w:szCs w:val="18"/>
                <w:lang w:val="en-GB"/>
              </w:rPr>
            </w:pPr>
            <w:r w:rsidRPr="00C22F9B">
              <w:t>3.00</w:t>
            </w:r>
          </w:p>
        </w:tc>
      </w:tr>
      <w:tr w:rsidR="00FC46BE" w:rsidRPr="00B57B36" w14:paraId="27399931" w14:textId="77777777" w:rsidTr="00343193">
        <w:tc>
          <w:tcPr>
            <w:tcW w:w="1980" w:type="dxa"/>
            <w:shd w:val="clear" w:color="auto" w:fill="FFFFFF"/>
          </w:tcPr>
          <w:p w14:paraId="10A49A80" w14:textId="77777777" w:rsidR="00FC46BE" w:rsidRPr="00B57B36" w:rsidRDefault="00FC46BE" w:rsidP="00343193">
            <w:pPr>
              <w:pStyle w:val="CETBodytext"/>
              <w:ind w:right="-1"/>
              <w:rPr>
                <w:rFonts w:cs="Arial"/>
                <w:szCs w:val="18"/>
                <w:lang w:val="en-GB"/>
              </w:rPr>
            </w:pPr>
            <w:r w:rsidRPr="00C22F9B">
              <w:t>Water</w:t>
            </w:r>
            <w:r>
              <w:t xml:space="preserve"> network</w:t>
            </w:r>
          </w:p>
        </w:tc>
        <w:tc>
          <w:tcPr>
            <w:tcW w:w="1710" w:type="dxa"/>
            <w:shd w:val="clear" w:color="auto" w:fill="FFFFFF"/>
          </w:tcPr>
          <w:p w14:paraId="15C7CEB2" w14:textId="77777777" w:rsidR="00FC46BE" w:rsidRPr="00B57B36" w:rsidRDefault="00FC46BE" w:rsidP="00343193">
            <w:pPr>
              <w:pStyle w:val="CETBodytext"/>
              <w:ind w:right="-1"/>
              <w:rPr>
                <w:rFonts w:cs="Arial"/>
                <w:szCs w:val="18"/>
                <w:lang w:val="en-GB"/>
              </w:rPr>
            </w:pPr>
            <w:r w:rsidRPr="00C22F9B">
              <w:t>0.20</w:t>
            </w:r>
          </w:p>
        </w:tc>
        <w:tc>
          <w:tcPr>
            <w:tcW w:w="2070" w:type="dxa"/>
            <w:shd w:val="clear" w:color="auto" w:fill="FFFFFF"/>
          </w:tcPr>
          <w:p w14:paraId="2D51489C" w14:textId="77777777" w:rsidR="00FC46BE" w:rsidRPr="00B57B36" w:rsidRDefault="00FC46BE" w:rsidP="00343193">
            <w:pPr>
              <w:pStyle w:val="CETBodytext"/>
              <w:ind w:right="-1"/>
              <w:rPr>
                <w:rFonts w:cs="Arial"/>
                <w:szCs w:val="18"/>
                <w:lang w:val="en-GB"/>
              </w:rPr>
            </w:pPr>
            <w:r w:rsidRPr="00C22F9B">
              <w:t>0.33</w:t>
            </w:r>
          </w:p>
        </w:tc>
        <w:tc>
          <w:tcPr>
            <w:tcW w:w="1620" w:type="dxa"/>
            <w:shd w:val="clear" w:color="auto" w:fill="FFFFFF"/>
          </w:tcPr>
          <w:p w14:paraId="225B64E0" w14:textId="77777777" w:rsidR="00FC46BE" w:rsidRPr="00B57B36" w:rsidRDefault="00FC46BE" w:rsidP="00343193">
            <w:pPr>
              <w:pStyle w:val="CETBodytext"/>
              <w:ind w:right="-1"/>
              <w:rPr>
                <w:rFonts w:cs="Arial"/>
                <w:szCs w:val="18"/>
                <w:lang w:val="en-GB"/>
              </w:rPr>
            </w:pPr>
            <w:r w:rsidRPr="00C22F9B">
              <w:t>1.00</w:t>
            </w:r>
          </w:p>
        </w:tc>
      </w:tr>
    </w:tbl>
    <w:p w14:paraId="39464F37" w14:textId="5FCBEED9" w:rsidR="006075AB" w:rsidRPr="00B57B36" w:rsidRDefault="004068C2" w:rsidP="006075AB">
      <w:pPr>
        <w:pStyle w:val="CETheadingx"/>
      </w:pPr>
      <w:r>
        <w:lastRenderedPageBreak/>
        <w:t>Optimal s</w:t>
      </w:r>
      <w:r w:rsidR="006075AB">
        <w:t>ite selection</w:t>
      </w:r>
      <w:r w:rsidR="0023157C">
        <w:t xml:space="preserve"> </w:t>
      </w:r>
    </w:p>
    <w:p w14:paraId="5959B2B1" w14:textId="7B7DE68B" w:rsidR="006075AB" w:rsidRDefault="00BD64C1" w:rsidP="006075AB">
      <w:pPr>
        <w:pStyle w:val="CETBodytext"/>
        <w:rPr>
          <w:lang w:val="en-GB"/>
        </w:rPr>
      </w:pPr>
      <w:r>
        <w:rPr>
          <w:lang w:val="en-GB"/>
        </w:rPr>
        <w:t xml:space="preserve">The final stage of siting optimisation process is </w:t>
      </w:r>
      <w:r w:rsidR="0009074D">
        <w:rPr>
          <w:lang w:val="en-GB"/>
        </w:rPr>
        <w:t xml:space="preserve">established using the location-allocation function of ArcGIS considering the previously obtained candidate sites with reference to </w:t>
      </w:r>
      <w:r w:rsidR="00C65182">
        <w:rPr>
          <w:lang w:val="en-GB"/>
        </w:rPr>
        <w:t xml:space="preserve">biomass spatial distribution, potential gross calorific value and </w:t>
      </w:r>
      <w:r w:rsidR="00036548">
        <w:rPr>
          <w:lang w:val="en-GB"/>
        </w:rPr>
        <w:t>associated</w:t>
      </w:r>
      <w:r w:rsidR="00AA074B">
        <w:rPr>
          <w:lang w:val="en-GB"/>
        </w:rPr>
        <w:t xml:space="preserve"> costs of their transportation </w:t>
      </w:r>
      <w:r w:rsidR="00036548">
        <w:rPr>
          <w:lang w:val="en-GB"/>
        </w:rPr>
        <w:t>in</w:t>
      </w:r>
      <w:r w:rsidR="00AA074B">
        <w:rPr>
          <w:lang w:val="en-GB"/>
        </w:rPr>
        <w:t xml:space="preserve">to the biorefinery.  </w:t>
      </w:r>
    </w:p>
    <w:p w14:paraId="520114DB" w14:textId="4B3E40B5" w:rsidR="00A74EBF" w:rsidRDefault="00B36AC3" w:rsidP="00453E24">
      <w:pPr>
        <w:pStyle w:val="CETBodytext"/>
      </w:pPr>
      <w:r>
        <w:t xml:space="preserve">The biomass transportation cost is evaluated using </w:t>
      </w:r>
      <w:proofErr w:type="gramStart"/>
      <w:r>
        <w:t>Eq(</w:t>
      </w:r>
      <w:proofErr w:type="gramEnd"/>
      <w:r>
        <w:t>2):</w:t>
      </w:r>
    </w:p>
    <w:tbl>
      <w:tblPr>
        <w:tblW w:w="5000" w:type="pct"/>
        <w:tblLook w:val="04A0" w:firstRow="1" w:lastRow="0" w:firstColumn="1" w:lastColumn="0" w:noHBand="0" w:noVBand="1"/>
      </w:tblPr>
      <w:tblGrid>
        <w:gridCol w:w="7983"/>
        <w:gridCol w:w="804"/>
      </w:tblGrid>
      <w:tr w:rsidR="001F27B2" w:rsidRPr="00B57B36" w14:paraId="1CC264BC" w14:textId="77777777" w:rsidTr="00343193">
        <w:tc>
          <w:tcPr>
            <w:tcW w:w="7983" w:type="dxa"/>
            <w:shd w:val="clear" w:color="auto" w:fill="auto"/>
            <w:vAlign w:val="center"/>
          </w:tcPr>
          <w:p w14:paraId="133CA835" w14:textId="349222D6" w:rsidR="001F27B2" w:rsidRDefault="00D30BC5" w:rsidP="00343193">
            <w:pPr>
              <w:pStyle w:val="CETEquation"/>
              <w:rPr>
                <w:rFonts w:asciiTheme="minorBidi" w:hAnsiTheme="minorBidi" w:cstheme="minorBidi"/>
                <w:i/>
                <w:iCs/>
              </w:rPr>
            </w:pPr>
            <w:proofErr w:type="gramStart"/>
            <w:r>
              <w:rPr>
                <w:rFonts w:asciiTheme="minorBidi" w:hAnsiTheme="minorBidi" w:cstheme="minorBidi"/>
                <w:i/>
                <w:iCs/>
              </w:rPr>
              <w:t>Cost</w:t>
            </w:r>
            <w:r w:rsidRPr="00D30BC5">
              <w:rPr>
                <w:rFonts w:asciiTheme="minorBidi" w:hAnsiTheme="minorBidi" w:cstheme="minorBidi"/>
                <w:i/>
                <w:iCs/>
                <w:vertAlign w:val="subscript"/>
              </w:rPr>
              <w:t>(</w:t>
            </w:r>
            <w:proofErr w:type="gramEnd"/>
            <w:r w:rsidRPr="00D30BC5">
              <w:rPr>
                <w:rFonts w:asciiTheme="minorBidi" w:hAnsiTheme="minorBidi" w:cstheme="minorBidi"/>
                <w:i/>
                <w:iCs/>
                <w:vertAlign w:val="subscript"/>
              </w:rPr>
              <w:t>$)</w:t>
            </w:r>
            <w:r w:rsidR="001F27B2" w:rsidRPr="00F0444A">
              <w:rPr>
                <w:rFonts w:asciiTheme="minorBidi" w:hAnsiTheme="minorBidi" w:cstheme="minorBidi"/>
                <w:i/>
                <w:iCs/>
              </w:rPr>
              <w:t xml:space="preserve"> = </w:t>
            </w:r>
            <m:oMath>
              <m:nary>
                <m:naryPr>
                  <m:chr m:val="∑"/>
                  <m:limLoc m:val="undOvr"/>
                  <m:ctrlPr>
                    <w:rPr>
                      <w:rFonts w:ascii="Cambria Math" w:hAnsi="Cambria Math" w:cstheme="minorBidi"/>
                      <w:i/>
                      <w:iCs/>
                    </w:rPr>
                  </m:ctrlPr>
                </m:naryPr>
                <m:sub>
                  <m:r>
                    <w:rPr>
                      <w:rFonts w:ascii="Cambria Math" w:hAnsi="Cambria Math" w:cstheme="minorBidi"/>
                    </w:rPr>
                    <m:t>i=1</m:t>
                  </m:r>
                </m:sub>
                <m:sup>
                  <m:r>
                    <w:rPr>
                      <w:rFonts w:ascii="Cambria Math" w:hAnsi="Cambria Math" w:cstheme="minorBidi"/>
                    </w:rPr>
                    <m:t>n</m:t>
                  </m:r>
                </m:sup>
                <m:e>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Q</m:t>
                          </m:r>
                        </m:e>
                        <m:sub>
                          <m:r>
                            <w:rPr>
                              <w:rFonts w:ascii="Cambria Math" w:hAnsi="Cambria Math" w:cstheme="minorBidi"/>
                            </w:rPr>
                            <m:t>i</m:t>
                          </m:r>
                        </m:sub>
                      </m:sSub>
                    </m:num>
                    <m:den>
                      <m:r>
                        <w:rPr>
                          <w:rFonts w:ascii="Cambria Math" w:hAnsi="Cambria Math" w:cstheme="minorBidi"/>
                        </w:rPr>
                        <m:t>L</m:t>
                      </m:r>
                    </m:den>
                  </m:f>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D</m:t>
                      </m:r>
                    </m:e>
                    <m:sub>
                      <m:r>
                        <w:rPr>
                          <w:rFonts w:ascii="Cambria Math" w:hAnsi="Cambria Math" w:cstheme="minorBidi"/>
                        </w:rPr>
                        <m:t>i</m:t>
                      </m:r>
                    </m:sub>
                  </m:sSub>
                  <m:r>
                    <w:rPr>
                      <w:rFonts w:ascii="Cambria Math" w:hAnsi="Cambria Math" w:cstheme="minorBidi"/>
                    </w:rPr>
                    <m:t>*C)</m:t>
                  </m:r>
                </m:e>
              </m:nary>
            </m:oMath>
            <w:r w:rsidR="001F27B2" w:rsidRPr="00F0444A">
              <w:rPr>
                <w:rFonts w:asciiTheme="minorBidi" w:hAnsiTheme="minorBidi" w:cstheme="minorBidi"/>
                <w:i/>
                <w:iCs/>
              </w:rPr>
              <w:t xml:space="preserve">        </w:t>
            </w:r>
          </w:p>
          <w:p w14:paraId="190DC11D" w14:textId="62EA1009" w:rsidR="001F27B2" w:rsidRDefault="001F27B2" w:rsidP="00343193">
            <w:pPr>
              <w:pStyle w:val="CETBodytext"/>
              <w:rPr>
                <w:lang w:val="en-GB"/>
              </w:rPr>
            </w:pPr>
            <w:r w:rsidRPr="00251F54">
              <w:rPr>
                <w:lang w:val="en-GB"/>
              </w:rPr>
              <w:t xml:space="preserve">Where, </w:t>
            </w:r>
            <w:proofErr w:type="gramStart"/>
            <w:r w:rsidR="007B01AA">
              <w:rPr>
                <w:i/>
                <w:iCs/>
                <w:lang w:val="en-GB"/>
              </w:rPr>
              <w:t>Q</w:t>
            </w:r>
            <w:r w:rsidRPr="00251F54">
              <w:rPr>
                <w:i/>
                <w:iCs/>
                <w:vertAlign w:val="subscript"/>
                <w:lang w:val="en-GB"/>
              </w:rPr>
              <w:t>i</w:t>
            </w:r>
            <w:r w:rsidRPr="00251F54">
              <w:rPr>
                <w:lang w:val="en-GB"/>
              </w:rPr>
              <w:t>:</w:t>
            </w:r>
            <w:proofErr w:type="gramEnd"/>
            <w:r w:rsidRPr="00251F54">
              <w:rPr>
                <w:lang w:val="en-GB"/>
              </w:rPr>
              <w:t xml:space="preserve"> is the </w:t>
            </w:r>
            <w:r w:rsidR="007B01AA">
              <w:rPr>
                <w:lang w:val="en-GB"/>
              </w:rPr>
              <w:t xml:space="preserve">biomass quantity </w:t>
            </w:r>
            <w:r w:rsidR="009B2D3B">
              <w:rPr>
                <w:lang w:val="en-GB"/>
              </w:rPr>
              <w:t>at</w:t>
            </w:r>
            <w:r w:rsidR="007B01AA">
              <w:rPr>
                <w:lang w:val="en-GB"/>
              </w:rPr>
              <w:t xml:space="preserve"> </w:t>
            </w:r>
            <w:r w:rsidR="002D21FC">
              <w:rPr>
                <w:lang w:val="en-GB"/>
              </w:rPr>
              <w:t>site</w:t>
            </w:r>
            <w:r w:rsidR="00CB3B60">
              <w:rPr>
                <w:lang w:val="en-GB"/>
              </w:rPr>
              <w:t xml:space="preserve"> (</w:t>
            </w:r>
            <w:r w:rsidR="00CB3B60" w:rsidRPr="00CB3B60">
              <w:rPr>
                <w:i/>
                <w:iCs/>
                <w:lang w:val="en-GB"/>
              </w:rPr>
              <w:t>i</w:t>
            </w:r>
            <w:r w:rsidR="00CB3B60">
              <w:rPr>
                <w:lang w:val="en-GB"/>
              </w:rPr>
              <w:t>)</w:t>
            </w:r>
            <w:r w:rsidR="00795390">
              <w:rPr>
                <w:lang w:val="en-GB"/>
              </w:rPr>
              <w:t xml:space="preserve"> (tonnes)</w:t>
            </w:r>
            <w:r w:rsidR="00CB3B60">
              <w:rPr>
                <w:lang w:val="en-GB"/>
              </w:rPr>
              <w:t xml:space="preserve">, </w:t>
            </w:r>
            <w:r w:rsidR="00CB3B60" w:rsidRPr="002D21FC">
              <w:rPr>
                <w:i/>
                <w:iCs/>
                <w:lang w:val="en-GB"/>
              </w:rPr>
              <w:t>D</w:t>
            </w:r>
            <w:r w:rsidR="00CB3B60" w:rsidRPr="002D21FC">
              <w:rPr>
                <w:i/>
                <w:iCs/>
                <w:vertAlign w:val="subscript"/>
                <w:lang w:val="en-GB"/>
              </w:rPr>
              <w:t>i</w:t>
            </w:r>
            <w:r w:rsidR="00CB3B60" w:rsidRPr="002D21FC">
              <w:rPr>
                <w:i/>
                <w:iCs/>
                <w:lang w:val="en-GB"/>
              </w:rPr>
              <w:t>:</w:t>
            </w:r>
            <w:r w:rsidR="00CB3B60" w:rsidRPr="00251F54">
              <w:rPr>
                <w:lang w:val="en-GB"/>
              </w:rPr>
              <w:t xml:space="preserve"> is the </w:t>
            </w:r>
            <w:r w:rsidR="002D21FC">
              <w:rPr>
                <w:lang w:val="en-GB"/>
              </w:rPr>
              <w:t>site</w:t>
            </w:r>
            <w:r w:rsidR="00CB3B60">
              <w:rPr>
                <w:lang w:val="en-GB"/>
              </w:rPr>
              <w:t xml:space="preserve"> (</w:t>
            </w:r>
            <w:r w:rsidR="00CB3B60" w:rsidRPr="00CB3B60">
              <w:rPr>
                <w:i/>
                <w:iCs/>
                <w:lang w:val="en-GB"/>
              </w:rPr>
              <w:t>i</w:t>
            </w:r>
            <w:r w:rsidR="00CB3B60">
              <w:rPr>
                <w:lang w:val="en-GB"/>
              </w:rPr>
              <w:t>)</w:t>
            </w:r>
            <w:r w:rsidR="002D21FC">
              <w:rPr>
                <w:lang w:val="en-GB"/>
              </w:rPr>
              <w:t xml:space="preserve"> distance</w:t>
            </w:r>
            <w:r w:rsidR="009B2D3B">
              <w:rPr>
                <w:lang w:val="en-GB"/>
              </w:rPr>
              <w:t xml:space="preserve"> </w:t>
            </w:r>
            <w:r w:rsidR="002D21FC">
              <w:rPr>
                <w:lang w:val="en-GB"/>
              </w:rPr>
              <w:t>from biorefinery</w:t>
            </w:r>
            <w:r w:rsidR="00795390">
              <w:rPr>
                <w:lang w:val="en-GB"/>
              </w:rPr>
              <w:t xml:space="preserve"> (km)</w:t>
            </w:r>
            <w:r w:rsidR="00CB3B60">
              <w:rPr>
                <w:lang w:val="en-GB"/>
              </w:rPr>
              <w:t>,</w:t>
            </w:r>
            <w:r w:rsidR="002D21FC">
              <w:rPr>
                <w:lang w:val="en-GB"/>
              </w:rPr>
              <w:t xml:space="preserve"> L: is </w:t>
            </w:r>
            <w:r w:rsidR="009B2D3B">
              <w:rPr>
                <w:lang w:val="en-GB"/>
              </w:rPr>
              <w:t>regular freight load</w:t>
            </w:r>
            <w:r w:rsidR="001C7C96">
              <w:rPr>
                <w:lang w:val="en-GB"/>
              </w:rPr>
              <w:t xml:space="preserve"> </w:t>
            </w:r>
            <w:r w:rsidR="007B2691">
              <w:rPr>
                <w:lang w:val="en-GB"/>
              </w:rPr>
              <w:t>(</w:t>
            </w:r>
            <w:r w:rsidR="001C7C96">
              <w:rPr>
                <w:lang w:val="en-GB"/>
              </w:rPr>
              <w:t>tonnes</w:t>
            </w:r>
            <w:r w:rsidR="007B2691">
              <w:rPr>
                <w:lang w:val="en-GB"/>
              </w:rPr>
              <w:t>)</w:t>
            </w:r>
            <w:r w:rsidR="009B2D3B">
              <w:rPr>
                <w:lang w:val="en-GB"/>
              </w:rPr>
              <w:t>, and C: is transportation cost per km travelled</w:t>
            </w:r>
            <w:r w:rsidR="001C7C96">
              <w:rPr>
                <w:lang w:val="en-GB"/>
              </w:rPr>
              <w:t xml:space="preserve"> ($/km)</w:t>
            </w:r>
            <w:r>
              <w:rPr>
                <w:lang w:val="en-GB"/>
              </w:rPr>
              <w:t>.</w:t>
            </w:r>
          </w:p>
          <w:p w14:paraId="3FB6306E" w14:textId="77777777" w:rsidR="001F27B2" w:rsidRPr="00251F54" w:rsidRDefault="001F27B2" w:rsidP="00343193">
            <w:pPr>
              <w:pStyle w:val="CETBodytext"/>
              <w:rPr>
                <w:lang w:val="en-GB"/>
              </w:rPr>
            </w:pPr>
          </w:p>
        </w:tc>
        <w:tc>
          <w:tcPr>
            <w:tcW w:w="804" w:type="dxa"/>
            <w:shd w:val="clear" w:color="auto" w:fill="auto"/>
            <w:vAlign w:val="center"/>
          </w:tcPr>
          <w:p w14:paraId="4B6CBCF5" w14:textId="1DD0764A" w:rsidR="001F27B2" w:rsidRDefault="001F27B2" w:rsidP="00343193">
            <w:pPr>
              <w:pStyle w:val="CETEquation"/>
              <w:jc w:val="right"/>
            </w:pPr>
            <w:r w:rsidRPr="00B57B36">
              <w:t>(</w:t>
            </w:r>
            <w:r w:rsidR="007C386E">
              <w:t>2</w:t>
            </w:r>
            <w:r w:rsidRPr="00B57B36">
              <w:t>)</w:t>
            </w:r>
          </w:p>
          <w:p w14:paraId="61ACBC8B" w14:textId="77777777" w:rsidR="007C386E" w:rsidRDefault="007C386E" w:rsidP="007C386E">
            <w:pPr>
              <w:pStyle w:val="CETBodytext"/>
              <w:rPr>
                <w:lang w:val="en-GB"/>
              </w:rPr>
            </w:pPr>
          </w:p>
          <w:p w14:paraId="73BD6E15" w14:textId="77777777" w:rsidR="007C386E" w:rsidRPr="007C386E" w:rsidRDefault="007C386E" w:rsidP="007C386E">
            <w:pPr>
              <w:pStyle w:val="CETBodytext"/>
              <w:rPr>
                <w:lang w:val="en-GB"/>
              </w:rPr>
            </w:pPr>
          </w:p>
          <w:p w14:paraId="2599EA68" w14:textId="77777777" w:rsidR="001F27B2" w:rsidRPr="00251F54" w:rsidRDefault="001F27B2" w:rsidP="00343193">
            <w:pPr>
              <w:pStyle w:val="CETBodytext"/>
              <w:rPr>
                <w:lang w:val="en-GB"/>
              </w:rPr>
            </w:pPr>
          </w:p>
        </w:tc>
      </w:tr>
    </w:tbl>
    <w:p w14:paraId="08C427A3" w14:textId="4FF9F03C" w:rsidR="00A74EBF" w:rsidRDefault="000B1738" w:rsidP="005E4812">
      <w:pPr>
        <w:pStyle w:val="CETBodytext"/>
        <w:jc w:val="lowKashida"/>
      </w:pPr>
      <w:r>
        <w:t>The location-allocation function o</w:t>
      </w:r>
      <w:r w:rsidR="00D820D0">
        <w:t>f</w:t>
      </w:r>
      <w:r>
        <w:t xml:space="preserve"> </w:t>
      </w:r>
      <w:r w:rsidR="00D820D0">
        <w:t>network</w:t>
      </w:r>
      <w:r>
        <w:t xml:space="preserve"> analyst module</w:t>
      </w:r>
      <w:r w:rsidR="00D820D0">
        <w:t xml:space="preserve"> is meant </w:t>
      </w:r>
      <w:r w:rsidR="000951BA">
        <w:t>to find the site that can effectively accommodate the supply</w:t>
      </w:r>
      <w:r w:rsidR="003303FE">
        <w:t>/demand</w:t>
      </w:r>
      <w:r w:rsidR="000951BA">
        <w:t xml:space="preserve"> points.</w:t>
      </w:r>
      <w:r w:rsidR="000454F5">
        <w:t xml:space="preserve"> The algorithm solves for the different candidate sites </w:t>
      </w:r>
      <w:r w:rsidR="003303FE">
        <w:t>to select one or more sites that can best achieve the objective. The aim in this problem is to minimi</w:t>
      </w:r>
      <w:r w:rsidR="002B1964">
        <w:t>s</w:t>
      </w:r>
      <w:r w:rsidR="003303FE">
        <w:t xml:space="preserve">e </w:t>
      </w:r>
      <w:r w:rsidR="005E4812">
        <w:t xml:space="preserve">the overall </w:t>
      </w:r>
      <w:r w:rsidR="003303FE">
        <w:t xml:space="preserve">travelling distance and </w:t>
      </w:r>
      <w:r w:rsidR="005E4812">
        <w:t>therefore</w:t>
      </w:r>
      <w:r w:rsidR="003303FE">
        <w:t xml:space="preserve"> transportation costs, while maximi</w:t>
      </w:r>
      <w:r w:rsidR="002B1964">
        <w:t>s</w:t>
      </w:r>
      <w:r w:rsidR="003303FE">
        <w:t xml:space="preserve">ing </w:t>
      </w:r>
      <w:r w:rsidR="006915A1">
        <w:t xml:space="preserve">the </w:t>
      </w:r>
      <w:r w:rsidR="003303FE">
        <w:t>gross calorific value of collected biomass.</w:t>
      </w:r>
      <w:r w:rsidR="00254B4D">
        <w:t xml:space="preserve"> As such, </w:t>
      </w:r>
      <w:r w:rsidR="00B47F18">
        <w:t>it is a maxim</w:t>
      </w:r>
      <w:r w:rsidR="00393CA6">
        <w:t>al</w:t>
      </w:r>
      <w:r w:rsidR="00B47F18">
        <w:t xml:space="preserve"> coverage location problem (MCLP), which can be defined as</w:t>
      </w:r>
      <w:r w:rsidR="005E4812">
        <w:t xml:space="preserve"> </w:t>
      </w:r>
      <w:r w:rsidR="008B7E0C">
        <w:t xml:space="preserve">per </w:t>
      </w:r>
      <w:r w:rsidR="005E4812">
        <w:t>the following mathematical model in Eq(3-</w:t>
      </w:r>
      <w:r w:rsidR="00DF66AC">
        <w:t>5</w:t>
      </w:r>
      <w:r w:rsidR="005E4812">
        <w:t>)</w:t>
      </w:r>
      <w:r w:rsidR="0039682C">
        <w:t xml:space="preserve"> </w:t>
      </w:r>
      <w:r w:rsidR="00381EA9">
        <w:fldChar w:fldCharType="begin" w:fldLock="1"/>
      </w:r>
      <w:r w:rsidR="00AF5959">
        <w:instrText>ADDIN CSL_CITATION {"citationItems":[{"id":"ITEM-1","itemData":{"ISBN":"1435-5957","author":[{"dropping-particle":"","family":"Church","given":"Richard","non-dropping-particle":"","parse-names":false,"suffix":""},{"dropping-particle":"","family":"ReVelle","given":"Charles","non-dropping-particle":"","parse-names":false,"suffix":""}],"container-title":"Papers of the regional science association","id":"ITEM-1","issue":"1","issued":{"date-parts":[["1974"]]},"page":"101-118","publisher":"Springer-Verlag","title":"The maximal covering location problem","type":"paper-conference","volume":"32"},"uris":["http://www.mendeley.com/documents/?uuid=84b98138-432f-40d0-9683-a3800c946996"]}],"mendeley":{"formattedCitation":"(Church and ReVelle, 1974)","plainTextFormattedCitation":"(Church and ReVelle, 1974)","previouslyFormattedCitation":"(Church and ReVelle, 1974)"},"properties":{"noteIndex":0},"schema":"https://github.com/citation-style-language/schema/raw/master/csl-citation.json"}</w:instrText>
      </w:r>
      <w:r w:rsidR="00381EA9">
        <w:fldChar w:fldCharType="separate"/>
      </w:r>
      <w:r w:rsidR="00381EA9" w:rsidRPr="00381EA9">
        <w:rPr>
          <w:noProof/>
        </w:rPr>
        <w:t>(Church and ReVelle, 1974)</w:t>
      </w:r>
      <w:r w:rsidR="00381EA9">
        <w:fldChar w:fldCharType="end"/>
      </w:r>
      <w:r w:rsidR="005E4812">
        <w:t>:</w:t>
      </w:r>
    </w:p>
    <w:tbl>
      <w:tblPr>
        <w:tblW w:w="5000" w:type="pct"/>
        <w:tblLook w:val="04A0" w:firstRow="1" w:lastRow="0" w:firstColumn="1" w:lastColumn="0" w:noHBand="0" w:noVBand="1"/>
      </w:tblPr>
      <w:tblGrid>
        <w:gridCol w:w="7983"/>
        <w:gridCol w:w="804"/>
      </w:tblGrid>
      <w:tr w:rsidR="007C386E" w:rsidRPr="00B57B36" w14:paraId="597C1E4E" w14:textId="77777777" w:rsidTr="000E4691">
        <w:tc>
          <w:tcPr>
            <w:tcW w:w="7983" w:type="dxa"/>
            <w:shd w:val="clear" w:color="auto" w:fill="auto"/>
          </w:tcPr>
          <w:p w14:paraId="5A89AFB1" w14:textId="4A0F0F42" w:rsidR="00420F32" w:rsidRDefault="002A41FC" w:rsidP="000E4691">
            <w:pPr>
              <w:pStyle w:val="CETEquation"/>
              <w:rPr>
                <w:rFonts w:asciiTheme="minorBidi" w:hAnsiTheme="minorBidi" w:cstheme="minorBidi"/>
                <w:i/>
                <w:iCs/>
              </w:rPr>
            </w:pPr>
            <w:r>
              <w:rPr>
                <w:rFonts w:asciiTheme="minorBidi" w:hAnsiTheme="minorBidi" w:cstheme="minorBidi"/>
                <w:i/>
                <w:iCs/>
              </w:rPr>
              <w:t>Maximise</w:t>
            </w:r>
            <w:r w:rsidR="00774965">
              <w:rPr>
                <w:rFonts w:asciiTheme="minorBidi" w:hAnsiTheme="minorBidi" w:cstheme="minorBidi"/>
                <w:i/>
                <w:iCs/>
              </w:rPr>
              <w:t xml:space="preserve">  </w:t>
            </w:r>
            <w:r w:rsidR="007C386E" w:rsidRPr="00F0444A">
              <w:rPr>
                <w:rFonts w:asciiTheme="minorBidi" w:hAnsiTheme="minorBidi" w:cstheme="minorBidi"/>
                <w:i/>
                <w:iCs/>
              </w:rPr>
              <w:t xml:space="preserve"> </w:t>
            </w:r>
            <m:oMath>
              <m:nary>
                <m:naryPr>
                  <m:chr m:val="∑"/>
                  <m:limLoc m:val="undOvr"/>
                  <m:ctrlPr>
                    <w:rPr>
                      <w:rFonts w:ascii="Cambria Math" w:hAnsi="Cambria Math" w:cstheme="minorBidi"/>
                      <w:i/>
                      <w:iCs/>
                    </w:rPr>
                  </m:ctrlPr>
                </m:naryPr>
                <m:sub>
                  <m:r>
                    <w:rPr>
                      <w:rFonts w:ascii="Cambria Math" w:hAnsi="Cambria Math" w:cstheme="minorBidi"/>
                    </w:rPr>
                    <m:t xml:space="preserve">i=1 </m:t>
                  </m:r>
                </m:sub>
                <m:sup>
                  <m:r>
                    <w:rPr>
                      <w:rFonts w:ascii="Cambria Math" w:hAnsi="Cambria Math" w:cstheme="minorBidi"/>
                    </w:rPr>
                    <m:t>n</m:t>
                  </m:r>
                </m:sup>
                <m:e>
                  <m:d>
                    <m:dPr>
                      <m:ctrlPr>
                        <w:rPr>
                          <w:rFonts w:ascii="Cambria Math" w:hAnsi="Cambria Math" w:cstheme="minorBidi"/>
                          <w:i/>
                        </w:rPr>
                      </m:ctrlPr>
                    </m:dPr>
                    <m:e>
                      <m:sSub>
                        <m:sSubPr>
                          <m:ctrlPr>
                            <w:rPr>
                              <w:rFonts w:ascii="Cambria Math" w:hAnsi="Cambria Math" w:cstheme="minorBidi"/>
                              <w:i/>
                            </w:rPr>
                          </m:ctrlPr>
                        </m:sSubPr>
                        <m:e>
                          <m:r>
                            <w:rPr>
                              <w:rFonts w:ascii="Cambria Math" w:hAnsi="Cambria Math" w:cstheme="minorBidi"/>
                            </w:rPr>
                            <m:t>E</m:t>
                          </m:r>
                        </m:e>
                        <m:sub>
                          <m:r>
                            <w:rPr>
                              <w:rFonts w:ascii="Cambria Math" w:hAnsi="Cambria Math" w:cstheme="minorBidi"/>
                            </w:rPr>
                            <m:t>i</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i</m:t>
                          </m:r>
                        </m:sub>
                      </m:sSub>
                    </m:e>
                  </m:d>
                </m:e>
              </m:nary>
            </m:oMath>
            <w:r w:rsidR="007C386E" w:rsidRPr="00F0444A">
              <w:rPr>
                <w:rFonts w:asciiTheme="minorBidi" w:hAnsiTheme="minorBidi" w:cstheme="minorBidi"/>
                <w:i/>
                <w:iCs/>
              </w:rPr>
              <w:t xml:space="preserve">     </w:t>
            </w:r>
          </w:p>
          <w:p w14:paraId="2AC722EF" w14:textId="77777777" w:rsidR="00E8014D" w:rsidRDefault="00420F32" w:rsidP="000E4691">
            <w:pPr>
              <w:pStyle w:val="CETEquation"/>
              <w:spacing w:line="240" w:lineRule="auto"/>
              <w:rPr>
                <w:rFonts w:asciiTheme="minorBidi" w:hAnsiTheme="minorBidi" w:cstheme="minorBidi"/>
                <w:i/>
                <w:iCs/>
              </w:rPr>
            </w:pPr>
            <w:r>
              <w:rPr>
                <w:rFonts w:asciiTheme="minorBidi" w:hAnsiTheme="minorBidi" w:cstheme="minorBidi"/>
                <w:i/>
                <w:iCs/>
              </w:rPr>
              <w:t xml:space="preserve">Subject to: </w:t>
            </w:r>
            <w:r w:rsidR="007C386E" w:rsidRPr="00F0444A">
              <w:rPr>
                <w:rFonts w:asciiTheme="minorBidi" w:hAnsiTheme="minorBidi" w:cstheme="minorBidi"/>
                <w:i/>
                <w:iCs/>
              </w:rPr>
              <w:t xml:space="preserve"> </w:t>
            </w:r>
          </w:p>
          <w:p w14:paraId="675F326A" w14:textId="70969E3E" w:rsidR="00F84E29" w:rsidRDefault="00AB3517" w:rsidP="000E4691">
            <w:pPr>
              <w:pStyle w:val="CETEquation"/>
              <w:spacing w:line="240" w:lineRule="auto"/>
              <w:rPr>
                <w:rFonts w:asciiTheme="minorBidi" w:hAnsiTheme="minorBidi" w:cstheme="minorBidi"/>
                <w:i/>
                <w:iCs/>
              </w:rPr>
            </w:pPr>
            <m:oMath>
              <m:nary>
                <m:naryPr>
                  <m:chr m:val="∑"/>
                  <m:limLoc m:val="subSup"/>
                  <m:supHide m:val="1"/>
                  <m:ctrlPr>
                    <w:rPr>
                      <w:rFonts w:ascii="Cambria Math" w:hAnsi="Cambria Math" w:cstheme="minorBidi"/>
                      <w:i/>
                      <w:iCs/>
                    </w:rPr>
                  </m:ctrlPr>
                </m:naryPr>
                <m:sub>
                  <m:r>
                    <w:rPr>
                      <w:rFonts w:ascii="Cambria Math" w:hAnsi="Cambria Math" w:cstheme="minorBidi"/>
                    </w:rPr>
                    <m:t>j∊Ni</m:t>
                  </m:r>
                </m:sub>
                <m:sup/>
                <m:e>
                  <m:sSub>
                    <m:sSubPr>
                      <m:ctrlPr>
                        <w:rPr>
                          <w:rFonts w:ascii="Cambria Math" w:hAnsi="Cambria Math" w:cstheme="minorBidi"/>
                          <w:i/>
                          <w:iCs/>
                        </w:rPr>
                      </m:ctrlPr>
                    </m:sSubPr>
                    <m:e>
                      <m:r>
                        <w:rPr>
                          <w:rFonts w:ascii="Cambria Math" w:hAnsi="Cambria Math" w:cstheme="minorBidi"/>
                        </w:rPr>
                        <m:t>S</m:t>
                      </m:r>
                    </m:e>
                    <m:sub>
                      <m:r>
                        <w:rPr>
                          <w:rFonts w:ascii="Cambria Math" w:hAnsi="Cambria Math" w:cstheme="minorBidi"/>
                        </w:rPr>
                        <m:t>j</m:t>
                      </m:r>
                    </m:sub>
                  </m:sSub>
                </m:e>
              </m:nary>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i</m:t>
                  </m:r>
                </m:sub>
              </m:sSub>
            </m:oMath>
            <w:r w:rsidR="00A567B6">
              <w:rPr>
                <w:rFonts w:asciiTheme="minorBidi" w:hAnsiTheme="minorBidi" w:cstheme="minorBidi"/>
                <w:i/>
                <w:iCs/>
              </w:rPr>
              <w:t xml:space="preserve">   </w:t>
            </w:r>
            <w:r w:rsidR="007C386E" w:rsidRPr="00F0444A">
              <w:rPr>
                <w:rFonts w:asciiTheme="minorBidi" w:hAnsiTheme="minorBidi" w:cstheme="minorBidi"/>
                <w:i/>
                <w:iCs/>
              </w:rPr>
              <w:t xml:space="preserve"> </w:t>
            </w:r>
            <m:oMath>
              <m:r>
                <w:rPr>
                  <w:rFonts w:ascii="Cambria Math" w:hAnsi="Cambria Math"/>
                </w:rPr>
                <m:t>∀i</m:t>
              </m:r>
            </m:oMath>
            <w:r w:rsidR="00FD2628">
              <w:t xml:space="preserve">  </w:t>
            </w:r>
            <w:r w:rsidR="003A3934">
              <w:t>(Accounts for biomass supply site</w:t>
            </w:r>
            <w:r w:rsidR="00A567B6">
              <w:t>s</w:t>
            </w:r>
            <w:r w:rsidR="003A3934">
              <w:t xml:space="preserve"> within </w:t>
            </w:r>
            <w:r w:rsidR="006915A1">
              <w:t xml:space="preserve">the </w:t>
            </w:r>
            <w:r w:rsidR="003A3934">
              <w:t>biorefinery coverage)</w:t>
            </w:r>
          </w:p>
          <w:p w14:paraId="050DA670" w14:textId="404F1349" w:rsidR="007C386E" w:rsidRDefault="00AB3517" w:rsidP="000E4691">
            <w:pPr>
              <w:pStyle w:val="CETEquation"/>
              <w:spacing w:line="240" w:lineRule="auto"/>
              <w:rPr>
                <w:rFonts w:asciiTheme="minorBidi" w:hAnsiTheme="minorBidi" w:cstheme="minorBidi"/>
                <w:i/>
                <w:iCs/>
              </w:rPr>
            </w:pPr>
            <m:oMath>
              <m:nary>
                <m:naryPr>
                  <m:chr m:val="∑"/>
                  <m:limLoc m:val="subSup"/>
                  <m:supHide m:val="1"/>
                  <m:ctrlPr>
                    <w:rPr>
                      <w:rFonts w:ascii="Cambria Math" w:hAnsi="Cambria Math" w:cstheme="minorBidi"/>
                      <w:i/>
                      <w:iCs/>
                    </w:rPr>
                  </m:ctrlPr>
                </m:naryPr>
                <m:sub>
                  <m:r>
                    <w:rPr>
                      <w:rFonts w:ascii="Cambria Math" w:hAnsi="Cambria Math" w:cstheme="minorBidi"/>
                    </w:rPr>
                    <m:t>j</m:t>
                  </m:r>
                </m:sub>
                <m:sup/>
                <m:e>
                  <m:sSub>
                    <m:sSubPr>
                      <m:ctrlPr>
                        <w:rPr>
                          <w:rFonts w:ascii="Cambria Math" w:hAnsi="Cambria Math" w:cstheme="minorBidi"/>
                          <w:i/>
                          <w:iCs/>
                        </w:rPr>
                      </m:ctrlPr>
                    </m:sSubPr>
                    <m:e>
                      <m:r>
                        <w:rPr>
                          <w:rFonts w:ascii="Cambria Math" w:hAnsi="Cambria Math" w:cstheme="minorBidi"/>
                        </w:rPr>
                        <m:t>S</m:t>
                      </m:r>
                    </m:e>
                    <m:sub>
                      <m:r>
                        <w:rPr>
                          <w:rFonts w:ascii="Cambria Math" w:hAnsi="Cambria Math" w:cstheme="minorBidi"/>
                        </w:rPr>
                        <m:t>j</m:t>
                      </m:r>
                    </m:sub>
                  </m:sSub>
                </m:e>
              </m:nary>
              <m:r>
                <w:rPr>
                  <w:rFonts w:ascii="Cambria Math" w:hAnsi="Cambria Math" w:cstheme="minorBidi"/>
                </w:rPr>
                <m:t>=1</m:t>
              </m:r>
            </m:oMath>
            <w:r w:rsidR="00584E65">
              <w:rPr>
                <w:rFonts w:asciiTheme="minorBidi" w:hAnsiTheme="minorBidi" w:cstheme="minorBidi"/>
                <w:i/>
                <w:iCs/>
              </w:rPr>
              <w:t xml:space="preserve">   (</w:t>
            </w:r>
            <w:r w:rsidR="0018275F">
              <w:rPr>
                <w:rFonts w:asciiTheme="minorBidi" w:hAnsiTheme="minorBidi" w:cstheme="minorBidi"/>
                <w:i/>
                <w:iCs/>
              </w:rPr>
              <w:t>Only</w:t>
            </w:r>
            <w:r w:rsidR="00584E65">
              <w:rPr>
                <w:rFonts w:asciiTheme="minorBidi" w:hAnsiTheme="minorBidi" w:cstheme="minorBidi"/>
                <w:i/>
                <w:iCs/>
              </w:rPr>
              <w:t xml:space="preserve"> 1 biorefinery site to be selected)</w:t>
            </w:r>
          </w:p>
          <w:p w14:paraId="00FD457A" w14:textId="1C46B8EC" w:rsidR="00BE7F37" w:rsidRPr="00775A22" w:rsidRDefault="00E14FDC" w:rsidP="000E4691">
            <w:pPr>
              <w:pStyle w:val="CETBodytext"/>
              <w:spacing w:before="120" w:after="120"/>
              <w:jc w:val="left"/>
              <w:rPr>
                <w:i/>
                <w:iCs/>
                <w:lang w:val="en-GB"/>
              </w:rPr>
            </w:pPr>
            <w:r w:rsidRPr="00775A22">
              <w:rPr>
                <w:i/>
                <w:iCs/>
                <w:lang w:val="en-GB"/>
              </w:rPr>
              <w:t>Decision variables:</w:t>
            </w:r>
          </w:p>
          <w:p w14:paraId="51A5D4D0" w14:textId="193B68F7" w:rsidR="00E14FDC" w:rsidRDefault="00E14FDC" w:rsidP="000E4691">
            <w:pPr>
              <w:pStyle w:val="CETBodytext"/>
              <w:jc w:val="left"/>
              <w:rPr>
                <w:lang w:val="en-GB"/>
              </w:rPr>
            </w:pPr>
            <w:r w:rsidRPr="0065755F">
              <w:rPr>
                <w:i/>
                <w:iCs/>
                <w:lang w:val="en-GB"/>
              </w:rPr>
              <w:t>S</w:t>
            </w:r>
            <w:r w:rsidRPr="0065755F">
              <w:rPr>
                <w:i/>
                <w:iCs/>
                <w:vertAlign w:val="subscript"/>
                <w:lang w:val="en-GB"/>
              </w:rPr>
              <w:t>j</w:t>
            </w:r>
            <w:r>
              <w:rPr>
                <w:lang w:val="en-GB"/>
              </w:rPr>
              <w:t xml:space="preserve"> =</w:t>
            </w:r>
            <m:oMath>
              <m:r>
                <w:rPr>
                  <w:rFonts w:ascii="Cambria Math" w:hAnsi="Cambria Math"/>
                  <w:lang w:val="en-GB"/>
                </w:rPr>
                <m:t xml:space="preserve"> </m:t>
              </m:r>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lang w:val="en-GB"/>
                        </w:rPr>
                        <m:t xml:space="preserve">1, if candidate biorefinery site "j" is selected        </m:t>
                      </m:r>
                    </m:e>
                    <m:e>
                      <m:r>
                        <w:rPr>
                          <w:rFonts w:ascii="Cambria Math" w:hAnsi="Cambria Math"/>
                          <w:lang w:val="en-GB"/>
                        </w:rPr>
                        <m:t xml:space="preserve">0, otherwise                                                                            </m:t>
                      </m:r>
                    </m:e>
                  </m:eqArr>
                </m:e>
              </m:d>
            </m:oMath>
          </w:p>
          <w:p w14:paraId="1689A95C" w14:textId="15BA3F79" w:rsidR="00775A22" w:rsidRDefault="00CE6EA0" w:rsidP="000E4691">
            <w:pPr>
              <w:pStyle w:val="CETBodytext"/>
              <w:jc w:val="left"/>
              <w:rPr>
                <w:lang w:val="en-GB"/>
              </w:rPr>
            </w:pPr>
            <w:r>
              <w:rPr>
                <w:i/>
                <w:iCs/>
                <w:lang w:val="en-GB"/>
              </w:rPr>
              <w:t>B</w:t>
            </w:r>
            <w:r>
              <w:rPr>
                <w:i/>
                <w:iCs/>
                <w:vertAlign w:val="subscript"/>
                <w:lang w:val="en-GB"/>
              </w:rPr>
              <w:t>i</w:t>
            </w:r>
            <w:r>
              <w:rPr>
                <w:lang w:val="en-GB"/>
              </w:rPr>
              <w:t xml:space="preserve"> </w:t>
            </w:r>
            <w:r w:rsidR="00775A22">
              <w:rPr>
                <w:lang w:val="en-GB"/>
              </w:rPr>
              <w:t>=</w:t>
            </w:r>
            <m:oMath>
              <m:r>
                <w:rPr>
                  <w:rFonts w:ascii="Cambria Math" w:hAnsi="Cambria Math"/>
                  <w:lang w:val="en-GB"/>
                </w:rPr>
                <m:t xml:space="preserve"> </m:t>
              </m:r>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lang w:val="en-GB"/>
                        </w:rPr>
                        <m:t>1, if biomass supply "i" is within the coverage of biorefinery site "j"</m:t>
                      </m:r>
                    </m:e>
                    <m:e>
                      <m:r>
                        <w:rPr>
                          <w:rFonts w:ascii="Cambria Math" w:hAnsi="Cambria Math"/>
                          <w:lang w:val="en-GB"/>
                        </w:rPr>
                        <m:t xml:space="preserve">0, otherwise                                                                                                                   </m:t>
                      </m:r>
                    </m:e>
                  </m:eqArr>
                </m:e>
              </m:d>
            </m:oMath>
          </w:p>
          <w:p w14:paraId="2F150A60" w14:textId="339D9D15" w:rsidR="007F7B51" w:rsidRDefault="007C386E" w:rsidP="000E4691">
            <w:pPr>
              <w:pStyle w:val="CETBodytext"/>
              <w:spacing w:before="120" w:after="120"/>
              <w:jc w:val="left"/>
              <w:rPr>
                <w:lang w:val="en-GB"/>
              </w:rPr>
            </w:pPr>
            <w:proofErr w:type="gramStart"/>
            <w:r w:rsidRPr="00251F54">
              <w:rPr>
                <w:lang w:val="en-GB"/>
              </w:rPr>
              <w:t>Where</w:t>
            </w:r>
            <w:proofErr w:type="gramEnd"/>
            <w:r w:rsidRPr="00251F54">
              <w:rPr>
                <w:lang w:val="en-GB"/>
              </w:rPr>
              <w:t xml:space="preserve">, </w:t>
            </w:r>
          </w:p>
          <w:p w14:paraId="50B56F31" w14:textId="179605F9" w:rsidR="00385F89" w:rsidRDefault="007F7B51" w:rsidP="000E4691">
            <w:pPr>
              <w:pStyle w:val="CETBodytext"/>
              <w:jc w:val="left"/>
              <w:rPr>
                <w:lang w:val="en-GB"/>
              </w:rPr>
            </w:pPr>
            <w:r w:rsidRPr="007F7B51">
              <w:rPr>
                <w:i/>
                <w:iCs/>
                <w:lang w:val="en-GB"/>
              </w:rPr>
              <w:t>i</w:t>
            </w:r>
            <w:r w:rsidR="007C386E" w:rsidRPr="00251F54">
              <w:rPr>
                <w:lang w:val="en-GB"/>
              </w:rPr>
              <w:t>: is the</w:t>
            </w:r>
            <w:r w:rsidR="00385F89">
              <w:rPr>
                <w:lang w:val="en-GB"/>
              </w:rPr>
              <w:t xml:space="preserve"> set of biomass supply sites.</w:t>
            </w:r>
          </w:p>
          <w:p w14:paraId="6E4AD853" w14:textId="357DB7B4" w:rsidR="00385F89" w:rsidRDefault="00385F89" w:rsidP="000E4691">
            <w:pPr>
              <w:pStyle w:val="CETBodytext"/>
              <w:jc w:val="left"/>
              <w:rPr>
                <w:lang w:val="en-GB"/>
              </w:rPr>
            </w:pPr>
            <w:r w:rsidRPr="00385F89">
              <w:rPr>
                <w:i/>
                <w:iCs/>
                <w:lang w:val="en-GB"/>
              </w:rPr>
              <w:t>j</w:t>
            </w:r>
            <w:r>
              <w:rPr>
                <w:lang w:val="en-GB"/>
              </w:rPr>
              <w:t>: is the set of initial biorefinery candidate sites.</w:t>
            </w:r>
          </w:p>
          <w:p w14:paraId="420DE5A5" w14:textId="547B85E6" w:rsidR="00EE7A9C" w:rsidRDefault="00EE7A9C" w:rsidP="000E4691">
            <w:pPr>
              <w:pStyle w:val="CETBodytext"/>
              <w:jc w:val="left"/>
              <w:rPr>
                <w:i/>
                <w:iCs/>
                <w:lang w:val="en-GB"/>
              </w:rPr>
            </w:pPr>
            <w:r w:rsidRPr="00400AA3">
              <w:rPr>
                <w:i/>
                <w:iCs/>
                <w:lang w:val="en-GB"/>
              </w:rPr>
              <w:t>E</w:t>
            </w:r>
            <w:r w:rsidR="005854D5">
              <w:rPr>
                <w:i/>
                <w:iCs/>
                <w:vertAlign w:val="subscript"/>
                <w:lang w:val="en-GB"/>
              </w:rPr>
              <w:t>i</w:t>
            </w:r>
            <w:r>
              <w:rPr>
                <w:lang w:val="en-GB"/>
              </w:rPr>
              <w:t>: potential gross energy content</w:t>
            </w:r>
            <w:r w:rsidR="00DC39B8">
              <w:rPr>
                <w:lang w:val="en-GB"/>
              </w:rPr>
              <w:t xml:space="preserve"> </w:t>
            </w:r>
            <w:r>
              <w:rPr>
                <w:lang w:val="en-GB"/>
              </w:rPr>
              <w:t xml:space="preserve">of biomass </w:t>
            </w:r>
            <w:r w:rsidR="00DC39B8">
              <w:rPr>
                <w:lang w:val="en-GB"/>
              </w:rPr>
              <w:t xml:space="preserve">(GJ/y) </w:t>
            </w:r>
            <w:r>
              <w:rPr>
                <w:lang w:val="en-GB"/>
              </w:rPr>
              <w:t xml:space="preserve">at site </w:t>
            </w:r>
            <w:r w:rsidRPr="00EE7A9C">
              <w:rPr>
                <w:i/>
                <w:iCs/>
                <w:lang w:val="en-GB"/>
              </w:rPr>
              <w:t>“</w:t>
            </w:r>
            <w:r w:rsidR="005854D5">
              <w:rPr>
                <w:i/>
                <w:iCs/>
                <w:lang w:val="en-GB"/>
              </w:rPr>
              <w:t>i</w:t>
            </w:r>
            <w:r w:rsidRPr="00EE7A9C">
              <w:rPr>
                <w:i/>
                <w:iCs/>
                <w:lang w:val="en-GB"/>
              </w:rPr>
              <w:t>”.</w:t>
            </w:r>
          </w:p>
          <w:p w14:paraId="091210E5" w14:textId="67704975" w:rsidR="005854D5" w:rsidRDefault="005854D5" w:rsidP="000E4691">
            <w:pPr>
              <w:pStyle w:val="CETBodytext"/>
              <w:jc w:val="left"/>
              <w:rPr>
                <w:i/>
                <w:iCs/>
                <w:lang w:val="en-GB"/>
              </w:rPr>
            </w:pPr>
            <w:r>
              <w:rPr>
                <w:i/>
                <w:iCs/>
                <w:lang w:val="en-GB"/>
              </w:rPr>
              <w:t>B</w:t>
            </w:r>
            <w:r w:rsidRPr="00400AA3">
              <w:rPr>
                <w:i/>
                <w:iCs/>
                <w:vertAlign w:val="subscript"/>
                <w:lang w:val="en-GB"/>
              </w:rPr>
              <w:t>i</w:t>
            </w:r>
            <w:r>
              <w:rPr>
                <w:lang w:val="en-GB"/>
              </w:rPr>
              <w:t xml:space="preserve">: Biomass supply site </w:t>
            </w:r>
            <w:r w:rsidRPr="00EE7A9C">
              <w:rPr>
                <w:i/>
                <w:iCs/>
                <w:lang w:val="en-GB"/>
              </w:rPr>
              <w:t>“</w:t>
            </w:r>
            <w:r>
              <w:rPr>
                <w:i/>
                <w:iCs/>
                <w:lang w:val="en-GB"/>
              </w:rPr>
              <w:t>i</w:t>
            </w:r>
            <w:r w:rsidRPr="00EE7A9C">
              <w:rPr>
                <w:i/>
                <w:iCs/>
                <w:lang w:val="en-GB"/>
              </w:rPr>
              <w:t>”.</w:t>
            </w:r>
          </w:p>
          <w:p w14:paraId="0DA76A7C" w14:textId="4660CE26" w:rsidR="006E7E9F" w:rsidRDefault="006E7E9F" w:rsidP="000E4691">
            <w:pPr>
              <w:pStyle w:val="CETBodytext"/>
              <w:jc w:val="left"/>
              <w:rPr>
                <w:i/>
                <w:iCs/>
                <w:lang w:val="en-GB"/>
              </w:rPr>
            </w:pPr>
            <w:r>
              <w:rPr>
                <w:i/>
                <w:iCs/>
                <w:lang w:val="en-GB"/>
              </w:rPr>
              <w:t>S</w:t>
            </w:r>
            <w:r>
              <w:rPr>
                <w:i/>
                <w:iCs/>
                <w:vertAlign w:val="subscript"/>
                <w:lang w:val="en-GB"/>
              </w:rPr>
              <w:t>j</w:t>
            </w:r>
            <w:r>
              <w:rPr>
                <w:lang w:val="en-GB"/>
              </w:rPr>
              <w:t xml:space="preserve">: Candidate biorefinery site </w:t>
            </w:r>
            <w:r w:rsidRPr="00EE7A9C">
              <w:rPr>
                <w:i/>
                <w:iCs/>
                <w:lang w:val="en-GB"/>
              </w:rPr>
              <w:t>“</w:t>
            </w:r>
            <w:r>
              <w:rPr>
                <w:i/>
                <w:iCs/>
                <w:lang w:val="en-GB"/>
              </w:rPr>
              <w:t>j</w:t>
            </w:r>
            <w:r w:rsidRPr="00EE7A9C">
              <w:rPr>
                <w:i/>
                <w:iCs/>
                <w:lang w:val="en-GB"/>
              </w:rPr>
              <w:t>”.</w:t>
            </w:r>
          </w:p>
          <w:p w14:paraId="6AC7F22F" w14:textId="03A4D3EE" w:rsidR="00E061AC" w:rsidRDefault="00857C9E" w:rsidP="000E4691">
            <w:pPr>
              <w:pStyle w:val="CETBodytext"/>
              <w:jc w:val="left"/>
              <w:rPr>
                <w:i/>
                <w:iCs/>
                <w:lang w:val="en-GB"/>
              </w:rPr>
            </w:pPr>
            <w:r w:rsidRPr="00857C9E">
              <w:rPr>
                <w:i/>
                <w:iCs/>
                <w:lang w:val="en-GB"/>
              </w:rPr>
              <w:t>d</w:t>
            </w:r>
            <w:r w:rsidR="004C5CF8" w:rsidRPr="00857C9E">
              <w:rPr>
                <w:i/>
                <w:iCs/>
                <w:vertAlign w:val="subscript"/>
                <w:lang w:val="en-GB"/>
              </w:rPr>
              <w:t>ij</w:t>
            </w:r>
            <w:r w:rsidR="004C5CF8">
              <w:rPr>
                <w:lang w:val="en-GB"/>
              </w:rPr>
              <w:t xml:space="preserve">: the shortest distance from site </w:t>
            </w:r>
            <w:r w:rsidR="004C5CF8" w:rsidRPr="00857C9E">
              <w:rPr>
                <w:i/>
                <w:iCs/>
                <w:lang w:val="en-GB"/>
              </w:rPr>
              <w:t>“</w:t>
            </w:r>
            <w:r>
              <w:rPr>
                <w:i/>
                <w:iCs/>
                <w:lang w:val="en-GB"/>
              </w:rPr>
              <w:t>i</w:t>
            </w:r>
            <w:r w:rsidR="004C5CF8" w:rsidRPr="00857C9E">
              <w:rPr>
                <w:i/>
                <w:iCs/>
                <w:lang w:val="en-GB"/>
              </w:rPr>
              <w:t>”</w:t>
            </w:r>
            <w:r w:rsidR="004C5CF8">
              <w:rPr>
                <w:lang w:val="en-GB"/>
              </w:rPr>
              <w:t xml:space="preserve"> to site </w:t>
            </w:r>
            <w:r w:rsidR="004C5CF8" w:rsidRPr="00857C9E">
              <w:rPr>
                <w:i/>
                <w:iCs/>
                <w:lang w:val="en-GB"/>
              </w:rPr>
              <w:t>“j”</w:t>
            </w:r>
            <w:r>
              <w:rPr>
                <w:i/>
                <w:iCs/>
                <w:lang w:val="en-GB"/>
              </w:rPr>
              <w:t>.</w:t>
            </w:r>
          </w:p>
          <w:p w14:paraId="1A06B240" w14:textId="76756E8C" w:rsidR="0026505D" w:rsidRDefault="0026099A" w:rsidP="000E4691">
            <w:pPr>
              <w:pStyle w:val="CETBodytext"/>
              <w:jc w:val="left"/>
              <w:rPr>
                <w:i/>
                <w:iCs/>
                <w:lang w:val="en-GB"/>
              </w:rPr>
            </w:pPr>
            <w:r>
              <w:rPr>
                <w:i/>
                <w:iCs/>
                <w:lang w:val="en-GB"/>
              </w:rPr>
              <w:t>D</w:t>
            </w:r>
            <w:r w:rsidR="0026505D">
              <w:rPr>
                <w:i/>
                <w:iCs/>
                <w:lang w:val="en-GB"/>
              </w:rPr>
              <w:t>: distance beyond the biorefinery coverage.</w:t>
            </w:r>
          </w:p>
          <w:p w14:paraId="3CD503A4" w14:textId="6E96B090" w:rsidR="007C386E" w:rsidRPr="00251F54" w:rsidRDefault="00E76EBD" w:rsidP="000E4691">
            <w:pPr>
              <w:pStyle w:val="CETBodytext"/>
              <w:jc w:val="left"/>
              <w:rPr>
                <w:lang w:val="en-GB"/>
              </w:rPr>
            </w:pPr>
            <w:r>
              <w:rPr>
                <w:i/>
                <w:iCs/>
                <w:lang w:val="en-GB"/>
              </w:rPr>
              <w:t>N</w:t>
            </w:r>
            <w:r w:rsidRPr="00231931">
              <w:rPr>
                <w:i/>
                <w:iCs/>
                <w:vertAlign w:val="subscript"/>
                <w:lang w:val="en-GB"/>
              </w:rPr>
              <w:t>i</w:t>
            </w:r>
            <w:proofErr w:type="gramStart"/>
            <w:r>
              <w:rPr>
                <w:i/>
                <w:iCs/>
                <w:lang w:val="en-GB"/>
              </w:rPr>
              <w:t>=</w:t>
            </w:r>
            <w:r w:rsidRPr="00231931">
              <w:rPr>
                <w:lang w:val="en-GB"/>
              </w:rPr>
              <w:t>{</w:t>
            </w:r>
            <w:proofErr w:type="gramEnd"/>
            <w:r>
              <w:rPr>
                <w:i/>
                <w:iCs/>
                <w:lang w:val="en-GB"/>
              </w:rPr>
              <w:t>j</w:t>
            </w:r>
            <w:r>
              <w:rPr>
                <w:rFonts w:ascii="Cambria Math" w:hAnsi="Cambria Math"/>
                <w:i/>
                <w:iCs/>
                <w:lang w:val="en-GB"/>
              </w:rPr>
              <w:t>∊</w:t>
            </w:r>
            <w:r>
              <w:rPr>
                <w:i/>
                <w:iCs/>
                <w:lang w:val="en-GB"/>
              </w:rPr>
              <w:t>J | d</w:t>
            </w:r>
            <w:r w:rsidRPr="00231931">
              <w:rPr>
                <w:i/>
                <w:iCs/>
                <w:vertAlign w:val="subscript"/>
                <w:lang w:val="en-GB"/>
              </w:rPr>
              <w:t>ij</w:t>
            </w:r>
            <w:r>
              <w:rPr>
                <w:i/>
                <w:iCs/>
                <w:lang w:val="en-GB"/>
              </w:rPr>
              <w:t xml:space="preserve"> </w:t>
            </w:r>
            <w:r w:rsidR="0026505D">
              <w:rPr>
                <w:rFonts w:cs="Arial"/>
                <w:i/>
                <w:iCs/>
                <w:lang w:val="en-GB"/>
              </w:rPr>
              <w:t>≤</w:t>
            </w:r>
            <w:r w:rsidR="0026099A">
              <w:rPr>
                <w:i/>
                <w:iCs/>
                <w:lang w:val="en-GB"/>
              </w:rPr>
              <w:t>D</w:t>
            </w:r>
            <w:r w:rsidRPr="00231931">
              <w:rPr>
                <w:lang w:val="en-GB"/>
              </w:rPr>
              <w:t>}</w:t>
            </w:r>
          </w:p>
        </w:tc>
        <w:tc>
          <w:tcPr>
            <w:tcW w:w="804" w:type="dxa"/>
            <w:shd w:val="clear" w:color="auto" w:fill="auto"/>
          </w:tcPr>
          <w:p w14:paraId="52F990DB" w14:textId="6B235D62" w:rsidR="007C386E" w:rsidRDefault="007C386E" w:rsidP="000E4691">
            <w:pPr>
              <w:pStyle w:val="CETEquation"/>
              <w:spacing w:line="360" w:lineRule="auto"/>
              <w:jc w:val="right"/>
            </w:pPr>
            <w:r w:rsidRPr="00B57B36">
              <w:t>(</w:t>
            </w:r>
            <w:r w:rsidR="001A752E">
              <w:t>3</w:t>
            </w:r>
            <w:r w:rsidRPr="00B57B36">
              <w:t>)</w:t>
            </w:r>
          </w:p>
          <w:p w14:paraId="03C885A2" w14:textId="77777777" w:rsidR="003A3934" w:rsidRPr="000E4691" w:rsidRDefault="003A3934" w:rsidP="000E4691">
            <w:pPr>
              <w:pStyle w:val="CETBodytext"/>
              <w:spacing w:line="360" w:lineRule="auto"/>
              <w:jc w:val="right"/>
              <w:rPr>
                <w:sz w:val="14"/>
                <w:szCs w:val="16"/>
                <w:lang w:val="en-GB"/>
              </w:rPr>
            </w:pPr>
          </w:p>
          <w:p w14:paraId="6AD94A86" w14:textId="46C260AD" w:rsidR="001A752E" w:rsidRDefault="001A752E" w:rsidP="000E4691">
            <w:pPr>
              <w:pStyle w:val="CETBodytext"/>
              <w:spacing w:line="480" w:lineRule="auto"/>
              <w:jc w:val="right"/>
              <w:rPr>
                <w:lang w:val="en-GB"/>
              </w:rPr>
            </w:pPr>
            <w:r>
              <w:rPr>
                <w:lang w:val="en-GB"/>
              </w:rPr>
              <w:t xml:space="preserve"> (4)</w:t>
            </w:r>
          </w:p>
          <w:p w14:paraId="7CCA5646" w14:textId="35C1CBAF" w:rsidR="00AE5F3A" w:rsidRDefault="001A752E" w:rsidP="000E4691">
            <w:pPr>
              <w:pStyle w:val="CETBodytext"/>
              <w:spacing w:line="360" w:lineRule="auto"/>
              <w:jc w:val="right"/>
              <w:rPr>
                <w:lang w:val="en-GB"/>
              </w:rPr>
            </w:pPr>
            <w:r>
              <w:rPr>
                <w:lang w:val="en-GB"/>
              </w:rPr>
              <w:t>(5)</w:t>
            </w:r>
          </w:p>
          <w:p w14:paraId="7CAC2132" w14:textId="77777777" w:rsidR="005854D5" w:rsidRDefault="005854D5" w:rsidP="000E4691">
            <w:pPr>
              <w:pStyle w:val="CETBodytext"/>
              <w:spacing w:line="360" w:lineRule="auto"/>
              <w:jc w:val="right"/>
              <w:rPr>
                <w:lang w:val="en-GB"/>
              </w:rPr>
            </w:pPr>
          </w:p>
          <w:p w14:paraId="263E8B35" w14:textId="77777777" w:rsidR="00C072A9" w:rsidRDefault="00C072A9" w:rsidP="000E4691">
            <w:pPr>
              <w:pStyle w:val="CETBodytext"/>
              <w:jc w:val="right"/>
              <w:rPr>
                <w:lang w:val="en-GB"/>
              </w:rPr>
            </w:pPr>
          </w:p>
          <w:p w14:paraId="15ED9A60" w14:textId="77777777" w:rsidR="00FB720C" w:rsidRDefault="00FB720C" w:rsidP="000E4691">
            <w:pPr>
              <w:pStyle w:val="CETBodytext"/>
              <w:jc w:val="right"/>
              <w:rPr>
                <w:lang w:val="en-GB"/>
              </w:rPr>
            </w:pPr>
          </w:p>
          <w:p w14:paraId="0410185E" w14:textId="77777777" w:rsidR="00FB720C" w:rsidRDefault="00FB720C" w:rsidP="000E4691">
            <w:pPr>
              <w:pStyle w:val="CETBodytext"/>
              <w:jc w:val="right"/>
              <w:rPr>
                <w:lang w:val="en-GB"/>
              </w:rPr>
            </w:pPr>
          </w:p>
          <w:p w14:paraId="68726466" w14:textId="77777777" w:rsidR="00FB720C" w:rsidRDefault="00FB720C" w:rsidP="000E4691">
            <w:pPr>
              <w:pStyle w:val="CETBodytext"/>
              <w:jc w:val="right"/>
              <w:rPr>
                <w:lang w:val="en-GB"/>
              </w:rPr>
            </w:pPr>
          </w:p>
          <w:p w14:paraId="48325F00" w14:textId="77777777" w:rsidR="003A3934" w:rsidRDefault="003A3934" w:rsidP="000E4691">
            <w:pPr>
              <w:pStyle w:val="CETBodytext"/>
              <w:jc w:val="right"/>
              <w:rPr>
                <w:lang w:val="en-GB"/>
              </w:rPr>
            </w:pPr>
          </w:p>
          <w:p w14:paraId="16C08129" w14:textId="77777777" w:rsidR="003A3934" w:rsidRDefault="003A3934" w:rsidP="000E4691">
            <w:pPr>
              <w:pStyle w:val="CETBodytext"/>
              <w:jc w:val="right"/>
              <w:rPr>
                <w:lang w:val="en-GB"/>
              </w:rPr>
            </w:pPr>
          </w:p>
          <w:p w14:paraId="16FE2DBD" w14:textId="77777777" w:rsidR="007C386E" w:rsidRPr="007C386E" w:rsidRDefault="007C386E" w:rsidP="000E4691">
            <w:pPr>
              <w:pStyle w:val="CETBodytext"/>
              <w:jc w:val="right"/>
              <w:rPr>
                <w:lang w:val="en-GB"/>
              </w:rPr>
            </w:pPr>
          </w:p>
          <w:p w14:paraId="302D6B5A" w14:textId="77777777" w:rsidR="007C386E" w:rsidRPr="00251F54" w:rsidRDefault="007C386E" w:rsidP="000E4691">
            <w:pPr>
              <w:pStyle w:val="CETBodytext"/>
              <w:jc w:val="right"/>
              <w:rPr>
                <w:lang w:val="en-GB"/>
              </w:rPr>
            </w:pPr>
          </w:p>
        </w:tc>
      </w:tr>
    </w:tbl>
    <w:p w14:paraId="677EBFF0" w14:textId="324E3672" w:rsidR="00600535" w:rsidRDefault="005F3EAE" w:rsidP="00600535">
      <w:pPr>
        <w:pStyle w:val="CETHeading1"/>
        <w:tabs>
          <w:tab w:val="clear" w:pos="360"/>
          <w:tab w:val="right" w:pos="7100"/>
        </w:tabs>
        <w:jc w:val="both"/>
        <w:rPr>
          <w:lang w:val="en-GB"/>
        </w:rPr>
      </w:pPr>
      <w:r>
        <w:rPr>
          <w:lang w:val="en-GB"/>
        </w:rPr>
        <w:t>Results and Discussion</w:t>
      </w:r>
    </w:p>
    <w:p w14:paraId="123CB7DF" w14:textId="025E018A" w:rsidR="00600535" w:rsidRDefault="00DD7FE2" w:rsidP="00A76377">
      <w:pPr>
        <w:pStyle w:val="CETBodytext"/>
      </w:pPr>
      <w:r>
        <w:t xml:space="preserve">The </w:t>
      </w:r>
      <w:r w:rsidR="00A76377">
        <w:t>AHP</w:t>
      </w:r>
      <w:r w:rsidR="00685550">
        <w:t xml:space="preserve">’s relative weights of infrastructural criteria achieved a consistency ratio of </w:t>
      </w:r>
      <w:r w:rsidR="00B509FF">
        <w:t>3.34</w:t>
      </w:r>
      <w:r w:rsidR="00E23CB1">
        <w:t>%</w:t>
      </w:r>
      <w:r w:rsidR="00B509FF">
        <w:t xml:space="preserve">, which is way below the threshold of 10%, indicating a consistent </w:t>
      </w:r>
      <w:r w:rsidR="00DE6F86">
        <w:t>and reasonable pairwise comparison. The resulting relative weights are 63%, 26% and 11% for roads, electricity</w:t>
      </w:r>
      <w:r w:rsidR="00E23CB1">
        <w:t>,</w:t>
      </w:r>
      <w:r w:rsidR="00DE6F86">
        <w:t xml:space="preserve"> and water networks, respectively</w:t>
      </w:r>
      <w:r w:rsidR="00E23CB1">
        <w:t>.</w:t>
      </w:r>
      <w:r w:rsidR="002A6910">
        <w:t xml:space="preserve"> Roads</w:t>
      </w:r>
      <w:r w:rsidR="008C1168">
        <w:t>’</w:t>
      </w:r>
      <w:r w:rsidR="002A6910">
        <w:t xml:space="preserve"> network is given the highest importance </w:t>
      </w:r>
      <w:r w:rsidR="009B2332">
        <w:t xml:space="preserve">due to </w:t>
      </w:r>
      <w:r w:rsidR="00114A5A">
        <w:t xml:space="preserve">the high </w:t>
      </w:r>
      <w:r w:rsidR="009B2332">
        <w:t xml:space="preserve">associated costs </w:t>
      </w:r>
      <w:r w:rsidR="00114A5A">
        <w:t>for</w:t>
      </w:r>
      <w:r w:rsidR="009B2332">
        <w:t xml:space="preserve"> paving new roads in distant areas, followed by electricity and then water connection to main supplying nodes. Besides, electricity can be </w:t>
      </w:r>
      <w:r w:rsidR="008C1168">
        <w:t>generated on-site as commonly practiced in biorefineries.</w:t>
      </w:r>
      <w:r w:rsidR="003F56DF">
        <w:t xml:space="preserve"> </w:t>
      </w:r>
    </w:p>
    <w:p w14:paraId="3220DE35" w14:textId="77777777" w:rsidR="004D799C" w:rsidRPr="00B57B36" w:rsidRDefault="004D799C" w:rsidP="004D799C">
      <w:pPr>
        <w:pStyle w:val="CETheadingx"/>
      </w:pPr>
      <w:r>
        <w:t>Composite infrastructure suitability map</w:t>
      </w:r>
    </w:p>
    <w:p w14:paraId="6C50172E" w14:textId="3EE14DB9" w:rsidR="00FD24BF" w:rsidRDefault="004D799C" w:rsidP="0075181A">
      <w:pPr>
        <w:pStyle w:val="CETBodytext"/>
        <w:spacing w:after="120"/>
        <w:rPr>
          <w:lang w:val="en-GB"/>
        </w:rPr>
      </w:pPr>
      <w:r>
        <w:t>T</w:t>
      </w:r>
      <w:r w:rsidR="00A4630A">
        <w:t xml:space="preserve">he composite suitability map is </w:t>
      </w:r>
      <w:r w:rsidR="00D42033">
        <w:t xml:space="preserve">illustrated in Figure 3a, </w:t>
      </w:r>
      <w:r w:rsidR="00A1539A">
        <w:t xml:space="preserve">presenting different site suitability levels, as well as restricted areas. Whereas Figure 3b represents the </w:t>
      </w:r>
      <w:r w:rsidR="00240E1E">
        <w:t xml:space="preserve">initial candidate sites based on the suitability map. The model identified 166 candidate sites </w:t>
      </w:r>
      <w:r w:rsidR="00F67D4D">
        <w:t>with excellent access to roads, electricity</w:t>
      </w:r>
      <w:r w:rsidR="008606D0">
        <w:t>,</w:t>
      </w:r>
      <w:r w:rsidR="00F67D4D">
        <w:t xml:space="preserve"> and water</w:t>
      </w:r>
      <w:r w:rsidR="008606D0">
        <w:t xml:space="preserve"> infrastructures</w:t>
      </w:r>
      <w:r w:rsidR="00F67D4D">
        <w:t xml:space="preserve">. </w:t>
      </w:r>
      <w:r w:rsidR="008606D0">
        <w:t xml:space="preserve">The </w:t>
      </w:r>
      <w:r w:rsidR="00306D62">
        <w:t>candidate sites are concentrated in northern, south</w:t>
      </w:r>
      <w:r w:rsidR="007C0708">
        <w:t>eastern, western</w:t>
      </w:r>
      <w:r w:rsidR="0075181A">
        <w:t xml:space="preserve">, </w:t>
      </w:r>
      <w:r w:rsidR="007C0708">
        <w:t>and central parts of Qatar.</w:t>
      </w:r>
      <w:r w:rsidR="006D2134">
        <w:t xml:space="preserve"> While they are relatively close to </w:t>
      </w:r>
      <w:r w:rsidR="00EC7AE6">
        <w:t xml:space="preserve">many of the </w:t>
      </w:r>
      <w:r w:rsidR="006D2134">
        <w:t>biomass supply</w:t>
      </w:r>
      <w:r w:rsidR="00D0597B">
        <w:t>ing</w:t>
      </w:r>
      <w:r w:rsidR="006D2134">
        <w:t xml:space="preserve"> sites.</w:t>
      </w:r>
    </w:p>
    <w:p w14:paraId="36F75BB4" w14:textId="14F634D6" w:rsidR="00165923" w:rsidRDefault="008A4734" w:rsidP="0075181A">
      <w:pPr>
        <w:pStyle w:val="CETBodytext"/>
        <w:jc w:val="center"/>
        <w:rPr>
          <w:lang w:val="en-GB"/>
        </w:rPr>
      </w:pPr>
      <w:r>
        <w:rPr>
          <w:noProof/>
        </w:rPr>
        <w:lastRenderedPageBreak/>
        <w:drawing>
          <wp:inline distT="0" distB="0" distL="0" distR="0" wp14:anchorId="23BE008D" wp14:editId="3BC9C699">
            <wp:extent cx="1802854" cy="256013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stretch>
                      <a:fillRect/>
                    </a:stretch>
                  </pic:blipFill>
                  <pic:spPr bwMode="auto">
                    <a:xfrm>
                      <a:off x="0" y="0"/>
                      <a:ext cx="1802854" cy="2560138"/>
                    </a:xfrm>
                    <a:prstGeom prst="rect">
                      <a:avLst/>
                    </a:prstGeom>
                    <a:noFill/>
                    <a:ln>
                      <a:noFill/>
                    </a:ln>
                  </pic:spPr>
                </pic:pic>
              </a:graphicData>
            </a:graphic>
          </wp:inline>
        </w:drawing>
      </w:r>
      <w:r w:rsidR="003032D0">
        <w:rPr>
          <w:noProof/>
        </w:rPr>
        <w:drawing>
          <wp:inline distT="0" distB="0" distL="0" distR="0" wp14:anchorId="0EE07C7D" wp14:editId="189F09C5">
            <wp:extent cx="1801821" cy="256032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stretch>
                      <a:fillRect/>
                    </a:stretch>
                  </pic:blipFill>
                  <pic:spPr bwMode="auto">
                    <a:xfrm>
                      <a:off x="0" y="0"/>
                      <a:ext cx="1801821" cy="2560320"/>
                    </a:xfrm>
                    <a:prstGeom prst="rect">
                      <a:avLst/>
                    </a:prstGeom>
                    <a:noFill/>
                    <a:ln>
                      <a:noFill/>
                    </a:ln>
                  </pic:spPr>
                </pic:pic>
              </a:graphicData>
            </a:graphic>
          </wp:inline>
        </w:drawing>
      </w:r>
    </w:p>
    <w:p w14:paraId="34D450BE" w14:textId="1A4F6B0F" w:rsidR="00034EB5" w:rsidRDefault="00034EB5" w:rsidP="00034EB5">
      <w:pPr>
        <w:pStyle w:val="CETBodytext"/>
        <w:spacing w:before="240" w:after="240"/>
        <w:jc w:val="center"/>
        <w:rPr>
          <w:lang w:val="en-GB"/>
        </w:rPr>
      </w:pPr>
      <w:r w:rsidRPr="003109F0">
        <w:rPr>
          <w:rStyle w:val="CETCaptionCarattere"/>
        </w:rPr>
        <w:t xml:space="preserve">Figure </w:t>
      </w:r>
      <w:r>
        <w:rPr>
          <w:rStyle w:val="CETCaptionCarattere"/>
        </w:rPr>
        <w:t>3</w:t>
      </w:r>
      <w:r w:rsidRPr="003109F0">
        <w:rPr>
          <w:rStyle w:val="CETCaptionCarattere"/>
        </w:rPr>
        <w:t xml:space="preserve">: </w:t>
      </w:r>
      <w:r w:rsidR="007C6ED2">
        <w:rPr>
          <w:rStyle w:val="CETCaptionCarattere"/>
        </w:rPr>
        <w:t>a) Composite suitability map for biorefinery establishment, and b) candidate</w:t>
      </w:r>
      <w:r w:rsidR="00117E10">
        <w:rPr>
          <w:rStyle w:val="CETCaptionCarattere"/>
        </w:rPr>
        <w:t xml:space="preserve"> biorefinery</w:t>
      </w:r>
      <w:r w:rsidR="007C6ED2">
        <w:rPr>
          <w:rStyle w:val="CETCaptionCarattere"/>
        </w:rPr>
        <w:t xml:space="preserve"> sites</w:t>
      </w:r>
      <w:r w:rsidR="00117E10">
        <w:rPr>
          <w:rStyle w:val="CETCaptionCarattere"/>
        </w:rPr>
        <w:t>.</w:t>
      </w:r>
      <w:r w:rsidRPr="003109F0">
        <w:rPr>
          <w:rStyle w:val="CETCaptionCarattere"/>
        </w:rPr>
        <w:t xml:space="preserve"> </w:t>
      </w:r>
    </w:p>
    <w:p w14:paraId="099D4773" w14:textId="3D09AE32" w:rsidR="00397E6D" w:rsidRPr="00B57B36" w:rsidRDefault="00D06DDE" w:rsidP="00397E6D">
      <w:pPr>
        <w:pStyle w:val="CETheadingx"/>
      </w:pPr>
      <w:r>
        <w:t xml:space="preserve">Optimal biorefinery site </w:t>
      </w:r>
    </w:p>
    <w:p w14:paraId="595D01F5" w14:textId="145EE99E" w:rsidR="004934D6" w:rsidRDefault="00FA55ED" w:rsidP="00E26561">
      <w:pPr>
        <w:pStyle w:val="CETBodytext"/>
        <w:rPr>
          <w:lang w:val="en-GB"/>
        </w:rPr>
      </w:pPr>
      <w:r>
        <w:rPr>
          <w:lang w:val="en-GB"/>
        </w:rPr>
        <w:t>The MCLP model in ArcGIS</w:t>
      </w:r>
      <w:r w:rsidR="00485D07">
        <w:rPr>
          <w:lang w:val="en-GB"/>
        </w:rPr>
        <w:t xml:space="preserve"> selected the candidate site (25.144, 51.351) as the optimal biorefinery site</w:t>
      </w:r>
      <w:r w:rsidR="00B40C8D">
        <w:rPr>
          <w:lang w:val="en-GB"/>
        </w:rPr>
        <w:t xml:space="preserve">. </w:t>
      </w:r>
      <w:r w:rsidR="004B69BC">
        <w:rPr>
          <w:lang w:val="en-GB"/>
        </w:rPr>
        <w:t xml:space="preserve">The selected site </w:t>
      </w:r>
      <w:proofErr w:type="gramStart"/>
      <w:r w:rsidR="00D631CE">
        <w:rPr>
          <w:lang w:val="en-GB"/>
        </w:rPr>
        <w:t>is located in</w:t>
      </w:r>
      <w:proofErr w:type="gramEnd"/>
      <w:r w:rsidR="00D631CE">
        <w:rPr>
          <w:lang w:val="en-GB"/>
        </w:rPr>
        <w:t xml:space="preserve"> the south-eastern part of Qatar, </w:t>
      </w:r>
      <w:r w:rsidR="00E974D4">
        <w:rPr>
          <w:lang w:val="en-GB"/>
        </w:rPr>
        <w:t xml:space="preserve">around 5 km west of the Doha industrial area. </w:t>
      </w:r>
      <w:r w:rsidR="00B40C8D">
        <w:rPr>
          <w:lang w:val="en-GB"/>
        </w:rPr>
        <w:t xml:space="preserve">The </w:t>
      </w:r>
      <w:r w:rsidR="001F697A">
        <w:rPr>
          <w:lang w:val="en-GB"/>
        </w:rPr>
        <w:t>site</w:t>
      </w:r>
      <w:r w:rsidR="00B40C8D">
        <w:rPr>
          <w:lang w:val="en-GB"/>
        </w:rPr>
        <w:t xml:space="preserve"> has a perfect access </w:t>
      </w:r>
      <w:r w:rsidR="00DC3450">
        <w:rPr>
          <w:lang w:val="en-GB"/>
        </w:rPr>
        <w:t xml:space="preserve">to </w:t>
      </w:r>
      <w:r w:rsidR="00810680">
        <w:rPr>
          <w:lang w:val="en-GB"/>
        </w:rPr>
        <w:t xml:space="preserve">the </w:t>
      </w:r>
      <w:r w:rsidR="00DC3450">
        <w:rPr>
          <w:lang w:val="en-GB"/>
        </w:rPr>
        <w:t xml:space="preserve">infrastructural facilities </w:t>
      </w:r>
      <w:r w:rsidR="00810680">
        <w:rPr>
          <w:lang w:val="en-GB"/>
        </w:rPr>
        <w:t>considered in this study</w:t>
      </w:r>
      <w:r w:rsidR="001F697A">
        <w:rPr>
          <w:lang w:val="en-GB"/>
        </w:rPr>
        <w:t>, whereby it</w:t>
      </w:r>
      <w:r w:rsidR="000D73C9">
        <w:rPr>
          <w:lang w:val="en-GB"/>
        </w:rPr>
        <w:t xml:space="preserve"> has a direct access to </w:t>
      </w:r>
      <w:r w:rsidR="003B1AB9">
        <w:rPr>
          <w:lang w:val="en-GB"/>
        </w:rPr>
        <w:t xml:space="preserve">the Abu-Nakhla </w:t>
      </w:r>
      <w:r w:rsidR="00125729">
        <w:rPr>
          <w:lang w:val="en-GB"/>
        </w:rPr>
        <w:t>R</w:t>
      </w:r>
      <w:r w:rsidR="003B1AB9">
        <w:rPr>
          <w:lang w:val="en-GB"/>
        </w:rPr>
        <w:t xml:space="preserve">oad, while it is 1.2 km away from the </w:t>
      </w:r>
      <w:r w:rsidR="00125729">
        <w:rPr>
          <w:lang w:val="en-GB"/>
        </w:rPr>
        <w:t>O</w:t>
      </w:r>
      <w:r w:rsidR="003B1AB9">
        <w:rPr>
          <w:lang w:val="en-GB"/>
        </w:rPr>
        <w:t xml:space="preserve">rbital </w:t>
      </w:r>
      <w:r w:rsidR="00125729">
        <w:rPr>
          <w:lang w:val="en-GB"/>
        </w:rPr>
        <w:t>H</w:t>
      </w:r>
      <w:r w:rsidR="003B1AB9">
        <w:rPr>
          <w:lang w:val="en-GB"/>
        </w:rPr>
        <w:t>ighway, which is one of the</w:t>
      </w:r>
      <w:r w:rsidR="009E614A">
        <w:rPr>
          <w:lang w:val="en-GB"/>
        </w:rPr>
        <w:t xml:space="preserve"> most</w:t>
      </w:r>
      <w:r w:rsidR="003B1AB9">
        <w:rPr>
          <w:lang w:val="en-GB"/>
        </w:rPr>
        <w:t xml:space="preserve"> </w:t>
      </w:r>
      <w:r w:rsidR="00D62828">
        <w:rPr>
          <w:lang w:val="en-GB"/>
        </w:rPr>
        <w:t>vital highways</w:t>
      </w:r>
      <w:r w:rsidR="00455A96">
        <w:rPr>
          <w:lang w:val="en-GB"/>
        </w:rPr>
        <w:t xml:space="preserve"> </w:t>
      </w:r>
      <w:r w:rsidR="0047725C">
        <w:rPr>
          <w:lang w:val="en-GB"/>
        </w:rPr>
        <w:t xml:space="preserve">and truck routes </w:t>
      </w:r>
      <w:r w:rsidR="00EA627C">
        <w:rPr>
          <w:lang w:val="en-GB"/>
        </w:rPr>
        <w:t xml:space="preserve">(195 km-long) </w:t>
      </w:r>
      <w:r w:rsidR="00455A96">
        <w:rPr>
          <w:lang w:val="en-GB"/>
        </w:rPr>
        <w:t>that connect</w:t>
      </w:r>
      <w:r w:rsidR="0047725C">
        <w:rPr>
          <w:lang w:val="en-GB"/>
        </w:rPr>
        <w:t>s</w:t>
      </w:r>
      <w:r w:rsidR="00D62828">
        <w:rPr>
          <w:lang w:val="en-GB"/>
        </w:rPr>
        <w:t xml:space="preserve"> between the northern and southern parts of Qatar</w:t>
      </w:r>
      <w:r w:rsidR="004B2F9D">
        <w:rPr>
          <w:lang w:val="en-GB"/>
        </w:rPr>
        <w:t>, bypassing the jammed Doha capital.</w:t>
      </w:r>
      <w:r w:rsidR="001F697A">
        <w:rPr>
          <w:lang w:val="en-GB"/>
        </w:rPr>
        <w:t xml:space="preserve"> </w:t>
      </w:r>
      <w:r w:rsidR="00D62828">
        <w:rPr>
          <w:lang w:val="en-GB"/>
        </w:rPr>
        <w:t>Nevertheless</w:t>
      </w:r>
      <w:r w:rsidR="00810680">
        <w:rPr>
          <w:lang w:val="en-GB"/>
        </w:rPr>
        <w:t xml:space="preserve">, </w:t>
      </w:r>
      <w:r w:rsidR="00E26561">
        <w:rPr>
          <w:lang w:val="en-GB"/>
        </w:rPr>
        <w:t xml:space="preserve">the site has a </w:t>
      </w:r>
      <w:r w:rsidR="004B69BC">
        <w:rPr>
          <w:lang w:val="en-GB"/>
        </w:rPr>
        <w:t xml:space="preserve">relatively close </w:t>
      </w:r>
      <w:r w:rsidR="00E26561">
        <w:rPr>
          <w:lang w:val="en-GB"/>
        </w:rPr>
        <w:t xml:space="preserve">access </w:t>
      </w:r>
      <w:r w:rsidR="004B69BC">
        <w:rPr>
          <w:lang w:val="en-GB"/>
        </w:rPr>
        <w:t>to the highest energy generating biomass sites</w:t>
      </w:r>
      <w:r w:rsidR="00E26561">
        <w:rPr>
          <w:lang w:val="en-GB"/>
        </w:rPr>
        <w:t xml:space="preserve"> as presented in </w:t>
      </w:r>
      <w:r w:rsidR="00462674">
        <w:rPr>
          <w:lang w:val="en-GB"/>
        </w:rPr>
        <w:t xml:space="preserve">Figure 4. </w:t>
      </w:r>
    </w:p>
    <w:p w14:paraId="71CAB5E8" w14:textId="0E9FE942" w:rsidR="00397E6D" w:rsidRDefault="00462674" w:rsidP="00E26561">
      <w:pPr>
        <w:pStyle w:val="CETBodytext"/>
        <w:rPr>
          <w:lang w:val="en-GB"/>
        </w:rPr>
      </w:pPr>
      <w:r>
        <w:rPr>
          <w:lang w:val="en-GB"/>
        </w:rPr>
        <w:t xml:space="preserve">Considering </w:t>
      </w:r>
      <w:r w:rsidR="004934D6">
        <w:rPr>
          <w:lang w:val="en-GB"/>
        </w:rPr>
        <w:t>an L</w:t>
      </w:r>
      <w:r w:rsidR="00AF5959">
        <w:rPr>
          <w:lang w:val="en-GB"/>
        </w:rPr>
        <w:t>ZV</w:t>
      </w:r>
      <w:r w:rsidR="004934D6">
        <w:rPr>
          <w:lang w:val="en-GB"/>
        </w:rPr>
        <w:t xml:space="preserve"> freight load of 18.7 tonne</w:t>
      </w:r>
      <w:r w:rsidR="00AF5959">
        <w:rPr>
          <w:lang w:val="en-GB"/>
        </w:rPr>
        <w:t xml:space="preserve"> and </w:t>
      </w:r>
      <w:r w:rsidR="00984A26">
        <w:rPr>
          <w:lang w:val="en-GB"/>
        </w:rPr>
        <w:t xml:space="preserve">an </w:t>
      </w:r>
      <w:r w:rsidR="00AF5959">
        <w:rPr>
          <w:lang w:val="en-GB"/>
        </w:rPr>
        <w:t>average cost of</w:t>
      </w:r>
      <w:r w:rsidR="004934D6">
        <w:rPr>
          <w:lang w:val="en-GB"/>
        </w:rPr>
        <w:t xml:space="preserve"> 2 $/km</w:t>
      </w:r>
      <w:r w:rsidR="00AF5959">
        <w:rPr>
          <w:lang w:val="en-GB"/>
        </w:rPr>
        <w:t xml:space="preserve"> </w:t>
      </w:r>
      <w:r w:rsidR="00AF5959">
        <w:rPr>
          <w:lang w:val="en-GB"/>
        </w:rPr>
        <w:fldChar w:fldCharType="begin" w:fldLock="1"/>
      </w:r>
      <w:r w:rsidR="00125729">
        <w:rPr>
          <w:lang w:val="en-GB"/>
        </w:rPr>
        <w:instrText>ADDIN CSL_CITATION {"citationItems":[{"id":"ITEM-1","itemData":{"author":[{"dropping-particle":"van der","family":"Meulen","given":"Sander","non-dropping-particle":"","parse-names":false,"suffix":""},{"dropping-particle":"","family":"Grijspaardt","given":"Tom","non-dropping-particle":"","parse-names":false,"suffix":""},{"dropping-particle":"","family":"Mars","given":"Wim","non-dropping-particle":"","parse-names":false,"suffix":""},{"dropping-particle":"van der","family":"Geest","given":"Wouter","non-dropping-particle":"","parse-names":false,"suffix":""},{"dropping-particle":"","family":"Roest-Crollius","given":"Adriaan","non-dropping-particle":"","parse-names":false,"suffix":""},{"dropping-particle":"","family":"Kiel","given":"Jan","non-dropping-particle":"","parse-names":false,"suffix":""}],"id":"ITEM-1","issued":{"date-parts":[["2020"]]},"title":"Cost Figures for Freight Transport","type":"report"},"uris":["http://www.mendeley.com/documents/?uuid=4e5761fc-e20b-45db-a9e9-c7f78931a9b3"]}],"mendeley":{"formattedCitation":"(Meulen et al., 2020)","plainTextFormattedCitation":"(Meulen et al., 2020)","previouslyFormattedCitation":"(Meulen et al., 2020)"},"properties":{"noteIndex":0},"schema":"https://github.com/citation-style-language/schema/raw/master/csl-citation.json"}</w:instrText>
      </w:r>
      <w:r w:rsidR="00AF5959">
        <w:rPr>
          <w:lang w:val="en-GB"/>
        </w:rPr>
        <w:fldChar w:fldCharType="separate"/>
      </w:r>
      <w:r w:rsidR="00AF5959" w:rsidRPr="00AF5959">
        <w:rPr>
          <w:noProof/>
          <w:lang w:val="en-GB"/>
        </w:rPr>
        <w:t>(Meulen et al., 2020)</w:t>
      </w:r>
      <w:r w:rsidR="00AF5959">
        <w:rPr>
          <w:lang w:val="en-GB"/>
        </w:rPr>
        <w:fldChar w:fldCharType="end"/>
      </w:r>
      <w:r w:rsidR="00BF72A6">
        <w:rPr>
          <w:lang w:val="en-GB"/>
        </w:rPr>
        <w:t xml:space="preserve">, biomass </w:t>
      </w:r>
      <w:r w:rsidR="005D567E">
        <w:rPr>
          <w:lang w:val="en-GB"/>
        </w:rPr>
        <w:t xml:space="preserve">can be transported from the various supplying sites to the selected biorefinery site with </w:t>
      </w:r>
      <w:r w:rsidR="00E21AF2">
        <w:rPr>
          <w:lang w:val="en-GB"/>
        </w:rPr>
        <w:t xml:space="preserve">an average cost of </w:t>
      </w:r>
      <w:r w:rsidR="005D567E">
        <w:rPr>
          <w:lang w:val="en-GB"/>
        </w:rPr>
        <w:t>7</w:t>
      </w:r>
      <w:r w:rsidR="00E21AF2">
        <w:rPr>
          <w:lang w:val="en-GB"/>
        </w:rPr>
        <w:t>.03</w:t>
      </w:r>
      <w:r w:rsidR="005D567E">
        <w:rPr>
          <w:lang w:val="en-GB"/>
        </w:rPr>
        <w:t xml:space="preserve"> $/tonne.</w:t>
      </w:r>
    </w:p>
    <w:p w14:paraId="1CF3412F" w14:textId="6CBDFB22" w:rsidR="00034EB5" w:rsidRDefault="000D11AD" w:rsidP="000D11AD">
      <w:pPr>
        <w:pStyle w:val="CETBodytext"/>
        <w:jc w:val="center"/>
        <w:rPr>
          <w:lang w:val="en-GB"/>
        </w:rPr>
      </w:pPr>
      <w:r>
        <w:rPr>
          <w:noProof/>
        </w:rPr>
        <w:drawing>
          <wp:inline distT="0" distB="0" distL="0" distR="0" wp14:anchorId="5691FCF4" wp14:editId="58627062">
            <wp:extent cx="1807715" cy="2568694"/>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a:stretch>
                      <a:fillRect/>
                    </a:stretch>
                  </pic:blipFill>
                  <pic:spPr bwMode="auto">
                    <a:xfrm>
                      <a:off x="0" y="0"/>
                      <a:ext cx="1807715" cy="2568694"/>
                    </a:xfrm>
                    <a:prstGeom prst="rect">
                      <a:avLst/>
                    </a:prstGeom>
                    <a:noFill/>
                    <a:ln>
                      <a:noFill/>
                    </a:ln>
                  </pic:spPr>
                </pic:pic>
              </a:graphicData>
            </a:graphic>
          </wp:inline>
        </w:drawing>
      </w:r>
    </w:p>
    <w:p w14:paraId="445FFF05" w14:textId="2ACA60D4" w:rsidR="000D11AD" w:rsidRDefault="000D11AD" w:rsidP="000D11AD">
      <w:pPr>
        <w:pStyle w:val="CETBodytext"/>
        <w:spacing w:before="240" w:after="240"/>
        <w:jc w:val="center"/>
        <w:rPr>
          <w:lang w:val="en-GB"/>
        </w:rPr>
      </w:pPr>
      <w:r w:rsidRPr="003109F0">
        <w:rPr>
          <w:rStyle w:val="CETCaptionCarattere"/>
        </w:rPr>
        <w:t xml:space="preserve">Figure </w:t>
      </w:r>
      <w:r w:rsidR="00F23192">
        <w:rPr>
          <w:rStyle w:val="CETCaptionCarattere"/>
        </w:rPr>
        <w:t>4</w:t>
      </w:r>
      <w:r w:rsidRPr="003109F0">
        <w:rPr>
          <w:rStyle w:val="CETCaptionCarattere"/>
        </w:rPr>
        <w:t xml:space="preserve">: </w:t>
      </w:r>
      <w:r w:rsidR="00F23192">
        <w:rPr>
          <w:rStyle w:val="CETCaptionCarattere"/>
        </w:rPr>
        <w:t>Final selected biorefinery site</w:t>
      </w:r>
      <w:r w:rsidR="000C01F4">
        <w:rPr>
          <w:rStyle w:val="CETCaptionCarattere"/>
        </w:rPr>
        <w:t xml:space="preserve">, and </w:t>
      </w:r>
      <w:r w:rsidR="00DB2A53">
        <w:rPr>
          <w:rStyle w:val="CETCaptionCarattere"/>
        </w:rPr>
        <w:t xml:space="preserve">the </w:t>
      </w:r>
      <w:r w:rsidR="000C01F4">
        <w:rPr>
          <w:rStyle w:val="CETCaptionCarattere"/>
        </w:rPr>
        <w:t>energy supply potential at different biomass sites.</w:t>
      </w:r>
    </w:p>
    <w:p w14:paraId="68D26B83" w14:textId="77777777" w:rsidR="00600535" w:rsidRPr="00B57B36" w:rsidRDefault="00600535" w:rsidP="00600535">
      <w:pPr>
        <w:pStyle w:val="CETHeading1"/>
        <w:rPr>
          <w:lang w:val="en-GB"/>
        </w:rPr>
      </w:pPr>
      <w:r w:rsidRPr="00B57B36">
        <w:rPr>
          <w:lang w:val="en-GB"/>
        </w:rPr>
        <w:t>Conclusions</w:t>
      </w:r>
    </w:p>
    <w:p w14:paraId="52DAFDE0" w14:textId="6619D82F" w:rsidR="001D0CFB" w:rsidRDefault="00B04B3F" w:rsidP="00600535">
      <w:pPr>
        <w:pStyle w:val="CETBodytext"/>
        <w:rPr>
          <w:lang w:val="en-GB"/>
        </w:rPr>
      </w:pPr>
      <w:r>
        <w:rPr>
          <w:lang w:val="en-GB"/>
        </w:rPr>
        <w:t>This study presented an ArcGIS-based framework for biorefinery siting</w:t>
      </w:r>
      <w:r w:rsidR="006C31C5">
        <w:rPr>
          <w:lang w:val="en-GB"/>
        </w:rPr>
        <w:t xml:space="preserve"> based on multiple economic, developmental, social and environmental criteria. The framework </w:t>
      </w:r>
      <w:r w:rsidR="003A455E">
        <w:rPr>
          <w:lang w:val="en-GB"/>
        </w:rPr>
        <w:t>integrates</w:t>
      </w:r>
      <w:r w:rsidR="006C31C5">
        <w:rPr>
          <w:lang w:val="en-GB"/>
        </w:rPr>
        <w:t xml:space="preserve"> </w:t>
      </w:r>
      <w:r w:rsidR="000015B9">
        <w:rPr>
          <w:lang w:val="en-GB"/>
        </w:rPr>
        <w:t xml:space="preserve">the AHP process, suitability analysis </w:t>
      </w:r>
      <w:r w:rsidR="003A455E">
        <w:rPr>
          <w:lang w:val="en-GB"/>
        </w:rPr>
        <w:t xml:space="preserve">and network analysis using MCLP models. </w:t>
      </w:r>
      <w:r w:rsidR="00A96519">
        <w:rPr>
          <w:lang w:val="en-GB"/>
        </w:rPr>
        <w:t xml:space="preserve">The optimal selected site (at </w:t>
      </w:r>
      <w:r w:rsidR="00A96519" w:rsidRPr="00473DF3">
        <w:rPr>
          <w:lang w:val="en-GB"/>
        </w:rPr>
        <w:t>25.144, 51.351</w:t>
      </w:r>
      <w:r w:rsidR="00A96519">
        <w:rPr>
          <w:lang w:val="en-GB"/>
        </w:rPr>
        <w:t xml:space="preserve">) is believed to maximise </w:t>
      </w:r>
      <w:r w:rsidR="00B57DD8">
        <w:rPr>
          <w:lang w:val="en-GB"/>
        </w:rPr>
        <w:t>biomass energy supply with</w:t>
      </w:r>
      <w:r w:rsidR="00B1291A">
        <w:rPr>
          <w:lang w:val="en-GB"/>
        </w:rPr>
        <w:t xml:space="preserve"> the</w:t>
      </w:r>
      <w:r w:rsidR="00B57DD8">
        <w:rPr>
          <w:lang w:val="en-GB"/>
        </w:rPr>
        <w:t xml:space="preserve"> least transportation cost, which is evaluated at an average of 7 $/tonne biomass.</w:t>
      </w:r>
    </w:p>
    <w:p w14:paraId="4F1327F8" w14:textId="77777777" w:rsidR="00600535" w:rsidRPr="00B57B36" w:rsidRDefault="00600535" w:rsidP="00600535">
      <w:pPr>
        <w:pStyle w:val="CETReference"/>
      </w:pPr>
      <w:r w:rsidRPr="00B57B36">
        <w:lastRenderedPageBreak/>
        <w:t>References</w:t>
      </w:r>
    </w:p>
    <w:p w14:paraId="1DD93DE7" w14:textId="5300EB52" w:rsidR="005F6DFA" w:rsidRPr="005F6DFA" w:rsidRDefault="00125729" w:rsidP="005F6DFA">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5F6DFA" w:rsidRPr="005F6DFA">
        <w:rPr>
          <w:rFonts w:cs="Arial"/>
          <w:noProof/>
          <w:szCs w:val="24"/>
        </w:rPr>
        <w:t>Al-Ansari, T., AlNouss, A., Al-Thani, N., Parthasarathy, P., ElKhalifa, S., Mckay, G., Alherbawi, M., 2020. Optimising Multi Biomass Feedstock Utilisation Considering a Multi Technology Approach, in: Pierucci, S., Manenti, F., Bozzano, G.L., Manca, D.B.T.-C.A.C.E. (Eds.), 30 European Symposium on Computer Aided Process Engineering. Elsevier, pp. 1633–1638. https://doi.org/https://doi.org/10.1016/B978-0-12-823377-1.50273-1</w:t>
      </w:r>
    </w:p>
    <w:p w14:paraId="322876B9"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Alherbawi, M., Parthasarathy, P., Al-Ansari, T., Mackey, H.R., McKay, G., 2021. Potential of drop-in biofuel production from camel manure by hydrothermal liquefaction and biocrude upgrading: A Qatar case study. Energy 121027. https://doi.org/https://doi.org/10.1016/j.energy.2021.121027</w:t>
      </w:r>
    </w:p>
    <w:p w14:paraId="555F6CB3"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AlNouss, A., Govindan, R., McKay, G., Al-Ansari, T., 2020a. Development of a Computational Intelligence Framework for the Strategic Design and Implementation of Large-scale Biomass Supply Chains, in: Pierucci, S., Manenti, F., Bozzano, G.L., Manca, D.B.T.-C.A.C.E. (Eds.), 30 European Symposium on Computer Aided Process Engineering. Elsevier, pp. 1627–1632. https://doi.org/https://doi.org/10.1016/B978-0-12-823377-1.50272-X</w:t>
      </w:r>
    </w:p>
    <w:p w14:paraId="48D9F288"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AlNouss, A., McKay, G., Al-Ansari, T., 2020b. Production of syngas via gasification using optimum blends of biomass. J. Clean. Prod. 242, 118499. https://doi.org/https://doi.org/10.1016/j.jclepro.2019.118499</w:t>
      </w:r>
    </w:p>
    <w:p w14:paraId="6C3A2DA3"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AlrayyanTV, 2018. Made in Qatar Series.</w:t>
      </w:r>
    </w:p>
    <w:p w14:paraId="0EF5A514"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Baliban, R.C., Elia, J.A., Floudas, C.A., 2010. Toward Novel Hybrid Biomass, Coal, and Natural Gas Processes for Satisfying Current Transportation Fuel Demands, 1: Process Alternatives, Gasification Modeling, Process Simulation, and Economic Analysis. Ind. Eng. Chem. Res. 49, 7343–7370. https://doi.org/10.1021/ie100063y</w:t>
      </w:r>
    </w:p>
    <w:p w14:paraId="00CAA23F"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Church, R., ReVelle, C., 1974. The maximal covering location problem, in: Papers of the Regional Science Association. Springer-Verlag, pp. 101–118.</w:t>
      </w:r>
    </w:p>
    <w:p w14:paraId="78BF0447"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Dias, M., Cavalett, O., Maciel Filho, R., Bonomi, A., 2014. Integrated first and second generation ethanol production from sugarcane. Chem. Eng. Trans. 37, 445–450.</w:t>
      </w:r>
    </w:p>
    <w:p w14:paraId="53141D3E"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Elkhalifa, S., Al-Ansari, T., Mackey, H.R., McKay, G., 2019. Food waste to biochars through pyrolysis: A review. Resour. Conserv. Recycl. 144, 310–320. https://doi.org/https://doi.org/10.1016/j.resconrec.2019.01.024</w:t>
      </w:r>
    </w:p>
    <w:p w14:paraId="45B2A5DF"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Floudas, C.A., Elia, J.A., Baliban, R.C., 2012. Hybrid and single feedstock energy processes for liquid transportation fuels: A critical review. Comput. Chem. Eng. 41, 24–51. https://doi.org/https://doi.org/10.1016/j.compchemeng.2012.02.008</w:t>
      </w:r>
    </w:p>
    <w:p w14:paraId="71922763"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Magdeldin, M., Kohl, T., Järvinen, M., 2018. Techno-economic Assessment of Integrated Hydrothermal Liquefaction and Combined Heat and Power Production from Lignocellulose Residues. J. Sustain. Dev. Energy, Water Environ. Syst. 6, 89–113.</w:t>
      </w:r>
    </w:p>
    <w:p w14:paraId="0EFDF6D5"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Martinkus, N., Rijkhoff, S.A.M., Hoard, S.A., Shi, W., Smith, P., Gaffney, M., Wolcott, M., 2017. Biorefinery site selection using a stepwise biogeophysical and social analysis approach. Biomass and Bioenergy 97, 139–148. https://doi.org/https://doi.org/10.1016/j.biombioe.2016.12.022</w:t>
      </w:r>
    </w:p>
    <w:p w14:paraId="3FF2F237"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Marvin, W.A., Schmidt, L.D., Daoutidis, P., 2013. Biorefinery Location and Technology Selection Through Supply Chain Optimization. Ind. Eng. Chem. Res. 52, 3192–3208. https://doi.org/10.1021/ie3010463</w:t>
      </w:r>
    </w:p>
    <w:p w14:paraId="66430198"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MDPS, 2018. Water Statistics in the State of Qatar 2017.</w:t>
      </w:r>
    </w:p>
    <w:p w14:paraId="33A1075A"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Meulen, S. van der, Grijspaardt, T., Mars, W., Geest, W. van der, Roest-Crollius, A., Kiel, J., 2020. Cost Figures for Freight Transport.</w:t>
      </w:r>
    </w:p>
    <w:p w14:paraId="43A3C716"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Ministry of Development Planning and Statistics, 2013. Environment Statistics Annual Report 2013.</w:t>
      </w:r>
    </w:p>
    <w:p w14:paraId="7D196417"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Mubeen, I., Buekens, A., 2019. Chapter 14 - Energy From Waste: Future Prospects Toward Sustainable Development, in: Kumar, S., Kumar, R., Pandey, A.B.T.-C.D. in B. and B. (Eds.), . Elsevier, pp. 283–305. https://doi.org/https://doi.org/10.1016/B978-0-444-64083-3.00014-2</w:t>
      </w:r>
    </w:p>
    <w:p w14:paraId="5221C309"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Neves, R.C., Klein, B.C., da Silva, R.J., Rezende, M.C.A.F., Funke, A., Olivarez-Gómez, E., Bonomi, A., Maciel-Filho, R., 2020. A vision on biomass-to-liquids (BTL) thermochemical routes in integrated sugarcane biorefineries for biojet fuel production. Renew. Sustain. Energy Rev. 119, 109607. https://doi.org/https://doi.org/10.1016/j.rser.2019.109607</w:t>
      </w:r>
    </w:p>
    <w:p w14:paraId="744413B2"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Ng, R.T.L., Maravelias, C.T., 2017. Design of biofuel supply chains with variable regional depot and biorefinery locations. Renew. Energy 100, 90–102. https://doi.org/https://doi.org/10.1016/j.renene.2016.05.009</w:t>
      </w:r>
    </w:p>
    <w:p w14:paraId="72B4954A"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Planning and Statistics Authority of Qatar, 2021. Statistical Maps of Qatar [WWW Document]. URL https://gis.psa.gov.qa/QatarAtlas/StatisticalSector?Left_Menu_DIV=Settlements_Census1986_2020&amp;Left_Menu_DIV_SubItem=MenuItem_Settlements_0 (accessed 3.20.21).</w:t>
      </w:r>
    </w:p>
    <w:p w14:paraId="14D01B04"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Qatar Statistics Authority, 2013. Qatar Atlas.</w:t>
      </w:r>
    </w:p>
    <w:p w14:paraId="0EA927EC"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Qatarpetroleum, 2019. Qatar Petroleum Sustainability Report 2019.</w:t>
      </w:r>
    </w:p>
    <w:p w14:paraId="0A6D3672"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Saaty, T.L., 1999. Basic theory of the analytic hierarchy process: How to make a decision. Rev. la Real Acad. Ciencias Exactas Fis. y Nat. 93, 395–423.</w:t>
      </w:r>
    </w:p>
    <w:p w14:paraId="1ACE5F40" w14:textId="77777777" w:rsidR="005F6DFA" w:rsidRPr="005F6DFA" w:rsidRDefault="005F6DFA" w:rsidP="005F6DFA">
      <w:pPr>
        <w:widowControl w:val="0"/>
        <w:autoSpaceDE w:val="0"/>
        <w:autoSpaceDN w:val="0"/>
        <w:adjustRightInd w:val="0"/>
        <w:spacing w:line="240" w:lineRule="auto"/>
        <w:ind w:left="480" w:hanging="480"/>
        <w:rPr>
          <w:rFonts w:cs="Arial"/>
          <w:noProof/>
          <w:szCs w:val="24"/>
        </w:rPr>
      </w:pPr>
      <w:r w:rsidRPr="005F6DFA">
        <w:rPr>
          <w:rFonts w:cs="Arial"/>
          <w:noProof/>
          <w:szCs w:val="24"/>
        </w:rPr>
        <w:t>Saaty, T.L., 1988. What is the analytic hierarchy process?, in: Mathematical Models for Decision Support. Springer, pp. 109–121.</w:t>
      </w:r>
    </w:p>
    <w:p w14:paraId="7A28D7B0" w14:textId="77777777" w:rsidR="005F6DFA" w:rsidRPr="005F6DFA" w:rsidRDefault="005F6DFA" w:rsidP="005F6DFA">
      <w:pPr>
        <w:widowControl w:val="0"/>
        <w:autoSpaceDE w:val="0"/>
        <w:autoSpaceDN w:val="0"/>
        <w:adjustRightInd w:val="0"/>
        <w:spacing w:line="240" w:lineRule="auto"/>
        <w:ind w:left="480" w:hanging="480"/>
        <w:rPr>
          <w:rFonts w:cs="Arial"/>
          <w:noProof/>
        </w:rPr>
      </w:pPr>
      <w:r w:rsidRPr="005F6DFA">
        <w:rPr>
          <w:rFonts w:cs="Arial"/>
          <w:noProof/>
          <w:szCs w:val="24"/>
        </w:rPr>
        <w:t>WBA, 2019. Global Bioenergy Statistics 2019.</w:t>
      </w:r>
    </w:p>
    <w:p w14:paraId="4CCB69BB" w14:textId="0ABBC42F" w:rsidR="00125729" w:rsidRDefault="00125729" w:rsidP="00E65D69">
      <w:pPr>
        <w:pStyle w:val="CETBodytext"/>
        <w:rPr>
          <w:lang w:val="en-GB"/>
        </w:rPr>
      </w:pPr>
      <w:r>
        <w:rPr>
          <w:lang w:val="en-GB"/>
        </w:rPr>
        <w:fldChar w:fldCharType="end"/>
      </w:r>
    </w:p>
    <w:sectPr w:rsidR="00125729"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8A116" w14:textId="77777777" w:rsidR="008F54D3" w:rsidRDefault="008F54D3" w:rsidP="004F5E36">
      <w:r>
        <w:separator/>
      </w:r>
    </w:p>
  </w:endnote>
  <w:endnote w:type="continuationSeparator" w:id="0">
    <w:p w14:paraId="6EE07F24" w14:textId="77777777" w:rsidR="008F54D3" w:rsidRDefault="008F54D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EC8A0" w14:textId="77777777" w:rsidR="008F54D3" w:rsidRDefault="008F54D3" w:rsidP="004F5E36">
      <w:r>
        <w:separator/>
      </w:r>
    </w:p>
  </w:footnote>
  <w:footnote w:type="continuationSeparator" w:id="0">
    <w:p w14:paraId="09A4AEF0" w14:textId="77777777" w:rsidR="008F54D3" w:rsidRDefault="008F54D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5B9"/>
    <w:rsid w:val="000027C0"/>
    <w:rsid w:val="000052FB"/>
    <w:rsid w:val="000100F2"/>
    <w:rsid w:val="00010439"/>
    <w:rsid w:val="00010A47"/>
    <w:rsid w:val="000117CB"/>
    <w:rsid w:val="000251E3"/>
    <w:rsid w:val="0003148D"/>
    <w:rsid w:val="00031EEC"/>
    <w:rsid w:val="00034EB5"/>
    <w:rsid w:val="00036548"/>
    <w:rsid w:val="000454F5"/>
    <w:rsid w:val="00051566"/>
    <w:rsid w:val="000539EE"/>
    <w:rsid w:val="0005748A"/>
    <w:rsid w:val="000577A3"/>
    <w:rsid w:val="00062A9A"/>
    <w:rsid w:val="00062BA4"/>
    <w:rsid w:val="000649E9"/>
    <w:rsid w:val="00065058"/>
    <w:rsid w:val="00065CA4"/>
    <w:rsid w:val="0007669E"/>
    <w:rsid w:val="00076AB9"/>
    <w:rsid w:val="00086C39"/>
    <w:rsid w:val="0009074D"/>
    <w:rsid w:val="000951BA"/>
    <w:rsid w:val="0009565A"/>
    <w:rsid w:val="000A0178"/>
    <w:rsid w:val="000A03B2"/>
    <w:rsid w:val="000B1738"/>
    <w:rsid w:val="000B7F16"/>
    <w:rsid w:val="000C01F4"/>
    <w:rsid w:val="000C23BC"/>
    <w:rsid w:val="000D0268"/>
    <w:rsid w:val="000D11AD"/>
    <w:rsid w:val="000D28CE"/>
    <w:rsid w:val="000D34BE"/>
    <w:rsid w:val="000D73C9"/>
    <w:rsid w:val="000E102F"/>
    <w:rsid w:val="000E2EB3"/>
    <w:rsid w:val="000E34BC"/>
    <w:rsid w:val="000E36F1"/>
    <w:rsid w:val="000E3A73"/>
    <w:rsid w:val="000E414A"/>
    <w:rsid w:val="000E4691"/>
    <w:rsid w:val="000E4B70"/>
    <w:rsid w:val="000E52FC"/>
    <w:rsid w:val="000F04B0"/>
    <w:rsid w:val="000F093C"/>
    <w:rsid w:val="000F43D3"/>
    <w:rsid w:val="000F787B"/>
    <w:rsid w:val="00105F2C"/>
    <w:rsid w:val="00114A5A"/>
    <w:rsid w:val="00117E10"/>
    <w:rsid w:val="0012091F"/>
    <w:rsid w:val="0012128D"/>
    <w:rsid w:val="00125729"/>
    <w:rsid w:val="00126BC2"/>
    <w:rsid w:val="00127672"/>
    <w:rsid w:val="001308B6"/>
    <w:rsid w:val="0013121F"/>
    <w:rsid w:val="00131B56"/>
    <w:rsid w:val="00131FE6"/>
    <w:rsid w:val="0013263F"/>
    <w:rsid w:val="001331DF"/>
    <w:rsid w:val="00134DE4"/>
    <w:rsid w:val="001371C9"/>
    <w:rsid w:val="0014034D"/>
    <w:rsid w:val="00144D16"/>
    <w:rsid w:val="00150E59"/>
    <w:rsid w:val="00152DE3"/>
    <w:rsid w:val="001614AC"/>
    <w:rsid w:val="0016215F"/>
    <w:rsid w:val="00164CF9"/>
    <w:rsid w:val="00165923"/>
    <w:rsid w:val="001667A6"/>
    <w:rsid w:val="00171B5C"/>
    <w:rsid w:val="00172694"/>
    <w:rsid w:val="0018275F"/>
    <w:rsid w:val="00184AD6"/>
    <w:rsid w:val="00184D1F"/>
    <w:rsid w:val="0018718A"/>
    <w:rsid w:val="00194241"/>
    <w:rsid w:val="001A4AF7"/>
    <w:rsid w:val="001A752E"/>
    <w:rsid w:val="001B0349"/>
    <w:rsid w:val="001B1E93"/>
    <w:rsid w:val="001B65C1"/>
    <w:rsid w:val="001C21F9"/>
    <w:rsid w:val="001C616C"/>
    <w:rsid w:val="001C684B"/>
    <w:rsid w:val="001C7C96"/>
    <w:rsid w:val="001D0CFB"/>
    <w:rsid w:val="001D21AF"/>
    <w:rsid w:val="001D53FC"/>
    <w:rsid w:val="001E1BE7"/>
    <w:rsid w:val="001F03BF"/>
    <w:rsid w:val="001F08DF"/>
    <w:rsid w:val="001F24D9"/>
    <w:rsid w:val="001F27B2"/>
    <w:rsid w:val="001F42A5"/>
    <w:rsid w:val="001F697A"/>
    <w:rsid w:val="001F7B9D"/>
    <w:rsid w:val="002009E0"/>
    <w:rsid w:val="00201C93"/>
    <w:rsid w:val="00210E87"/>
    <w:rsid w:val="00221510"/>
    <w:rsid w:val="002224B4"/>
    <w:rsid w:val="0023157C"/>
    <w:rsid w:val="00231931"/>
    <w:rsid w:val="00240E1E"/>
    <w:rsid w:val="002447EF"/>
    <w:rsid w:val="00251550"/>
    <w:rsid w:val="00251F54"/>
    <w:rsid w:val="00254B4D"/>
    <w:rsid w:val="002554D5"/>
    <w:rsid w:val="0026099A"/>
    <w:rsid w:val="002620AB"/>
    <w:rsid w:val="00263B05"/>
    <w:rsid w:val="0026505D"/>
    <w:rsid w:val="002656D8"/>
    <w:rsid w:val="0027221A"/>
    <w:rsid w:val="0027472B"/>
    <w:rsid w:val="00275B61"/>
    <w:rsid w:val="0027723E"/>
    <w:rsid w:val="00280FAF"/>
    <w:rsid w:val="002815E8"/>
    <w:rsid w:val="00282387"/>
    <w:rsid w:val="00282656"/>
    <w:rsid w:val="00284C7A"/>
    <w:rsid w:val="00291F1D"/>
    <w:rsid w:val="00293DA1"/>
    <w:rsid w:val="00296B83"/>
    <w:rsid w:val="00296CF2"/>
    <w:rsid w:val="002A1909"/>
    <w:rsid w:val="002A41FC"/>
    <w:rsid w:val="002A5746"/>
    <w:rsid w:val="002A6910"/>
    <w:rsid w:val="002B1964"/>
    <w:rsid w:val="002B262E"/>
    <w:rsid w:val="002B4015"/>
    <w:rsid w:val="002B78CE"/>
    <w:rsid w:val="002C024E"/>
    <w:rsid w:val="002C2FB6"/>
    <w:rsid w:val="002C6ADA"/>
    <w:rsid w:val="002D1CE8"/>
    <w:rsid w:val="002D21FC"/>
    <w:rsid w:val="002E5FA7"/>
    <w:rsid w:val="002E6CEF"/>
    <w:rsid w:val="002F0639"/>
    <w:rsid w:val="002F2820"/>
    <w:rsid w:val="002F3309"/>
    <w:rsid w:val="002F3878"/>
    <w:rsid w:val="003008CE"/>
    <w:rsid w:val="003009B7"/>
    <w:rsid w:val="00300E56"/>
    <w:rsid w:val="003032D0"/>
    <w:rsid w:val="0030469C"/>
    <w:rsid w:val="00306D62"/>
    <w:rsid w:val="00307932"/>
    <w:rsid w:val="00310825"/>
    <w:rsid w:val="003109F0"/>
    <w:rsid w:val="00314B3C"/>
    <w:rsid w:val="003155E7"/>
    <w:rsid w:val="00321CA6"/>
    <w:rsid w:val="00322715"/>
    <w:rsid w:val="00323763"/>
    <w:rsid w:val="003248F6"/>
    <w:rsid w:val="003303FE"/>
    <w:rsid w:val="00334666"/>
    <w:rsid w:val="00334C09"/>
    <w:rsid w:val="00335A95"/>
    <w:rsid w:val="00335FBD"/>
    <w:rsid w:val="003400BF"/>
    <w:rsid w:val="0034220F"/>
    <w:rsid w:val="00345481"/>
    <w:rsid w:val="00366FC6"/>
    <w:rsid w:val="00371858"/>
    <w:rsid w:val="003723D4"/>
    <w:rsid w:val="0037287B"/>
    <w:rsid w:val="00377417"/>
    <w:rsid w:val="00381905"/>
    <w:rsid w:val="00381EA9"/>
    <w:rsid w:val="00384CC8"/>
    <w:rsid w:val="00385F89"/>
    <w:rsid w:val="003871FD"/>
    <w:rsid w:val="00393CA6"/>
    <w:rsid w:val="0039682C"/>
    <w:rsid w:val="00397E6D"/>
    <w:rsid w:val="003A1E30"/>
    <w:rsid w:val="003A2829"/>
    <w:rsid w:val="003A3934"/>
    <w:rsid w:val="003A455E"/>
    <w:rsid w:val="003A7D1C"/>
    <w:rsid w:val="003B1AB9"/>
    <w:rsid w:val="003B304B"/>
    <w:rsid w:val="003B3146"/>
    <w:rsid w:val="003C4F09"/>
    <w:rsid w:val="003D483D"/>
    <w:rsid w:val="003E05A0"/>
    <w:rsid w:val="003E4D93"/>
    <w:rsid w:val="003E6791"/>
    <w:rsid w:val="003F015E"/>
    <w:rsid w:val="003F56DF"/>
    <w:rsid w:val="00400414"/>
    <w:rsid w:val="00400AA3"/>
    <w:rsid w:val="00402BC2"/>
    <w:rsid w:val="004068C2"/>
    <w:rsid w:val="0041446B"/>
    <w:rsid w:val="00420F32"/>
    <w:rsid w:val="00421A1E"/>
    <w:rsid w:val="00430947"/>
    <w:rsid w:val="0044071E"/>
    <w:rsid w:val="0044329C"/>
    <w:rsid w:val="00453E24"/>
    <w:rsid w:val="00455A96"/>
    <w:rsid w:val="004563BE"/>
    <w:rsid w:val="0045714F"/>
    <w:rsid w:val="00457456"/>
    <w:rsid w:val="004577FE"/>
    <w:rsid w:val="00457B9C"/>
    <w:rsid w:val="0046164A"/>
    <w:rsid w:val="00462674"/>
    <w:rsid w:val="004628D2"/>
    <w:rsid w:val="00462DCD"/>
    <w:rsid w:val="004648AD"/>
    <w:rsid w:val="004703A9"/>
    <w:rsid w:val="00473DF3"/>
    <w:rsid w:val="00473F88"/>
    <w:rsid w:val="004760DE"/>
    <w:rsid w:val="004763D7"/>
    <w:rsid w:val="004766C4"/>
    <w:rsid w:val="0047725C"/>
    <w:rsid w:val="00485D07"/>
    <w:rsid w:val="004934D6"/>
    <w:rsid w:val="004A004E"/>
    <w:rsid w:val="004A0525"/>
    <w:rsid w:val="004A1F49"/>
    <w:rsid w:val="004A209F"/>
    <w:rsid w:val="004A24CF"/>
    <w:rsid w:val="004A351F"/>
    <w:rsid w:val="004A4907"/>
    <w:rsid w:val="004A7263"/>
    <w:rsid w:val="004A74A7"/>
    <w:rsid w:val="004B2F9D"/>
    <w:rsid w:val="004B69BC"/>
    <w:rsid w:val="004C3D1D"/>
    <w:rsid w:val="004C5CF8"/>
    <w:rsid w:val="004C7913"/>
    <w:rsid w:val="004D799C"/>
    <w:rsid w:val="004E4DD6"/>
    <w:rsid w:val="004F4376"/>
    <w:rsid w:val="004F5E36"/>
    <w:rsid w:val="00507B47"/>
    <w:rsid w:val="00507BEF"/>
    <w:rsid w:val="00507CC9"/>
    <w:rsid w:val="005119A5"/>
    <w:rsid w:val="00520565"/>
    <w:rsid w:val="0052447E"/>
    <w:rsid w:val="005278B7"/>
    <w:rsid w:val="00527CD2"/>
    <w:rsid w:val="00532016"/>
    <w:rsid w:val="005324A4"/>
    <w:rsid w:val="005346C8"/>
    <w:rsid w:val="00542578"/>
    <w:rsid w:val="00543E7D"/>
    <w:rsid w:val="00546CA6"/>
    <w:rsid w:val="00547A68"/>
    <w:rsid w:val="005531C9"/>
    <w:rsid w:val="00557EFD"/>
    <w:rsid w:val="00570C43"/>
    <w:rsid w:val="0057613F"/>
    <w:rsid w:val="005814DA"/>
    <w:rsid w:val="00582D0F"/>
    <w:rsid w:val="00584E65"/>
    <w:rsid w:val="005854D5"/>
    <w:rsid w:val="005904E0"/>
    <w:rsid w:val="00590AFD"/>
    <w:rsid w:val="0059127A"/>
    <w:rsid w:val="00594343"/>
    <w:rsid w:val="005968D6"/>
    <w:rsid w:val="005A2EF9"/>
    <w:rsid w:val="005A32E6"/>
    <w:rsid w:val="005B2086"/>
    <w:rsid w:val="005B2110"/>
    <w:rsid w:val="005B558B"/>
    <w:rsid w:val="005B61E6"/>
    <w:rsid w:val="005C212E"/>
    <w:rsid w:val="005C4782"/>
    <w:rsid w:val="005C4ADC"/>
    <w:rsid w:val="005C77E1"/>
    <w:rsid w:val="005D455F"/>
    <w:rsid w:val="005D567E"/>
    <w:rsid w:val="005D5CA2"/>
    <w:rsid w:val="005D5DE6"/>
    <w:rsid w:val="005D668A"/>
    <w:rsid w:val="005D6A2F"/>
    <w:rsid w:val="005E0026"/>
    <w:rsid w:val="005E1A82"/>
    <w:rsid w:val="005E3D64"/>
    <w:rsid w:val="005E4812"/>
    <w:rsid w:val="005E794C"/>
    <w:rsid w:val="005F08E3"/>
    <w:rsid w:val="005F0A28"/>
    <w:rsid w:val="005F0E5E"/>
    <w:rsid w:val="005F3EAE"/>
    <w:rsid w:val="005F6DFA"/>
    <w:rsid w:val="00600535"/>
    <w:rsid w:val="006075AB"/>
    <w:rsid w:val="00610CD6"/>
    <w:rsid w:val="00610DE5"/>
    <w:rsid w:val="00613AE4"/>
    <w:rsid w:val="00620B51"/>
    <w:rsid w:val="00620DEE"/>
    <w:rsid w:val="00621F92"/>
    <w:rsid w:val="0062280A"/>
    <w:rsid w:val="00625639"/>
    <w:rsid w:val="00631B33"/>
    <w:rsid w:val="0063390B"/>
    <w:rsid w:val="0063407C"/>
    <w:rsid w:val="00635EB4"/>
    <w:rsid w:val="00636682"/>
    <w:rsid w:val="00640874"/>
    <w:rsid w:val="0064184D"/>
    <w:rsid w:val="006422CC"/>
    <w:rsid w:val="00646C8B"/>
    <w:rsid w:val="00656C02"/>
    <w:rsid w:val="0065755F"/>
    <w:rsid w:val="00660B20"/>
    <w:rsid w:val="00660E3E"/>
    <w:rsid w:val="00661666"/>
    <w:rsid w:val="00662E74"/>
    <w:rsid w:val="006651D3"/>
    <w:rsid w:val="006663A3"/>
    <w:rsid w:val="00680C23"/>
    <w:rsid w:val="00680D99"/>
    <w:rsid w:val="00682A0F"/>
    <w:rsid w:val="00684407"/>
    <w:rsid w:val="00685550"/>
    <w:rsid w:val="006915A1"/>
    <w:rsid w:val="00693766"/>
    <w:rsid w:val="006A3281"/>
    <w:rsid w:val="006A658E"/>
    <w:rsid w:val="006B0D99"/>
    <w:rsid w:val="006B4632"/>
    <w:rsid w:val="006B4888"/>
    <w:rsid w:val="006C14B8"/>
    <w:rsid w:val="006C2E45"/>
    <w:rsid w:val="006C31C5"/>
    <w:rsid w:val="006C359C"/>
    <w:rsid w:val="006C5579"/>
    <w:rsid w:val="006D012C"/>
    <w:rsid w:val="006D2134"/>
    <w:rsid w:val="006D2E85"/>
    <w:rsid w:val="006D35C4"/>
    <w:rsid w:val="006D4A1A"/>
    <w:rsid w:val="006D6E8B"/>
    <w:rsid w:val="006E42F7"/>
    <w:rsid w:val="006E737D"/>
    <w:rsid w:val="006E7E9F"/>
    <w:rsid w:val="006F2068"/>
    <w:rsid w:val="00701A76"/>
    <w:rsid w:val="00713973"/>
    <w:rsid w:val="00720A24"/>
    <w:rsid w:val="007248FD"/>
    <w:rsid w:val="00732386"/>
    <w:rsid w:val="0073514D"/>
    <w:rsid w:val="007447F3"/>
    <w:rsid w:val="0075181A"/>
    <w:rsid w:val="0075499F"/>
    <w:rsid w:val="00760F59"/>
    <w:rsid w:val="007661C8"/>
    <w:rsid w:val="0077098D"/>
    <w:rsid w:val="00771974"/>
    <w:rsid w:val="00774965"/>
    <w:rsid w:val="00775A22"/>
    <w:rsid w:val="00782838"/>
    <w:rsid w:val="00784F9A"/>
    <w:rsid w:val="007930AC"/>
    <w:rsid w:val="007931FA"/>
    <w:rsid w:val="00795390"/>
    <w:rsid w:val="007A1CA2"/>
    <w:rsid w:val="007A36A5"/>
    <w:rsid w:val="007A4861"/>
    <w:rsid w:val="007A4A87"/>
    <w:rsid w:val="007A7BBA"/>
    <w:rsid w:val="007B01AA"/>
    <w:rsid w:val="007B0C50"/>
    <w:rsid w:val="007B2070"/>
    <w:rsid w:val="007B2691"/>
    <w:rsid w:val="007B48F9"/>
    <w:rsid w:val="007B7229"/>
    <w:rsid w:val="007C0708"/>
    <w:rsid w:val="007C17A4"/>
    <w:rsid w:val="007C1A43"/>
    <w:rsid w:val="007C24F1"/>
    <w:rsid w:val="007C386E"/>
    <w:rsid w:val="007C4093"/>
    <w:rsid w:val="007C45D1"/>
    <w:rsid w:val="007C49D9"/>
    <w:rsid w:val="007C6ED2"/>
    <w:rsid w:val="007E3733"/>
    <w:rsid w:val="007F7B51"/>
    <w:rsid w:val="0080013E"/>
    <w:rsid w:val="00804F2B"/>
    <w:rsid w:val="00810680"/>
    <w:rsid w:val="00813288"/>
    <w:rsid w:val="008168FC"/>
    <w:rsid w:val="0082442A"/>
    <w:rsid w:val="008300FF"/>
    <w:rsid w:val="00830996"/>
    <w:rsid w:val="00834317"/>
    <w:rsid w:val="008345F1"/>
    <w:rsid w:val="0084543D"/>
    <w:rsid w:val="00851A7A"/>
    <w:rsid w:val="008526D6"/>
    <w:rsid w:val="00853F60"/>
    <w:rsid w:val="00855A99"/>
    <w:rsid w:val="00857C9E"/>
    <w:rsid w:val="008606D0"/>
    <w:rsid w:val="00865B07"/>
    <w:rsid w:val="008667EA"/>
    <w:rsid w:val="0087344C"/>
    <w:rsid w:val="008750C3"/>
    <w:rsid w:val="0087637F"/>
    <w:rsid w:val="00877776"/>
    <w:rsid w:val="00881333"/>
    <w:rsid w:val="00882520"/>
    <w:rsid w:val="008847AB"/>
    <w:rsid w:val="00885E6B"/>
    <w:rsid w:val="008869DA"/>
    <w:rsid w:val="00892AD5"/>
    <w:rsid w:val="00896264"/>
    <w:rsid w:val="0089666A"/>
    <w:rsid w:val="008A1512"/>
    <w:rsid w:val="008A4734"/>
    <w:rsid w:val="008B105A"/>
    <w:rsid w:val="008B7E0C"/>
    <w:rsid w:val="008C1168"/>
    <w:rsid w:val="008D0F32"/>
    <w:rsid w:val="008D2351"/>
    <w:rsid w:val="008D32B9"/>
    <w:rsid w:val="008D433B"/>
    <w:rsid w:val="008E4606"/>
    <w:rsid w:val="008E51C0"/>
    <w:rsid w:val="008E566E"/>
    <w:rsid w:val="008F39E6"/>
    <w:rsid w:val="008F54D3"/>
    <w:rsid w:val="008F6323"/>
    <w:rsid w:val="008F74D8"/>
    <w:rsid w:val="0090161A"/>
    <w:rsid w:val="00901EB6"/>
    <w:rsid w:val="00902EED"/>
    <w:rsid w:val="00904C62"/>
    <w:rsid w:val="0090776D"/>
    <w:rsid w:val="00915410"/>
    <w:rsid w:val="00915A0A"/>
    <w:rsid w:val="00915CAD"/>
    <w:rsid w:val="00917F34"/>
    <w:rsid w:val="00922BA8"/>
    <w:rsid w:val="00924DAC"/>
    <w:rsid w:val="00926EB0"/>
    <w:rsid w:val="00927058"/>
    <w:rsid w:val="00942750"/>
    <w:rsid w:val="009450CE"/>
    <w:rsid w:val="00947179"/>
    <w:rsid w:val="0095007E"/>
    <w:rsid w:val="0095164B"/>
    <w:rsid w:val="00954090"/>
    <w:rsid w:val="0095543C"/>
    <w:rsid w:val="009573E7"/>
    <w:rsid w:val="00962AC0"/>
    <w:rsid w:val="00963E05"/>
    <w:rsid w:val="00964A45"/>
    <w:rsid w:val="00967843"/>
    <w:rsid w:val="00967D54"/>
    <w:rsid w:val="00971028"/>
    <w:rsid w:val="00974B45"/>
    <w:rsid w:val="0098324B"/>
    <w:rsid w:val="00983B32"/>
    <w:rsid w:val="00984A26"/>
    <w:rsid w:val="00993B84"/>
    <w:rsid w:val="00995287"/>
    <w:rsid w:val="00996483"/>
    <w:rsid w:val="00996F5A"/>
    <w:rsid w:val="009A42C7"/>
    <w:rsid w:val="009A6602"/>
    <w:rsid w:val="009B041A"/>
    <w:rsid w:val="009B17E8"/>
    <w:rsid w:val="009B2332"/>
    <w:rsid w:val="009B2D3B"/>
    <w:rsid w:val="009B7CA5"/>
    <w:rsid w:val="009C2093"/>
    <w:rsid w:val="009C37C3"/>
    <w:rsid w:val="009C6E89"/>
    <w:rsid w:val="009C7C86"/>
    <w:rsid w:val="009D000C"/>
    <w:rsid w:val="009D2FF7"/>
    <w:rsid w:val="009D7750"/>
    <w:rsid w:val="009E614A"/>
    <w:rsid w:val="009E7884"/>
    <w:rsid w:val="009E788A"/>
    <w:rsid w:val="009F0E08"/>
    <w:rsid w:val="009F2438"/>
    <w:rsid w:val="00A01358"/>
    <w:rsid w:val="00A1539A"/>
    <w:rsid w:val="00A172C5"/>
    <w:rsid w:val="00A1763D"/>
    <w:rsid w:val="00A17919"/>
    <w:rsid w:val="00A17CEC"/>
    <w:rsid w:val="00A27EF0"/>
    <w:rsid w:val="00A31231"/>
    <w:rsid w:val="00A31F95"/>
    <w:rsid w:val="00A32B18"/>
    <w:rsid w:val="00A35D22"/>
    <w:rsid w:val="00A42361"/>
    <w:rsid w:val="00A4630A"/>
    <w:rsid w:val="00A509AE"/>
    <w:rsid w:val="00A50B20"/>
    <w:rsid w:val="00A510EB"/>
    <w:rsid w:val="00A512BF"/>
    <w:rsid w:val="00A51390"/>
    <w:rsid w:val="00A567B6"/>
    <w:rsid w:val="00A60D13"/>
    <w:rsid w:val="00A627DD"/>
    <w:rsid w:val="00A632F5"/>
    <w:rsid w:val="00A72745"/>
    <w:rsid w:val="00A74EBF"/>
    <w:rsid w:val="00A755A1"/>
    <w:rsid w:val="00A75A4F"/>
    <w:rsid w:val="00A75D7E"/>
    <w:rsid w:val="00A76377"/>
    <w:rsid w:val="00A76EFC"/>
    <w:rsid w:val="00A839BC"/>
    <w:rsid w:val="00A85BAA"/>
    <w:rsid w:val="00A91010"/>
    <w:rsid w:val="00A96519"/>
    <w:rsid w:val="00A97F29"/>
    <w:rsid w:val="00AA074B"/>
    <w:rsid w:val="00AA07ED"/>
    <w:rsid w:val="00AA1697"/>
    <w:rsid w:val="00AA25C9"/>
    <w:rsid w:val="00AA702E"/>
    <w:rsid w:val="00AB0964"/>
    <w:rsid w:val="00AB3517"/>
    <w:rsid w:val="00AB5011"/>
    <w:rsid w:val="00AC0224"/>
    <w:rsid w:val="00AC2B9C"/>
    <w:rsid w:val="00AC7368"/>
    <w:rsid w:val="00AD16B9"/>
    <w:rsid w:val="00AE377D"/>
    <w:rsid w:val="00AE5F3A"/>
    <w:rsid w:val="00AF0EBA"/>
    <w:rsid w:val="00AF5959"/>
    <w:rsid w:val="00B02C8A"/>
    <w:rsid w:val="00B04B3F"/>
    <w:rsid w:val="00B051DD"/>
    <w:rsid w:val="00B1291A"/>
    <w:rsid w:val="00B17FBD"/>
    <w:rsid w:val="00B245B4"/>
    <w:rsid w:val="00B315A6"/>
    <w:rsid w:val="00B31813"/>
    <w:rsid w:val="00B322F9"/>
    <w:rsid w:val="00B33365"/>
    <w:rsid w:val="00B33F5A"/>
    <w:rsid w:val="00B36AC3"/>
    <w:rsid w:val="00B37616"/>
    <w:rsid w:val="00B40B3D"/>
    <w:rsid w:val="00B40C8D"/>
    <w:rsid w:val="00B40D92"/>
    <w:rsid w:val="00B47F18"/>
    <w:rsid w:val="00B509FF"/>
    <w:rsid w:val="00B518DC"/>
    <w:rsid w:val="00B51B26"/>
    <w:rsid w:val="00B57B36"/>
    <w:rsid w:val="00B57DD8"/>
    <w:rsid w:val="00B57E6F"/>
    <w:rsid w:val="00B57E9C"/>
    <w:rsid w:val="00B61C9A"/>
    <w:rsid w:val="00B63076"/>
    <w:rsid w:val="00B63A93"/>
    <w:rsid w:val="00B7629F"/>
    <w:rsid w:val="00B8686D"/>
    <w:rsid w:val="00B93F69"/>
    <w:rsid w:val="00BA5BE7"/>
    <w:rsid w:val="00BB1DDC"/>
    <w:rsid w:val="00BB60BD"/>
    <w:rsid w:val="00BC2CD2"/>
    <w:rsid w:val="00BC30C9"/>
    <w:rsid w:val="00BC739A"/>
    <w:rsid w:val="00BD077D"/>
    <w:rsid w:val="00BD64C1"/>
    <w:rsid w:val="00BE3E58"/>
    <w:rsid w:val="00BE7F37"/>
    <w:rsid w:val="00BF40D0"/>
    <w:rsid w:val="00BF5924"/>
    <w:rsid w:val="00BF72A6"/>
    <w:rsid w:val="00C01616"/>
    <w:rsid w:val="00C0162B"/>
    <w:rsid w:val="00C068ED"/>
    <w:rsid w:val="00C068F2"/>
    <w:rsid w:val="00C072A9"/>
    <w:rsid w:val="00C100C1"/>
    <w:rsid w:val="00C10F5B"/>
    <w:rsid w:val="00C17268"/>
    <w:rsid w:val="00C22E0C"/>
    <w:rsid w:val="00C345B1"/>
    <w:rsid w:val="00C34B28"/>
    <w:rsid w:val="00C370AA"/>
    <w:rsid w:val="00C40142"/>
    <w:rsid w:val="00C44531"/>
    <w:rsid w:val="00C52C3C"/>
    <w:rsid w:val="00C54E8D"/>
    <w:rsid w:val="00C56156"/>
    <w:rsid w:val="00C56EC7"/>
    <w:rsid w:val="00C57182"/>
    <w:rsid w:val="00C57863"/>
    <w:rsid w:val="00C65182"/>
    <w:rsid w:val="00C654DF"/>
    <w:rsid w:val="00C655FD"/>
    <w:rsid w:val="00C75407"/>
    <w:rsid w:val="00C838AE"/>
    <w:rsid w:val="00C870A8"/>
    <w:rsid w:val="00C94434"/>
    <w:rsid w:val="00CA0D75"/>
    <w:rsid w:val="00CA11A2"/>
    <w:rsid w:val="00CA1C95"/>
    <w:rsid w:val="00CA3D9D"/>
    <w:rsid w:val="00CA5A9C"/>
    <w:rsid w:val="00CB319A"/>
    <w:rsid w:val="00CB3B60"/>
    <w:rsid w:val="00CC4C20"/>
    <w:rsid w:val="00CC5ADA"/>
    <w:rsid w:val="00CD2A8A"/>
    <w:rsid w:val="00CD3517"/>
    <w:rsid w:val="00CD5FE2"/>
    <w:rsid w:val="00CE6EA0"/>
    <w:rsid w:val="00CE6F70"/>
    <w:rsid w:val="00CE7C68"/>
    <w:rsid w:val="00D02B4C"/>
    <w:rsid w:val="00D040C4"/>
    <w:rsid w:val="00D0597B"/>
    <w:rsid w:val="00D06DDE"/>
    <w:rsid w:val="00D20835"/>
    <w:rsid w:val="00D30BC5"/>
    <w:rsid w:val="00D31304"/>
    <w:rsid w:val="00D32246"/>
    <w:rsid w:val="00D326CD"/>
    <w:rsid w:val="00D32E72"/>
    <w:rsid w:val="00D42033"/>
    <w:rsid w:val="00D430D1"/>
    <w:rsid w:val="00D44870"/>
    <w:rsid w:val="00D46B7E"/>
    <w:rsid w:val="00D519B0"/>
    <w:rsid w:val="00D5759A"/>
    <w:rsid w:val="00D57C84"/>
    <w:rsid w:val="00D6057D"/>
    <w:rsid w:val="00D62828"/>
    <w:rsid w:val="00D631CE"/>
    <w:rsid w:val="00D71640"/>
    <w:rsid w:val="00D820D0"/>
    <w:rsid w:val="00D836C5"/>
    <w:rsid w:val="00D84576"/>
    <w:rsid w:val="00DA1399"/>
    <w:rsid w:val="00DA24C6"/>
    <w:rsid w:val="00DA3E67"/>
    <w:rsid w:val="00DA4D7B"/>
    <w:rsid w:val="00DA4E44"/>
    <w:rsid w:val="00DB0AF5"/>
    <w:rsid w:val="00DB2A53"/>
    <w:rsid w:val="00DB2D01"/>
    <w:rsid w:val="00DC0547"/>
    <w:rsid w:val="00DC3450"/>
    <w:rsid w:val="00DC39B8"/>
    <w:rsid w:val="00DC7079"/>
    <w:rsid w:val="00DD7FE2"/>
    <w:rsid w:val="00DE0711"/>
    <w:rsid w:val="00DE1011"/>
    <w:rsid w:val="00DE264A"/>
    <w:rsid w:val="00DE6F86"/>
    <w:rsid w:val="00DF1BE2"/>
    <w:rsid w:val="00DF5072"/>
    <w:rsid w:val="00DF66AC"/>
    <w:rsid w:val="00DF6E92"/>
    <w:rsid w:val="00E01BDA"/>
    <w:rsid w:val="00E02D18"/>
    <w:rsid w:val="00E041E7"/>
    <w:rsid w:val="00E061AC"/>
    <w:rsid w:val="00E06EC3"/>
    <w:rsid w:val="00E11F65"/>
    <w:rsid w:val="00E14FDC"/>
    <w:rsid w:val="00E16BF6"/>
    <w:rsid w:val="00E21AF2"/>
    <w:rsid w:val="00E226D6"/>
    <w:rsid w:val="00E23CA1"/>
    <w:rsid w:val="00E23CB1"/>
    <w:rsid w:val="00E253B1"/>
    <w:rsid w:val="00E26561"/>
    <w:rsid w:val="00E33A9B"/>
    <w:rsid w:val="00E3457D"/>
    <w:rsid w:val="00E409A8"/>
    <w:rsid w:val="00E44206"/>
    <w:rsid w:val="00E50C12"/>
    <w:rsid w:val="00E61289"/>
    <w:rsid w:val="00E65B91"/>
    <w:rsid w:val="00E65D69"/>
    <w:rsid w:val="00E7209D"/>
    <w:rsid w:val="00E72EAD"/>
    <w:rsid w:val="00E76EBD"/>
    <w:rsid w:val="00E77223"/>
    <w:rsid w:val="00E8014D"/>
    <w:rsid w:val="00E81A08"/>
    <w:rsid w:val="00E8345A"/>
    <w:rsid w:val="00E8528B"/>
    <w:rsid w:val="00E85B94"/>
    <w:rsid w:val="00E9408B"/>
    <w:rsid w:val="00E974D4"/>
    <w:rsid w:val="00E978D0"/>
    <w:rsid w:val="00EA4613"/>
    <w:rsid w:val="00EA627C"/>
    <w:rsid w:val="00EA7CAE"/>
    <w:rsid w:val="00EA7F91"/>
    <w:rsid w:val="00EB1523"/>
    <w:rsid w:val="00EB7FA4"/>
    <w:rsid w:val="00EC0E49"/>
    <w:rsid w:val="00EC101F"/>
    <w:rsid w:val="00EC1D9F"/>
    <w:rsid w:val="00EC7AE6"/>
    <w:rsid w:val="00ED14AA"/>
    <w:rsid w:val="00ED2C9D"/>
    <w:rsid w:val="00EE0131"/>
    <w:rsid w:val="00EE0E8E"/>
    <w:rsid w:val="00EE1018"/>
    <w:rsid w:val="00EE17B0"/>
    <w:rsid w:val="00EE4EC2"/>
    <w:rsid w:val="00EE7A9C"/>
    <w:rsid w:val="00EF06D9"/>
    <w:rsid w:val="00EF0A5D"/>
    <w:rsid w:val="00EF3523"/>
    <w:rsid w:val="00EF5692"/>
    <w:rsid w:val="00EF60D1"/>
    <w:rsid w:val="00EF7306"/>
    <w:rsid w:val="00EF7865"/>
    <w:rsid w:val="00F0444A"/>
    <w:rsid w:val="00F1716D"/>
    <w:rsid w:val="00F2079B"/>
    <w:rsid w:val="00F212C5"/>
    <w:rsid w:val="00F23192"/>
    <w:rsid w:val="00F2679F"/>
    <w:rsid w:val="00F302B9"/>
    <w:rsid w:val="00F30C64"/>
    <w:rsid w:val="00F31892"/>
    <w:rsid w:val="00F32BA2"/>
    <w:rsid w:val="00F32CDB"/>
    <w:rsid w:val="00F36602"/>
    <w:rsid w:val="00F37C74"/>
    <w:rsid w:val="00F44B22"/>
    <w:rsid w:val="00F460BE"/>
    <w:rsid w:val="00F50ADA"/>
    <w:rsid w:val="00F565FE"/>
    <w:rsid w:val="00F63571"/>
    <w:rsid w:val="00F63A70"/>
    <w:rsid w:val="00F67D4D"/>
    <w:rsid w:val="00F709F5"/>
    <w:rsid w:val="00F71EFA"/>
    <w:rsid w:val="00F7534E"/>
    <w:rsid w:val="00F84E29"/>
    <w:rsid w:val="00F90DEB"/>
    <w:rsid w:val="00F921C9"/>
    <w:rsid w:val="00FA1802"/>
    <w:rsid w:val="00FA21D0"/>
    <w:rsid w:val="00FA55ED"/>
    <w:rsid w:val="00FA5ED8"/>
    <w:rsid w:val="00FA5F5F"/>
    <w:rsid w:val="00FB0CC5"/>
    <w:rsid w:val="00FB36EC"/>
    <w:rsid w:val="00FB720C"/>
    <w:rsid w:val="00FB730C"/>
    <w:rsid w:val="00FB73F5"/>
    <w:rsid w:val="00FC2695"/>
    <w:rsid w:val="00FC269A"/>
    <w:rsid w:val="00FC2C77"/>
    <w:rsid w:val="00FC362D"/>
    <w:rsid w:val="00FC3E03"/>
    <w:rsid w:val="00FC3FC1"/>
    <w:rsid w:val="00FC46BE"/>
    <w:rsid w:val="00FD24BF"/>
    <w:rsid w:val="00FD2628"/>
    <w:rsid w:val="00FF67B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UnresolvedMention1">
    <w:name w:val="Unresolved Mention1"/>
    <w:basedOn w:val="DefaultParagraphFont"/>
    <w:uiPriority w:val="99"/>
    <w:semiHidden/>
    <w:unhideWhenUsed/>
    <w:rsid w:val="00DA4E44"/>
    <w:rPr>
      <w:color w:val="605E5C"/>
      <w:shd w:val="clear" w:color="auto" w:fill="E1DFDD"/>
    </w:rPr>
  </w:style>
  <w:style w:type="character" w:styleId="PlaceholderText">
    <w:name w:val="Placeholder Text"/>
    <w:basedOn w:val="DefaultParagraphFont"/>
    <w:uiPriority w:val="99"/>
    <w:semiHidden/>
    <w:rsid w:val="00B518DC"/>
    <w:rPr>
      <w:color w:val="808080"/>
    </w:rPr>
  </w:style>
  <w:style w:type="paragraph" w:styleId="Revision">
    <w:name w:val="Revision"/>
    <w:hidden/>
    <w:uiPriority w:val="99"/>
    <w:semiHidden/>
    <w:rsid w:val="00E253B1"/>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533D9-953A-49EE-BCDC-32D88596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9277</Words>
  <Characters>52885</Characters>
  <Application>Microsoft Office Word</Application>
  <DocSecurity>0</DocSecurity>
  <Lines>440</Lines>
  <Paragraphs>124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62038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Mohammad Alherbawi</cp:lastModifiedBy>
  <cp:revision>12</cp:revision>
  <cp:lastPrinted>2015-05-12T18:31:00Z</cp:lastPrinted>
  <dcterms:created xsi:type="dcterms:W3CDTF">2022-01-15T16:01:00Z</dcterms:created>
  <dcterms:modified xsi:type="dcterms:W3CDTF">2022-03-24T17:52:00Z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Recent Style Id 0_1">
    <vt:lpwstr>http://www.zotero.org/styles/acs-sustainable-chemistry-and-engineering</vt:lpwstr>
  </property>
  <property fmtid="{D5CDD505-2E9C-101B-9397-08002B2CF9AE}" pid="6" name="Mendeley Recent Style Name 0_1">
    <vt:lpwstr>ACS Sustainable Chemistry &amp; Engineering</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http://www.zotero.org/styles/energy-conversion-and-management</vt:lpwstr>
  </property>
  <property fmtid="{D5CDD505-2E9C-101B-9397-08002B2CF9AE}" pid="14" name="Mendeley Recent Style Name 4_1">
    <vt:lpwstr>Energy Conversion and Management</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http://www.zotero.org/styles/journal-of-cleaner-production</vt:lpwstr>
  </property>
  <property fmtid="{D5CDD505-2E9C-101B-9397-08002B2CF9AE}" pid="18" name="Mendeley Recent Style Name 6_1">
    <vt:lpwstr>Journal of Cleaner Production</vt:lpwstr>
  </property>
  <property fmtid="{D5CDD505-2E9C-101B-9397-08002B2CF9AE}" pid="19" name="Mendeley Recent Style Id 7_1">
    <vt:lpwstr>http://www.zotero.org/styles/renewable-and-sustainable-energy-reviews</vt:lpwstr>
  </property>
  <property fmtid="{D5CDD505-2E9C-101B-9397-08002B2CF9AE}" pid="20" name="Mendeley Recent Style Name 7_1">
    <vt:lpwstr>Renewable and Sustainable Energy Reviews</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https://csl.mendeley.com/styles/649413851/vancouver-2</vt:lpwstr>
  </property>
  <property fmtid="{D5CDD505-2E9C-101B-9397-08002B2CF9AE}" pid="24" name="Mendeley Recent Style Name 9_1">
    <vt:lpwstr>Vancouver - Mohammad Alherbawi</vt:lpwstr>
  </property>
  <property fmtid="{D5CDD505-2E9C-101B-9397-08002B2CF9AE}" pid="25" name="Mendeley Unique User Id_1">
    <vt:lpwstr>a0424432-e44c-3acb-a44e-a4bc98344470</vt:lpwstr>
  </property>
  <property fmtid="{D5CDD505-2E9C-101B-9397-08002B2CF9AE}" pid="26" name="Mendeley Citation Style_1">
    <vt:lpwstr>http://www.zotero.org/styles/journal-of-cleaner-production</vt:lpwstr>
  </property>
</Properties>
</file>