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A540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A5409" w:rsidRDefault="000A03B2" w:rsidP="00DE264A">
            <w:pPr>
              <w:tabs>
                <w:tab w:val="left" w:pos="-108"/>
              </w:tabs>
              <w:ind w:left="-108"/>
              <w:jc w:val="left"/>
              <w:rPr>
                <w:rFonts w:cs="Arial"/>
                <w:b/>
                <w:bCs/>
                <w:i/>
                <w:iCs/>
                <w:color w:val="000066"/>
                <w:sz w:val="12"/>
                <w:szCs w:val="12"/>
                <w:lang w:eastAsia="it-IT"/>
              </w:rPr>
            </w:pPr>
            <w:r w:rsidRPr="00AA5409">
              <w:rPr>
                <w:rFonts w:ascii="AdvP6960" w:hAnsi="AdvP6960" w:cs="AdvP6960"/>
                <w:noProof/>
                <w:color w:val="241F20"/>
                <w:szCs w:val="18"/>
                <w:lang w:val="ru-RU" w:eastAsia="ru-R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A5409">
              <w:rPr>
                <w:rFonts w:ascii="AdvP6960" w:hAnsi="AdvP6960" w:cs="AdvP6960"/>
                <w:color w:val="241F20"/>
                <w:szCs w:val="18"/>
                <w:lang w:eastAsia="it-IT"/>
              </w:rPr>
              <w:t xml:space="preserve"> </w:t>
            </w:r>
            <w:r w:rsidRPr="00AA5409">
              <w:rPr>
                <w:rFonts w:cs="Arial"/>
                <w:b/>
                <w:bCs/>
                <w:i/>
                <w:iCs/>
                <w:color w:val="000066"/>
                <w:sz w:val="24"/>
                <w:szCs w:val="24"/>
                <w:lang w:eastAsia="it-IT"/>
              </w:rPr>
              <w:t>CHEMICAL ENGINEERING</w:t>
            </w:r>
            <w:r w:rsidRPr="00AA5409">
              <w:rPr>
                <w:rFonts w:cs="Arial"/>
                <w:b/>
                <w:bCs/>
                <w:i/>
                <w:iCs/>
                <w:color w:val="0033FF"/>
                <w:sz w:val="24"/>
                <w:szCs w:val="24"/>
                <w:lang w:eastAsia="it-IT"/>
              </w:rPr>
              <w:t xml:space="preserve"> </w:t>
            </w:r>
            <w:r w:rsidRPr="00AA5409">
              <w:rPr>
                <w:rFonts w:cs="Arial"/>
                <w:b/>
                <w:bCs/>
                <w:i/>
                <w:iCs/>
                <w:color w:val="666666"/>
                <w:sz w:val="24"/>
                <w:szCs w:val="24"/>
                <w:lang w:eastAsia="it-IT"/>
              </w:rPr>
              <w:t>TRANSACTIONS</w:t>
            </w:r>
            <w:r w:rsidRPr="00AA5409">
              <w:rPr>
                <w:color w:val="333333"/>
                <w:sz w:val="24"/>
                <w:szCs w:val="24"/>
                <w:lang w:eastAsia="it-IT"/>
              </w:rPr>
              <w:t xml:space="preserve"> </w:t>
            </w:r>
            <w:r w:rsidRPr="00AA5409">
              <w:rPr>
                <w:rFonts w:cs="Arial"/>
                <w:b/>
                <w:bCs/>
                <w:i/>
                <w:iCs/>
                <w:color w:val="000066"/>
                <w:sz w:val="27"/>
                <w:szCs w:val="27"/>
                <w:lang w:eastAsia="it-IT"/>
              </w:rPr>
              <w:br/>
            </w:r>
          </w:p>
          <w:p w14:paraId="4B780582" w14:textId="65D5BBBB" w:rsidR="000A03B2" w:rsidRPr="00AA5409" w:rsidRDefault="00A76EFC" w:rsidP="001D21AF">
            <w:pPr>
              <w:tabs>
                <w:tab w:val="left" w:pos="-108"/>
              </w:tabs>
              <w:ind w:left="-108"/>
              <w:rPr>
                <w:rFonts w:cs="Arial"/>
                <w:b/>
                <w:bCs/>
                <w:i/>
                <w:iCs/>
                <w:color w:val="000066"/>
                <w:sz w:val="22"/>
                <w:szCs w:val="22"/>
                <w:lang w:eastAsia="it-IT"/>
              </w:rPr>
            </w:pPr>
            <w:r w:rsidRPr="00AA5409">
              <w:rPr>
                <w:rFonts w:cs="Arial"/>
                <w:b/>
                <w:bCs/>
                <w:i/>
                <w:iCs/>
                <w:color w:val="000066"/>
                <w:sz w:val="22"/>
                <w:szCs w:val="22"/>
                <w:lang w:eastAsia="it-IT"/>
              </w:rPr>
              <w:t xml:space="preserve">VOL. </w:t>
            </w:r>
            <w:r w:rsidR="00D46B7E" w:rsidRPr="00AA5409">
              <w:rPr>
                <w:rFonts w:cs="Arial"/>
                <w:b/>
                <w:bCs/>
                <w:i/>
                <w:iCs/>
                <w:color w:val="000066"/>
                <w:sz w:val="22"/>
                <w:szCs w:val="22"/>
                <w:lang w:eastAsia="it-IT"/>
              </w:rPr>
              <w:t>9</w:t>
            </w:r>
            <w:r w:rsidR="001D21AF" w:rsidRPr="00AA5409">
              <w:rPr>
                <w:rFonts w:cs="Arial"/>
                <w:b/>
                <w:bCs/>
                <w:i/>
                <w:iCs/>
                <w:color w:val="000066"/>
                <w:sz w:val="22"/>
                <w:szCs w:val="22"/>
                <w:lang w:eastAsia="it-IT"/>
              </w:rPr>
              <w:t>2</w:t>
            </w:r>
            <w:r w:rsidR="007B48F9" w:rsidRPr="00AA5409">
              <w:rPr>
                <w:rFonts w:cs="Arial"/>
                <w:b/>
                <w:bCs/>
                <w:i/>
                <w:iCs/>
                <w:color w:val="000066"/>
                <w:sz w:val="22"/>
                <w:szCs w:val="22"/>
                <w:lang w:eastAsia="it-IT"/>
              </w:rPr>
              <w:t>,</w:t>
            </w:r>
            <w:r w:rsidR="00FA5F5F" w:rsidRPr="00AA5409">
              <w:rPr>
                <w:rFonts w:cs="Arial"/>
                <w:b/>
                <w:bCs/>
                <w:i/>
                <w:iCs/>
                <w:color w:val="000066"/>
                <w:sz w:val="22"/>
                <w:szCs w:val="22"/>
                <w:lang w:eastAsia="it-IT"/>
              </w:rPr>
              <w:t xml:space="preserve"> 20</w:t>
            </w:r>
            <w:r w:rsidR="00DF5072" w:rsidRPr="00AA5409">
              <w:rPr>
                <w:rFonts w:cs="Arial"/>
                <w:b/>
                <w:bCs/>
                <w:i/>
                <w:iCs/>
                <w:color w:val="000066"/>
                <w:sz w:val="22"/>
                <w:szCs w:val="22"/>
                <w:lang w:eastAsia="it-IT"/>
              </w:rPr>
              <w:t>2</w:t>
            </w:r>
            <w:r w:rsidR="007B48F9" w:rsidRPr="00AA540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AA5409" w:rsidRDefault="000A03B2" w:rsidP="00CD5FE2">
            <w:pPr>
              <w:spacing w:line="140" w:lineRule="atLeast"/>
              <w:jc w:val="right"/>
              <w:rPr>
                <w:rFonts w:cs="Arial"/>
                <w:sz w:val="14"/>
                <w:szCs w:val="14"/>
              </w:rPr>
            </w:pPr>
            <w:r w:rsidRPr="00AA5409">
              <w:rPr>
                <w:rFonts w:cs="Arial"/>
                <w:sz w:val="14"/>
                <w:szCs w:val="14"/>
              </w:rPr>
              <w:t>A publication of</w:t>
            </w:r>
          </w:p>
          <w:p w14:paraId="599E5441" w14:textId="798D1197" w:rsidR="000A03B2" w:rsidRPr="00AA5409" w:rsidRDefault="000A03B2" w:rsidP="00CD5FE2">
            <w:pPr>
              <w:jc w:val="right"/>
            </w:pPr>
            <w:r w:rsidRPr="00AA5409">
              <w:rPr>
                <w:noProof/>
                <w:lang w:val="ru-RU" w:eastAsia="ru-R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A5409" w14:paraId="380FA3CD" w14:textId="77777777" w:rsidTr="00DE264A">
        <w:trPr>
          <w:trHeight w:val="567"/>
          <w:jc w:val="center"/>
        </w:trPr>
        <w:tc>
          <w:tcPr>
            <w:tcW w:w="6946" w:type="dxa"/>
            <w:vMerge/>
            <w:tcBorders>
              <w:right w:val="single" w:sz="4" w:space="0" w:color="auto"/>
            </w:tcBorders>
          </w:tcPr>
          <w:p w14:paraId="39E5E4C1" w14:textId="77777777" w:rsidR="000A03B2" w:rsidRPr="00AA540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A5409" w:rsidRDefault="000A03B2" w:rsidP="00CD5FE2">
            <w:pPr>
              <w:spacing w:line="140" w:lineRule="atLeast"/>
              <w:jc w:val="right"/>
              <w:rPr>
                <w:rFonts w:cs="Arial"/>
                <w:sz w:val="14"/>
                <w:szCs w:val="14"/>
              </w:rPr>
            </w:pPr>
            <w:r w:rsidRPr="00AA5409">
              <w:rPr>
                <w:rFonts w:cs="Arial"/>
                <w:sz w:val="14"/>
                <w:szCs w:val="14"/>
              </w:rPr>
              <w:t>The Italian Association</w:t>
            </w:r>
          </w:p>
          <w:p w14:paraId="7522B1D2" w14:textId="77777777" w:rsidR="000A03B2" w:rsidRPr="00AA5409" w:rsidRDefault="000A03B2" w:rsidP="00CD5FE2">
            <w:pPr>
              <w:spacing w:line="140" w:lineRule="atLeast"/>
              <w:jc w:val="right"/>
              <w:rPr>
                <w:rFonts w:cs="Arial"/>
                <w:sz w:val="14"/>
                <w:szCs w:val="14"/>
              </w:rPr>
            </w:pPr>
            <w:r w:rsidRPr="00AA5409">
              <w:rPr>
                <w:rFonts w:cs="Arial"/>
                <w:sz w:val="14"/>
                <w:szCs w:val="14"/>
              </w:rPr>
              <w:t>of Chemical Engineering</w:t>
            </w:r>
          </w:p>
          <w:p w14:paraId="4F0CC5DE" w14:textId="47FDB2FC" w:rsidR="000A03B2" w:rsidRPr="00AA5409" w:rsidRDefault="000D0268" w:rsidP="00CD5FE2">
            <w:pPr>
              <w:spacing w:line="140" w:lineRule="atLeast"/>
              <w:jc w:val="right"/>
              <w:rPr>
                <w:rFonts w:cs="Arial"/>
                <w:sz w:val="13"/>
                <w:szCs w:val="13"/>
              </w:rPr>
            </w:pPr>
            <w:r w:rsidRPr="00AA5409">
              <w:rPr>
                <w:rFonts w:cs="Arial"/>
                <w:sz w:val="13"/>
                <w:szCs w:val="13"/>
              </w:rPr>
              <w:t>Online at www.cetjournal.it</w:t>
            </w:r>
          </w:p>
        </w:tc>
      </w:tr>
      <w:tr w:rsidR="000A03B2" w:rsidRPr="00AA5409" w14:paraId="2D1B7169" w14:textId="77777777" w:rsidTr="00DE264A">
        <w:trPr>
          <w:trHeight w:val="68"/>
          <w:jc w:val="center"/>
        </w:trPr>
        <w:tc>
          <w:tcPr>
            <w:tcW w:w="8789" w:type="dxa"/>
            <w:gridSpan w:val="2"/>
          </w:tcPr>
          <w:p w14:paraId="4B0BB442" w14:textId="14967F0F" w:rsidR="00300E56" w:rsidRPr="00AA5409" w:rsidRDefault="00300E56" w:rsidP="00B57E6F">
            <w:pPr>
              <w:ind w:left="-107"/>
              <w:outlineLvl w:val="2"/>
              <w:rPr>
                <w:rFonts w:ascii="Tahoma" w:hAnsi="Tahoma" w:cs="Tahoma"/>
                <w:bCs/>
                <w:color w:val="000000"/>
                <w:sz w:val="14"/>
                <w:szCs w:val="14"/>
                <w:lang w:val="it-IT" w:eastAsia="it-IT"/>
              </w:rPr>
            </w:pPr>
            <w:r w:rsidRPr="00AA5409">
              <w:rPr>
                <w:rFonts w:ascii="Tahoma" w:hAnsi="Tahoma" w:cs="Tahoma"/>
                <w:iCs/>
                <w:color w:val="333333"/>
                <w:sz w:val="14"/>
                <w:szCs w:val="14"/>
                <w:lang w:val="it-IT" w:eastAsia="it-IT"/>
              </w:rPr>
              <w:t>Guest Editors:</w:t>
            </w:r>
            <w:r w:rsidR="001D21AF" w:rsidRPr="00AA5409">
              <w:rPr>
                <w:rFonts w:ascii="Tahoma" w:hAnsi="Tahoma" w:cs="Tahoma"/>
                <w:color w:val="000000"/>
                <w:sz w:val="14"/>
                <w:szCs w:val="14"/>
                <w:shd w:val="clear" w:color="auto" w:fill="FFFFFF"/>
                <w:lang w:val="it-IT"/>
              </w:rPr>
              <w:t xml:space="preserve"> Rubens Maciel Filho</w:t>
            </w:r>
            <w:r w:rsidR="00964A45" w:rsidRPr="00AA5409">
              <w:rPr>
                <w:rFonts w:ascii="Tahoma" w:hAnsi="Tahoma" w:cs="Tahoma"/>
                <w:color w:val="000000"/>
                <w:sz w:val="14"/>
                <w:szCs w:val="14"/>
                <w:shd w:val="clear" w:color="auto" w:fill="FFFFFF"/>
                <w:lang w:val="it-IT"/>
              </w:rPr>
              <w:t>, Eliseo Ranzi, Leonardo Tognotti</w:t>
            </w:r>
          </w:p>
          <w:p w14:paraId="1B0F1814" w14:textId="4A78A049" w:rsidR="000A03B2" w:rsidRPr="00AA5409" w:rsidRDefault="00FA5F5F" w:rsidP="001D21AF">
            <w:pPr>
              <w:tabs>
                <w:tab w:val="left" w:pos="-108"/>
              </w:tabs>
              <w:spacing w:line="140" w:lineRule="atLeast"/>
              <w:ind w:left="-107"/>
              <w:jc w:val="left"/>
            </w:pPr>
            <w:r w:rsidRPr="00AA5409">
              <w:rPr>
                <w:rFonts w:ascii="Tahoma" w:hAnsi="Tahoma" w:cs="Tahoma"/>
                <w:iCs/>
                <w:color w:val="333333"/>
                <w:sz w:val="14"/>
                <w:szCs w:val="14"/>
                <w:lang w:eastAsia="it-IT"/>
              </w:rPr>
              <w:t>Copyright © 20</w:t>
            </w:r>
            <w:r w:rsidR="00DF5072" w:rsidRPr="00AA5409">
              <w:rPr>
                <w:rFonts w:ascii="Tahoma" w:hAnsi="Tahoma" w:cs="Tahoma"/>
                <w:iCs/>
                <w:color w:val="333333"/>
                <w:sz w:val="14"/>
                <w:szCs w:val="14"/>
                <w:lang w:eastAsia="it-IT"/>
              </w:rPr>
              <w:t>2</w:t>
            </w:r>
            <w:r w:rsidR="00E72EAD" w:rsidRPr="00AA5409">
              <w:rPr>
                <w:rFonts w:ascii="Tahoma" w:hAnsi="Tahoma" w:cs="Tahoma"/>
                <w:iCs/>
                <w:color w:val="333333"/>
                <w:sz w:val="14"/>
                <w:szCs w:val="14"/>
                <w:lang w:eastAsia="it-IT"/>
              </w:rPr>
              <w:t>2</w:t>
            </w:r>
            <w:r w:rsidR="00904C62" w:rsidRPr="00AA5409">
              <w:rPr>
                <w:rFonts w:ascii="Tahoma" w:hAnsi="Tahoma" w:cs="Tahoma"/>
                <w:iCs/>
                <w:color w:val="333333"/>
                <w:sz w:val="14"/>
                <w:szCs w:val="14"/>
                <w:lang w:eastAsia="it-IT"/>
              </w:rPr>
              <w:t>, AIDIC Servizi S.r.l.</w:t>
            </w:r>
            <w:r w:rsidR="00300E56" w:rsidRPr="00AA5409">
              <w:rPr>
                <w:rFonts w:ascii="Tahoma" w:hAnsi="Tahoma" w:cs="Tahoma"/>
                <w:iCs/>
                <w:color w:val="333333"/>
                <w:sz w:val="14"/>
                <w:szCs w:val="14"/>
                <w:lang w:eastAsia="it-IT"/>
              </w:rPr>
              <w:br/>
            </w:r>
            <w:r w:rsidR="00300E56" w:rsidRPr="00AA5409">
              <w:rPr>
                <w:rFonts w:ascii="Tahoma" w:hAnsi="Tahoma" w:cs="Tahoma"/>
                <w:b/>
                <w:iCs/>
                <w:color w:val="000000"/>
                <w:sz w:val="14"/>
                <w:szCs w:val="14"/>
                <w:lang w:eastAsia="it-IT"/>
              </w:rPr>
              <w:t>ISBN</w:t>
            </w:r>
            <w:r w:rsidR="00300E56" w:rsidRPr="00AA5409">
              <w:rPr>
                <w:rFonts w:ascii="Tahoma" w:hAnsi="Tahoma" w:cs="Tahoma"/>
                <w:iCs/>
                <w:color w:val="000000"/>
                <w:sz w:val="14"/>
                <w:szCs w:val="14"/>
                <w:lang w:eastAsia="it-IT"/>
              </w:rPr>
              <w:t xml:space="preserve"> </w:t>
            </w:r>
            <w:r w:rsidR="008D32B9" w:rsidRPr="00AA5409">
              <w:rPr>
                <w:rFonts w:ascii="Tahoma" w:hAnsi="Tahoma" w:cs="Tahoma"/>
                <w:sz w:val="14"/>
                <w:szCs w:val="14"/>
              </w:rPr>
              <w:t>978-88-95608</w:t>
            </w:r>
            <w:r w:rsidR="00D46B7E" w:rsidRPr="00AA5409">
              <w:rPr>
                <w:rFonts w:ascii="Tahoma" w:hAnsi="Tahoma" w:cs="Tahoma"/>
                <w:sz w:val="14"/>
                <w:szCs w:val="14"/>
              </w:rPr>
              <w:t>-</w:t>
            </w:r>
            <w:r w:rsidR="001D21AF" w:rsidRPr="00AA5409">
              <w:rPr>
                <w:rFonts w:ascii="Tahoma" w:hAnsi="Tahoma" w:cs="Tahoma"/>
                <w:sz w:val="14"/>
                <w:szCs w:val="14"/>
              </w:rPr>
              <w:t>90</w:t>
            </w:r>
            <w:r w:rsidR="00D46B7E" w:rsidRPr="00AA5409">
              <w:rPr>
                <w:rFonts w:ascii="Tahoma" w:hAnsi="Tahoma" w:cs="Tahoma"/>
                <w:sz w:val="14"/>
                <w:szCs w:val="14"/>
              </w:rPr>
              <w:t>-</w:t>
            </w:r>
            <w:r w:rsidR="001D21AF" w:rsidRPr="00AA5409">
              <w:rPr>
                <w:rFonts w:ascii="Tahoma" w:hAnsi="Tahoma" w:cs="Tahoma"/>
                <w:sz w:val="14"/>
                <w:szCs w:val="14"/>
              </w:rPr>
              <w:t>7</w:t>
            </w:r>
            <w:r w:rsidR="007B48F9" w:rsidRPr="00AA5409">
              <w:rPr>
                <w:rFonts w:ascii="Tahoma" w:hAnsi="Tahoma" w:cs="Tahoma"/>
                <w:iCs/>
                <w:color w:val="333333"/>
                <w:sz w:val="14"/>
                <w:szCs w:val="14"/>
                <w:lang w:eastAsia="it-IT"/>
              </w:rPr>
              <w:t>;</w:t>
            </w:r>
            <w:r w:rsidR="00300E56" w:rsidRPr="00AA5409">
              <w:rPr>
                <w:rFonts w:ascii="Tahoma" w:hAnsi="Tahoma" w:cs="Tahoma"/>
                <w:iCs/>
                <w:color w:val="333333"/>
                <w:sz w:val="14"/>
                <w:szCs w:val="14"/>
                <w:lang w:eastAsia="it-IT"/>
              </w:rPr>
              <w:t xml:space="preserve"> </w:t>
            </w:r>
            <w:r w:rsidR="00300E56" w:rsidRPr="00AA5409">
              <w:rPr>
                <w:rFonts w:ascii="Tahoma" w:hAnsi="Tahoma" w:cs="Tahoma"/>
                <w:b/>
                <w:iCs/>
                <w:color w:val="333333"/>
                <w:sz w:val="14"/>
                <w:szCs w:val="14"/>
                <w:lang w:eastAsia="it-IT"/>
              </w:rPr>
              <w:t>ISSN</w:t>
            </w:r>
            <w:r w:rsidR="00300E56" w:rsidRPr="00AA5409">
              <w:rPr>
                <w:rFonts w:ascii="Tahoma" w:hAnsi="Tahoma" w:cs="Tahoma"/>
                <w:iCs/>
                <w:color w:val="333333"/>
                <w:sz w:val="14"/>
                <w:szCs w:val="14"/>
                <w:lang w:eastAsia="it-IT"/>
              </w:rPr>
              <w:t xml:space="preserve"> 2283-9216</w:t>
            </w:r>
          </w:p>
        </w:tc>
      </w:tr>
    </w:tbl>
    <w:p w14:paraId="2E667253" w14:textId="026366A5" w:rsidR="00E978D0" w:rsidRPr="00EE751E" w:rsidRDefault="007A78E8" w:rsidP="00E978D0">
      <w:pPr>
        <w:pStyle w:val="CETTitle"/>
      </w:pPr>
      <w:bookmarkStart w:id="0" w:name="_Hlk94468670"/>
      <w:bookmarkEnd w:id="0"/>
      <w:r w:rsidRPr="00EE751E">
        <w:t xml:space="preserve">Forecasting </w:t>
      </w:r>
      <w:r w:rsidR="00AF2E9F" w:rsidRPr="00EE751E">
        <w:t>Crop Yields Based on</w:t>
      </w:r>
      <w:r w:rsidR="005A0B44" w:rsidRPr="00EE751E">
        <w:br/>
      </w:r>
      <w:r w:rsidRPr="00EE751E">
        <w:t xml:space="preserve">Earth </w:t>
      </w:r>
      <w:r w:rsidR="00AF2E9F" w:rsidRPr="00EE751E">
        <w:t>Remote Sensing Methods</w:t>
      </w:r>
    </w:p>
    <w:p w14:paraId="0488FED2" w14:textId="2F7D6A87" w:rsidR="00B57E6F" w:rsidRPr="00EE751E" w:rsidRDefault="007A78E8" w:rsidP="00B57E6F">
      <w:pPr>
        <w:pStyle w:val="CETAuthors"/>
      </w:pPr>
      <w:r w:rsidRPr="00EE751E">
        <w:t xml:space="preserve">Marzhan Anuarbekovna Sadenova*, </w:t>
      </w:r>
      <w:r w:rsidRPr="00EE751E">
        <w:rPr>
          <w:lang w:val="en-US"/>
        </w:rPr>
        <w:t>Nail Alikuly Beisekenov</w:t>
      </w:r>
      <w:r w:rsidRPr="00EE751E">
        <w:t>, Petar Sabev Varbanov</w:t>
      </w:r>
    </w:p>
    <w:p w14:paraId="6368E2D4" w14:textId="166AE3D6" w:rsidR="007A78E8" w:rsidRPr="00EE751E" w:rsidRDefault="007A78E8" w:rsidP="007A78E8">
      <w:pPr>
        <w:pStyle w:val="CETAddress"/>
      </w:pPr>
      <w:r w:rsidRPr="00EE751E">
        <w:t>Center of Excellence «Veritas», D. Serikbayev East Kazakhstan technical university, 19 Serikbayev str. 070000 Ust-Kamenogorsk, Kazakhstan</w:t>
      </w:r>
    </w:p>
    <w:p w14:paraId="73F1267A" w14:textId="54A54AEB" w:rsidR="00B57E6F" w:rsidRPr="00EE751E" w:rsidRDefault="00C97F29" w:rsidP="007A78E8">
      <w:pPr>
        <w:pStyle w:val="CETemail"/>
        <w:rPr>
          <w:lang w:val="en-US"/>
        </w:rPr>
      </w:pPr>
      <w:r w:rsidRPr="00EE751E">
        <w:t>MSadenova@ektu.kz</w:t>
      </w:r>
    </w:p>
    <w:p w14:paraId="3CEE6382" w14:textId="50635CD5" w:rsidR="005E7D27" w:rsidRPr="00EE751E" w:rsidRDefault="005E7D27" w:rsidP="005E7D27">
      <w:pPr>
        <w:pStyle w:val="CETListbullets"/>
        <w:ind w:left="0" w:firstLine="0"/>
        <w:rPr>
          <w:lang w:val="en-US"/>
        </w:rPr>
      </w:pPr>
      <w:r w:rsidRPr="00EE751E">
        <w:rPr>
          <w:lang w:val="en-US"/>
        </w:rPr>
        <w:t xml:space="preserve">Observations of the dynamics of crop development using remote sensing data showed that in the spectral characteristics space, each crop species forms a compact cluster (a set of homogeneous photometric points) at a certain time and stage of development. It was found that derivation of images from satellite data by processing according to special algorithms in selected spectral regions allows </w:t>
      </w:r>
      <w:r w:rsidR="00380E72" w:rsidRPr="00EE751E">
        <w:rPr>
          <w:lang w:val="en-US"/>
        </w:rPr>
        <w:t>studying</w:t>
      </w:r>
      <w:r w:rsidRPr="00EE751E">
        <w:rPr>
          <w:lang w:val="en-US"/>
        </w:rPr>
        <w:t xml:space="preserve"> plant productivity, biomass, photosynthesis intensity</w:t>
      </w:r>
      <w:r w:rsidR="007E175F" w:rsidRPr="00EE751E">
        <w:rPr>
          <w:lang w:val="en-US"/>
        </w:rPr>
        <w:t>,</w:t>
      </w:r>
      <w:r w:rsidRPr="00EE751E">
        <w:rPr>
          <w:lang w:val="en-US"/>
        </w:rPr>
        <w:t xml:space="preserve"> and other parameters. In the present work</w:t>
      </w:r>
      <w:r w:rsidR="00380E72" w:rsidRPr="00EE751E">
        <w:rPr>
          <w:lang w:val="en-US"/>
        </w:rPr>
        <w:t>,</w:t>
      </w:r>
      <w:r w:rsidRPr="00EE751E">
        <w:rPr>
          <w:lang w:val="en-US"/>
        </w:rPr>
        <w:t xml:space="preserve"> the authors developed a preliminary version of the algorithm for forecasting crop yield on the example of sunflower, which showed good accuracy. The method allows for early forecasting. Approximation of the dynamic curves corresponding to the values of the seven-day composite NDVI</w:t>
      </w:r>
      <w:r w:rsidR="00C90B4D" w:rsidRPr="00EE751E">
        <w:rPr>
          <w:lang w:val="en-US"/>
        </w:rPr>
        <w:t xml:space="preserve"> (Normalized Difference Vegetation Index)</w:t>
      </w:r>
      <w:r w:rsidRPr="00EE751E">
        <w:rPr>
          <w:lang w:val="en-US"/>
        </w:rPr>
        <w:t xml:space="preserve"> indices has been proposed using the Gaussian function and the Levenberg-Marquardt algorithm. The use of the approximating function for predicting the annual maximum NDVI on the arable land mask showed the magnitude of the average absolute prediction error depending on the predicted week ranging from 0.67 to 10.7</w:t>
      </w:r>
      <w:r w:rsidR="00E94704" w:rsidRPr="00EE751E">
        <w:rPr>
          <w:lang w:val="en-US"/>
        </w:rPr>
        <w:t xml:space="preserve"> </w:t>
      </w:r>
      <w:r w:rsidRPr="00EE751E">
        <w:rPr>
          <w:lang w:val="en-US"/>
        </w:rPr>
        <w:t xml:space="preserve">% per year in the </w:t>
      </w:r>
      <w:r w:rsidR="00882D45" w:rsidRPr="00EE751E">
        <w:rPr>
          <w:lang w:val="en-US"/>
        </w:rPr>
        <w:t xml:space="preserve">evaluated </w:t>
      </w:r>
      <w:r w:rsidRPr="00EE751E">
        <w:rPr>
          <w:lang w:val="en-US"/>
        </w:rPr>
        <w:t>period</w:t>
      </w:r>
      <w:r w:rsidR="00882D45" w:rsidRPr="00EE751E">
        <w:rPr>
          <w:lang w:val="en-US"/>
        </w:rPr>
        <w:t>, which is acceptable accuracy for seasonal forecasts</w:t>
      </w:r>
      <w:r w:rsidRPr="00EE751E">
        <w:rPr>
          <w:lang w:val="en-US"/>
        </w:rPr>
        <w:t xml:space="preserve">. </w:t>
      </w:r>
    </w:p>
    <w:p w14:paraId="6F4444D9" w14:textId="2BD62F4B" w:rsidR="00DA47C7" w:rsidRPr="00EE751E" w:rsidRDefault="00600535" w:rsidP="00DA47C7">
      <w:pPr>
        <w:pStyle w:val="CETHeading1"/>
        <w:rPr>
          <w:lang w:val="en-GB"/>
        </w:rPr>
      </w:pPr>
      <w:r w:rsidRPr="00EE751E">
        <w:rPr>
          <w:lang w:val="en-GB"/>
        </w:rPr>
        <w:t>Introduction</w:t>
      </w:r>
    </w:p>
    <w:p w14:paraId="6370B81D" w14:textId="26A4454C" w:rsidR="00BB3DEC" w:rsidRPr="00EE751E" w:rsidRDefault="00F76842" w:rsidP="00BD040C">
      <w:pPr>
        <w:pStyle w:val="CETReferencetext"/>
        <w:ind w:left="0" w:firstLine="0"/>
        <w:rPr>
          <w:rFonts w:cs="Arial"/>
          <w:szCs w:val="18"/>
          <w:lang w:val="en-US" w:eastAsia="ru-RU"/>
        </w:rPr>
      </w:pPr>
      <w:r w:rsidRPr="00EE751E">
        <w:rPr>
          <w:rFonts w:cs="Arial"/>
          <w:szCs w:val="18"/>
          <w:lang w:val="en-US" w:eastAsia="ru-RU"/>
        </w:rPr>
        <w:t xml:space="preserve">The problem of reliable </w:t>
      </w:r>
      <w:r w:rsidR="0042738F" w:rsidRPr="00EE751E">
        <w:rPr>
          <w:rFonts w:cs="Arial"/>
          <w:szCs w:val="18"/>
          <w:lang w:val="en-US" w:eastAsia="ru-RU"/>
        </w:rPr>
        <w:t xml:space="preserve">identification </w:t>
      </w:r>
      <w:r w:rsidRPr="00EE751E">
        <w:rPr>
          <w:rFonts w:cs="Arial"/>
          <w:szCs w:val="18"/>
          <w:lang w:val="en-US" w:eastAsia="ru-RU"/>
        </w:rPr>
        <w:t xml:space="preserve">of agricultural plants </w:t>
      </w:r>
      <w:r w:rsidR="0042738F" w:rsidRPr="00EE751E">
        <w:rPr>
          <w:rFonts w:cs="Arial"/>
          <w:szCs w:val="18"/>
          <w:lang w:val="en-US" w:eastAsia="ru-RU"/>
        </w:rPr>
        <w:t xml:space="preserve">recognition from space images </w:t>
      </w:r>
      <w:r w:rsidRPr="00EE751E">
        <w:rPr>
          <w:rFonts w:cs="Arial"/>
          <w:szCs w:val="18"/>
          <w:lang w:val="en-US" w:eastAsia="ru-RU"/>
        </w:rPr>
        <w:t xml:space="preserve">is actively </w:t>
      </w:r>
      <w:r w:rsidR="0042738F" w:rsidRPr="00EE751E">
        <w:rPr>
          <w:rFonts w:cs="Arial"/>
          <w:szCs w:val="18"/>
          <w:lang w:val="en-US" w:eastAsia="ru-RU"/>
        </w:rPr>
        <w:t>researched</w:t>
      </w:r>
      <w:r w:rsidRPr="00EE751E">
        <w:rPr>
          <w:rFonts w:cs="Arial"/>
          <w:szCs w:val="18"/>
          <w:lang w:val="en-US" w:eastAsia="ru-RU"/>
        </w:rPr>
        <w:t xml:space="preserve"> world</w:t>
      </w:r>
      <w:r w:rsidR="0042738F" w:rsidRPr="00EE751E">
        <w:rPr>
          <w:rFonts w:cs="Arial"/>
          <w:szCs w:val="18"/>
          <w:lang w:val="en-US" w:eastAsia="ru-RU"/>
        </w:rPr>
        <w:t>wide</w:t>
      </w:r>
      <w:r w:rsidRPr="00EE751E">
        <w:rPr>
          <w:rFonts w:cs="Arial"/>
          <w:szCs w:val="18"/>
          <w:lang w:val="en-US" w:eastAsia="ru-RU"/>
        </w:rPr>
        <w:t xml:space="preserve">. Among the main tasks are the availability of accessible and reliable methods of crop identification, </w:t>
      </w:r>
      <w:r w:rsidR="003C2745" w:rsidRPr="00EE751E">
        <w:rPr>
          <w:rFonts w:cs="Arial"/>
          <w:szCs w:val="18"/>
          <w:lang w:val="en-US" w:eastAsia="ru-RU"/>
        </w:rPr>
        <w:t xml:space="preserve">providing </w:t>
      </w:r>
      <w:r w:rsidRPr="00EE751E">
        <w:rPr>
          <w:rFonts w:cs="Arial"/>
          <w:szCs w:val="18"/>
          <w:lang w:val="en-US" w:eastAsia="ru-RU"/>
        </w:rPr>
        <w:t xml:space="preserve">equipment with suitable imaging </w:t>
      </w:r>
      <w:r w:rsidR="000F5789" w:rsidRPr="00EE751E">
        <w:rPr>
          <w:rFonts w:cs="Arial"/>
          <w:szCs w:val="18"/>
          <w:lang w:val="en-US" w:eastAsia="ru-RU"/>
        </w:rPr>
        <w:t>capability</w:t>
      </w:r>
      <w:r w:rsidR="00791014" w:rsidRPr="00EE751E">
        <w:rPr>
          <w:rFonts w:cs="Arial"/>
          <w:szCs w:val="18"/>
          <w:lang w:val="en-US" w:eastAsia="ru-RU"/>
        </w:rPr>
        <w:t>,</w:t>
      </w:r>
      <w:r w:rsidR="000F5789" w:rsidRPr="00EE751E">
        <w:rPr>
          <w:rFonts w:cs="Arial"/>
          <w:szCs w:val="18"/>
          <w:lang w:val="en-US" w:eastAsia="ru-RU"/>
        </w:rPr>
        <w:t xml:space="preserve"> </w:t>
      </w:r>
      <w:r w:rsidRPr="00EE751E">
        <w:rPr>
          <w:rFonts w:cs="Arial"/>
          <w:szCs w:val="18"/>
          <w:lang w:val="en-US" w:eastAsia="ru-RU"/>
        </w:rPr>
        <w:t>and the use of flexible, mobile software systems for statistical and mathematical processing of the obtained data. To date, databases on the spectral reflectance of crops have been created.</w:t>
      </w:r>
      <w:r w:rsidR="00F123C6" w:rsidRPr="00EE751E">
        <w:rPr>
          <w:rFonts w:cs="Arial"/>
          <w:szCs w:val="18"/>
          <w:lang w:val="en-US" w:eastAsia="ru-RU"/>
        </w:rPr>
        <w:t xml:space="preserve"> Soil quality is modelled at the level of compost processing (Lim et al., 2021).</w:t>
      </w:r>
      <w:r w:rsidRPr="00EE751E">
        <w:rPr>
          <w:rFonts w:cs="Arial"/>
          <w:szCs w:val="18"/>
          <w:lang w:val="en-US" w:eastAsia="ru-RU"/>
        </w:rPr>
        <w:t xml:space="preserve"> However, it is known that spectral properties of agricultural crops dynamically change during the growing season and depend on relief features and other natural </w:t>
      </w:r>
      <w:r w:rsidR="008C507B" w:rsidRPr="00EE751E">
        <w:rPr>
          <w:rFonts w:cs="Arial"/>
          <w:szCs w:val="18"/>
          <w:lang w:val="en-US" w:eastAsia="ru-RU"/>
        </w:rPr>
        <w:t>conditions (</w:t>
      </w:r>
      <w:r w:rsidR="00DE6DF3" w:rsidRPr="00EE751E">
        <w:t xml:space="preserve">Beisekenov </w:t>
      </w:r>
      <w:r w:rsidR="008C507B" w:rsidRPr="00EE751E">
        <w:rPr>
          <w:rFonts w:cs="Arial"/>
          <w:szCs w:val="18"/>
          <w:lang w:val="en-US" w:eastAsia="ru-RU"/>
        </w:rPr>
        <w:t>et al, 2021</w:t>
      </w:r>
      <w:r w:rsidR="009617F7" w:rsidRPr="00EE751E">
        <w:rPr>
          <w:rFonts w:cs="Arial"/>
          <w:szCs w:val="18"/>
          <w:lang w:val="en-US" w:eastAsia="ru-RU"/>
        </w:rPr>
        <w:t>a</w:t>
      </w:r>
      <w:r w:rsidR="008C507B" w:rsidRPr="00EE751E">
        <w:rPr>
          <w:rFonts w:cs="Arial"/>
          <w:szCs w:val="18"/>
          <w:lang w:val="en-US" w:eastAsia="ru-RU"/>
        </w:rPr>
        <w:t>)</w:t>
      </w:r>
      <w:r w:rsidR="006E0C67" w:rsidRPr="00EE751E">
        <w:rPr>
          <w:rFonts w:cs="Arial"/>
          <w:szCs w:val="18"/>
          <w:lang w:val="en-US" w:eastAsia="ru-RU"/>
        </w:rPr>
        <w:t>.</w:t>
      </w:r>
    </w:p>
    <w:p w14:paraId="2464E772" w14:textId="1A02ABC7" w:rsidR="001B0847" w:rsidRPr="00EE751E" w:rsidRDefault="00F76842" w:rsidP="00BD040C">
      <w:pPr>
        <w:pStyle w:val="CETReferencetext"/>
        <w:ind w:left="0" w:firstLine="0"/>
        <w:rPr>
          <w:rFonts w:cs="Arial"/>
          <w:szCs w:val="18"/>
          <w:lang w:val="en-US" w:eastAsia="ru-RU"/>
        </w:rPr>
      </w:pPr>
      <w:r w:rsidRPr="00EE751E">
        <w:rPr>
          <w:rFonts w:cs="Arial"/>
          <w:szCs w:val="18"/>
          <w:lang w:val="en-US" w:eastAsia="ru-RU"/>
        </w:rPr>
        <w:t xml:space="preserve">The presence of significant areas of agricultural </w:t>
      </w:r>
      <w:r w:rsidR="00BB3DEC" w:rsidRPr="00EE751E">
        <w:rPr>
          <w:rFonts w:cs="Arial"/>
          <w:szCs w:val="18"/>
          <w:lang w:val="en-US" w:eastAsia="ru-RU"/>
        </w:rPr>
        <w:t xml:space="preserve">production </w:t>
      </w:r>
      <w:r w:rsidRPr="00EE751E">
        <w:rPr>
          <w:rFonts w:cs="Arial"/>
          <w:szCs w:val="18"/>
          <w:lang w:val="en-US" w:eastAsia="ru-RU"/>
        </w:rPr>
        <w:t>in Kazakhstan</w:t>
      </w:r>
      <w:r w:rsidR="00A25999" w:rsidRPr="00EE751E">
        <w:rPr>
          <w:rFonts w:cs="Arial"/>
          <w:szCs w:val="18"/>
          <w:lang w:val="en-US" w:eastAsia="ru-RU"/>
        </w:rPr>
        <w:t>,</w:t>
      </w:r>
      <w:r w:rsidR="00025463" w:rsidRPr="00EE751E">
        <w:rPr>
          <w:rFonts w:cs="Arial"/>
          <w:szCs w:val="18"/>
          <w:lang w:val="en-US" w:eastAsia="ru-RU"/>
        </w:rPr>
        <w:t xml:space="preserve"> as well as </w:t>
      </w:r>
      <w:r w:rsidRPr="00EE751E">
        <w:rPr>
          <w:rFonts w:cs="Arial"/>
          <w:szCs w:val="18"/>
          <w:lang w:val="en-US" w:eastAsia="ru-RU"/>
        </w:rPr>
        <w:t>the variety of natural and climatic conditions of growing crops in the south, north and east of the country</w:t>
      </w:r>
      <w:r w:rsidR="005C5D00" w:rsidRPr="00EE751E">
        <w:rPr>
          <w:rFonts w:cs="Arial"/>
          <w:szCs w:val="18"/>
          <w:lang w:val="en-US" w:eastAsia="ru-RU"/>
        </w:rPr>
        <w:t>,</w:t>
      </w:r>
      <w:r w:rsidRPr="00EE751E">
        <w:rPr>
          <w:rFonts w:cs="Arial"/>
          <w:szCs w:val="18"/>
          <w:lang w:val="en-US" w:eastAsia="ru-RU"/>
        </w:rPr>
        <w:t xml:space="preserve"> set the task and are the basis for the development of science-based methods of identification of agricultural crops on the Earth remote sensing materials. An important indicator of agricultural production efficiency is crop yield, which is necessary for planning and regulating agricultural markets. Many methods of forecasting crop yields have been </w:t>
      </w:r>
      <w:r w:rsidR="008C507B" w:rsidRPr="00EE751E">
        <w:rPr>
          <w:rFonts w:cs="Arial"/>
          <w:szCs w:val="18"/>
          <w:lang w:val="en-US" w:eastAsia="ru-RU"/>
        </w:rPr>
        <w:t>developed</w:t>
      </w:r>
      <w:r w:rsidR="00A72DCA" w:rsidRPr="00EE751E">
        <w:rPr>
          <w:rFonts w:cs="Arial"/>
          <w:szCs w:val="18"/>
          <w:lang w:val="en-US" w:eastAsia="ru-RU"/>
        </w:rPr>
        <w:t xml:space="preserve"> </w:t>
      </w:r>
      <w:r w:rsidR="00F24A5B" w:rsidRPr="00EE751E">
        <w:rPr>
          <w:rFonts w:cs="Arial"/>
          <w:szCs w:val="18"/>
          <w:lang w:val="en-US" w:eastAsia="ru-RU"/>
        </w:rPr>
        <w:t xml:space="preserve">– such </w:t>
      </w:r>
      <w:r w:rsidR="00A72DCA" w:rsidRPr="00EE751E">
        <w:rPr>
          <w:rFonts w:cs="Arial"/>
          <w:szCs w:val="18"/>
          <w:lang w:val="en-US" w:eastAsia="ru-RU"/>
        </w:rPr>
        <w:t>as</w:t>
      </w:r>
      <w:r w:rsidR="008C507B" w:rsidRPr="00EE751E">
        <w:rPr>
          <w:rFonts w:cs="Arial"/>
          <w:szCs w:val="18"/>
          <w:lang w:val="en-US" w:eastAsia="ru-RU"/>
        </w:rPr>
        <w:t xml:space="preserve"> (</w:t>
      </w:r>
      <w:r w:rsidR="007156A5" w:rsidRPr="00EE751E">
        <w:rPr>
          <w:rFonts w:cs="Arial"/>
          <w:szCs w:val="18"/>
          <w:lang w:val="en-US" w:eastAsia="ru-RU"/>
        </w:rPr>
        <w:t>Makarov</w:t>
      </w:r>
      <w:r w:rsidR="008C507B" w:rsidRPr="00EE751E">
        <w:rPr>
          <w:rFonts w:cs="Arial"/>
          <w:szCs w:val="18"/>
          <w:lang w:val="en-US" w:eastAsia="ru-RU"/>
        </w:rPr>
        <w:t xml:space="preserve"> et al., </w:t>
      </w:r>
      <w:r w:rsidR="007156A5" w:rsidRPr="00EE751E">
        <w:rPr>
          <w:rFonts w:cs="Arial"/>
          <w:szCs w:val="18"/>
          <w:lang w:val="en-US" w:eastAsia="ru-RU"/>
        </w:rPr>
        <w:t>2020</w:t>
      </w:r>
      <w:r w:rsidR="008C507B" w:rsidRPr="00EE751E">
        <w:rPr>
          <w:rFonts w:cs="Arial"/>
          <w:szCs w:val="18"/>
          <w:lang w:val="en-US" w:eastAsia="ru-RU"/>
        </w:rPr>
        <w:t>)</w:t>
      </w:r>
      <w:r w:rsidR="00EE0A97" w:rsidRPr="00EE751E">
        <w:rPr>
          <w:rFonts w:cs="Arial"/>
          <w:szCs w:val="18"/>
          <w:lang w:val="en-US" w:eastAsia="ru-RU"/>
        </w:rPr>
        <w:t>. However,</w:t>
      </w:r>
      <w:r w:rsidRPr="00EE751E">
        <w:rPr>
          <w:rFonts w:cs="Arial"/>
          <w:szCs w:val="18"/>
          <w:lang w:val="en-US" w:eastAsia="ru-RU"/>
        </w:rPr>
        <w:t xml:space="preserve"> the</w:t>
      </w:r>
      <w:r w:rsidR="00817CA9" w:rsidRPr="00EE751E">
        <w:rPr>
          <w:rFonts w:cs="Arial"/>
          <w:szCs w:val="18"/>
          <w:lang w:val="en-US" w:eastAsia="ru-RU"/>
        </w:rPr>
        <w:t>y</w:t>
      </w:r>
      <w:r w:rsidRPr="00EE751E">
        <w:rPr>
          <w:rFonts w:cs="Arial"/>
          <w:szCs w:val="18"/>
          <w:lang w:val="en-US" w:eastAsia="ru-RU"/>
        </w:rPr>
        <w:t xml:space="preserve"> </w:t>
      </w:r>
      <w:r w:rsidR="00AD5DD2" w:rsidRPr="00EE751E">
        <w:rPr>
          <w:rFonts w:cs="Arial"/>
          <w:szCs w:val="18"/>
          <w:lang w:val="en-US" w:eastAsia="ru-RU"/>
        </w:rPr>
        <w:t>are</w:t>
      </w:r>
      <w:r w:rsidRPr="00EE751E">
        <w:rPr>
          <w:rFonts w:cs="Arial"/>
          <w:szCs w:val="18"/>
          <w:lang w:val="en-US" w:eastAsia="ru-RU"/>
        </w:rPr>
        <w:t xml:space="preserve"> not always </w:t>
      </w:r>
      <w:r w:rsidR="00AD5DD2" w:rsidRPr="00EE751E">
        <w:rPr>
          <w:rFonts w:cs="Arial"/>
          <w:szCs w:val="18"/>
          <w:lang w:val="en-US" w:eastAsia="ru-RU"/>
        </w:rPr>
        <w:t>ade</w:t>
      </w:r>
      <w:r w:rsidR="0040290A" w:rsidRPr="00EE751E">
        <w:rPr>
          <w:rFonts w:cs="Arial"/>
          <w:szCs w:val="18"/>
          <w:lang w:val="en-US" w:eastAsia="ru-RU"/>
        </w:rPr>
        <w:t>q</w:t>
      </w:r>
      <w:r w:rsidR="00AD5DD2" w:rsidRPr="00EE751E">
        <w:rPr>
          <w:rFonts w:cs="Arial"/>
          <w:szCs w:val="18"/>
          <w:lang w:val="en-US" w:eastAsia="ru-RU"/>
        </w:rPr>
        <w:t>uate to</w:t>
      </w:r>
      <w:r w:rsidR="00EB7A06" w:rsidRPr="00EE751E">
        <w:rPr>
          <w:rFonts w:cs="Arial"/>
          <w:szCs w:val="18"/>
          <w:lang w:val="en-US" w:eastAsia="ru-RU"/>
        </w:rPr>
        <w:t xml:space="preserve"> </w:t>
      </w:r>
      <w:r w:rsidRPr="00EE751E">
        <w:rPr>
          <w:rFonts w:cs="Arial"/>
          <w:szCs w:val="18"/>
          <w:lang w:val="en-US" w:eastAsia="ru-RU"/>
        </w:rPr>
        <w:t>the objectives of operational management of cropping pattern</w:t>
      </w:r>
      <w:r w:rsidR="0040290A" w:rsidRPr="00EE751E">
        <w:rPr>
          <w:rFonts w:cs="Arial"/>
          <w:szCs w:val="18"/>
          <w:lang w:val="en-US" w:eastAsia="ru-RU"/>
        </w:rPr>
        <w:t>s</w:t>
      </w:r>
      <w:r w:rsidRPr="00EE751E">
        <w:rPr>
          <w:rFonts w:cs="Arial"/>
          <w:szCs w:val="18"/>
          <w:lang w:val="en-US" w:eastAsia="ru-RU"/>
        </w:rPr>
        <w:t xml:space="preserve"> due to the </w:t>
      </w:r>
      <w:r w:rsidR="00367B13" w:rsidRPr="00EE751E">
        <w:rPr>
          <w:rFonts w:cs="Arial"/>
          <w:szCs w:val="18"/>
          <w:lang w:val="en-US" w:eastAsia="ru-RU"/>
        </w:rPr>
        <w:t>low cognitive ability of the proposed methods</w:t>
      </w:r>
      <w:r w:rsidR="002B45B0" w:rsidRPr="00EE751E">
        <w:rPr>
          <w:rFonts w:cs="Arial"/>
          <w:szCs w:val="18"/>
          <w:lang w:val="en-US" w:eastAsia="ru-RU"/>
        </w:rPr>
        <w:t xml:space="preserve"> </w:t>
      </w:r>
      <w:r w:rsidR="00367B13" w:rsidRPr="00EE751E">
        <w:rPr>
          <w:rFonts w:cs="Arial"/>
          <w:szCs w:val="18"/>
          <w:lang w:val="en-US" w:eastAsia="ru-RU"/>
        </w:rPr>
        <w:t>for</w:t>
      </w:r>
      <w:r w:rsidRPr="00EE751E">
        <w:rPr>
          <w:rFonts w:cs="Arial"/>
          <w:szCs w:val="18"/>
          <w:lang w:val="en-US" w:eastAsia="ru-RU"/>
        </w:rPr>
        <w:t xml:space="preserve"> short- and medium-term forecasting. Among the methods based on estimates of physical environmental parameters, the most common are statistical methods and mechanistic models of plant growth</w:t>
      </w:r>
      <w:r w:rsidR="00E56B6B" w:rsidRPr="00EE751E">
        <w:rPr>
          <w:rFonts w:cs="Arial"/>
          <w:szCs w:val="18"/>
          <w:lang w:val="en-US" w:eastAsia="ru-RU"/>
        </w:rPr>
        <w:t xml:space="preserve"> </w:t>
      </w:r>
      <w:r w:rsidR="008C507B" w:rsidRPr="00EE751E">
        <w:rPr>
          <w:rFonts w:cs="Arial"/>
          <w:szCs w:val="18"/>
          <w:lang w:val="en-US" w:eastAsia="ru-RU"/>
        </w:rPr>
        <w:t>(</w:t>
      </w:r>
      <w:r w:rsidR="00E56B6B" w:rsidRPr="00EE751E">
        <w:rPr>
          <w:rFonts w:cs="Arial"/>
          <w:szCs w:val="18"/>
          <w:lang w:val="en-US" w:eastAsia="ru-RU"/>
        </w:rPr>
        <w:t>Jin</w:t>
      </w:r>
      <w:r w:rsidR="008C507B" w:rsidRPr="00EE751E">
        <w:rPr>
          <w:rFonts w:cs="Arial"/>
          <w:szCs w:val="18"/>
          <w:lang w:val="en-US" w:eastAsia="ru-RU"/>
        </w:rPr>
        <w:t xml:space="preserve"> et al, </w:t>
      </w:r>
      <w:r w:rsidR="00E56B6B" w:rsidRPr="00EE751E">
        <w:rPr>
          <w:rFonts w:cs="Arial"/>
          <w:szCs w:val="18"/>
          <w:lang w:val="en-US" w:eastAsia="ru-RU"/>
        </w:rPr>
        <w:t>2016</w:t>
      </w:r>
      <w:r w:rsidR="008C507B" w:rsidRPr="00EE751E">
        <w:rPr>
          <w:rFonts w:cs="Arial"/>
          <w:szCs w:val="18"/>
          <w:lang w:val="en-US" w:eastAsia="ru-RU"/>
        </w:rPr>
        <w:t>)</w:t>
      </w:r>
      <w:r w:rsidR="00E56B6B" w:rsidRPr="00EE751E">
        <w:rPr>
          <w:rFonts w:cs="Arial"/>
          <w:szCs w:val="18"/>
          <w:lang w:val="en-US" w:eastAsia="ru-RU"/>
        </w:rPr>
        <w:t>.</w:t>
      </w:r>
      <w:r w:rsidR="006E0C67" w:rsidRPr="00EE751E">
        <w:rPr>
          <w:rFonts w:cs="Arial"/>
          <w:szCs w:val="18"/>
          <w:lang w:val="en-US" w:eastAsia="ru-RU"/>
        </w:rPr>
        <w:t xml:space="preserve"> </w:t>
      </w:r>
      <w:r w:rsidRPr="00EE751E">
        <w:rPr>
          <w:rFonts w:cs="Arial"/>
          <w:szCs w:val="18"/>
          <w:lang w:val="en-US" w:eastAsia="ru-RU"/>
        </w:rPr>
        <w:t>To develop an adequate mathematical model of the multifactorial process, it is important to rank the criteria under study</w:t>
      </w:r>
      <w:r w:rsidR="00C90F82" w:rsidRPr="00EE751E">
        <w:rPr>
          <w:rFonts w:cs="Arial"/>
          <w:szCs w:val="18"/>
          <w:lang w:val="en-US" w:eastAsia="ru-RU"/>
        </w:rPr>
        <w:t xml:space="preserve">. </w:t>
      </w:r>
      <w:r w:rsidR="0050259B" w:rsidRPr="00EE751E">
        <w:rPr>
          <w:rFonts w:cs="Arial"/>
          <w:szCs w:val="18"/>
          <w:lang w:val="en-US" w:eastAsia="ru-RU"/>
        </w:rPr>
        <w:t>A</w:t>
      </w:r>
      <w:r w:rsidRPr="00EE751E">
        <w:rPr>
          <w:rFonts w:cs="Arial"/>
          <w:szCs w:val="18"/>
          <w:lang w:val="en-US" w:eastAsia="ru-RU"/>
        </w:rPr>
        <w:t xml:space="preserve"> new ranking system has been developed </w:t>
      </w:r>
      <w:r w:rsidR="0050259B" w:rsidRPr="00EE751E">
        <w:rPr>
          <w:rFonts w:cs="Arial"/>
          <w:szCs w:val="18"/>
          <w:lang w:val="en-US" w:eastAsia="ru-RU"/>
        </w:rPr>
        <w:t>in (</w:t>
      </w:r>
      <w:r w:rsidR="0050259B" w:rsidRPr="00EE751E">
        <w:t xml:space="preserve">Beisekenov </w:t>
      </w:r>
      <w:r w:rsidR="0050259B" w:rsidRPr="00EE751E">
        <w:rPr>
          <w:rFonts w:cs="Arial"/>
          <w:szCs w:val="18"/>
          <w:lang w:val="en-US" w:eastAsia="ru-RU"/>
        </w:rPr>
        <w:t>et al, 2021b)</w:t>
      </w:r>
      <w:r w:rsidR="00E27826" w:rsidRPr="00EE751E">
        <w:rPr>
          <w:rFonts w:cs="Arial"/>
          <w:szCs w:val="18"/>
          <w:lang w:val="en-US" w:eastAsia="ru-RU"/>
        </w:rPr>
        <w:t>,</w:t>
      </w:r>
      <w:r w:rsidR="0050259B" w:rsidRPr="00EE751E">
        <w:rPr>
          <w:rFonts w:cs="Arial"/>
          <w:szCs w:val="18"/>
          <w:lang w:val="en-US" w:eastAsia="ru-RU"/>
        </w:rPr>
        <w:t xml:space="preserve"> </w:t>
      </w:r>
      <w:r w:rsidRPr="00EE751E">
        <w:rPr>
          <w:rFonts w:cs="Arial"/>
          <w:szCs w:val="18"/>
          <w:lang w:val="en-US" w:eastAsia="ru-RU"/>
        </w:rPr>
        <w:t xml:space="preserve">for </w:t>
      </w:r>
      <w:r w:rsidR="00A746CB" w:rsidRPr="00EE751E">
        <w:rPr>
          <w:rFonts w:cs="Arial"/>
          <w:szCs w:val="18"/>
          <w:lang w:val="en-US" w:eastAsia="ru-RU"/>
        </w:rPr>
        <w:t xml:space="preserve">the identification of a multitude </w:t>
      </w:r>
      <w:r w:rsidRPr="00EE751E">
        <w:rPr>
          <w:rFonts w:cs="Arial"/>
          <w:szCs w:val="18"/>
          <w:lang w:val="en-US" w:eastAsia="ru-RU"/>
        </w:rPr>
        <w:t xml:space="preserve">of significant parameters, taking into account the specifics of the region. Climate change affects crop yields and disrupts the global food system </w:t>
      </w:r>
      <w:r w:rsidR="008C507B" w:rsidRPr="00EE751E">
        <w:rPr>
          <w:rFonts w:cs="Arial"/>
          <w:szCs w:val="18"/>
          <w:lang w:val="en-US" w:eastAsia="ru-RU"/>
        </w:rPr>
        <w:t>(</w:t>
      </w:r>
      <w:r w:rsidR="007156A5" w:rsidRPr="00EE751E">
        <w:rPr>
          <w:rFonts w:cs="Arial"/>
          <w:szCs w:val="18"/>
          <w:lang w:val="en-US" w:eastAsia="ru-RU"/>
        </w:rPr>
        <w:t>Rajakal</w:t>
      </w:r>
      <w:r w:rsidR="008C507B" w:rsidRPr="00EE751E">
        <w:rPr>
          <w:rFonts w:cs="Arial"/>
          <w:szCs w:val="18"/>
          <w:lang w:val="en-US" w:eastAsia="ru-RU"/>
        </w:rPr>
        <w:t xml:space="preserve"> et al, </w:t>
      </w:r>
      <w:r w:rsidR="007156A5" w:rsidRPr="00EE751E">
        <w:rPr>
          <w:rFonts w:cs="Arial"/>
          <w:szCs w:val="18"/>
          <w:lang w:val="en-US" w:eastAsia="ru-RU"/>
        </w:rPr>
        <w:t>2021</w:t>
      </w:r>
      <w:r w:rsidR="008C507B" w:rsidRPr="00EE751E">
        <w:rPr>
          <w:rFonts w:cs="Arial"/>
          <w:szCs w:val="18"/>
          <w:lang w:val="en-US" w:eastAsia="ru-RU"/>
        </w:rPr>
        <w:t>)</w:t>
      </w:r>
      <w:r w:rsidR="00BD040C" w:rsidRPr="00EE751E">
        <w:rPr>
          <w:rFonts w:cs="Arial"/>
          <w:szCs w:val="18"/>
          <w:lang w:eastAsia="ru-RU"/>
        </w:rPr>
        <w:t>.</w:t>
      </w:r>
      <w:r w:rsidR="004340E2" w:rsidRPr="00EE751E">
        <w:rPr>
          <w:rFonts w:cs="Arial"/>
          <w:szCs w:val="18"/>
          <w:lang w:eastAsia="ru-RU"/>
        </w:rPr>
        <w:t xml:space="preserve"> </w:t>
      </w:r>
      <w:r w:rsidRPr="00EE751E">
        <w:rPr>
          <w:rFonts w:cs="Arial"/>
          <w:szCs w:val="18"/>
          <w:lang w:val="en-US" w:eastAsia="ru-RU"/>
        </w:rPr>
        <w:t>Th</w:t>
      </w:r>
      <w:r w:rsidR="00483FAE" w:rsidRPr="00EE751E">
        <w:rPr>
          <w:rFonts w:cs="Arial"/>
          <w:szCs w:val="18"/>
          <w:lang w:val="en-US" w:eastAsia="ru-RU"/>
        </w:rPr>
        <w:t>erefore</w:t>
      </w:r>
      <w:r w:rsidRPr="00EE751E">
        <w:rPr>
          <w:rFonts w:cs="Arial"/>
          <w:szCs w:val="18"/>
          <w:lang w:val="en-US" w:eastAsia="ru-RU"/>
        </w:rPr>
        <w:t xml:space="preserve">, the approach to solving the problem of yield forecasting </w:t>
      </w:r>
      <w:r w:rsidR="00736E6A" w:rsidRPr="00EE751E">
        <w:rPr>
          <w:rFonts w:cs="Arial"/>
          <w:szCs w:val="18"/>
          <w:lang w:val="en-US" w:eastAsia="ru-RU"/>
        </w:rPr>
        <w:t>has</w:t>
      </w:r>
      <w:r w:rsidRPr="00EE751E">
        <w:rPr>
          <w:rFonts w:cs="Arial"/>
          <w:szCs w:val="18"/>
          <w:lang w:val="en-US" w:eastAsia="ru-RU"/>
        </w:rPr>
        <w:t xml:space="preserve"> to build a fertility model based on space data</w:t>
      </w:r>
      <w:r w:rsidR="00F66758" w:rsidRPr="00EE751E">
        <w:rPr>
          <w:rFonts w:cs="Arial"/>
          <w:szCs w:val="18"/>
          <w:lang w:val="en-US" w:eastAsia="ru-RU"/>
        </w:rPr>
        <w:t>. It should</w:t>
      </w:r>
      <w:r w:rsidRPr="00EE751E">
        <w:rPr>
          <w:rFonts w:cs="Arial"/>
          <w:szCs w:val="18"/>
          <w:lang w:val="en-US" w:eastAsia="ru-RU"/>
        </w:rPr>
        <w:t xml:space="preserve"> apply optimi</w:t>
      </w:r>
      <w:r w:rsidR="00E9113D" w:rsidRPr="00EE751E">
        <w:rPr>
          <w:rFonts w:cs="Arial"/>
          <w:szCs w:val="18"/>
          <w:lang w:val="en-US" w:eastAsia="ru-RU"/>
        </w:rPr>
        <w:t>s</w:t>
      </w:r>
      <w:r w:rsidRPr="00EE751E">
        <w:rPr>
          <w:rFonts w:cs="Arial"/>
          <w:szCs w:val="18"/>
          <w:lang w:val="en-US" w:eastAsia="ru-RU"/>
        </w:rPr>
        <w:t>ation methods using a set of predictors derived from computer analysis of multispectral images from space.</w:t>
      </w:r>
    </w:p>
    <w:p w14:paraId="2CF17E0C" w14:textId="7384B673" w:rsidR="007A78E8" w:rsidRPr="00EE751E" w:rsidRDefault="000F6B3D" w:rsidP="007A78E8">
      <w:pPr>
        <w:pStyle w:val="CETHeading1"/>
        <w:tabs>
          <w:tab w:val="clear" w:pos="360"/>
          <w:tab w:val="right" w:pos="7100"/>
        </w:tabs>
        <w:jc w:val="both"/>
        <w:rPr>
          <w:lang w:val="en-GB"/>
        </w:rPr>
      </w:pPr>
      <w:r w:rsidRPr="00EE751E">
        <w:rPr>
          <w:lang w:val="en-GB"/>
        </w:rPr>
        <w:lastRenderedPageBreak/>
        <w:t>Object</w:t>
      </w:r>
      <w:r w:rsidR="00BA3B01" w:rsidRPr="00EE751E">
        <w:rPr>
          <w:lang w:val="en-GB"/>
        </w:rPr>
        <w:t>ive</w:t>
      </w:r>
      <w:r w:rsidRPr="00EE751E">
        <w:rPr>
          <w:lang w:val="en-GB"/>
        </w:rPr>
        <w:t>s and research methods</w:t>
      </w:r>
    </w:p>
    <w:p w14:paraId="6FAD49F8" w14:textId="7FED79B5" w:rsidR="001B0847" w:rsidRPr="00EE751E" w:rsidRDefault="00F76842" w:rsidP="00131B87">
      <w:pPr>
        <w:pStyle w:val="CETBodytext"/>
        <w:rPr>
          <w:iCs/>
          <w:lang w:val="en-GB"/>
        </w:rPr>
      </w:pPr>
      <w:r w:rsidRPr="00EE751E">
        <w:rPr>
          <w:iCs/>
          <w:lang w:val="en-GB"/>
        </w:rPr>
        <w:t>Based on the performed review, it was found that it is reasonable to use a model of crop biomass dynamics containing a small number of free parameters, taking into account the main meteorological factors, for yield forecasting. The calculation of biomass dynamics is made on the basis of meteorological observations and</w:t>
      </w:r>
      <w:r w:rsidR="00E3015E" w:rsidRPr="00EE751E">
        <w:rPr>
          <w:iCs/>
          <w:lang w:val="en-GB"/>
        </w:rPr>
        <w:t xml:space="preserve"> the </w:t>
      </w:r>
      <w:r w:rsidRPr="00EE751E">
        <w:rPr>
          <w:iCs/>
          <w:lang w:val="en-GB"/>
        </w:rPr>
        <w:t>NDVI index. The influence of solar radiation flux and soil moisture is taken into account not on the basis of direct measurements, but using equations with empirical constants whose values are determined for specific territories. The applicability of this approach was successfully demonstrated earlier in the Republic of Belarus when forecasting crop yields using available statistical data and satellite measurements of NDVI index (</w:t>
      </w:r>
      <w:r w:rsidR="00DF3B57" w:rsidRPr="00EE751E">
        <w:t>Moderate Resolution Imaging Spectroradiometer</w:t>
      </w:r>
      <w:r w:rsidRPr="00EE751E">
        <w:rPr>
          <w:iCs/>
          <w:lang w:val="en-GB"/>
        </w:rPr>
        <w:t xml:space="preserve">), as well as Era-Interim reanalysis </w:t>
      </w:r>
      <w:r w:rsidR="00131B87" w:rsidRPr="00EE751E">
        <w:rPr>
          <w:iCs/>
          <w:lang w:val="en-GB"/>
        </w:rPr>
        <w:t>(Lysenko et al., 2019)</w:t>
      </w:r>
      <w:r w:rsidR="006339E7" w:rsidRPr="00EE751E">
        <w:rPr>
          <w:iCs/>
          <w:lang w:val="en-GB"/>
        </w:rPr>
        <w:t>.</w:t>
      </w:r>
    </w:p>
    <w:p w14:paraId="1548DD94" w14:textId="59335CF7" w:rsidR="00BA0EF6" w:rsidRPr="00EE751E" w:rsidRDefault="00F76842" w:rsidP="00600535">
      <w:pPr>
        <w:pStyle w:val="CETBodytext"/>
        <w:rPr>
          <w:iCs/>
          <w:lang w:val="en-GB"/>
        </w:rPr>
      </w:pPr>
      <w:r w:rsidRPr="00EE751E">
        <w:rPr>
          <w:iCs/>
          <w:lang w:val="en-GB"/>
        </w:rPr>
        <w:t>Earlier, the authors (Beisekenov et al, 2021</w:t>
      </w:r>
      <w:r w:rsidR="009617F7" w:rsidRPr="00EE751E">
        <w:rPr>
          <w:iCs/>
          <w:lang w:val="en-GB"/>
        </w:rPr>
        <w:t>c</w:t>
      </w:r>
      <w:r w:rsidRPr="00EE751E">
        <w:rPr>
          <w:iCs/>
          <w:lang w:val="en-GB"/>
        </w:rPr>
        <w:t>) developed a preliminary version of the algorithm for determining crop yield on the example of spring wheat, which showed fairly good accuracy. The method makes early predictions</w:t>
      </w:r>
      <w:r w:rsidR="00FC6C7E" w:rsidRPr="00EE751E">
        <w:rPr>
          <w:iCs/>
          <w:lang w:val="en-GB"/>
        </w:rPr>
        <w:t xml:space="preserve"> possible</w:t>
      </w:r>
      <w:r w:rsidRPr="00EE751E">
        <w:rPr>
          <w:iCs/>
          <w:lang w:val="en-GB"/>
        </w:rPr>
        <w:t>. Approximation of dynamic curves corresponding to the values of seven-day NDVI inde</w:t>
      </w:r>
      <w:r w:rsidR="00B8206C" w:rsidRPr="00EE751E">
        <w:rPr>
          <w:iCs/>
          <w:lang w:val="en-GB"/>
        </w:rPr>
        <w:t>x</w:t>
      </w:r>
      <w:r w:rsidRPr="00EE751E">
        <w:rPr>
          <w:iCs/>
          <w:lang w:val="en-GB"/>
        </w:rPr>
        <w:t xml:space="preserve"> composites was carried out using </w:t>
      </w:r>
      <w:r w:rsidR="00B8206C" w:rsidRPr="00EE751E">
        <w:rPr>
          <w:iCs/>
          <w:lang w:val="en-GB"/>
        </w:rPr>
        <w:t xml:space="preserve">the </w:t>
      </w:r>
      <w:r w:rsidRPr="00EE751E">
        <w:rPr>
          <w:iCs/>
          <w:lang w:val="en-GB"/>
        </w:rPr>
        <w:t xml:space="preserve">Gauss function and Levenberg-Marquardt algorithm. The use of </w:t>
      </w:r>
      <w:r w:rsidR="00B8206C" w:rsidRPr="00EE751E">
        <w:rPr>
          <w:iCs/>
          <w:lang w:val="en-GB"/>
        </w:rPr>
        <w:t xml:space="preserve">an </w:t>
      </w:r>
      <w:r w:rsidRPr="00EE751E">
        <w:rPr>
          <w:iCs/>
          <w:lang w:val="en-GB"/>
        </w:rPr>
        <w:t xml:space="preserve">approximating function for predicting </w:t>
      </w:r>
      <w:r w:rsidR="00AF6373" w:rsidRPr="00EE751E">
        <w:rPr>
          <w:iCs/>
          <w:lang w:val="en-GB"/>
        </w:rPr>
        <w:t xml:space="preserve">the </w:t>
      </w:r>
      <w:r w:rsidRPr="00EE751E">
        <w:rPr>
          <w:iCs/>
          <w:lang w:val="en-GB"/>
        </w:rPr>
        <w:t xml:space="preserve">annual maximum NDVI by arable land mask in the farm "Yernar" of Glubokoe district of East Kazakhstan region </w:t>
      </w:r>
      <w:r w:rsidR="00906019" w:rsidRPr="00EE751E">
        <w:rPr>
          <w:iCs/>
          <w:lang w:val="en-GB"/>
        </w:rPr>
        <w:t>yi</w:t>
      </w:r>
      <w:r w:rsidR="00B2187A" w:rsidRPr="00EE751E">
        <w:rPr>
          <w:iCs/>
          <w:lang w:val="en-GB"/>
        </w:rPr>
        <w:t>e</w:t>
      </w:r>
      <w:r w:rsidR="00906019" w:rsidRPr="00EE751E">
        <w:rPr>
          <w:iCs/>
          <w:lang w:val="en-GB"/>
        </w:rPr>
        <w:t xml:space="preserve">lded </w:t>
      </w:r>
      <w:r w:rsidRPr="00EE751E">
        <w:rPr>
          <w:iCs/>
          <w:lang w:val="en-GB"/>
        </w:rPr>
        <w:t>good results</w:t>
      </w:r>
      <w:r w:rsidR="00B2187A" w:rsidRPr="00EE751E">
        <w:rPr>
          <w:iCs/>
          <w:lang w:val="en-GB"/>
        </w:rPr>
        <w:t>. T</w:t>
      </w:r>
      <w:r w:rsidRPr="00EE751E">
        <w:rPr>
          <w:iCs/>
          <w:lang w:val="en-GB"/>
        </w:rPr>
        <w:t>he average absolute forecast error depending on the forecast week was from 0.4 to 9.7</w:t>
      </w:r>
      <w:r w:rsidR="00E3015E" w:rsidRPr="00EE751E">
        <w:rPr>
          <w:iCs/>
          <w:lang w:val="en-GB"/>
        </w:rPr>
        <w:t xml:space="preserve"> </w:t>
      </w:r>
      <w:r w:rsidRPr="00EE751E">
        <w:rPr>
          <w:iCs/>
          <w:lang w:val="en-GB"/>
        </w:rPr>
        <w:t xml:space="preserve">% per year in the </w:t>
      </w:r>
      <w:r w:rsidR="00D23A1E" w:rsidRPr="00EE751E">
        <w:rPr>
          <w:iCs/>
          <w:lang w:val="en-GB"/>
        </w:rPr>
        <w:t>evaluat</w:t>
      </w:r>
      <w:r w:rsidRPr="00EE751E">
        <w:rPr>
          <w:iCs/>
          <w:lang w:val="en-GB"/>
        </w:rPr>
        <w:t xml:space="preserve">ed period. The use of </w:t>
      </w:r>
      <w:r w:rsidR="00C938CA" w:rsidRPr="00EE751E">
        <w:rPr>
          <w:iCs/>
          <w:lang w:val="en-GB"/>
        </w:rPr>
        <w:t xml:space="preserve">European remote sensing satellite </w:t>
      </w:r>
      <w:r w:rsidRPr="00EE751E">
        <w:rPr>
          <w:iCs/>
          <w:lang w:val="en-GB"/>
        </w:rPr>
        <w:t xml:space="preserve">data and </w:t>
      </w:r>
      <w:r w:rsidR="00B14F80" w:rsidRPr="00EE751E">
        <w:rPr>
          <w:iCs/>
          <w:lang w:val="en-GB"/>
        </w:rPr>
        <w:t xml:space="preserve">the </w:t>
      </w:r>
      <w:r w:rsidRPr="00EE751E">
        <w:rPr>
          <w:iCs/>
          <w:lang w:val="en-GB"/>
        </w:rPr>
        <w:t xml:space="preserve">developed </w:t>
      </w:r>
      <w:r w:rsidR="00B14F80" w:rsidRPr="00EE751E">
        <w:rPr>
          <w:iCs/>
          <w:lang w:val="en-GB"/>
        </w:rPr>
        <w:t xml:space="preserve">in-house </w:t>
      </w:r>
      <w:r w:rsidRPr="00EE751E">
        <w:rPr>
          <w:iCs/>
          <w:lang w:val="en-GB"/>
        </w:rPr>
        <w:t xml:space="preserve">Python software </w:t>
      </w:r>
      <w:r w:rsidR="001343BF" w:rsidRPr="00EE751E">
        <w:rPr>
          <w:iCs/>
          <w:lang w:val="en-GB"/>
        </w:rPr>
        <w:t xml:space="preserve">enable the </w:t>
      </w:r>
      <w:r w:rsidRPr="00EE751E">
        <w:rPr>
          <w:iCs/>
          <w:lang w:val="en-GB"/>
        </w:rPr>
        <w:t xml:space="preserve">quick </w:t>
      </w:r>
      <w:r w:rsidR="001343BF" w:rsidRPr="00EE751E">
        <w:rPr>
          <w:iCs/>
          <w:lang w:val="en-GB"/>
        </w:rPr>
        <w:t>computation</w:t>
      </w:r>
      <w:r w:rsidR="00DF5265" w:rsidRPr="00EE751E">
        <w:rPr>
          <w:iCs/>
          <w:lang w:val="en-GB"/>
        </w:rPr>
        <w:t xml:space="preserve"> </w:t>
      </w:r>
      <w:r w:rsidRPr="00EE751E">
        <w:rPr>
          <w:iCs/>
          <w:lang w:val="en-GB"/>
        </w:rPr>
        <w:t xml:space="preserve">of the forecast and the possibility of correcting farmers' plans. In this paper, the study was carried out on the example of sunflower crops on the plot of the Limited Liability Partnership (LLP) </w:t>
      </w:r>
      <w:r w:rsidR="00777B6C" w:rsidRPr="00EE751E">
        <w:rPr>
          <w:iCs/>
          <w:lang w:val="en-GB"/>
        </w:rPr>
        <w:t xml:space="preserve">"Experimental farming of oilseeds" </w:t>
      </w:r>
      <w:r w:rsidRPr="00EE751E">
        <w:rPr>
          <w:iCs/>
          <w:lang w:val="en-GB"/>
        </w:rPr>
        <w:t>(</w:t>
      </w:r>
      <w:r w:rsidR="00777B6C" w:rsidRPr="00EE751E">
        <w:rPr>
          <w:iCs/>
          <w:lang w:val="en-GB"/>
        </w:rPr>
        <w:t>EFO</w:t>
      </w:r>
      <w:r w:rsidRPr="00EE751E">
        <w:rPr>
          <w:iCs/>
          <w:lang w:val="en-GB"/>
        </w:rPr>
        <w:t xml:space="preserve">), located in Eastern Kazakhstan. The total area of the three fields with sunflowers (Figure 1) is 264.8 ha, including field "a" </w:t>
      </w:r>
      <w:r w:rsidR="00E70038" w:rsidRPr="00EE751E">
        <w:rPr>
          <w:iCs/>
          <w:lang w:val="en-GB"/>
        </w:rPr>
        <w:t>of</w:t>
      </w:r>
      <w:r w:rsidRPr="00EE751E">
        <w:rPr>
          <w:iCs/>
          <w:lang w:val="en-GB"/>
        </w:rPr>
        <w:t xml:space="preserve"> 118.5 ha, field "b" </w:t>
      </w:r>
      <w:r w:rsidR="00E70038" w:rsidRPr="00EE751E">
        <w:rPr>
          <w:iCs/>
          <w:lang w:val="en-GB"/>
        </w:rPr>
        <w:t>of</w:t>
      </w:r>
      <w:r w:rsidRPr="00EE751E">
        <w:rPr>
          <w:iCs/>
          <w:lang w:val="en-GB"/>
        </w:rPr>
        <w:t xml:space="preserve"> 54.2 ha and field "c" </w:t>
      </w:r>
      <w:r w:rsidR="00E70038" w:rsidRPr="00EE751E">
        <w:rPr>
          <w:iCs/>
          <w:lang w:val="en-GB"/>
        </w:rPr>
        <w:t>of</w:t>
      </w:r>
      <w:r w:rsidRPr="00EE751E">
        <w:rPr>
          <w:iCs/>
          <w:lang w:val="en-GB"/>
        </w:rPr>
        <w:t xml:space="preserve"> 92.1 ha. In the EO Browser web</w:t>
      </w:r>
      <w:r w:rsidR="006836F2" w:rsidRPr="00EE751E">
        <w:rPr>
          <w:iCs/>
          <w:lang w:val="en-GB"/>
        </w:rPr>
        <w:t xml:space="preserve"> </w:t>
      </w:r>
      <w:r w:rsidRPr="00EE751E">
        <w:rPr>
          <w:iCs/>
          <w:lang w:val="en-GB"/>
        </w:rPr>
        <w:t>application</w:t>
      </w:r>
      <w:r w:rsidR="00A61D6A" w:rsidRPr="00EE751E">
        <w:rPr>
          <w:iCs/>
          <w:lang w:val="en-GB"/>
        </w:rPr>
        <w:t>,</w:t>
      </w:r>
      <w:r w:rsidRPr="00EE751E">
        <w:rPr>
          <w:iCs/>
          <w:lang w:val="en-GB"/>
        </w:rPr>
        <w:t xml:space="preserve"> the plots of </w:t>
      </w:r>
      <w:r w:rsidR="00777B6C" w:rsidRPr="00EE751E">
        <w:rPr>
          <w:iCs/>
          <w:lang w:val="en-GB"/>
        </w:rPr>
        <w:t xml:space="preserve">"Experimental farming of oilseeds" </w:t>
      </w:r>
      <w:r w:rsidRPr="00EE751E">
        <w:rPr>
          <w:iCs/>
          <w:lang w:val="en-GB"/>
        </w:rPr>
        <w:t xml:space="preserve">LLP were considered. The images of this crop were digitized in the NEXTGis program and saved to a KML file. The file was then opened in the EO Browser web application. Sentinel-2 images were used because they have 10 m resolution and are updated every 3-5 days. The NDVI vegetation index was plotted on </w:t>
      </w:r>
      <w:r w:rsidR="00CB08A2" w:rsidRPr="00EE751E">
        <w:rPr>
          <w:iCs/>
          <w:lang w:val="en-GB"/>
        </w:rPr>
        <w:t>13.</w:t>
      </w:r>
      <w:r w:rsidRPr="00EE751E">
        <w:rPr>
          <w:iCs/>
          <w:lang w:val="en-GB"/>
        </w:rPr>
        <w:t>07</w:t>
      </w:r>
      <w:r w:rsidR="00CB08A2" w:rsidRPr="00EE751E">
        <w:rPr>
          <w:iCs/>
          <w:lang w:val="en-GB"/>
        </w:rPr>
        <w:t>.</w:t>
      </w:r>
      <w:r w:rsidRPr="00EE751E">
        <w:rPr>
          <w:iCs/>
          <w:lang w:val="en-GB"/>
        </w:rPr>
        <w:t>2021. As a result of field mask processing in Figure 1 "a" there is quite a noticeable difference in colo</w:t>
      </w:r>
      <w:r w:rsidR="003706A7" w:rsidRPr="00EE751E">
        <w:rPr>
          <w:iCs/>
          <w:lang w:val="en-GB"/>
        </w:rPr>
        <w:t>u</w:t>
      </w:r>
      <w:r w:rsidRPr="00EE751E">
        <w:rPr>
          <w:iCs/>
          <w:lang w:val="en-GB"/>
        </w:rPr>
        <w:t>r coverage of NDVI index compared to fields 1 "b" and 1 "c". Probably this difference in reflectivity of sunflower fields is connected with peculiarities of land surface relief among other things.</w:t>
      </w:r>
    </w:p>
    <w:p w14:paraId="732FF3ED" w14:textId="03619A2C" w:rsidR="007A78E8" w:rsidRPr="00EE751E" w:rsidRDefault="00ED0207" w:rsidP="00294772">
      <w:pPr>
        <w:pStyle w:val="CETBodytext"/>
        <w:jc w:val="left"/>
        <w:rPr>
          <w:lang w:val="ru-RU"/>
        </w:rPr>
      </w:pPr>
      <w:r w:rsidRPr="00EE751E">
        <w:rPr>
          <w:noProof/>
        </w:rPr>
        <w:drawing>
          <wp:inline distT="0" distB="0" distL="0" distR="0" wp14:anchorId="0B586964" wp14:editId="1A94D6A1">
            <wp:extent cx="3257550" cy="36423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2846" cy="3659464"/>
                    </a:xfrm>
                    <a:prstGeom prst="rect">
                      <a:avLst/>
                    </a:prstGeom>
                  </pic:spPr>
                </pic:pic>
              </a:graphicData>
            </a:graphic>
          </wp:inline>
        </w:drawing>
      </w:r>
    </w:p>
    <w:p w14:paraId="0A6D7D7A" w14:textId="71978F3A" w:rsidR="00BA0EF6" w:rsidRPr="00EE751E" w:rsidRDefault="008C507B" w:rsidP="007A78E8">
      <w:pPr>
        <w:pStyle w:val="CETCaption"/>
        <w:rPr>
          <w:rStyle w:val="CETCaptionCarattere"/>
          <w:i/>
        </w:rPr>
      </w:pPr>
      <w:r w:rsidRPr="00EE751E">
        <w:rPr>
          <w:rStyle w:val="CETCaptionCarattere"/>
          <w:i/>
        </w:rPr>
        <w:t xml:space="preserve">Figure 1. The mask of the sunflower fields of </w:t>
      </w:r>
      <w:r w:rsidR="00777B6C" w:rsidRPr="00EE751E">
        <w:rPr>
          <w:rStyle w:val="CETCaptionCarattere"/>
          <w:i/>
        </w:rPr>
        <w:t xml:space="preserve">"Experimental farming of oilseeds" </w:t>
      </w:r>
      <w:r w:rsidRPr="00EE751E">
        <w:rPr>
          <w:rStyle w:val="CETCaptionCarattere"/>
          <w:i/>
        </w:rPr>
        <w:t xml:space="preserve"> LLP (Sentinel-2 satellite images from 13.07.2021) with the areas: "a" - 118.5 ha, "b" field - 54.2 ha and "c" field - 92.1 ha</w:t>
      </w:r>
      <w:r w:rsidR="00BA0EF6" w:rsidRPr="00EE751E">
        <w:rPr>
          <w:rStyle w:val="CETCaptionCarattere"/>
          <w:i/>
        </w:rPr>
        <w:t>.</w:t>
      </w:r>
    </w:p>
    <w:p w14:paraId="7643A988" w14:textId="7BF3F035" w:rsidR="00131B87" w:rsidRPr="00EE751E" w:rsidRDefault="00131B87" w:rsidP="00131B87">
      <w:pPr>
        <w:pStyle w:val="CETBodytext"/>
        <w:rPr>
          <w:iCs/>
          <w:lang w:val="en-GB"/>
        </w:rPr>
      </w:pPr>
      <w:r w:rsidRPr="00EE751E">
        <w:rPr>
          <w:iCs/>
          <w:lang w:val="en-GB"/>
        </w:rPr>
        <w:t xml:space="preserve">We used algorithms for processing satellite data obtained using the Leaflet and Sentinel Hub API; normalized NDVI values per calendar week were obtained, calculated as the average for 5 y of observations. Seven-day </w:t>
      </w:r>
      <w:r w:rsidRPr="00EE751E">
        <w:rPr>
          <w:iCs/>
          <w:lang w:val="en-GB"/>
        </w:rPr>
        <w:lastRenderedPageBreak/>
        <w:t xml:space="preserve">(weekly) NDVI index values (cloudless composites SPOT-5,6,7, KOMSPAT-3, Sentinel-2, Landsat 8) for a calendar year, calculated using the plough mask, were considered. A total of 10 time series of normalized indices corresponding to 2017-2021 were generated. The maximum NDVI value was reached during the 26th-30th calendar week, corresponding to mid-July to early August. Determination of the maximum NDVI for the early yield forecast was performed by finding the parameters of the approximating nonlinear function corresponding to the distribution of the normalized NDVI values of the previous years. Calculations were performed in the Python programming environment using the PyCharm add-on science package (Paszke et al., 2019), The 2021 sunflower yield data of </w:t>
      </w:r>
      <w:r w:rsidR="00777B6C" w:rsidRPr="00EE751E">
        <w:rPr>
          <w:iCs/>
          <w:lang w:val="en-GB"/>
        </w:rPr>
        <w:t xml:space="preserve">"Experimental farming of oilseeds" </w:t>
      </w:r>
      <w:r w:rsidRPr="00EE751E">
        <w:rPr>
          <w:iCs/>
          <w:lang w:val="en-GB"/>
        </w:rPr>
        <w:t xml:space="preserve">LLP were obtained using the farm agronomists' indicator database. Annual values of gross sunflower harvest and harvested acreage were used to calculate yields. In </w:t>
      </w:r>
      <w:r w:rsidR="003749CB" w:rsidRPr="00EE751E">
        <w:rPr>
          <w:iCs/>
          <w:lang w:val="en-GB"/>
        </w:rPr>
        <w:t xml:space="preserve">the </w:t>
      </w:r>
      <w:r w:rsidRPr="00EE751E">
        <w:rPr>
          <w:iCs/>
          <w:lang w:val="en-GB"/>
        </w:rPr>
        <w:t xml:space="preserve">case of heterogeneity of the time series, the initial data were filtered by statistical methods. </w:t>
      </w:r>
    </w:p>
    <w:p w14:paraId="273D3E18" w14:textId="3117B9E7" w:rsidR="00DB5958" w:rsidRPr="00EE751E" w:rsidRDefault="00131B87" w:rsidP="00131B87">
      <w:pPr>
        <w:pStyle w:val="CETBodytext"/>
        <w:rPr>
          <w:iCs/>
          <w:lang w:val="en-GB"/>
        </w:rPr>
      </w:pPr>
      <w:r w:rsidRPr="00EE751E">
        <w:rPr>
          <w:iCs/>
          <w:lang w:val="en-GB"/>
        </w:rPr>
        <w:t>Figure 2 shows the statistics of changes in the NDVI of crops in the experimental plot under the letter "a", in the period from 2020 to 2021, which shows that, depending on different conditions, soil conditions, crops and other indicators of crop production vary markedly.</w:t>
      </w:r>
    </w:p>
    <w:p w14:paraId="48FC7CA7" w14:textId="7E82B1C1" w:rsidR="00275E3C" w:rsidRPr="00EE751E" w:rsidRDefault="006D6233" w:rsidP="00E42591">
      <w:pPr>
        <w:pStyle w:val="CETBodytext"/>
        <w:spacing w:before="240" w:after="240"/>
        <w:jc w:val="left"/>
        <w:rPr>
          <w:lang w:val="en-GB"/>
        </w:rPr>
      </w:pPr>
      <w:r w:rsidRPr="00EE751E">
        <w:rPr>
          <w:noProof/>
          <w:lang w:val="ru-RU" w:eastAsia="ru-RU"/>
        </w:rPr>
        <w:drawing>
          <wp:inline distT="0" distB="0" distL="0" distR="0" wp14:anchorId="49924610" wp14:editId="35DE63A3">
            <wp:extent cx="5603358" cy="201031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022" cy="2027058"/>
                    </a:xfrm>
                    <a:prstGeom prst="rect">
                      <a:avLst/>
                    </a:prstGeom>
                    <a:noFill/>
                    <a:ln>
                      <a:noFill/>
                    </a:ln>
                  </pic:spPr>
                </pic:pic>
              </a:graphicData>
            </a:graphic>
          </wp:inline>
        </w:drawing>
      </w:r>
    </w:p>
    <w:p w14:paraId="0388E1B6" w14:textId="5853182A" w:rsidR="00BA0EF6" w:rsidRPr="00EE751E" w:rsidRDefault="00131B87" w:rsidP="00275E3C">
      <w:pPr>
        <w:pStyle w:val="CETCaption"/>
        <w:rPr>
          <w:rStyle w:val="CETCaptionCarattere"/>
          <w:i/>
        </w:rPr>
      </w:pPr>
      <w:r w:rsidRPr="00EE751E">
        <w:rPr>
          <w:rStyle w:val="CETCaptionCarattere"/>
          <w:i/>
        </w:rPr>
        <w:t>Figure 2. Statistics of crop NDVI indicator change in experimental plot "a" during the period from 2020 to 2021</w:t>
      </w:r>
    </w:p>
    <w:p w14:paraId="6593E2B7" w14:textId="7182FF5C" w:rsidR="00BA0EF6" w:rsidRPr="00EE751E" w:rsidRDefault="002C06A2" w:rsidP="00453E24">
      <w:pPr>
        <w:pStyle w:val="CETHeading1"/>
        <w:tabs>
          <w:tab w:val="clear" w:pos="360"/>
          <w:tab w:val="right" w:pos="7100"/>
        </w:tabs>
        <w:jc w:val="both"/>
        <w:rPr>
          <w:lang w:val="en-GB"/>
        </w:rPr>
      </w:pPr>
      <w:r w:rsidRPr="00EE751E">
        <w:rPr>
          <w:lang w:val="en-GB"/>
        </w:rPr>
        <w:t>Methodologies</w:t>
      </w:r>
      <w:r w:rsidRPr="00EE751E">
        <w:rPr>
          <w:lang w:val="ru-RU"/>
        </w:rPr>
        <w:t xml:space="preserve"> </w:t>
      </w:r>
      <w:r w:rsidRPr="00EE751E">
        <w:t xml:space="preserve">and </w:t>
      </w:r>
      <w:r w:rsidRPr="00EE751E">
        <w:rPr>
          <w:lang w:val="en-GB"/>
        </w:rPr>
        <w:t>Results</w:t>
      </w:r>
    </w:p>
    <w:p w14:paraId="0259A157" w14:textId="41679D90" w:rsidR="00BA0EF6" w:rsidRPr="00EE751E" w:rsidRDefault="00131B87" w:rsidP="00453E24">
      <w:pPr>
        <w:pStyle w:val="CETBodytext"/>
      </w:pPr>
      <w:r w:rsidRPr="00EE751E">
        <w:t>Analysis of the time series of the NDVI index by cropland mask showed that the change in values of the index during the year corresponds to a normal distribution, and, accordingly, we can use the Gaussian function to approximate the series</w:t>
      </w:r>
      <w:r w:rsidR="00DB5958" w:rsidRPr="00EE751E">
        <w:t>:</w:t>
      </w:r>
    </w:p>
    <w:p w14:paraId="58A5A301" w14:textId="1B28F2AC" w:rsidR="002C06A2" w:rsidRPr="00EE751E" w:rsidRDefault="002C06A2" w:rsidP="002C06A2">
      <w:pPr>
        <w:pStyle w:val="CETBodytext"/>
        <w:spacing w:before="120" w:after="120"/>
      </w:pPr>
      <m:oMath>
        <m:r>
          <w:rPr>
            <w:rFonts w:ascii="Cambria Math" w:hAnsi="Cambria Math"/>
            <w:szCs w:val="24"/>
            <w:shd w:val="clear" w:color="auto" w:fill="FFFFFF"/>
          </w:rPr>
          <m:t>F</m:t>
        </m:r>
        <m:d>
          <m:dPr>
            <m:ctrlPr>
              <w:rPr>
                <w:rFonts w:ascii="Cambria Math" w:hAnsi="Cambria Math"/>
                <w:i/>
                <w:szCs w:val="24"/>
                <w:shd w:val="clear" w:color="auto" w:fill="FFFFFF"/>
              </w:rPr>
            </m:ctrlPr>
          </m:dPr>
          <m:e>
            <m:r>
              <w:rPr>
                <w:rFonts w:ascii="Cambria Math" w:hAnsi="Cambria Math"/>
                <w:szCs w:val="24"/>
                <w:shd w:val="clear" w:color="auto" w:fill="FFFFFF"/>
              </w:rPr>
              <m:t>ⅈ</m:t>
            </m:r>
          </m:e>
        </m:d>
        <m:r>
          <w:rPr>
            <w:rFonts w:ascii="Cambria Math" w:hAnsi="Cambria Math"/>
            <w:szCs w:val="24"/>
            <w:shd w:val="clear" w:color="auto" w:fill="FFFFFF"/>
          </w:rPr>
          <m:t>NDV</m:t>
        </m:r>
        <m:sSub>
          <m:sSubPr>
            <m:ctrlPr>
              <w:rPr>
                <w:rFonts w:ascii="Cambria Math" w:hAnsi="Cambria Math"/>
                <w:i/>
                <w:szCs w:val="24"/>
                <w:shd w:val="clear" w:color="auto" w:fill="FFFFFF"/>
              </w:rPr>
            </m:ctrlPr>
          </m:sSubPr>
          <m:e>
            <m:r>
              <w:rPr>
                <w:rFonts w:ascii="Cambria Math" w:hAnsi="Cambria Math"/>
                <w:szCs w:val="24"/>
                <w:shd w:val="clear" w:color="auto" w:fill="FFFFFF"/>
              </w:rPr>
              <m:t>I</m:t>
            </m:r>
          </m:e>
          <m:sub>
            <m:r>
              <w:rPr>
                <w:rFonts w:ascii="Cambria Math" w:hAnsi="Cambria Math"/>
                <w:szCs w:val="24"/>
                <w:shd w:val="clear" w:color="auto" w:fill="FFFFFF"/>
              </w:rPr>
              <m:t>max</m:t>
            </m:r>
          </m:sub>
        </m:sSub>
        <m:r>
          <w:rPr>
            <w:rFonts w:ascii="Cambria Math" w:hAnsi="Cambria Math"/>
            <w:szCs w:val="24"/>
            <w:shd w:val="clear" w:color="auto" w:fill="FFFFFF"/>
          </w:rPr>
          <m:t>exp</m:t>
        </m:r>
        <m:f>
          <m:fPr>
            <m:ctrlPr>
              <w:rPr>
                <w:rFonts w:ascii="Cambria Math" w:hAnsi="Cambria Math"/>
                <w:i/>
                <w:szCs w:val="24"/>
                <w:shd w:val="clear" w:color="auto" w:fill="FFFFFF"/>
              </w:rPr>
            </m:ctrlPr>
          </m:fPr>
          <m:num>
            <m:r>
              <w:rPr>
                <w:rFonts w:ascii="Cambria Math" w:hAnsi="Cambria Math"/>
                <w:szCs w:val="24"/>
                <w:shd w:val="clear" w:color="auto" w:fill="FFFFFF"/>
              </w:rPr>
              <m:t>5-</m:t>
            </m:r>
            <m:sSup>
              <m:sSupPr>
                <m:ctrlPr>
                  <w:rPr>
                    <w:rFonts w:ascii="Cambria Math" w:hAnsi="Cambria Math"/>
                    <w:i/>
                    <w:szCs w:val="24"/>
                    <w:shd w:val="clear" w:color="auto" w:fill="FFFFFF"/>
                  </w:rPr>
                </m:ctrlPr>
              </m:sSupPr>
              <m:e>
                <m:r>
                  <w:rPr>
                    <w:rFonts w:ascii="Cambria Math" w:hAnsi="Cambria Math"/>
                    <w:szCs w:val="24"/>
                    <w:shd w:val="clear" w:color="auto" w:fill="FFFFFF"/>
                  </w:rPr>
                  <m:t>(i-b)</m:t>
                </m:r>
              </m:e>
              <m:sup>
                <m:r>
                  <w:rPr>
                    <w:rFonts w:ascii="Cambria Math" w:hAnsi="Cambria Math"/>
                    <w:szCs w:val="24"/>
                    <w:shd w:val="clear" w:color="auto" w:fill="FFFFFF"/>
                  </w:rPr>
                  <m:t>2</m:t>
                </m:r>
              </m:sup>
            </m:sSup>
          </m:num>
          <m:den>
            <m:sSup>
              <m:sSupPr>
                <m:ctrlPr>
                  <w:rPr>
                    <w:rFonts w:ascii="Cambria Math" w:hAnsi="Cambria Math"/>
                    <w:i/>
                    <w:szCs w:val="24"/>
                    <w:shd w:val="clear" w:color="auto" w:fill="FFFFFF"/>
                  </w:rPr>
                </m:ctrlPr>
              </m:sSupPr>
              <m:e>
                <m:r>
                  <w:rPr>
                    <w:rFonts w:ascii="Cambria Math" w:hAnsi="Cambria Math"/>
                    <w:szCs w:val="24"/>
                    <w:shd w:val="clear" w:color="auto" w:fill="FFFFFF"/>
                  </w:rPr>
                  <m:t>2c</m:t>
                </m:r>
              </m:e>
              <m:sup>
                <m:r>
                  <w:rPr>
                    <w:rFonts w:ascii="Cambria Math" w:hAnsi="Cambria Math"/>
                    <w:szCs w:val="24"/>
                    <w:shd w:val="clear" w:color="auto" w:fill="FFFFFF"/>
                  </w:rPr>
                  <m:t>2</m:t>
                </m:r>
              </m:sup>
            </m:sSup>
          </m:den>
        </m:f>
      </m:oMath>
      <w:r w:rsidR="00E42591" w:rsidRPr="00EE751E">
        <w:rPr>
          <w:szCs w:val="24"/>
          <w:shd w:val="clear" w:color="auto" w:fill="FFFFFF"/>
        </w:rPr>
        <w:tab/>
      </w:r>
      <w:r w:rsidR="00E42591" w:rsidRPr="00EE751E">
        <w:rPr>
          <w:szCs w:val="24"/>
          <w:shd w:val="clear" w:color="auto" w:fill="FFFFFF"/>
        </w:rPr>
        <w:tab/>
      </w:r>
      <w:r w:rsidR="00E42591" w:rsidRPr="00EE751E">
        <w:rPr>
          <w:szCs w:val="24"/>
          <w:shd w:val="clear" w:color="auto" w:fill="FFFFFF"/>
        </w:rPr>
        <w:tab/>
      </w:r>
      <w:r w:rsidRPr="00EE751E">
        <w:t>(1)</w:t>
      </w:r>
    </w:p>
    <w:p w14:paraId="4E06E07D" w14:textId="1682494B" w:rsidR="00BA0EF6" w:rsidRPr="00EE751E" w:rsidRDefault="00131B87" w:rsidP="006D0C34">
      <w:pPr>
        <w:pStyle w:val="CETBodytext"/>
      </w:pPr>
      <w:r w:rsidRPr="00EE751E">
        <w:t xml:space="preserve">where i is the </w:t>
      </w:r>
      <w:r w:rsidR="0038335E" w:rsidRPr="00EE751E">
        <w:t xml:space="preserve">sequence </w:t>
      </w:r>
      <w:r w:rsidRPr="00EE751E">
        <w:t>number of week</w:t>
      </w:r>
      <w:r w:rsidR="003749CB" w:rsidRPr="00EE751E">
        <w:t>s</w:t>
      </w:r>
      <w:r w:rsidRPr="00EE751E">
        <w:t xml:space="preserve">, and </w:t>
      </w:r>
      <w:r w:rsidRPr="00EE751E">
        <w:rPr>
          <w:rFonts w:ascii="Cambria Math" w:hAnsi="Cambria Math" w:cs="Cambria Math"/>
          <w:lang w:val="ru-RU"/>
        </w:rPr>
        <w:t>𝑏</w:t>
      </w:r>
      <w:r w:rsidRPr="00EE751E">
        <w:t xml:space="preserve"> and </w:t>
      </w:r>
      <w:r w:rsidRPr="00EE751E">
        <w:rPr>
          <w:rFonts w:ascii="Cambria Math" w:hAnsi="Cambria Math" w:cs="Cambria Math"/>
          <w:lang w:val="ru-RU"/>
        </w:rPr>
        <w:t>𝑐</w:t>
      </w:r>
      <w:r w:rsidRPr="00EE751E">
        <w:t xml:space="preserve"> are the unknown parameters of the Gaussians. The solution of such a problem is usually carried out by the nonlinear </w:t>
      </w:r>
      <w:r w:rsidR="003749CB" w:rsidRPr="00EE751E">
        <w:t>least-</w:t>
      </w:r>
      <w:r w:rsidRPr="00EE751E">
        <w:t>squares method, in particular, the Levenberg-Marquardt algorithm has recently been used to solve such problems (Gavin, 20</w:t>
      </w:r>
      <w:r w:rsidR="00BB6597" w:rsidRPr="00EE751E">
        <w:t>20</w:t>
      </w:r>
      <w:r w:rsidRPr="00EE751E">
        <w:t>). Table 1 shows the results of the Levenberg-Marquardt algorithm</w:t>
      </w:r>
      <w:r w:rsidR="00127982" w:rsidRPr="00EE751E">
        <w:t xml:space="preserve"> </w:t>
      </w:r>
      <w:r w:rsidR="00127982" w:rsidRPr="00EE751E">
        <w:rPr>
          <w:rFonts w:eastAsia="SimSun" w:cs="Arial"/>
        </w:rPr>
        <w:t>for the period from 2017-2021.</w:t>
      </w:r>
    </w:p>
    <w:p w14:paraId="181EC776" w14:textId="236F863F" w:rsidR="002C06A2" w:rsidRPr="00EE751E" w:rsidRDefault="002C06A2" w:rsidP="00E42591">
      <w:pPr>
        <w:pStyle w:val="CETTabletitle"/>
      </w:pPr>
      <w:r w:rsidRPr="00EE751E">
        <w:t>Table 1. Data obtained from the results of the Levenberg-Marquardt algorithm from the period from 2017-2021</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1559"/>
        <w:gridCol w:w="1417"/>
        <w:gridCol w:w="1418"/>
        <w:gridCol w:w="1559"/>
        <w:gridCol w:w="1841"/>
      </w:tblGrid>
      <w:tr w:rsidR="00EE751E" w:rsidRPr="00EE751E" w14:paraId="5A68A568" w14:textId="77777777" w:rsidTr="00294772">
        <w:trPr>
          <w:trHeight w:val="245"/>
        </w:trPr>
        <w:tc>
          <w:tcPr>
            <w:tcW w:w="993" w:type="dxa"/>
            <w:shd w:val="clear" w:color="auto" w:fill="FFFFFF"/>
          </w:tcPr>
          <w:p w14:paraId="3CA55AD2" w14:textId="65E2BDD6" w:rsidR="005E15D5" w:rsidRPr="00EE751E" w:rsidRDefault="005E15D5" w:rsidP="003749CB">
            <w:pPr>
              <w:pStyle w:val="CETBodytext"/>
              <w:rPr>
                <w:rFonts w:cs="Arial"/>
              </w:rPr>
            </w:pPr>
            <w:r w:rsidRPr="00EE751E">
              <w:rPr>
                <w:rFonts w:cs="Arial"/>
              </w:rPr>
              <w:t>Years</w:t>
            </w:r>
          </w:p>
        </w:tc>
        <w:tc>
          <w:tcPr>
            <w:tcW w:w="1559" w:type="dxa"/>
            <w:shd w:val="clear" w:color="auto" w:fill="FFFFFF"/>
          </w:tcPr>
          <w:p w14:paraId="35E24465" w14:textId="1F428C6D" w:rsidR="005E15D5" w:rsidRPr="00EE751E" w:rsidRDefault="005E15D5" w:rsidP="00294772">
            <w:pPr>
              <w:pStyle w:val="CETBodytext"/>
              <w:jc w:val="center"/>
              <w:rPr>
                <w:rFonts w:cs="Arial"/>
              </w:rPr>
            </w:pPr>
            <w:r w:rsidRPr="00EE751E">
              <w:rPr>
                <w:rFonts w:cs="Arial"/>
              </w:rPr>
              <w:t>2017</w:t>
            </w:r>
          </w:p>
        </w:tc>
        <w:tc>
          <w:tcPr>
            <w:tcW w:w="1417" w:type="dxa"/>
            <w:shd w:val="clear" w:color="auto" w:fill="FFFFFF"/>
          </w:tcPr>
          <w:p w14:paraId="640AF8BE" w14:textId="571204B1" w:rsidR="005E15D5" w:rsidRPr="00EE751E" w:rsidRDefault="005E15D5" w:rsidP="00294772">
            <w:pPr>
              <w:pStyle w:val="CETBodytext"/>
              <w:jc w:val="center"/>
              <w:rPr>
                <w:rFonts w:cs="Arial"/>
              </w:rPr>
            </w:pPr>
            <w:r w:rsidRPr="00EE751E">
              <w:rPr>
                <w:rFonts w:cs="Arial"/>
              </w:rPr>
              <w:t>2018</w:t>
            </w:r>
          </w:p>
        </w:tc>
        <w:tc>
          <w:tcPr>
            <w:tcW w:w="1418" w:type="dxa"/>
            <w:shd w:val="clear" w:color="auto" w:fill="FFFFFF"/>
          </w:tcPr>
          <w:p w14:paraId="53B8796E" w14:textId="694AE4FF" w:rsidR="005E15D5" w:rsidRPr="00EE751E" w:rsidRDefault="005E15D5" w:rsidP="00294772">
            <w:pPr>
              <w:pStyle w:val="CETBodytext"/>
              <w:jc w:val="center"/>
              <w:rPr>
                <w:rFonts w:cs="Arial"/>
              </w:rPr>
            </w:pPr>
            <w:r w:rsidRPr="00EE751E">
              <w:rPr>
                <w:rFonts w:cs="Arial"/>
              </w:rPr>
              <w:t>2019</w:t>
            </w:r>
          </w:p>
        </w:tc>
        <w:tc>
          <w:tcPr>
            <w:tcW w:w="1559" w:type="dxa"/>
            <w:shd w:val="clear" w:color="auto" w:fill="FFFFFF"/>
          </w:tcPr>
          <w:p w14:paraId="67176313" w14:textId="793FFDA6" w:rsidR="005E15D5" w:rsidRPr="00EE751E" w:rsidRDefault="005E15D5" w:rsidP="00294772">
            <w:pPr>
              <w:pStyle w:val="CETBodytext"/>
              <w:jc w:val="center"/>
              <w:rPr>
                <w:rFonts w:cs="Arial"/>
              </w:rPr>
            </w:pPr>
            <w:r w:rsidRPr="00EE751E">
              <w:rPr>
                <w:rFonts w:cs="Arial"/>
              </w:rPr>
              <w:t>2020</w:t>
            </w:r>
          </w:p>
        </w:tc>
        <w:tc>
          <w:tcPr>
            <w:tcW w:w="1841" w:type="dxa"/>
            <w:shd w:val="clear" w:color="auto" w:fill="FFFFFF"/>
          </w:tcPr>
          <w:p w14:paraId="0740C23F" w14:textId="26F2C28A" w:rsidR="005E15D5" w:rsidRPr="00EE751E" w:rsidRDefault="005E15D5" w:rsidP="00294772">
            <w:pPr>
              <w:pStyle w:val="CETBodytext"/>
              <w:jc w:val="center"/>
              <w:rPr>
                <w:rFonts w:cs="Arial"/>
              </w:rPr>
            </w:pPr>
            <w:r w:rsidRPr="00EE751E">
              <w:rPr>
                <w:rFonts w:cs="Arial"/>
              </w:rPr>
              <w:t>2021</w:t>
            </w:r>
          </w:p>
        </w:tc>
      </w:tr>
      <w:tr w:rsidR="00EE751E" w:rsidRPr="00EE751E" w14:paraId="17F7ADCB" w14:textId="77777777" w:rsidTr="00294772">
        <w:tc>
          <w:tcPr>
            <w:tcW w:w="993" w:type="dxa"/>
            <w:shd w:val="clear" w:color="auto" w:fill="FFFFFF"/>
          </w:tcPr>
          <w:p w14:paraId="653B7C0E" w14:textId="448EA820" w:rsidR="005E15D5" w:rsidRPr="00EE751E" w:rsidRDefault="005E15D5" w:rsidP="003749CB">
            <w:pPr>
              <w:pStyle w:val="CETBodytext"/>
              <w:rPr>
                <w:rFonts w:cs="Arial"/>
              </w:rPr>
            </w:pPr>
            <w:r w:rsidRPr="00EE751E">
              <w:rPr>
                <w:rFonts w:cs="Arial"/>
              </w:rPr>
              <w:t>Coefficients</w:t>
            </w:r>
          </w:p>
        </w:tc>
        <w:tc>
          <w:tcPr>
            <w:tcW w:w="1559" w:type="dxa"/>
            <w:shd w:val="clear" w:color="auto" w:fill="FFFFFF"/>
          </w:tcPr>
          <w:p w14:paraId="0AE423DB" w14:textId="2E9A0195" w:rsidR="005E15D5" w:rsidRPr="00EE751E" w:rsidRDefault="005E15D5" w:rsidP="003749CB">
            <w:pPr>
              <w:pStyle w:val="CETBodytext"/>
              <w:rPr>
                <w:rFonts w:cs="Arial"/>
              </w:rPr>
            </w:pPr>
            <w:r w:rsidRPr="00EE751E">
              <w:rPr>
                <w:rFonts w:ascii="Cambria Math" w:hAnsi="Cambria Math" w:cs="Cambria Math"/>
              </w:rPr>
              <w:t>𝑏</w:t>
            </w:r>
            <w:r w:rsidRPr="00EE751E">
              <w:rPr>
                <w:rFonts w:cs="Arial"/>
              </w:rPr>
              <w:t xml:space="preserve"> = 29.15 ± 0.17</w:t>
            </w:r>
          </w:p>
          <w:p w14:paraId="7B9E5B4C" w14:textId="7BA905DA" w:rsidR="005E15D5" w:rsidRPr="00EE751E" w:rsidRDefault="005E15D5" w:rsidP="00294772">
            <w:pPr>
              <w:pStyle w:val="CETBodytext"/>
              <w:rPr>
                <w:rFonts w:cs="Arial"/>
              </w:rPr>
            </w:pPr>
            <w:r w:rsidRPr="00EE751E">
              <w:rPr>
                <w:rFonts w:ascii="Cambria Math" w:hAnsi="Cambria Math" w:cs="Cambria Math"/>
              </w:rPr>
              <w:t>𝑐</w:t>
            </w:r>
            <w:r w:rsidRPr="00EE751E">
              <w:rPr>
                <w:rFonts w:cs="Arial"/>
              </w:rPr>
              <w:t xml:space="preserve"> = 5.43 ± 0.11</w:t>
            </w:r>
          </w:p>
        </w:tc>
        <w:tc>
          <w:tcPr>
            <w:tcW w:w="1417" w:type="dxa"/>
            <w:shd w:val="clear" w:color="auto" w:fill="FFFFFF"/>
          </w:tcPr>
          <w:p w14:paraId="5AC5152A" w14:textId="77777777" w:rsidR="005E15D5" w:rsidRPr="00EE751E" w:rsidRDefault="005E15D5" w:rsidP="003749CB">
            <w:pPr>
              <w:pStyle w:val="CETBodytext"/>
              <w:rPr>
                <w:rFonts w:cs="Arial"/>
              </w:rPr>
            </w:pPr>
            <w:r w:rsidRPr="00EE751E">
              <w:rPr>
                <w:rFonts w:ascii="Cambria Math" w:hAnsi="Cambria Math" w:cs="Cambria Math"/>
              </w:rPr>
              <w:t>𝑏</w:t>
            </w:r>
            <w:r w:rsidRPr="00EE751E">
              <w:rPr>
                <w:rFonts w:cs="Arial"/>
              </w:rPr>
              <w:t xml:space="preserve"> = 30.24 ± 0.13</w:t>
            </w:r>
          </w:p>
          <w:p w14:paraId="05216E9F" w14:textId="5B0882FE" w:rsidR="005E15D5" w:rsidRPr="00EE751E" w:rsidRDefault="005E15D5" w:rsidP="00294772">
            <w:pPr>
              <w:pStyle w:val="CETBodytext"/>
              <w:rPr>
                <w:rFonts w:cs="Arial"/>
              </w:rPr>
            </w:pPr>
            <w:r w:rsidRPr="00EE751E">
              <w:rPr>
                <w:rFonts w:ascii="Cambria Math" w:hAnsi="Cambria Math" w:cs="Cambria Math"/>
              </w:rPr>
              <w:t>𝑐</w:t>
            </w:r>
            <w:r w:rsidRPr="00EE751E">
              <w:rPr>
                <w:rFonts w:cs="Arial"/>
              </w:rPr>
              <w:t xml:space="preserve"> = 6.61 ± 0.15</w:t>
            </w:r>
          </w:p>
        </w:tc>
        <w:tc>
          <w:tcPr>
            <w:tcW w:w="1418" w:type="dxa"/>
            <w:shd w:val="clear" w:color="auto" w:fill="FFFFFF"/>
          </w:tcPr>
          <w:p w14:paraId="3E831672" w14:textId="77777777" w:rsidR="005E15D5" w:rsidRPr="00EE751E" w:rsidRDefault="005E15D5" w:rsidP="003749CB">
            <w:pPr>
              <w:pStyle w:val="CETBodytext"/>
              <w:rPr>
                <w:rFonts w:cs="Arial"/>
              </w:rPr>
            </w:pPr>
            <w:r w:rsidRPr="00EE751E">
              <w:rPr>
                <w:rFonts w:ascii="Cambria Math" w:hAnsi="Cambria Math" w:cs="Cambria Math"/>
              </w:rPr>
              <w:t>𝑏</w:t>
            </w:r>
            <w:r w:rsidRPr="00EE751E">
              <w:rPr>
                <w:rFonts w:cs="Arial"/>
              </w:rPr>
              <w:t xml:space="preserve"> = 28.16 ± 0.17</w:t>
            </w:r>
          </w:p>
          <w:p w14:paraId="6E9D6E8D" w14:textId="4E557748" w:rsidR="005E15D5" w:rsidRPr="00EE751E" w:rsidRDefault="005E15D5" w:rsidP="00294772">
            <w:pPr>
              <w:pStyle w:val="CETBodytext"/>
              <w:rPr>
                <w:rFonts w:cs="Arial"/>
              </w:rPr>
            </w:pPr>
            <w:r w:rsidRPr="00EE751E">
              <w:rPr>
                <w:rFonts w:ascii="Cambria Math" w:hAnsi="Cambria Math" w:cs="Cambria Math"/>
              </w:rPr>
              <w:t>𝑐</w:t>
            </w:r>
            <w:r w:rsidRPr="00EE751E">
              <w:rPr>
                <w:rFonts w:cs="Arial"/>
              </w:rPr>
              <w:t xml:space="preserve"> = 7.54 ± 0.21</w:t>
            </w:r>
          </w:p>
        </w:tc>
        <w:tc>
          <w:tcPr>
            <w:tcW w:w="1559" w:type="dxa"/>
            <w:shd w:val="clear" w:color="auto" w:fill="FFFFFF"/>
          </w:tcPr>
          <w:p w14:paraId="789E0667" w14:textId="3FCDD1CF" w:rsidR="005E15D5" w:rsidRPr="00EE751E" w:rsidRDefault="005E15D5" w:rsidP="003749CB">
            <w:pPr>
              <w:pStyle w:val="CETBodytext"/>
              <w:rPr>
                <w:rFonts w:cs="Arial"/>
              </w:rPr>
            </w:pPr>
            <w:r w:rsidRPr="00EE751E">
              <w:rPr>
                <w:rFonts w:ascii="Cambria Math" w:hAnsi="Cambria Math" w:cs="Cambria Math"/>
              </w:rPr>
              <w:t>𝑏</w:t>
            </w:r>
            <w:r w:rsidRPr="00EE751E">
              <w:rPr>
                <w:rFonts w:cs="Arial"/>
              </w:rPr>
              <w:t xml:space="preserve"> = 31.06 ± 0.16</w:t>
            </w:r>
          </w:p>
          <w:p w14:paraId="28A6F82E" w14:textId="55F6C512" w:rsidR="005E15D5" w:rsidRPr="00EE751E" w:rsidRDefault="005E15D5" w:rsidP="00294772">
            <w:pPr>
              <w:pStyle w:val="CETBodytext"/>
              <w:rPr>
                <w:rFonts w:cs="Arial"/>
              </w:rPr>
            </w:pPr>
            <w:r w:rsidRPr="00EE751E">
              <w:rPr>
                <w:rFonts w:ascii="Cambria Math" w:hAnsi="Cambria Math" w:cs="Cambria Math"/>
              </w:rPr>
              <w:t>𝑐</w:t>
            </w:r>
            <w:r w:rsidRPr="00EE751E">
              <w:rPr>
                <w:rFonts w:cs="Arial"/>
              </w:rPr>
              <w:t xml:space="preserve"> = 6.78 ± 0.21</w:t>
            </w:r>
          </w:p>
        </w:tc>
        <w:tc>
          <w:tcPr>
            <w:tcW w:w="1841" w:type="dxa"/>
            <w:shd w:val="clear" w:color="auto" w:fill="FFFFFF"/>
          </w:tcPr>
          <w:p w14:paraId="722B6A3F" w14:textId="76F31954" w:rsidR="005E15D5" w:rsidRPr="00EE751E" w:rsidRDefault="005E15D5" w:rsidP="003749CB">
            <w:pPr>
              <w:pStyle w:val="CETBodytext"/>
              <w:rPr>
                <w:rFonts w:cs="Arial"/>
              </w:rPr>
            </w:pPr>
            <w:r w:rsidRPr="00EE751E">
              <w:rPr>
                <w:rFonts w:ascii="Cambria Math" w:hAnsi="Cambria Math" w:cs="Cambria Math"/>
              </w:rPr>
              <w:t>𝑏</w:t>
            </w:r>
            <w:r w:rsidRPr="00EE751E">
              <w:rPr>
                <w:rFonts w:cs="Arial"/>
              </w:rPr>
              <w:t xml:space="preserve"> = 30.11 ± 0.11</w:t>
            </w:r>
          </w:p>
          <w:p w14:paraId="288BD85A" w14:textId="44EBE4F0" w:rsidR="005E15D5" w:rsidRPr="00EE751E" w:rsidRDefault="005E15D5" w:rsidP="00294772">
            <w:pPr>
              <w:pStyle w:val="CETBodytext"/>
              <w:rPr>
                <w:rFonts w:cs="Arial"/>
              </w:rPr>
            </w:pPr>
            <w:r w:rsidRPr="00EE751E">
              <w:rPr>
                <w:rFonts w:ascii="Cambria Math" w:hAnsi="Cambria Math" w:cs="Cambria Math"/>
              </w:rPr>
              <w:t>𝑐</w:t>
            </w:r>
            <w:r w:rsidRPr="00EE751E">
              <w:rPr>
                <w:rFonts w:cs="Arial"/>
              </w:rPr>
              <w:t xml:space="preserve"> = 6.67 ± 0.20</w:t>
            </w:r>
          </w:p>
        </w:tc>
      </w:tr>
    </w:tbl>
    <w:p w14:paraId="270EB11C" w14:textId="28BAAB8C" w:rsidR="007123C0" w:rsidRPr="00EE751E" w:rsidRDefault="00131B87" w:rsidP="00294772">
      <w:pPr>
        <w:pStyle w:val="CETBodytext"/>
        <w:spacing w:before="120"/>
      </w:pPr>
      <w:r w:rsidRPr="00EE751E">
        <w:t>Variable "b" in the table implies data by weeks of the calendar year, variable "c" implies data of vegetation index NDVI. As can be seen from Fig</w:t>
      </w:r>
      <w:r w:rsidR="008B1309" w:rsidRPr="00EE751E">
        <w:t>ure</w:t>
      </w:r>
      <w:r w:rsidRPr="00EE751E">
        <w:t xml:space="preserve"> 3, built on the basis of actual data, it is quite consistent with the graph of the approximating function </w:t>
      </w:r>
      <w:r w:rsidR="00DC5AB2" w:rsidRPr="00EE751E">
        <w:t>(Evergreen et al</w:t>
      </w:r>
      <w:r w:rsidR="00BA159E" w:rsidRPr="00EE751E">
        <w:t>.</w:t>
      </w:r>
      <w:r w:rsidR="00DC5AB2" w:rsidRPr="00EE751E">
        <w:t>, 201</w:t>
      </w:r>
      <w:r w:rsidR="00BA159E" w:rsidRPr="00EE751E">
        <w:t>6</w:t>
      </w:r>
      <w:r w:rsidR="00DC5AB2" w:rsidRPr="00EE751E">
        <w:t>).</w:t>
      </w:r>
    </w:p>
    <w:p w14:paraId="18D84200" w14:textId="7D8224E2" w:rsidR="006B58AA" w:rsidRPr="00EE751E" w:rsidRDefault="009107FB" w:rsidP="009107FB">
      <w:pPr>
        <w:pStyle w:val="CETBodytext"/>
        <w:spacing w:before="240" w:after="240"/>
        <w:jc w:val="left"/>
        <w:rPr>
          <w:lang w:val="en-GB"/>
        </w:rPr>
      </w:pPr>
      <w:r w:rsidRPr="00EE751E">
        <w:rPr>
          <w:noProof/>
        </w:rPr>
        <w:lastRenderedPageBreak/>
        <w:drawing>
          <wp:inline distT="0" distB="0" distL="0" distR="0" wp14:anchorId="023B3715" wp14:editId="6349D7F3">
            <wp:extent cx="4119562" cy="252837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3844" cy="2537137"/>
                    </a:xfrm>
                    <a:prstGeom prst="rect">
                      <a:avLst/>
                    </a:prstGeom>
                  </pic:spPr>
                </pic:pic>
              </a:graphicData>
            </a:graphic>
          </wp:inline>
        </w:drawing>
      </w:r>
    </w:p>
    <w:p w14:paraId="2D86150E" w14:textId="1C53E3F7" w:rsidR="00A00422" w:rsidRPr="00EE751E" w:rsidRDefault="00131B87" w:rsidP="006D0C34">
      <w:pPr>
        <w:pStyle w:val="CETCaption"/>
        <w:rPr>
          <w:rStyle w:val="CETCaptionCarattere"/>
          <w:lang w:val="en-US"/>
        </w:rPr>
      </w:pPr>
      <w:r w:rsidRPr="00EE751E">
        <w:rPr>
          <w:rStyle w:val="CETCaptionCarattere"/>
          <w:i/>
        </w:rPr>
        <w:t>Figure 3. Plots of accumulation and Gaussian approximation of weekly NDVI index compositional values (14-43 weeks of the calendar year) for arable land in a particular field in 2017-2021</w:t>
      </w:r>
    </w:p>
    <w:p w14:paraId="52EA40E3" w14:textId="1DCA0D8E" w:rsidR="00DC5AB2" w:rsidRPr="00EE751E" w:rsidRDefault="00131B87" w:rsidP="00DB5958">
      <w:pPr>
        <w:pStyle w:val="CETCaption"/>
        <w:spacing w:before="0" w:after="0" w:line="240" w:lineRule="auto"/>
        <w:rPr>
          <w:i w:val="0"/>
          <w:lang w:val="en-US"/>
        </w:rPr>
      </w:pPr>
      <w:r w:rsidRPr="00EE751E">
        <w:rPr>
          <w:i w:val="0"/>
          <w:lang w:val="en-US"/>
        </w:rPr>
        <w:t>To predict maximum NDVI the actual values of NDVI</w:t>
      </w:r>
      <w:r w:rsidRPr="00EE751E">
        <w:rPr>
          <w:rFonts w:ascii="Cambria Math" w:hAnsi="Cambria Math" w:cs="Cambria Math"/>
          <w:i w:val="0"/>
          <w:lang w:val="ru-RU"/>
        </w:rPr>
        <w:t>𝑖</w:t>
      </w:r>
      <w:r w:rsidRPr="00EE751E">
        <w:rPr>
          <w:i w:val="0"/>
          <w:lang w:val="en-US"/>
        </w:rPr>
        <w:t>, where</w:t>
      </w:r>
      <w:r w:rsidR="000579D9" w:rsidRPr="00EE751E">
        <w:rPr>
          <w:i w:val="0"/>
          <w:lang w:val="en-US"/>
        </w:rPr>
        <w:t xml:space="preserve"> </w:t>
      </w:r>
      <w:r w:rsidRPr="00EE751E">
        <w:rPr>
          <w:rFonts w:ascii="Cambria Math" w:hAnsi="Cambria Math" w:cs="Cambria Math"/>
          <w:i w:val="0"/>
          <w:lang w:val="ru-RU"/>
        </w:rPr>
        <w:t>𝑖</w:t>
      </w:r>
      <w:r w:rsidRPr="00EE751E">
        <w:rPr>
          <w:i w:val="0"/>
          <w:lang w:val="en-US"/>
        </w:rPr>
        <w:t xml:space="preserve"> corresponds to the number of </w:t>
      </w:r>
      <w:r w:rsidR="002A746C" w:rsidRPr="00EE751E">
        <w:rPr>
          <w:i w:val="0"/>
          <w:lang w:val="en-US"/>
        </w:rPr>
        <w:t xml:space="preserve">the </w:t>
      </w:r>
      <w:r w:rsidRPr="00EE751E">
        <w:rPr>
          <w:i w:val="0"/>
          <w:lang w:val="en-US"/>
        </w:rPr>
        <w:t>calendar week, and by smoothed value when NDVI</w:t>
      </w:r>
      <w:r w:rsidRPr="00EE751E">
        <w:rPr>
          <w:rFonts w:ascii="Cambria Math" w:hAnsi="Cambria Math" w:cs="Cambria Math"/>
          <w:i w:val="0"/>
          <w:lang w:val="ru-RU"/>
        </w:rPr>
        <w:t>𝑖</w:t>
      </w:r>
      <w:r w:rsidRPr="00EE751E">
        <w:rPr>
          <w:i w:val="0"/>
          <w:lang w:val="en-US"/>
        </w:rPr>
        <w:t xml:space="preserve"> is calculated as the average of vegetation indices (</w:t>
      </w:r>
      <w:r w:rsidRPr="00EE751E">
        <w:rPr>
          <w:rFonts w:ascii="Cambria Math" w:hAnsi="Cambria Math" w:cs="Cambria Math"/>
          <w:i w:val="0"/>
          <w:lang w:val="ru-RU"/>
        </w:rPr>
        <w:t>𝑖</w:t>
      </w:r>
      <w:r w:rsidRPr="00EE751E">
        <w:rPr>
          <w:i w:val="0"/>
          <w:lang w:val="en-US"/>
        </w:rPr>
        <w:t xml:space="preserve">, </w:t>
      </w:r>
      <w:r w:rsidRPr="00EE751E">
        <w:rPr>
          <w:rFonts w:ascii="Cambria Math" w:hAnsi="Cambria Math" w:cs="Cambria Math"/>
          <w:i w:val="0"/>
          <w:lang w:val="ru-RU"/>
        </w:rPr>
        <w:t>𝑖</w:t>
      </w:r>
      <w:r w:rsidRPr="00EE751E">
        <w:rPr>
          <w:i w:val="0"/>
          <w:lang w:val="en-US"/>
        </w:rPr>
        <w:t xml:space="preserve"> - 1,..., </w:t>
      </w:r>
      <w:r w:rsidRPr="00EE751E">
        <w:rPr>
          <w:rFonts w:ascii="Cambria Math" w:hAnsi="Cambria Math" w:cs="Cambria Math"/>
          <w:i w:val="0"/>
          <w:lang w:val="ru-RU"/>
        </w:rPr>
        <w:t>𝑖</w:t>
      </w:r>
      <w:r w:rsidRPr="00EE751E">
        <w:rPr>
          <w:i w:val="0"/>
          <w:lang w:val="en-US"/>
        </w:rPr>
        <w:t xml:space="preserve"> - 3) of calendar weeks... Maximum NDVI value was determined by the formula following from formula (1</w:t>
      </w:r>
      <w:r w:rsidR="00DC5AB2" w:rsidRPr="00EE751E">
        <w:rPr>
          <w:i w:val="0"/>
          <w:lang w:val="en-US"/>
        </w:rPr>
        <w:t>):</w:t>
      </w:r>
    </w:p>
    <w:p w14:paraId="3DC7A8F5" w14:textId="3694451C" w:rsidR="006F617E" w:rsidRPr="00EE751E" w:rsidRDefault="005A2DF3" w:rsidP="002C06A2">
      <w:pPr>
        <w:pStyle w:val="CETBodytext"/>
        <w:spacing w:before="120" w:after="120"/>
        <w:rPr>
          <w:szCs w:val="24"/>
        </w:rPr>
      </w:pPr>
      <m:oMath>
        <m:sSub>
          <m:sSubPr>
            <m:ctrlPr>
              <w:rPr>
                <w:rFonts w:ascii="Cambria Math" w:hAnsi="Cambria Math"/>
                <w:i/>
                <w:szCs w:val="18"/>
              </w:rPr>
            </m:ctrlPr>
          </m:sSubPr>
          <m:e>
            <m:r>
              <w:rPr>
                <w:rFonts w:ascii="Cambria Math" w:hAnsi="Cambria Math"/>
                <w:szCs w:val="18"/>
              </w:rPr>
              <m:t>NDVI</m:t>
            </m:r>
          </m:e>
          <m:sub>
            <m:r>
              <w:rPr>
                <w:rFonts w:ascii="Cambria Math" w:hAnsi="Cambria Math"/>
                <w:szCs w:val="18"/>
              </w:rPr>
              <m:t>max</m:t>
            </m:r>
          </m:sub>
        </m:sSub>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NDVI</m:t>
                </m:r>
              </m:e>
              <m:sub>
                <m:r>
                  <w:rPr>
                    <w:rFonts w:ascii="Cambria Math" w:hAnsi="Cambria Math"/>
                    <w:szCs w:val="18"/>
                  </w:rPr>
                  <m:t>i</m:t>
                </m:r>
              </m:sub>
            </m:sSub>
          </m:num>
          <m:den>
            <m:r>
              <w:rPr>
                <w:rFonts w:ascii="Cambria Math" w:hAnsi="Cambria Math"/>
                <w:szCs w:val="18"/>
              </w:rPr>
              <m:t>exp</m:t>
            </m:r>
            <m:f>
              <m:fPr>
                <m:ctrlPr>
                  <w:rPr>
                    <w:rFonts w:ascii="Cambria Math" w:hAnsi="Cambria Math"/>
                    <w:i/>
                    <w:szCs w:val="18"/>
                  </w:rPr>
                </m:ctrlPr>
              </m:fPr>
              <m:num>
                <m:r>
                  <w:rPr>
                    <w:rFonts w:ascii="Cambria Math" w:hAnsi="Cambria Math"/>
                    <w:szCs w:val="18"/>
                  </w:rPr>
                  <m:t>-</m:t>
                </m:r>
                <m:sSup>
                  <m:sSupPr>
                    <m:ctrlPr>
                      <w:rPr>
                        <w:rFonts w:ascii="Cambria Math" w:hAnsi="Cambria Math"/>
                        <w:i/>
                        <w:szCs w:val="18"/>
                      </w:rPr>
                    </m:ctrlPr>
                  </m:sSupPr>
                  <m:e>
                    <m:r>
                      <w:rPr>
                        <w:rFonts w:ascii="Cambria Math" w:hAnsi="Cambria Math"/>
                        <w:szCs w:val="18"/>
                      </w:rPr>
                      <m:t>(i-b)</m:t>
                    </m:r>
                  </m:e>
                  <m:sup>
                    <m:r>
                      <w:rPr>
                        <w:rFonts w:ascii="Cambria Math" w:hAnsi="Cambria Math"/>
                        <w:szCs w:val="18"/>
                      </w:rPr>
                      <m:t>2</m:t>
                    </m:r>
                  </m:sup>
                </m:sSup>
              </m:num>
              <m:den>
                <m:sSup>
                  <m:sSupPr>
                    <m:ctrlPr>
                      <w:rPr>
                        <w:rFonts w:ascii="Cambria Math" w:hAnsi="Cambria Math"/>
                        <w:i/>
                        <w:szCs w:val="18"/>
                      </w:rPr>
                    </m:ctrlPr>
                  </m:sSupPr>
                  <m:e>
                    <m:r>
                      <w:rPr>
                        <w:rFonts w:ascii="Cambria Math" w:hAnsi="Cambria Math"/>
                        <w:szCs w:val="18"/>
                      </w:rPr>
                      <m:t>2c</m:t>
                    </m:r>
                  </m:e>
                  <m:sup>
                    <m:r>
                      <w:rPr>
                        <w:rFonts w:ascii="Cambria Math" w:hAnsi="Cambria Math"/>
                        <w:szCs w:val="18"/>
                      </w:rPr>
                      <m:t>2</m:t>
                    </m:r>
                  </m:sup>
                </m:sSup>
              </m:den>
            </m:f>
          </m:den>
        </m:f>
      </m:oMath>
      <w:r w:rsidR="00E42591" w:rsidRPr="00EE751E">
        <w:rPr>
          <w:szCs w:val="24"/>
          <w:lang w:val="kk-KZ"/>
        </w:rPr>
        <w:tab/>
      </w:r>
      <w:r w:rsidR="00E42591" w:rsidRPr="00EE751E">
        <w:rPr>
          <w:szCs w:val="24"/>
          <w:lang w:val="kk-KZ"/>
        </w:rPr>
        <w:tab/>
      </w:r>
      <w:r w:rsidR="00E42591" w:rsidRPr="00EE751E">
        <w:rPr>
          <w:szCs w:val="24"/>
          <w:lang w:val="kk-KZ"/>
        </w:rPr>
        <w:tab/>
      </w:r>
      <w:r w:rsidR="006F617E" w:rsidRPr="00EE751E">
        <w:rPr>
          <w:szCs w:val="24"/>
        </w:rPr>
        <w:t>(2)</w:t>
      </w:r>
    </w:p>
    <w:p w14:paraId="2EDDD9A9" w14:textId="7E7F6E66" w:rsidR="00131B87" w:rsidRPr="00EE751E" w:rsidRDefault="00131B87" w:rsidP="00131B87">
      <w:pPr>
        <w:pStyle w:val="CETBodytext"/>
      </w:pPr>
      <w:r w:rsidRPr="00EE751E">
        <w:t>As follows from the graphs, it makes sense to start forecasting the maximum NDVI from calendar weeks 18-20, which corresponds to the middle of May, and for an early forecast</w:t>
      </w:r>
      <w:r w:rsidR="005477DA" w:rsidRPr="00EE751E">
        <w:t>,</w:t>
      </w:r>
      <w:r w:rsidRPr="00EE751E">
        <w:t xml:space="preserve"> it is more reasonable to use the value of NDVI of the last week of observations</w:t>
      </w:r>
      <w:r w:rsidR="00C10E62" w:rsidRPr="00EE751E">
        <w:t xml:space="preserve"> as</w:t>
      </w:r>
      <w:r w:rsidRPr="00EE751E">
        <w:t xml:space="preserve"> in</w:t>
      </w:r>
      <w:r w:rsidR="00C10E62" w:rsidRPr="00EE751E">
        <w:t xml:space="preserve"> Eq.</w:t>
      </w:r>
      <w:r w:rsidRPr="00EE751E">
        <w:t>(2). Starting from calendar week 26, the smoothed forecast error in 2017-2021 did not exceed 7</w:t>
      </w:r>
      <w:r w:rsidR="00514080" w:rsidRPr="00EE751E">
        <w:t xml:space="preserve"> </w:t>
      </w:r>
      <w:r w:rsidRPr="00EE751E">
        <w:t xml:space="preserve">%. To further assess the capabilities of the method, the average absolute forecast error (in </w:t>
      </w:r>
      <w:r w:rsidR="00514080" w:rsidRPr="00EE751E">
        <w:t>%</w:t>
      </w:r>
      <w:r w:rsidRPr="00EE751E">
        <w:t xml:space="preserve">) was calculated. It was found that for </w:t>
      </w:r>
      <w:r w:rsidR="003E58E5" w:rsidRPr="00EE751E">
        <w:t xml:space="preserve">a </w:t>
      </w:r>
      <w:r w:rsidRPr="00EE751E">
        <w:t>more accurate determination of the maximum from the 22</w:t>
      </w:r>
      <w:r w:rsidR="00E44F34" w:rsidRPr="00EE751E">
        <w:t>-</w:t>
      </w:r>
      <w:r w:rsidRPr="00EE751E">
        <w:t xml:space="preserve">nd week, it is reasonable to use the smoothed value of the NDVI indicator. The obtained results are </w:t>
      </w:r>
      <w:r w:rsidR="00E4098D" w:rsidRPr="00EE751E">
        <w:t>valid</w:t>
      </w:r>
      <w:r w:rsidRPr="00EE751E">
        <w:t xml:space="preserve"> for 264.8 ha of sunflower crops and </w:t>
      </w:r>
      <w:r w:rsidR="003E58E5" w:rsidRPr="00EE751E">
        <w:t xml:space="preserve">a </w:t>
      </w:r>
      <w:r w:rsidRPr="00EE751E">
        <w:t xml:space="preserve">gross yield of 15 cwt/ha in 2021 for </w:t>
      </w:r>
      <w:r w:rsidR="00777B6C" w:rsidRPr="00EE751E">
        <w:rPr>
          <w:iCs/>
          <w:lang w:val="en-GB"/>
        </w:rPr>
        <w:t>"Experimental farming of oilseeds"</w:t>
      </w:r>
      <w:r w:rsidRPr="00EE751E">
        <w:t>.</w:t>
      </w:r>
    </w:p>
    <w:p w14:paraId="383D16A1" w14:textId="44ADAF52" w:rsidR="004A3A49" w:rsidRPr="00EE751E" w:rsidRDefault="00AB10E4" w:rsidP="00131B87">
      <w:pPr>
        <w:pStyle w:val="CETBodytext"/>
      </w:pPr>
      <w:r w:rsidRPr="00EE751E">
        <w:t>T</w:t>
      </w:r>
      <w:r w:rsidR="00131B87" w:rsidRPr="00EE751E">
        <w:t xml:space="preserve">o build the forecast model, data on sown areas </w:t>
      </w:r>
      <w:r w:rsidRPr="00EE751E">
        <w:t xml:space="preserve">were selected </w:t>
      </w:r>
      <w:r w:rsidR="00131B87" w:rsidRPr="00EE751E">
        <w:t xml:space="preserve">and </w:t>
      </w:r>
      <w:r w:rsidR="002348A5" w:rsidRPr="00EE751E">
        <w:t xml:space="preserve">the </w:t>
      </w:r>
      <w:r w:rsidR="00131B87" w:rsidRPr="00EE751E">
        <w:t xml:space="preserve">gross harvest of </w:t>
      </w:r>
      <w:r w:rsidRPr="00EE751E">
        <w:t xml:space="preserve">the </w:t>
      </w:r>
      <w:r w:rsidR="00131B87" w:rsidRPr="00EE751E">
        <w:t>crops for the period 2017-2021</w:t>
      </w:r>
      <w:r w:rsidRPr="00EE751E">
        <w:t xml:space="preserve"> was evaluated</w:t>
      </w:r>
      <w:r w:rsidR="00131B87" w:rsidRPr="00EE751E">
        <w:t xml:space="preserve">. At the next stage, two regression models were built, where </w:t>
      </w:r>
      <w:r w:rsidR="00F61093" w:rsidRPr="00EE751E">
        <w:t xml:space="preserve">the </w:t>
      </w:r>
      <w:r w:rsidR="00131B87" w:rsidRPr="00EE751E">
        <w:t xml:space="preserve">average wheat yield (c/ha) was considered as the dependent variable, and maximum NDVI and </w:t>
      </w:r>
      <w:r w:rsidR="000814DE" w:rsidRPr="00EE751E">
        <w:t xml:space="preserve">the </w:t>
      </w:r>
      <w:r w:rsidR="00131B87" w:rsidRPr="00EE751E">
        <w:t xml:space="preserve">integral meteorological indices, </w:t>
      </w:r>
      <w:r w:rsidR="009F08A5" w:rsidRPr="00EE751E">
        <w:t xml:space="preserve">the </w:t>
      </w:r>
      <w:r w:rsidR="00131B87" w:rsidRPr="00EE751E">
        <w:t xml:space="preserve">hydrothermal coefficient and </w:t>
      </w:r>
      <w:r w:rsidR="009F08A5" w:rsidRPr="00EE751E">
        <w:t xml:space="preserve">the </w:t>
      </w:r>
      <w:r w:rsidR="00131B87" w:rsidRPr="00EE751E">
        <w:t xml:space="preserve">biological </w:t>
      </w:r>
      <w:r w:rsidR="00F11302" w:rsidRPr="00EE751E">
        <w:t xml:space="preserve">climate </w:t>
      </w:r>
      <w:r w:rsidR="00131B87" w:rsidRPr="00EE751E">
        <w:t xml:space="preserve">efficiency were considered as independent predictors. </w:t>
      </w:r>
    </w:p>
    <w:p w14:paraId="49A18A61" w14:textId="562BAF49" w:rsidR="00DC5AB2" w:rsidRPr="00EE751E" w:rsidRDefault="00131B87" w:rsidP="00131B87">
      <w:pPr>
        <w:pStyle w:val="CETBodytext"/>
      </w:pPr>
      <w:r w:rsidRPr="00EE751E">
        <w:t xml:space="preserve">In the second model, only </w:t>
      </w:r>
      <w:r w:rsidR="004A3A49" w:rsidRPr="00EE751E">
        <w:t xml:space="preserve">the </w:t>
      </w:r>
      <w:r w:rsidRPr="00EE751E">
        <w:t>maximum NDVI was considered as an independent variable. Next, for the regression model with one independent variable based on 2017-2021 data, the prediction error was estimated</w:t>
      </w:r>
      <w:r w:rsidR="00D43645" w:rsidRPr="00EE751E">
        <w:t>.</w:t>
      </w:r>
      <w:r w:rsidR="00BD040C" w:rsidRPr="00EE751E">
        <w:rPr>
          <w:lang w:val="en-GB"/>
        </w:rPr>
        <w:t xml:space="preserve"> </w:t>
      </w:r>
      <w:r w:rsidRPr="00EE751E">
        <w:t>In general, the developed approach to forecasting crop yields can be represented by the diagram in Figure 4.</w:t>
      </w:r>
    </w:p>
    <w:p w14:paraId="0EC02B8C" w14:textId="0C9A3F86" w:rsidR="00F83586" w:rsidRPr="00EE751E" w:rsidRDefault="00693EE0" w:rsidP="00294772">
      <w:pPr>
        <w:pStyle w:val="CETBodytext"/>
        <w:jc w:val="left"/>
      </w:pPr>
      <w:r w:rsidRPr="00EE751E">
        <w:rPr>
          <w:noProof/>
          <w:lang w:val="ru-RU" w:eastAsia="ru-RU"/>
        </w:rPr>
        <w:drawing>
          <wp:inline distT="0" distB="0" distL="0" distR="0" wp14:anchorId="3B5E01AA" wp14:editId="1209D7FA">
            <wp:extent cx="5081587" cy="178003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2907" cy="1794504"/>
                    </a:xfrm>
                    <a:prstGeom prst="rect">
                      <a:avLst/>
                    </a:prstGeom>
                  </pic:spPr>
                </pic:pic>
              </a:graphicData>
            </a:graphic>
          </wp:inline>
        </w:drawing>
      </w:r>
    </w:p>
    <w:p w14:paraId="56B8A02F" w14:textId="1B167249" w:rsidR="00DC5AB2" w:rsidRPr="00EE751E" w:rsidRDefault="00131B87" w:rsidP="00F83586">
      <w:pPr>
        <w:pStyle w:val="CETCaption"/>
        <w:rPr>
          <w:rStyle w:val="CETCaptionCarattere"/>
          <w:i/>
          <w:lang w:val="en-US"/>
        </w:rPr>
      </w:pPr>
      <w:r w:rsidRPr="00EE751E">
        <w:rPr>
          <w:rStyle w:val="CETCaptionCarattere"/>
          <w:i/>
          <w:lang w:val="en-US"/>
        </w:rPr>
        <w:t>Figure 4</w:t>
      </w:r>
      <w:r w:rsidR="00777B6C" w:rsidRPr="00EE751E">
        <w:rPr>
          <w:rStyle w:val="CETCaptionCarattere"/>
          <w:i/>
          <w:lang w:val="en-US"/>
        </w:rPr>
        <w:t>.</w:t>
      </w:r>
      <w:r w:rsidRPr="00EE751E">
        <w:rPr>
          <w:rStyle w:val="CETCaptionCarattere"/>
          <w:i/>
          <w:lang w:val="en-US"/>
        </w:rPr>
        <w:t xml:space="preserve"> General scheme of crop yield forecasting at the regional level</w:t>
      </w:r>
    </w:p>
    <w:p w14:paraId="28358DA3" w14:textId="77777777" w:rsidR="00131B87" w:rsidRPr="00EE751E" w:rsidRDefault="00131B87" w:rsidP="00131B87">
      <w:pPr>
        <w:pStyle w:val="CETBodytext"/>
      </w:pPr>
      <w:r w:rsidRPr="00EE751E">
        <w:t xml:space="preserve">The results of the predictive model were used to determine the maximum NDVI for 2022. The forecast model included weather data, 5-year arable NDVI data, and gross yield for 2021. All actual and simulated arable NDVI </w:t>
      </w:r>
      <w:r w:rsidRPr="00EE751E">
        <w:lastRenderedPageBreak/>
        <w:t xml:space="preserve">values in the test region for the period 2017-2022 are presented in the table below. Based on the results of the Levenberg-Marquardt algorithm and the forecast model predicted using machine learning and auxiliary libraries of the Python programming language, the following result is obtained: in 2022: </w:t>
      </w:r>
      <w:r w:rsidRPr="00EE751E">
        <w:rPr>
          <w:rFonts w:ascii="Cambria Math" w:hAnsi="Cambria Math" w:cs="Cambria Math"/>
          <w:lang w:val="ru-RU"/>
        </w:rPr>
        <w:t>𝑏</w:t>
      </w:r>
      <w:r w:rsidRPr="00EE751E">
        <w:t xml:space="preserve"> = 31.04 ± 0.15, </w:t>
      </w:r>
      <w:r w:rsidRPr="00EE751E">
        <w:rPr>
          <w:rFonts w:ascii="Cambria Math" w:hAnsi="Cambria Math" w:cs="Cambria Math"/>
          <w:lang w:val="ru-RU"/>
        </w:rPr>
        <w:t>𝑐</w:t>
      </w:r>
      <w:r w:rsidRPr="00EE751E">
        <w:t xml:space="preserve"> = 8.25 ± 0.32.</w:t>
      </w:r>
    </w:p>
    <w:p w14:paraId="0E06091F" w14:textId="3D21EA80" w:rsidR="00DC5AB2" w:rsidRPr="00EE751E" w:rsidRDefault="00131B87" w:rsidP="00F91A45">
      <w:pPr>
        <w:pStyle w:val="CETBodytext"/>
      </w:pPr>
      <w:r w:rsidRPr="00EE751E">
        <w:t>The 5-year average absolute forecast error in the 28-31 calendar week was 2.1-4.5</w:t>
      </w:r>
      <w:r w:rsidR="00E12171" w:rsidRPr="00EE751E">
        <w:t xml:space="preserve"> </w:t>
      </w:r>
      <w:r w:rsidRPr="00EE751E">
        <w:t>%, in the 24-27 week from 4.2 to 7.1</w:t>
      </w:r>
      <w:r w:rsidR="00A362FD" w:rsidRPr="00EE751E">
        <w:t xml:space="preserve"> </w:t>
      </w:r>
      <w:r w:rsidRPr="00EE751E">
        <w:t>%, and in the 21-24 week from 4.9-8.5</w:t>
      </w:r>
      <w:r w:rsidR="00A362FD" w:rsidRPr="00EE751E">
        <w:t xml:space="preserve"> </w:t>
      </w:r>
      <w:r w:rsidRPr="00EE751E">
        <w:t>%.</w:t>
      </w:r>
      <w:r w:rsidR="00BD040C" w:rsidRPr="00EE751E">
        <w:rPr>
          <w:lang w:val="en-GB"/>
        </w:rPr>
        <w:t xml:space="preserve"> </w:t>
      </w:r>
      <w:r w:rsidRPr="00EE751E">
        <w:t xml:space="preserve">Methodological provisions for yield forecasting in practice were used. Using data on the actual yield, meteorological data and NDVI data on arable land for 5 years of sunflower cultivation in the </w:t>
      </w:r>
      <w:r w:rsidR="007D14D7" w:rsidRPr="00EE751E">
        <w:rPr>
          <w:iCs/>
          <w:lang w:val="en-GB"/>
        </w:rPr>
        <w:t xml:space="preserve">"Experimental farming of oilseeds" </w:t>
      </w:r>
      <w:r w:rsidRPr="00EE751E">
        <w:t>for 2017-2021 All calculations were performed using the methodology developed by the authors of sunflower yield forecasting for 2021-2022 The obtained data of the forecast model will be used for further comparison with actual yield data for 2022 in the same period to assess the quality of the model as a yield forecasting tool.</w:t>
      </w:r>
      <w:r w:rsidR="00BD040C" w:rsidRPr="00EE751E">
        <w:rPr>
          <w:lang w:val="en-GB"/>
        </w:rPr>
        <w:t xml:space="preserve"> </w:t>
      </w:r>
      <w:r w:rsidRPr="00EE751E">
        <w:t>Having developed the entire mathematical model in Jupyter Notebook, we obtained the result shown in Figure 5</w:t>
      </w:r>
      <w:r w:rsidR="00DC5AB2" w:rsidRPr="00EE751E">
        <w:t>.</w:t>
      </w:r>
    </w:p>
    <w:p w14:paraId="71A3429C" w14:textId="2CC2B46E" w:rsidR="006F617E" w:rsidRPr="00EE751E" w:rsidRDefault="00F91858" w:rsidP="00E42591">
      <w:pPr>
        <w:pStyle w:val="CETBodytext"/>
        <w:spacing w:before="240" w:after="240"/>
        <w:jc w:val="left"/>
        <w:rPr>
          <w:lang w:val="ru-RU"/>
        </w:rPr>
      </w:pPr>
      <w:r w:rsidRPr="00EE751E">
        <w:rPr>
          <w:noProof/>
          <w:lang w:val="ru-RU" w:eastAsia="ru-RU"/>
        </w:rPr>
        <w:drawing>
          <wp:inline distT="0" distB="0" distL="0" distR="0" wp14:anchorId="44243C3E" wp14:editId="409061E4">
            <wp:extent cx="4321278" cy="1672638"/>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45"/>
                    <a:stretch/>
                  </pic:blipFill>
                  <pic:spPr bwMode="auto">
                    <a:xfrm>
                      <a:off x="0" y="0"/>
                      <a:ext cx="4341892" cy="1680617"/>
                    </a:xfrm>
                    <a:prstGeom prst="rect">
                      <a:avLst/>
                    </a:prstGeom>
                    <a:ln>
                      <a:noFill/>
                    </a:ln>
                    <a:extLst>
                      <a:ext uri="{53640926-AAD7-44D8-BBD7-CCE9431645EC}">
                        <a14:shadowObscured xmlns:a14="http://schemas.microsoft.com/office/drawing/2010/main"/>
                      </a:ext>
                    </a:extLst>
                  </pic:spPr>
                </pic:pic>
              </a:graphicData>
            </a:graphic>
          </wp:inline>
        </w:drawing>
      </w:r>
    </w:p>
    <w:p w14:paraId="5E43319F" w14:textId="7AA70252" w:rsidR="00DC5AB2" w:rsidRPr="00EE751E" w:rsidRDefault="00131B87" w:rsidP="00131B87">
      <w:pPr>
        <w:pStyle w:val="CETCaption"/>
        <w:rPr>
          <w:rStyle w:val="CETCaptionCarattere"/>
          <w:i/>
        </w:rPr>
      </w:pPr>
      <w:r w:rsidRPr="00EE751E">
        <w:rPr>
          <w:rStyle w:val="CETCaptionCarattere"/>
          <w:i/>
        </w:rPr>
        <w:t>Figure 5. Scatter diagram of the results of yield forecasting for 2022 using Python software packages</w:t>
      </w:r>
    </w:p>
    <w:p w14:paraId="1B1DDD8D" w14:textId="7D10BAEF" w:rsidR="00DC5AB2" w:rsidRPr="00EE751E" w:rsidRDefault="00777B6C" w:rsidP="00F91A45">
      <w:pPr>
        <w:pStyle w:val="CETBodytext"/>
      </w:pPr>
      <w:r w:rsidRPr="00EE751E">
        <w:t>Based on the results of building a predictive model based on all the data obtained using machine learning and auxiliary libraries of the Python programming language, the result was: in 2022: p = 17.4 ± 1.21 c/ha. In order to assess the quality of the yield prediction model, the obtained result was compared with the result for 2021, relative to this year, the predicted result revealed a yield increase of 16</w:t>
      </w:r>
      <w:r w:rsidR="00380E72" w:rsidRPr="00EE751E">
        <w:t xml:space="preserve"> </w:t>
      </w:r>
      <w:r w:rsidRPr="00EE751E">
        <w:t>%.</w:t>
      </w:r>
      <w:r w:rsidR="00BD040C" w:rsidRPr="00EE751E">
        <w:rPr>
          <w:lang w:val="en-GB"/>
        </w:rPr>
        <w:t xml:space="preserve"> </w:t>
      </w:r>
      <w:r w:rsidRPr="00EE751E">
        <w:t xml:space="preserve">Using the approximating function to predict the maximum NDVI forecast mask of arable land in the example of LLP </w:t>
      </w:r>
      <w:r w:rsidR="007D14D7" w:rsidRPr="00EE751E">
        <w:rPr>
          <w:iCs/>
          <w:lang w:val="en-GB"/>
        </w:rPr>
        <w:t>"Experimental farming of oilseeds"</w:t>
      </w:r>
      <w:r w:rsidRPr="00EE751E">
        <w:t xml:space="preserve"> in East Kazakhstan is consistent with the results obtained earlier by the authors for the wheat crop. The average absolute error of the forecast ranges from 0.67 to 10.7</w:t>
      </w:r>
      <w:r w:rsidR="005A5169" w:rsidRPr="00EE751E">
        <w:t xml:space="preserve"> </w:t>
      </w:r>
      <w:r w:rsidRPr="00EE751E">
        <w:t>% per annum in the simulated period. This average absolute forecast error is calculated on the basis of results for previous years.</w:t>
      </w:r>
    </w:p>
    <w:p w14:paraId="18B40C59" w14:textId="7254AECB" w:rsidR="00F91A45" w:rsidRPr="00EE751E" w:rsidRDefault="00F91A45" w:rsidP="00F91A45">
      <w:pPr>
        <w:pStyle w:val="CETHeading1"/>
        <w:tabs>
          <w:tab w:val="clear" w:pos="360"/>
          <w:tab w:val="right" w:pos="7100"/>
        </w:tabs>
        <w:jc w:val="both"/>
        <w:rPr>
          <w:lang w:val="en-GB"/>
        </w:rPr>
      </w:pPr>
      <w:r w:rsidRPr="00EE751E">
        <w:rPr>
          <w:lang w:val="en-GB"/>
        </w:rPr>
        <w:t>Conclusions</w:t>
      </w:r>
    </w:p>
    <w:p w14:paraId="06315E17" w14:textId="742644FF" w:rsidR="006D0C34" w:rsidRPr="00EE751E" w:rsidRDefault="00131B87" w:rsidP="00A00422">
      <w:pPr>
        <w:pStyle w:val="CETReferencetext"/>
        <w:ind w:left="0" w:firstLine="0"/>
        <w:rPr>
          <w:rFonts w:cs="Arial"/>
          <w:szCs w:val="18"/>
          <w:lang w:val="en-US" w:eastAsia="ru-RU"/>
        </w:rPr>
      </w:pPr>
      <w:r w:rsidRPr="00EE751E">
        <w:rPr>
          <w:rFonts w:cs="Arial"/>
          <w:szCs w:val="18"/>
          <w:lang w:val="en-US" w:eastAsia="ru-RU"/>
        </w:rPr>
        <w:t>To date, satellite methods are the most promising among other methods of yield forecasting due to their objective and rapid results, as well as the possibility of covering large areas. Assimilation of satellite remote sensing data with various mathematical models significantly reveals the possibilities of assessing and forecasting the state of soil-vegetation systems of agro</w:t>
      </w:r>
      <w:r w:rsidR="00E12171" w:rsidRPr="00EE751E">
        <w:rPr>
          <w:rFonts w:cs="Arial"/>
          <w:szCs w:val="18"/>
          <w:lang w:val="en-US" w:eastAsia="ru-RU"/>
        </w:rPr>
        <w:t xml:space="preserve"> </w:t>
      </w:r>
      <w:r w:rsidRPr="00EE751E">
        <w:rPr>
          <w:rFonts w:cs="Arial"/>
          <w:szCs w:val="18"/>
          <w:lang w:val="en-US" w:eastAsia="ru-RU"/>
        </w:rPr>
        <w:t>landscapes. Thus, the use of remote sensing data and developed Python software modules contribute to the rapid formation of forecasts and the possibility of adapting farmers' plans. Based on the Levenberg-Marquardt algorithm, the Python programming language with the Jupyter Notebook development environment was chosen because of the availability of a set of analytical visualization tools. The authors developed a variant of the algorithm for determining crop yields using sunflower as an example, which showed good accuracy. The method makes it possible to make early predictions. Approximation of dynamic curves corresponding to the values of seven-day composites of NDVI indices is proposed using the Gaussian function and the Levenberg-</w:t>
      </w:r>
      <w:r w:rsidR="009617F7" w:rsidRPr="00EE751E">
        <w:rPr>
          <w:lang w:val="en-US"/>
        </w:rPr>
        <w:t xml:space="preserve"> Marquardt</w:t>
      </w:r>
      <w:r w:rsidR="009617F7" w:rsidRPr="00EE751E">
        <w:rPr>
          <w:rFonts w:cs="Arial"/>
          <w:szCs w:val="18"/>
          <w:lang w:val="en-US" w:eastAsia="ru-RU"/>
        </w:rPr>
        <w:t xml:space="preserve"> </w:t>
      </w:r>
      <w:r w:rsidRPr="00EE751E">
        <w:rPr>
          <w:rFonts w:cs="Arial"/>
          <w:szCs w:val="18"/>
          <w:lang w:val="en-US" w:eastAsia="ru-RU"/>
        </w:rPr>
        <w:t>algorithm. The use of the approximating function for forecasting the annual maximum of NDVI by arable land mask in East Kazakhstan showed good results: the average absolute forecast error depending on the forecast week was from 0.67 to 10.7</w:t>
      </w:r>
      <w:r w:rsidR="006E1E60" w:rsidRPr="00EE751E">
        <w:rPr>
          <w:rFonts w:cs="Arial"/>
          <w:szCs w:val="18"/>
          <w:lang w:val="en-US" w:eastAsia="ru-RU"/>
        </w:rPr>
        <w:t xml:space="preserve"> </w:t>
      </w:r>
      <w:r w:rsidRPr="00EE751E">
        <w:rPr>
          <w:rFonts w:cs="Arial"/>
          <w:szCs w:val="18"/>
          <w:lang w:val="en-US" w:eastAsia="ru-RU"/>
        </w:rPr>
        <w:t>%</w:t>
      </w:r>
      <w:r w:rsidR="006E1E60" w:rsidRPr="00EE751E">
        <w:rPr>
          <w:rFonts w:cs="Arial"/>
          <w:szCs w:val="18"/>
          <w:lang w:val="en-US" w:eastAsia="ru-RU"/>
        </w:rPr>
        <w:t>/y</w:t>
      </w:r>
      <w:r w:rsidRPr="00EE751E">
        <w:rPr>
          <w:rFonts w:cs="Arial"/>
          <w:szCs w:val="18"/>
          <w:lang w:val="en-US" w:eastAsia="ru-RU"/>
        </w:rPr>
        <w:t>, in the simulated period.</w:t>
      </w:r>
    </w:p>
    <w:p w14:paraId="3707F02D" w14:textId="77777777" w:rsidR="001637E0" w:rsidRPr="00EE751E" w:rsidRDefault="001637E0" w:rsidP="001637E0">
      <w:pPr>
        <w:pStyle w:val="CETAcknowledgementstitle"/>
      </w:pPr>
      <w:r w:rsidRPr="00EE751E">
        <w:t>Acknowledgements</w:t>
      </w:r>
    </w:p>
    <w:p w14:paraId="5D0231F8" w14:textId="7B31E0DF" w:rsidR="001637E0" w:rsidRPr="00EE751E" w:rsidRDefault="001637E0" w:rsidP="001637E0">
      <w:pPr>
        <w:pStyle w:val="BodyText"/>
        <w:rPr>
          <w:lang w:val="en-US"/>
        </w:rPr>
      </w:pPr>
      <w:r w:rsidRPr="00EE751E">
        <w:t>This research has been supported by Project IRN BR10865102 "Development of technologies for remote sensing of the earth (RSE) to improve agricultural management", funded by The Ministry of Agriculture of the Republic of Kazakhstan.</w:t>
      </w:r>
      <w:r w:rsidRPr="00EE751E">
        <w:rPr>
          <w:lang w:val="en-US"/>
        </w:rPr>
        <w:t xml:space="preserve"> </w:t>
      </w:r>
    </w:p>
    <w:p w14:paraId="39CB5426" w14:textId="77777777" w:rsidR="00966D01" w:rsidRPr="00EE751E" w:rsidRDefault="00966D01" w:rsidP="001637E0">
      <w:pPr>
        <w:pStyle w:val="BodyText"/>
        <w:rPr>
          <w:lang w:val="en-US"/>
        </w:rPr>
      </w:pPr>
    </w:p>
    <w:p w14:paraId="2133DEA3" w14:textId="5B34B3BF" w:rsidR="001637E0" w:rsidRPr="00EE751E" w:rsidRDefault="001637E0" w:rsidP="001637E0">
      <w:pPr>
        <w:pStyle w:val="CETReference"/>
      </w:pPr>
      <w:r w:rsidRPr="00EE751E">
        <w:lastRenderedPageBreak/>
        <w:t>References</w:t>
      </w:r>
    </w:p>
    <w:p w14:paraId="20C24EE9" w14:textId="1D449488" w:rsidR="00BD040C" w:rsidRPr="00EE751E" w:rsidRDefault="00BD040C" w:rsidP="00F91858">
      <w:pPr>
        <w:pStyle w:val="CETReferencetext"/>
      </w:pPr>
      <w:r w:rsidRPr="00EE751E">
        <w:t>Beisekenov N.A., Sadenova</w:t>
      </w:r>
      <w:r w:rsidR="00966D01" w:rsidRPr="00EE751E">
        <w:t xml:space="preserve"> M.A.</w:t>
      </w:r>
      <w:r w:rsidRPr="00EE751E">
        <w:t>, Varbanov</w:t>
      </w:r>
      <w:r w:rsidR="00966D01" w:rsidRPr="00EE751E">
        <w:t xml:space="preserve"> P.S.</w:t>
      </w:r>
      <w:r w:rsidRPr="00EE751E">
        <w:t xml:space="preserve">, </w:t>
      </w:r>
      <w:r w:rsidR="00966D01" w:rsidRPr="00EE751E">
        <w:t>2021</w:t>
      </w:r>
      <w:r w:rsidR="00BD33F8" w:rsidRPr="00EE751E">
        <w:t>a</w:t>
      </w:r>
      <w:r w:rsidR="00966D01" w:rsidRPr="00EE751E">
        <w:t xml:space="preserve">. </w:t>
      </w:r>
      <w:r w:rsidRPr="00EE751E">
        <w:t>Mathematical Optimization as A Tool for the Development of ‘Smart’ Agriculture in Kazakhstan</w:t>
      </w:r>
      <w:r w:rsidR="00966D01" w:rsidRPr="00EE751E">
        <w:t>.</w:t>
      </w:r>
      <w:r w:rsidRPr="00EE751E">
        <w:t xml:space="preserve"> Chemical Engineering Transactions, 88, 1219-1224.</w:t>
      </w:r>
    </w:p>
    <w:p w14:paraId="595A01E8" w14:textId="5E70F48B" w:rsidR="00BD040C" w:rsidRPr="00EE751E" w:rsidRDefault="00BD040C" w:rsidP="00E65B91">
      <w:pPr>
        <w:pStyle w:val="CETReferencetext"/>
      </w:pPr>
      <w:r w:rsidRPr="00EE751E">
        <w:t>Beisekenov N.A., Sadenova</w:t>
      </w:r>
      <w:r w:rsidR="00125549" w:rsidRPr="00EE751E">
        <w:t xml:space="preserve"> M.A.</w:t>
      </w:r>
      <w:r w:rsidRPr="00EE751E">
        <w:t xml:space="preserve">, Kulenova </w:t>
      </w:r>
      <w:r w:rsidR="00125549" w:rsidRPr="00EE751E">
        <w:t xml:space="preserve">N.A., </w:t>
      </w:r>
      <w:r w:rsidRPr="00EE751E">
        <w:t>Mukhtarkanovna</w:t>
      </w:r>
      <w:r w:rsidR="00125549" w:rsidRPr="00EE751E">
        <w:t xml:space="preserve"> M.A.</w:t>
      </w:r>
      <w:r w:rsidRPr="00EE751E">
        <w:t>,</w:t>
      </w:r>
      <w:r w:rsidR="00125549" w:rsidRPr="00EE751E">
        <w:t xml:space="preserve"> 2021</w:t>
      </w:r>
      <w:r w:rsidR="00BD33F8" w:rsidRPr="00EE751E">
        <w:t>b</w:t>
      </w:r>
      <w:r w:rsidR="00125549" w:rsidRPr="00EE751E">
        <w:t>.</w:t>
      </w:r>
      <w:r w:rsidRPr="00EE751E">
        <w:t xml:space="preserve"> Development of a preliminary version of a model for machine learning in predicting yield on the example of wheat in the conditions of East Kazakhstan,</w:t>
      </w:r>
      <w:r w:rsidR="00125549" w:rsidRPr="00EE751E">
        <w:t xml:space="preserve"> </w:t>
      </w:r>
      <w:r w:rsidRPr="00EE751E">
        <w:t>16</w:t>
      </w:r>
      <w:r w:rsidR="00125549" w:rsidRPr="00EE751E">
        <w:t>-</w:t>
      </w:r>
      <w:r w:rsidRPr="00EE751E">
        <w:t>th International Conference on Electronics Computer and Computation (ICECCO), 1-6, doi: 10.1109/ICECCO53203.2021.9663758.</w:t>
      </w:r>
    </w:p>
    <w:p w14:paraId="6D080323" w14:textId="6E6DB9E4" w:rsidR="00BD040C" w:rsidRPr="00EE751E" w:rsidRDefault="00BD040C" w:rsidP="00777B6C">
      <w:pPr>
        <w:pStyle w:val="CETReferencetext"/>
      </w:pPr>
      <w:r w:rsidRPr="00EE751E">
        <w:t>Beisekenov N.A., Anuarbekov</w:t>
      </w:r>
      <w:r w:rsidR="00E33091" w:rsidRPr="00EE751E">
        <w:t xml:space="preserve"> T.B.</w:t>
      </w:r>
      <w:r w:rsidRPr="00EE751E">
        <w:t>, Sadenova</w:t>
      </w:r>
      <w:r w:rsidR="00E33091" w:rsidRPr="00EE751E">
        <w:t xml:space="preserve"> M.A.</w:t>
      </w:r>
      <w:r w:rsidRPr="00EE751E">
        <w:t>, Varbanov</w:t>
      </w:r>
      <w:r w:rsidR="00E33091" w:rsidRPr="00EE751E">
        <w:t xml:space="preserve"> P.S.</w:t>
      </w:r>
      <w:r w:rsidRPr="00EE751E">
        <w:t xml:space="preserve">, Klemeš </w:t>
      </w:r>
      <w:r w:rsidR="00E33091" w:rsidRPr="00EE751E">
        <w:t>J.J.,</w:t>
      </w:r>
      <w:r w:rsidRPr="00EE751E">
        <w:t xml:space="preserve"> Wang</w:t>
      </w:r>
      <w:r w:rsidR="00E33091" w:rsidRPr="00EE751E">
        <w:t xml:space="preserve"> J.</w:t>
      </w:r>
      <w:r w:rsidRPr="00EE751E">
        <w:t>,</w:t>
      </w:r>
      <w:r w:rsidR="00E33091" w:rsidRPr="00EE751E">
        <w:t xml:space="preserve"> 2021</w:t>
      </w:r>
      <w:r w:rsidR="00BD33F8" w:rsidRPr="00EE751E">
        <w:t>c</w:t>
      </w:r>
      <w:r w:rsidR="00E33091" w:rsidRPr="00EE751E">
        <w:t>.</w:t>
      </w:r>
      <w:r w:rsidRPr="00EE751E">
        <w:t xml:space="preserve"> Machine Learning Model Identification for Forecasting of Soya Crop Yields in Kazakhstan</w:t>
      </w:r>
      <w:r w:rsidR="00E33091" w:rsidRPr="00EE751E">
        <w:t xml:space="preserve">. </w:t>
      </w:r>
      <w:r w:rsidRPr="00EE751E">
        <w:t>6th International Conference on Smart and Sustainable Technologies (SpliTech), 2021, 1-6, doi: 10.23919/SpliTech52315.2021.9566376.</w:t>
      </w:r>
    </w:p>
    <w:p w14:paraId="676D3818" w14:textId="46F1A254" w:rsidR="00BD040C" w:rsidRPr="00EE751E" w:rsidRDefault="00BD040C" w:rsidP="00F91858">
      <w:pPr>
        <w:pStyle w:val="CETReferencetext"/>
      </w:pPr>
      <w:r w:rsidRPr="00EE751E">
        <w:t>Evergreen S</w:t>
      </w:r>
      <w:r w:rsidR="009F006F" w:rsidRPr="00EE751E">
        <w:t>.</w:t>
      </w:r>
      <w:r w:rsidRPr="00EE751E">
        <w:t>D</w:t>
      </w:r>
      <w:r w:rsidR="009F006F" w:rsidRPr="00EE751E">
        <w:t>.</w:t>
      </w:r>
      <w:r w:rsidRPr="00EE751E">
        <w:t>H.</w:t>
      </w:r>
      <w:r w:rsidR="009F006F" w:rsidRPr="00EE751E">
        <w:t>, 201</w:t>
      </w:r>
      <w:r w:rsidR="00460518" w:rsidRPr="00EE751E">
        <w:t>6</w:t>
      </w:r>
      <w:r w:rsidR="009F006F" w:rsidRPr="00EE751E">
        <w:t xml:space="preserve">. </w:t>
      </w:r>
      <w:r w:rsidRPr="00EE751E">
        <w:t>Effective data visualization: The right chart for the right data. Sage Publications</w:t>
      </w:r>
      <w:r w:rsidR="00EE619C" w:rsidRPr="00EE751E">
        <w:t>, Los Angeles, United States</w:t>
      </w:r>
      <w:r w:rsidR="00F55F9D" w:rsidRPr="00EE751E">
        <w:t>, ISBN 9781506303055</w:t>
      </w:r>
      <w:r w:rsidRPr="00EE751E">
        <w:t>.</w:t>
      </w:r>
    </w:p>
    <w:p w14:paraId="640DDD96" w14:textId="44F0AB2F" w:rsidR="00BD040C" w:rsidRPr="00EE751E" w:rsidRDefault="00BD040C" w:rsidP="009C6D38">
      <w:pPr>
        <w:pStyle w:val="CETReferencetext"/>
      </w:pPr>
      <w:r w:rsidRPr="00EE751E">
        <w:t>Gavin H.P.</w:t>
      </w:r>
      <w:r w:rsidR="00B10618" w:rsidRPr="00EE751E">
        <w:t>,</w:t>
      </w:r>
      <w:r w:rsidR="00EE619C" w:rsidRPr="00EE751E">
        <w:t xml:space="preserve"> 20</w:t>
      </w:r>
      <w:r w:rsidR="00EC0875" w:rsidRPr="00EE751E">
        <w:t>20</w:t>
      </w:r>
      <w:r w:rsidR="00EE619C" w:rsidRPr="00EE751E">
        <w:t>.</w:t>
      </w:r>
      <w:r w:rsidRPr="00EE751E">
        <w:t xml:space="preserve"> The Levenberg–Marquardt method for nonlinear least squares curve-fitting problems. Dep. Civ. Environ. Eng.</w:t>
      </w:r>
      <w:r w:rsidR="008E5A45" w:rsidRPr="00EE751E">
        <w:t>,</w:t>
      </w:r>
      <w:r w:rsidRPr="00EE751E">
        <w:t xml:space="preserve"> Duke Univ. </w:t>
      </w:r>
      <w:r w:rsidR="00E6470C" w:rsidRPr="00EE751E">
        <w:t>&lt;</w:t>
      </w:r>
      <w:r w:rsidRPr="00EE751E">
        <w:t>http</w:t>
      </w:r>
      <w:r w:rsidR="00E6470C" w:rsidRPr="00EE751E">
        <w:t>s</w:t>
      </w:r>
      <w:r w:rsidRPr="00EE751E">
        <w:t>://people.duke.edu/hpgavin/ce281/lm.pdf</w:t>
      </w:r>
      <w:r w:rsidR="00E6470C" w:rsidRPr="00EE751E">
        <w:t xml:space="preserve">&gt;, </w:t>
      </w:r>
      <w:r w:rsidRPr="00EE751E">
        <w:t>accessed 23.09.2019</w:t>
      </w:r>
      <w:r w:rsidR="00E6470C" w:rsidRPr="00EE751E">
        <w:t>.</w:t>
      </w:r>
    </w:p>
    <w:p w14:paraId="68C23A61" w14:textId="574CB501" w:rsidR="00BD040C" w:rsidRPr="00EE751E" w:rsidRDefault="00BD040C" w:rsidP="00F91858">
      <w:pPr>
        <w:pStyle w:val="CETReferencetext"/>
      </w:pPr>
      <w:r w:rsidRPr="00EE751E">
        <w:t>Jin X., Kumar L., Li Z., Xu X., Yang G., Wang J.</w:t>
      </w:r>
      <w:r w:rsidR="00D40AEE" w:rsidRPr="00EE751E">
        <w:t>, 2016.</w:t>
      </w:r>
      <w:r w:rsidRPr="00EE751E">
        <w:t xml:space="preserve"> Estimation of Winter Wheat Biomass and Yield by Combining the AquaCrop Model and Field Hyperspectral Data</w:t>
      </w:r>
      <w:r w:rsidR="006E7BE6" w:rsidRPr="00EE751E">
        <w:t>.</w:t>
      </w:r>
      <w:r w:rsidRPr="00EE751E">
        <w:t xml:space="preserve"> Remote Sens</w:t>
      </w:r>
      <w:r w:rsidR="001C0B31" w:rsidRPr="00EE751E">
        <w:t>ing</w:t>
      </w:r>
      <w:r w:rsidR="006E7BE6" w:rsidRPr="00EE751E">
        <w:t>,</w:t>
      </w:r>
      <w:r w:rsidRPr="00EE751E">
        <w:t xml:space="preserve"> 8</w:t>
      </w:r>
      <w:r w:rsidR="006E7BE6" w:rsidRPr="00EE751E">
        <w:t>(</w:t>
      </w:r>
      <w:r w:rsidRPr="00EE751E">
        <w:t>12</w:t>
      </w:r>
      <w:r w:rsidR="006E7BE6" w:rsidRPr="00EE751E">
        <w:t>),</w:t>
      </w:r>
      <w:r w:rsidR="00AC2778" w:rsidRPr="00EE751E">
        <w:t xml:space="preserve"> </w:t>
      </w:r>
      <w:r w:rsidRPr="00EE751E">
        <w:t>972</w:t>
      </w:r>
      <w:r w:rsidR="00A61088" w:rsidRPr="00EE751E">
        <w:t>, doi: 10.3390/rs8120972</w:t>
      </w:r>
      <w:r w:rsidRPr="00EE751E">
        <w:t>.</w:t>
      </w:r>
    </w:p>
    <w:p w14:paraId="7E467BE5" w14:textId="191DE639" w:rsidR="00BD040C" w:rsidRPr="00EE751E" w:rsidRDefault="00BD040C" w:rsidP="00F91858">
      <w:pPr>
        <w:pStyle w:val="CETReferencetext"/>
      </w:pPr>
      <w:r w:rsidRPr="00EE751E">
        <w:t>Lim L.Y., Lee C.T., Bong C.P.C., Lim J.S., Ong P.Y., Klemeš J.J., 2021</w:t>
      </w:r>
      <w:r w:rsidR="000F78EE" w:rsidRPr="00EE751E">
        <w:t>.</w:t>
      </w:r>
      <w:r w:rsidRPr="00EE751E">
        <w:t xml:space="preserve"> Selection of Parameters for Soil Quality.Following Compost Application: A Ranking Method, Chemical Engineering Trans</w:t>
      </w:r>
      <w:r w:rsidR="000F78EE" w:rsidRPr="00EE751E">
        <w:t>actions</w:t>
      </w:r>
      <w:r w:rsidRPr="00EE751E">
        <w:t>, 83, 505-510.</w:t>
      </w:r>
    </w:p>
    <w:p w14:paraId="710BFD2B" w14:textId="1F9A3208" w:rsidR="00BD040C" w:rsidRPr="00EE751E" w:rsidRDefault="00BD040C" w:rsidP="009C6D38">
      <w:pPr>
        <w:pStyle w:val="CETReferencetext"/>
      </w:pPr>
      <w:r w:rsidRPr="00EE751E">
        <w:t>Lysenko S.A.</w:t>
      </w:r>
      <w:r w:rsidR="004F1A78" w:rsidRPr="00EE751E">
        <w:t>, 2019. Forecasting of the yield of agricultural crops based on satellite monitoring of the carbon dynamics of the terrestrial ecosystems.</w:t>
      </w:r>
      <w:r w:rsidRPr="00EE751E">
        <w:t xml:space="preserve"> Issledovaniye Zemli iz kosmosa</w:t>
      </w:r>
      <w:r w:rsidR="007A7E2B" w:rsidRPr="00EE751E">
        <w:t xml:space="preserve">, </w:t>
      </w:r>
      <w:r w:rsidRPr="00EE751E">
        <w:t>2019</w:t>
      </w:r>
      <w:r w:rsidR="007A7E2B" w:rsidRPr="00EE751E">
        <w:t>(</w:t>
      </w:r>
      <w:r w:rsidRPr="00EE751E">
        <w:t>4</w:t>
      </w:r>
      <w:r w:rsidR="007A7E2B" w:rsidRPr="00EE751E">
        <w:t xml:space="preserve">), </w:t>
      </w:r>
      <w:r w:rsidRPr="00EE751E">
        <w:t>48–59.</w:t>
      </w:r>
      <w:r w:rsidR="006A1378" w:rsidRPr="00EE751E">
        <w:t xml:space="preserve"> (in Russian)</w:t>
      </w:r>
    </w:p>
    <w:p w14:paraId="73FC59EC" w14:textId="145D477F" w:rsidR="00BD040C" w:rsidRPr="00EE751E" w:rsidRDefault="00BD040C" w:rsidP="009C6D38">
      <w:pPr>
        <w:pStyle w:val="CETReferencetext"/>
      </w:pPr>
      <w:r w:rsidRPr="00EE751E">
        <w:t>Makarov V.Z., Gusev V.A., Shlapak P.A., Reshetarova D.A.</w:t>
      </w:r>
      <w:r w:rsidR="00E42214" w:rsidRPr="00EE751E">
        <w:t>, 2020.</w:t>
      </w:r>
      <w:r w:rsidRPr="00EE751E">
        <w:t xml:space="preserve"> </w:t>
      </w:r>
      <w:r w:rsidR="00DF3B57" w:rsidRPr="00EE751E">
        <w:t>Choice of the optimal method for recognition of agricultural crops from high-resolution space images (on the example of the Saratov Trans-Volga region), Izvestiya Saratov, new series of Earth Sciences 20, 3-4.</w:t>
      </w:r>
    </w:p>
    <w:p w14:paraId="3312A3F4" w14:textId="606B36F4" w:rsidR="00BD040C" w:rsidRPr="00EE751E" w:rsidRDefault="00BD040C" w:rsidP="009C6D38">
      <w:pPr>
        <w:pStyle w:val="CETReferencetext"/>
      </w:pPr>
      <w:r w:rsidRPr="00EE751E">
        <w:t>Paszke A</w:t>
      </w:r>
      <w:r w:rsidR="00F67434" w:rsidRPr="00EE751E">
        <w:t>.</w:t>
      </w:r>
      <w:r w:rsidRPr="00EE751E">
        <w:t>, Gross S</w:t>
      </w:r>
      <w:r w:rsidR="00F67434" w:rsidRPr="00EE751E">
        <w:t>.</w:t>
      </w:r>
      <w:r w:rsidRPr="00EE751E">
        <w:t>, Massa F</w:t>
      </w:r>
      <w:r w:rsidR="00F67434" w:rsidRPr="00EE751E">
        <w:t>.</w:t>
      </w:r>
      <w:r w:rsidRPr="00EE751E">
        <w:t>, Lerer A</w:t>
      </w:r>
      <w:r w:rsidR="00F67434" w:rsidRPr="00EE751E">
        <w:t>.</w:t>
      </w:r>
      <w:r w:rsidRPr="00EE751E">
        <w:t>, Bradbury J</w:t>
      </w:r>
      <w:r w:rsidR="00F67434" w:rsidRPr="00EE751E">
        <w:t>.</w:t>
      </w:r>
      <w:r w:rsidRPr="00EE751E">
        <w:t>, Chanan G</w:t>
      </w:r>
      <w:r w:rsidR="00F67434" w:rsidRPr="00EE751E">
        <w:t>.</w:t>
      </w:r>
      <w:r w:rsidRPr="00EE751E">
        <w:t>, et al.</w:t>
      </w:r>
      <w:r w:rsidR="00F67434" w:rsidRPr="00EE751E">
        <w:t>, 2019.</w:t>
      </w:r>
      <w:r w:rsidRPr="00EE751E">
        <w:t xml:space="preserve"> PyTorch: An Imperative Style, High-Performance Deep Learning Library. In: Advances in Neural Information Processing Systems 32. Curran Associates, Inc.; 2019</w:t>
      </w:r>
      <w:r w:rsidR="00DF3B57" w:rsidRPr="00EE751E">
        <w:t xml:space="preserve">, </w:t>
      </w:r>
      <w:r w:rsidRPr="00EE751E">
        <w:t xml:space="preserve">8024–35. </w:t>
      </w:r>
    </w:p>
    <w:p w14:paraId="6D288CCC" w14:textId="0C281A64" w:rsidR="00BD040C" w:rsidRPr="00EE751E" w:rsidRDefault="00BD040C" w:rsidP="008C507B">
      <w:pPr>
        <w:pStyle w:val="CETReferencetext"/>
      </w:pPr>
      <w:r w:rsidRPr="00EE751E">
        <w:t>Rajakal J.P., Andiappan V., Wan Y.K., 2021</w:t>
      </w:r>
      <w:r w:rsidR="00CF6186" w:rsidRPr="00EE751E">
        <w:t>.</w:t>
      </w:r>
      <w:r w:rsidRPr="00EE751E">
        <w:t xml:space="preserve"> Mathematical Approach to Forecast Oil Palm Plantation Yield under Climate Change Uncertainties, Chemical Engineering Transactions, 83, 115-120</w:t>
      </w:r>
      <w:r w:rsidR="00CF6186" w:rsidRPr="00EE751E">
        <w:t>,</w:t>
      </w:r>
      <w:r w:rsidRPr="00EE751E">
        <w:t xml:space="preserve"> </w:t>
      </w:r>
      <w:r w:rsidR="00CF6186" w:rsidRPr="00EE751E">
        <w:t>doi</w:t>
      </w:r>
      <w:r w:rsidRPr="00EE751E">
        <w:t xml:space="preserve">:10.3303/CET2183020. </w:t>
      </w:r>
    </w:p>
    <w:sectPr w:rsidR="00BD040C" w:rsidRPr="00EE751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6227" w14:textId="77777777" w:rsidR="005A2DF3" w:rsidRDefault="005A2DF3" w:rsidP="004F5E36">
      <w:r>
        <w:separator/>
      </w:r>
    </w:p>
  </w:endnote>
  <w:endnote w:type="continuationSeparator" w:id="0">
    <w:p w14:paraId="484052C5" w14:textId="77777777" w:rsidR="005A2DF3" w:rsidRDefault="005A2DF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110F5" w14:textId="77777777" w:rsidR="005A2DF3" w:rsidRDefault="005A2DF3" w:rsidP="004F5E36">
      <w:r>
        <w:separator/>
      </w:r>
    </w:p>
  </w:footnote>
  <w:footnote w:type="continuationSeparator" w:id="0">
    <w:p w14:paraId="7AAF8365" w14:textId="77777777" w:rsidR="005A2DF3" w:rsidRDefault="005A2DF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8251ED"/>
    <w:multiLevelType w:val="hybridMultilevel"/>
    <w:tmpl w:val="95125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2"/>
  </w:num>
  <w:num w:numId="16">
    <w:abstractNumId w:val="21"/>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073B1"/>
    <w:rsid w:val="0001168D"/>
    <w:rsid w:val="000117CB"/>
    <w:rsid w:val="00025463"/>
    <w:rsid w:val="0003148D"/>
    <w:rsid w:val="00031EEC"/>
    <w:rsid w:val="00040AE9"/>
    <w:rsid w:val="00051566"/>
    <w:rsid w:val="000579D9"/>
    <w:rsid w:val="00062A9A"/>
    <w:rsid w:val="00065058"/>
    <w:rsid w:val="000814DE"/>
    <w:rsid w:val="00086C39"/>
    <w:rsid w:val="000A03B2"/>
    <w:rsid w:val="000B2077"/>
    <w:rsid w:val="000C0A27"/>
    <w:rsid w:val="000C42E9"/>
    <w:rsid w:val="000D0268"/>
    <w:rsid w:val="000D34BE"/>
    <w:rsid w:val="000E102F"/>
    <w:rsid w:val="000E36F1"/>
    <w:rsid w:val="000E3A73"/>
    <w:rsid w:val="000E414A"/>
    <w:rsid w:val="000E42FC"/>
    <w:rsid w:val="000E764B"/>
    <w:rsid w:val="000F093C"/>
    <w:rsid w:val="000F5789"/>
    <w:rsid w:val="000F6B3D"/>
    <w:rsid w:val="000F787B"/>
    <w:rsid w:val="000F78EE"/>
    <w:rsid w:val="001202A2"/>
    <w:rsid w:val="0012091F"/>
    <w:rsid w:val="00125549"/>
    <w:rsid w:val="00126BC2"/>
    <w:rsid w:val="00127982"/>
    <w:rsid w:val="001308B6"/>
    <w:rsid w:val="001308F7"/>
    <w:rsid w:val="0013121F"/>
    <w:rsid w:val="00131B87"/>
    <w:rsid w:val="00131FE6"/>
    <w:rsid w:val="0013263F"/>
    <w:rsid w:val="001331DF"/>
    <w:rsid w:val="001343BF"/>
    <w:rsid w:val="00134DE4"/>
    <w:rsid w:val="0014034D"/>
    <w:rsid w:val="00144D16"/>
    <w:rsid w:val="00150E59"/>
    <w:rsid w:val="00152DE3"/>
    <w:rsid w:val="00155875"/>
    <w:rsid w:val="001637E0"/>
    <w:rsid w:val="00164CF9"/>
    <w:rsid w:val="001667A6"/>
    <w:rsid w:val="00167BC1"/>
    <w:rsid w:val="00174874"/>
    <w:rsid w:val="00184AD6"/>
    <w:rsid w:val="00185DE0"/>
    <w:rsid w:val="00197926"/>
    <w:rsid w:val="001A4AF7"/>
    <w:rsid w:val="001B0349"/>
    <w:rsid w:val="001B0847"/>
    <w:rsid w:val="001B1E93"/>
    <w:rsid w:val="001B65C1"/>
    <w:rsid w:val="001C0B31"/>
    <w:rsid w:val="001C4B76"/>
    <w:rsid w:val="001C684B"/>
    <w:rsid w:val="001D0CFB"/>
    <w:rsid w:val="001D21AF"/>
    <w:rsid w:val="001D53FC"/>
    <w:rsid w:val="001D68D6"/>
    <w:rsid w:val="001F42A5"/>
    <w:rsid w:val="001F7B9D"/>
    <w:rsid w:val="00201C93"/>
    <w:rsid w:val="002224B4"/>
    <w:rsid w:val="002348A5"/>
    <w:rsid w:val="002447EF"/>
    <w:rsid w:val="00251550"/>
    <w:rsid w:val="002578E1"/>
    <w:rsid w:val="00263B05"/>
    <w:rsid w:val="0027221A"/>
    <w:rsid w:val="00275B61"/>
    <w:rsid w:val="00275E3C"/>
    <w:rsid w:val="00280FAF"/>
    <w:rsid w:val="00282656"/>
    <w:rsid w:val="00294772"/>
    <w:rsid w:val="00296B83"/>
    <w:rsid w:val="002A746C"/>
    <w:rsid w:val="002B4015"/>
    <w:rsid w:val="002B45B0"/>
    <w:rsid w:val="002B78CE"/>
    <w:rsid w:val="002C06A2"/>
    <w:rsid w:val="002C269A"/>
    <w:rsid w:val="002C2FB6"/>
    <w:rsid w:val="002E5FA7"/>
    <w:rsid w:val="002F3309"/>
    <w:rsid w:val="002F60A9"/>
    <w:rsid w:val="002F6DD7"/>
    <w:rsid w:val="003008CE"/>
    <w:rsid w:val="003009B7"/>
    <w:rsid w:val="00300E56"/>
    <w:rsid w:val="0030469C"/>
    <w:rsid w:val="00321CA6"/>
    <w:rsid w:val="00323763"/>
    <w:rsid w:val="00334C09"/>
    <w:rsid w:val="00343F3C"/>
    <w:rsid w:val="00367B13"/>
    <w:rsid w:val="003706A7"/>
    <w:rsid w:val="003723D4"/>
    <w:rsid w:val="003749CB"/>
    <w:rsid w:val="00375BA6"/>
    <w:rsid w:val="00380E72"/>
    <w:rsid w:val="00381905"/>
    <w:rsid w:val="0038335E"/>
    <w:rsid w:val="00384CC8"/>
    <w:rsid w:val="003871FD"/>
    <w:rsid w:val="003A1E30"/>
    <w:rsid w:val="003A2829"/>
    <w:rsid w:val="003A7D1C"/>
    <w:rsid w:val="003B304B"/>
    <w:rsid w:val="003B30D3"/>
    <w:rsid w:val="003B3146"/>
    <w:rsid w:val="003C2745"/>
    <w:rsid w:val="003E58E5"/>
    <w:rsid w:val="003F015E"/>
    <w:rsid w:val="003F02AD"/>
    <w:rsid w:val="003F6486"/>
    <w:rsid w:val="00400414"/>
    <w:rsid w:val="0040290A"/>
    <w:rsid w:val="0041364C"/>
    <w:rsid w:val="0041446B"/>
    <w:rsid w:val="0042738F"/>
    <w:rsid w:val="004340E2"/>
    <w:rsid w:val="0044071E"/>
    <w:rsid w:val="0044329C"/>
    <w:rsid w:val="00453E24"/>
    <w:rsid w:val="00456F27"/>
    <w:rsid w:val="00457456"/>
    <w:rsid w:val="004577FE"/>
    <w:rsid w:val="00457B9C"/>
    <w:rsid w:val="00460518"/>
    <w:rsid w:val="0046164A"/>
    <w:rsid w:val="004628D2"/>
    <w:rsid w:val="00462DCD"/>
    <w:rsid w:val="004648AD"/>
    <w:rsid w:val="004703A9"/>
    <w:rsid w:val="004760DE"/>
    <w:rsid w:val="004763D7"/>
    <w:rsid w:val="00483FAE"/>
    <w:rsid w:val="004A004E"/>
    <w:rsid w:val="004A24CF"/>
    <w:rsid w:val="004A3A49"/>
    <w:rsid w:val="004C3D1D"/>
    <w:rsid w:val="004C7913"/>
    <w:rsid w:val="004D1CB6"/>
    <w:rsid w:val="004E26BD"/>
    <w:rsid w:val="004E4DD6"/>
    <w:rsid w:val="004E5817"/>
    <w:rsid w:val="004F1A78"/>
    <w:rsid w:val="004F2165"/>
    <w:rsid w:val="004F4620"/>
    <w:rsid w:val="004F5E36"/>
    <w:rsid w:val="0050259B"/>
    <w:rsid w:val="00505D8C"/>
    <w:rsid w:val="00507B47"/>
    <w:rsid w:val="00507BEF"/>
    <w:rsid w:val="00507CC9"/>
    <w:rsid w:val="005119A5"/>
    <w:rsid w:val="00514080"/>
    <w:rsid w:val="005278B7"/>
    <w:rsid w:val="00532016"/>
    <w:rsid w:val="005346C8"/>
    <w:rsid w:val="00543E7D"/>
    <w:rsid w:val="005477DA"/>
    <w:rsid w:val="00547A68"/>
    <w:rsid w:val="005531C9"/>
    <w:rsid w:val="00570C43"/>
    <w:rsid w:val="005A0B44"/>
    <w:rsid w:val="005A2DF3"/>
    <w:rsid w:val="005A4DC0"/>
    <w:rsid w:val="005A5169"/>
    <w:rsid w:val="005B2110"/>
    <w:rsid w:val="005B61E6"/>
    <w:rsid w:val="005C0063"/>
    <w:rsid w:val="005C40D3"/>
    <w:rsid w:val="005C5D00"/>
    <w:rsid w:val="005C77E1"/>
    <w:rsid w:val="005D668A"/>
    <w:rsid w:val="005D6A2F"/>
    <w:rsid w:val="005E15D5"/>
    <w:rsid w:val="005E1A82"/>
    <w:rsid w:val="005E5CB3"/>
    <w:rsid w:val="005E794C"/>
    <w:rsid w:val="005E7D27"/>
    <w:rsid w:val="005F0A28"/>
    <w:rsid w:val="005F0E5E"/>
    <w:rsid w:val="00600535"/>
    <w:rsid w:val="00603EB6"/>
    <w:rsid w:val="00610CD6"/>
    <w:rsid w:val="00620DEE"/>
    <w:rsid w:val="00621F3F"/>
    <w:rsid w:val="00621F92"/>
    <w:rsid w:val="0062280A"/>
    <w:rsid w:val="00625639"/>
    <w:rsid w:val="0063105C"/>
    <w:rsid w:val="00631B33"/>
    <w:rsid w:val="006339E7"/>
    <w:rsid w:val="0064184D"/>
    <w:rsid w:val="006422CC"/>
    <w:rsid w:val="00644021"/>
    <w:rsid w:val="00660E3E"/>
    <w:rsid w:val="00662E74"/>
    <w:rsid w:val="00663CBF"/>
    <w:rsid w:val="0067064E"/>
    <w:rsid w:val="00680C23"/>
    <w:rsid w:val="006836F2"/>
    <w:rsid w:val="00693766"/>
    <w:rsid w:val="00693EE0"/>
    <w:rsid w:val="0069731E"/>
    <w:rsid w:val="006A1378"/>
    <w:rsid w:val="006A23F4"/>
    <w:rsid w:val="006A3281"/>
    <w:rsid w:val="006B4888"/>
    <w:rsid w:val="006B58AA"/>
    <w:rsid w:val="006C2E45"/>
    <w:rsid w:val="006C359C"/>
    <w:rsid w:val="006C5579"/>
    <w:rsid w:val="006D0C34"/>
    <w:rsid w:val="006D6233"/>
    <w:rsid w:val="006D6E8B"/>
    <w:rsid w:val="006D6EB4"/>
    <w:rsid w:val="006E0C67"/>
    <w:rsid w:val="006E1E60"/>
    <w:rsid w:val="006E737D"/>
    <w:rsid w:val="006E7BE6"/>
    <w:rsid w:val="006F2C9B"/>
    <w:rsid w:val="006F617E"/>
    <w:rsid w:val="00701D18"/>
    <w:rsid w:val="007123C0"/>
    <w:rsid w:val="00713973"/>
    <w:rsid w:val="007156A5"/>
    <w:rsid w:val="007171D5"/>
    <w:rsid w:val="00720A24"/>
    <w:rsid w:val="00732386"/>
    <w:rsid w:val="007330CD"/>
    <w:rsid w:val="0073514D"/>
    <w:rsid w:val="00736E6A"/>
    <w:rsid w:val="007447F3"/>
    <w:rsid w:val="0075499F"/>
    <w:rsid w:val="007661C8"/>
    <w:rsid w:val="0077098D"/>
    <w:rsid w:val="00771B1F"/>
    <w:rsid w:val="00777B6C"/>
    <w:rsid w:val="00791014"/>
    <w:rsid w:val="007931FA"/>
    <w:rsid w:val="007A0F7C"/>
    <w:rsid w:val="007A4861"/>
    <w:rsid w:val="007A78E8"/>
    <w:rsid w:val="007A7BBA"/>
    <w:rsid w:val="007A7E2B"/>
    <w:rsid w:val="007B0C50"/>
    <w:rsid w:val="007B48F9"/>
    <w:rsid w:val="007C1A43"/>
    <w:rsid w:val="007D14D7"/>
    <w:rsid w:val="007E175F"/>
    <w:rsid w:val="007F084D"/>
    <w:rsid w:val="0080013E"/>
    <w:rsid w:val="00813288"/>
    <w:rsid w:val="008168FC"/>
    <w:rsid w:val="008173BE"/>
    <w:rsid w:val="00817CA9"/>
    <w:rsid w:val="00830996"/>
    <w:rsid w:val="00834509"/>
    <w:rsid w:val="008345F1"/>
    <w:rsid w:val="0083551F"/>
    <w:rsid w:val="0084035D"/>
    <w:rsid w:val="0084054F"/>
    <w:rsid w:val="00865B07"/>
    <w:rsid w:val="008667EA"/>
    <w:rsid w:val="00867CFC"/>
    <w:rsid w:val="0087637F"/>
    <w:rsid w:val="00877B9D"/>
    <w:rsid w:val="00882D45"/>
    <w:rsid w:val="00892AD5"/>
    <w:rsid w:val="00897F38"/>
    <w:rsid w:val="008A1512"/>
    <w:rsid w:val="008A71BE"/>
    <w:rsid w:val="008B1309"/>
    <w:rsid w:val="008B1400"/>
    <w:rsid w:val="008C507B"/>
    <w:rsid w:val="008D32B9"/>
    <w:rsid w:val="008D433B"/>
    <w:rsid w:val="008E566E"/>
    <w:rsid w:val="008E5A45"/>
    <w:rsid w:val="00900F9A"/>
    <w:rsid w:val="0090161A"/>
    <w:rsid w:val="00901EB6"/>
    <w:rsid w:val="00904C62"/>
    <w:rsid w:val="00906019"/>
    <w:rsid w:val="009107FB"/>
    <w:rsid w:val="00922306"/>
    <w:rsid w:val="00922BA8"/>
    <w:rsid w:val="00924DAC"/>
    <w:rsid w:val="00927058"/>
    <w:rsid w:val="00942750"/>
    <w:rsid w:val="009450CE"/>
    <w:rsid w:val="00947179"/>
    <w:rsid w:val="009507FC"/>
    <w:rsid w:val="0095164B"/>
    <w:rsid w:val="00954090"/>
    <w:rsid w:val="009573E7"/>
    <w:rsid w:val="009617F7"/>
    <w:rsid w:val="00963E05"/>
    <w:rsid w:val="00964A45"/>
    <w:rsid w:val="0096644B"/>
    <w:rsid w:val="00966D01"/>
    <w:rsid w:val="00967843"/>
    <w:rsid w:val="00967D54"/>
    <w:rsid w:val="00971028"/>
    <w:rsid w:val="009812E8"/>
    <w:rsid w:val="00993B84"/>
    <w:rsid w:val="00996483"/>
    <w:rsid w:val="00996F5A"/>
    <w:rsid w:val="009A7FB2"/>
    <w:rsid w:val="009B041A"/>
    <w:rsid w:val="009B0820"/>
    <w:rsid w:val="009C37C3"/>
    <w:rsid w:val="009C6D38"/>
    <w:rsid w:val="009C7C86"/>
    <w:rsid w:val="009D2FF7"/>
    <w:rsid w:val="009E7884"/>
    <w:rsid w:val="009E788A"/>
    <w:rsid w:val="009F006F"/>
    <w:rsid w:val="009F08A5"/>
    <w:rsid w:val="009F0E08"/>
    <w:rsid w:val="009F6081"/>
    <w:rsid w:val="00A00422"/>
    <w:rsid w:val="00A1763D"/>
    <w:rsid w:val="00A17CEC"/>
    <w:rsid w:val="00A22041"/>
    <w:rsid w:val="00A25999"/>
    <w:rsid w:val="00A27EF0"/>
    <w:rsid w:val="00A362FD"/>
    <w:rsid w:val="00A36F08"/>
    <w:rsid w:val="00A42361"/>
    <w:rsid w:val="00A50B20"/>
    <w:rsid w:val="00A51390"/>
    <w:rsid w:val="00A60D13"/>
    <w:rsid w:val="00A61088"/>
    <w:rsid w:val="00A61D6A"/>
    <w:rsid w:val="00A6561B"/>
    <w:rsid w:val="00A72745"/>
    <w:rsid w:val="00A72DCA"/>
    <w:rsid w:val="00A746CB"/>
    <w:rsid w:val="00A76EFC"/>
    <w:rsid w:val="00A91010"/>
    <w:rsid w:val="00A95E9A"/>
    <w:rsid w:val="00A97F29"/>
    <w:rsid w:val="00AA5409"/>
    <w:rsid w:val="00AA702E"/>
    <w:rsid w:val="00AB0964"/>
    <w:rsid w:val="00AB10E4"/>
    <w:rsid w:val="00AB1433"/>
    <w:rsid w:val="00AB45BC"/>
    <w:rsid w:val="00AB5011"/>
    <w:rsid w:val="00AC2778"/>
    <w:rsid w:val="00AC7368"/>
    <w:rsid w:val="00AD16B9"/>
    <w:rsid w:val="00AD5DD2"/>
    <w:rsid w:val="00AE377D"/>
    <w:rsid w:val="00AE713E"/>
    <w:rsid w:val="00AF0EBA"/>
    <w:rsid w:val="00AF2E9F"/>
    <w:rsid w:val="00AF6373"/>
    <w:rsid w:val="00B02C8A"/>
    <w:rsid w:val="00B100F3"/>
    <w:rsid w:val="00B10618"/>
    <w:rsid w:val="00B14F80"/>
    <w:rsid w:val="00B17211"/>
    <w:rsid w:val="00B17FBD"/>
    <w:rsid w:val="00B2187A"/>
    <w:rsid w:val="00B315A6"/>
    <w:rsid w:val="00B31813"/>
    <w:rsid w:val="00B33365"/>
    <w:rsid w:val="00B370BE"/>
    <w:rsid w:val="00B50833"/>
    <w:rsid w:val="00B57B36"/>
    <w:rsid w:val="00B57E6F"/>
    <w:rsid w:val="00B8206C"/>
    <w:rsid w:val="00B8686D"/>
    <w:rsid w:val="00B93F69"/>
    <w:rsid w:val="00BA0EF6"/>
    <w:rsid w:val="00BA159E"/>
    <w:rsid w:val="00BA3B01"/>
    <w:rsid w:val="00BB0768"/>
    <w:rsid w:val="00BB1DDC"/>
    <w:rsid w:val="00BB3DEC"/>
    <w:rsid w:val="00BB6597"/>
    <w:rsid w:val="00BC30C9"/>
    <w:rsid w:val="00BD040C"/>
    <w:rsid w:val="00BD077D"/>
    <w:rsid w:val="00BD33F8"/>
    <w:rsid w:val="00BE3E58"/>
    <w:rsid w:val="00C01616"/>
    <w:rsid w:val="00C0162B"/>
    <w:rsid w:val="00C068ED"/>
    <w:rsid w:val="00C10E62"/>
    <w:rsid w:val="00C22E0C"/>
    <w:rsid w:val="00C27396"/>
    <w:rsid w:val="00C345B1"/>
    <w:rsid w:val="00C40142"/>
    <w:rsid w:val="00C52C3C"/>
    <w:rsid w:val="00C57182"/>
    <w:rsid w:val="00C57863"/>
    <w:rsid w:val="00C655FD"/>
    <w:rsid w:val="00C72E4A"/>
    <w:rsid w:val="00C74FA9"/>
    <w:rsid w:val="00C75407"/>
    <w:rsid w:val="00C870A8"/>
    <w:rsid w:val="00C90B4D"/>
    <w:rsid w:val="00C90F82"/>
    <w:rsid w:val="00C938CA"/>
    <w:rsid w:val="00C94434"/>
    <w:rsid w:val="00C97F29"/>
    <w:rsid w:val="00CA0D75"/>
    <w:rsid w:val="00CA1C95"/>
    <w:rsid w:val="00CA2855"/>
    <w:rsid w:val="00CA5A9C"/>
    <w:rsid w:val="00CA5BF9"/>
    <w:rsid w:val="00CB08A2"/>
    <w:rsid w:val="00CB7E5F"/>
    <w:rsid w:val="00CC4C20"/>
    <w:rsid w:val="00CD3517"/>
    <w:rsid w:val="00CD5FE2"/>
    <w:rsid w:val="00CE7C68"/>
    <w:rsid w:val="00CF6186"/>
    <w:rsid w:val="00D02B4C"/>
    <w:rsid w:val="00D040C4"/>
    <w:rsid w:val="00D14801"/>
    <w:rsid w:val="00D23A1E"/>
    <w:rsid w:val="00D348E2"/>
    <w:rsid w:val="00D40AEE"/>
    <w:rsid w:val="00D43645"/>
    <w:rsid w:val="00D46B7E"/>
    <w:rsid w:val="00D57C84"/>
    <w:rsid w:val="00D6057D"/>
    <w:rsid w:val="00D64410"/>
    <w:rsid w:val="00D71640"/>
    <w:rsid w:val="00D81A07"/>
    <w:rsid w:val="00D836C5"/>
    <w:rsid w:val="00D84576"/>
    <w:rsid w:val="00DA1399"/>
    <w:rsid w:val="00DA24C6"/>
    <w:rsid w:val="00DA47C7"/>
    <w:rsid w:val="00DA4D7B"/>
    <w:rsid w:val="00DB5958"/>
    <w:rsid w:val="00DC5AB2"/>
    <w:rsid w:val="00DE264A"/>
    <w:rsid w:val="00DE6DF3"/>
    <w:rsid w:val="00DF3B57"/>
    <w:rsid w:val="00DF4607"/>
    <w:rsid w:val="00DF5072"/>
    <w:rsid w:val="00DF5265"/>
    <w:rsid w:val="00E02D18"/>
    <w:rsid w:val="00E041E7"/>
    <w:rsid w:val="00E062B0"/>
    <w:rsid w:val="00E12171"/>
    <w:rsid w:val="00E16FF9"/>
    <w:rsid w:val="00E23CA1"/>
    <w:rsid w:val="00E27826"/>
    <w:rsid w:val="00E27BF5"/>
    <w:rsid w:val="00E3015E"/>
    <w:rsid w:val="00E33091"/>
    <w:rsid w:val="00E406E4"/>
    <w:rsid w:val="00E4098D"/>
    <w:rsid w:val="00E409A8"/>
    <w:rsid w:val="00E42214"/>
    <w:rsid w:val="00E42591"/>
    <w:rsid w:val="00E44F34"/>
    <w:rsid w:val="00E50C12"/>
    <w:rsid w:val="00E53CA6"/>
    <w:rsid w:val="00E56B6B"/>
    <w:rsid w:val="00E6470C"/>
    <w:rsid w:val="00E65B91"/>
    <w:rsid w:val="00E70038"/>
    <w:rsid w:val="00E7209D"/>
    <w:rsid w:val="00E72EAD"/>
    <w:rsid w:val="00E77223"/>
    <w:rsid w:val="00E8528B"/>
    <w:rsid w:val="00E85B94"/>
    <w:rsid w:val="00E9113D"/>
    <w:rsid w:val="00E94704"/>
    <w:rsid w:val="00E978D0"/>
    <w:rsid w:val="00EA4613"/>
    <w:rsid w:val="00EA7F91"/>
    <w:rsid w:val="00EB1523"/>
    <w:rsid w:val="00EB7A06"/>
    <w:rsid w:val="00EC0875"/>
    <w:rsid w:val="00EC0E49"/>
    <w:rsid w:val="00EC101F"/>
    <w:rsid w:val="00EC1D9F"/>
    <w:rsid w:val="00ED0207"/>
    <w:rsid w:val="00EE0131"/>
    <w:rsid w:val="00EE0A97"/>
    <w:rsid w:val="00EE17B0"/>
    <w:rsid w:val="00EE619C"/>
    <w:rsid w:val="00EE751E"/>
    <w:rsid w:val="00EF06D9"/>
    <w:rsid w:val="00F0263D"/>
    <w:rsid w:val="00F04C07"/>
    <w:rsid w:val="00F11302"/>
    <w:rsid w:val="00F123C6"/>
    <w:rsid w:val="00F21F81"/>
    <w:rsid w:val="00F24831"/>
    <w:rsid w:val="00F24A5B"/>
    <w:rsid w:val="00F30C64"/>
    <w:rsid w:val="00F32BA2"/>
    <w:rsid w:val="00F32CDB"/>
    <w:rsid w:val="00F444DA"/>
    <w:rsid w:val="00F55F9D"/>
    <w:rsid w:val="00F565FE"/>
    <w:rsid w:val="00F61093"/>
    <w:rsid w:val="00F61C2D"/>
    <w:rsid w:val="00F63A70"/>
    <w:rsid w:val="00F66758"/>
    <w:rsid w:val="00F67434"/>
    <w:rsid w:val="00F7534E"/>
    <w:rsid w:val="00F76842"/>
    <w:rsid w:val="00F83586"/>
    <w:rsid w:val="00F83ED9"/>
    <w:rsid w:val="00F91858"/>
    <w:rsid w:val="00F91A45"/>
    <w:rsid w:val="00FA1802"/>
    <w:rsid w:val="00FA21D0"/>
    <w:rsid w:val="00FA5F39"/>
    <w:rsid w:val="00FA5F5F"/>
    <w:rsid w:val="00FB730C"/>
    <w:rsid w:val="00FC2695"/>
    <w:rsid w:val="00FC3E03"/>
    <w:rsid w:val="00FC3FC1"/>
    <w:rsid w:val="00FC6C7E"/>
    <w:rsid w:val="00FE2798"/>
    <w:rsid w:val="00FE47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5979E6E-6BED-4D87-893E-64BD9CE8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unhideWhenUsed/>
    <w:rsid w:val="0003148D"/>
    <w:pPr>
      <w:spacing w:after="120"/>
    </w:pPr>
  </w:style>
  <w:style w:type="character" w:customStyle="1" w:styleId="BodyTextChar">
    <w:name w:val="Body Text Char"/>
    <w:basedOn w:val="DefaultParagraphFont"/>
    <w:link w:val="BodyText"/>
    <w:uiPriority w:val="99"/>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styleId="Emphasis">
    <w:name w:val="Emphasis"/>
    <w:basedOn w:val="DefaultParagraphFont"/>
    <w:uiPriority w:val="20"/>
    <w:qFormat/>
    <w:rsid w:val="00E27BF5"/>
    <w:rPr>
      <w:i/>
      <w:iCs/>
    </w:rPr>
  </w:style>
  <w:style w:type="paragraph" w:customStyle="1" w:styleId="references">
    <w:name w:val="references"/>
    <w:rsid w:val="009C6D38"/>
    <w:pPr>
      <w:numPr>
        <w:numId w:val="23"/>
      </w:numPr>
      <w:spacing w:after="50" w:line="180" w:lineRule="exact"/>
      <w:jc w:val="both"/>
    </w:pPr>
    <w:rPr>
      <w:rFonts w:ascii="Times New Roman" w:eastAsia="MS Mincho" w:hAnsi="Times New Roman" w:cs="Times New Roman"/>
      <w:noProof/>
      <w:sz w:val="16"/>
      <w:szCs w:val="16"/>
      <w:lang w:val="en-US"/>
    </w:rPr>
  </w:style>
  <w:style w:type="character" w:customStyle="1" w:styleId="1">
    <w:name w:val="Неразрешенное упоминание1"/>
    <w:basedOn w:val="DefaultParagraphFont"/>
    <w:uiPriority w:val="99"/>
    <w:semiHidden/>
    <w:unhideWhenUsed/>
    <w:rsid w:val="007123C0"/>
    <w:rPr>
      <w:color w:val="605E5C"/>
      <w:shd w:val="clear" w:color="auto" w:fill="E1DFDD"/>
    </w:rPr>
  </w:style>
  <w:style w:type="character" w:styleId="UnresolvedMention">
    <w:name w:val="Unresolved Mention"/>
    <w:basedOn w:val="DefaultParagraphFont"/>
    <w:uiPriority w:val="99"/>
    <w:semiHidden/>
    <w:unhideWhenUsed/>
    <w:rsid w:val="008C507B"/>
    <w:rPr>
      <w:color w:val="605E5C"/>
      <w:shd w:val="clear" w:color="auto" w:fill="E1DFDD"/>
    </w:rPr>
  </w:style>
  <w:style w:type="paragraph" w:styleId="Revision">
    <w:name w:val="Revision"/>
    <w:hidden/>
    <w:uiPriority w:val="99"/>
    <w:semiHidden/>
    <w:rsid w:val="00C90B4D"/>
    <w:pPr>
      <w:spacing w:after="0" w:line="240" w:lineRule="auto"/>
    </w:pPr>
    <w:rPr>
      <w:rFonts w:ascii="Arial" w:eastAsia="Times New Roman" w:hAnsi="Arial" w:cs="Times New Roman"/>
      <w:sz w:val="18"/>
      <w:szCs w:val="20"/>
      <w:lang w:val="en-GB"/>
    </w:rPr>
  </w:style>
  <w:style w:type="character" w:styleId="LineNumber">
    <w:name w:val="line number"/>
    <w:basedOn w:val="DefaultParagraphFont"/>
    <w:uiPriority w:val="99"/>
    <w:semiHidden/>
    <w:unhideWhenUsed/>
    <w:rsid w:val="00380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9275">
      <w:bodyDiv w:val="1"/>
      <w:marLeft w:val="0"/>
      <w:marRight w:val="0"/>
      <w:marTop w:val="0"/>
      <w:marBottom w:val="0"/>
      <w:divBdr>
        <w:top w:val="none" w:sz="0" w:space="0" w:color="auto"/>
        <w:left w:val="none" w:sz="0" w:space="0" w:color="auto"/>
        <w:bottom w:val="none" w:sz="0" w:space="0" w:color="auto"/>
        <w:right w:val="none" w:sz="0" w:space="0" w:color="auto"/>
      </w:divBdr>
    </w:div>
    <w:div w:id="623274588">
      <w:bodyDiv w:val="1"/>
      <w:marLeft w:val="0"/>
      <w:marRight w:val="0"/>
      <w:marTop w:val="0"/>
      <w:marBottom w:val="0"/>
      <w:divBdr>
        <w:top w:val="none" w:sz="0" w:space="0" w:color="auto"/>
        <w:left w:val="none" w:sz="0" w:space="0" w:color="auto"/>
        <w:bottom w:val="none" w:sz="0" w:space="0" w:color="auto"/>
        <w:right w:val="none" w:sz="0" w:space="0" w:color="auto"/>
      </w:divBdr>
      <w:divsChild>
        <w:div w:id="1431898389">
          <w:marLeft w:val="0"/>
          <w:marRight w:val="0"/>
          <w:marTop w:val="0"/>
          <w:marBottom w:val="0"/>
          <w:divBdr>
            <w:top w:val="none" w:sz="0" w:space="0" w:color="auto"/>
            <w:left w:val="none" w:sz="0" w:space="0" w:color="auto"/>
            <w:bottom w:val="none" w:sz="0" w:space="0" w:color="auto"/>
            <w:right w:val="none" w:sz="0" w:space="0" w:color="auto"/>
          </w:divBdr>
          <w:divsChild>
            <w:div w:id="829445854">
              <w:marLeft w:val="0"/>
              <w:marRight w:val="0"/>
              <w:marTop w:val="0"/>
              <w:marBottom w:val="0"/>
              <w:divBdr>
                <w:top w:val="none" w:sz="0" w:space="0" w:color="auto"/>
                <w:left w:val="none" w:sz="0" w:space="0" w:color="auto"/>
                <w:bottom w:val="none" w:sz="0" w:space="0" w:color="auto"/>
                <w:right w:val="none" w:sz="0" w:space="0" w:color="auto"/>
              </w:divBdr>
            </w:div>
            <w:div w:id="913708369">
              <w:marLeft w:val="0"/>
              <w:marRight w:val="0"/>
              <w:marTop w:val="0"/>
              <w:marBottom w:val="0"/>
              <w:divBdr>
                <w:top w:val="none" w:sz="0" w:space="0" w:color="auto"/>
                <w:left w:val="none" w:sz="0" w:space="0" w:color="auto"/>
                <w:bottom w:val="none" w:sz="0" w:space="0" w:color="auto"/>
                <w:right w:val="none" w:sz="0" w:space="0" w:color="auto"/>
              </w:divBdr>
            </w:div>
          </w:divsChild>
        </w:div>
        <w:div w:id="649142165">
          <w:marLeft w:val="0"/>
          <w:marRight w:val="0"/>
          <w:marTop w:val="100"/>
          <w:marBottom w:val="0"/>
          <w:divBdr>
            <w:top w:val="none" w:sz="0" w:space="0" w:color="auto"/>
            <w:left w:val="none" w:sz="0" w:space="0" w:color="auto"/>
            <w:bottom w:val="none" w:sz="0" w:space="0" w:color="auto"/>
            <w:right w:val="none" w:sz="0" w:space="0" w:color="auto"/>
          </w:divBdr>
          <w:divsChild>
            <w:div w:id="1491562478">
              <w:marLeft w:val="0"/>
              <w:marRight w:val="0"/>
              <w:marTop w:val="0"/>
              <w:marBottom w:val="0"/>
              <w:divBdr>
                <w:top w:val="none" w:sz="0" w:space="0" w:color="auto"/>
                <w:left w:val="none" w:sz="0" w:space="0" w:color="auto"/>
                <w:bottom w:val="none" w:sz="0" w:space="0" w:color="auto"/>
                <w:right w:val="none" w:sz="0" w:space="0" w:color="auto"/>
              </w:divBdr>
              <w:divsChild>
                <w:div w:id="610360082">
                  <w:marLeft w:val="0"/>
                  <w:marRight w:val="0"/>
                  <w:marTop w:val="0"/>
                  <w:marBottom w:val="0"/>
                  <w:divBdr>
                    <w:top w:val="none" w:sz="0" w:space="0" w:color="auto"/>
                    <w:left w:val="none" w:sz="0" w:space="0" w:color="auto"/>
                    <w:bottom w:val="none" w:sz="0" w:space="0" w:color="auto"/>
                    <w:right w:val="none" w:sz="0" w:space="0" w:color="auto"/>
                  </w:divBdr>
                  <w:divsChild>
                    <w:div w:id="1856189908">
                      <w:marLeft w:val="0"/>
                      <w:marRight w:val="0"/>
                      <w:marTop w:val="0"/>
                      <w:marBottom w:val="0"/>
                      <w:divBdr>
                        <w:top w:val="none" w:sz="0" w:space="0" w:color="auto"/>
                        <w:left w:val="none" w:sz="0" w:space="0" w:color="auto"/>
                        <w:bottom w:val="none" w:sz="0" w:space="0" w:color="auto"/>
                        <w:right w:val="none" w:sz="0" w:space="0" w:color="auto"/>
                      </w:divBdr>
                      <w:divsChild>
                        <w:div w:id="20224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92289">
          <w:marLeft w:val="0"/>
          <w:marRight w:val="0"/>
          <w:marTop w:val="0"/>
          <w:marBottom w:val="0"/>
          <w:divBdr>
            <w:top w:val="none" w:sz="0" w:space="0" w:color="auto"/>
            <w:left w:val="none" w:sz="0" w:space="0" w:color="auto"/>
            <w:bottom w:val="none" w:sz="0" w:space="0" w:color="auto"/>
            <w:right w:val="none" w:sz="0" w:space="0" w:color="auto"/>
          </w:divBdr>
          <w:divsChild>
            <w:div w:id="510680655">
              <w:marLeft w:val="0"/>
              <w:marRight w:val="0"/>
              <w:marTop w:val="0"/>
              <w:marBottom w:val="0"/>
              <w:divBdr>
                <w:top w:val="none" w:sz="0" w:space="0" w:color="auto"/>
                <w:left w:val="none" w:sz="0" w:space="0" w:color="auto"/>
                <w:bottom w:val="none" w:sz="0" w:space="0" w:color="auto"/>
                <w:right w:val="none" w:sz="0" w:space="0" w:color="auto"/>
              </w:divBdr>
              <w:divsChild>
                <w:div w:id="8934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318437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088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57D23-B2CD-4DF1-B880-D2085A96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2844</Words>
  <Characters>16214</Characters>
  <Application>Microsoft Office Word</Application>
  <DocSecurity>0</DocSecurity>
  <Lines>135</Lines>
  <Paragraphs>38</Paragraphs>
  <ScaleCrop>false</ScaleCrop>
  <HeadingPairs>
    <vt:vector size="6" baseType="variant">
      <vt:variant>
        <vt:lpstr>Title</vt:lpstr>
      </vt:variant>
      <vt:variant>
        <vt:i4>1</vt:i4>
      </vt:variant>
      <vt:variant>
        <vt:lpstr>Название</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Beisekenov</dc:creator>
  <cp:lastModifiedBy>Petar Varbanov</cp:lastModifiedBy>
  <cp:revision>11</cp:revision>
  <cp:lastPrinted>2022-02-02T10:44:00Z</cp:lastPrinted>
  <dcterms:created xsi:type="dcterms:W3CDTF">2022-03-19T11:30:00Z</dcterms:created>
  <dcterms:modified xsi:type="dcterms:W3CDTF">2022-03-19T11:40:00Z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