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6CE52C7C" w:rsidR="000A03B2" w:rsidRPr="00B57B36" w:rsidRDefault="0014464F" w:rsidP="00180860">
            <w:pPr>
              <w:tabs>
                <w:tab w:val="left" w:pos="-108"/>
              </w:tabs>
              <w:spacing w:line="140" w:lineRule="atLeast"/>
              <w:ind w:left="-108"/>
              <w:jc w:val="left"/>
            </w:pPr>
            <w:r>
              <w:rPr>
                <w:rFonts w:ascii="Tahoma" w:hAnsi="Tahoma" w:cs="Tahoma"/>
                <w:iCs/>
                <w:color w:val="333333"/>
                <w:sz w:val="14"/>
                <w:szCs w:val="14"/>
                <w:lang w:eastAsia="it-IT"/>
              </w:rPr>
              <w:t xml:space="preserve">Copyright </w:t>
            </w:r>
            <w:proofErr w:type="gramStart"/>
            <w:r>
              <w:rPr>
                <w:rFonts w:ascii="Tahoma" w:hAnsi="Tahoma" w:cs="Tahoma"/>
                <w:iCs/>
                <w:color w:val="333333"/>
                <w:sz w:val="14"/>
                <w:szCs w:val="14"/>
                <w:lang w:eastAsia="it-IT"/>
              </w:rPr>
              <w:t xml:space="preserve">© </w:t>
            </w:r>
            <w:r w:rsidR="00904C62" w:rsidRPr="00B57B36">
              <w:rPr>
                <w:rFonts w:ascii="Tahoma" w:hAnsi="Tahoma" w:cs="Tahoma"/>
                <w:iCs/>
                <w:color w:val="333333"/>
                <w:sz w:val="14"/>
                <w:szCs w:val="14"/>
                <w:lang w:eastAsia="it-IT"/>
              </w:rPr>
              <w:t xml:space="preserve"> AIDIC</w:t>
            </w:r>
            <w:proofErr w:type="gramEnd"/>
            <w:r w:rsidR="00904C62" w:rsidRPr="00B57B36">
              <w:rPr>
                <w:rFonts w:ascii="Tahoma" w:hAnsi="Tahoma" w:cs="Tahoma"/>
                <w:iCs/>
                <w:color w:val="333333"/>
                <w:sz w:val="14"/>
                <w:szCs w:val="14"/>
                <w:lang w:eastAsia="it-IT"/>
              </w:rPr>
              <w:t xml:space="preserve"> Servizi S.r.l.</w:t>
            </w:r>
            <w:r w:rsidR="00300E56" w:rsidRPr="00B57B36">
              <w:rPr>
                <w:rFonts w:ascii="Tahoma" w:hAnsi="Tahoma" w:cs="Tahoma"/>
                <w:iCs/>
                <w:color w:val="333333"/>
                <w:sz w:val="14"/>
                <w:szCs w:val="14"/>
                <w:lang w:eastAsia="it-IT"/>
              </w:rPr>
              <w:br/>
            </w:r>
            <w:r w:rsidR="00180860" w:rsidRPr="00B57B36">
              <w:rPr>
                <w:rFonts w:ascii="Tahoma" w:hAnsi="Tahoma" w:cs="Tahoma"/>
                <w:b/>
                <w:iCs/>
                <w:color w:val="333333"/>
                <w:sz w:val="14"/>
                <w:szCs w:val="14"/>
                <w:lang w:eastAsia="it-IT"/>
              </w:rPr>
              <w:t>IS</w:t>
            </w:r>
            <w:r w:rsidR="00180860">
              <w:rPr>
                <w:rFonts w:ascii="Tahoma" w:hAnsi="Tahoma" w:cs="Tahoma"/>
                <w:b/>
                <w:iCs/>
                <w:color w:val="333333"/>
                <w:sz w:val="14"/>
                <w:szCs w:val="14"/>
                <w:lang w:eastAsia="it-IT"/>
              </w:rPr>
              <w:t xml:space="preserve">BN </w:t>
            </w:r>
            <w:r w:rsidR="00180860" w:rsidRPr="00D642A9">
              <w:rPr>
                <w:rFonts w:ascii="Tahoma" w:hAnsi="Tahoma" w:cs="Tahoma"/>
                <w:sz w:val="14"/>
                <w:szCs w:val="14"/>
                <w:lang w:val="en-US"/>
              </w:rPr>
              <w:t>978-88-95608</w:t>
            </w:r>
            <w:r w:rsidR="00180860">
              <w:rPr>
                <w:rFonts w:ascii="Tahoma" w:hAnsi="Tahoma" w:cs="Tahoma"/>
                <w:sz w:val="14"/>
                <w:szCs w:val="14"/>
                <w:lang w:val="en-US"/>
              </w:rPr>
              <w:t xml:space="preserve">-xx-x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77AA26C9" w:rsidR="00E978D0" w:rsidRPr="00B57B36" w:rsidRDefault="007103E5" w:rsidP="00E978D0">
      <w:pPr>
        <w:pStyle w:val="CETTitle"/>
      </w:pPr>
      <w:r>
        <w:rPr>
          <w:b/>
          <w:sz w:val="28"/>
          <w:lang w:val="en-US"/>
        </w:rPr>
        <w:t>Advanced p</w:t>
      </w:r>
      <w:r w:rsidRPr="000D1A03">
        <w:rPr>
          <w:b/>
          <w:sz w:val="28"/>
          <w:lang w:val="en-US"/>
        </w:rPr>
        <w:t xml:space="preserve">orous particle model </w:t>
      </w:r>
      <w:r>
        <w:rPr>
          <w:b/>
          <w:sz w:val="28"/>
          <w:lang w:val="en-US"/>
        </w:rPr>
        <w:t>in</w:t>
      </w:r>
      <w:r w:rsidRPr="000D1A03">
        <w:rPr>
          <w:b/>
          <w:sz w:val="28"/>
          <w:lang w:val="en-US"/>
        </w:rPr>
        <w:t xml:space="preserve"> biomass pyrolysis</w:t>
      </w:r>
    </w:p>
    <w:p w14:paraId="2B3CA35C" w14:textId="779ADAB6" w:rsidR="00E978D0" w:rsidRPr="00B57B36" w:rsidRDefault="007103E5" w:rsidP="00AB5011">
      <w:pPr>
        <w:pStyle w:val="CETAuthors"/>
      </w:pPr>
      <w:r>
        <w:t>Andrea Dernbecher</w:t>
      </w:r>
      <w:r w:rsidRPr="00B57B36">
        <w:t>*</w:t>
      </w:r>
      <w:r w:rsidR="00600535" w:rsidRPr="00B57B36">
        <w:t xml:space="preserve">, </w:t>
      </w:r>
      <w:r w:rsidRPr="007103E5">
        <w:t>Alba Dieguez-Alonso</w:t>
      </w:r>
    </w:p>
    <w:p w14:paraId="5053C5A8" w14:textId="1B0992C9" w:rsidR="00E978D0" w:rsidRPr="00B57B36" w:rsidRDefault="007103E5" w:rsidP="00E978D0">
      <w:pPr>
        <w:pStyle w:val="CETAddress"/>
      </w:pPr>
      <w:r w:rsidRPr="007103E5">
        <w:t>Institute of Fluid Dynamics and Thermodynamics, Faculty of Process and Systems Engineering, Otto-von-Guericke Universität Magdeburg, Universitätsplatz 2, Magdeburg, DE-39106, Germany</w:t>
      </w:r>
      <w:r w:rsidR="00E978D0" w:rsidRPr="00B57B36">
        <w:t xml:space="preserve"> </w:t>
      </w:r>
    </w:p>
    <w:p w14:paraId="0127A28D" w14:textId="0E529B82" w:rsidR="00E978D0" w:rsidRPr="00B57B36" w:rsidRDefault="007103E5" w:rsidP="00E978D0">
      <w:pPr>
        <w:pStyle w:val="CETemail"/>
      </w:pPr>
      <w:r w:rsidRPr="007103E5">
        <w:t>andrea.dernbecher@ovgu.de</w:t>
      </w:r>
    </w:p>
    <w:p w14:paraId="738D3817" w14:textId="30E4FF7D" w:rsidR="00DA681B" w:rsidRDefault="00F074AA" w:rsidP="001544DD">
      <w:pPr>
        <w:pStyle w:val="CETListbullets"/>
        <w:ind w:left="0" w:firstLine="0"/>
      </w:pPr>
      <w:r>
        <w:t>In order to decrease anthropogenic CO</w:t>
      </w:r>
      <w:r w:rsidRPr="00666BFD">
        <w:rPr>
          <w:vertAlign w:val="subscript"/>
        </w:rPr>
        <w:t>2</w:t>
      </w:r>
      <w:r>
        <w:t xml:space="preserve"> emissions and to become independent from fossil resources, one alternative for energy generation and production of platform-chemicals is the usage of biomass. There are multiple process routes for the exploitation of biomass for energetic or material usage. For biomass with low water content, thermo-chemical conversion such as pyrolysis, gasification or combustion is the preferred treatment to gain energy or material products.</w:t>
      </w:r>
      <w:r w:rsidR="006242A9">
        <w:t xml:space="preserve"> The challenges in this field </w:t>
      </w:r>
      <w:r w:rsidR="00436A2A">
        <w:t xml:space="preserve">are to reduce unwanted emission of pollutants from the conversion process and to design devices that </w:t>
      </w:r>
      <w:r w:rsidR="00E2193D">
        <w:t>achieve</w:t>
      </w:r>
      <w:r w:rsidR="00436A2A">
        <w:t xml:space="preserve"> high conversion efficiency. </w:t>
      </w:r>
      <w:r w:rsidR="000956B4">
        <w:t xml:space="preserve">Simulations of the biomass conversion processes inside reactors are a </w:t>
      </w:r>
      <w:r w:rsidR="00E2193D">
        <w:t>valuable</w:t>
      </w:r>
      <w:r w:rsidR="000956B4">
        <w:t xml:space="preserve"> tool to overcome those challenges. </w:t>
      </w:r>
      <w:r w:rsidR="00342A86">
        <w:t>Apart from the usage in industrial applications, there are m</w:t>
      </w:r>
      <w:r w:rsidR="00E2193D">
        <w:t>odels that have a high level of detail including complex reaction mechanisms for the decomposition of the biomass and advanced description of the physical changes of the biomass structure during thermo-chemical conversion</w:t>
      </w:r>
      <w:r w:rsidR="00342A86">
        <w:t>. They</w:t>
      </w:r>
      <w:r w:rsidR="00E2193D">
        <w:t xml:space="preserve"> help to deepen the understanding of the conversion process. </w:t>
      </w:r>
      <w:r w:rsidR="00342A86">
        <w:t>However, for most commercial simulation software, biomass conversion remains a niche application, and models have to be implemented to simulate the process correctly.</w:t>
      </w:r>
    </w:p>
    <w:p w14:paraId="37A61FCE" w14:textId="0865D228" w:rsidR="00DA24C6" w:rsidRDefault="00E2193D" w:rsidP="001544DD">
      <w:pPr>
        <w:pStyle w:val="CETListbullets"/>
        <w:ind w:left="0" w:firstLine="0"/>
      </w:pPr>
      <w:r>
        <w:t>In this study, t</w:t>
      </w:r>
      <w:r w:rsidR="001544DD">
        <w:t xml:space="preserve">he pyrolysis behaviour of </w:t>
      </w:r>
      <w:r w:rsidR="002C131D">
        <w:t xml:space="preserve">beech wood particles was simulated with a three-dimensional modelling approach in the open source computational fluid dynamics (CFD) software </w:t>
      </w:r>
      <w:proofErr w:type="spellStart"/>
      <w:r w:rsidR="002C131D">
        <w:t>OpenFOAM</w:t>
      </w:r>
      <w:proofErr w:type="spellEnd"/>
      <w:r w:rsidR="002C131D">
        <w:t xml:space="preserve">. The implementation of the model included the biomass as porous reacting medium that changed the chemical composition and the </w:t>
      </w:r>
      <w:r w:rsidR="00BA1B7F">
        <w:t xml:space="preserve">solid properties during pyrolysis due to decomposition reactions. </w:t>
      </w:r>
      <w:r w:rsidR="00D1246C">
        <w:t>This modelling approach can in the future be used for the simulation of devices for thermo-chemical conversion of biomass with a fixed bed such as wood burning stoves or gasifiers. On the other hand</w:t>
      </w:r>
      <w:r w:rsidR="00536CC7">
        <w:t>,</w:t>
      </w:r>
      <w:r w:rsidR="00D1246C">
        <w:t xml:space="preserve"> the model will be further developed to investigate the thermo-chemical conversion on a </w:t>
      </w:r>
      <w:r w:rsidR="00536CC7">
        <w:t>very detailed level with complex chemical and physical models</w:t>
      </w:r>
      <w:r w:rsidR="00AE0E24">
        <w:t xml:space="preserve">, </w:t>
      </w:r>
      <w:r w:rsidR="00DF2AAC">
        <w:t>also</w:t>
      </w:r>
      <w:r w:rsidR="00AE0E24">
        <w:t xml:space="preserve"> considering the anisotropic structure of the biomass</w:t>
      </w:r>
      <w:r w:rsidR="00536CC7">
        <w:t>.</w:t>
      </w:r>
    </w:p>
    <w:p w14:paraId="476B2F2E" w14:textId="77777777" w:rsidR="00600535" w:rsidRPr="00B57B36" w:rsidRDefault="00600535" w:rsidP="00600535">
      <w:pPr>
        <w:pStyle w:val="CETHeading1"/>
        <w:rPr>
          <w:lang w:val="en-GB"/>
        </w:rPr>
      </w:pPr>
      <w:r w:rsidRPr="00B57B36">
        <w:rPr>
          <w:lang w:val="en-GB"/>
        </w:rPr>
        <w:t>Introduction</w:t>
      </w:r>
    </w:p>
    <w:p w14:paraId="7237C0FA" w14:textId="6CAF996E" w:rsidR="00F2219E" w:rsidRDefault="008D04F4" w:rsidP="00B4769F">
      <w:pPr>
        <w:pStyle w:val="CETnumberingbullets"/>
        <w:numPr>
          <w:ilvl w:val="0"/>
          <w:numId w:val="0"/>
        </w:numPr>
        <w:jc w:val="both"/>
      </w:pPr>
      <w:r>
        <w:t>Thermo-chemical conversion of biomass is a process that is commonly used in both biomass energetic utilization and material synthesis. In the field of energy generation technologies based on combustion and gasification are used to provide heat or as combined heat and power to also generate electricity. In this field biomass is an important non-fossil energy source that leads to almost CO</w:t>
      </w:r>
      <w:r w:rsidRPr="00674AAB">
        <w:rPr>
          <w:vertAlign w:val="subscript"/>
        </w:rPr>
        <w:t>2</w:t>
      </w:r>
      <w:r>
        <w:t>-neutral energy generation</w:t>
      </w:r>
      <w:r w:rsidR="005B7CCE">
        <w:t>.</w:t>
      </w:r>
      <w:r w:rsidR="00B86367">
        <w:t xml:space="preserve"> However, biomass combustion in non-optimal conditions can lead to emission of pollutants such as </w:t>
      </w:r>
      <w:r w:rsidR="00592E19">
        <w:t>soot or fine dust</w:t>
      </w:r>
      <w:r>
        <w:t>. In material utilization the thermo-chemical processes pyrolysis and gasification are used to generate char, pyrolysis oil or syngas.</w:t>
      </w:r>
      <w:r w:rsidR="005B7CCE">
        <w:t xml:space="preserve"> The properties and the </w:t>
      </w:r>
      <w:r w:rsidR="005B7CCE">
        <w:t>yield</w:t>
      </w:r>
      <w:r w:rsidR="005B7CCE">
        <w:t xml:space="preserve"> of the products depend st</w:t>
      </w:r>
      <w:r w:rsidR="005B7CCE">
        <w:t xml:space="preserve">rongly on the operation conditions </w:t>
      </w:r>
      <w:r w:rsidR="005B7CCE">
        <w:t>in which the the</w:t>
      </w:r>
      <w:r w:rsidR="005B7CCE">
        <w:t>rmo-chemical conversion is performed.</w:t>
      </w:r>
      <w:r w:rsidR="00A24DCB">
        <w:t xml:space="preserve"> </w:t>
      </w:r>
      <w:r w:rsidR="005B7CCE">
        <w:t>S</w:t>
      </w:r>
      <w:r w:rsidR="00A24DCB">
        <w:t xml:space="preserve">yngas can be further used for the </w:t>
      </w:r>
      <w:r w:rsidR="00A24DCB">
        <w:t xml:space="preserve">production of </w:t>
      </w:r>
      <w:r w:rsidR="00222133">
        <w:t>platform-</w:t>
      </w:r>
      <w:r w:rsidR="00A24DCB">
        <w:t xml:space="preserve">chemicals </w:t>
      </w:r>
      <w:r w:rsidR="00222133">
        <w:t xml:space="preserve">such as methane, dimethyl ether or </w:t>
      </w:r>
      <w:r w:rsidR="00A24DCB">
        <w:t>methanol (</w:t>
      </w:r>
      <w:r w:rsidR="00A24DCB">
        <w:t>Giuliano et al. 2020).</w:t>
      </w:r>
    </w:p>
    <w:p w14:paraId="03614DC4" w14:textId="654A954C" w:rsidR="008D04F4" w:rsidRDefault="008D04F4" w:rsidP="00B4769F">
      <w:pPr>
        <w:pStyle w:val="CETnumberingbullets"/>
        <w:numPr>
          <w:ilvl w:val="0"/>
          <w:numId w:val="0"/>
        </w:numPr>
        <w:jc w:val="both"/>
      </w:pPr>
      <w:r>
        <w:t>Simulations are an important tool to design tailored</w:t>
      </w:r>
      <w:r w:rsidR="00B067EF">
        <w:t xml:space="preserve"> equipment for</w:t>
      </w:r>
      <w:r>
        <w:t xml:space="preserve"> thermo-chemical conversion processes </w:t>
      </w:r>
      <w:r w:rsidR="00A24DCB">
        <w:t xml:space="preserve">and reactors for the individual process-steps </w:t>
      </w:r>
      <w:r>
        <w:t xml:space="preserve">with high efficiency and minimal emissions. </w:t>
      </w:r>
      <w:r w:rsidR="00B067EF">
        <w:t xml:space="preserve">Additionally, </w:t>
      </w:r>
      <w:r w:rsidR="006B7A8B">
        <w:t>simulations can be used to investigate the influence of operation conditions on the therm</w:t>
      </w:r>
      <w:r w:rsidR="006B7A8B">
        <w:t xml:space="preserve">o-chemical conversion and to adapt the </w:t>
      </w:r>
      <w:r w:rsidR="005B7CCE">
        <w:t>operation conditions</w:t>
      </w:r>
      <w:r w:rsidR="006B7A8B">
        <w:t xml:space="preserve"> </w:t>
      </w:r>
      <w:r w:rsidR="00A24DCB">
        <w:t xml:space="preserve">based on simulation results </w:t>
      </w:r>
      <w:r w:rsidR="006B7A8B">
        <w:t xml:space="preserve">in order to </w:t>
      </w:r>
      <w:r w:rsidR="00B04152">
        <w:t>achieve</w:t>
      </w:r>
      <w:r w:rsidR="006B7A8B">
        <w:t xml:space="preserve"> specific products. </w:t>
      </w:r>
      <w:r>
        <w:t>However, from a modelling point of view, the simulation of thermo-chemical conversion is very challenging, since it is a multi-phase problem in which many species are involved</w:t>
      </w:r>
      <w:r w:rsidR="005B7CCE">
        <w:t>,</w:t>
      </w:r>
      <w:r>
        <w:t xml:space="preserve"> and a multi-scale approach is needed for the simulation. </w:t>
      </w:r>
      <w:r>
        <w:lastRenderedPageBreak/>
        <w:t xml:space="preserve">Also, different time-scales </w:t>
      </w:r>
      <w:r w:rsidR="005B7CCE">
        <w:t>occur</w:t>
      </w:r>
      <w:r>
        <w:t xml:space="preserve"> with very </w:t>
      </w:r>
      <w:proofErr w:type="gramStart"/>
      <w:r>
        <w:t>small time</w:t>
      </w:r>
      <w:proofErr w:type="gramEnd"/>
      <w:r>
        <w:t xml:space="preserve"> steps for </w:t>
      </w:r>
      <w:r w:rsidR="002E2AFE">
        <w:t>chemical</w:t>
      </w:r>
      <w:r>
        <w:t xml:space="preserve"> reactions and relatively long durations for transient batch processes, that should be simulated completely from start to finish. </w:t>
      </w:r>
    </w:p>
    <w:p w14:paraId="7ADF8B15" w14:textId="72A4B6AB" w:rsidR="00AD0758" w:rsidRDefault="008D04F4" w:rsidP="00B4769F">
      <w:pPr>
        <w:pStyle w:val="CETnumberingbullets"/>
        <w:numPr>
          <w:ilvl w:val="0"/>
          <w:numId w:val="0"/>
        </w:numPr>
        <w:jc w:val="both"/>
      </w:pPr>
      <w:r w:rsidRPr="000F2621">
        <w:rPr>
          <w:rStyle w:val="CETBodytextCarattere"/>
        </w:rPr>
        <w:t>During combustion biomass undergoes the steps drying, pyrolysis, gasification and char combustion. In the case of complete combustion, only ash, CO</w:t>
      </w:r>
      <w:r w:rsidRPr="00674AAB">
        <w:rPr>
          <w:rStyle w:val="CETBodytextCarattere"/>
          <w:vertAlign w:val="subscript"/>
        </w:rPr>
        <w:t>2</w:t>
      </w:r>
      <w:r w:rsidRPr="000F2621">
        <w:rPr>
          <w:rStyle w:val="CETBodytextCarattere"/>
        </w:rPr>
        <w:t xml:space="preserve"> and H</w:t>
      </w:r>
      <w:r w:rsidRPr="00674AAB">
        <w:rPr>
          <w:rStyle w:val="CETBodytextCarattere"/>
          <w:vertAlign w:val="subscript"/>
        </w:rPr>
        <w:t>2</w:t>
      </w:r>
      <w:r w:rsidRPr="000F2621">
        <w:rPr>
          <w:rStyle w:val="CETBodytextCarattere"/>
        </w:rPr>
        <w:t>O would remain</w:t>
      </w:r>
      <w:r w:rsidR="005B7CCE">
        <w:rPr>
          <w:rStyle w:val="CETBodytextCarattere"/>
        </w:rPr>
        <w:t>.</w:t>
      </w:r>
      <w:r w:rsidR="00666BFD">
        <w:rPr>
          <w:rStyle w:val="CETBodytextCarattere"/>
        </w:rPr>
        <w:t xml:space="preserve"> </w:t>
      </w:r>
      <w:proofErr w:type="gramStart"/>
      <w:r w:rsidR="005B7CCE">
        <w:rPr>
          <w:rStyle w:val="CETBodytextCarattere"/>
        </w:rPr>
        <w:t>I</w:t>
      </w:r>
      <w:r w:rsidRPr="000F2621">
        <w:rPr>
          <w:rStyle w:val="CETBodytextCarattere"/>
        </w:rPr>
        <w:t>n</w:t>
      </w:r>
      <w:proofErr w:type="gramEnd"/>
      <w:r w:rsidRPr="000F2621">
        <w:rPr>
          <w:rStyle w:val="CETBodytextCarattere"/>
        </w:rPr>
        <w:t xml:space="preserve"> real processes, however, many intermediate products and different species can be found. Intermediate products during combustion include tar, light hydrocarbons, syngas, and char and incomplete combustion may lead to formation of pollutants like polycyclic aromatic hydrocarbons (PAH), soot, and NO</w:t>
      </w:r>
      <w:r w:rsidRPr="00674AAB">
        <w:rPr>
          <w:rStyle w:val="CETBodytextCarattere"/>
          <w:vertAlign w:val="subscript"/>
        </w:rPr>
        <w:t>x</w:t>
      </w:r>
      <w:r w:rsidRPr="000F2621">
        <w:rPr>
          <w:rStyle w:val="CETBodytextCarattere"/>
        </w:rPr>
        <w:t>. Inorganic components in biomass can act as catalyst on pyrolysis and additionally lead to formation of aerosols and fine ashes. Operation conditions and biomass properties strongly influence the outcome and the types of generated products</w:t>
      </w:r>
      <w:r w:rsidR="00251BC9">
        <w:rPr>
          <w:rStyle w:val="CETBodytextCarattere"/>
        </w:rPr>
        <w:t xml:space="preserve"> (</w:t>
      </w:r>
      <w:proofErr w:type="spellStart"/>
      <w:r w:rsidR="00251BC9">
        <w:rPr>
          <w:rStyle w:val="CETBodytextCarattere"/>
        </w:rPr>
        <w:t>Almuina-Villar</w:t>
      </w:r>
      <w:proofErr w:type="spellEnd"/>
      <w:r w:rsidR="00251BC9">
        <w:rPr>
          <w:rStyle w:val="CETBodytextCarattere"/>
        </w:rPr>
        <w:t xml:space="preserve"> et al. 2018)</w:t>
      </w:r>
      <w:r w:rsidRPr="000F2621">
        <w:rPr>
          <w:rStyle w:val="CETBodytextCarattere"/>
        </w:rPr>
        <w:t>. Especially the step pyrolysis is sensitive to operation conditions and should be investigated carefully. Modelling of pyrolysis is currently</w:t>
      </w:r>
      <w:r>
        <w:t xml:space="preserve"> researched and many different mechanisms for the kinetics are proposed in literature and are continuously improved (</w:t>
      </w:r>
      <w:r w:rsidR="006B3AFE">
        <w:t>Anca-</w:t>
      </w:r>
      <w:proofErr w:type="spellStart"/>
      <w:r w:rsidR="006B3AFE">
        <w:t>Couce</w:t>
      </w:r>
      <w:proofErr w:type="spellEnd"/>
      <w:r w:rsidR="006B3AFE">
        <w:t xml:space="preserve"> 2016</w:t>
      </w:r>
      <w:r>
        <w:t>)</w:t>
      </w:r>
      <w:r w:rsidR="00B4769F">
        <w:t>.</w:t>
      </w:r>
    </w:p>
    <w:p w14:paraId="231FAD7C" w14:textId="17BB3422" w:rsidR="00D366B9" w:rsidRDefault="00F0278C" w:rsidP="00C45D6E">
      <w:pPr>
        <w:pStyle w:val="CETnumberingbullets"/>
        <w:numPr>
          <w:ilvl w:val="0"/>
          <w:numId w:val="0"/>
        </w:numPr>
        <w:jc w:val="both"/>
        <w:rPr>
          <w:lang w:val="en-US"/>
        </w:rPr>
      </w:pPr>
      <w:r>
        <w:t>Besides the chemic</w:t>
      </w:r>
      <w:r w:rsidR="00CC07AE">
        <w:t xml:space="preserve">al </w:t>
      </w:r>
      <w:proofErr w:type="gramStart"/>
      <w:r w:rsidR="00682728">
        <w:t>re</w:t>
      </w:r>
      <w:r w:rsidR="00682728">
        <w:t>actions</w:t>
      </w:r>
      <w:proofErr w:type="gramEnd"/>
      <w:r w:rsidR="00CC07AE">
        <w:t xml:space="preserve"> biomass undergoes during pyrolysis, there are also physical changes of the structure that are observed during the conversion (</w:t>
      </w:r>
      <w:proofErr w:type="spellStart"/>
      <w:r w:rsidR="00C45D6E" w:rsidRPr="00CC07AE">
        <w:rPr>
          <w:lang w:val="en-US"/>
        </w:rPr>
        <w:t>Caposciutti</w:t>
      </w:r>
      <w:proofErr w:type="spellEnd"/>
      <w:r w:rsidR="00C45D6E">
        <w:rPr>
          <w:lang w:val="en-US"/>
        </w:rPr>
        <w:t xml:space="preserve"> et al. 2019). Due to mass loss biomass particles shrink </w:t>
      </w:r>
      <w:r w:rsidR="005B7CCE">
        <w:rPr>
          <w:lang w:val="en-US"/>
        </w:rPr>
        <w:t>and porosity increases. T</w:t>
      </w:r>
      <w:r w:rsidR="00C45D6E">
        <w:rPr>
          <w:lang w:val="en-US"/>
        </w:rPr>
        <w:t xml:space="preserve">he release of volatiles through small pores can lead to swelling or cracking of the material. These phenomena have to be included in modelling approaches in addition to the chemical transformation. </w:t>
      </w:r>
    </w:p>
    <w:p w14:paraId="4724C1FB" w14:textId="39E82CB1" w:rsidR="00F0278C" w:rsidRDefault="001A73EF" w:rsidP="00C45D6E">
      <w:pPr>
        <w:pStyle w:val="CETnumberingbullets"/>
        <w:numPr>
          <w:ilvl w:val="0"/>
          <w:numId w:val="0"/>
        </w:numPr>
        <w:jc w:val="both"/>
        <w:rPr>
          <w:lang w:val="en-US"/>
        </w:rPr>
      </w:pPr>
      <w:r>
        <w:rPr>
          <w:lang w:val="en-US"/>
        </w:rPr>
        <w:t xml:space="preserve">Many models for </w:t>
      </w:r>
      <w:r w:rsidR="00222133">
        <w:rPr>
          <w:lang w:val="en-US"/>
        </w:rPr>
        <w:t xml:space="preserve">thermo-chemical conversion of single </w:t>
      </w:r>
      <w:r>
        <w:rPr>
          <w:lang w:val="en-US"/>
        </w:rPr>
        <w:t>biomass particle</w:t>
      </w:r>
      <w:r w:rsidR="00113E90">
        <w:rPr>
          <w:lang w:val="en-US"/>
        </w:rPr>
        <w:t>s</w:t>
      </w:r>
      <w:r>
        <w:rPr>
          <w:lang w:val="en-US"/>
        </w:rPr>
        <w:t xml:space="preserve"> have been developed and published (Haberle et al. 2017). Most of the single particle models are based on a one-dimensional modelling approach. These models are ideal to investigate all steps of pyrolysis including chemical and physical transformations with minimum computational effort. The models contribute greatly to the development of kinetic mechanisms and are often a starting point for further simulations of technical applications. However, </w:t>
      </w:r>
      <w:r w:rsidR="00745BEE">
        <w:rPr>
          <w:lang w:val="en-US"/>
        </w:rPr>
        <w:t xml:space="preserve">there are some limitations regarding one-dimensional models. The majority of the </w:t>
      </w:r>
      <w:r w:rsidR="0015090B">
        <w:rPr>
          <w:lang w:val="en-US"/>
        </w:rPr>
        <w:t xml:space="preserve">stand-alone </w:t>
      </w:r>
      <w:r w:rsidR="0048689C">
        <w:rPr>
          <w:lang w:val="en-US"/>
        </w:rPr>
        <w:t xml:space="preserve">single particle </w:t>
      </w:r>
      <w:r w:rsidR="00745BEE">
        <w:rPr>
          <w:lang w:val="en-US"/>
        </w:rPr>
        <w:t>models do not cover the interaction of the particle with the surrounding gas phase or the reactor and boundary conditions at the surface of the particle have to be provided. The one-dimensional models are not able to represent the anisotropic properties of wood and physical or structural changes that are also driven by the direction of the fibers of the wood.</w:t>
      </w:r>
      <w:r w:rsidR="00661DBC">
        <w:rPr>
          <w:lang w:val="en-US"/>
        </w:rPr>
        <w:t xml:space="preserve"> </w:t>
      </w:r>
      <w:r w:rsidR="00661DBC">
        <w:rPr>
          <w:lang w:val="en-US"/>
        </w:rPr>
        <w:t>One-dimensional models for the conversion of biomass particles have been used for the sim</w:t>
      </w:r>
      <w:r w:rsidR="00661DBC">
        <w:rPr>
          <w:lang w:val="en-US"/>
        </w:rPr>
        <w:t xml:space="preserve">ulation of large firing systems with moving grate and bulk biomass to describe the decomposition of each individual particle. In this case particles are </w:t>
      </w:r>
      <w:r w:rsidR="00661DBC">
        <w:rPr>
          <w:lang w:val="en-US"/>
        </w:rPr>
        <w:t xml:space="preserve">often </w:t>
      </w:r>
      <w:r w:rsidR="00661DBC">
        <w:rPr>
          <w:lang w:val="en-US"/>
        </w:rPr>
        <w:t>assumed to be thermally thin to reduc</w:t>
      </w:r>
      <w:r w:rsidR="00661DBC">
        <w:rPr>
          <w:lang w:val="en-US"/>
        </w:rPr>
        <w:t>e computational effort (</w:t>
      </w:r>
      <w:proofErr w:type="spellStart"/>
      <w:r w:rsidR="00661DBC">
        <w:rPr>
          <w:lang w:val="en-US"/>
        </w:rPr>
        <w:t>Mahmoudi</w:t>
      </w:r>
      <w:proofErr w:type="spellEnd"/>
      <w:r w:rsidR="00661DBC">
        <w:rPr>
          <w:lang w:val="en-US"/>
        </w:rPr>
        <w:t xml:space="preserve"> et al. 2016)</w:t>
      </w:r>
      <w:r w:rsidR="00661DBC">
        <w:rPr>
          <w:lang w:val="en-US"/>
        </w:rPr>
        <w:t>. The one-</w:t>
      </w:r>
      <w:r w:rsidR="00661DBC">
        <w:rPr>
          <w:lang w:val="en-US"/>
        </w:rPr>
        <w:t>dimensional</w:t>
      </w:r>
      <w:r w:rsidR="00661DBC">
        <w:rPr>
          <w:lang w:val="en-US"/>
        </w:rPr>
        <w:t xml:space="preserve"> modelling approach was also used to describe combustion of wood logs </w:t>
      </w:r>
      <w:r w:rsidR="00661DBC">
        <w:rPr>
          <w:lang w:val="en-US"/>
        </w:rPr>
        <w:t xml:space="preserve">in a domestic stove, in which the wood logs were assumed to be thermally thick </w:t>
      </w:r>
      <w:r w:rsidR="00661DBC">
        <w:rPr>
          <w:lang w:val="en-US"/>
        </w:rPr>
        <w:t>(</w:t>
      </w:r>
      <w:proofErr w:type="spellStart"/>
      <w:r w:rsidR="00661DBC">
        <w:rPr>
          <w:lang w:val="en-US"/>
        </w:rPr>
        <w:t>Galgano</w:t>
      </w:r>
      <w:proofErr w:type="spellEnd"/>
      <w:r w:rsidR="00661DBC">
        <w:rPr>
          <w:lang w:val="en-US"/>
        </w:rPr>
        <w:t xml:space="preserve"> et al. 2006)</w:t>
      </w:r>
      <w:r w:rsidR="00661DBC">
        <w:rPr>
          <w:lang w:val="en-US"/>
        </w:rPr>
        <w:t xml:space="preserve">. </w:t>
      </w:r>
      <w:r w:rsidR="0015090B">
        <w:rPr>
          <w:lang w:val="en-US"/>
        </w:rPr>
        <w:t>In both cases interaction of gas phase and solid phase was implemented</w:t>
      </w:r>
      <w:r w:rsidR="00D603FA">
        <w:rPr>
          <w:lang w:val="en-US"/>
        </w:rPr>
        <w:t xml:space="preserve"> to simulate the whole device.</w:t>
      </w:r>
      <w:r w:rsidR="0015090B">
        <w:rPr>
          <w:lang w:val="en-US"/>
        </w:rPr>
        <w:t xml:space="preserve"> </w:t>
      </w:r>
    </w:p>
    <w:p w14:paraId="695764F2" w14:textId="1B07466A" w:rsidR="00745BEE" w:rsidRDefault="008F53B1" w:rsidP="00C45D6E">
      <w:pPr>
        <w:pStyle w:val="CETnumberingbullets"/>
        <w:numPr>
          <w:ilvl w:val="0"/>
          <w:numId w:val="0"/>
        </w:numPr>
        <w:jc w:val="both"/>
      </w:pPr>
      <w:r>
        <w:t>C</w:t>
      </w:r>
      <w:r w:rsidR="00745BEE">
        <w:t xml:space="preserve">ontinuum models for three-dimensional simulations </w:t>
      </w:r>
      <w:r>
        <w:t>get around the above-mentioned challenges by adding key sub-models. The models</w:t>
      </w:r>
      <w:r w:rsidR="00AB1880">
        <w:t xml:space="preserve"> </w:t>
      </w:r>
      <w:r w:rsidR="00D366B9">
        <w:t xml:space="preserve">simulate the biomass particle as porous medium in a computational fluid dynamic (CFD) environment. For </w:t>
      </w:r>
      <w:r>
        <w:t>example,</w:t>
      </w:r>
      <w:r w:rsidR="00D366B9">
        <w:t xml:space="preserve"> the </w:t>
      </w:r>
      <w:r w:rsidR="00D603FA">
        <w:t xml:space="preserve">single particle </w:t>
      </w:r>
      <w:r w:rsidR="00D366B9">
        <w:t xml:space="preserve">models developed by Mehrabian et al. (2012) </w:t>
      </w:r>
      <w:proofErr w:type="spellStart"/>
      <w:r w:rsidR="003B33EE">
        <w:t>Corbetta</w:t>
      </w:r>
      <w:proofErr w:type="spellEnd"/>
      <w:r w:rsidR="003B33EE">
        <w:t xml:space="preserve"> et al. (2014) </w:t>
      </w:r>
      <w:r w:rsidR="00D366B9">
        <w:t>or Gentile et al. (</w:t>
      </w:r>
      <w:r w:rsidR="00FC4FB3">
        <w:t>2015</w:t>
      </w:r>
      <w:r w:rsidR="00D366B9">
        <w:t xml:space="preserve">) are continuum models and were implemented in Fluent and </w:t>
      </w:r>
      <w:proofErr w:type="spellStart"/>
      <w:r w:rsidR="00D366B9">
        <w:t>OpenFOAM</w:t>
      </w:r>
      <w:proofErr w:type="spellEnd"/>
      <w:r w:rsidR="00D366B9">
        <w:t xml:space="preserve"> respectively.</w:t>
      </w:r>
      <w:r w:rsidR="003B33EE">
        <w:t xml:space="preserve"> </w:t>
      </w:r>
      <w:r w:rsidR="00D603FA">
        <w:t>The porous medium modelling approach</w:t>
      </w:r>
      <w:r w:rsidR="002A31CC">
        <w:t xml:space="preserve"> was used for example for the simulation of </w:t>
      </w:r>
      <w:r w:rsidR="002A31CC">
        <w:t>combustion in a pellet boiler to represent the biomass bed for</w:t>
      </w:r>
      <w:r w:rsidR="002A31CC">
        <w:t>med from pellets (Gómez et al. 2017).</w:t>
      </w:r>
    </w:p>
    <w:p w14:paraId="049C93FD" w14:textId="77777777" w:rsidR="006B7A8B" w:rsidRPr="004A473A" w:rsidRDefault="006B7A8B" w:rsidP="006B7A8B">
      <w:pPr>
        <w:pStyle w:val="CETBodytext"/>
      </w:pPr>
      <w:r w:rsidRPr="004A473A">
        <w:t xml:space="preserve">The aim of the study is to provide a particle model that is suitable for the simulation of biomass thermochemical conversion and could be used as a basis for future improvement and adaption to similar multi-phase problems. To this end, a model was implemented in the open-source CFD software </w:t>
      </w:r>
      <w:proofErr w:type="spellStart"/>
      <w:r w:rsidRPr="004A473A">
        <w:t>OpenFoam</w:t>
      </w:r>
      <w:proofErr w:type="spellEnd"/>
      <w:r w:rsidRPr="004A473A">
        <w:t xml:space="preserve">. It was based on the solver </w:t>
      </w:r>
      <w:proofErr w:type="spellStart"/>
      <w:r w:rsidRPr="004A473A">
        <w:t>reactingFoam</w:t>
      </w:r>
      <w:proofErr w:type="spellEnd"/>
      <w:r w:rsidRPr="004A473A">
        <w:t xml:space="preserve"> and represented biomass as a porous medium. The overall structure of the modelling approach was based on the model published by Kwiatkowski et al. </w:t>
      </w:r>
      <w:r>
        <w:t>(2013)</w:t>
      </w:r>
      <w:r w:rsidRPr="004A473A">
        <w:t>. From a chemical perspective, the decomposition of biomass was described based on its three main macro</w:t>
      </w:r>
      <w:r>
        <w:t>-</w:t>
      </w:r>
      <w:r w:rsidRPr="004A473A">
        <w:t xml:space="preserve">components (cellulose, hemicellulose and lignin). The model included the biomass particle as well as the surrounding gas phase. The interaction of the particle with the gas phase and reactor boundary conditions is important for future applications at the reactor level. </w:t>
      </w:r>
    </w:p>
    <w:p w14:paraId="677EBFF0" w14:textId="2FE0E5F4" w:rsidR="00600535" w:rsidRPr="00B57B36" w:rsidRDefault="00F14884" w:rsidP="00600535">
      <w:pPr>
        <w:pStyle w:val="CETHeading1"/>
        <w:tabs>
          <w:tab w:val="clear" w:pos="360"/>
          <w:tab w:val="right" w:pos="7100"/>
        </w:tabs>
        <w:jc w:val="both"/>
        <w:rPr>
          <w:lang w:val="en-GB"/>
        </w:rPr>
      </w:pPr>
      <w:r>
        <w:rPr>
          <w:lang w:val="en-GB"/>
        </w:rPr>
        <w:t>Modelling approach</w:t>
      </w:r>
    </w:p>
    <w:p w14:paraId="45B8CA63" w14:textId="77777777" w:rsidR="00CC2265" w:rsidRPr="00B57B36" w:rsidRDefault="00CC2265" w:rsidP="00CC2265">
      <w:pPr>
        <w:pStyle w:val="CETheadingx"/>
      </w:pPr>
      <w:proofErr w:type="spellStart"/>
      <w:r>
        <w:t>OpenFoam</w:t>
      </w:r>
      <w:proofErr w:type="spellEnd"/>
      <w:r>
        <w:t xml:space="preserve"> model</w:t>
      </w:r>
    </w:p>
    <w:p w14:paraId="5D391E17" w14:textId="05F452F7" w:rsidR="00CC2265" w:rsidRDefault="00726DBA" w:rsidP="00B4769F">
      <w:pPr>
        <w:pStyle w:val="CETBodytext"/>
        <w:rPr>
          <w:lang w:val="en-GB"/>
        </w:rPr>
      </w:pPr>
      <w:r>
        <w:rPr>
          <w:lang w:val="en-GB"/>
        </w:rPr>
        <w:t>The g</w:t>
      </w:r>
      <w:r w:rsidR="00CC2265">
        <w:rPr>
          <w:lang w:val="en-GB"/>
        </w:rPr>
        <w:t>overning equations</w:t>
      </w:r>
      <w:r>
        <w:rPr>
          <w:lang w:val="en-GB"/>
        </w:rPr>
        <w:t xml:space="preserve"> used in the </w:t>
      </w:r>
      <w:proofErr w:type="spellStart"/>
      <w:r>
        <w:rPr>
          <w:lang w:val="en-GB"/>
        </w:rPr>
        <w:t>OpenFOAM</w:t>
      </w:r>
      <w:proofErr w:type="spellEnd"/>
      <w:r>
        <w:rPr>
          <w:lang w:val="en-GB"/>
        </w:rPr>
        <w:t xml:space="preserve"> simulation are shown in Equations (1) to (7), they include conservation equations for </w:t>
      </w:r>
      <w:r w:rsidR="00244DD0">
        <w:rPr>
          <w:lang w:val="en-GB"/>
        </w:rPr>
        <w:t>gaseous</w:t>
      </w:r>
      <w:r>
        <w:rPr>
          <w:lang w:val="en-GB"/>
        </w:rPr>
        <w:t xml:space="preserve"> and solid phase. </w:t>
      </w:r>
      <w:r w:rsidR="007B25ED">
        <w:rPr>
          <w:lang w:val="en-GB"/>
        </w:rPr>
        <w:t>Eq</w:t>
      </w:r>
      <w:r w:rsidR="001B79A2">
        <w:rPr>
          <w:lang w:val="en-GB"/>
        </w:rPr>
        <w:t>uations</w:t>
      </w:r>
      <w:r w:rsidR="007B25ED">
        <w:rPr>
          <w:lang w:val="en-GB"/>
        </w:rPr>
        <w:t xml:space="preserve"> (1)</w:t>
      </w:r>
      <w:r w:rsidR="001B79A2">
        <w:rPr>
          <w:lang w:val="en-GB"/>
        </w:rPr>
        <w:t xml:space="preserve"> and (5)</w:t>
      </w:r>
      <w:r w:rsidR="007B25ED">
        <w:rPr>
          <w:lang w:val="en-GB"/>
        </w:rPr>
        <w:t xml:space="preserve"> </w:t>
      </w:r>
      <w:r w:rsidR="001B79A2">
        <w:rPr>
          <w:lang w:val="en-GB"/>
        </w:rPr>
        <w:t>are</w:t>
      </w:r>
      <w:r w:rsidR="007B25ED">
        <w:rPr>
          <w:lang w:val="en-GB"/>
        </w:rPr>
        <w:t xml:space="preserve"> the mass conservation equation</w:t>
      </w:r>
      <w:r w:rsidR="001B79A2">
        <w:rPr>
          <w:lang w:val="en-GB"/>
        </w:rPr>
        <w:t>s</w:t>
      </w:r>
      <w:r w:rsidR="007B25ED">
        <w:rPr>
          <w:lang w:val="en-GB"/>
        </w:rPr>
        <w:t xml:space="preserve"> for the gas</w:t>
      </w:r>
      <w:r w:rsidR="001B79A2">
        <w:rPr>
          <w:lang w:val="en-GB"/>
        </w:rPr>
        <w:t xml:space="preserve"> and solid</w:t>
      </w:r>
      <w:r w:rsidR="007B25ED">
        <w:rPr>
          <w:lang w:val="en-GB"/>
        </w:rPr>
        <w:t xml:space="preserve"> phase</w:t>
      </w:r>
      <w:r w:rsidR="001B79A2">
        <w:rPr>
          <w:lang w:val="en-GB"/>
        </w:rPr>
        <w:t xml:space="preserve">, respectively. </w:t>
      </w:r>
      <w:proofErr w:type="spellStart"/>
      <w:r w:rsidR="001B79A2">
        <w:rPr>
          <w:lang w:val="en-GB"/>
        </w:rPr>
        <w:t>Eq</w:t>
      </w:r>
      <w:proofErr w:type="spellEnd"/>
      <w:r w:rsidR="001B79A2">
        <w:rPr>
          <w:lang w:val="en-GB"/>
        </w:rPr>
        <w:t xml:space="preserve"> (1)</w:t>
      </w:r>
      <w:r w:rsidR="007B25ED">
        <w:rPr>
          <w:lang w:val="en-GB"/>
        </w:rPr>
        <w:t xml:space="preserve"> includes the porosity ε that takes the value one for regions that contain gas phase only and the volume fraction of gas phase in the regions with porous medium</w:t>
      </w:r>
      <w:r w:rsidR="00762CC2">
        <w:rPr>
          <w:lang w:val="en-GB"/>
        </w:rPr>
        <w:t>.</w:t>
      </w:r>
      <m:oMath>
        <m:sSub>
          <m:sSubPr>
            <m:ctrlPr>
              <w:rPr>
                <w:rFonts w:ascii="Cambria Math" w:hAnsi="Cambria Math"/>
                <w:i/>
              </w:rPr>
            </m:ctrlPr>
          </m:sSubPr>
          <m:e>
            <m:r>
              <w:rPr>
                <w:rFonts w:ascii="Cambria Math" w:hAnsi="Cambria Math"/>
              </w:rPr>
              <m:t>ρ</m:t>
            </m:r>
          </m:e>
          <m:sub>
            <m:r>
              <w:rPr>
                <w:rFonts w:ascii="Cambria Math" w:hAnsi="Cambria Math"/>
              </w:rPr>
              <m:t>g</m:t>
            </m:r>
          </m:sub>
        </m:sSub>
      </m:oMath>
      <w:r w:rsidR="007C5F3C">
        <w:rPr>
          <w:lang w:val="en-GB"/>
        </w:rPr>
        <w:t xml:space="preserve"> </w:t>
      </w:r>
      <w:r w:rsidR="00762CC2">
        <w:rPr>
          <w:lang w:val="en-GB"/>
        </w:rPr>
        <w:t xml:space="preserve">is </w:t>
      </w:r>
      <w:r w:rsidR="007C5F3C">
        <w:rPr>
          <w:lang w:val="en-GB"/>
        </w:rPr>
        <w:t>the density of the gas phase</w:t>
      </w:r>
      <w:r w:rsidR="00282CF8">
        <w:rPr>
          <w:lang w:val="en-GB"/>
        </w:rPr>
        <w:t xml:space="preserve"> and </w:t>
      </w:r>
      <w:r w:rsidR="00282CF8">
        <w:rPr>
          <w:lang w:val="en-GB"/>
        </w:rPr>
        <w:t>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g</m:t>
                </m:r>
              </m:sub>
            </m:sSub>
          </m:e>
        </m:acc>
      </m:oMath>
      <w:r w:rsidR="00282CF8">
        <w:rPr>
          <w:lang w:val="en-GB"/>
        </w:rPr>
        <w:t xml:space="preserve"> is the velocity of the gas flow</w:t>
      </w:r>
      <w:r w:rsidR="001B79A2">
        <w:rPr>
          <w:lang w:val="en-GB"/>
        </w:rPr>
        <w:t xml:space="preserve">. In </w:t>
      </w:r>
      <w:proofErr w:type="spellStart"/>
      <w:r w:rsidR="001B79A2">
        <w:rPr>
          <w:lang w:val="en-GB"/>
        </w:rPr>
        <w:t>Eq</w:t>
      </w:r>
      <w:proofErr w:type="spellEnd"/>
      <w:r w:rsidR="001B79A2">
        <w:rPr>
          <w:lang w:val="en-GB"/>
        </w:rPr>
        <w:t xml:space="preserve"> (5) the solid fraction </w:t>
      </w:r>
      <m:oMath>
        <m:r>
          <w:rPr>
            <w:rFonts w:ascii="Cambria Math" w:hAnsi="Cambria Math"/>
          </w:rPr>
          <m:t>ϕ=1-ε</m:t>
        </m:r>
      </m:oMath>
      <w:r w:rsidR="001B79A2">
        <w:t xml:space="preserve"> is used instead of the porosity</w:t>
      </w:r>
      <w:r w:rsidR="007C5F3C">
        <w:t xml:space="preserve"> </w:t>
      </w:r>
      <w:r w:rsidR="00B82855">
        <w:t xml:space="preserve">and </w:t>
      </w:r>
      <m:oMath>
        <m:sSub>
          <m:sSubPr>
            <m:ctrlPr>
              <w:rPr>
                <w:rFonts w:ascii="Cambria Math" w:hAnsi="Cambria Math"/>
                <w:i/>
              </w:rPr>
            </m:ctrlPr>
          </m:sSubPr>
          <m:e>
            <m:r>
              <w:rPr>
                <w:rFonts w:ascii="Cambria Math" w:hAnsi="Cambria Math"/>
              </w:rPr>
              <m:t>ρ</m:t>
            </m:r>
          </m:e>
          <m:sub>
            <m:r>
              <w:rPr>
                <w:rFonts w:ascii="Cambria Math" w:hAnsi="Cambria Math"/>
              </w:rPr>
              <m:t>s</m:t>
            </m:r>
          </m:sub>
        </m:sSub>
      </m:oMath>
      <w:r w:rsidR="007C5F3C">
        <w:t xml:space="preserve"> </w:t>
      </w:r>
      <w:r w:rsidR="00B82855">
        <w:t xml:space="preserve">is </w:t>
      </w:r>
      <w:r w:rsidR="007C5F3C">
        <w:t>the density of the solid</w:t>
      </w:r>
      <w:r w:rsidR="001B79A2">
        <w:t xml:space="preserve">. </w:t>
      </w:r>
      <w:r w:rsidR="007B25ED">
        <w:rPr>
          <w:lang w:val="en-GB"/>
        </w:rPr>
        <w:t>The source term</w:t>
      </w:r>
      <w:r w:rsidR="001B79A2">
        <w:rPr>
          <w:lang w:val="en-GB"/>
        </w:rPr>
        <w:t>s</w:t>
      </w:r>
      <w:r w:rsidR="007B25ED">
        <w:rPr>
          <w:lang w:val="en-GB"/>
        </w:rPr>
        <w:t xml:space="preserve"> </w:t>
      </w:r>
      <m:oMath>
        <m:sSub>
          <m:sSubPr>
            <m:ctrlPr>
              <w:rPr>
                <w:rFonts w:ascii="Cambria Math" w:hAnsi="Cambria Math"/>
                <w:i/>
              </w:rPr>
            </m:ctrlPr>
          </m:sSubPr>
          <m:e>
            <m:r>
              <w:rPr>
                <w:rFonts w:ascii="Cambria Math" w:hAnsi="Cambria Math"/>
              </w:rPr>
              <m:t>S</m:t>
            </m:r>
          </m:e>
          <m:sub>
            <m:r>
              <w:rPr>
                <w:rFonts w:ascii="Cambria Math" w:hAnsi="Cambria Math"/>
              </w:rPr>
              <m:t>g</m:t>
            </m:r>
          </m:sub>
        </m:sSub>
      </m:oMath>
      <w:r w:rsidR="007B25ED">
        <w:t xml:space="preserve"> </w:t>
      </w:r>
      <w:r w:rsidR="001B79A2">
        <w:t xml:space="preserve">and </w:t>
      </w:r>
      <m:oMath>
        <m:sSub>
          <m:sSubPr>
            <m:ctrlPr>
              <w:rPr>
                <w:rFonts w:ascii="Cambria Math" w:hAnsi="Cambria Math"/>
                <w:i/>
              </w:rPr>
            </m:ctrlPr>
          </m:sSubPr>
          <m:e>
            <m:r>
              <w:rPr>
                <w:rFonts w:ascii="Cambria Math" w:hAnsi="Cambria Math"/>
              </w:rPr>
              <m:t>S</m:t>
            </m:r>
          </m:e>
          <m:sub>
            <m:r>
              <w:rPr>
                <w:rFonts w:ascii="Cambria Math" w:hAnsi="Cambria Math"/>
              </w:rPr>
              <m:t>s</m:t>
            </m:r>
          </m:sub>
        </m:sSub>
      </m:oMath>
      <w:r w:rsidR="001B79A2">
        <w:t xml:space="preserve"> </w:t>
      </w:r>
      <w:r w:rsidR="00664391">
        <w:t xml:space="preserve">include the </w:t>
      </w:r>
      <w:r w:rsidR="00A67467">
        <w:t>mass</w:t>
      </w:r>
      <w:r w:rsidR="001B79A2">
        <w:t xml:space="preserve"> gains and losses</w:t>
      </w:r>
      <w:r w:rsidR="00A67467">
        <w:t xml:space="preserve"> of species generated from homogeneous and heterogeneous reactions. </w:t>
      </w:r>
    </w:p>
    <w:tbl>
      <w:tblPr>
        <w:tblW w:w="5000" w:type="pct"/>
        <w:tblLook w:val="04A0" w:firstRow="1" w:lastRow="0" w:firstColumn="1" w:lastColumn="0" w:noHBand="0" w:noVBand="1"/>
      </w:tblPr>
      <w:tblGrid>
        <w:gridCol w:w="7983"/>
        <w:gridCol w:w="804"/>
      </w:tblGrid>
      <w:tr w:rsidR="004577FE" w:rsidRPr="00B57B36" w14:paraId="18DE34A8" w14:textId="77777777" w:rsidTr="00666BFD">
        <w:trPr>
          <w:trHeight w:val="510"/>
        </w:trPr>
        <w:tc>
          <w:tcPr>
            <w:tcW w:w="7983" w:type="dxa"/>
            <w:shd w:val="clear" w:color="auto" w:fill="auto"/>
            <w:vAlign w:val="center"/>
          </w:tcPr>
          <w:p w14:paraId="3AE2D949" w14:textId="19155A84" w:rsidR="004577FE" w:rsidRPr="00B57B36" w:rsidRDefault="00DA681B" w:rsidP="009E7884">
            <w:pPr>
              <w:pStyle w:val="CETEquation"/>
            </w:pPr>
            <m:oMathPara>
              <m:oMath>
                <m:f>
                  <m:fPr>
                    <m:ctrlPr>
                      <w:rPr>
                        <w:rFonts w:ascii="Cambria Math" w:hAnsi="Cambria Math"/>
                        <w:i/>
                      </w:rPr>
                    </m:ctrlPr>
                  </m:fPr>
                  <m:num>
                    <m:r>
                      <w:rPr>
                        <w:rFonts w:ascii="Cambria Math" w:hAnsi="Cambria Math"/>
                      </w:rPr>
                      <m:t>∂(ε</m:t>
                    </m:r>
                    <m:sSub>
                      <m:sSubPr>
                        <m:ctrlPr>
                          <w:rPr>
                            <w:rFonts w:ascii="Cambria Math" w:hAnsi="Cambria Math"/>
                            <w:i/>
                          </w:rPr>
                        </m:ctrlPr>
                      </m:sSubPr>
                      <m:e>
                        <m:r>
                          <w:rPr>
                            <w:rFonts w:ascii="Cambria Math" w:hAnsi="Cambria Math"/>
                          </w:rPr>
                          <m:t>ρ</m:t>
                        </m:r>
                      </m:e>
                      <m:sub>
                        <m:r>
                          <w:rPr>
                            <w:rFonts w:ascii="Cambria Math" w:hAnsi="Cambria Math"/>
                          </w:rPr>
                          <m:t>g</m:t>
                        </m:r>
                      </m:sub>
                    </m:sSub>
                    <m:r>
                      <w:rPr>
                        <w:rFonts w:ascii="Cambria Math" w:hAnsi="Cambria Math"/>
                      </w:rPr>
                      <m:t>)</m:t>
                    </m:r>
                  </m:num>
                  <m:den>
                    <m:r>
                      <w:rPr>
                        <w:rFonts w:ascii="Cambria Math" w:hAnsi="Cambria Math"/>
                      </w:rPr>
                      <m:t>∂t</m:t>
                    </m:r>
                  </m:den>
                </m:f>
                <m:r>
                  <w:rPr>
                    <w:rFonts w:ascii="Cambria Math" w:hAnsi="Cambria Math"/>
                  </w:rPr>
                  <m:t>+</m:t>
                </m:r>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g</m:t>
                        </m:r>
                      </m:sub>
                    </m:sSub>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g</m:t>
                            </m:r>
                          </m:sub>
                        </m:sSub>
                      </m:e>
                    </m:acc>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g</m:t>
                    </m:r>
                  </m:sub>
                </m:sSub>
              </m:oMath>
            </m:oMathPara>
          </w:p>
        </w:tc>
        <w:tc>
          <w:tcPr>
            <w:tcW w:w="804" w:type="dxa"/>
            <w:shd w:val="clear" w:color="auto" w:fill="auto"/>
            <w:vAlign w:val="center"/>
          </w:tcPr>
          <w:p w14:paraId="2BB6A4D4" w14:textId="77777777" w:rsidR="004577FE" w:rsidRPr="00B57B36" w:rsidRDefault="004577FE" w:rsidP="009E7884">
            <w:pPr>
              <w:pStyle w:val="CETEquation"/>
              <w:jc w:val="right"/>
            </w:pPr>
            <w:r w:rsidRPr="00B57B36">
              <w:t>(1)</w:t>
            </w:r>
          </w:p>
        </w:tc>
      </w:tr>
      <w:tr w:rsidR="005055C9" w:rsidRPr="00B57B36" w14:paraId="671F21C9" w14:textId="77777777" w:rsidTr="00666BFD">
        <w:trPr>
          <w:trHeight w:val="510"/>
        </w:trPr>
        <w:tc>
          <w:tcPr>
            <w:tcW w:w="7983" w:type="dxa"/>
            <w:shd w:val="clear" w:color="auto" w:fill="auto"/>
            <w:vAlign w:val="center"/>
          </w:tcPr>
          <w:p w14:paraId="74A370D3" w14:textId="40A20EC7" w:rsidR="005055C9" w:rsidRPr="00B57B36" w:rsidRDefault="00DA681B" w:rsidP="001872F2">
            <w:pPr>
              <w:pStyle w:val="CETEquation"/>
            </w:pPr>
            <m:oMathPara>
              <m:oMath>
                <m:f>
                  <m:fPr>
                    <m:ctrlPr>
                      <w:rPr>
                        <w:rFonts w:ascii="Cambria Math" w:hAnsi="Cambria Math"/>
                        <w:i/>
                      </w:rPr>
                    </m:ctrlPr>
                  </m:fPr>
                  <m:num>
                    <m:r>
                      <w:rPr>
                        <w:rFonts w:ascii="Cambria Math" w:hAnsi="Cambria Math"/>
                      </w:rPr>
                      <m:t>∂(ε</m:t>
                    </m:r>
                    <m:sSub>
                      <m:sSubPr>
                        <m:ctrlPr>
                          <w:rPr>
                            <w:rFonts w:ascii="Cambria Math" w:hAnsi="Cambria Math"/>
                            <w:i/>
                          </w:rPr>
                        </m:ctrlPr>
                      </m:sSubPr>
                      <m:e>
                        <m:r>
                          <w:rPr>
                            <w:rFonts w:ascii="Cambria Math" w:hAnsi="Cambria Math"/>
                          </w:rPr>
                          <m:t>ρ</m:t>
                        </m:r>
                      </m:e>
                      <m:sub>
                        <m:r>
                          <w:rPr>
                            <w:rFonts w:ascii="Cambria Math" w:hAnsi="Cambria Math"/>
                          </w:rPr>
                          <m:t>g</m:t>
                        </m:r>
                      </m:sub>
                    </m:sSub>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g</m:t>
                            </m:r>
                          </m:sub>
                        </m:sSub>
                      </m:e>
                    </m:acc>
                    <m:r>
                      <w:rPr>
                        <w:rFonts w:ascii="Cambria Math" w:hAnsi="Cambria Math"/>
                      </w:rPr>
                      <m:t>)</m:t>
                    </m:r>
                  </m:num>
                  <m:den>
                    <m:r>
                      <w:rPr>
                        <w:rFonts w:ascii="Cambria Math" w:hAnsi="Cambria Math"/>
                      </w:rPr>
                      <m:t>∂t</m:t>
                    </m:r>
                  </m:den>
                </m:f>
                <m:r>
                  <w:rPr>
                    <w:rFonts w:ascii="Cambria Math" w:hAnsi="Cambria Math"/>
                  </w:rPr>
                  <m:t>+</m:t>
                </m:r>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g</m:t>
                        </m:r>
                      </m:sub>
                    </m:sSub>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g</m:t>
                            </m:r>
                          </m:sub>
                        </m:sSub>
                      </m:e>
                    </m:acc>
                    <m:r>
                      <w:rPr>
                        <w:rFonts w:ascii="Cambria Math"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g</m:t>
                            </m:r>
                          </m:sub>
                        </m:sSub>
                      </m:e>
                    </m:acc>
                  </m:e>
                </m:d>
                <m:r>
                  <w:rPr>
                    <w:rFonts w:ascii="Cambria Math" w:hAnsi="Cambria Math"/>
                  </w:rPr>
                  <m:t>-</m:t>
                </m:r>
                <m:r>
                  <m:rPr>
                    <m:sty m:val="p"/>
                  </m:rPr>
                  <w:rPr>
                    <w:rFonts w:ascii="Cambria Math" w:hAnsi="Cambria Math"/>
                  </w:rPr>
                  <m:t>∇</m:t>
                </m:r>
                <m:r>
                  <w:rPr>
                    <w:rFonts w:ascii="Cambria Math" w:hAnsi="Cambria Math"/>
                  </w:rPr>
                  <m:t>(μ</m:t>
                </m:r>
                <m:r>
                  <m:rPr>
                    <m:sty m:val="p"/>
                  </m:rPr>
                  <w:rPr>
                    <w:rFonts w:ascii="Cambria Math" w:hAnsi="Cambria Math"/>
                  </w:rPr>
                  <m:t>∇</m:t>
                </m:r>
                <m:acc>
                  <m:accPr>
                    <m:chr m:val="⃗"/>
                    <m:ctrlPr>
                      <w:rPr>
                        <w:rFonts w:ascii="Cambria Math" w:hAnsi="Cambria Math"/>
                        <w:i/>
                      </w:rPr>
                    </m:ctrlPr>
                  </m:accPr>
                  <m:e>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g</m:t>
                        </m:r>
                      </m:sub>
                    </m:sSub>
                  </m:e>
                </m:acc>
                <m:r>
                  <w:rPr>
                    <w:rFonts w:ascii="Cambria Math" w:hAnsi="Cambria Math"/>
                  </w:rPr>
                  <m:t xml:space="preserve"> )=</m:t>
                </m:r>
                <m:sSub>
                  <m:sSubPr>
                    <m:ctrlPr>
                      <w:rPr>
                        <w:rFonts w:ascii="Cambria Math" w:hAnsi="Cambria Math"/>
                        <w:i/>
                      </w:rPr>
                    </m:ctrlPr>
                  </m:sSubPr>
                  <m:e>
                    <m:r>
                      <w:rPr>
                        <w:rFonts w:ascii="Cambria Math" w:hAnsi="Cambria Math"/>
                      </w:rPr>
                      <m:t>-</m:t>
                    </m:r>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g</m:t>
                        </m:r>
                      </m:sub>
                    </m:sSub>
                    <m:acc>
                      <m:accPr>
                        <m:chr m:val="⃗"/>
                        <m:ctrlPr>
                          <w:rPr>
                            <w:rFonts w:ascii="Cambria Math" w:hAnsi="Cambria Math"/>
                            <w:i/>
                          </w:rPr>
                        </m:ctrlPr>
                      </m:accPr>
                      <m:e>
                        <m:r>
                          <w:rPr>
                            <w:rFonts w:ascii="Cambria Math" w:hAnsi="Cambria Math"/>
                          </w:rPr>
                          <m:t>g</m:t>
                        </m:r>
                      </m:e>
                    </m:acc>
                    <m:r>
                      <w:rPr>
                        <w:rFonts w:ascii="Cambria Math" w:hAnsi="Cambria Math"/>
                      </w:rPr>
                      <m:t>+f</m:t>
                    </m:r>
                  </m:e>
                  <m:sub>
                    <m:r>
                      <w:rPr>
                        <w:rFonts w:ascii="Cambria Math" w:hAnsi="Cambria Math"/>
                      </w:rPr>
                      <m:t>g</m:t>
                    </m:r>
                  </m:sub>
                </m:sSub>
              </m:oMath>
            </m:oMathPara>
          </w:p>
        </w:tc>
        <w:tc>
          <w:tcPr>
            <w:tcW w:w="804" w:type="dxa"/>
            <w:shd w:val="clear" w:color="auto" w:fill="auto"/>
            <w:vAlign w:val="center"/>
          </w:tcPr>
          <w:p w14:paraId="3D2C49FC" w14:textId="0875B157" w:rsidR="005055C9" w:rsidRPr="00B57B36" w:rsidRDefault="005055C9" w:rsidP="001872F2">
            <w:pPr>
              <w:pStyle w:val="CETEquation"/>
              <w:jc w:val="right"/>
            </w:pPr>
            <w:r w:rsidRPr="00B57B36">
              <w:t>(</w:t>
            </w:r>
            <w:r>
              <w:t>2</w:t>
            </w:r>
            <w:r w:rsidRPr="00B57B36">
              <w:t>)</w:t>
            </w:r>
          </w:p>
        </w:tc>
      </w:tr>
      <w:tr w:rsidR="003528C0" w:rsidRPr="00B57B36" w14:paraId="19EDC472" w14:textId="77777777" w:rsidTr="00666BFD">
        <w:trPr>
          <w:trHeight w:val="510"/>
        </w:trPr>
        <w:tc>
          <w:tcPr>
            <w:tcW w:w="7983" w:type="dxa"/>
            <w:shd w:val="clear" w:color="auto" w:fill="auto"/>
            <w:vAlign w:val="center"/>
          </w:tcPr>
          <w:p w14:paraId="66949073" w14:textId="1D2BBFEC" w:rsidR="003528C0" w:rsidRPr="00B57B36" w:rsidRDefault="00DA681B" w:rsidP="001872F2">
            <w:pPr>
              <w:pStyle w:val="CETEquation"/>
            </w:pPr>
            <m:oMathPara>
              <m:oMath>
                <m:d>
                  <m:dPr>
                    <m:ctrlPr>
                      <w:rPr>
                        <w:rFonts w:ascii="Cambria Math" w:hAnsi="Cambria Math"/>
                        <w:i/>
                      </w:rPr>
                    </m:ctrlPr>
                  </m:dPr>
                  <m:e>
                    <m:r>
                      <w:rPr>
                        <w:rFonts w:ascii="Cambria Math" w:hAnsi="Cambria Math"/>
                      </w:rPr>
                      <m:t>ε</m:t>
                    </m:r>
                    <m:sSub>
                      <m:sSubPr>
                        <m:ctrlPr>
                          <w:rPr>
                            <w:rFonts w:ascii="Cambria Math" w:hAnsi="Cambria Math"/>
                            <w:i/>
                          </w:rPr>
                        </m:ctrlPr>
                      </m:sSubPr>
                      <m:e>
                        <m:r>
                          <w:rPr>
                            <w:rFonts w:ascii="Cambria Math" w:hAnsi="Cambria Math"/>
                          </w:rPr>
                          <m:t>ρ</m:t>
                        </m:r>
                      </m:e>
                      <m:sub>
                        <m:r>
                          <w:rPr>
                            <w:rFonts w:ascii="Cambria Math" w:hAnsi="Cambria Math"/>
                          </w:rPr>
                          <m:t>g</m:t>
                        </m:r>
                      </m:sub>
                    </m:sSub>
                    <m:sSub>
                      <m:sSubPr>
                        <m:ctrlPr>
                          <w:rPr>
                            <w:rFonts w:ascii="Cambria Math" w:hAnsi="Cambria Math"/>
                            <w:i/>
                          </w:rPr>
                        </m:ctrlPr>
                      </m:sSubPr>
                      <m:e>
                        <m:r>
                          <w:rPr>
                            <w:rFonts w:ascii="Cambria Math" w:hAnsi="Cambria Math"/>
                          </w:rPr>
                          <m:t>c</m:t>
                        </m:r>
                      </m:e>
                      <m:sub>
                        <m:r>
                          <w:rPr>
                            <w:rFonts w:ascii="Cambria Math" w:hAnsi="Cambria Math"/>
                          </w:rPr>
                          <m:t>p,g</m:t>
                        </m:r>
                      </m:sub>
                    </m:sSub>
                  </m:e>
                </m:d>
                <m:d>
                  <m:dPr>
                    <m:ctrlPr>
                      <w:rPr>
                        <w:rFonts w:ascii="Cambria Math" w:hAnsi="Cambria Math"/>
                        <w:i/>
                      </w:rPr>
                    </m:ctrlPr>
                  </m:dP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g</m:t>
                            </m:r>
                          </m:sub>
                        </m:sSub>
                      </m:num>
                      <m:den>
                        <m:r>
                          <w:rPr>
                            <w:rFonts w:ascii="Cambria Math" w:hAnsi="Cambria Math"/>
                          </w:rPr>
                          <m:t>∂t</m:t>
                        </m:r>
                      </m:den>
                    </m:f>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g</m:t>
                            </m:r>
                          </m:sub>
                        </m:sSub>
                      </m:e>
                    </m:acc>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g</m:t>
                        </m:r>
                      </m:sub>
                    </m:sSub>
                  </m:e>
                </m:d>
                <m:r>
                  <w:rPr>
                    <w:rFonts w:ascii="Cambria Math" w:hAnsi="Cambria Math"/>
                  </w:rPr>
                  <m:t>=</m:t>
                </m:r>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α</m:t>
                        </m:r>
                      </m:e>
                      <m:sub>
                        <m:r>
                          <w:rPr>
                            <w:rFonts w:ascii="Cambria Math" w:hAnsi="Cambria Math"/>
                          </w:rPr>
                          <m:t>g,eff</m:t>
                        </m:r>
                      </m:sub>
                    </m:sSub>
                    <m:r>
                      <m:rPr>
                        <m:sty m:val="p"/>
                      </m:rP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g</m:t>
                        </m:r>
                      </m:sub>
                    </m:sSub>
                    <m:ctrlPr>
                      <w:rPr>
                        <w:rFonts w:ascii="Cambria Math" w:hAnsi="Cambria Math"/>
                        <w:i/>
                      </w:rPr>
                    </m:ctrlPr>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g-s</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g</m:t>
                        </m:r>
                      </m:sub>
                    </m:sSub>
                  </m:e>
                </m:d>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H</m:t>
                    </m:r>
                  </m:e>
                  <m:sub>
                    <m:r>
                      <w:rPr>
                        <w:rFonts w:ascii="Cambria Math" w:hAnsi="Cambria Math"/>
                      </w:rPr>
                      <m:t>r,g</m:t>
                    </m:r>
                  </m:sub>
                </m:sSub>
                <m:r>
                  <w:rPr>
                    <w:rFonts w:ascii="Cambria Math" w:hAnsi="Cambria Math"/>
                  </w:rPr>
                  <m:t>+</m:t>
                </m:r>
                <m:sSub>
                  <m:sSubPr>
                    <m:ctrlPr>
                      <w:rPr>
                        <w:rFonts w:ascii="Cambria Math" w:hAnsi="Cambria Math"/>
                        <w:i/>
                      </w:rPr>
                    </m:ctrlPr>
                  </m:sSubPr>
                  <m:e>
                    <m:r>
                      <m:rPr>
                        <m:sty m:val="p"/>
                      </m:rPr>
                      <w:rPr>
                        <w:rFonts w:ascii="Cambria Math" w:hAnsi="Cambria Math"/>
                      </w:rPr>
                      <m:t>Γ</m:t>
                    </m:r>
                    <m:r>
                      <w:rPr>
                        <w:rFonts w:ascii="Cambria Math" w:hAnsi="Cambria Math"/>
                      </w:rPr>
                      <m:t xml:space="preserve">+ </m:t>
                    </m:r>
                    <m:acc>
                      <m:accPr>
                        <m:chr m:val="̇"/>
                        <m:ctrlPr>
                          <w:rPr>
                            <w:rFonts w:ascii="Cambria Math" w:hAnsi="Cambria Math"/>
                            <w:i/>
                          </w:rPr>
                        </m:ctrlPr>
                      </m:accPr>
                      <m:e>
                        <m:r>
                          <w:rPr>
                            <w:rFonts w:ascii="Cambria Math" w:hAnsi="Cambria Math"/>
                          </w:rPr>
                          <m:t>Q</m:t>
                        </m:r>
                      </m:e>
                    </m:acc>
                  </m:e>
                  <m:sub>
                    <m:r>
                      <w:rPr>
                        <w:rFonts w:ascii="Cambria Math" w:hAnsi="Cambria Math"/>
                      </w:rPr>
                      <m:t>rad,g</m:t>
                    </m:r>
                  </m:sub>
                </m:sSub>
              </m:oMath>
            </m:oMathPara>
          </w:p>
        </w:tc>
        <w:tc>
          <w:tcPr>
            <w:tcW w:w="804" w:type="dxa"/>
            <w:shd w:val="clear" w:color="auto" w:fill="auto"/>
            <w:vAlign w:val="center"/>
          </w:tcPr>
          <w:p w14:paraId="6C768589" w14:textId="2532FFD5" w:rsidR="003528C0" w:rsidRPr="00B57B36" w:rsidRDefault="003528C0" w:rsidP="001872F2">
            <w:pPr>
              <w:pStyle w:val="CETEquation"/>
              <w:jc w:val="right"/>
            </w:pPr>
            <w:r w:rsidRPr="00B57B36">
              <w:t>(</w:t>
            </w:r>
            <w:r>
              <w:t>3</w:t>
            </w:r>
            <w:r w:rsidRPr="00B57B36">
              <w:t>)</w:t>
            </w:r>
          </w:p>
        </w:tc>
      </w:tr>
      <w:tr w:rsidR="003528C0" w:rsidRPr="00B57B36" w14:paraId="618F947F" w14:textId="77777777" w:rsidTr="00666BFD">
        <w:trPr>
          <w:trHeight w:val="510"/>
        </w:trPr>
        <w:tc>
          <w:tcPr>
            <w:tcW w:w="7983" w:type="dxa"/>
            <w:shd w:val="clear" w:color="auto" w:fill="auto"/>
            <w:vAlign w:val="center"/>
          </w:tcPr>
          <w:p w14:paraId="4C205FF4" w14:textId="3B278E68" w:rsidR="003528C0" w:rsidRPr="003528C0" w:rsidRDefault="00DA681B" w:rsidP="001872F2">
            <w:pPr>
              <w:pStyle w:val="CETEquation"/>
              <w:rPr>
                <w:rFonts w:ascii="Cambria Math" w:hAnsi="Cambria Math"/>
                <w:oMath/>
              </w:rPr>
            </w:pPr>
            <m:oMathPara>
              <m:oMath>
                <m:f>
                  <m:fPr>
                    <m:ctrlPr>
                      <w:rPr>
                        <w:rFonts w:ascii="Cambria Math" w:hAnsi="Cambria Math"/>
                        <w:i/>
                      </w:rPr>
                    </m:ctrlPr>
                  </m:fPr>
                  <m:num>
                    <m:r>
                      <w:rPr>
                        <w:rFonts w:ascii="Cambria Math" w:hAnsi="Cambria Math"/>
                      </w:rPr>
                      <m:t>∂(ε</m:t>
                    </m:r>
                    <m:sSub>
                      <m:sSubPr>
                        <m:ctrlPr>
                          <w:rPr>
                            <w:rFonts w:ascii="Cambria Math" w:hAnsi="Cambria Math"/>
                            <w:i/>
                          </w:rPr>
                        </m:ctrlPr>
                      </m:sSubPr>
                      <m:e>
                        <m:r>
                          <w:rPr>
                            <w:rFonts w:ascii="Cambria Math" w:hAnsi="Cambria Math"/>
                          </w:rPr>
                          <m:t>ρ</m:t>
                        </m:r>
                      </m:e>
                      <m:sub>
                        <m:r>
                          <w:rPr>
                            <w:rFonts w:ascii="Cambria Math" w:hAnsi="Cambria Math"/>
                          </w:rPr>
                          <m:t>g</m:t>
                        </m:r>
                      </m:sub>
                    </m:sSub>
                    <m:sSub>
                      <m:sSubPr>
                        <m:ctrlPr>
                          <w:rPr>
                            <w:rFonts w:ascii="Cambria Math" w:hAnsi="Cambria Math"/>
                            <w:i/>
                          </w:rPr>
                        </m:ctrlPr>
                      </m:sSubPr>
                      <m:e>
                        <m:r>
                          <w:rPr>
                            <w:rFonts w:ascii="Cambria Math" w:hAnsi="Cambria Math"/>
                          </w:rPr>
                          <m:t>Y</m:t>
                        </m:r>
                      </m:e>
                      <m:sub>
                        <m:r>
                          <w:rPr>
                            <w:rFonts w:ascii="Cambria Math" w:hAnsi="Cambria Math"/>
                          </w:rPr>
                          <m:t>g,i</m:t>
                        </m:r>
                      </m:sub>
                    </m:sSub>
                    <m:r>
                      <w:rPr>
                        <w:rFonts w:ascii="Cambria Math" w:hAnsi="Cambria Math"/>
                      </w:rPr>
                      <m:t>)</m:t>
                    </m:r>
                  </m:num>
                  <m:den>
                    <m:r>
                      <w:rPr>
                        <w:rFonts w:ascii="Cambria Math" w:hAnsi="Cambria Math"/>
                      </w:rPr>
                      <m:t>∂t</m:t>
                    </m:r>
                  </m:den>
                </m:f>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g</m:t>
                        </m:r>
                      </m:sub>
                    </m:sSub>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g</m:t>
                            </m:r>
                          </m:sub>
                        </m:sSub>
                      </m:e>
                    </m:acc>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g,i</m:t>
                        </m:r>
                      </m:sub>
                    </m:sSub>
                  </m:e>
                </m:d>
                <m:r>
                  <w:rPr>
                    <w:rFonts w:ascii="Cambria Math" w:hAnsi="Cambria Math"/>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ρ</m:t>
                    </m:r>
                  </m:e>
                  <m:sub>
                    <m:r>
                      <m:rPr>
                        <m:sty m:val="p"/>
                      </m:rPr>
                      <w:rPr>
                        <w:rFonts w:ascii="Cambria Math" w:hAnsi="Cambria Math"/>
                      </w:rPr>
                      <m:t>g</m:t>
                    </m:r>
                  </m:sub>
                </m:sSub>
                <m:sSub>
                  <m:sSubPr>
                    <m:ctrlPr>
                      <w:rPr>
                        <w:rFonts w:ascii="Cambria Math" w:hAnsi="Cambria Math"/>
                        <w:i/>
                      </w:rPr>
                    </m:ctrlPr>
                  </m:sSubPr>
                  <m:e>
                    <m:r>
                      <w:rPr>
                        <w:rFonts w:ascii="Cambria Math" w:hAnsi="Cambria Math"/>
                      </w:rPr>
                      <m:t>D</m:t>
                    </m:r>
                  </m:e>
                  <m:sub>
                    <m:r>
                      <w:rPr>
                        <w:rFonts w:ascii="Cambria Math" w:hAnsi="Cambria Math"/>
                      </w:rPr>
                      <m:t>g,i</m:t>
                    </m:r>
                  </m:sub>
                </m:sSub>
                <m:r>
                  <m:rPr>
                    <m:sty m:val="p"/>
                  </m:rP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g,i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g,i</m:t>
                    </m:r>
                  </m:sub>
                </m:sSub>
              </m:oMath>
            </m:oMathPara>
          </w:p>
        </w:tc>
        <w:tc>
          <w:tcPr>
            <w:tcW w:w="804" w:type="dxa"/>
            <w:shd w:val="clear" w:color="auto" w:fill="auto"/>
            <w:vAlign w:val="center"/>
          </w:tcPr>
          <w:p w14:paraId="110E02D6" w14:textId="395140CB" w:rsidR="003528C0" w:rsidRPr="00B57B36" w:rsidRDefault="003528C0" w:rsidP="001872F2">
            <w:pPr>
              <w:pStyle w:val="CETEquation"/>
              <w:jc w:val="right"/>
            </w:pPr>
            <w:r w:rsidRPr="00B57B36">
              <w:t>(</w:t>
            </w:r>
            <w:r>
              <w:t>4</w:t>
            </w:r>
            <w:r w:rsidRPr="00B57B36">
              <w:t>)</w:t>
            </w:r>
          </w:p>
        </w:tc>
      </w:tr>
      <w:tr w:rsidR="00F32FA7" w:rsidRPr="00B57B36" w14:paraId="6C70BD74" w14:textId="77777777" w:rsidTr="00666BFD">
        <w:trPr>
          <w:trHeight w:val="510"/>
        </w:trPr>
        <w:tc>
          <w:tcPr>
            <w:tcW w:w="7983" w:type="dxa"/>
            <w:shd w:val="clear" w:color="auto" w:fill="auto"/>
            <w:vAlign w:val="center"/>
          </w:tcPr>
          <w:p w14:paraId="4EF7B2AE" w14:textId="65805DA8" w:rsidR="00F32FA7" w:rsidRPr="00F32FA7" w:rsidRDefault="00DA681B" w:rsidP="001872F2">
            <w:pPr>
              <w:pStyle w:val="CETEquation"/>
              <w:rPr>
                <w:rFonts w:ascii="Cambria Math" w:hAnsi="Cambria Math"/>
                <w:oMath/>
              </w:rPr>
            </w:pPr>
            <m:oMathPara>
              <m:oMath>
                <m:f>
                  <m:fPr>
                    <m:ctrlPr>
                      <w:rPr>
                        <w:rFonts w:ascii="Cambria Math" w:hAnsi="Cambria Math"/>
                        <w:i/>
                      </w:rPr>
                    </m:ctrlPr>
                  </m:fPr>
                  <m:num>
                    <m:r>
                      <w:rPr>
                        <w:rFonts w:ascii="Cambria Math" w:hAnsi="Cambria Math"/>
                      </w:rPr>
                      <m:t>∂(ϕ</m:t>
                    </m:r>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num>
                  <m:den>
                    <m:r>
                      <w:rPr>
                        <w:rFonts w:ascii="Cambria Math" w:hAnsi="Cambria Math"/>
                      </w:rPr>
                      <m:t>∂t</m:t>
                    </m:r>
                  </m:den>
                </m:f>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s</m:t>
                    </m:r>
                  </m:sub>
                </m:sSub>
              </m:oMath>
            </m:oMathPara>
          </w:p>
        </w:tc>
        <w:tc>
          <w:tcPr>
            <w:tcW w:w="804" w:type="dxa"/>
            <w:shd w:val="clear" w:color="auto" w:fill="auto"/>
            <w:vAlign w:val="center"/>
          </w:tcPr>
          <w:p w14:paraId="0F8E982D" w14:textId="78477A9B" w:rsidR="00F32FA7" w:rsidRPr="00B57B36" w:rsidRDefault="00F32FA7" w:rsidP="001872F2">
            <w:pPr>
              <w:pStyle w:val="CETEquation"/>
              <w:jc w:val="right"/>
            </w:pPr>
            <w:r w:rsidRPr="00B57B36">
              <w:t>(</w:t>
            </w:r>
            <w:r>
              <w:t>5</w:t>
            </w:r>
            <w:r w:rsidRPr="00B57B36">
              <w:t>)</w:t>
            </w:r>
          </w:p>
        </w:tc>
      </w:tr>
      <w:tr w:rsidR="00E83386" w:rsidRPr="00B57B36" w14:paraId="361079D9" w14:textId="77777777" w:rsidTr="00666BFD">
        <w:trPr>
          <w:trHeight w:val="510"/>
        </w:trPr>
        <w:tc>
          <w:tcPr>
            <w:tcW w:w="7983" w:type="dxa"/>
            <w:shd w:val="clear" w:color="auto" w:fill="auto"/>
            <w:vAlign w:val="center"/>
          </w:tcPr>
          <w:p w14:paraId="3C20F371" w14:textId="279BC979" w:rsidR="00E83386" w:rsidRPr="00F32FA7" w:rsidRDefault="00DA681B" w:rsidP="001872F2">
            <w:pPr>
              <w:pStyle w:val="CETEquation"/>
              <w:rPr>
                <w:rFonts w:ascii="Cambria Math" w:hAnsi="Cambria Math"/>
                <w:oMath/>
              </w:rPr>
            </w:pPr>
            <m:oMathPara>
              <m:oMath>
                <m:f>
                  <m:fPr>
                    <m:ctrlPr>
                      <w:rPr>
                        <w:rFonts w:ascii="Cambria Math" w:hAnsi="Cambria Math"/>
                        <w:i/>
                      </w:rPr>
                    </m:ctrlPr>
                  </m:fPr>
                  <m:num>
                    <m:r>
                      <w:rPr>
                        <w:rFonts w:ascii="Cambria Math" w:hAnsi="Cambria Math"/>
                      </w:rPr>
                      <m:t>ϕ</m:t>
                    </m:r>
                    <m:sSub>
                      <m:sSubPr>
                        <m:ctrlPr>
                          <w:rPr>
                            <w:rFonts w:ascii="Cambria Math" w:hAnsi="Cambria Math"/>
                            <w:i/>
                          </w:rPr>
                        </m:ctrlPr>
                      </m:sSubPr>
                      <m:e>
                        <m:r>
                          <w:rPr>
                            <w:rFonts w:ascii="Cambria Math" w:hAnsi="Cambria Math"/>
                          </w:rPr>
                          <m:t>ρ</m:t>
                        </m:r>
                      </m:e>
                      <m:sub>
                        <m:r>
                          <w:rPr>
                            <w:rFonts w:ascii="Cambria Math" w:hAnsi="Cambria Math"/>
                          </w:rPr>
                          <m:t>s</m:t>
                        </m:r>
                      </m:sub>
                    </m:sSub>
                    <m:sSub>
                      <m:sSubPr>
                        <m:ctrlPr>
                          <w:rPr>
                            <w:rFonts w:ascii="Cambria Math" w:hAnsi="Cambria Math"/>
                            <w:i/>
                          </w:rPr>
                        </m:ctrlPr>
                      </m:sSubPr>
                      <m:e>
                        <m:r>
                          <w:rPr>
                            <w:rFonts w:ascii="Cambria Math" w:hAnsi="Cambria Math"/>
                          </w:rPr>
                          <m:t>c</m:t>
                        </m:r>
                      </m:e>
                      <m:sub>
                        <m:r>
                          <w:rPr>
                            <w:rFonts w:ascii="Cambria Math" w:hAnsi="Cambria Math"/>
                          </w:rPr>
                          <m:t>p,s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num>
                  <m:den>
                    <m:r>
                      <w:rPr>
                        <w:rFonts w:ascii="Cambria Math" w:hAnsi="Cambria Math"/>
                      </w:rPr>
                      <m:t>∂t</m:t>
                    </m:r>
                  </m:den>
                </m:f>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g-s</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e>
                </m:d>
                <m:r>
                  <w:rPr>
                    <w:rFonts w:ascii="Cambria Math" w:hAnsi="Cambria Math"/>
                  </w:rPr>
                  <m:t>+Δ</m:t>
                </m:r>
                <m:sSub>
                  <m:sSubPr>
                    <m:ctrlPr>
                      <w:rPr>
                        <w:rFonts w:ascii="Cambria Math" w:hAnsi="Cambria Math"/>
                        <w:i/>
                      </w:rPr>
                    </m:ctrlPr>
                  </m:sSubPr>
                  <m:e>
                    <m:r>
                      <w:rPr>
                        <w:rFonts w:ascii="Cambria Math" w:hAnsi="Cambria Math"/>
                      </w:rPr>
                      <m:t>H</m:t>
                    </m:r>
                  </m:e>
                  <m:sub>
                    <m:r>
                      <w:rPr>
                        <w:rFonts w:ascii="Cambria Math" w:hAnsi="Cambria Math"/>
                      </w:rPr>
                      <m:t>r.s</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rad,s</m:t>
                    </m:r>
                  </m:sub>
                </m:sSub>
              </m:oMath>
            </m:oMathPara>
          </w:p>
        </w:tc>
        <w:tc>
          <w:tcPr>
            <w:tcW w:w="804" w:type="dxa"/>
            <w:shd w:val="clear" w:color="auto" w:fill="auto"/>
            <w:vAlign w:val="center"/>
          </w:tcPr>
          <w:p w14:paraId="572809E5" w14:textId="1972FDB1" w:rsidR="00E83386" w:rsidRPr="00B57B36" w:rsidRDefault="00E83386" w:rsidP="001872F2">
            <w:pPr>
              <w:pStyle w:val="CETEquation"/>
              <w:jc w:val="right"/>
            </w:pPr>
            <w:r w:rsidRPr="00B57B36">
              <w:t>(</w:t>
            </w:r>
            <w:r w:rsidR="00C93494">
              <w:t>6</w:t>
            </w:r>
            <w:r w:rsidRPr="00B57B36">
              <w:t>)</w:t>
            </w:r>
          </w:p>
        </w:tc>
      </w:tr>
      <w:tr w:rsidR="00E83386" w:rsidRPr="00B57B36" w14:paraId="22AAB652" w14:textId="77777777" w:rsidTr="00666BFD">
        <w:trPr>
          <w:trHeight w:val="510"/>
        </w:trPr>
        <w:tc>
          <w:tcPr>
            <w:tcW w:w="7983" w:type="dxa"/>
            <w:shd w:val="clear" w:color="auto" w:fill="auto"/>
            <w:vAlign w:val="center"/>
          </w:tcPr>
          <w:p w14:paraId="311F43A3" w14:textId="5301C9D6" w:rsidR="00E83386" w:rsidRPr="00F32FA7" w:rsidRDefault="00DA681B" w:rsidP="001872F2">
            <w:pPr>
              <w:pStyle w:val="CETEquation"/>
              <w:rPr>
                <w:rFonts w:ascii="Cambria Math" w:hAnsi="Cambria Math"/>
                <w:oMath/>
              </w:rPr>
            </w:pPr>
            <m:oMathPara>
              <m:oMath>
                <m:f>
                  <m:fPr>
                    <m:ctrlPr>
                      <w:rPr>
                        <w:rFonts w:ascii="Cambria Math" w:hAnsi="Cambria Math"/>
                        <w:i/>
                      </w:rPr>
                    </m:ctrlPr>
                  </m:fPr>
                  <m:num>
                    <m:r>
                      <w:rPr>
                        <w:rFonts w:ascii="Cambria Math" w:hAnsi="Cambria Math"/>
                      </w:rPr>
                      <m:t>∂</m:t>
                    </m:r>
                    <m:d>
                      <m:dPr>
                        <m:ctrlPr>
                          <w:rPr>
                            <w:rFonts w:ascii="Cambria Math" w:hAnsi="Cambria Math"/>
                            <w:i/>
                          </w:rPr>
                        </m:ctrlPr>
                      </m:dPr>
                      <m:e>
                        <m:r>
                          <w:rPr>
                            <w:rFonts w:ascii="Cambria Math" w:hAnsi="Cambria Math"/>
                          </w:rPr>
                          <m:t>ϕ</m:t>
                        </m:r>
                        <m:sSub>
                          <m:sSubPr>
                            <m:ctrlPr>
                              <w:rPr>
                                <w:rFonts w:ascii="Cambria Math" w:hAnsi="Cambria Math"/>
                                <w:i/>
                              </w:rPr>
                            </m:ctrlPr>
                          </m:sSubPr>
                          <m:e>
                            <m:r>
                              <w:rPr>
                                <w:rFonts w:ascii="Cambria Math" w:hAnsi="Cambria Math"/>
                              </w:rPr>
                              <m:t>ρ</m:t>
                            </m:r>
                          </m:e>
                          <m:sub>
                            <m:r>
                              <w:rPr>
                                <w:rFonts w:ascii="Cambria Math" w:hAnsi="Cambria Math"/>
                              </w:rPr>
                              <m:t>s</m:t>
                            </m:r>
                          </m:sub>
                        </m:sSub>
                        <m:sSub>
                          <m:sSubPr>
                            <m:ctrlPr>
                              <w:rPr>
                                <w:rFonts w:ascii="Cambria Math" w:hAnsi="Cambria Math"/>
                                <w:i/>
                              </w:rPr>
                            </m:ctrlPr>
                          </m:sSubPr>
                          <m:e>
                            <m:r>
                              <w:rPr>
                                <w:rFonts w:ascii="Cambria Math" w:hAnsi="Cambria Math"/>
                              </w:rPr>
                              <m:t>Y</m:t>
                            </m:r>
                          </m:e>
                          <m:sub>
                            <m:r>
                              <w:rPr>
                                <w:rFonts w:ascii="Cambria Math" w:hAnsi="Cambria Math"/>
                              </w:rPr>
                              <m:t>s,k</m:t>
                            </m:r>
                          </m:sub>
                        </m:sSub>
                      </m:e>
                    </m:d>
                  </m:num>
                  <m:den>
                    <m:r>
                      <w:rPr>
                        <w:rFonts w:ascii="Cambria Math" w:hAnsi="Cambria Math"/>
                      </w:rPr>
                      <m:t>∂t</m:t>
                    </m:r>
                  </m:den>
                </m:f>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s,k</m:t>
                    </m:r>
                  </m:sub>
                </m:sSub>
              </m:oMath>
            </m:oMathPara>
          </w:p>
        </w:tc>
        <w:tc>
          <w:tcPr>
            <w:tcW w:w="804" w:type="dxa"/>
            <w:shd w:val="clear" w:color="auto" w:fill="auto"/>
            <w:vAlign w:val="center"/>
          </w:tcPr>
          <w:p w14:paraId="17729AD6" w14:textId="325B099A" w:rsidR="00E83386" w:rsidRPr="00B57B36" w:rsidRDefault="00E83386" w:rsidP="001872F2">
            <w:pPr>
              <w:pStyle w:val="CETEquation"/>
              <w:jc w:val="right"/>
            </w:pPr>
            <w:r w:rsidRPr="00B57B36">
              <w:t>(</w:t>
            </w:r>
            <w:r w:rsidR="00C93494">
              <w:t>7</w:t>
            </w:r>
            <w:r w:rsidRPr="00B57B36">
              <w:t>)</w:t>
            </w:r>
          </w:p>
        </w:tc>
      </w:tr>
    </w:tbl>
    <w:p w14:paraId="57685D7C" w14:textId="55CB33E6" w:rsidR="00F03F15" w:rsidRDefault="007C5F3C" w:rsidP="007B7388">
      <w:pPr>
        <w:pStyle w:val="CETBodytext"/>
      </w:pPr>
      <w:r>
        <w:t xml:space="preserve">The momentum conservation equation of the gas phase is written as Eq (2), it contains the source term </w:t>
      </w:r>
      <m:oMath>
        <m:sSub>
          <m:sSubPr>
            <m:ctrlPr>
              <w:rPr>
                <w:rFonts w:ascii="Cambria Math" w:hAnsi="Cambria Math"/>
                <w:i/>
              </w:rPr>
            </m:ctrlPr>
          </m:sSubPr>
          <m:e>
            <m:r>
              <w:rPr>
                <w:rFonts w:ascii="Cambria Math" w:hAnsi="Cambria Math"/>
              </w:rPr>
              <m:t>f</m:t>
            </m:r>
          </m:e>
          <m:sub>
            <m:r>
              <w:rPr>
                <w:rFonts w:ascii="Cambria Math" w:hAnsi="Cambria Math"/>
              </w:rPr>
              <m:t>g</m:t>
            </m:r>
          </m:sub>
        </m:sSub>
      </m:oMath>
      <w:r>
        <w:t xml:space="preserve"> that describes the losses due to flow through the porous medium. </w:t>
      </w:r>
      <w:r w:rsidR="00F03F15">
        <w:t>This term was described by the Darcy-</w:t>
      </w:r>
      <w:proofErr w:type="spellStart"/>
      <w:r w:rsidR="00F03F15">
        <w:t>Forchheimer</w:t>
      </w:r>
      <w:proofErr w:type="spellEnd"/>
      <w:r w:rsidR="00F03F15">
        <w:t xml:space="preserve"> approach (Eq (8)).</w:t>
      </w:r>
      <w:r w:rsidR="007B7388">
        <w:t xml:space="preserve"> In which </w:t>
      </w:r>
      <m:oMath>
        <m:sSub>
          <m:sSubPr>
            <m:ctrlPr>
              <w:rPr>
                <w:rFonts w:ascii="Cambria Math" w:hAnsi="Cambria Math"/>
                <w:i/>
              </w:rPr>
            </m:ctrlPr>
          </m:sSubPr>
          <m:e>
            <m:r>
              <w:rPr>
                <w:rFonts w:ascii="Cambria Math" w:hAnsi="Cambria Math"/>
              </w:rPr>
              <m:t>μ</m:t>
            </m:r>
          </m:e>
          <m:sub>
            <m:r>
              <w:rPr>
                <w:rFonts w:ascii="Cambria Math" w:hAnsi="Cambria Math"/>
              </w:rPr>
              <m:t>g</m:t>
            </m:r>
          </m:sub>
        </m:sSub>
      </m:oMath>
      <w:r w:rsidR="007B7388">
        <w:t xml:space="preserve"> was the viscosity of the gaseous phase, </w:t>
      </w:r>
      <m:oMath>
        <m:sSub>
          <m:sSubPr>
            <m:ctrlPr>
              <w:rPr>
                <w:rFonts w:ascii="Cambria Math" w:hAnsi="Cambria Math"/>
                <w:i/>
              </w:rPr>
            </m:ctrlPr>
          </m:sSubPr>
          <m:e>
            <m:r>
              <w:rPr>
                <w:rFonts w:ascii="Cambria Math" w:hAnsi="Cambria Math"/>
              </w:rPr>
              <m:t>D</m:t>
            </m:r>
          </m:e>
          <m:sub>
            <m:r>
              <w:rPr>
                <w:rFonts w:ascii="Cambria Math" w:hAnsi="Cambria Math"/>
              </w:rPr>
              <m:t>ij</m:t>
            </m:r>
          </m:sub>
        </m:sSub>
      </m:oMath>
      <w:r w:rsidR="007B7388">
        <w:t xml:space="preserve"> and </w:t>
      </w:r>
      <m:oMath>
        <m:sSub>
          <m:sSubPr>
            <m:ctrlPr>
              <w:rPr>
                <w:rFonts w:ascii="Cambria Math" w:hAnsi="Cambria Math"/>
                <w:i/>
              </w:rPr>
            </m:ctrlPr>
          </m:sSubPr>
          <m:e>
            <m:r>
              <w:rPr>
                <w:rFonts w:ascii="Cambria Math" w:hAnsi="Cambria Math"/>
              </w:rPr>
              <m:t>F</m:t>
            </m:r>
          </m:e>
          <m:sub>
            <m:r>
              <w:rPr>
                <w:rFonts w:ascii="Cambria Math" w:hAnsi="Cambria Math"/>
              </w:rPr>
              <m:t>ij</m:t>
            </m:r>
          </m:sub>
        </m:sSub>
      </m:oMath>
      <w:r w:rsidR="007B7388">
        <w:t xml:space="preserve"> describe the permeability of the porous medium. They can be determined from experiments or derived of properties of the biomass for example based on Ergun equation.</w:t>
      </w:r>
    </w:p>
    <w:tbl>
      <w:tblPr>
        <w:tblW w:w="5000" w:type="pct"/>
        <w:tblLook w:val="04A0" w:firstRow="1" w:lastRow="0" w:firstColumn="1" w:lastColumn="0" w:noHBand="0" w:noVBand="1"/>
      </w:tblPr>
      <w:tblGrid>
        <w:gridCol w:w="7983"/>
        <w:gridCol w:w="804"/>
      </w:tblGrid>
      <w:tr w:rsidR="00F03F15" w:rsidRPr="00B57B36" w14:paraId="04579A13" w14:textId="77777777" w:rsidTr="002C131D">
        <w:tc>
          <w:tcPr>
            <w:tcW w:w="7983" w:type="dxa"/>
            <w:shd w:val="clear" w:color="auto" w:fill="auto"/>
            <w:vAlign w:val="center"/>
          </w:tcPr>
          <w:p w14:paraId="5FAE2E5F" w14:textId="70D5E989" w:rsidR="00F03F15" w:rsidRPr="00F32FA7" w:rsidRDefault="00DA681B" w:rsidP="002C131D">
            <w:pPr>
              <w:pStyle w:val="CETEquation"/>
              <w:rPr>
                <w:rFonts w:ascii="Cambria Math" w:hAnsi="Cambria Math"/>
                <w:oMath/>
              </w:rPr>
            </w:pPr>
            <m:oMathPara>
              <m:oMath>
                <m:sSub>
                  <m:sSubPr>
                    <m:ctrlPr>
                      <w:rPr>
                        <w:rFonts w:ascii="Cambria Math" w:hAnsi="Cambria Math"/>
                        <w:i/>
                      </w:rPr>
                    </m:ctrlPr>
                  </m:sSubPr>
                  <m:e>
                    <m:r>
                      <w:rPr>
                        <w:rFonts w:ascii="Cambria Math" w:hAnsi="Cambria Math"/>
                      </w:rPr>
                      <m:t>f</m:t>
                    </m:r>
                  </m:e>
                  <m:sub>
                    <m:r>
                      <w:rPr>
                        <w:rFonts w:ascii="Cambria Math" w:hAnsi="Cambria Math"/>
                      </w:rPr>
                      <m:t>g</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g</m:t>
                        </m:r>
                      </m:sub>
                    </m:sSub>
                    <m:sSub>
                      <m:sSubPr>
                        <m:ctrlPr>
                          <w:rPr>
                            <w:rFonts w:ascii="Cambria Math" w:hAnsi="Cambria Math"/>
                            <w:i/>
                          </w:rPr>
                        </m:ctrlPr>
                      </m:sSubPr>
                      <m:e>
                        <m:r>
                          <w:rPr>
                            <w:rFonts w:ascii="Cambria Math" w:hAnsi="Cambria Math"/>
                          </w:rPr>
                          <m:t>D</m:t>
                        </m:r>
                      </m:e>
                      <m:sub>
                        <m:r>
                          <w:rPr>
                            <w:rFonts w:ascii="Cambria Math" w:hAnsi="Cambria Math"/>
                          </w:rPr>
                          <m:t>ij</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ρ</m:t>
                        </m:r>
                      </m:e>
                      <m:sub>
                        <m:r>
                          <w:rPr>
                            <w:rFonts w:ascii="Cambria Math" w:hAnsi="Cambria Math"/>
                          </w:rPr>
                          <m:t>g</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g</m:t>
                            </m:r>
                          </m:sub>
                        </m:sSub>
                      </m:e>
                    </m:d>
                    <m:sSub>
                      <m:sSubPr>
                        <m:ctrlPr>
                          <w:rPr>
                            <w:rFonts w:ascii="Cambria Math" w:hAnsi="Cambria Math"/>
                            <w:i/>
                          </w:rPr>
                        </m:ctrlPr>
                      </m:sSubPr>
                      <m:e>
                        <m:r>
                          <w:rPr>
                            <w:rFonts w:ascii="Cambria Math" w:hAnsi="Cambria Math"/>
                          </w:rPr>
                          <m:t>F</m:t>
                        </m:r>
                      </m:e>
                      <m:sub>
                        <m:r>
                          <w:rPr>
                            <w:rFonts w:ascii="Cambria Math" w:hAnsi="Cambria Math"/>
                          </w:rPr>
                          <m:t>ij</m:t>
                        </m:r>
                      </m:sub>
                    </m:sSub>
                  </m:e>
                </m:d>
                <m:sSub>
                  <m:sSubPr>
                    <m:ctrlPr>
                      <w:rPr>
                        <w:rFonts w:ascii="Cambria Math" w:hAnsi="Cambria Math"/>
                        <w:i/>
                      </w:rPr>
                    </m:ctrlPr>
                  </m:sSubPr>
                  <m:e>
                    <m:r>
                      <w:rPr>
                        <w:rFonts w:ascii="Cambria Math" w:hAnsi="Cambria Math"/>
                      </w:rPr>
                      <m:t>u</m:t>
                    </m:r>
                  </m:e>
                  <m:sub>
                    <m:r>
                      <w:rPr>
                        <w:rFonts w:ascii="Cambria Math" w:hAnsi="Cambria Math"/>
                      </w:rPr>
                      <m:t>g</m:t>
                    </m:r>
                  </m:sub>
                </m:sSub>
              </m:oMath>
            </m:oMathPara>
          </w:p>
        </w:tc>
        <w:tc>
          <w:tcPr>
            <w:tcW w:w="804" w:type="dxa"/>
            <w:shd w:val="clear" w:color="auto" w:fill="auto"/>
            <w:vAlign w:val="center"/>
          </w:tcPr>
          <w:p w14:paraId="3835D5CB" w14:textId="46487368" w:rsidR="00F03F15" w:rsidRPr="00B57B36" w:rsidRDefault="00F03F15" w:rsidP="002C131D">
            <w:pPr>
              <w:pStyle w:val="CETEquation"/>
              <w:jc w:val="right"/>
            </w:pPr>
            <w:r w:rsidRPr="00B57B36">
              <w:t>(</w:t>
            </w:r>
            <w:r>
              <w:t>8</w:t>
            </w:r>
            <w:r w:rsidRPr="00B57B36">
              <w:t>)</w:t>
            </w:r>
          </w:p>
        </w:tc>
      </w:tr>
    </w:tbl>
    <w:p w14:paraId="562C6CC3" w14:textId="62092DC2" w:rsidR="00D52ADB" w:rsidRDefault="007C5F3C" w:rsidP="00D52ADB">
      <w:pPr>
        <w:pStyle w:val="CETBodytext"/>
      </w:pPr>
      <w:r>
        <w:t>The solid phase is assumed to be fixed and therefore no momentum equation is provided. Eq (3) is the conservation equation for energy for the gas phase. It contains a term for heat exchange with the solid energy conservation equation (Eq (6)), heat of reaction, heat from radiation</w:t>
      </w:r>
      <w:r w:rsidR="00917BE0">
        <w:t xml:space="preserve"> </w:t>
      </w:r>
      <m:oMath>
        <m:sSub>
          <m:sSubPr>
            <m:ctrlPr>
              <w:rPr>
                <w:rFonts w:ascii="Cambria Math" w:hAnsi="Cambria Math"/>
                <w:i/>
              </w:rPr>
            </m:ctrlPr>
          </m:sSubPr>
          <m:e>
            <m:r>
              <w:rPr>
                <w:rFonts w:ascii="Cambria Math" w:hAnsi="Cambria Math"/>
              </w:rPr>
              <m:t xml:space="preserve"> </m:t>
            </m:r>
            <m:acc>
              <m:accPr>
                <m:chr m:val="̇"/>
                <m:ctrlPr>
                  <w:rPr>
                    <w:rFonts w:ascii="Cambria Math" w:hAnsi="Cambria Math"/>
                    <w:i/>
                  </w:rPr>
                </m:ctrlPr>
              </m:accPr>
              <m:e>
                <m:r>
                  <w:rPr>
                    <w:rFonts w:ascii="Cambria Math" w:hAnsi="Cambria Math"/>
                  </w:rPr>
                  <m:t>Q</m:t>
                </m:r>
              </m:e>
            </m:acc>
          </m:e>
          <m:sub>
            <m:r>
              <w:rPr>
                <w:rFonts w:ascii="Cambria Math" w:hAnsi="Cambria Math"/>
              </w:rPr>
              <m:t>rad,g</m:t>
            </m:r>
          </m:sub>
        </m:sSub>
      </m:oMath>
      <w:r>
        <w:t xml:space="preserve"> and the term Γ that describes the energy that is used to bring gaseous species formed from solid reactions to the same temperature as the gas phase. </w:t>
      </w:r>
      <w:r w:rsidR="00D52ADB">
        <w:t>The heat up of the gas</w:t>
      </w:r>
      <w:r w:rsidR="0087336F">
        <w:t>e</w:t>
      </w:r>
      <w:r w:rsidR="00D52ADB">
        <w:t xml:space="preserve">ous species was described by Equation (9), in which </w:t>
      </w:r>
      <m:oMath>
        <m:sSub>
          <m:sSubPr>
            <m:ctrlPr>
              <w:rPr>
                <w:rFonts w:ascii="Cambria Math" w:hAnsi="Cambria Math"/>
                <w:i/>
              </w:rPr>
            </m:ctrlPr>
          </m:sSubPr>
          <m:e>
            <m:r>
              <w:rPr>
                <w:rFonts w:ascii="Cambria Math" w:hAnsi="Cambria Math"/>
              </w:rPr>
              <m:t>R</m:t>
            </m:r>
          </m:e>
          <m:sub>
            <m:r>
              <w:rPr>
                <w:rFonts w:ascii="Cambria Math" w:hAnsi="Cambria Math"/>
              </w:rPr>
              <m:t>g,i</m:t>
            </m:r>
          </m:sub>
        </m:sSub>
      </m:oMath>
      <w:r w:rsidR="00D52ADB">
        <w:t xml:space="preserve"> is the change rate of density of one component </w:t>
      </w:r>
      <w:proofErr w:type="spellStart"/>
      <w:r w:rsidR="00D52ADB">
        <w:t>i</w:t>
      </w:r>
      <w:proofErr w:type="spellEnd"/>
      <w:r w:rsidR="00D52ADB">
        <w:t xml:space="preserve"> and </w:t>
      </w:r>
      <m:oMath>
        <m:sSub>
          <m:sSubPr>
            <m:ctrlPr>
              <w:rPr>
                <w:rFonts w:ascii="Cambria Math" w:hAnsi="Cambria Math"/>
                <w:i/>
              </w:rPr>
            </m:ctrlPr>
          </m:sSubPr>
          <m:e>
            <m:r>
              <w:rPr>
                <w:rFonts w:ascii="Cambria Math" w:hAnsi="Cambria Math"/>
              </w:rPr>
              <m:t>H</m:t>
            </m:r>
          </m:e>
          <m:sub>
            <m:r>
              <w:rPr>
                <w:rFonts w:ascii="Cambria Math" w:hAnsi="Cambria Math"/>
              </w:rPr>
              <m:t>s,i</m:t>
            </m:r>
          </m:sub>
        </m:sSub>
      </m:oMath>
      <w:r w:rsidR="00D52ADB">
        <w:t xml:space="preserve"> is the sensible enthalpy of a component </w:t>
      </w:r>
      <w:proofErr w:type="spellStart"/>
      <w:r w:rsidR="00D52ADB">
        <w:t>i</w:t>
      </w:r>
      <w:proofErr w:type="spellEnd"/>
      <w:r w:rsidR="00D52ADB">
        <w:t>.</w:t>
      </w:r>
    </w:p>
    <w:tbl>
      <w:tblPr>
        <w:tblW w:w="5000" w:type="pct"/>
        <w:tblLook w:val="04A0" w:firstRow="1" w:lastRow="0" w:firstColumn="1" w:lastColumn="0" w:noHBand="0" w:noVBand="1"/>
      </w:tblPr>
      <w:tblGrid>
        <w:gridCol w:w="7983"/>
        <w:gridCol w:w="804"/>
      </w:tblGrid>
      <w:tr w:rsidR="00D52ADB" w:rsidRPr="00B57B36" w14:paraId="5B27AAEF" w14:textId="77777777" w:rsidTr="002C131D">
        <w:tc>
          <w:tcPr>
            <w:tcW w:w="7983" w:type="dxa"/>
            <w:shd w:val="clear" w:color="auto" w:fill="auto"/>
            <w:vAlign w:val="center"/>
          </w:tcPr>
          <w:p w14:paraId="76E857A5" w14:textId="5792FCBB" w:rsidR="00D52ADB" w:rsidRPr="00F32FA7" w:rsidRDefault="00D52ADB" w:rsidP="002C131D">
            <w:pPr>
              <w:pStyle w:val="CETEquation"/>
              <w:rPr>
                <w:rFonts w:ascii="Cambria Math" w:hAnsi="Cambria Math"/>
                <w:oMath/>
              </w:rPr>
            </w:pPr>
            <m:oMathPara>
              <m:oMath>
                <m:r>
                  <m:rPr>
                    <m:sty m:val="p"/>
                  </m:rPr>
                  <w:rPr>
                    <w:rFonts w:ascii="Cambria Math" w:hAnsi="Cambria Math"/>
                  </w:rPr>
                  <m:t>Γ</m:t>
                </m:r>
                <m:r>
                  <w:rPr>
                    <w:rFonts w:ascii="Cambria Math" w:hAnsi="Cambria Math"/>
                  </w:rPr>
                  <m:t xml:space="preserve"> =</m:t>
                </m:r>
                <m:nary>
                  <m:naryPr>
                    <m:chr m:val="∑"/>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s,i</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s</m:t>
                                </m:r>
                              </m:sub>
                            </m:sSub>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s,i</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g</m:t>
                                </m:r>
                              </m:sub>
                            </m:sSub>
                          </m:e>
                        </m:d>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g,i</m:t>
                        </m:r>
                      </m:sub>
                    </m:sSub>
                  </m:e>
                </m:nary>
              </m:oMath>
            </m:oMathPara>
          </w:p>
        </w:tc>
        <w:tc>
          <w:tcPr>
            <w:tcW w:w="804" w:type="dxa"/>
            <w:shd w:val="clear" w:color="auto" w:fill="auto"/>
            <w:vAlign w:val="center"/>
          </w:tcPr>
          <w:p w14:paraId="4A773B38" w14:textId="4912FF06" w:rsidR="00D52ADB" w:rsidRPr="00B57B36" w:rsidRDefault="00D52ADB" w:rsidP="002C131D">
            <w:pPr>
              <w:pStyle w:val="CETEquation"/>
              <w:jc w:val="right"/>
            </w:pPr>
            <w:r w:rsidRPr="00B57B36">
              <w:t>(</w:t>
            </w:r>
            <w:r w:rsidR="0095268C">
              <w:t>9</w:t>
            </w:r>
            <w:r w:rsidRPr="00B57B36">
              <w:t>)</w:t>
            </w:r>
          </w:p>
        </w:tc>
      </w:tr>
    </w:tbl>
    <w:p w14:paraId="6D9C4245" w14:textId="5B3408C9" w:rsidR="0095268C" w:rsidRDefault="0095268C" w:rsidP="0095268C">
      <w:pPr>
        <w:pStyle w:val="CETBodytext"/>
      </w:pPr>
      <w:r>
        <w:t xml:space="preserve">According to </w:t>
      </w:r>
      <w:proofErr w:type="spellStart"/>
      <w:r>
        <w:t>Klason</w:t>
      </w:r>
      <w:proofErr w:type="spellEnd"/>
      <w:r>
        <w:t xml:space="preserve"> et al. </w:t>
      </w:r>
      <w:r w:rsidR="00705F72">
        <w:t>(2008)</w:t>
      </w:r>
      <w:r>
        <w:t xml:space="preserve"> the boundary condition for the radiative heat transfer with the P1 radiation model</w:t>
      </w:r>
      <w:r w:rsidR="00705F72">
        <w:t xml:space="preserve"> on the surface of the solid</w:t>
      </w:r>
      <w:r>
        <w:t xml:space="preserve">, can best be described by the </w:t>
      </w:r>
      <w:proofErr w:type="spellStart"/>
      <w:r>
        <w:t>Marshak</w:t>
      </w:r>
      <w:proofErr w:type="spellEnd"/>
      <w:r>
        <w:t xml:space="preserve"> boundary condition (Equation (</w:t>
      </w:r>
      <w:r w:rsidR="00705F72">
        <w:t>10</w:t>
      </w:r>
      <w:r>
        <w:t>)).</w:t>
      </w:r>
      <w:r w:rsidR="00705F72">
        <w:t xml:space="preserve"> In which </w:t>
      </w:r>
      <m:oMath>
        <m:sSub>
          <m:sSubPr>
            <m:ctrlPr>
              <w:rPr>
                <w:rFonts w:ascii="Cambria Math" w:hAnsi="Cambria Math"/>
                <w:i/>
              </w:rPr>
            </m:ctrlPr>
          </m:sSubPr>
          <m:e>
            <m:r>
              <w:rPr>
                <w:rFonts w:ascii="Cambria Math" w:hAnsi="Cambria Math"/>
              </w:rPr>
              <m:t>ε</m:t>
            </m:r>
          </m:e>
          <m:sub>
            <m:r>
              <w:rPr>
                <w:rFonts w:ascii="Cambria Math" w:hAnsi="Cambria Math"/>
              </w:rPr>
              <m:t>s</m:t>
            </m:r>
          </m:sub>
        </m:sSub>
      </m:oMath>
      <w:r w:rsidR="00705F72">
        <w:t xml:space="preserve"> is the emissivity of the solid, </w:t>
      </w:r>
      <m:oMath>
        <m:r>
          <w:rPr>
            <w:rFonts w:ascii="Cambria Math" w:hAnsi="Cambria Math"/>
          </w:rPr>
          <m:t>σ</m:t>
        </m:r>
      </m:oMath>
      <w:r w:rsidR="00705F72">
        <w:t xml:space="preserve"> is the Stefan-Boltzmann constant, </w:t>
      </w: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s</m:t>
            </m:r>
          </m:sub>
        </m:sSub>
      </m:oMath>
      <w:r w:rsidR="00705F72">
        <w:t xml:space="preserve"> is the temperature of the solid and </w:t>
      </w:r>
      <m:oMath>
        <m:r>
          <w:rPr>
            <w:rFonts w:ascii="Cambria Math" w:hAnsi="Cambria Math"/>
          </w:rPr>
          <m:t>G</m:t>
        </m:r>
      </m:oMath>
      <w:r w:rsidR="00705F72">
        <w:t xml:space="preserve"> is the radiation field calculated by </w:t>
      </w:r>
      <w:proofErr w:type="spellStart"/>
      <w:r w:rsidR="00705F72">
        <w:t>OpenFOAM</w:t>
      </w:r>
      <w:proofErr w:type="spellEnd"/>
      <w:r w:rsidR="00705F72">
        <w:t xml:space="preserve"> from the P1 radiation model.</w:t>
      </w:r>
    </w:p>
    <w:tbl>
      <w:tblPr>
        <w:tblW w:w="5000" w:type="pct"/>
        <w:tblLook w:val="04A0" w:firstRow="1" w:lastRow="0" w:firstColumn="1" w:lastColumn="0" w:noHBand="0" w:noVBand="1"/>
      </w:tblPr>
      <w:tblGrid>
        <w:gridCol w:w="7983"/>
        <w:gridCol w:w="804"/>
      </w:tblGrid>
      <w:tr w:rsidR="0095268C" w:rsidRPr="00B57B36" w14:paraId="591C4828" w14:textId="77777777" w:rsidTr="002C131D">
        <w:tc>
          <w:tcPr>
            <w:tcW w:w="7983" w:type="dxa"/>
            <w:shd w:val="clear" w:color="auto" w:fill="auto"/>
            <w:vAlign w:val="center"/>
          </w:tcPr>
          <w:p w14:paraId="37CF63E8" w14:textId="475A0BF3" w:rsidR="0095268C" w:rsidRPr="00F32FA7" w:rsidRDefault="00DA681B" w:rsidP="002C131D">
            <w:pPr>
              <w:pStyle w:val="CETEquation"/>
              <w:rPr>
                <w:rFonts w:ascii="Cambria Math" w:hAnsi="Cambria Math"/>
                <w:oMath/>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rad,s</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ε</m:t>
                        </m:r>
                      </m:e>
                      <m:sub>
                        <m:r>
                          <w:rPr>
                            <w:rFonts w:ascii="Cambria Math" w:hAnsi="Cambria Math"/>
                          </w:rPr>
                          <m:t>s</m:t>
                        </m:r>
                      </m:sub>
                    </m:sSub>
                  </m:num>
                  <m:den>
                    <m:r>
                      <w:rPr>
                        <w:rFonts w:ascii="Cambria Math" w:hAnsi="Cambria Math"/>
                      </w:rPr>
                      <m:t>2+2</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ε</m:t>
                            </m:r>
                          </m:e>
                          <m:sub>
                            <m:r>
                              <w:rPr>
                                <w:rFonts w:ascii="Cambria Math" w:hAnsi="Cambria Math"/>
                              </w:rPr>
                              <m:t>s</m:t>
                            </m:r>
                          </m:sub>
                        </m:sSub>
                      </m:e>
                    </m:d>
                  </m:den>
                </m:f>
                <m:d>
                  <m:dPr>
                    <m:ctrlPr>
                      <w:rPr>
                        <w:rFonts w:ascii="Cambria Math" w:hAnsi="Cambria Math"/>
                        <w:i/>
                      </w:rPr>
                    </m:ctrlPr>
                  </m:dPr>
                  <m:e>
                    <m:r>
                      <w:rPr>
                        <w:rFonts w:ascii="Cambria Math" w:hAnsi="Cambria Math"/>
                      </w:rPr>
                      <m:t>G-4σ</m:t>
                    </m:r>
                    <m:sSubSup>
                      <m:sSubSupPr>
                        <m:ctrlPr>
                          <w:rPr>
                            <w:rFonts w:ascii="Cambria Math" w:hAnsi="Cambria Math"/>
                            <w:i/>
                          </w:rPr>
                        </m:ctrlPr>
                      </m:sSubSupPr>
                      <m:e>
                        <m:r>
                          <w:rPr>
                            <w:rFonts w:ascii="Cambria Math" w:hAnsi="Cambria Math"/>
                          </w:rPr>
                          <m:t>T</m:t>
                        </m:r>
                      </m:e>
                      <m:sub>
                        <m:r>
                          <w:rPr>
                            <w:rFonts w:ascii="Cambria Math" w:hAnsi="Cambria Math"/>
                          </w:rPr>
                          <m:t>s</m:t>
                        </m:r>
                      </m:sub>
                      <m:sup>
                        <m:r>
                          <w:rPr>
                            <w:rFonts w:ascii="Cambria Math" w:hAnsi="Cambria Math"/>
                          </w:rPr>
                          <m:t>4</m:t>
                        </m:r>
                      </m:sup>
                    </m:sSubSup>
                  </m:e>
                </m:d>
              </m:oMath>
            </m:oMathPara>
          </w:p>
        </w:tc>
        <w:tc>
          <w:tcPr>
            <w:tcW w:w="804" w:type="dxa"/>
            <w:shd w:val="clear" w:color="auto" w:fill="auto"/>
            <w:vAlign w:val="center"/>
          </w:tcPr>
          <w:p w14:paraId="2A389E43" w14:textId="208C2907" w:rsidR="0095268C" w:rsidRPr="00B57B36" w:rsidRDefault="0095268C" w:rsidP="002C131D">
            <w:pPr>
              <w:pStyle w:val="CETEquation"/>
              <w:jc w:val="right"/>
            </w:pPr>
            <w:r w:rsidRPr="00B57B36">
              <w:t>(</w:t>
            </w:r>
            <w:r>
              <w:t>10</w:t>
            </w:r>
            <w:r w:rsidRPr="00B57B36">
              <w:t>)</w:t>
            </w:r>
          </w:p>
        </w:tc>
      </w:tr>
    </w:tbl>
    <w:p w14:paraId="271A7FD4" w14:textId="6254F9B9" w:rsidR="009B437C" w:rsidRDefault="0095268C" w:rsidP="009B437C">
      <w:pPr>
        <w:pStyle w:val="CETBodytext"/>
      </w:pPr>
      <w:r>
        <w:t>The calculation of radiation is especially important, when combining the porous medium model with a gas phase combustion model to simulate the radiative heat transfer from flame to biomass correctly</w:t>
      </w:r>
      <w:r w:rsidR="0087336F">
        <w:t>.</w:t>
      </w:r>
      <w:r w:rsidR="00162054">
        <w:t xml:space="preserve"> </w:t>
      </w:r>
      <w:r w:rsidR="007C5F3C">
        <w:t>The species conservation equations for the gas phase Eq (4) and solid phase Eq (7) each include a source term for the</w:t>
      </w:r>
      <w:r w:rsidR="00CD39DD">
        <w:t xml:space="preserve"> solid </w:t>
      </w:r>
      <m:oMath>
        <m:sSub>
          <m:sSubPr>
            <m:ctrlPr>
              <w:rPr>
                <w:rFonts w:ascii="Cambria Math" w:hAnsi="Cambria Math"/>
                <w:i/>
              </w:rPr>
            </m:ctrlPr>
          </m:sSubPr>
          <m:e>
            <m:r>
              <w:rPr>
                <w:rFonts w:ascii="Cambria Math" w:hAnsi="Cambria Math"/>
              </w:rPr>
              <m:t>R</m:t>
            </m:r>
          </m:e>
          <m:sub>
            <m:r>
              <w:rPr>
                <w:rFonts w:ascii="Cambria Math" w:hAnsi="Cambria Math"/>
              </w:rPr>
              <m:t>s,k</m:t>
            </m:r>
          </m:sub>
        </m:sSub>
      </m:oMath>
      <w:r w:rsidR="00CD39DD">
        <w:t xml:space="preserve"> and gaseous </w:t>
      </w:r>
      <m:oMath>
        <m:sSub>
          <m:sSubPr>
            <m:ctrlPr>
              <w:rPr>
                <w:rFonts w:ascii="Cambria Math" w:hAnsi="Cambria Math"/>
                <w:i/>
              </w:rPr>
            </m:ctrlPr>
          </m:sSubPr>
          <m:e>
            <m:r>
              <w:rPr>
                <w:rFonts w:ascii="Cambria Math" w:hAnsi="Cambria Math"/>
              </w:rPr>
              <m:t>R</m:t>
            </m:r>
          </m:e>
          <m:sub>
            <m:r>
              <w:rPr>
                <w:rFonts w:ascii="Cambria Math" w:hAnsi="Cambria Math"/>
              </w:rPr>
              <m:t>g,i</m:t>
            </m:r>
          </m:sub>
        </m:sSub>
      </m:oMath>
      <w:r w:rsidR="007C5F3C">
        <w:t xml:space="preserve"> species formed and consumed during heterogeneous and homogeneous reactions.</w:t>
      </w:r>
      <w:r w:rsidR="00162054">
        <w:t xml:space="preserve"> </w:t>
      </w:r>
      <w:r w:rsidR="00CD39DD">
        <w:t xml:space="preserve">They are </w:t>
      </w:r>
      <w:r w:rsidR="00CD39DD">
        <w:t xml:space="preserve">calculated from the kinetics of the </w:t>
      </w:r>
      <w:r w:rsidR="00CD39DD">
        <w:t xml:space="preserve">decomposition reactions of the biomass. </w:t>
      </w:r>
      <w:r w:rsidR="009B437C">
        <w:t xml:space="preserve">In the modelling approach </w:t>
      </w:r>
      <w:r w:rsidR="00CD39DD">
        <w:t xml:space="preserve">used </w:t>
      </w:r>
      <w:r w:rsidR="009B437C">
        <w:t>in this paper a kinetic reaction scheme for pyrolysis with three parallel reactions (Eq (</w:t>
      </w:r>
      <w:r w:rsidR="00AC430E">
        <w:t>1</w:t>
      </w:r>
      <w:r w:rsidR="007B52DB">
        <w:t>1</w:t>
      </w:r>
      <w:r w:rsidR="009B437C">
        <w:t>) to Eq (</w:t>
      </w:r>
      <w:r w:rsidR="00F03F15">
        <w:t>1</w:t>
      </w:r>
      <w:r w:rsidR="00AC430E">
        <w:t>3</w:t>
      </w:r>
      <w:r w:rsidR="009B437C">
        <w:t xml:space="preserve">)) was used. </w:t>
      </w:r>
    </w:p>
    <w:tbl>
      <w:tblPr>
        <w:tblW w:w="5000" w:type="pct"/>
        <w:tblLook w:val="04A0" w:firstRow="1" w:lastRow="0" w:firstColumn="1" w:lastColumn="0" w:noHBand="0" w:noVBand="1"/>
      </w:tblPr>
      <w:tblGrid>
        <w:gridCol w:w="7983"/>
        <w:gridCol w:w="804"/>
      </w:tblGrid>
      <w:tr w:rsidR="00303C1A" w:rsidRPr="00B57B36" w14:paraId="61ABE0A9" w14:textId="77777777" w:rsidTr="002C131D">
        <w:tc>
          <w:tcPr>
            <w:tcW w:w="7983" w:type="dxa"/>
            <w:shd w:val="clear" w:color="auto" w:fill="auto"/>
            <w:vAlign w:val="center"/>
          </w:tcPr>
          <w:p w14:paraId="0E09A69F" w14:textId="5C563C72" w:rsidR="00303C1A" w:rsidRPr="00303C1A" w:rsidRDefault="00303C1A" w:rsidP="002C131D">
            <w:pPr>
              <w:pStyle w:val="CETEquation"/>
              <w:rPr>
                <w:rFonts w:ascii="Cambria Math" w:hAnsi="Cambria Math"/>
                <w:oMath/>
              </w:rPr>
            </w:pPr>
            <m:oMathPara>
              <m:oMath>
                <m:r>
                  <m:rPr>
                    <m:sty m:val="p"/>
                  </m:rPr>
                  <w:rPr>
                    <w:rFonts w:ascii="Cambria Math" w:hAnsi="Cambria Math"/>
                  </w:rPr>
                  <m:t>cellulose→volatiles+char</m:t>
                </m:r>
              </m:oMath>
            </m:oMathPara>
          </w:p>
        </w:tc>
        <w:tc>
          <w:tcPr>
            <w:tcW w:w="804" w:type="dxa"/>
            <w:shd w:val="clear" w:color="auto" w:fill="auto"/>
            <w:vAlign w:val="center"/>
          </w:tcPr>
          <w:p w14:paraId="2349CF8C" w14:textId="7466CAED" w:rsidR="00303C1A" w:rsidRPr="00B57B36" w:rsidRDefault="00303C1A" w:rsidP="002C131D">
            <w:pPr>
              <w:pStyle w:val="CETEquation"/>
              <w:jc w:val="right"/>
            </w:pPr>
            <w:r w:rsidRPr="00B57B36">
              <w:t>(</w:t>
            </w:r>
            <w:r w:rsidR="00AC430E">
              <w:t>11</w:t>
            </w:r>
            <w:r w:rsidRPr="00B57B36">
              <w:t>)</w:t>
            </w:r>
          </w:p>
        </w:tc>
      </w:tr>
      <w:tr w:rsidR="00303C1A" w:rsidRPr="00B57B36" w14:paraId="2AC70075" w14:textId="77777777" w:rsidTr="002C131D">
        <w:tc>
          <w:tcPr>
            <w:tcW w:w="7983" w:type="dxa"/>
            <w:shd w:val="clear" w:color="auto" w:fill="auto"/>
            <w:vAlign w:val="center"/>
          </w:tcPr>
          <w:p w14:paraId="19D69315" w14:textId="71772E77" w:rsidR="00303C1A" w:rsidRPr="00F32FA7" w:rsidRDefault="00303C1A" w:rsidP="002C131D">
            <w:pPr>
              <w:pStyle w:val="CETEquation"/>
              <w:rPr>
                <w:rFonts w:ascii="Cambria Math" w:hAnsi="Cambria Math"/>
                <w:oMath/>
              </w:rPr>
            </w:pPr>
            <m:oMathPara>
              <m:oMath>
                <m:r>
                  <m:rPr>
                    <m:sty m:val="p"/>
                  </m:rPr>
                  <w:rPr>
                    <w:rFonts w:ascii="Cambria Math" w:hAnsi="Cambria Math"/>
                  </w:rPr>
                  <m:t>hemicellulose→volatiles+char</m:t>
                </m:r>
              </m:oMath>
            </m:oMathPara>
          </w:p>
        </w:tc>
        <w:tc>
          <w:tcPr>
            <w:tcW w:w="804" w:type="dxa"/>
            <w:shd w:val="clear" w:color="auto" w:fill="auto"/>
            <w:vAlign w:val="center"/>
          </w:tcPr>
          <w:p w14:paraId="57D53E61" w14:textId="3F3CA6E8" w:rsidR="00303C1A" w:rsidRPr="00B57B36" w:rsidRDefault="00303C1A" w:rsidP="002C131D">
            <w:pPr>
              <w:pStyle w:val="CETEquation"/>
              <w:jc w:val="right"/>
            </w:pPr>
            <w:r w:rsidRPr="00B57B36">
              <w:t>(</w:t>
            </w:r>
            <w:r w:rsidR="00AC430E">
              <w:t>12</w:t>
            </w:r>
            <w:r w:rsidRPr="00B57B36">
              <w:t>)</w:t>
            </w:r>
          </w:p>
        </w:tc>
      </w:tr>
      <w:tr w:rsidR="00303C1A" w:rsidRPr="00B57B36" w14:paraId="22A52842" w14:textId="77777777" w:rsidTr="002C131D">
        <w:tc>
          <w:tcPr>
            <w:tcW w:w="7983" w:type="dxa"/>
            <w:shd w:val="clear" w:color="auto" w:fill="auto"/>
            <w:vAlign w:val="center"/>
          </w:tcPr>
          <w:p w14:paraId="2F694D97" w14:textId="72DD8CC9" w:rsidR="00303C1A" w:rsidRPr="00F32FA7" w:rsidRDefault="00303C1A" w:rsidP="002C131D">
            <w:pPr>
              <w:pStyle w:val="CETEquation"/>
              <w:rPr>
                <w:rFonts w:ascii="Cambria Math" w:hAnsi="Cambria Math"/>
                <w:oMath/>
              </w:rPr>
            </w:pPr>
            <m:oMathPara>
              <m:oMath>
                <m:r>
                  <m:rPr>
                    <m:sty m:val="p"/>
                  </m:rPr>
                  <w:rPr>
                    <w:rFonts w:ascii="Cambria Math" w:hAnsi="Cambria Math"/>
                  </w:rPr>
                  <m:t>lignin→volatiles+char</m:t>
                </m:r>
              </m:oMath>
            </m:oMathPara>
          </w:p>
        </w:tc>
        <w:tc>
          <w:tcPr>
            <w:tcW w:w="804" w:type="dxa"/>
            <w:shd w:val="clear" w:color="auto" w:fill="auto"/>
            <w:vAlign w:val="center"/>
          </w:tcPr>
          <w:p w14:paraId="75D25F76" w14:textId="518B8F20" w:rsidR="00303C1A" w:rsidRPr="00B57B36" w:rsidRDefault="00303C1A" w:rsidP="002C131D">
            <w:pPr>
              <w:pStyle w:val="CETEquation"/>
              <w:jc w:val="right"/>
            </w:pPr>
            <w:r w:rsidRPr="00B57B36">
              <w:t>(</w:t>
            </w:r>
            <w:r w:rsidR="00F03F15">
              <w:t>1</w:t>
            </w:r>
            <w:r w:rsidR="00AC430E">
              <w:t>3</w:t>
            </w:r>
            <w:r w:rsidRPr="00B57B36">
              <w:t>)</w:t>
            </w:r>
          </w:p>
        </w:tc>
      </w:tr>
    </w:tbl>
    <w:p w14:paraId="70477423" w14:textId="280977DF" w:rsidR="00AE431B" w:rsidRDefault="00AE431B">
      <w:pPr>
        <w:pStyle w:val="CETBodytext"/>
        <w:rPr>
          <w:lang w:val="en-GB"/>
        </w:rPr>
      </w:pPr>
      <w:r>
        <w:rPr>
          <w:lang w:val="en-GB"/>
        </w:rPr>
        <w:lastRenderedPageBreak/>
        <w:t>The decomposition reactions were described by Arrhenius equations from which the mass change rates and the heat of reaction were calculated.</w:t>
      </w:r>
      <w:r w:rsidR="00115127">
        <w:rPr>
          <w:lang w:val="en-GB"/>
        </w:rPr>
        <w:t xml:space="preserve"> The mass change rates of the solid componen</w:t>
      </w:r>
      <w:bookmarkStart w:id="0" w:name="_GoBack"/>
      <w:bookmarkEnd w:id="0"/>
      <w:r w:rsidR="00115127">
        <w:rPr>
          <w:lang w:val="en-GB"/>
        </w:rPr>
        <w:t xml:space="preserve">ts were calculated according to </w:t>
      </w:r>
      <w:proofErr w:type="spellStart"/>
      <w:r w:rsidR="00115127">
        <w:rPr>
          <w:lang w:val="en-GB"/>
        </w:rPr>
        <w:t>Eq</w:t>
      </w:r>
      <w:proofErr w:type="spellEnd"/>
      <w:r w:rsidR="00115127">
        <w:rPr>
          <w:lang w:val="en-GB"/>
        </w:rPr>
        <w:t xml:space="preserve"> (14). </w:t>
      </w:r>
      <w:r w:rsidR="00E77786" w:rsidRPr="00E77786">
        <w:rPr>
          <w:lang w:val="en-GB"/>
        </w:rPr>
        <w:t>Since the calculations in governing equations are mass based, the mass change rates</w:t>
      </w:r>
      <w:r w:rsidR="00E44E78">
        <w:rPr>
          <w:lang w:val="en-GB"/>
        </w:rPr>
        <w:t xml:space="preserve"> </w:t>
      </w:r>
      <m:oMath>
        <m:sSub>
          <m:sSubPr>
            <m:ctrlPr>
              <w:rPr>
                <w:rFonts w:ascii="Cambria Math" w:hAnsi="Cambria Math"/>
                <w:lang w:val="en-GB"/>
              </w:rPr>
            </m:ctrlPr>
          </m:sSubPr>
          <m:e>
            <m:r>
              <m:rPr>
                <m:sty m:val="p"/>
              </m:rPr>
              <w:rPr>
                <w:rFonts w:ascii="Cambria Math" w:hAnsi="Cambria Math"/>
                <w:lang w:val="en-GB"/>
              </w:rPr>
              <m:t>R</m:t>
            </m:r>
          </m:e>
          <m:sub>
            <m:r>
              <m:rPr>
                <m:sty m:val="p"/>
              </m:rPr>
              <w:rPr>
                <w:rFonts w:ascii="Cambria Math" w:hAnsi="Cambria Math"/>
                <w:lang w:val="en-GB"/>
              </w:rPr>
              <m:t>s,k</m:t>
            </m:r>
          </m:sub>
        </m:sSub>
      </m:oMath>
      <w:r w:rsidR="00E77786" w:rsidRPr="00E77786">
        <w:rPr>
          <w:lang w:val="en-GB"/>
        </w:rPr>
        <w:t xml:space="preserve"> were calculated as the product of the kinetic coefficient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f</m:t>
            </m:r>
          </m:sub>
        </m:sSub>
      </m:oMath>
      <w:r w:rsidR="00E77786" w:rsidRPr="00E77786">
        <w:rPr>
          <w:lang w:val="en-GB"/>
        </w:rPr>
        <w:t xml:space="preserve"> and the partial density of the decomposing component</w:t>
      </w:r>
      <w:r w:rsidR="00185568">
        <w:rPr>
          <w:lang w:val="en-GB"/>
        </w:rPr>
        <w:t xml:space="preserve"> </w:t>
      </w:r>
      <m:oMath>
        <m:sSub>
          <m:sSubPr>
            <m:ctrlPr>
              <w:rPr>
                <w:rFonts w:ascii="Cambria Math" w:hAnsi="Cambria Math"/>
                <w:lang w:val="en-GB"/>
              </w:rPr>
            </m:ctrlPr>
          </m:sSubPr>
          <m:e>
            <m:r>
              <m:rPr>
                <m:sty m:val="p"/>
              </m:rPr>
              <w:rPr>
                <w:rFonts w:ascii="Cambria Math" w:hAnsi="Cambria Math"/>
                <w:lang w:val="en-GB"/>
              </w:rPr>
              <m:t>ρ</m:t>
            </m:r>
          </m:e>
          <m:sub>
            <m:r>
              <m:rPr>
                <m:sty m:val="p"/>
              </m:rPr>
              <w:rPr>
                <w:rFonts w:ascii="Cambria Math" w:hAnsi="Cambria Math"/>
                <w:lang w:val="en-GB"/>
              </w:rPr>
              <m:t>s,k</m:t>
            </m:r>
          </m:sub>
        </m:sSub>
      </m:oMath>
      <w:r w:rsidR="00E77786" w:rsidRPr="00E77786">
        <w:rPr>
          <w:lang w:val="en-GB"/>
        </w:rPr>
        <w:t>. The kinetic scheme from literature (</w:t>
      </w:r>
      <w:proofErr w:type="spellStart"/>
      <w:r w:rsidR="00E77786" w:rsidRPr="00E77786">
        <w:rPr>
          <w:lang w:val="en-GB"/>
        </w:rPr>
        <w:t>Branca</w:t>
      </w:r>
      <w:proofErr w:type="spellEnd"/>
      <w:r w:rsidR="00E77786" w:rsidRPr="00E77786">
        <w:rPr>
          <w:lang w:val="en-GB"/>
        </w:rPr>
        <w:t xml:space="preserve"> and Di Blasi 2016) used for the present simulations was based on first order reactions. The partial density of the solid component k was calculated from the cell wall density of the wood</w:t>
      </w:r>
      <w:r w:rsidR="00185568">
        <w:rPr>
          <w:lang w:val="en-GB"/>
        </w:rPr>
        <w:t xml:space="preserve"> </w:t>
      </w:r>
      <m:oMath>
        <m:sSub>
          <m:sSubPr>
            <m:ctrlPr>
              <w:rPr>
                <w:rFonts w:ascii="Cambria Math" w:hAnsi="Cambria Math"/>
                <w:lang w:val="en-GB"/>
              </w:rPr>
            </m:ctrlPr>
          </m:sSubPr>
          <m:e>
            <m:r>
              <m:rPr>
                <m:sty m:val="p"/>
              </m:rPr>
              <w:rPr>
                <w:rFonts w:ascii="Cambria Math" w:hAnsi="Cambria Math"/>
                <w:lang w:val="en-GB"/>
              </w:rPr>
              <m:t>ρ</m:t>
            </m:r>
          </m:e>
          <m:sub>
            <m:r>
              <m:rPr>
                <m:sty m:val="p"/>
              </m:rPr>
              <w:rPr>
                <w:rFonts w:ascii="Cambria Math" w:hAnsi="Cambria Math"/>
                <w:lang w:val="en-GB"/>
              </w:rPr>
              <m:t>s</m:t>
            </m:r>
          </m:sub>
        </m:sSub>
      </m:oMath>
      <w:r w:rsidR="00E77786" w:rsidRPr="00E77786">
        <w:rPr>
          <w:lang w:val="en-GB"/>
        </w:rPr>
        <w:t xml:space="preserve"> and the mass fraction of the component in the solid phase</w:t>
      </w:r>
      <w:r w:rsidR="00185568">
        <w:rPr>
          <w:lang w:val="en-GB"/>
        </w:rPr>
        <w:t xml:space="preserve"> </w:t>
      </w:r>
      <m:oMath>
        <m:sSub>
          <m:sSubPr>
            <m:ctrlPr>
              <w:rPr>
                <w:rFonts w:ascii="Cambria Math" w:hAnsi="Cambria Math"/>
                <w:lang w:val="en-GB"/>
              </w:rPr>
            </m:ctrlPr>
          </m:sSubPr>
          <m:e>
            <m:r>
              <m:rPr>
                <m:sty m:val="p"/>
              </m:rPr>
              <w:rPr>
                <w:rFonts w:ascii="Cambria Math" w:hAnsi="Cambria Math"/>
                <w:lang w:val="en-GB"/>
              </w:rPr>
              <m:t>Y</m:t>
            </m:r>
          </m:e>
          <m:sub>
            <m:r>
              <m:rPr>
                <m:sty m:val="p"/>
              </m:rPr>
              <w:rPr>
                <w:rFonts w:ascii="Cambria Math" w:hAnsi="Cambria Math"/>
                <w:lang w:val="en-GB"/>
              </w:rPr>
              <m:t>s,k</m:t>
            </m:r>
          </m:sub>
        </m:sSub>
      </m:oMath>
      <w:r w:rsidR="00185568">
        <w:rPr>
          <w:lang w:val="en-GB"/>
        </w:rPr>
        <w:t>.</w:t>
      </w:r>
      <w:r w:rsidR="00E77786" w:rsidRPr="00E77786">
        <w:rPr>
          <w:lang w:val="en-GB"/>
        </w:rPr>
        <w:t xml:space="preserve"> The Arrhenius equation for the kinetic coefficient</w:t>
      </w:r>
      <w:r w:rsidR="008B170D">
        <w:rPr>
          <w:lang w:val="en-GB"/>
        </w:rPr>
        <w:t xml:space="preserve"> </w:t>
      </w:r>
      <w:r w:rsidR="000B3EAC">
        <w:rPr>
          <w:lang w:val="en-GB"/>
        </w:rPr>
        <w:t>contains</w:t>
      </w:r>
      <w:r w:rsidR="00115127">
        <w:rPr>
          <w:lang w:val="en-GB"/>
        </w:rPr>
        <w:t xml:space="preserve"> the kinetic parameters </w:t>
      </w:r>
      <m:oMath>
        <m:sSub>
          <m:sSubPr>
            <m:ctrlPr>
              <w:rPr>
                <w:rFonts w:ascii="Cambria Math" w:hAnsi="Cambria Math"/>
                <w:i/>
              </w:rPr>
            </m:ctrlPr>
          </m:sSubPr>
          <m:e>
            <m:r>
              <w:rPr>
                <w:rFonts w:ascii="Cambria Math" w:hAnsi="Cambria Math"/>
              </w:rPr>
              <m:t>A</m:t>
            </m:r>
          </m:e>
          <m:sub>
            <m:r>
              <w:rPr>
                <w:rFonts w:ascii="Cambria Math" w:hAnsi="Cambria Math"/>
              </w:rPr>
              <m:t>k</m:t>
            </m:r>
          </m:sub>
        </m:sSub>
      </m:oMath>
      <w:r w:rsidR="00115127">
        <w:t xml:space="preserve"> and </w:t>
      </w:r>
      <m:oMath>
        <m:sSub>
          <m:sSubPr>
            <m:ctrlPr>
              <w:rPr>
                <w:rFonts w:ascii="Cambria Math" w:hAnsi="Cambria Math"/>
                <w:i/>
              </w:rPr>
            </m:ctrlPr>
          </m:sSubPr>
          <m:e>
            <m:r>
              <w:rPr>
                <w:rFonts w:ascii="Cambria Math" w:hAnsi="Cambria Math"/>
              </w:rPr>
              <m:t>E</m:t>
            </m:r>
          </m:e>
          <m:sub>
            <m:r>
              <w:rPr>
                <w:rFonts w:ascii="Cambria Math" w:hAnsi="Cambria Math"/>
              </w:rPr>
              <m:t>a,k</m:t>
            </m:r>
          </m:sub>
        </m:sSub>
      </m:oMath>
      <w:r w:rsidR="00E77786">
        <w:t>,</w:t>
      </w:r>
      <w:r w:rsidR="000B3EAC">
        <w:t>the general gas constant R</w:t>
      </w:r>
      <w:r w:rsidR="00E77786">
        <w:t xml:space="preserve"> and depends on the temperature of the solid phase </w:t>
      </w:r>
      <m:oMath>
        <m:sSub>
          <m:sSubPr>
            <m:ctrlPr>
              <w:rPr>
                <w:rFonts w:ascii="Cambria Math" w:hAnsi="Cambria Math"/>
                <w:lang w:val="en-GB"/>
              </w:rPr>
            </m:ctrlPr>
          </m:sSubPr>
          <m:e>
            <m:r>
              <m:rPr>
                <m:sty m:val="p"/>
              </m:rPr>
              <w:rPr>
                <w:rFonts w:ascii="Cambria Math" w:hAnsi="Cambria Math"/>
                <w:lang w:val="en-GB"/>
              </w:rPr>
              <m:t>T</m:t>
            </m:r>
          </m:e>
          <m:sub>
            <m:r>
              <m:rPr>
                <m:sty m:val="p"/>
              </m:rPr>
              <w:rPr>
                <w:rFonts w:ascii="Cambria Math" w:hAnsi="Cambria Math"/>
                <w:lang w:val="en-GB"/>
              </w:rPr>
              <m:t>s,k</m:t>
            </m:r>
          </m:sub>
        </m:sSub>
      </m:oMath>
      <w:r w:rsidR="00E77786" w:rsidRPr="00E77786">
        <w:rPr>
          <w:lang w:val="en-GB"/>
        </w:rPr>
        <w:t xml:space="preserve">. Based on the mass change rate of the solid components and the user defined </w:t>
      </w:r>
      <w:r w:rsidR="000576DE">
        <w:t>amount</w:t>
      </w:r>
      <w:r w:rsidR="00E77786" w:rsidRPr="00E77786">
        <w:rPr>
          <w:lang w:val="en-GB"/>
        </w:rPr>
        <w:t xml:space="preserve"> of the released </w:t>
      </w:r>
      <w:proofErr w:type="spellStart"/>
      <w:r w:rsidR="00E77786" w:rsidRPr="00E77786">
        <w:rPr>
          <w:lang w:val="en-GB"/>
        </w:rPr>
        <w:t>ga</w:t>
      </w:r>
      <w:r w:rsidR="000576DE">
        <w:t>seous</w:t>
      </w:r>
      <w:proofErr w:type="spellEnd"/>
      <w:r w:rsidR="000576DE">
        <w:t xml:space="preserve"> species</w:t>
      </w:r>
      <w:r w:rsidR="000576DE">
        <w:t>,</w:t>
      </w:r>
      <w:r w:rsidR="000B3EAC">
        <w:t xml:space="preserve"> </w:t>
      </w:r>
      <w:r w:rsidR="00E77786">
        <w:rPr>
          <w:lang w:val="en-GB"/>
        </w:rPr>
        <w:t>t</w:t>
      </w:r>
      <w:r w:rsidR="00115127">
        <w:rPr>
          <w:lang w:val="en-GB"/>
        </w:rPr>
        <w:t xml:space="preserve">he mass change rates of the gaseous components </w:t>
      </w:r>
      <m:oMath>
        <m:sSub>
          <m:sSubPr>
            <m:ctrlPr>
              <w:rPr>
                <w:rFonts w:ascii="Cambria Math" w:hAnsi="Cambria Math"/>
                <w:lang w:val="en-GB"/>
              </w:rPr>
            </m:ctrlPr>
          </m:sSubPr>
          <m:e>
            <m:r>
              <m:rPr>
                <m:sty m:val="p"/>
              </m:rPr>
              <w:rPr>
                <w:rFonts w:ascii="Cambria Math" w:hAnsi="Cambria Math"/>
                <w:lang w:val="en-GB"/>
              </w:rPr>
              <m:t>R</m:t>
            </m:r>
          </m:e>
          <m:sub>
            <m:r>
              <m:rPr>
                <m:sty m:val="p"/>
              </m:rPr>
              <w:rPr>
                <w:rFonts w:ascii="Cambria Math" w:hAnsi="Cambria Math"/>
                <w:lang w:val="en-GB"/>
              </w:rPr>
              <m:t>g,i</m:t>
            </m:r>
          </m:sub>
        </m:sSub>
      </m:oMath>
      <w:r w:rsidR="00E77786" w:rsidRPr="00E77786">
        <w:rPr>
          <w:lang w:val="en-GB"/>
        </w:rPr>
        <w:t xml:space="preserve"> </w:t>
      </w:r>
      <w:r w:rsidR="00115127">
        <w:rPr>
          <w:lang w:val="en-GB"/>
        </w:rPr>
        <w:t>were calculated</w:t>
      </w:r>
      <w:r w:rsidR="000576DE">
        <w:t>.</w:t>
      </w:r>
      <w:r w:rsidR="00115127">
        <w:rPr>
          <w:lang w:val="en-GB"/>
        </w:rPr>
        <w:t xml:space="preserve"> </w:t>
      </w:r>
    </w:p>
    <w:tbl>
      <w:tblPr>
        <w:tblW w:w="5000" w:type="pct"/>
        <w:tblLook w:val="04A0" w:firstRow="1" w:lastRow="0" w:firstColumn="1" w:lastColumn="0" w:noHBand="0" w:noVBand="1"/>
      </w:tblPr>
      <w:tblGrid>
        <w:gridCol w:w="7983"/>
        <w:gridCol w:w="804"/>
      </w:tblGrid>
      <w:tr w:rsidR="00F7450F" w:rsidRPr="00B57B36" w14:paraId="03E73358" w14:textId="77777777" w:rsidTr="002C131D">
        <w:tc>
          <w:tcPr>
            <w:tcW w:w="7983" w:type="dxa"/>
            <w:shd w:val="clear" w:color="auto" w:fill="auto"/>
            <w:vAlign w:val="center"/>
          </w:tcPr>
          <w:p w14:paraId="384D8F01" w14:textId="54F0DBB7" w:rsidR="00F7450F" w:rsidRPr="00AE431B" w:rsidRDefault="00DA681B" w:rsidP="00CE082C">
            <w:pPr>
              <w:pStyle w:val="CETEquation"/>
              <w:jc w:val="both"/>
              <w:rPr>
                <w:rFonts w:ascii="Cambria Math" w:hAnsi="Cambria Math"/>
                <w:oMath/>
              </w:rPr>
            </w:pPr>
            <m:oMathPara>
              <m:oMath>
                <m:sSub>
                  <m:sSubPr>
                    <m:ctrlPr>
                      <w:rPr>
                        <w:rFonts w:ascii="Cambria Math" w:hAnsi="Cambria Math"/>
                        <w:i/>
                      </w:rPr>
                    </m:ctrlPr>
                  </m:sSubPr>
                  <m:e>
                    <m:r>
                      <w:rPr>
                        <w:rFonts w:ascii="Cambria Math" w:hAnsi="Cambria Math"/>
                      </w:rPr>
                      <m:t>R</m:t>
                    </m:r>
                  </m:e>
                  <m:sub>
                    <m:r>
                      <w:rPr>
                        <w:rFonts w:ascii="Cambria Math" w:hAnsi="Cambria Math"/>
                      </w:rPr>
                      <m:t>s,k</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s,k</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s,k</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k</m:t>
                    </m:r>
                  </m:sub>
                </m:sSub>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a,k</m:t>
                                </m:r>
                              </m:sub>
                            </m:sSub>
                          </m:num>
                          <m:den>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s</m:t>
                                </m:r>
                              </m:sub>
                            </m:sSub>
                          </m:den>
                        </m:f>
                      </m:e>
                    </m:d>
                  </m:e>
                </m:func>
              </m:oMath>
            </m:oMathPara>
          </w:p>
        </w:tc>
        <w:tc>
          <w:tcPr>
            <w:tcW w:w="804" w:type="dxa"/>
            <w:shd w:val="clear" w:color="auto" w:fill="auto"/>
            <w:vAlign w:val="center"/>
          </w:tcPr>
          <w:p w14:paraId="1273EA10" w14:textId="0F04A06F" w:rsidR="00F7450F" w:rsidRPr="00B57B36" w:rsidRDefault="00F7450F" w:rsidP="002C131D">
            <w:pPr>
              <w:pStyle w:val="CETEquation"/>
              <w:jc w:val="right"/>
            </w:pPr>
            <w:r w:rsidRPr="00B57B36">
              <w:t>(</w:t>
            </w:r>
            <w:r>
              <w:t>1</w:t>
            </w:r>
            <w:r w:rsidR="00115127">
              <w:t>4</w:t>
            </w:r>
            <w:r w:rsidRPr="00B57B36">
              <w:t>)</w:t>
            </w:r>
          </w:p>
        </w:tc>
      </w:tr>
    </w:tbl>
    <w:p w14:paraId="293FD056" w14:textId="5CA8EA68" w:rsidR="00933802" w:rsidRDefault="00115127" w:rsidP="00933802">
      <w:pPr>
        <w:pStyle w:val="CETBodytext"/>
        <w:rPr>
          <w:lang w:val="en-GB"/>
        </w:rPr>
      </w:pPr>
      <w:r>
        <w:rPr>
          <w:lang w:val="en-GB"/>
        </w:rPr>
        <w:t>The mass source terms</w:t>
      </w:r>
      <w:r w:rsidR="004F5B27">
        <w:rPr>
          <w:lang w:val="en-GB"/>
        </w:rPr>
        <w:t xml:space="preserve"> </w:t>
      </w:r>
      <m:oMath>
        <m:sSub>
          <m:sSubPr>
            <m:ctrlPr>
              <w:rPr>
                <w:rFonts w:ascii="Cambria Math" w:hAnsi="Cambria Math"/>
                <w:i/>
              </w:rPr>
            </m:ctrlPr>
          </m:sSubPr>
          <m:e>
            <m:r>
              <w:rPr>
                <w:rFonts w:ascii="Cambria Math" w:hAnsi="Cambria Math"/>
              </w:rPr>
              <m:t>S</m:t>
            </m:r>
          </m:e>
          <m:sub>
            <m:r>
              <w:rPr>
                <w:rFonts w:ascii="Cambria Math" w:hAnsi="Cambria Math"/>
              </w:rPr>
              <m:t>g</m:t>
            </m:r>
          </m:sub>
        </m:sSub>
      </m:oMath>
      <w:r w:rsidR="004F5B27">
        <w:t xml:space="preserve"> and </w:t>
      </w:r>
      <m:oMath>
        <m:sSub>
          <m:sSubPr>
            <m:ctrlPr>
              <w:rPr>
                <w:rFonts w:ascii="Cambria Math" w:hAnsi="Cambria Math"/>
                <w:i/>
              </w:rPr>
            </m:ctrlPr>
          </m:sSubPr>
          <m:e>
            <m:r>
              <w:rPr>
                <w:rFonts w:ascii="Cambria Math" w:hAnsi="Cambria Math"/>
              </w:rPr>
              <m:t>S</m:t>
            </m:r>
          </m:e>
          <m:sub>
            <m:r>
              <w:rPr>
                <w:rFonts w:ascii="Cambria Math" w:hAnsi="Cambria Math"/>
              </w:rPr>
              <m:t>s</m:t>
            </m:r>
          </m:sub>
        </m:sSub>
      </m:oMath>
      <w:r w:rsidR="004F5B27">
        <w:t xml:space="preserve"> </w:t>
      </w:r>
      <w:r>
        <w:rPr>
          <w:lang w:val="en-GB"/>
        </w:rPr>
        <w:t xml:space="preserve"> in the mass conservation equations</w:t>
      </w:r>
      <w:r w:rsidR="004F5B27">
        <w:rPr>
          <w:lang w:val="en-GB"/>
        </w:rPr>
        <w:t xml:space="preserve"> Eq. (1) and (</w:t>
      </w:r>
      <w:r w:rsidR="004F5B27">
        <w:rPr>
          <w:lang w:val="en-GB"/>
        </w:rPr>
        <w:t>5)</w:t>
      </w:r>
      <w:r>
        <w:rPr>
          <w:lang w:val="en-GB"/>
        </w:rPr>
        <w:t xml:space="preserve"> were a summation of the decomposition terms of each solid reaction.</w:t>
      </w:r>
      <w:r w:rsidR="000B3EAC">
        <w:rPr>
          <w:lang w:val="en-GB"/>
        </w:rPr>
        <w:t xml:space="preserve"> </w:t>
      </w:r>
      <w:r w:rsidR="00E22C7E">
        <w:rPr>
          <w:lang w:val="en-GB"/>
        </w:rPr>
        <w:t xml:space="preserve">The calculation of heat of reaction </w:t>
      </w:r>
      <w:r w:rsidR="005D6AC3">
        <w:rPr>
          <w:lang w:val="en-GB"/>
        </w:rPr>
        <w:t xml:space="preserve">was changed from the original model of </w:t>
      </w:r>
      <w:r w:rsidR="005D6AC3" w:rsidRPr="005D6AC3">
        <w:rPr>
          <w:lang w:val="en-GB"/>
        </w:rPr>
        <w:t>Kwiatkowski et al. (2013)</w:t>
      </w:r>
      <w:r w:rsidR="00DB39B7">
        <w:rPr>
          <w:lang w:val="en-GB"/>
        </w:rPr>
        <w:t xml:space="preserve"> to</w:t>
      </w:r>
      <w:r w:rsidR="00DB39B7">
        <w:rPr>
          <w:lang w:val="en-GB"/>
        </w:rPr>
        <w:t>wards Equation (15)</w:t>
      </w:r>
      <w:r w:rsidR="005D6AC3">
        <w:rPr>
          <w:lang w:val="en-GB"/>
        </w:rPr>
        <w:t xml:space="preserve">. </w:t>
      </w:r>
      <w:r w:rsidR="000B3EAC">
        <w:rPr>
          <w:lang w:val="en-GB"/>
        </w:rPr>
        <w:t>Heat of reaction for the solid reactions was calculated</w:t>
      </w:r>
      <w:r w:rsidR="00AE431B">
        <w:rPr>
          <w:lang w:val="en-GB"/>
        </w:rPr>
        <w:t xml:space="preserve"> as a sum over the heat of reaction contributions of each reaction n</w:t>
      </w:r>
      <m:oMath>
        <m:r>
          <w:rPr>
            <w:rFonts w:ascii="Cambria Math" w:hAnsi="Cambria Math"/>
            <w:lang w:val="en-GB"/>
          </w:rPr>
          <m:t xml:space="preserve">, </m:t>
        </m:r>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r,n</m:t>
            </m:r>
          </m:sub>
        </m:sSub>
      </m:oMath>
      <w:r w:rsidR="00933802">
        <w:rPr>
          <w:lang w:val="en-GB"/>
        </w:rPr>
        <w:t xml:space="preserve">. The values for </w:t>
      </w:r>
      <m:oMath>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r,n</m:t>
            </m:r>
          </m:sub>
        </m:sSub>
      </m:oMath>
      <w:r w:rsidR="00933802">
        <w:rPr>
          <w:lang w:val="en-GB"/>
        </w:rPr>
        <w:t xml:space="preserve"> should be provided by the user together with the other kinetic parameters and can be taken from literature or determined by </w:t>
      </w:r>
      <w:r w:rsidR="00900C6C">
        <w:t>thermogravimetric analysis (</w:t>
      </w:r>
      <w:r w:rsidR="00933802">
        <w:rPr>
          <w:lang w:val="en-GB"/>
        </w:rPr>
        <w:t>TGA</w:t>
      </w:r>
      <w:r w:rsidR="00900C6C">
        <w:rPr>
          <w:lang w:val="en-GB"/>
        </w:rPr>
        <w:t>) and differential scanning calorimetry (</w:t>
      </w:r>
      <w:r w:rsidR="00933802">
        <w:rPr>
          <w:lang w:val="en-GB"/>
        </w:rPr>
        <w:t>DSC</w:t>
      </w:r>
      <w:r w:rsidR="00900C6C">
        <w:rPr>
          <w:lang w:val="en-GB"/>
        </w:rPr>
        <w:t>)</w:t>
      </w:r>
      <w:r w:rsidR="00933802">
        <w:rPr>
          <w:lang w:val="en-GB"/>
        </w:rPr>
        <w:t>.</w:t>
      </w:r>
    </w:p>
    <w:tbl>
      <w:tblPr>
        <w:tblW w:w="5000" w:type="pct"/>
        <w:tblLook w:val="04A0" w:firstRow="1" w:lastRow="0" w:firstColumn="1" w:lastColumn="0" w:noHBand="0" w:noVBand="1"/>
      </w:tblPr>
      <w:tblGrid>
        <w:gridCol w:w="7983"/>
        <w:gridCol w:w="804"/>
      </w:tblGrid>
      <w:tr w:rsidR="00AE431B" w:rsidRPr="00B57B36" w14:paraId="06375AAE" w14:textId="77777777" w:rsidTr="002C131D">
        <w:tc>
          <w:tcPr>
            <w:tcW w:w="7983" w:type="dxa"/>
            <w:shd w:val="clear" w:color="auto" w:fill="auto"/>
            <w:vAlign w:val="center"/>
          </w:tcPr>
          <w:p w14:paraId="123E0B27" w14:textId="7127C20A" w:rsidR="00AE431B" w:rsidRPr="00AE431B" w:rsidRDefault="00AE431B" w:rsidP="002C131D">
            <w:pPr>
              <w:pStyle w:val="CETEquation"/>
              <w:rPr>
                <w:rFonts w:ascii="Cambria Math" w:hAnsi="Cambria Math"/>
                <w:oMath/>
              </w:rPr>
            </w:pPr>
            <m:oMathPara>
              <m:oMath>
                <m:r>
                  <w:rPr>
                    <w:rFonts w:ascii="Cambria Math" w:hAnsi="Cambria Math"/>
                  </w:rPr>
                  <m:t>Δ</m:t>
                </m:r>
                <m:sSub>
                  <m:sSubPr>
                    <m:ctrlPr>
                      <w:rPr>
                        <w:rFonts w:ascii="Cambria Math" w:hAnsi="Cambria Math"/>
                        <w:i/>
                      </w:rPr>
                    </m:ctrlPr>
                  </m:sSubPr>
                  <m:e>
                    <m:r>
                      <w:rPr>
                        <w:rFonts w:ascii="Cambria Math" w:hAnsi="Cambria Math"/>
                      </w:rPr>
                      <m:t>H</m:t>
                    </m:r>
                  </m:e>
                  <m:sub>
                    <m:r>
                      <w:rPr>
                        <w:rFonts w:ascii="Cambria Math" w:hAnsi="Cambria Math"/>
                      </w:rPr>
                      <m:t>r,s</m:t>
                    </m:r>
                  </m:sub>
                </m:sSub>
                <m:r>
                  <w:rPr>
                    <w:rFonts w:ascii="Cambria Math" w:hAnsi="Cambria Math"/>
                  </w:rPr>
                  <m:t xml:space="preserve"> =</m:t>
                </m:r>
                <m:nary>
                  <m:naryPr>
                    <m:chr m:val="∑"/>
                    <m:supHide m:val="1"/>
                    <m:ctrlPr>
                      <w:rPr>
                        <w:rFonts w:ascii="Cambria Math" w:hAnsi="Cambria Math"/>
                        <w:i/>
                      </w:rPr>
                    </m:ctrlPr>
                  </m:naryPr>
                  <m:sub>
                    <m:r>
                      <w:rPr>
                        <w:rFonts w:ascii="Cambria Math" w:hAnsi="Cambria Math"/>
                      </w:rPr>
                      <m:t>n</m:t>
                    </m:r>
                  </m:sub>
                  <m:sup/>
                  <m:e>
                    <m:sSub>
                      <m:sSubPr>
                        <m:ctrlPr>
                          <w:rPr>
                            <w:rFonts w:ascii="Cambria Math" w:hAnsi="Cambria Math"/>
                            <w:i/>
                          </w:rPr>
                        </m:ctrlPr>
                      </m:sSubPr>
                      <m:e>
                        <m:r>
                          <w:rPr>
                            <w:rFonts w:ascii="Cambria Math" w:hAnsi="Cambria Math"/>
                          </w:rPr>
                          <m:t>k</m:t>
                        </m:r>
                      </m:e>
                      <m:sub>
                        <m:r>
                          <w:rPr>
                            <w:rFonts w:ascii="Cambria Math" w:hAnsi="Cambria Math"/>
                          </w:rPr>
                          <m:t>f,n</m:t>
                        </m:r>
                      </m:sub>
                    </m:sSub>
                    <m:sSub>
                      <m:sSubPr>
                        <m:ctrlPr>
                          <w:rPr>
                            <w:rFonts w:ascii="Cambria Math" w:hAnsi="Cambria Math"/>
                            <w:i/>
                          </w:rPr>
                        </m:ctrlPr>
                      </m:sSubPr>
                      <m:e>
                        <m:r>
                          <w:rPr>
                            <w:rFonts w:ascii="Cambria Math" w:hAnsi="Cambria Math"/>
                          </w:rPr>
                          <m:t>Y</m:t>
                        </m:r>
                      </m:e>
                      <m:sub>
                        <m:r>
                          <w:rPr>
                            <w:rFonts w:ascii="Cambria Math" w:hAnsi="Cambria Math"/>
                          </w:rPr>
                          <m:t>s,n</m:t>
                        </m:r>
                      </m:sub>
                    </m:sSub>
                  </m:e>
                </m:nary>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Δ</m:t>
                </m:r>
                <m:sSub>
                  <m:sSubPr>
                    <m:ctrlPr>
                      <w:rPr>
                        <w:rFonts w:ascii="Cambria Math" w:hAnsi="Cambria Math"/>
                        <w:i/>
                      </w:rPr>
                    </m:ctrlPr>
                  </m:sSubPr>
                  <m:e>
                    <m:r>
                      <w:rPr>
                        <w:rFonts w:ascii="Cambria Math" w:hAnsi="Cambria Math"/>
                      </w:rPr>
                      <m:t>h</m:t>
                    </m:r>
                  </m:e>
                  <m:sub>
                    <m:r>
                      <w:rPr>
                        <w:rFonts w:ascii="Cambria Math" w:hAnsi="Cambria Math"/>
                      </w:rPr>
                      <m:t>r,n</m:t>
                    </m:r>
                  </m:sub>
                </m:sSub>
              </m:oMath>
            </m:oMathPara>
          </w:p>
        </w:tc>
        <w:tc>
          <w:tcPr>
            <w:tcW w:w="804" w:type="dxa"/>
            <w:shd w:val="clear" w:color="auto" w:fill="auto"/>
            <w:vAlign w:val="center"/>
          </w:tcPr>
          <w:p w14:paraId="713E8313" w14:textId="2A89CA0E" w:rsidR="00AE431B" w:rsidRPr="00B57B36" w:rsidRDefault="00AE431B" w:rsidP="002C131D">
            <w:pPr>
              <w:pStyle w:val="CETEquation"/>
              <w:jc w:val="right"/>
            </w:pPr>
            <w:r w:rsidRPr="00B57B36">
              <w:t>(</w:t>
            </w:r>
            <w:r>
              <w:t>1</w:t>
            </w:r>
            <w:r w:rsidR="000B3EAC">
              <w:t>5</w:t>
            </w:r>
            <w:r w:rsidRPr="00B57B36">
              <w:t>)</w:t>
            </w:r>
          </w:p>
        </w:tc>
      </w:tr>
    </w:tbl>
    <w:p w14:paraId="7A73F559" w14:textId="311E7096" w:rsidR="00AE431B" w:rsidRDefault="00AE431B" w:rsidP="00600535">
      <w:pPr>
        <w:pStyle w:val="CETBodytext"/>
        <w:rPr>
          <w:lang w:val="en-GB"/>
        </w:rPr>
      </w:pPr>
      <w:r>
        <w:rPr>
          <w:lang w:val="en-GB"/>
        </w:rPr>
        <w:t>Homogeneous reactions of the gas phase are implemented in the governing equations but were not used in the simulations presented in this paper.</w:t>
      </w:r>
    </w:p>
    <w:p w14:paraId="7382C781" w14:textId="4AF7D91A" w:rsidR="00600535" w:rsidRDefault="00967D16" w:rsidP="00FA5F5F">
      <w:pPr>
        <w:pStyle w:val="CETheadingx"/>
      </w:pPr>
      <w:r>
        <w:t>Simulations</w:t>
      </w:r>
    </w:p>
    <w:p w14:paraId="1B5C40EB" w14:textId="190B2C0D" w:rsidR="00236B35" w:rsidRDefault="00E256B0" w:rsidP="00236B35">
      <w:pPr>
        <w:pStyle w:val="CETBodytext"/>
      </w:pPr>
      <w:r>
        <w:t xml:space="preserve">The simulation of a thermally thin beech wood particle was used as test case for the </w:t>
      </w:r>
      <w:proofErr w:type="spellStart"/>
      <w:r>
        <w:t>OpenFOAM</w:t>
      </w:r>
      <w:proofErr w:type="spellEnd"/>
      <w:r>
        <w:t xml:space="preserve"> solver. A thermally thin particle with small sample size was chosen to reduce the influence of transport processes inside the particle and minimize simulation time. </w:t>
      </w:r>
      <w:r w:rsidR="00706E76">
        <w:t>The initial m</w:t>
      </w:r>
      <w:r>
        <w:t xml:space="preserve">ass of the particle was 25 mg, it had the shape of a cube with an edge length of 3.2 mm and a volume of 33 mm³. The sample size and heating rate were similar to operation conditions used in TGA experiments. The particle was placed in a box, through which a constant flow of nitrogen with velocity of 0.1 m/s streamed. The walls of the box as well as the nitrogen flow had a fixed temperature value as boundary condition and that value increased with a heating rate of 20 K/min starting from room temperature up to 873.15 K. Properties of the biomass were taken form literature (Kwiatkowski et al. 2013) and (Park et al. 2010). Since the given composition of pseudo-components in the used pyrolysis model did not add up to unity, humidity was added to the biomass composition, </w:t>
      </w:r>
      <w:r w:rsidR="00706E76">
        <w:t>however</w:t>
      </w:r>
      <w:r>
        <w:t xml:space="preserve"> drying was not simulated.</w:t>
      </w:r>
    </w:p>
    <w:p w14:paraId="1DC4F6B3" w14:textId="77777777" w:rsidR="00236B35" w:rsidRDefault="00236B35" w:rsidP="00236B35">
      <w:pPr>
        <w:pStyle w:val="CETBodytext"/>
        <w:rPr>
          <w:i/>
          <w:lang w:val="en-GB"/>
        </w:rPr>
      </w:pPr>
    </w:p>
    <w:p w14:paraId="21509B68" w14:textId="344031D8" w:rsidR="00E256B0" w:rsidRPr="00CE082C" w:rsidRDefault="00E256B0" w:rsidP="00CE082C">
      <w:pPr>
        <w:pStyle w:val="CETBodytext"/>
        <w:rPr>
          <w:i/>
          <w:lang w:val="en-GB"/>
        </w:rPr>
      </w:pPr>
      <w:r w:rsidRPr="00CE082C">
        <w:rPr>
          <w:i/>
          <w:lang w:val="en-GB"/>
        </w:rPr>
        <w:t>Table 1: Kinetic parameters used for the simulation of beech wood pyrolysis (</w:t>
      </w:r>
      <w:proofErr w:type="spellStart"/>
      <w:r w:rsidRPr="00CE082C">
        <w:rPr>
          <w:i/>
          <w:lang w:val="en-GB"/>
        </w:rPr>
        <w:t>Branca</w:t>
      </w:r>
      <w:proofErr w:type="spellEnd"/>
      <w:r w:rsidRPr="00CE082C">
        <w:rPr>
          <w:i/>
          <w:lang w:val="en-GB"/>
        </w:rPr>
        <w:t xml:space="preserve"> and Di Blasi, 2016)</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851"/>
        <w:gridCol w:w="1275"/>
        <w:gridCol w:w="1275"/>
        <w:gridCol w:w="1275"/>
        <w:gridCol w:w="1275"/>
        <w:tblGridChange w:id="1">
          <w:tblGrid>
            <w:gridCol w:w="2410"/>
            <w:gridCol w:w="851"/>
            <w:gridCol w:w="1275"/>
            <w:gridCol w:w="1275"/>
            <w:gridCol w:w="1275"/>
            <w:gridCol w:w="1275"/>
          </w:tblGrid>
        </w:tblGridChange>
      </w:tblGrid>
      <w:tr w:rsidR="00342A86" w:rsidRPr="00B57B36" w14:paraId="2FA41332" w14:textId="05814F81" w:rsidTr="00E70EAD">
        <w:tc>
          <w:tcPr>
            <w:tcW w:w="2410" w:type="dxa"/>
            <w:tcBorders>
              <w:top w:val="single" w:sz="12" w:space="0" w:color="008000"/>
              <w:bottom w:val="single" w:sz="6" w:space="0" w:color="008000"/>
            </w:tcBorders>
            <w:shd w:val="clear" w:color="auto" w:fill="FFFFFF"/>
          </w:tcPr>
          <w:p w14:paraId="49FE7738" w14:textId="77777777" w:rsidR="00342A86" w:rsidRPr="00B57B36" w:rsidRDefault="00342A86" w:rsidP="00342A86">
            <w:pPr>
              <w:pStyle w:val="CETBodytext"/>
              <w:rPr>
                <w:lang w:val="en-GB"/>
              </w:rPr>
            </w:pPr>
            <w:r>
              <w:rPr>
                <w:lang w:val="en-GB"/>
              </w:rPr>
              <w:t>Parameter</w:t>
            </w:r>
            <w:r w:rsidRPr="00B57B36">
              <w:rPr>
                <w:lang w:val="en-GB"/>
              </w:rPr>
              <w:t xml:space="preserve"> </w:t>
            </w:r>
          </w:p>
        </w:tc>
        <w:tc>
          <w:tcPr>
            <w:tcW w:w="851" w:type="dxa"/>
            <w:tcBorders>
              <w:top w:val="single" w:sz="12" w:space="0" w:color="008000"/>
              <w:bottom w:val="single" w:sz="6" w:space="0" w:color="008000"/>
            </w:tcBorders>
            <w:shd w:val="clear" w:color="auto" w:fill="FFFFFF"/>
          </w:tcPr>
          <w:p w14:paraId="42306E9E" w14:textId="77777777" w:rsidR="00342A86" w:rsidRPr="00B57B36" w:rsidRDefault="00342A86" w:rsidP="00342A86">
            <w:pPr>
              <w:pStyle w:val="CETBodytext"/>
              <w:rPr>
                <w:lang w:val="en-GB"/>
              </w:rPr>
            </w:pPr>
            <w:r>
              <w:rPr>
                <w:lang w:val="en-GB"/>
              </w:rPr>
              <w:t>Unit</w:t>
            </w:r>
          </w:p>
        </w:tc>
        <w:tc>
          <w:tcPr>
            <w:tcW w:w="1275" w:type="dxa"/>
            <w:tcBorders>
              <w:top w:val="single" w:sz="12" w:space="0" w:color="008000"/>
              <w:bottom w:val="single" w:sz="6" w:space="0" w:color="008000"/>
            </w:tcBorders>
            <w:shd w:val="clear" w:color="auto" w:fill="FFFFFF"/>
          </w:tcPr>
          <w:p w14:paraId="571083FB" w14:textId="77777777" w:rsidR="00342A86" w:rsidRPr="00B57B36" w:rsidRDefault="00342A86" w:rsidP="00342A86">
            <w:pPr>
              <w:pStyle w:val="CETBodytext"/>
              <w:rPr>
                <w:lang w:val="en-GB"/>
              </w:rPr>
            </w:pPr>
            <w:r>
              <w:rPr>
                <w:lang w:val="en-GB"/>
              </w:rPr>
              <w:t>Value</w:t>
            </w:r>
          </w:p>
        </w:tc>
        <w:tc>
          <w:tcPr>
            <w:tcW w:w="1275" w:type="dxa"/>
            <w:tcBorders>
              <w:top w:val="single" w:sz="12" w:space="0" w:color="008000"/>
              <w:bottom w:val="single" w:sz="6" w:space="0" w:color="008000"/>
            </w:tcBorders>
            <w:shd w:val="clear" w:color="auto" w:fill="FFFFFF"/>
          </w:tcPr>
          <w:p w14:paraId="5047C26F" w14:textId="7117E7FC" w:rsidR="00342A86" w:rsidRDefault="00342A86" w:rsidP="00342A86">
            <w:pPr>
              <w:pStyle w:val="CETBodytext"/>
              <w:rPr>
                <w:lang w:val="en-GB"/>
              </w:rPr>
            </w:pPr>
            <w:r>
              <w:rPr>
                <w:lang w:val="en-GB"/>
              </w:rPr>
              <w:t>Parameter</w:t>
            </w:r>
            <w:r w:rsidRPr="00B57B36">
              <w:rPr>
                <w:lang w:val="en-GB"/>
              </w:rPr>
              <w:t xml:space="preserve"> </w:t>
            </w:r>
          </w:p>
        </w:tc>
        <w:tc>
          <w:tcPr>
            <w:tcW w:w="1275" w:type="dxa"/>
            <w:tcBorders>
              <w:top w:val="single" w:sz="12" w:space="0" w:color="008000"/>
              <w:bottom w:val="single" w:sz="6" w:space="0" w:color="008000"/>
            </w:tcBorders>
            <w:shd w:val="clear" w:color="auto" w:fill="FFFFFF"/>
          </w:tcPr>
          <w:p w14:paraId="28F2F5DE" w14:textId="3D2B9B91" w:rsidR="00342A86" w:rsidRDefault="00342A86" w:rsidP="00342A86">
            <w:pPr>
              <w:pStyle w:val="CETBodytext"/>
              <w:rPr>
                <w:lang w:val="en-GB"/>
              </w:rPr>
            </w:pPr>
            <w:r>
              <w:rPr>
                <w:lang w:val="en-GB"/>
              </w:rPr>
              <w:t>Unit</w:t>
            </w:r>
          </w:p>
        </w:tc>
        <w:tc>
          <w:tcPr>
            <w:tcW w:w="1275" w:type="dxa"/>
            <w:tcBorders>
              <w:top w:val="single" w:sz="12" w:space="0" w:color="008000"/>
              <w:bottom w:val="single" w:sz="6" w:space="0" w:color="008000"/>
            </w:tcBorders>
            <w:shd w:val="clear" w:color="auto" w:fill="FFFFFF"/>
          </w:tcPr>
          <w:p w14:paraId="4CD3B9D7" w14:textId="4CFBEE9B" w:rsidR="00342A86" w:rsidRDefault="00342A86" w:rsidP="00342A86">
            <w:pPr>
              <w:pStyle w:val="CETBodytext"/>
              <w:rPr>
                <w:lang w:val="en-GB"/>
              </w:rPr>
            </w:pPr>
            <w:r>
              <w:rPr>
                <w:lang w:val="en-GB"/>
              </w:rPr>
              <w:t>Value</w:t>
            </w:r>
          </w:p>
        </w:tc>
      </w:tr>
      <w:tr w:rsidR="00342A86" w:rsidRPr="00B57B36" w14:paraId="2402380F" w14:textId="718D4CDC" w:rsidTr="00E70EAD">
        <w:tc>
          <w:tcPr>
            <w:tcW w:w="2410" w:type="dxa"/>
            <w:shd w:val="clear" w:color="auto" w:fill="FFFFFF"/>
          </w:tcPr>
          <w:p w14:paraId="448124EE" w14:textId="77777777" w:rsidR="00342A86" w:rsidRPr="00B57B36" w:rsidRDefault="00342A86" w:rsidP="00342A86">
            <w:pPr>
              <w:pStyle w:val="CETBodytext"/>
              <w:rPr>
                <w:lang w:val="en-GB"/>
              </w:rPr>
            </w:pPr>
            <w:r>
              <w:rPr>
                <w:lang w:val="en-GB"/>
              </w:rPr>
              <w:t>Mass fraction celluloses</w:t>
            </w:r>
          </w:p>
        </w:tc>
        <w:tc>
          <w:tcPr>
            <w:tcW w:w="851" w:type="dxa"/>
            <w:shd w:val="clear" w:color="auto" w:fill="FFFFFF"/>
          </w:tcPr>
          <w:p w14:paraId="2972880B" w14:textId="77777777" w:rsidR="00342A86" w:rsidRPr="00B57B36" w:rsidRDefault="00342A86" w:rsidP="00342A86">
            <w:pPr>
              <w:pStyle w:val="CETBodytext"/>
              <w:rPr>
                <w:lang w:val="en-GB"/>
              </w:rPr>
            </w:pPr>
            <w:r>
              <w:rPr>
                <w:lang w:val="en-GB"/>
              </w:rPr>
              <w:t>kg/kg</w:t>
            </w:r>
          </w:p>
        </w:tc>
        <w:tc>
          <w:tcPr>
            <w:tcW w:w="1275" w:type="dxa"/>
            <w:shd w:val="clear" w:color="auto" w:fill="FFFFFF"/>
          </w:tcPr>
          <w:p w14:paraId="29D9CFB6" w14:textId="77777777" w:rsidR="00342A86" w:rsidRPr="00B57B36" w:rsidRDefault="00342A86" w:rsidP="00342A86">
            <w:pPr>
              <w:pStyle w:val="CETBodytext"/>
              <w:rPr>
                <w:lang w:val="en-GB"/>
              </w:rPr>
            </w:pPr>
            <w:r>
              <w:rPr>
                <w:lang w:val="en-GB"/>
              </w:rPr>
              <w:t>0.48</w:t>
            </w:r>
          </w:p>
        </w:tc>
        <w:tc>
          <w:tcPr>
            <w:tcW w:w="1275" w:type="dxa"/>
            <w:shd w:val="clear" w:color="auto" w:fill="FFFFFF"/>
          </w:tcPr>
          <w:p w14:paraId="198B2F59" w14:textId="07B1E523" w:rsidR="00342A86" w:rsidRDefault="00342A86" w:rsidP="00342A86">
            <w:pPr>
              <w:pStyle w:val="CETBodytext"/>
              <w:rPr>
                <w:lang w:val="en-GB"/>
              </w:rPr>
            </w:pPr>
            <w:proofErr w:type="spellStart"/>
            <w:r>
              <w:rPr>
                <w:lang w:val="en-GB"/>
              </w:rPr>
              <w:t>A</w:t>
            </w:r>
            <w:r w:rsidRPr="009946B8">
              <w:rPr>
                <w:vertAlign w:val="subscript"/>
                <w:lang w:val="en-GB"/>
              </w:rPr>
              <w:t>cel</w:t>
            </w:r>
            <w:proofErr w:type="spellEnd"/>
          </w:p>
        </w:tc>
        <w:tc>
          <w:tcPr>
            <w:tcW w:w="1275" w:type="dxa"/>
            <w:shd w:val="clear" w:color="auto" w:fill="FFFFFF"/>
          </w:tcPr>
          <w:p w14:paraId="218DCBE4" w14:textId="4EB017C3" w:rsidR="00342A86" w:rsidRDefault="00342A86" w:rsidP="00342A86">
            <w:pPr>
              <w:pStyle w:val="CETBodytext"/>
              <w:rPr>
                <w:lang w:val="en-GB"/>
              </w:rPr>
            </w:pPr>
            <w:r>
              <w:rPr>
                <w:lang w:val="en-GB"/>
              </w:rPr>
              <w:t>s</w:t>
            </w:r>
            <w:r w:rsidRPr="009946B8">
              <w:rPr>
                <w:vertAlign w:val="superscript"/>
                <w:lang w:val="en-GB"/>
              </w:rPr>
              <w:t>-1</w:t>
            </w:r>
          </w:p>
        </w:tc>
        <w:tc>
          <w:tcPr>
            <w:tcW w:w="1275" w:type="dxa"/>
            <w:shd w:val="clear" w:color="auto" w:fill="FFFFFF"/>
          </w:tcPr>
          <w:p w14:paraId="54CA995E" w14:textId="548C8432" w:rsidR="00342A86" w:rsidRDefault="00342A86" w:rsidP="00342A86">
            <w:pPr>
              <w:pStyle w:val="CETBodytext"/>
              <w:rPr>
                <w:lang w:val="en-GB"/>
              </w:rPr>
            </w:pPr>
            <w:r>
              <w:rPr>
                <w:lang w:val="en-GB"/>
              </w:rPr>
              <w:t xml:space="preserve">2.55 </w:t>
            </w:r>
            <w:r>
              <w:rPr>
                <w:rFonts w:ascii="Cambria Math" w:hAnsi="Cambria Math" w:cs="Cambria Math"/>
                <w:lang w:val="en-GB"/>
              </w:rPr>
              <w:t>⋅</w:t>
            </w:r>
            <w:r>
              <w:rPr>
                <w:lang w:val="en-GB"/>
              </w:rPr>
              <w:t xml:space="preserve"> 10</w:t>
            </w:r>
            <w:r>
              <w:rPr>
                <w:vertAlign w:val="superscript"/>
                <w:lang w:val="en-GB"/>
              </w:rPr>
              <w:t>13</w:t>
            </w:r>
          </w:p>
        </w:tc>
      </w:tr>
      <w:tr w:rsidR="00342A86" w:rsidRPr="00B57B36" w14:paraId="7B2C963F" w14:textId="7B6A9851" w:rsidTr="00E70EAD">
        <w:tc>
          <w:tcPr>
            <w:tcW w:w="2410" w:type="dxa"/>
            <w:shd w:val="clear" w:color="auto" w:fill="FFFFFF"/>
          </w:tcPr>
          <w:p w14:paraId="042D611C" w14:textId="77777777" w:rsidR="00342A86" w:rsidRPr="00B57B36" w:rsidRDefault="00342A86" w:rsidP="00342A86">
            <w:pPr>
              <w:pStyle w:val="CETBodytext"/>
              <w:rPr>
                <w:lang w:val="en-GB"/>
              </w:rPr>
            </w:pPr>
            <w:r>
              <w:rPr>
                <w:lang w:val="en-GB"/>
              </w:rPr>
              <w:t>Mass fraction hemicellulose</w:t>
            </w:r>
          </w:p>
        </w:tc>
        <w:tc>
          <w:tcPr>
            <w:tcW w:w="851" w:type="dxa"/>
            <w:shd w:val="clear" w:color="auto" w:fill="FFFFFF"/>
          </w:tcPr>
          <w:p w14:paraId="5BF3117D" w14:textId="77777777" w:rsidR="00342A86" w:rsidRPr="00B57B36" w:rsidRDefault="00342A86" w:rsidP="00342A86">
            <w:pPr>
              <w:pStyle w:val="CETBodytext"/>
              <w:rPr>
                <w:lang w:val="en-GB"/>
              </w:rPr>
            </w:pPr>
            <w:r>
              <w:rPr>
                <w:lang w:val="en-GB"/>
              </w:rPr>
              <w:t>kg/kg</w:t>
            </w:r>
          </w:p>
        </w:tc>
        <w:tc>
          <w:tcPr>
            <w:tcW w:w="1275" w:type="dxa"/>
            <w:shd w:val="clear" w:color="auto" w:fill="FFFFFF"/>
          </w:tcPr>
          <w:p w14:paraId="16F2C998" w14:textId="77777777" w:rsidR="00342A86" w:rsidRPr="00B57B36" w:rsidRDefault="00342A86" w:rsidP="00342A86">
            <w:pPr>
              <w:pStyle w:val="CETBodytext"/>
              <w:rPr>
                <w:lang w:val="en-GB"/>
              </w:rPr>
            </w:pPr>
            <w:r>
              <w:rPr>
                <w:lang w:val="en-GB"/>
              </w:rPr>
              <w:t>0.24</w:t>
            </w:r>
          </w:p>
        </w:tc>
        <w:tc>
          <w:tcPr>
            <w:tcW w:w="1275" w:type="dxa"/>
            <w:shd w:val="clear" w:color="auto" w:fill="FFFFFF"/>
          </w:tcPr>
          <w:p w14:paraId="367B4EA0" w14:textId="2DB846FC" w:rsidR="00342A86" w:rsidRDefault="00342A86" w:rsidP="00342A86">
            <w:pPr>
              <w:pStyle w:val="CETBodytext"/>
              <w:rPr>
                <w:lang w:val="en-GB"/>
              </w:rPr>
            </w:pPr>
            <w:proofErr w:type="spellStart"/>
            <w:proofErr w:type="gramStart"/>
            <w:r>
              <w:rPr>
                <w:lang w:val="en-GB"/>
              </w:rPr>
              <w:t>E</w:t>
            </w:r>
            <w:r w:rsidRPr="009946B8">
              <w:rPr>
                <w:vertAlign w:val="subscript"/>
                <w:lang w:val="en-GB"/>
              </w:rPr>
              <w:t>a,cel</w:t>
            </w:r>
            <w:proofErr w:type="spellEnd"/>
            <w:proofErr w:type="gramEnd"/>
          </w:p>
        </w:tc>
        <w:tc>
          <w:tcPr>
            <w:tcW w:w="1275" w:type="dxa"/>
            <w:shd w:val="clear" w:color="auto" w:fill="FFFFFF"/>
          </w:tcPr>
          <w:p w14:paraId="6CC22572" w14:textId="1187FCB4" w:rsidR="00342A86" w:rsidRDefault="00342A86" w:rsidP="00342A86">
            <w:pPr>
              <w:pStyle w:val="CETBodytext"/>
              <w:rPr>
                <w:lang w:val="en-GB"/>
              </w:rPr>
            </w:pPr>
            <w:r>
              <w:rPr>
                <w:lang w:val="en-GB"/>
              </w:rPr>
              <w:t>J/mol</w:t>
            </w:r>
          </w:p>
        </w:tc>
        <w:tc>
          <w:tcPr>
            <w:tcW w:w="1275" w:type="dxa"/>
            <w:shd w:val="clear" w:color="auto" w:fill="FFFFFF"/>
          </w:tcPr>
          <w:p w14:paraId="43624E37" w14:textId="28F63FFC" w:rsidR="00342A86" w:rsidRDefault="00342A86" w:rsidP="00342A86">
            <w:pPr>
              <w:pStyle w:val="CETBodytext"/>
              <w:rPr>
                <w:lang w:val="en-GB"/>
              </w:rPr>
            </w:pPr>
            <w:r>
              <w:rPr>
                <w:lang w:val="en-GB"/>
              </w:rPr>
              <w:t xml:space="preserve">1.88 </w:t>
            </w:r>
            <w:r>
              <w:rPr>
                <w:rFonts w:ascii="Cambria Math" w:hAnsi="Cambria Math" w:cs="Cambria Math"/>
                <w:lang w:val="en-GB"/>
              </w:rPr>
              <w:t>⋅</w:t>
            </w:r>
            <w:r>
              <w:rPr>
                <w:lang w:val="en-GB"/>
              </w:rPr>
              <w:t xml:space="preserve"> 10</w:t>
            </w:r>
            <w:r>
              <w:rPr>
                <w:vertAlign w:val="superscript"/>
                <w:lang w:val="en-GB"/>
              </w:rPr>
              <w:t>5</w:t>
            </w:r>
          </w:p>
        </w:tc>
      </w:tr>
      <w:tr w:rsidR="00342A86" w:rsidRPr="00B57B36" w14:paraId="4FAFB0D9" w14:textId="2D5F7850" w:rsidTr="00E70EAD">
        <w:tc>
          <w:tcPr>
            <w:tcW w:w="2410" w:type="dxa"/>
            <w:shd w:val="clear" w:color="auto" w:fill="FFFFFF"/>
          </w:tcPr>
          <w:p w14:paraId="788CDA68" w14:textId="77777777" w:rsidR="00342A86" w:rsidRPr="00B57B36" w:rsidRDefault="00342A86" w:rsidP="00342A86">
            <w:pPr>
              <w:pStyle w:val="CETBodytext"/>
              <w:rPr>
                <w:lang w:val="en-GB"/>
              </w:rPr>
            </w:pPr>
            <w:r>
              <w:rPr>
                <w:lang w:val="en-GB"/>
              </w:rPr>
              <w:t>Mass fraction lignin</w:t>
            </w:r>
          </w:p>
        </w:tc>
        <w:tc>
          <w:tcPr>
            <w:tcW w:w="851" w:type="dxa"/>
            <w:shd w:val="clear" w:color="auto" w:fill="FFFFFF"/>
          </w:tcPr>
          <w:p w14:paraId="4EA3BACC" w14:textId="77777777" w:rsidR="00342A86" w:rsidRPr="00B57B36" w:rsidRDefault="00342A86" w:rsidP="00342A86">
            <w:pPr>
              <w:pStyle w:val="CETBodytext"/>
              <w:rPr>
                <w:lang w:val="en-GB"/>
              </w:rPr>
            </w:pPr>
            <w:r>
              <w:rPr>
                <w:lang w:val="en-GB"/>
              </w:rPr>
              <w:t>kg/kg</w:t>
            </w:r>
          </w:p>
        </w:tc>
        <w:tc>
          <w:tcPr>
            <w:tcW w:w="1275" w:type="dxa"/>
            <w:shd w:val="clear" w:color="auto" w:fill="FFFFFF"/>
          </w:tcPr>
          <w:p w14:paraId="7A41F70D" w14:textId="77777777" w:rsidR="00342A86" w:rsidRPr="00B57B36" w:rsidRDefault="00342A86" w:rsidP="00342A86">
            <w:pPr>
              <w:pStyle w:val="CETBodytext"/>
              <w:rPr>
                <w:lang w:val="en-GB"/>
              </w:rPr>
            </w:pPr>
            <w:r>
              <w:rPr>
                <w:lang w:val="en-GB"/>
              </w:rPr>
              <w:t>0.11</w:t>
            </w:r>
          </w:p>
        </w:tc>
        <w:tc>
          <w:tcPr>
            <w:tcW w:w="1275" w:type="dxa"/>
            <w:shd w:val="clear" w:color="auto" w:fill="FFFFFF"/>
          </w:tcPr>
          <w:p w14:paraId="6DEF158F" w14:textId="0A01820A" w:rsidR="00342A86" w:rsidRDefault="00342A86" w:rsidP="00342A86">
            <w:pPr>
              <w:pStyle w:val="CETBodytext"/>
              <w:rPr>
                <w:lang w:val="en-GB"/>
              </w:rPr>
            </w:pPr>
            <w:proofErr w:type="spellStart"/>
            <w:r>
              <w:rPr>
                <w:lang w:val="en-GB"/>
              </w:rPr>
              <w:t>Δ</w:t>
            </w:r>
            <w:proofErr w:type="gramStart"/>
            <w:r>
              <w:rPr>
                <w:lang w:val="en-GB"/>
              </w:rPr>
              <w:t>H</w:t>
            </w:r>
            <w:r w:rsidRPr="009946B8">
              <w:rPr>
                <w:vertAlign w:val="subscript"/>
                <w:lang w:val="en-GB"/>
              </w:rPr>
              <w:t>R,cel</w:t>
            </w:r>
            <w:proofErr w:type="spellEnd"/>
            <w:proofErr w:type="gramEnd"/>
          </w:p>
        </w:tc>
        <w:tc>
          <w:tcPr>
            <w:tcW w:w="1275" w:type="dxa"/>
            <w:shd w:val="clear" w:color="auto" w:fill="FFFFFF"/>
          </w:tcPr>
          <w:p w14:paraId="3D4FB6D8" w14:textId="76E664CA" w:rsidR="00342A86" w:rsidRDefault="00342A86" w:rsidP="00342A86">
            <w:pPr>
              <w:pStyle w:val="CETBodytext"/>
              <w:rPr>
                <w:lang w:val="en-GB"/>
              </w:rPr>
            </w:pPr>
            <w:r>
              <w:rPr>
                <w:lang w:val="en-GB"/>
              </w:rPr>
              <w:t>J/kg</w:t>
            </w:r>
          </w:p>
        </w:tc>
        <w:tc>
          <w:tcPr>
            <w:tcW w:w="1275" w:type="dxa"/>
            <w:shd w:val="clear" w:color="auto" w:fill="FFFFFF"/>
          </w:tcPr>
          <w:p w14:paraId="429750DB" w14:textId="7FB58B32" w:rsidR="00342A86" w:rsidRDefault="00342A86" w:rsidP="00342A86">
            <w:pPr>
              <w:pStyle w:val="CETBodytext"/>
              <w:rPr>
                <w:lang w:val="en-GB"/>
              </w:rPr>
            </w:pPr>
            <w:r>
              <w:rPr>
                <w:lang w:val="en-GB"/>
              </w:rPr>
              <w:t xml:space="preserve">6.01 </w:t>
            </w:r>
            <w:r>
              <w:rPr>
                <w:rFonts w:ascii="Cambria Math" w:hAnsi="Cambria Math" w:cs="Cambria Math"/>
                <w:lang w:val="en-GB"/>
              </w:rPr>
              <w:t>⋅</w:t>
            </w:r>
            <w:r>
              <w:rPr>
                <w:lang w:val="en-GB"/>
              </w:rPr>
              <w:t xml:space="preserve"> 10</w:t>
            </w:r>
            <w:r>
              <w:rPr>
                <w:vertAlign w:val="superscript"/>
                <w:lang w:val="en-GB"/>
              </w:rPr>
              <w:t>5</w:t>
            </w:r>
          </w:p>
        </w:tc>
      </w:tr>
      <w:tr w:rsidR="00342A86" w:rsidRPr="00B57B36" w14:paraId="52F517FB" w14:textId="4205B973" w:rsidTr="00E70EAD">
        <w:tc>
          <w:tcPr>
            <w:tcW w:w="2410" w:type="dxa"/>
            <w:shd w:val="clear" w:color="auto" w:fill="FFFFFF"/>
          </w:tcPr>
          <w:p w14:paraId="222049E1" w14:textId="77777777" w:rsidR="00342A86" w:rsidRPr="00B57B36" w:rsidRDefault="00342A86" w:rsidP="00342A86">
            <w:pPr>
              <w:pStyle w:val="CETBodytext"/>
              <w:rPr>
                <w:lang w:val="en-GB"/>
              </w:rPr>
            </w:pPr>
            <w:r>
              <w:rPr>
                <w:lang w:val="en-GB"/>
              </w:rPr>
              <w:t>Mass fraction ash</w:t>
            </w:r>
          </w:p>
        </w:tc>
        <w:tc>
          <w:tcPr>
            <w:tcW w:w="851" w:type="dxa"/>
            <w:shd w:val="clear" w:color="auto" w:fill="FFFFFF"/>
          </w:tcPr>
          <w:p w14:paraId="4BBEF66F" w14:textId="77777777" w:rsidR="00342A86" w:rsidRPr="00B57B36" w:rsidRDefault="00342A86" w:rsidP="00342A86">
            <w:pPr>
              <w:pStyle w:val="CETBodytext"/>
              <w:rPr>
                <w:lang w:val="en-GB"/>
              </w:rPr>
            </w:pPr>
            <w:r>
              <w:rPr>
                <w:lang w:val="en-GB"/>
              </w:rPr>
              <w:t>kg/kg</w:t>
            </w:r>
          </w:p>
        </w:tc>
        <w:tc>
          <w:tcPr>
            <w:tcW w:w="1275" w:type="dxa"/>
            <w:shd w:val="clear" w:color="auto" w:fill="FFFFFF"/>
          </w:tcPr>
          <w:p w14:paraId="7800D4EA" w14:textId="77777777" w:rsidR="00342A86" w:rsidRPr="00B57B36" w:rsidRDefault="00342A86" w:rsidP="00342A86">
            <w:pPr>
              <w:pStyle w:val="CETBodytext"/>
              <w:rPr>
                <w:lang w:val="en-GB"/>
              </w:rPr>
            </w:pPr>
            <w:r>
              <w:rPr>
                <w:lang w:val="en-GB"/>
              </w:rPr>
              <w:t>0.016</w:t>
            </w:r>
          </w:p>
        </w:tc>
        <w:tc>
          <w:tcPr>
            <w:tcW w:w="1275" w:type="dxa"/>
            <w:shd w:val="clear" w:color="auto" w:fill="FFFFFF"/>
          </w:tcPr>
          <w:p w14:paraId="0E863AEC" w14:textId="72A9FA11" w:rsidR="00342A86" w:rsidRDefault="00342A86" w:rsidP="00342A86">
            <w:pPr>
              <w:pStyle w:val="CETBodytext"/>
              <w:rPr>
                <w:lang w:val="en-GB"/>
              </w:rPr>
            </w:pPr>
            <w:r>
              <w:rPr>
                <w:lang w:val="en-GB"/>
              </w:rPr>
              <w:t>A</w:t>
            </w:r>
            <w:r>
              <w:rPr>
                <w:vertAlign w:val="subscript"/>
                <w:lang w:val="en-GB"/>
              </w:rPr>
              <w:t>hem</w:t>
            </w:r>
          </w:p>
        </w:tc>
        <w:tc>
          <w:tcPr>
            <w:tcW w:w="1275" w:type="dxa"/>
            <w:shd w:val="clear" w:color="auto" w:fill="FFFFFF"/>
          </w:tcPr>
          <w:p w14:paraId="75FDFB0F" w14:textId="7DEB5695" w:rsidR="00342A86" w:rsidRDefault="00342A86" w:rsidP="00342A86">
            <w:pPr>
              <w:pStyle w:val="CETBodytext"/>
              <w:rPr>
                <w:lang w:val="en-GB"/>
              </w:rPr>
            </w:pPr>
            <w:r>
              <w:rPr>
                <w:lang w:val="en-GB"/>
              </w:rPr>
              <w:t>s</w:t>
            </w:r>
            <w:r w:rsidRPr="009946B8">
              <w:rPr>
                <w:vertAlign w:val="superscript"/>
                <w:lang w:val="en-GB"/>
              </w:rPr>
              <w:t>-1</w:t>
            </w:r>
          </w:p>
        </w:tc>
        <w:tc>
          <w:tcPr>
            <w:tcW w:w="1275" w:type="dxa"/>
            <w:shd w:val="clear" w:color="auto" w:fill="FFFFFF"/>
          </w:tcPr>
          <w:p w14:paraId="70A84D16" w14:textId="48658E6F" w:rsidR="00342A86" w:rsidRDefault="00342A86" w:rsidP="00342A86">
            <w:pPr>
              <w:pStyle w:val="CETBodytext"/>
              <w:rPr>
                <w:lang w:val="en-GB"/>
              </w:rPr>
            </w:pPr>
            <w:r>
              <w:rPr>
                <w:lang w:val="en-GB"/>
              </w:rPr>
              <w:t xml:space="preserve">1.07 </w:t>
            </w:r>
            <w:r>
              <w:rPr>
                <w:rFonts w:ascii="Cambria Math" w:hAnsi="Cambria Math" w:cs="Cambria Math"/>
                <w:lang w:val="en-GB"/>
              </w:rPr>
              <w:t>⋅</w:t>
            </w:r>
            <w:r>
              <w:rPr>
                <w:lang w:val="en-GB"/>
              </w:rPr>
              <w:t xml:space="preserve"> 10</w:t>
            </w:r>
            <w:r>
              <w:rPr>
                <w:vertAlign w:val="superscript"/>
                <w:lang w:val="en-GB"/>
              </w:rPr>
              <w:t>9</w:t>
            </w:r>
          </w:p>
        </w:tc>
      </w:tr>
      <w:tr w:rsidR="00342A86" w:rsidRPr="00B57B36" w14:paraId="3CF27A70" w14:textId="03A23CCE" w:rsidTr="00E70EAD">
        <w:tc>
          <w:tcPr>
            <w:tcW w:w="2410" w:type="dxa"/>
            <w:shd w:val="clear" w:color="auto" w:fill="FFFFFF"/>
          </w:tcPr>
          <w:p w14:paraId="1FA5E582" w14:textId="77777777" w:rsidR="00342A86" w:rsidRPr="00B57B36" w:rsidRDefault="00342A86" w:rsidP="00342A86">
            <w:pPr>
              <w:pStyle w:val="CETBodytext"/>
              <w:rPr>
                <w:lang w:val="en-GB"/>
              </w:rPr>
            </w:pPr>
            <w:r>
              <w:rPr>
                <w:lang w:val="en-GB"/>
              </w:rPr>
              <w:t>Mass fraction humidity</w:t>
            </w:r>
          </w:p>
        </w:tc>
        <w:tc>
          <w:tcPr>
            <w:tcW w:w="851" w:type="dxa"/>
            <w:shd w:val="clear" w:color="auto" w:fill="FFFFFF"/>
          </w:tcPr>
          <w:p w14:paraId="3A62603A" w14:textId="77777777" w:rsidR="00342A86" w:rsidRPr="00B57B36" w:rsidRDefault="00342A86" w:rsidP="00342A86">
            <w:pPr>
              <w:pStyle w:val="CETBodytext"/>
              <w:rPr>
                <w:lang w:val="en-GB"/>
              </w:rPr>
            </w:pPr>
            <w:r>
              <w:rPr>
                <w:lang w:val="en-GB"/>
              </w:rPr>
              <w:t>kg/kg</w:t>
            </w:r>
          </w:p>
        </w:tc>
        <w:tc>
          <w:tcPr>
            <w:tcW w:w="1275" w:type="dxa"/>
            <w:shd w:val="clear" w:color="auto" w:fill="FFFFFF"/>
          </w:tcPr>
          <w:p w14:paraId="6B126D28" w14:textId="77777777" w:rsidR="00342A86" w:rsidRPr="00B57B36" w:rsidRDefault="00342A86" w:rsidP="00342A86">
            <w:pPr>
              <w:pStyle w:val="CETBodytext"/>
              <w:rPr>
                <w:lang w:val="en-GB"/>
              </w:rPr>
            </w:pPr>
            <w:r>
              <w:rPr>
                <w:lang w:val="en-GB"/>
              </w:rPr>
              <w:t>0.154</w:t>
            </w:r>
          </w:p>
        </w:tc>
        <w:tc>
          <w:tcPr>
            <w:tcW w:w="1275" w:type="dxa"/>
            <w:shd w:val="clear" w:color="auto" w:fill="FFFFFF"/>
          </w:tcPr>
          <w:p w14:paraId="64CDBA35" w14:textId="7B161F59" w:rsidR="00342A86" w:rsidRDefault="00342A86" w:rsidP="00342A86">
            <w:pPr>
              <w:pStyle w:val="CETBodytext"/>
              <w:rPr>
                <w:lang w:val="en-GB"/>
              </w:rPr>
            </w:pPr>
            <w:proofErr w:type="spellStart"/>
            <w:proofErr w:type="gramStart"/>
            <w:r>
              <w:rPr>
                <w:lang w:val="en-GB"/>
              </w:rPr>
              <w:t>E</w:t>
            </w:r>
            <w:r w:rsidRPr="009946B8">
              <w:rPr>
                <w:vertAlign w:val="subscript"/>
                <w:lang w:val="en-GB"/>
              </w:rPr>
              <w:t>a,</w:t>
            </w:r>
            <w:r>
              <w:rPr>
                <w:vertAlign w:val="subscript"/>
                <w:lang w:val="en-GB"/>
              </w:rPr>
              <w:t>hem</w:t>
            </w:r>
            <w:proofErr w:type="spellEnd"/>
            <w:proofErr w:type="gramEnd"/>
          </w:p>
        </w:tc>
        <w:tc>
          <w:tcPr>
            <w:tcW w:w="1275" w:type="dxa"/>
            <w:shd w:val="clear" w:color="auto" w:fill="FFFFFF"/>
          </w:tcPr>
          <w:p w14:paraId="1FC582C7" w14:textId="1ABD902C" w:rsidR="00342A86" w:rsidRDefault="00342A86" w:rsidP="00342A86">
            <w:pPr>
              <w:pStyle w:val="CETBodytext"/>
              <w:rPr>
                <w:lang w:val="en-GB"/>
              </w:rPr>
            </w:pPr>
            <w:r>
              <w:rPr>
                <w:lang w:val="en-GB"/>
              </w:rPr>
              <w:t>J/mol</w:t>
            </w:r>
          </w:p>
        </w:tc>
        <w:tc>
          <w:tcPr>
            <w:tcW w:w="1275" w:type="dxa"/>
            <w:shd w:val="clear" w:color="auto" w:fill="FFFFFF"/>
          </w:tcPr>
          <w:p w14:paraId="02036F66" w14:textId="75509EC1" w:rsidR="00342A86" w:rsidRDefault="00342A86" w:rsidP="00342A86">
            <w:pPr>
              <w:pStyle w:val="CETBodytext"/>
              <w:rPr>
                <w:lang w:val="en-GB"/>
              </w:rPr>
            </w:pPr>
            <w:r>
              <w:rPr>
                <w:lang w:val="en-GB"/>
              </w:rPr>
              <w:t xml:space="preserve">1.23 </w:t>
            </w:r>
            <w:r>
              <w:rPr>
                <w:rFonts w:ascii="Cambria Math" w:hAnsi="Cambria Math" w:cs="Cambria Math"/>
                <w:lang w:val="en-GB"/>
              </w:rPr>
              <w:t>⋅</w:t>
            </w:r>
            <w:r>
              <w:rPr>
                <w:lang w:val="en-GB"/>
              </w:rPr>
              <w:t xml:space="preserve"> 10</w:t>
            </w:r>
            <w:r w:rsidRPr="009946B8">
              <w:rPr>
                <w:vertAlign w:val="superscript"/>
                <w:lang w:val="en-GB"/>
              </w:rPr>
              <w:t>5</w:t>
            </w:r>
          </w:p>
        </w:tc>
      </w:tr>
      <w:tr w:rsidR="00342A86" w:rsidRPr="00B57B36" w14:paraId="5345E1E7" w14:textId="58D5573F" w:rsidTr="00E70EAD">
        <w:tc>
          <w:tcPr>
            <w:tcW w:w="2410" w:type="dxa"/>
            <w:shd w:val="clear" w:color="auto" w:fill="FFFFFF"/>
          </w:tcPr>
          <w:p w14:paraId="3D4FEB89" w14:textId="5CD5C776" w:rsidR="00342A86" w:rsidRPr="00B57B36" w:rsidRDefault="00342A86" w:rsidP="00342A86">
            <w:pPr>
              <w:pStyle w:val="CETBodytext"/>
              <w:rPr>
                <w:lang w:val="en-GB"/>
              </w:rPr>
            </w:pPr>
          </w:p>
        </w:tc>
        <w:tc>
          <w:tcPr>
            <w:tcW w:w="851" w:type="dxa"/>
            <w:shd w:val="clear" w:color="auto" w:fill="FFFFFF"/>
          </w:tcPr>
          <w:p w14:paraId="3E0BC03C" w14:textId="2F10EE78" w:rsidR="00342A86" w:rsidRPr="00B57B36" w:rsidRDefault="00342A86" w:rsidP="00342A86">
            <w:pPr>
              <w:pStyle w:val="CETBodytext"/>
              <w:rPr>
                <w:lang w:val="en-GB"/>
              </w:rPr>
            </w:pPr>
          </w:p>
        </w:tc>
        <w:tc>
          <w:tcPr>
            <w:tcW w:w="1275" w:type="dxa"/>
            <w:shd w:val="clear" w:color="auto" w:fill="FFFFFF"/>
          </w:tcPr>
          <w:p w14:paraId="63DA92FD" w14:textId="315DFF5E" w:rsidR="00342A86" w:rsidRPr="009946B8" w:rsidRDefault="00342A86" w:rsidP="00342A86">
            <w:pPr>
              <w:pStyle w:val="CETBodytext"/>
              <w:rPr>
                <w:vertAlign w:val="superscript"/>
                <w:lang w:val="en-GB"/>
              </w:rPr>
            </w:pPr>
          </w:p>
        </w:tc>
        <w:tc>
          <w:tcPr>
            <w:tcW w:w="1275" w:type="dxa"/>
            <w:shd w:val="clear" w:color="auto" w:fill="FFFFFF"/>
          </w:tcPr>
          <w:p w14:paraId="5AFFD52F" w14:textId="30E749DA" w:rsidR="00342A86" w:rsidRDefault="00342A86" w:rsidP="00342A86">
            <w:pPr>
              <w:pStyle w:val="CETBodytext"/>
              <w:rPr>
                <w:lang w:val="en-GB"/>
              </w:rPr>
            </w:pPr>
            <w:proofErr w:type="spellStart"/>
            <w:r>
              <w:rPr>
                <w:lang w:val="en-GB"/>
              </w:rPr>
              <w:t>Δ</w:t>
            </w:r>
            <w:proofErr w:type="gramStart"/>
            <w:r>
              <w:rPr>
                <w:lang w:val="en-GB"/>
              </w:rPr>
              <w:t>H</w:t>
            </w:r>
            <w:r w:rsidRPr="009946B8">
              <w:rPr>
                <w:vertAlign w:val="subscript"/>
                <w:lang w:val="en-GB"/>
              </w:rPr>
              <w:t>R,</w:t>
            </w:r>
            <w:r>
              <w:rPr>
                <w:vertAlign w:val="subscript"/>
                <w:lang w:val="en-GB"/>
              </w:rPr>
              <w:t>hem</w:t>
            </w:r>
            <w:proofErr w:type="spellEnd"/>
            <w:proofErr w:type="gramEnd"/>
          </w:p>
        </w:tc>
        <w:tc>
          <w:tcPr>
            <w:tcW w:w="1275" w:type="dxa"/>
            <w:shd w:val="clear" w:color="auto" w:fill="FFFFFF"/>
          </w:tcPr>
          <w:p w14:paraId="0D4A7901" w14:textId="3408EDDD" w:rsidR="00342A86" w:rsidRDefault="00342A86" w:rsidP="00342A86">
            <w:pPr>
              <w:pStyle w:val="CETBodytext"/>
              <w:rPr>
                <w:lang w:val="en-GB"/>
              </w:rPr>
            </w:pPr>
            <w:r>
              <w:rPr>
                <w:lang w:val="en-GB"/>
              </w:rPr>
              <w:t>J/kg</w:t>
            </w:r>
          </w:p>
        </w:tc>
        <w:tc>
          <w:tcPr>
            <w:tcW w:w="1275" w:type="dxa"/>
            <w:shd w:val="clear" w:color="auto" w:fill="FFFFFF"/>
          </w:tcPr>
          <w:p w14:paraId="0B80F8C3" w14:textId="5599FD91" w:rsidR="00342A86" w:rsidRDefault="00342A86" w:rsidP="00342A86">
            <w:pPr>
              <w:pStyle w:val="CETBodytext"/>
              <w:rPr>
                <w:lang w:val="en-GB"/>
              </w:rPr>
            </w:pPr>
            <w:r>
              <w:rPr>
                <w:lang w:val="en-GB"/>
              </w:rPr>
              <w:t xml:space="preserve">2.48 </w:t>
            </w:r>
            <w:r>
              <w:rPr>
                <w:rFonts w:ascii="Cambria Math" w:hAnsi="Cambria Math" w:cs="Cambria Math"/>
                <w:lang w:val="en-GB"/>
              </w:rPr>
              <w:t>⋅</w:t>
            </w:r>
            <w:r>
              <w:rPr>
                <w:lang w:val="en-GB"/>
              </w:rPr>
              <w:t xml:space="preserve"> 10</w:t>
            </w:r>
            <w:r>
              <w:rPr>
                <w:vertAlign w:val="superscript"/>
                <w:lang w:val="en-GB"/>
              </w:rPr>
              <w:t>5</w:t>
            </w:r>
          </w:p>
        </w:tc>
      </w:tr>
      <w:tr w:rsidR="00342A86" w:rsidRPr="00B57B36" w14:paraId="411BD6B5" w14:textId="6DD41865" w:rsidTr="00E70EAD">
        <w:tc>
          <w:tcPr>
            <w:tcW w:w="2410" w:type="dxa"/>
            <w:shd w:val="clear" w:color="auto" w:fill="FFFFFF"/>
          </w:tcPr>
          <w:p w14:paraId="3AF84DA2" w14:textId="5C326955" w:rsidR="00342A86" w:rsidRPr="00B57B36" w:rsidRDefault="00342A86" w:rsidP="00342A86">
            <w:pPr>
              <w:pStyle w:val="CETBodytext"/>
              <w:rPr>
                <w:lang w:val="en-GB"/>
              </w:rPr>
            </w:pPr>
          </w:p>
        </w:tc>
        <w:tc>
          <w:tcPr>
            <w:tcW w:w="851" w:type="dxa"/>
            <w:shd w:val="clear" w:color="auto" w:fill="FFFFFF"/>
          </w:tcPr>
          <w:p w14:paraId="62C71D36" w14:textId="14FFBFC4" w:rsidR="00342A86" w:rsidRPr="00B57B36" w:rsidRDefault="00342A86" w:rsidP="00342A86">
            <w:pPr>
              <w:pStyle w:val="CETBodytext"/>
              <w:rPr>
                <w:lang w:val="en-GB"/>
              </w:rPr>
            </w:pPr>
          </w:p>
        </w:tc>
        <w:tc>
          <w:tcPr>
            <w:tcW w:w="1275" w:type="dxa"/>
            <w:shd w:val="clear" w:color="auto" w:fill="FFFFFF"/>
          </w:tcPr>
          <w:p w14:paraId="0BB886E6" w14:textId="229105D8" w:rsidR="00342A86" w:rsidRPr="00B57B36" w:rsidRDefault="00342A86" w:rsidP="00342A86">
            <w:pPr>
              <w:pStyle w:val="CETBodytext"/>
              <w:rPr>
                <w:lang w:val="en-GB"/>
              </w:rPr>
            </w:pPr>
          </w:p>
        </w:tc>
        <w:tc>
          <w:tcPr>
            <w:tcW w:w="1275" w:type="dxa"/>
            <w:shd w:val="clear" w:color="auto" w:fill="FFFFFF"/>
          </w:tcPr>
          <w:p w14:paraId="25357E9A" w14:textId="0FA18C0E" w:rsidR="00342A86" w:rsidRDefault="00342A86" w:rsidP="00342A86">
            <w:pPr>
              <w:pStyle w:val="CETBodytext"/>
              <w:rPr>
                <w:lang w:val="en-GB"/>
              </w:rPr>
            </w:pPr>
            <w:proofErr w:type="spellStart"/>
            <w:r>
              <w:rPr>
                <w:lang w:val="en-GB"/>
              </w:rPr>
              <w:t>A</w:t>
            </w:r>
            <w:r>
              <w:rPr>
                <w:vertAlign w:val="subscript"/>
                <w:lang w:val="en-GB"/>
              </w:rPr>
              <w:t>lig</w:t>
            </w:r>
            <w:proofErr w:type="spellEnd"/>
          </w:p>
        </w:tc>
        <w:tc>
          <w:tcPr>
            <w:tcW w:w="1275" w:type="dxa"/>
            <w:shd w:val="clear" w:color="auto" w:fill="FFFFFF"/>
          </w:tcPr>
          <w:p w14:paraId="0B0F466F" w14:textId="4386A989" w:rsidR="00342A86" w:rsidRDefault="00342A86" w:rsidP="00342A86">
            <w:pPr>
              <w:pStyle w:val="CETBodytext"/>
              <w:rPr>
                <w:lang w:val="en-GB"/>
              </w:rPr>
            </w:pPr>
            <w:r>
              <w:rPr>
                <w:lang w:val="en-GB"/>
              </w:rPr>
              <w:t>s</w:t>
            </w:r>
            <w:r w:rsidRPr="009946B8">
              <w:rPr>
                <w:vertAlign w:val="superscript"/>
                <w:lang w:val="en-GB"/>
              </w:rPr>
              <w:t>-1</w:t>
            </w:r>
          </w:p>
        </w:tc>
        <w:tc>
          <w:tcPr>
            <w:tcW w:w="1275" w:type="dxa"/>
            <w:shd w:val="clear" w:color="auto" w:fill="FFFFFF"/>
          </w:tcPr>
          <w:p w14:paraId="7CB8C66F" w14:textId="2022CC4E" w:rsidR="00342A86" w:rsidRDefault="00342A86" w:rsidP="00342A86">
            <w:pPr>
              <w:pStyle w:val="CETBodytext"/>
              <w:rPr>
                <w:lang w:val="en-GB"/>
              </w:rPr>
            </w:pPr>
            <w:r>
              <w:rPr>
                <w:lang w:val="en-GB"/>
              </w:rPr>
              <w:t xml:space="preserve">1.38 </w:t>
            </w:r>
            <w:r>
              <w:rPr>
                <w:rFonts w:ascii="Cambria Math" w:hAnsi="Cambria Math" w:cs="Cambria Math"/>
                <w:lang w:val="en-GB"/>
              </w:rPr>
              <w:t>⋅</w:t>
            </w:r>
            <w:r>
              <w:rPr>
                <w:lang w:val="en-GB"/>
              </w:rPr>
              <w:t xml:space="preserve"> 10</w:t>
            </w:r>
            <w:r>
              <w:rPr>
                <w:vertAlign w:val="superscript"/>
                <w:lang w:val="en-GB"/>
              </w:rPr>
              <w:t>12</w:t>
            </w:r>
          </w:p>
        </w:tc>
      </w:tr>
      <w:tr w:rsidR="00342A86" w:rsidRPr="00B57B36" w14:paraId="13E8A1CB" w14:textId="57A19851" w:rsidTr="00E70EAD">
        <w:tc>
          <w:tcPr>
            <w:tcW w:w="2410" w:type="dxa"/>
            <w:shd w:val="clear" w:color="auto" w:fill="FFFFFF"/>
          </w:tcPr>
          <w:p w14:paraId="6408BD96" w14:textId="1E4A658F" w:rsidR="00342A86" w:rsidRPr="00B57B36" w:rsidRDefault="00342A86" w:rsidP="00342A86">
            <w:pPr>
              <w:pStyle w:val="CETBodytext"/>
              <w:rPr>
                <w:lang w:val="en-GB"/>
              </w:rPr>
            </w:pPr>
          </w:p>
        </w:tc>
        <w:tc>
          <w:tcPr>
            <w:tcW w:w="851" w:type="dxa"/>
            <w:shd w:val="clear" w:color="auto" w:fill="FFFFFF"/>
          </w:tcPr>
          <w:p w14:paraId="3E5E098C" w14:textId="2726D559" w:rsidR="00342A86" w:rsidRPr="00B57B36" w:rsidRDefault="00342A86" w:rsidP="00342A86">
            <w:pPr>
              <w:pStyle w:val="CETBodytext"/>
              <w:rPr>
                <w:lang w:val="en-GB"/>
              </w:rPr>
            </w:pPr>
          </w:p>
        </w:tc>
        <w:tc>
          <w:tcPr>
            <w:tcW w:w="1275" w:type="dxa"/>
            <w:shd w:val="clear" w:color="auto" w:fill="FFFFFF"/>
          </w:tcPr>
          <w:p w14:paraId="38A10279" w14:textId="7450C413" w:rsidR="00342A86" w:rsidRPr="00B57B36" w:rsidRDefault="00342A86" w:rsidP="00342A86">
            <w:pPr>
              <w:pStyle w:val="CETBodytext"/>
              <w:rPr>
                <w:lang w:val="en-GB"/>
              </w:rPr>
            </w:pPr>
          </w:p>
        </w:tc>
        <w:tc>
          <w:tcPr>
            <w:tcW w:w="1275" w:type="dxa"/>
            <w:shd w:val="clear" w:color="auto" w:fill="FFFFFF"/>
          </w:tcPr>
          <w:p w14:paraId="006C7A3A" w14:textId="72049683" w:rsidR="00342A86" w:rsidRDefault="00342A86" w:rsidP="00342A86">
            <w:pPr>
              <w:pStyle w:val="CETBodytext"/>
              <w:rPr>
                <w:lang w:val="en-GB"/>
              </w:rPr>
            </w:pPr>
            <w:proofErr w:type="spellStart"/>
            <w:proofErr w:type="gramStart"/>
            <w:r>
              <w:rPr>
                <w:lang w:val="en-GB"/>
              </w:rPr>
              <w:t>E</w:t>
            </w:r>
            <w:r w:rsidRPr="009946B8">
              <w:rPr>
                <w:vertAlign w:val="subscript"/>
                <w:lang w:val="en-GB"/>
              </w:rPr>
              <w:t>a,</w:t>
            </w:r>
            <w:r>
              <w:rPr>
                <w:vertAlign w:val="subscript"/>
                <w:lang w:val="en-GB"/>
              </w:rPr>
              <w:t>lig</w:t>
            </w:r>
            <w:proofErr w:type="spellEnd"/>
            <w:proofErr w:type="gramEnd"/>
          </w:p>
        </w:tc>
        <w:tc>
          <w:tcPr>
            <w:tcW w:w="1275" w:type="dxa"/>
            <w:shd w:val="clear" w:color="auto" w:fill="FFFFFF"/>
          </w:tcPr>
          <w:p w14:paraId="7EC16548" w14:textId="350F190D" w:rsidR="00342A86" w:rsidRDefault="00342A86" w:rsidP="00342A86">
            <w:pPr>
              <w:pStyle w:val="CETBodytext"/>
              <w:rPr>
                <w:lang w:val="en-GB"/>
              </w:rPr>
            </w:pPr>
            <w:r>
              <w:rPr>
                <w:lang w:val="en-GB"/>
              </w:rPr>
              <w:t>J/mol</w:t>
            </w:r>
          </w:p>
        </w:tc>
        <w:tc>
          <w:tcPr>
            <w:tcW w:w="1275" w:type="dxa"/>
            <w:shd w:val="clear" w:color="auto" w:fill="FFFFFF"/>
          </w:tcPr>
          <w:p w14:paraId="6D5D4F56" w14:textId="1F40CC22" w:rsidR="00342A86" w:rsidRDefault="00342A86" w:rsidP="00342A86">
            <w:pPr>
              <w:pStyle w:val="CETBodytext"/>
              <w:rPr>
                <w:lang w:val="en-GB"/>
              </w:rPr>
            </w:pPr>
            <w:r>
              <w:rPr>
                <w:lang w:val="en-GB"/>
              </w:rPr>
              <w:t xml:space="preserve">1.79 </w:t>
            </w:r>
            <w:r>
              <w:rPr>
                <w:rFonts w:ascii="Cambria Math" w:hAnsi="Cambria Math" w:cs="Cambria Math"/>
                <w:lang w:val="en-GB"/>
              </w:rPr>
              <w:t>⋅</w:t>
            </w:r>
            <w:r>
              <w:rPr>
                <w:lang w:val="en-GB"/>
              </w:rPr>
              <w:t xml:space="preserve"> 10</w:t>
            </w:r>
            <w:r>
              <w:rPr>
                <w:vertAlign w:val="superscript"/>
                <w:lang w:val="en-GB"/>
              </w:rPr>
              <w:t>5</w:t>
            </w:r>
          </w:p>
        </w:tc>
      </w:tr>
      <w:tr w:rsidR="00342A86" w:rsidRPr="00B57B36" w14:paraId="58352EB9" w14:textId="2FB9965F" w:rsidTr="00E70EAD">
        <w:tc>
          <w:tcPr>
            <w:tcW w:w="2410" w:type="dxa"/>
            <w:shd w:val="clear" w:color="auto" w:fill="FFFFFF"/>
          </w:tcPr>
          <w:p w14:paraId="5E93A74F" w14:textId="78662ABA" w:rsidR="00342A86" w:rsidRPr="00B57B36" w:rsidRDefault="00342A86" w:rsidP="00342A86">
            <w:pPr>
              <w:pStyle w:val="CETBodytext"/>
              <w:rPr>
                <w:lang w:val="en-GB"/>
              </w:rPr>
            </w:pPr>
          </w:p>
        </w:tc>
        <w:tc>
          <w:tcPr>
            <w:tcW w:w="851" w:type="dxa"/>
            <w:shd w:val="clear" w:color="auto" w:fill="FFFFFF"/>
          </w:tcPr>
          <w:p w14:paraId="6186753D" w14:textId="54EC1F89" w:rsidR="00342A86" w:rsidRPr="00B57B36" w:rsidRDefault="00342A86" w:rsidP="00342A86">
            <w:pPr>
              <w:pStyle w:val="CETBodytext"/>
              <w:rPr>
                <w:lang w:val="en-GB"/>
              </w:rPr>
            </w:pPr>
          </w:p>
        </w:tc>
        <w:tc>
          <w:tcPr>
            <w:tcW w:w="1275" w:type="dxa"/>
            <w:shd w:val="clear" w:color="auto" w:fill="FFFFFF"/>
          </w:tcPr>
          <w:p w14:paraId="7E4C8271" w14:textId="5021AC72" w:rsidR="00342A86" w:rsidRPr="00B57B36" w:rsidRDefault="00342A86" w:rsidP="00342A86">
            <w:pPr>
              <w:pStyle w:val="CETBodytext"/>
              <w:rPr>
                <w:lang w:val="en-GB"/>
              </w:rPr>
            </w:pPr>
          </w:p>
        </w:tc>
        <w:tc>
          <w:tcPr>
            <w:tcW w:w="1275" w:type="dxa"/>
            <w:shd w:val="clear" w:color="auto" w:fill="FFFFFF"/>
          </w:tcPr>
          <w:p w14:paraId="0E172064" w14:textId="1A2233EB" w:rsidR="00342A86" w:rsidRDefault="00342A86" w:rsidP="00342A86">
            <w:pPr>
              <w:pStyle w:val="CETBodytext"/>
              <w:rPr>
                <w:lang w:val="en-GB"/>
              </w:rPr>
            </w:pPr>
            <w:proofErr w:type="spellStart"/>
            <w:r>
              <w:rPr>
                <w:lang w:val="en-GB"/>
              </w:rPr>
              <w:t>Δ</w:t>
            </w:r>
            <w:proofErr w:type="gramStart"/>
            <w:r>
              <w:rPr>
                <w:lang w:val="en-GB"/>
              </w:rPr>
              <w:t>H</w:t>
            </w:r>
            <w:r w:rsidRPr="009946B8">
              <w:rPr>
                <w:vertAlign w:val="subscript"/>
                <w:lang w:val="en-GB"/>
              </w:rPr>
              <w:t>R,</w:t>
            </w:r>
            <w:r>
              <w:rPr>
                <w:vertAlign w:val="subscript"/>
                <w:lang w:val="en-GB"/>
              </w:rPr>
              <w:t>lig</w:t>
            </w:r>
            <w:proofErr w:type="spellEnd"/>
            <w:proofErr w:type="gramEnd"/>
          </w:p>
        </w:tc>
        <w:tc>
          <w:tcPr>
            <w:tcW w:w="1275" w:type="dxa"/>
            <w:shd w:val="clear" w:color="auto" w:fill="FFFFFF"/>
          </w:tcPr>
          <w:p w14:paraId="1FD73031" w14:textId="2D2E8ED9" w:rsidR="00342A86" w:rsidRDefault="00342A86" w:rsidP="00342A86">
            <w:pPr>
              <w:pStyle w:val="CETBodytext"/>
              <w:rPr>
                <w:lang w:val="en-GB"/>
              </w:rPr>
            </w:pPr>
            <w:r>
              <w:rPr>
                <w:lang w:val="en-GB"/>
              </w:rPr>
              <w:t>J/kg</w:t>
            </w:r>
          </w:p>
        </w:tc>
        <w:tc>
          <w:tcPr>
            <w:tcW w:w="1275" w:type="dxa"/>
            <w:shd w:val="clear" w:color="auto" w:fill="FFFFFF"/>
          </w:tcPr>
          <w:p w14:paraId="7DCA855D" w14:textId="6E2AE875" w:rsidR="00342A86" w:rsidRDefault="00342A86" w:rsidP="00342A86">
            <w:pPr>
              <w:pStyle w:val="CETBodytext"/>
              <w:rPr>
                <w:lang w:val="en-GB"/>
              </w:rPr>
            </w:pPr>
            <w:r>
              <w:rPr>
                <w:lang w:val="en-GB"/>
              </w:rPr>
              <w:t xml:space="preserve">-9.23 </w:t>
            </w:r>
            <w:r>
              <w:rPr>
                <w:rFonts w:ascii="Cambria Math" w:hAnsi="Cambria Math" w:cs="Cambria Math"/>
                <w:lang w:val="en-GB"/>
              </w:rPr>
              <w:t>⋅</w:t>
            </w:r>
            <w:r>
              <w:rPr>
                <w:lang w:val="en-GB"/>
              </w:rPr>
              <w:t xml:space="preserve"> 10</w:t>
            </w:r>
            <w:r>
              <w:rPr>
                <w:vertAlign w:val="superscript"/>
                <w:lang w:val="en-GB"/>
              </w:rPr>
              <w:t>5</w:t>
            </w:r>
          </w:p>
        </w:tc>
      </w:tr>
    </w:tbl>
    <w:p w14:paraId="4A3615AC" w14:textId="75043BD1" w:rsidR="00F14884" w:rsidRDefault="00F14884" w:rsidP="00600535">
      <w:pPr>
        <w:pStyle w:val="CETHeading1"/>
        <w:rPr>
          <w:lang w:val="en-GB"/>
        </w:rPr>
      </w:pPr>
      <w:r>
        <w:rPr>
          <w:lang w:val="en-GB"/>
        </w:rPr>
        <w:t>Results and discussion</w:t>
      </w:r>
    </w:p>
    <w:p w14:paraId="1339B184" w14:textId="08C0A470" w:rsidR="00E941BF" w:rsidRDefault="001116FB" w:rsidP="00B63B78">
      <w:pPr>
        <w:pStyle w:val="CETBodytext"/>
      </w:pPr>
      <w:r>
        <w:t xml:space="preserve">Figure 1 shows the </w:t>
      </w:r>
      <w:r>
        <w:t xml:space="preserve">temperature profile at the center of the particle in the </w:t>
      </w:r>
      <w:proofErr w:type="spellStart"/>
      <w:r>
        <w:t>OpenFOAM</w:t>
      </w:r>
      <w:proofErr w:type="spellEnd"/>
      <w:r>
        <w:t xml:space="preserve"> simulation in comparison to the </w:t>
      </w:r>
      <w:r>
        <w:t xml:space="preserve">temperature ramp that was </w:t>
      </w:r>
      <w:r>
        <w:t xml:space="preserve">introduced at the walls and the </w:t>
      </w:r>
      <w:r>
        <w:t xml:space="preserve">nitrogen flow inlet. </w:t>
      </w:r>
      <w:r w:rsidR="00831678">
        <w:t xml:space="preserve">The temperature profile of the particle center </w:t>
      </w:r>
      <w:r w:rsidR="00706E76">
        <w:t>was affected by</w:t>
      </w:r>
      <w:r w:rsidR="00831678">
        <w:t xml:space="preserve"> heat transfer through the gas phase, heat transfer in the solid phase, radiation and heat of reaction. </w:t>
      </w:r>
      <w:r w:rsidR="00831678">
        <w:t>The overall endother</w:t>
      </w:r>
      <w:r w:rsidR="00831678">
        <w:t xml:space="preserve">micity of pyrolysis can clearly be seen in the region between 1000 </w:t>
      </w:r>
      <w:r w:rsidR="00831678">
        <w:lastRenderedPageBreak/>
        <w:t xml:space="preserve">and 1300 </w:t>
      </w:r>
      <w:r w:rsidR="00831678">
        <w:t>seconds</w:t>
      </w:r>
      <w:r w:rsidR="00831678">
        <w:t xml:space="preserve">. </w:t>
      </w:r>
      <w:r w:rsidR="00831678">
        <w:t xml:space="preserve">Towards the end of </w:t>
      </w:r>
      <w:r w:rsidR="000D71C3">
        <w:t>pyrolysis,</w:t>
      </w:r>
      <w:r w:rsidR="00831678">
        <w:t xml:space="preserve"> the increase in temperature </w:t>
      </w:r>
      <w:r w:rsidR="00B75DB2">
        <w:t>wa</w:t>
      </w:r>
      <w:r w:rsidR="00831678">
        <w:t xml:space="preserve">s accelerated due to the </w:t>
      </w:r>
      <w:r w:rsidR="000D71C3">
        <w:t>exothermi</w:t>
      </w:r>
      <w:r w:rsidR="000D71C3">
        <w:t>ci</w:t>
      </w:r>
      <w:r w:rsidR="000D71C3">
        <w:t xml:space="preserve">ty in the decomposition of lignin. </w:t>
      </w:r>
      <w:r w:rsidR="00831678">
        <w:t xml:space="preserve">After </w:t>
      </w:r>
      <w:r w:rsidR="00831678">
        <w:t>pyrolysis the temperature of the particle g</w:t>
      </w:r>
      <w:r w:rsidR="00B75DB2">
        <w:t>ot</w:t>
      </w:r>
      <w:r w:rsidR="00831678">
        <w:t xml:space="preserve"> closer to the boundary temperat</w:t>
      </w:r>
      <w:r w:rsidR="00831678">
        <w:t>ure due to the smaller mass of the particle</w:t>
      </w:r>
      <w:r w:rsidR="000D71C3">
        <w:t xml:space="preserve"> and change </w:t>
      </w:r>
      <w:r w:rsidR="000D71C3">
        <w:t>of</w:t>
      </w:r>
      <w:r w:rsidR="000D71C3">
        <w:t xml:space="preserve"> the solid phas</w:t>
      </w:r>
      <w:r w:rsidR="000D71C3">
        <w:t>e properties from biomass to char</w:t>
      </w:r>
      <w:r w:rsidR="00831678">
        <w:t>.</w:t>
      </w:r>
      <w:r w:rsidR="00831678">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439"/>
      </w:tblGrid>
      <w:tr w:rsidR="00D93BD5" w14:paraId="7CC9C969" w14:textId="77777777" w:rsidTr="000576DE">
        <w:tc>
          <w:tcPr>
            <w:tcW w:w="4388" w:type="dxa"/>
          </w:tcPr>
          <w:p w14:paraId="6C43773E" w14:textId="493DFF40" w:rsidR="000576DE" w:rsidRDefault="000576DE" w:rsidP="00CE082C">
            <w:pPr>
              <w:pStyle w:val="CETCaption"/>
              <w:spacing w:before="0" w:after="0"/>
            </w:pPr>
            <w:r>
              <w:rPr>
                <w:noProof/>
              </w:rPr>
              <w:drawing>
                <wp:inline distT="0" distB="0" distL="0" distR="0" wp14:anchorId="6A760EEB" wp14:editId="4E2730F3">
                  <wp:extent cx="2691517" cy="1815513"/>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a:extLst>
                              <a:ext uri="{28A0092B-C50C-407E-A947-70E740481C1C}">
                                <a14:useLocalDpi xmlns:a14="http://schemas.microsoft.com/office/drawing/2010/main" val="0"/>
                              </a:ext>
                            </a:extLst>
                          </a:blip>
                          <a:srcRect l="594" t="1467" r="1168" b="1783"/>
                          <a:stretch/>
                        </pic:blipFill>
                        <pic:spPr bwMode="auto">
                          <a:xfrm>
                            <a:off x="0" y="0"/>
                            <a:ext cx="2748556" cy="1853988"/>
                          </a:xfrm>
                          <a:prstGeom prst="rect">
                            <a:avLst/>
                          </a:prstGeom>
                          <a:noFill/>
                          <a:ln>
                            <a:noFill/>
                          </a:ln>
                          <a:extLst>
                            <a:ext uri="{53640926-AAD7-44D8-BBD7-CCE9431645EC}">
                              <a14:shadowObscured xmlns:a14="http://schemas.microsoft.com/office/drawing/2010/main"/>
                            </a:ext>
                          </a:extLst>
                        </pic:spPr>
                      </pic:pic>
                    </a:graphicData>
                  </a:graphic>
                </wp:inline>
              </w:drawing>
            </w:r>
          </w:p>
          <w:p w14:paraId="63D9333B" w14:textId="4C8B35FF" w:rsidR="000576DE" w:rsidRDefault="000576DE" w:rsidP="001116FB">
            <w:pPr>
              <w:pStyle w:val="CETCaption"/>
            </w:pPr>
            <w:r w:rsidRPr="00B57B36">
              <w:t xml:space="preserve">Figure 1: </w:t>
            </w:r>
            <w:r>
              <w:t xml:space="preserve">Temperature profile at the </w:t>
            </w:r>
            <w:proofErr w:type="spellStart"/>
            <w:r>
              <w:t>center</w:t>
            </w:r>
            <w:proofErr w:type="spellEnd"/>
            <w:r>
              <w:t xml:space="preserve"> of the particle in the simulation with </w:t>
            </w:r>
            <w:proofErr w:type="spellStart"/>
            <w:r>
              <w:t>OpenFOAM</w:t>
            </w:r>
            <w:proofErr w:type="spellEnd"/>
          </w:p>
        </w:tc>
        <w:tc>
          <w:tcPr>
            <w:tcW w:w="4389" w:type="dxa"/>
          </w:tcPr>
          <w:p w14:paraId="438C2000" w14:textId="14603AE1" w:rsidR="000576DE" w:rsidRDefault="00A411E6" w:rsidP="00CE082C">
            <w:pPr>
              <w:pStyle w:val="CETCaption"/>
              <w:spacing w:before="0" w:after="0" w:line="240" w:lineRule="auto"/>
            </w:pPr>
            <w:r>
              <w:rPr>
                <w:noProof/>
              </w:rPr>
              <w:drawing>
                <wp:inline distT="0" distB="0" distL="0" distR="0" wp14:anchorId="08F1395D" wp14:editId="4F935EF2">
                  <wp:extent cx="2751097" cy="18154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810" t="2423" r="2054" b="2446"/>
                          <a:stretch/>
                        </pic:blipFill>
                        <pic:spPr bwMode="auto">
                          <a:xfrm>
                            <a:off x="0" y="0"/>
                            <a:ext cx="2818617" cy="1860022"/>
                          </a:xfrm>
                          <a:prstGeom prst="rect">
                            <a:avLst/>
                          </a:prstGeom>
                          <a:noFill/>
                          <a:ln>
                            <a:noFill/>
                          </a:ln>
                          <a:extLst>
                            <a:ext uri="{53640926-AAD7-44D8-BBD7-CCE9431645EC}">
                              <a14:shadowObscured xmlns:a14="http://schemas.microsoft.com/office/drawing/2010/main"/>
                            </a:ext>
                          </a:extLst>
                        </pic:spPr>
                      </pic:pic>
                    </a:graphicData>
                  </a:graphic>
                </wp:inline>
              </w:drawing>
            </w:r>
          </w:p>
          <w:p w14:paraId="21A461D0" w14:textId="77777777" w:rsidR="000576DE" w:rsidRDefault="000576DE" w:rsidP="000576DE">
            <w:pPr>
              <w:pStyle w:val="CETCaption"/>
              <w:spacing w:before="0" w:after="0"/>
            </w:pPr>
          </w:p>
          <w:p w14:paraId="1E8F5C04" w14:textId="29CFBD78" w:rsidR="000576DE" w:rsidRDefault="000576DE" w:rsidP="00CE082C">
            <w:pPr>
              <w:pStyle w:val="CETCaption"/>
              <w:spacing w:before="0" w:after="0"/>
            </w:pPr>
            <w:r w:rsidRPr="00B57B36">
              <w:t xml:space="preserve">Figure </w:t>
            </w:r>
            <w:r>
              <w:t>2</w:t>
            </w:r>
            <w:r w:rsidRPr="00B57B36">
              <w:t xml:space="preserve">: </w:t>
            </w:r>
            <w:r>
              <w:t xml:space="preserve">Comparison of particle mass loss during pyrolysis from </w:t>
            </w:r>
            <w:proofErr w:type="spellStart"/>
            <w:r>
              <w:t>OpenFOAM</w:t>
            </w:r>
            <w:proofErr w:type="spellEnd"/>
            <w:r>
              <w:t xml:space="preserve"> simulation and kinetic model</w:t>
            </w:r>
          </w:p>
        </w:tc>
      </w:tr>
    </w:tbl>
    <w:p w14:paraId="088FC623" w14:textId="0853F17C" w:rsidR="00B63B78" w:rsidRDefault="001116FB" w:rsidP="00B63B78">
      <w:pPr>
        <w:pStyle w:val="CETBodytext"/>
        <w:rPr>
          <w:lang w:val="en-GB"/>
        </w:rPr>
      </w:pPr>
      <w:r w:rsidRPr="00B63B78">
        <w:rPr>
          <w:lang w:val="en-GB"/>
        </w:rPr>
        <w:t>To investigate the performance of the model with regard to pyrolysis kinetics and mass</w:t>
      </w:r>
      <w:r>
        <w:rPr>
          <w:lang w:val="en-GB"/>
        </w:rPr>
        <w:t xml:space="preserve"> </w:t>
      </w:r>
      <w:r w:rsidRPr="00B63B78">
        <w:rPr>
          <w:lang w:val="en-GB"/>
        </w:rPr>
        <w:t xml:space="preserve">loss of the solid phase, the </w:t>
      </w:r>
      <w:proofErr w:type="spellStart"/>
      <w:r w:rsidRPr="00B63B78">
        <w:rPr>
          <w:lang w:val="en-GB"/>
        </w:rPr>
        <w:t>OpenFOAM</w:t>
      </w:r>
      <w:proofErr w:type="spellEnd"/>
      <w:r w:rsidRPr="00B63B78">
        <w:rPr>
          <w:lang w:val="en-GB"/>
        </w:rPr>
        <w:t xml:space="preserve"> simulation results were compared </w:t>
      </w:r>
      <w:r w:rsidR="003615A2">
        <w:rPr>
          <w:lang w:val="en-GB"/>
        </w:rPr>
        <w:t xml:space="preserve">to </w:t>
      </w:r>
      <w:r w:rsidRPr="00B63B78">
        <w:rPr>
          <w:lang w:val="en-GB"/>
        </w:rPr>
        <w:t>results of the</w:t>
      </w:r>
      <w:r>
        <w:rPr>
          <w:lang w:val="en-GB"/>
        </w:rPr>
        <w:t xml:space="preserve"> </w:t>
      </w:r>
      <w:r w:rsidRPr="00B63B78">
        <w:rPr>
          <w:lang w:val="en-GB"/>
        </w:rPr>
        <w:t xml:space="preserve">study by </w:t>
      </w:r>
      <w:proofErr w:type="spellStart"/>
      <w:r w:rsidRPr="00B63B78">
        <w:rPr>
          <w:lang w:val="en-GB"/>
        </w:rPr>
        <w:t>Branca</w:t>
      </w:r>
      <w:proofErr w:type="spellEnd"/>
      <w:r w:rsidRPr="00B63B78">
        <w:rPr>
          <w:lang w:val="en-GB"/>
        </w:rPr>
        <w:t xml:space="preserve"> and Di Blasi</w:t>
      </w:r>
      <w:r>
        <w:rPr>
          <w:lang w:val="en-GB"/>
        </w:rPr>
        <w:t xml:space="preserve"> </w:t>
      </w:r>
      <w:r>
        <w:t xml:space="preserve">(2016). </w:t>
      </w:r>
      <w:r w:rsidR="000D71C3">
        <w:t>Th</w:t>
      </w:r>
      <w:r w:rsidR="007403EE">
        <w:t>is</w:t>
      </w:r>
      <w:r w:rsidR="000D71C3">
        <w:t xml:space="preserve"> model was derived </w:t>
      </w:r>
      <w:r w:rsidR="00706E76">
        <w:t xml:space="preserve">directly </w:t>
      </w:r>
      <w:r w:rsidR="000D71C3">
        <w:t xml:space="preserve">from </w:t>
      </w:r>
      <w:r w:rsidR="000D71C3">
        <w:t>experimental</w:t>
      </w:r>
      <w:r w:rsidR="000D71C3">
        <w:t xml:space="preserve"> data a</w:t>
      </w:r>
      <w:r w:rsidR="000D71C3">
        <w:t xml:space="preserve">nd </w:t>
      </w:r>
      <w:r w:rsidR="00B75DB2">
        <w:t xml:space="preserve">validated by TGA experiments. </w:t>
      </w:r>
      <w:r w:rsidR="003615A2">
        <w:t>The kinetic model</w:t>
      </w:r>
      <w:r w:rsidR="003615A2">
        <w:t xml:space="preserve"> used Eq. (16) to describe the</w:t>
      </w:r>
      <w:r w:rsidR="003615A2">
        <w:t xml:space="preserve"> change in the mass fraction of each pseudo-component during pyrolysis</w:t>
      </w:r>
      <w:r w:rsidR="00C85E65">
        <w:t>. Based on these reaction rates,</w:t>
      </w:r>
      <w:r w:rsidR="003615A2">
        <w:t xml:space="preserve"> the overall mass loss </w:t>
      </w:r>
      <w:r w:rsidR="00C85E65">
        <w:t xml:space="preserve">and the heat of reaction </w:t>
      </w:r>
      <w:r w:rsidR="003615A2">
        <w:t>of the sample</w:t>
      </w:r>
      <w:r w:rsidR="00C85E65">
        <w:t xml:space="preserve"> was calculated and compared to experimental results</w:t>
      </w:r>
      <w:r w:rsidR="003615A2">
        <w:t>.</w:t>
      </w:r>
      <w:r w:rsidR="003615A2">
        <w:t xml:space="preserve"> </w:t>
      </w:r>
      <w:r w:rsidR="00C85E65">
        <w:t>Th</w:t>
      </w:r>
      <w:r w:rsidR="00D43595">
        <w:t>e</w:t>
      </w:r>
      <w:r w:rsidR="00C85E65">
        <w:t xml:space="preserve"> modelling approach</w:t>
      </w:r>
      <w:r w:rsidR="003615A2">
        <w:t xml:space="preserve"> </w:t>
      </w:r>
      <w:r w:rsidR="00705AE6">
        <w:t xml:space="preserve">used </w:t>
      </w:r>
      <w:r w:rsidR="00705AE6" w:rsidRPr="00705AE6">
        <w:t xml:space="preserve">by </w:t>
      </w:r>
      <w:proofErr w:type="spellStart"/>
      <w:r w:rsidR="00705AE6" w:rsidRPr="00705AE6">
        <w:t>Branca</w:t>
      </w:r>
      <w:proofErr w:type="spellEnd"/>
      <w:r w:rsidR="00705AE6" w:rsidRPr="00705AE6">
        <w:t xml:space="preserve"> and Di Blasi </w:t>
      </w:r>
      <w:r w:rsidR="003615A2">
        <w:t>did not consider the formation of char and pyrolysis gases</w:t>
      </w:r>
      <w:r w:rsidR="00050632">
        <w:t>,</w:t>
      </w:r>
      <w:r w:rsidR="003615A2">
        <w:t xml:space="preserve"> and neglected tran</w:t>
      </w:r>
      <w:r w:rsidR="003615A2">
        <w:t xml:space="preserve">sport phenomena. </w:t>
      </w:r>
      <w:r w:rsidR="00C85E65">
        <w:t xml:space="preserve">The implementation of the kinetics in </w:t>
      </w:r>
      <w:proofErr w:type="spellStart"/>
      <w:r w:rsidR="00C85E65">
        <w:t>OpenFOAM</w:t>
      </w:r>
      <w:proofErr w:type="spellEnd"/>
      <w:r w:rsidR="00C85E65">
        <w:t xml:space="preserve"> was more complex, since the mass balances had to be closed and </w:t>
      </w:r>
      <w:r w:rsidR="00C85E65">
        <w:t xml:space="preserve">heat and mass transfer were calculated. </w:t>
      </w:r>
      <w:r w:rsidR="00050632">
        <w:t>For t</w:t>
      </w:r>
      <w:r w:rsidR="001634E4">
        <w:t xml:space="preserve">he comparison </w:t>
      </w:r>
      <w:r w:rsidR="00050632">
        <w:t>of</w:t>
      </w:r>
      <w:r w:rsidR="001634E4">
        <w:t xml:space="preserve"> the two models </w:t>
      </w:r>
      <w:r w:rsidR="00050632">
        <w:t>t</w:t>
      </w:r>
      <w:r w:rsidR="004E5A7F">
        <w:t>he kinetic model shown in Eq (</w:t>
      </w:r>
      <w:r w:rsidR="00DE4BDB">
        <w:t>1</w:t>
      </w:r>
      <w:r w:rsidR="004245EA">
        <w:t>6</w:t>
      </w:r>
      <w:r w:rsidR="004E5A7F">
        <w:t xml:space="preserve">) was used to calculate the mass loss of each individual pseudo-component for a biomass particle with the same </w:t>
      </w:r>
      <w:r w:rsidR="00050632">
        <w:t xml:space="preserve">initial </w:t>
      </w:r>
      <w:r w:rsidR="00B75DB2">
        <w:t xml:space="preserve">mass and composition </w:t>
      </w:r>
      <w:r w:rsidR="004E5A7F">
        <w:t xml:space="preserve">as the one used in the </w:t>
      </w:r>
      <w:proofErr w:type="spellStart"/>
      <w:r w:rsidR="004E5A7F">
        <w:t>OpenFOAM</w:t>
      </w:r>
      <w:proofErr w:type="spellEnd"/>
      <w:r w:rsidR="004E5A7F">
        <w:t xml:space="preserve"> simulations. </w:t>
      </w:r>
      <w:r w:rsidR="004E5A7F" w:rsidDel="001116FB">
        <w:t xml:space="preserve">The temperature profile of the center of the particle obtained by the </w:t>
      </w:r>
      <w:proofErr w:type="spellStart"/>
      <w:r w:rsidR="004E5A7F" w:rsidDel="001116FB">
        <w:t>OpenFOAM</w:t>
      </w:r>
      <w:proofErr w:type="spellEnd"/>
      <w:r w:rsidR="004E5A7F" w:rsidDel="001116FB">
        <w:t xml:space="preserve"> simulation was used for the calculations with the kinetic model. In this way it was possible to check, if kinetics were implemented correctly in </w:t>
      </w:r>
      <w:proofErr w:type="spellStart"/>
      <w:r w:rsidR="004E5A7F" w:rsidDel="001116FB">
        <w:t>OpenFOAM</w:t>
      </w:r>
      <w:proofErr w:type="spellEnd"/>
      <w:r w:rsidR="00B75DB2">
        <w:t>.</w:t>
      </w:r>
    </w:p>
    <w:tbl>
      <w:tblPr>
        <w:tblW w:w="5000" w:type="pct"/>
        <w:tblLook w:val="04A0" w:firstRow="1" w:lastRow="0" w:firstColumn="1" w:lastColumn="0" w:noHBand="0" w:noVBand="1"/>
      </w:tblPr>
      <w:tblGrid>
        <w:gridCol w:w="7983"/>
        <w:gridCol w:w="804"/>
      </w:tblGrid>
      <w:tr w:rsidR="006B3AFE" w:rsidRPr="00B57B36" w14:paraId="7E8FC55A" w14:textId="77777777" w:rsidTr="001872F2">
        <w:tc>
          <w:tcPr>
            <w:tcW w:w="7983" w:type="dxa"/>
            <w:shd w:val="clear" w:color="auto" w:fill="auto"/>
            <w:vAlign w:val="center"/>
          </w:tcPr>
          <w:p w14:paraId="50FEB063" w14:textId="60545EB8" w:rsidR="006B3AFE" w:rsidRPr="00F32FA7" w:rsidRDefault="00DA681B" w:rsidP="001872F2">
            <w:pPr>
              <w:pStyle w:val="CETEquation"/>
              <w:rPr>
                <w:rFonts w:ascii="Cambria Math" w:hAnsi="Cambria Math"/>
                <w:oMath/>
              </w:rPr>
            </w:pPr>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i</m:t>
                        </m:r>
                      </m:sub>
                    </m:sSub>
                  </m:num>
                  <m:den>
                    <m:r>
                      <w:rPr>
                        <w:rFonts w:ascii="Cambria Math" w:hAnsi="Cambria Math"/>
                      </w:rPr>
                      <m:t>dt</m:t>
                    </m:r>
                  </m:den>
                </m:f>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i</m:t>
                    </m:r>
                  </m:sub>
                </m:sSub>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a,i</m:t>
                                </m:r>
                              </m:sub>
                            </m:sSub>
                          </m:num>
                          <m:den>
                            <m:r>
                              <w:rPr>
                                <w:rFonts w:ascii="Cambria Math" w:hAnsi="Cambria Math"/>
                              </w:rPr>
                              <m:t>RT</m:t>
                            </m:r>
                          </m:den>
                        </m:f>
                        <m:ctrlPr>
                          <w:rPr>
                            <w:rFonts w:ascii="Cambria Math" w:hAnsi="Cambria Math"/>
                          </w:rPr>
                        </m:ctrlPr>
                      </m:e>
                    </m:d>
                  </m:e>
                </m:func>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oMath>
            </m:oMathPara>
          </w:p>
        </w:tc>
        <w:tc>
          <w:tcPr>
            <w:tcW w:w="804" w:type="dxa"/>
            <w:shd w:val="clear" w:color="auto" w:fill="auto"/>
            <w:vAlign w:val="center"/>
          </w:tcPr>
          <w:p w14:paraId="55C19576" w14:textId="41E78779" w:rsidR="006B3AFE" w:rsidRPr="00B57B36" w:rsidRDefault="006B3AFE" w:rsidP="001872F2">
            <w:pPr>
              <w:pStyle w:val="CETEquation"/>
              <w:jc w:val="right"/>
            </w:pPr>
            <w:r w:rsidRPr="00B57B36">
              <w:t>(</w:t>
            </w:r>
            <w:r w:rsidR="00F03F15">
              <w:t>1</w:t>
            </w:r>
            <w:r w:rsidR="004245EA">
              <w:t>6</w:t>
            </w:r>
            <w:r w:rsidRPr="00B57B36">
              <w:t>)</w:t>
            </w: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280"/>
      </w:tblGrid>
      <w:tr w:rsidR="007F5F67" w14:paraId="73747F4E" w14:textId="77777777" w:rsidTr="00CE082C">
        <w:tc>
          <w:tcPr>
            <w:tcW w:w="4507" w:type="dxa"/>
          </w:tcPr>
          <w:p w14:paraId="271CBBC8" w14:textId="7F7081CC" w:rsidR="000576DE" w:rsidRDefault="000576DE" w:rsidP="00C40FDD">
            <w:pPr>
              <w:pStyle w:val="CETCaption"/>
              <w:spacing w:before="0" w:after="0"/>
            </w:pPr>
            <w:r>
              <w:rPr>
                <w:noProof/>
              </w:rPr>
              <w:drawing>
                <wp:inline distT="0" distB="0" distL="0" distR="0" wp14:anchorId="1A3077DB" wp14:editId="5072D311">
                  <wp:extent cx="2756971" cy="1691630"/>
                  <wp:effectExtent l="0" t="0" r="5715" b="444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l="2053" t="809" r="1197" b="933"/>
                          <a:stretch/>
                        </pic:blipFill>
                        <pic:spPr bwMode="auto">
                          <a:xfrm>
                            <a:off x="0" y="0"/>
                            <a:ext cx="2799082" cy="1717469"/>
                          </a:xfrm>
                          <a:prstGeom prst="rect">
                            <a:avLst/>
                          </a:prstGeom>
                          <a:noFill/>
                          <a:ln>
                            <a:noFill/>
                          </a:ln>
                          <a:extLst>
                            <a:ext uri="{53640926-AAD7-44D8-BBD7-CCE9431645EC}">
                              <a14:shadowObscured xmlns:a14="http://schemas.microsoft.com/office/drawing/2010/main"/>
                            </a:ext>
                          </a:extLst>
                        </pic:spPr>
                      </pic:pic>
                    </a:graphicData>
                  </a:graphic>
                </wp:inline>
              </w:drawing>
            </w:r>
          </w:p>
          <w:p w14:paraId="145CA33A" w14:textId="20FA8E50" w:rsidR="000576DE" w:rsidRDefault="000576DE" w:rsidP="00C40FDD">
            <w:pPr>
              <w:pStyle w:val="CETCaption"/>
            </w:pPr>
            <w:r w:rsidRPr="00B57B36">
              <w:t xml:space="preserve">Figure </w:t>
            </w:r>
            <w:r>
              <w:t>3</w:t>
            </w:r>
            <w:r w:rsidRPr="00B57B36">
              <w:t xml:space="preserve">: </w:t>
            </w:r>
            <w:r>
              <w:t>Mass loss rate of the solid components in</w:t>
            </w:r>
            <w:r>
              <w:t xml:space="preserve"> the simulation with </w:t>
            </w:r>
            <w:proofErr w:type="spellStart"/>
            <w:r>
              <w:t>OpenFOAM</w:t>
            </w:r>
            <w:proofErr w:type="spellEnd"/>
          </w:p>
        </w:tc>
        <w:tc>
          <w:tcPr>
            <w:tcW w:w="4280" w:type="dxa"/>
          </w:tcPr>
          <w:p w14:paraId="1F2520C3" w14:textId="50F5E2F1" w:rsidR="000576DE" w:rsidRDefault="007F5F67" w:rsidP="00C40FDD">
            <w:pPr>
              <w:pStyle w:val="CETCaption"/>
              <w:spacing w:before="0" w:after="0"/>
            </w:pPr>
            <w:r>
              <w:rPr>
                <w:noProof/>
              </w:rPr>
              <w:drawing>
                <wp:inline distT="0" distB="0" distL="0" distR="0" wp14:anchorId="20BF5C40" wp14:editId="3EBBBEA1">
                  <wp:extent cx="2615879" cy="171756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2147" t="1423" r="2141" b="2219"/>
                          <a:stretch/>
                        </pic:blipFill>
                        <pic:spPr bwMode="auto">
                          <a:xfrm>
                            <a:off x="0" y="0"/>
                            <a:ext cx="2649188" cy="1739432"/>
                          </a:xfrm>
                          <a:prstGeom prst="rect">
                            <a:avLst/>
                          </a:prstGeom>
                          <a:noFill/>
                          <a:ln>
                            <a:noFill/>
                          </a:ln>
                          <a:extLst>
                            <a:ext uri="{53640926-AAD7-44D8-BBD7-CCE9431645EC}">
                              <a14:shadowObscured xmlns:a14="http://schemas.microsoft.com/office/drawing/2010/main"/>
                            </a:ext>
                          </a:extLst>
                        </pic:spPr>
                      </pic:pic>
                    </a:graphicData>
                  </a:graphic>
                </wp:inline>
              </w:drawing>
            </w:r>
          </w:p>
          <w:p w14:paraId="10BD18B4" w14:textId="77777777" w:rsidR="000576DE" w:rsidRDefault="000576DE" w:rsidP="00C40FDD">
            <w:pPr>
              <w:pStyle w:val="CETCaption"/>
              <w:spacing w:before="0" w:after="0"/>
            </w:pPr>
          </w:p>
          <w:p w14:paraId="6E66A929" w14:textId="32543C52" w:rsidR="000576DE" w:rsidRDefault="000576DE" w:rsidP="00C40FDD">
            <w:pPr>
              <w:pStyle w:val="CETCaption"/>
              <w:spacing w:before="0" w:after="0"/>
            </w:pPr>
            <w:r w:rsidRPr="00B57B36">
              <w:t xml:space="preserve">Figure </w:t>
            </w:r>
            <w:r>
              <w:t>4</w:t>
            </w:r>
            <w:r w:rsidRPr="00B57B36">
              <w:t xml:space="preserve">: </w:t>
            </w:r>
            <w:r>
              <w:t xml:space="preserve">Comparison of </w:t>
            </w:r>
            <w:r>
              <w:t>heat of reaction</w:t>
            </w:r>
            <w:r>
              <w:t xml:space="preserve"> during pyrolysis from </w:t>
            </w:r>
            <w:proofErr w:type="spellStart"/>
            <w:r>
              <w:t>OpenFOAM</w:t>
            </w:r>
            <w:proofErr w:type="spellEnd"/>
            <w:r>
              <w:t xml:space="preserve"> simulation and kinetic model</w:t>
            </w:r>
          </w:p>
        </w:tc>
      </w:tr>
    </w:tbl>
    <w:p w14:paraId="08F9791B" w14:textId="1004FB3F" w:rsidR="005129B4" w:rsidRDefault="00667E06" w:rsidP="00CE082C">
      <w:r>
        <w:t>T</w:t>
      </w:r>
      <w:r w:rsidR="005129B4">
        <w:t>he mass loss during pyrolysis is shown in Figure</w:t>
      </w:r>
      <w:r w:rsidR="000576DE">
        <w:t> 2</w:t>
      </w:r>
      <w:r w:rsidR="005129B4">
        <w:t xml:space="preserve">. Kinetic model and </w:t>
      </w:r>
      <w:proofErr w:type="spellStart"/>
      <w:r w:rsidR="005129B4">
        <w:t>OpenFOAM</w:t>
      </w:r>
      <w:proofErr w:type="spellEnd"/>
      <w:r w:rsidR="005129B4">
        <w:t xml:space="preserve"> simulation are in very good agreement with each other, indicating correct implementation of the kinetics of the decomposition reactions. </w:t>
      </w:r>
      <w:r w:rsidR="00706E76">
        <w:t>Figure 3</w:t>
      </w:r>
      <w:r w:rsidR="00133D15">
        <w:t xml:space="preserve"> illustrates how the decomposition reactions of each component </w:t>
      </w:r>
      <w:r w:rsidR="00133D15">
        <w:t>add to the overall mass loss of the particle</w:t>
      </w:r>
      <w:r w:rsidR="00706E76">
        <w:t>.</w:t>
      </w:r>
      <w:r w:rsidR="00D43595">
        <w:t xml:space="preserve"> Hemicel</w:t>
      </w:r>
      <w:r w:rsidR="00D52855">
        <w:t>l</w:t>
      </w:r>
      <w:r w:rsidR="00D43595">
        <w:t>ulose reacts first</w:t>
      </w:r>
      <w:r w:rsidR="00D52855">
        <w:t>, starting at a temperature of approximately 500 K</w:t>
      </w:r>
      <w:r w:rsidR="00D52855">
        <w:t xml:space="preserve">. </w:t>
      </w:r>
      <w:r w:rsidR="00D52855">
        <w:t xml:space="preserve">This is followed by the decomposition of cellulose and finally the pyrolysis of lignin. </w:t>
      </w:r>
      <w:r w:rsidR="00D52855">
        <w:t>The reaction rates merge into each other and for</w:t>
      </w:r>
      <w:r w:rsidR="00D52855">
        <w:t>m the overall profile with the characteristic shoulder for hemicellulose decomposition.</w:t>
      </w:r>
      <w:r w:rsidR="00706E76">
        <w:t xml:space="preserve"> </w:t>
      </w:r>
      <w:r w:rsidR="005129B4">
        <w:t>The heat o</w:t>
      </w:r>
      <w:r w:rsidR="005B46E8">
        <w:t>f</w:t>
      </w:r>
      <w:r w:rsidR="005129B4">
        <w:t xml:space="preserve"> reaction resulting </w:t>
      </w:r>
      <w:r w:rsidR="005129B4">
        <w:lastRenderedPageBreak/>
        <w:t>from the pyrolysis reactions is shown in Figure</w:t>
      </w:r>
      <w:r w:rsidR="000576DE">
        <w:t> 4</w:t>
      </w:r>
      <w:r w:rsidR="005129B4">
        <w:t xml:space="preserve">, calculated with the data of the kinetic model and taken from the results of the </w:t>
      </w:r>
      <w:proofErr w:type="spellStart"/>
      <w:r w:rsidR="005129B4">
        <w:t>OpenFOAM</w:t>
      </w:r>
      <w:proofErr w:type="spellEnd"/>
      <w:r w:rsidR="005129B4">
        <w:t xml:space="preserve"> simulation. </w:t>
      </w:r>
      <w:r w:rsidR="00A72947">
        <w:t>In Figure</w:t>
      </w:r>
      <w:r w:rsidR="000576DE">
        <w:t xml:space="preserve"> 4 </w:t>
      </w:r>
      <w:r w:rsidR="00A72947">
        <w:t xml:space="preserve">the particle mass was used as reference value for the heat of reaction, towards the end of the pyrolysis, </w:t>
      </w:r>
      <w:r w:rsidR="00133D15">
        <w:t xml:space="preserve">the </w:t>
      </w:r>
      <w:r w:rsidR="00A72947">
        <w:t xml:space="preserve">particle mass </w:t>
      </w:r>
      <w:r w:rsidR="00133D15">
        <w:t xml:space="preserve">got </w:t>
      </w:r>
      <w:r w:rsidR="00A72947">
        <w:t xml:space="preserve">very </w:t>
      </w:r>
      <w:r w:rsidR="00133D15">
        <w:t>small</w:t>
      </w:r>
      <w:r w:rsidR="00A72947">
        <w:t>, which led to some instabilities in the calculation. Figure</w:t>
      </w:r>
      <w:r w:rsidR="000576DE">
        <w:t> 4</w:t>
      </w:r>
      <w:r w:rsidR="00A72947">
        <w:t xml:space="preserve"> shows</w:t>
      </w:r>
      <w:r>
        <w:t xml:space="preserve"> only</w:t>
      </w:r>
      <w:r w:rsidR="00A72947">
        <w:t xml:space="preserve"> a </w:t>
      </w:r>
      <w:r>
        <w:t xml:space="preserve">small </w:t>
      </w:r>
      <w:r w:rsidR="00A72947">
        <w:t xml:space="preserve">deviation between heat of reaction calculated with the kinetic model from </w:t>
      </w:r>
      <w:proofErr w:type="spellStart"/>
      <w:r w:rsidR="00A72947">
        <w:t>Branca</w:t>
      </w:r>
      <w:proofErr w:type="spellEnd"/>
      <w:r w:rsidR="00A72947">
        <w:t xml:space="preserve"> and Di Blasi (2016) and the results of the </w:t>
      </w:r>
      <w:proofErr w:type="spellStart"/>
      <w:r w:rsidR="00A72947">
        <w:t>OpenFOAM</w:t>
      </w:r>
      <w:proofErr w:type="spellEnd"/>
      <w:r w:rsidR="00A72947">
        <w:t xml:space="preserve"> simulation</w:t>
      </w:r>
      <w:r>
        <w:t>.</w:t>
      </w:r>
      <w:r>
        <w:t xml:space="preserve"> The results</w:t>
      </w:r>
      <w:r w:rsidR="00A72947">
        <w:t xml:space="preserve"> </w:t>
      </w:r>
      <w:r>
        <w:t>s</w:t>
      </w:r>
      <w:r>
        <w:t>how</w:t>
      </w:r>
      <w:r>
        <w:t xml:space="preserve"> that the new calculation method for heat of reaction introduced to the </w:t>
      </w:r>
      <w:proofErr w:type="spellStart"/>
      <w:r>
        <w:t>OpenFOAM</w:t>
      </w:r>
      <w:proofErr w:type="spellEnd"/>
      <w:r>
        <w:t xml:space="preserve"> model</w:t>
      </w:r>
      <w:r>
        <w:t xml:space="preserve"> led to the correc</w:t>
      </w:r>
      <w:r>
        <w:t>t</w:t>
      </w:r>
      <w:r w:rsidR="00BE376C">
        <w:t xml:space="preserve"> description of </w:t>
      </w:r>
      <w:r w:rsidR="00BE376C">
        <w:t xml:space="preserve">heat of reaction and can be used further in future </w:t>
      </w:r>
      <w:r w:rsidR="00BE376C">
        <w:t>development and application of the model.</w:t>
      </w:r>
    </w:p>
    <w:p w14:paraId="68D26B83" w14:textId="0E6B6CB5" w:rsidR="00600535" w:rsidRPr="00B57B36" w:rsidRDefault="00600535" w:rsidP="00600535">
      <w:pPr>
        <w:pStyle w:val="CETHeading1"/>
        <w:rPr>
          <w:lang w:val="en-GB"/>
        </w:rPr>
      </w:pPr>
      <w:r w:rsidRPr="00B57B36">
        <w:rPr>
          <w:lang w:val="en-GB"/>
        </w:rPr>
        <w:t>Conclusions</w:t>
      </w:r>
    </w:p>
    <w:p w14:paraId="3C3E9BEC" w14:textId="2A276905" w:rsidR="00B4769F" w:rsidRDefault="007C5F3C" w:rsidP="00600535">
      <w:pPr>
        <w:pStyle w:val="CETBodytext"/>
      </w:pPr>
      <w:r>
        <w:rPr>
          <w:lang w:val="en-GB"/>
        </w:rPr>
        <w:t xml:space="preserve">Implementation of the porous medium model into </w:t>
      </w:r>
      <w:proofErr w:type="spellStart"/>
      <w:r>
        <w:rPr>
          <w:lang w:val="en-GB"/>
        </w:rPr>
        <w:t>OpenFOAM</w:t>
      </w:r>
      <w:proofErr w:type="spellEnd"/>
      <w:r>
        <w:rPr>
          <w:lang w:val="en-GB"/>
        </w:rPr>
        <w:t xml:space="preserve"> was successful and the results for thermally thin particles are promising.</w:t>
      </w:r>
      <w:r w:rsidR="00A72947">
        <w:rPr>
          <w:lang w:val="en-GB"/>
        </w:rPr>
        <w:t xml:space="preserve"> </w:t>
      </w:r>
      <w:r w:rsidR="00B4769F" w:rsidRPr="004A473A">
        <w:t>Future work will include the improvement of the physical model, implementation of detailed reaction mechanisms and validation with experiments for thermally thick particles.</w:t>
      </w:r>
      <w:r w:rsidR="00AE0E24">
        <w:t xml:space="preserve"> One objective of the work is to develop a model that can be used for the simulation of technical applications for fixed bed biomass pyrolysis, gasification or combustion with low computational effort. Another objective is to refine the model with additional levels of detail regarding the biomass structure and decomposition kinetics to enable the precise description and deeper understanding of biomass decomposition o</w:t>
      </w:r>
      <w:r w:rsidR="00A06E03">
        <w:t xml:space="preserve">n particle level. The presented </w:t>
      </w:r>
      <w:proofErr w:type="spellStart"/>
      <w:r w:rsidR="00A06E03">
        <w:t>OpenFOAM</w:t>
      </w:r>
      <w:proofErr w:type="spellEnd"/>
      <w:r w:rsidR="00A06E03">
        <w:t xml:space="preserve"> model should be the basis for both modelling approaches and allow for the adaption for both cases.</w:t>
      </w:r>
    </w:p>
    <w:p w14:paraId="459D05E6" w14:textId="77777777" w:rsidR="00600535" w:rsidRPr="00B57B36" w:rsidRDefault="00600535" w:rsidP="00600535">
      <w:pPr>
        <w:pStyle w:val="CETAcknowledgementstitle"/>
      </w:pPr>
      <w:r w:rsidRPr="00B57B36">
        <w:t>Acknowledgments</w:t>
      </w:r>
    </w:p>
    <w:p w14:paraId="3E961A78" w14:textId="47CD9087" w:rsidR="00BF102D" w:rsidRDefault="001872F2" w:rsidP="0087336F">
      <w:pPr>
        <w:pStyle w:val="CETReference"/>
        <w:rPr>
          <w:b w:val="0"/>
        </w:rPr>
      </w:pPr>
      <w:r w:rsidRPr="001872F2">
        <w:rPr>
          <w:b w:val="0"/>
        </w:rPr>
        <w:t xml:space="preserve">This CFD model has been developed in close cooperation with the </w:t>
      </w:r>
      <w:proofErr w:type="spellStart"/>
      <w:r w:rsidR="00BF102D">
        <w:rPr>
          <w:b w:val="0"/>
        </w:rPr>
        <w:t>Deutsches</w:t>
      </w:r>
      <w:proofErr w:type="spellEnd"/>
      <w:r w:rsidR="00BF102D">
        <w:rPr>
          <w:b w:val="0"/>
        </w:rPr>
        <w:t xml:space="preserve"> </w:t>
      </w:r>
      <w:proofErr w:type="spellStart"/>
      <w:r w:rsidR="00BF102D">
        <w:rPr>
          <w:b w:val="0"/>
        </w:rPr>
        <w:t>Biomasseforschungszentrum</w:t>
      </w:r>
      <w:proofErr w:type="spellEnd"/>
      <w:r w:rsidR="00BF102D">
        <w:rPr>
          <w:b w:val="0"/>
        </w:rPr>
        <w:t xml:space="preserve"> </w:t>
      </w:r>
      <w:proofErr w:type="spellStart"/>
      <w:r w:rsidR="00BF102D">
        <w:rPr>
          <w:b w:val="0"/>
        </w:rPr>
        <w:t>gemeinnützige</w:t>
      </w:r>
      <w:proofErr w:type="spellEnd"/>
      <w:r w:rsidR="00BF102D">
        <w:rPr>
          <w:b w:val="0"/>
        </w:rPr>
        <w:t xml:space="preserve"> GmbH (DBFZ)</w:t>
      </w:r>
      <w:r w:rsidRPr="001872F2">
        <w:rPr>
          <w:b w:val="0"/>
        </w:rPr>
        <w:t>, research focus area Catalytic</w:t>
      </w:r>
      <w:r w:rsidR="00BF102D">
        <w:rPr>
          <w:b w:val="0"/>
        </w:rPr>
        <w:t xml:space="preserve"> </w:t>
      </w:r>
      <w:r w:rsidRPr="001872F2">
        <w:rPr>
          <w:b w:val="0"/>
        </w:rPr>
        <w:t>Emission Control</w:t>
      </w:r>
      <w:r w:rsidR="0087336F">
        <w:rPr>
          <w:b w:val="0"/>
        </w:rPr>
        <w:t>.</w:t>
      </w:r>
    </w:p>
    <w:p w14:paraId="4F1327F8" w14:textId="7A001BAF" w:rsidR="00600535" w:rsidRPr="00B57B36" w:rsidRDefault="00600535" w:rsidP="001872F2">
      <w:pPr>
        <w:pStyle w:val="CETReference"/>
      </w:pPr>
      <w:r w:rsidRPr="00B57B36">
        <w:t>References</w:t>
      </w:r>
    </w:p>
    <w:p w14:paraId="1D246B07" w14:textId="1E293ED5" w:rsidR="00251BC9" w:rsidRDefault="00251BC9" w:rsidP="00600535">
      <w:pPr>
        <w:pStyle w:val="CETReferencetext"/>
      </w:pPr>
      <w:proofErr w:type="spellStart"/>
      <w:r w:rsidRPr="00251BC9">
        <w:t>Almuina-Villar</w:t>
      </w:r>
      <w:proofErr w:type="spellEnd"/>
      <w:r w:rsidRPr="00251BC9">
        <w:t xml:space="preserve"> H</w:t>
      </w:r>
      <w:r>
        <w:t>.,</w:t>
      </w:r>
      <w:r w:rsidRPr="00251BC9">
        <w:t xml:space="preserve"> Anca-</w:t>
      </w:r>
      <w:proofErr w:type="spellStart"/>
      <w:r w:rsidRPr="00251BC9">
        <w:t>Couce</w:t>
      </w:r>
      <w:proofErr w:type="spellEnd"/>
      <w:r w:rsidRPr="00251BC9">
        <w:t xml:space="preserve"> A</w:t>
      </w:r>
      <w:r>
        <w:t>.,</w:t>
      </w:r>
      <w:r w:rsidRPr="00251BC9">
        <w:t xml:space="preserve"> Lang N</w:t>
      </w:r>
      <w:r>
        <w:t>.,</w:t>
      </w:r>
      <w:r w:rsidRPr="00251BC9">
        <w:t xml:space="preserve"> </w:t>
      </w:r>
      <w:proofErr w:type="spellStart"/>
      <w:r w:rsidRPr="00251BC9">
        <w:t>Röpcke</w:t>
      </w:r>
      <w:proofErr w:type="spellEnd"/>
      <w:r w:rsidRPr="00251BC9">
        <w:t xml:space="preserve"> J</w:t>
      </w:r>
      <w:r>
        <w:t>.,</w:t>
      </w:r>
      <w:r w:rsidRPr="00251BC9">
        <w:t xml:space="preserve"> Behrendt F</w:t>
      </w:r>
      <w:r>
        <w:t>.,</w:t>
      </w:r>
      <w:r w:rsidRPr="00251BC9">
        <w:t xml:space="preserve"> Dieguez-Alonso A</w:t>
      </w:r>
      <w:r>
        <w:t>.,</w:t>
      </w:r>
      <w:r w:rsidRPr="00251BC9">
        <w:t>2018</w:t>
      </w:r>
      <w:r>
        <w:t>,</w:t>
      </w:r>
      <w:r w:rsidRPr="00251BC9">
        <w:t xml:space="preserve"> Laser-Based Spectroscopy Diagnosis and Detailed Numerical Models to Gain Understanding on the Slow Pyrolysis </w:t>
      </w:r>
      <w:proofErr w:type="spellStart"/>
      <w:r w:rsidRPr="00251BC9">
        <w:t>Behavior</w:t>
      </w:r>
      <w:proofErr w:type="spellEnd"/>
      <w:r w:rsidRPr="00251BC9">
        <w:t xml:space="preserve"> of Thermally Thick Wood Particles</w:t>
      </w:r>
      <w:r>
        <w:t>,</w:t>
      </w:r>
      <w:r w:rsidRPr="00251BC9">
        <w:t xml:space="preserve"> Chemical Engineering Transactions (65), S. 109–114. </w:t>
      </w:r>
    </w:p>
    <w:p w14:paraId="358429AB" w14:textId="2D36749D" w:rsidR="006B3AFE" w:rsidRDefault="006B3AFE" w:rsidP="00600535">
      <w:pPr>
        <w:pStyle w:val="CETReferencetext"/>
      </w:pPr>
      <w:r w:rsidRPr="006B3AFE">
        <w:t>Anca-</w:t>
      </w:r>
      <w:proofErr w:type="spellStart"/>
      <w:r w:rsidRPr="006B3AFE">
        <w:t>Couce</w:t>
      </w:r>
      <w:proofErr w:type="spellEnd"/>
      <w:r>
        <w:t xml:space="preserve"> A.,</w:t>
      </w:r>
      <w:r w:rsidRPr="006B3AFE">
        <w:t xml:space="preserve"> 2016 Reaction mechanisms and multi-scale modelling of lignocellulosic biomass pyrolysis</w:t>
      </w:r>
      <w:r>
        <w:t>,</w:t>
      </w:r>
      <w:r w:rsidRPr="006B3AFE">
        <w:t xml:space="preserve"> Progress in Energy and Combustion Science 53, 41–79. </w:t>
      </w:r>
    </w:p>
    <w:p w14:paraId="49B090CA" w14:textId="0FAC07B0" w:rsidR="009450E2" w:rsidRDefault="009450E2" w:rsidP="00600535">
      <w:pPr>
        <w:pStyle w:val="CETReferencetext"/>
        <w:rPr>
          <w:lang w:val="en-US"/>
        </w:rPr>
      </w:pPr>
      <w:proofErr w:type="spellStart"/>
      <w:r w:rsidRPr="009450E2">
        <w:rPr>
          <w:lang w:val="en-US"/>
        </w:rPr>
        <w:t>Branca</w:t>
      </w:r>
      <w:proofErr w:type="spellEnd"/>
      <w:r w:rsidRPr="009450E2">
        <w:rPr>
          <w:lang w:val="en-US"/>
        </w:rPr>
        <w:t xml:space="preserve"> C., Di Blasi C., 2016</w:t>
      </w:r>
      <w:r w:rsidR="002B7879">
        <w:rPr>
          <w:lang w:val="en-US"/>
        </w:rPr>
        <w:t>,</w:t>
      </w:r>
      <w:r w:rsidRPr="009450E2">
        <w:rPr>
          <w:lang w:val="en-US"/>
        </w:rPr>
        <w:t xml:space="preserve"> A</w:t>
      </w:r>
      <w:r>
        <w:rPr>
          <w:lang w:val="en-US"/>
        </w:rPr>
        <w:t xml:space="preserve"> summative model for the pyrolysis reaction heats of beech wood, </w:t>
      </w:r>
      <w:proofErr w:type="spellStart"/>
      <w:r>
        <w:rPr>
          <w:lang w:val="en-US"/>
        </w:rPr>
        <w:t>Thermochimica</w:t>
      </w:r>
      <w:proofErr w:type="spellEnd"/>
      <w:r>
        <w:rPr>
          <w:lang w:val="en-US"/>
        </w:rPr>
        <w:t xml:space="preserve"> Acta, 638, 10-16. </w:t>
      </w:r>
    </w:p>
    <w:p w14:paraId="55AFB617" w14:textId="5CA53FEF" w:rsidR="00CC07AE" w:rsidRDefault="00CC07AE" w:rsidP="00600535">
      <w:pPr>
        <w:pStyle w:val="CETReferencetext"/>
        <w:rPr>
          <w:lang w:val="en-US"/>
        </w:rPr>
      </w:pPr>
      <w:proofErr w:type="spellStart"/>
      <w:r w:rsidRPr="00CC07AE">
        <w:rPr>
          <w:lang w:val="en-US"/>
        </w:rPr>
        <w:t>Caposciutti</w:t>
      </w:r>
      <w:proofErr w:type="spellEnd"/>
      <w:r w:rsidRPr="00CC07AE">
        <w:rPr>
          <w:lang w:val="en-US"/>
        </w:rPr>
        <w:t xml:space="preserve"> G</w:t>
      </w:r>
      <w:r>
        <w:rPr>
          <w:lang w:val="en-US"/>
        </w:rPr>
        <w:t>.,</w:t>
      </w:r>
      <w:r w:rsidRPr="00CC07AE">
        <w:rPr>
          <w:lang w:val="en-US"/>
        </w:rPr>
        <w:t xml:space="preserve"> </w:t>
      </w:r>
      <w:proofErr w:type="spellStart"/>
      <w:r w:rsidRPr="00CC07AE">
        <w:rPr>
          <w:lang w:val="en-US"/>
        </w:rPr>
        <w:t>Almuina-Villar</w:t>
      </w:r>
      <w:proofErr w:type="spellEnd"/>
      <w:r w:rsidRPr="00CC07AE">
        <w:rPr>
          <w:lang w:val="en-US"/>
        </w:rPr>
        <w:t xml:space="preserve"> H</w:t>
      </w:r>
      <w:r>
        <w:rPr>
          <w:lang w:val="en-US"/>
        </w:rPr>
        <w:t>.,</w:t>
      </w:r>
      <w:r w:rsidRPr="00CC07AE">
        <w:rPr>
          <w:lang w:val="en-US"/>
        </w:rPr>
        <w:t xml:space="preserve"> Dieguez-Alonso A</w:t>
      </w:r>
      <w:r>
        <w:rPr>
          <w:lang w:val="en-US"/>
        </w:rPr>
        <w:t>.,</w:t>
      </w:r>
      <w:r w:rsidRPr="00CC07AE">
        <w:rPr>
          <w:lang w:val="en-US"/>
        </w:rPr>
        <w:t xml:space="preserve"> Gruber T</w:t>
      </w:r>
      <w:r>
        <w:rPr>
          <w:lang w:val="en-US"/>
        </w:rPr>
        <w:t>.,</w:t>
      </w:r>
      <w:r w:rsidRPr="00CC07AE">
        <w:rPr>
          <w:lang w:val="en-US"/>
        </w:rPr>
        <w:t xml:space="preserve"> </w:t>
      </w:r>
      <w:proofErr w:type="spellStart"/>
      <w:r w:rsidRPr="00CC07AE">
        <w:rPr>
          <w:lang w:val="en-US"/>
        </w:rPr>
        <w:t>Kelz</w:t>
      </w:r>
      <w:proofErr w:type="spellEnd"/>
      <w:r w:rsidRPr="00CC07AE">
        <w:rPr>
          <w:lang w:val="en-US"/>
        </w:rPr>
        <w:t xml:space="preserve"> J</w:t>
      </w:r>
      <w:r>
        <w:rPr>
          <w:lang w:val="en-US"/>
        </w:rPr>
        <w:t>.,</w:t>
      </w:r>
      <w:r w:rsidRPr="00CC07AE">
        <w:rPr>
          <w:lang w:val="en-US"/>
        </w:rPr>
        <w:t xml:space="preserve"> </w:t>
      </w:r>
      <w:proofErr w:type="spellStart"/>
      <w:r w:rsidRPr="00CC07AE">
        <w:rPr>
          <w:lang w:val="en-US"/>
        </w:rPr>
        <w:t>Desideri</w:t>
      </w:r>
      <w:proofErr w:type="spellEnd"/>
      <w:r w:rsidRPr="00CC07AE">
        <w:rPr>
          <w:lang w:val="en-US"/>
        </w:rPr>
        <w:t xml:space="preserve"> U</w:t>
      </w:r>
      <w:r>
        <w:rPr>
          <w:lang w:val="en-US"/>
        </w:rPr>
        <w:t>.</w:t>
      </w:r>
      <w:r w:rsidRPr="00CC07AE">
        <w:rPr>
          <w:lang w:val="en-US"/>
        </w:rPr>
        <w:t xml:space="preserve"> et al.</w:t>
      </w:r>
      <w:r>
        <w:rPr>
          <w:lang w:val="en-US"/>
        </w:rPr>
        <w:t xml:space="preserve">, </w:t>
      </w:r>
      <w:r w:rsidRPr="00CC07AE">
        <w:rPr>
          <w:lang w:val="en-US"/>
        </w:rPr>
        <w:t>2019</w:t>
      </w:r>
      <w:r>
        <w:rPr>
          <w:lang w:val="en-US"/>
        </w:rPr>
        <w:t xml:space="preserve">, </w:t>
      </w:r>
      <w:r w:rsidRPr="00CC07AE">
        <w:rPr>
          <w:lang w:val="en-US"/>
        </w:rPr>
        <w:t xml:space="preserve">Experimental investigation on biomass shrinking and swelling </w:t>
      </w:r>
      <w:proofErr w:type="spellStart"/>
      <w:r w:rsidRPr="00CC07AE">
        <w:rPr>
          <w:lang w:val="en-US"/>
        </w:rPr>
        <w:t>behaviour</w:t>
      </w:r>
      <w:proofErr w:type="spellEnd"/>
      <w:r w:rsidRPr="00CC07AE">
        <w:rPr>
          <w:lang w:val="en-US"/>
        </w:rPr>
        <w:t>: Particles pyrolysis and wood logs combustion</w:t>
      </w:r>
      <w:r>
        <w:rPr>
          <w:lang w:val="en-US"/>
        </w:rPr>
        <w:t>,</w:t>
      </w:r>
      <w:r w:rsidRPr="00CC07AE">
        <w:rPr>
          <w:lang w:val="en-US"/>
        </w:rPr>
        <w:t xml:space="preserve"> Biomass and Bioenergy 123, 1–13. </w:t>
      </w:r>
    </w:p>
    <w:p w14:paraId="4A92923C" w14:textId="284CA6BC" w:rsidR="003B33EE" w:rsidRDefault="003B33EE" w:rsidP="003B33EE">
      <w:pPr>
        <w:pStyle w:val="CETReferencetext"/>
        <w:rPr>
          <w:lang w:val="en-US"/>
        </w:rPr>
      </w:pPr>
      <w:proofErr w:type="spellStart"/>
      <w:r w:rsidRPr="003B33EE">
        <w:rPr>
          <w:lang w:val="en-US"/>
        </w:rPr>
        <w:t>Corbetta</w:t>
      </w:r>
      <w:proofErr w:type="spellEnd"/>
      <w:r w:rsidRPr="003B33EE">
        <w:rPr>
          <w:lang w:val="en-US"/>
        </w:rPr>
        <w:t>, M</w:t>
      </w:r>
      <w:r>
        <w:rPr>
          <w:lang w:val="en-US"/>
        </w:rPr>
        <w:t>.,</w:t>
      </w:r>
      <w:r w:rsidRPr="003B33EE">
        <w:rPr>
          <w:lang w:val="en-US"/>
        </w:rPr>
        <w:t xml:space="preserve"> </w:t>
      </w:r>
      <w:proofErr w:type="spellStart"/>
      <w:r w:rsidRPr="003B33EE">
        <w:rPr>
          <w:lang w:val="en-US"/>
        </w:rPr>
        <w:t>Frassoldati</w:t>
      </w:r>
      <w:proofErr w:type="spellEnd"/>
      <w:r w:rsidRPr="003B33EE">
        <w:rPr>
          <w:lang w:val="en-US"/>
        </w:rPr>
        <w:t>, A.</w:t>
      </w:r>
      <w:r w:rsidR="00706E76">
        <w:rPr>
          <w:lang w:val="en-US"/>
        </w:rPr>
        <w:t>,</w:t>
      </w:r>
      <w:r w:rsidRPr="003B33EE">
        <w:rPr>
          <w:lang w:val="en-US"/>
        </w:rPr>
        <w:t xml:space="preserve"> </w:t>
      </w:r>
      <w:proofErr w:type="spellStart"/>
      <w:r w:rsidRPr="003B33EE">
        <w:rPr>
          <w:lang w:val="en-US"/>
        </w:rPr>
        <w:t>Bennadji</w:t>
      </w:r>
      <w:proofErr w:type="spellEnd"/>
      <w:r w:rsidRPr="003B33EE">
        <w:rPr>
          <w:lang w:val="en-US"/>
        </w:rPr>
        <w:t>, H.</w:t>
      </w:r>
      <w:r w:rsidR="00706E76">
        <w:rPr>
          <w:lang w:val="en-US"/>
        </w:rPr>
        <w:t>,</w:t>
      </w:r>
      <w:r w:rsidRPr="003B33EE">
        <w:rPr>
          <w:lang w:val="en-US"/>
        </w:rPr>
        <w:t xml:space="preserve"> Smith, K.</w:t>
      </w:r>
      <w:r w:rsidR="00706E76">
        <w:rPr>
          <w:lang w:val="en-US"/>
        </w:rPr>
        <w:t>,</w:t>
      </w:r>
      <w:r w:rsidRPr="003B33EE">
        <w:rPr>
          <w:lang w:val="en-US"/>
        </w:rPr>
        <w:t xml:space="preserve"> </w:t>
      </w:r>
      <w:proofErr w:type="spellStart"/>
      <w:r w:rsidRPr="003B33EE">
        <w:rPr>
          <w:lang w:val="en-US"/>
        </w:rPr>
        <w:t>Serapiglia</w:t>
      </w:r>
      <w:proofErr w:type="spellEnd"/>
      <w:r w:rsidRPr="003B33EE">
        <w:rPr>
          <w:lang w:val="en-US"/>
        </w:rPr>
        <w:t>,</w:t>
      </w:r>
      <w:r>
        <w:rPr>
          <w:lang w:val="en-US"/>
        </w:rPr>
        <w:t xml:space="preserve"> </w:t>
      </w:r>
      <w:r w:rsidRPr="003B33EE">
        <w:rPr>
          <w:lang w:val="en-US"/>
        </w:rPr>
        <w:t>M. J.</w:t>
      </w:r>
      <w:r w:rsidR="00706E76">
        <w:rPr>
          <w:lang w:val="en-US"/>
        </w:rPr>
        <w:t>,</w:t>
      </w:r>
      <w:r w:rsidRPr="003B33EE">
        <w:rPr>
          <w:lang w:val="en-US"/>
        </w:rPr>
        <w:t xml:space="preserve"> Gauthier, G.</w:t>
      </w:r>
      <w:r w:rsidR="00706E76">
        <w:rPr>
          <w:lang w:val="en-US"/>
        </w:rPr>
        <w:t>,</w:t>
      </w:r>
      <w:r w:rsidRPr="003B33EE">
        <w:rPr>
          <w:lang w:val="en-US"/>
        </w:rPr>
        <w:t xml:space="preserve"> </w:t>
      </w:r>
      <w:proofErr w:type="spellStart"/>
      <w:r w:rsidRPr="003B33EE">
        <w:rPr>
          <w:lang w:val="en-US"/>
        </w:rPr>
        <w:t>Melkior</w:t>
      </w:r>
      <w:proofErr w:type="spellEnd"/>
      <w:r w:rsidRPr="003B33EE">
        <w:rPr>
          <w:lang w:val="en-US"/>
        </w:rPr>
        <w:t>, T.</w:t>
      </w:r>
      <w:r w:rsidR="00706E76">
        <w:rPr>
          <w:lang w:val="en-US"/>
        </w:rPr>
        <w:t>,</w:t>
      </w:r>
      <w:r w:rsidRPr="003B33EE">
        <w:rPr>
          <w:lang w:val="en-US"/>
        </w:rPr>
        <w:t xml:space="preserve"> </w:t>
      </w:r>
      <w:proofErr w:type="spellStart"/>
      <w:r w:rsidRPr="003B33EE">
        <w:rPr>
          <w:lang w:val="en-US"/>
        </w:rPr>
        <w:t>Ranzi</w:t>
      </w:r>
      <w:proofErr w:type="spellEnd"/>
      <w:r w:rsidRPr="003B33EE">
        <w:rPr>
          <w:lang w:val="en-US"/>
        </w:rPr>
        <w:t>, E.</w:t>
      </w:r>
      <w:r w:rsidR="00706E76">
        <w:rPr>
          <w:lang w:val="en-US"/>
        </w:rPr>
        <w:t>,</w:t>
      </w:r>
      <w:r w:rsidRPr="003B33EE">
        <w:rPr>
          <w:lang w:val="en-US"/>
        </w:rPr>
        <w:t xml:space="preserve"> Fisher, E. M.</w:t>
      </w:r>
      <w:r>
        <w:rPr>
          <w:lang w:val="en-US"/>
        </w:rPr>
        <w:t>, 2014,</w:t>
      </w:r>
      <w:r w:rsidRPr="003B33EE">
        <w:rPr>
          <w:lang w:val="en-US"/>
        </w:rPr>
        <w:t xml:space="preserve"> Pyrolysis of</w:t>
      </w:r>
      <w:r>
        <w:rPr>
          <w:lang w:val="en-US"/>
        </w:rPr>
        <w:t xml:space="preserve"> </w:t>
      </w:r>
      <w:r w:rsidRPr="003B33EE">
        <w:rPr>
          <w:lang w:val="en-US"/>
        </w:rPr>
        <w:t>Centimeter-Scale Woody Biomass Particles: Kinetic Modeling and Experimental</w:t>
      </w:r>
      <w:r>
        <w:rPr>
          <w:lang w:val="en-US"/>
        </w:rPr>
        <w:t xml:space="preserve"> </w:t>
      </w:r>
      <w:r w:rsidRPr="003B33EE">
        <w:rPr>
          <w:lang w:val="en-US"/>
        </w:rPr>
        <w:t>Validation. Energy &amp; Fuels 28</w:t>
      </w:r>
      <w:r>
        <w:rPr>
          <w:lang w:val="en-US"/>
        </w:rPr>
        <w:t>, 6</w:t>
      </w:r>
      <w:r w:rsidRPr="003B33EE">
        <w:rPr>
          <w:lang w:val="en-US"/>
        </w:rPr>
        <w:t>, 3884–3898.</w:t>
      </w:r>
    </w:p>
    <w:p w14:paraId="2B64CE21" w14:textId="14C78E3E" w:rsidR="00661DBC" w:rsidRDefault="00661DBC" w:rsidP="003B33EE">
      <w:pPr>
        <w:pStyle w:val="CETReferencetext"/>
        <w:rPr>
          <w:lang w:val="en-US"/>
        </w:rPr>
      </w:pPr>
      <w:proofErr w:type="spellStart"/>
      <w:r w:rsidRPr="00661DBC">
        <w:rPr>
          <w:lang w:val="en-US"/>
        </w:rPr>
        <w:t>Galgano</w:t>
      </w:r>
      <w:proofErr w:type="spellEnd"/>
      <w:r w:rsidRPr="00661DBC">
        <w:rPr>
          <w:lang w:val="en-US"/>
        </w:rPr>
        <w:t xml:space="preserve"> A</w:t>
      </w:r>
      <w:r>
        <w:rPr>
          <w:lang w:val="en-US"/>
        </w:rPr>
        <w:t>.,</w:t>
      </w:r>
      <w:r w:rsidRPr="00661DBC">
        <w:rPr>
          <w:lang w:val="en-US"/>
        </w:rPr>
        <w:t xml:space="preserve"> Di Blasi C</w:t>
      </w:r>
      <w:r w:rsidR="00706E76">
        <w:rPr>
          <w:lang w:val="en-US"/>
        </w:rPr>
        <w:t>.</w:t>
      </w:r>
      <w:r>
        <w:rPr>
          <w:lang w:val="en-US"/>
        </w:rPr>
        <w:t>,</w:t>
      </w:r>
      <w:r w:rsidRPr="00661DBC">
        <w:rPr>
          <w:lang w:val="en-US"/>
        </w:rPr>
        <w:t xml:space="preserve"> Horvat A</w:t>
      </w:r>
      <w:r>
        <w:rPr>
          <w:lang w:val="en-US"/>
        </w:rPr>
        <w:t>.,</w:t>
      </w:r>
      <w:r w:rsidRPr="00661DBC">
        <w:rPr>
          <w:lang w:val="en-US"/>
        </w:rPr>
        <w:t xml:space="preserve"> Sinai Y</w:t>
      </w:r>
      <w:r>
        <w:rPr>
          <w:lang w:val="en-US"/>
        </w:rPr>
        <w:t>.,</w:t>
      </w:r>
      <w:r w:rsidRPr="00661DBC">
        <w:rPr>
          <w:lang w:val="en-US"/>
        </w:rPr>
        <w:t xml:space="preserve"> 2006</w:t>
      </w:r>
      <w:r>
        <w:rPr>
          <w:lang w:val="en-US"/>
        </w:rPr>
        <w:t>,</w:t>
      </w:r>
      <w:r w:rsidRPr="00661DBC">
        <w:rPr>
          <w:lang w:val="en-US"/>
        </w:rPr>
        <w:t xml:space="preserve"> Experimental Validation of a Coupled Solid- and Gas-Phase Model for Combustion and Gasification of Wood Logs</w:t>
      </w:r>
      <w:r w:rsidR="002A31CC">
        <w:rPr>
          <w:lang w:val="en-US"/>
        </w:rPr>
        <w:t>,</w:t>
      </w:r>
      <w:r w:rsidRPr="00661DBC">
        <w:rPr>
          <w:lang w:val="en-US"/>
        </w:rPr>
        <w:t xml:space="preserve"> Energy &amp; Fuels 20 (5), S. 2223–2232. </w:t>
      </w:r>
    </w:p>
    <w:p w14:paraId="66E12F79" w14:textId="173EBD90" w:rsidR="00FC4FB3" w:rsidRDefault="00FC4FB3" w:rsidP="003B33EE">
      <w:pPr>
        <w:pStyle w:val="CETReferencetext"/>
        <w:rPr>
          <w:lang w:val="en-US"/>
        </w:rPr>
      </w:pPr>
      <w:r w:rsidRPr="00FC4FB3">
        <w:rPr>
          <w:lang w:val="en-US"/>
        </w:rPr>
        <w:t>Gentile G</w:t>
      </w:r>
      <w:r>
        <w:rPr>
          <w:lang w:val="en-US"/>
        </w:rPr>
        <w:t>.,</w:t>
      </w:r>
      <w:r w:rsidRPr="00FC4FB3">
        <w:rPr>
          <w:lang w:val="en-US"/>
        </w:rPr>
        <w:t xml:space="preserve"> </w:t>
      </w:r>
      <w:proofErr w:type="spellStart"/>
      <w:r w:rsidRPr="00FC4FB3">
        <w:rPr>
          <w:lang w:val="en-US"/>
        </w:rPr>
        <w:t>Cuoci</w:t>
      </w:r>
      <w:proofErr w:type="spellEnd"/>
      <w:r w:rsidRPr="00FC4FB3">
        <w:rPr>
          <w:lang w:val="en-US"/>
        </w:rPr>
        <w:t xml:space="preserve"> A</w:t>
      </w:r>
      <w:r>
        <w:rPr>
          <w:lang w:val="en-US"/>
        </w:rPr>
        <w:t>.</w:t>
      </w:r>
      <w:r>
        <w:rPr>
          <w:lang w:val="en-US"/>
        </w:rPr>
        <w:t>,</w:t>
      </w:r>
      <w:r w:rsidRPr="00FC4FB3">
        <w:rPr>
          <w:lang w:val="en-US"/>
        </w:rPr>
        <w:t xml:space="preserve"> </w:t>
      </w:r>
      <w:proofErr w:type="spellStart"/>
      <w:r w:rsidRPr="00FC4FB3">
        <w:rPr>
          <w:lang w:val="en-US"/>
        </w:rPr>
        <w:t>Frassoldati</w:t>
      </w:r>
      <w:proofErr w:type="spellEnd"/>
      <w:r w:rsidRPr="00FC4FB3">
        <w:rPr>
          <w:lang w:val="en-US"/>
        </w:rPr>
        <w:t xml:space="preserve"> A</w:t>
      </w:r>
      <w:r>
        <w:rPr>
          <w:lang w:val="en-US"/>
        </w:rPr>
        <w:t>.,</w:t>
      </w:r>
      <w:r w:rsidRPr="00FC4FB3">
        <w:rPr>
          <w:lang w:val="en-US"/>
        </w:rPr>
        <w:t xml:space="preserve"> </w:t>
      </w:r>
      <w:proofErr w:type="spellStart"/>
      <w:r w:rsidRPr="00FC4FB3">
        <w:rPr>
          <w:lang w:val="en-US"/>
        </w:rPr>
        <w:t>Faravell</w:t>
      </w:r>
      <w:r>
        <w:rPr>
          <w:lang w:val="en-US"/>
        </w:rPr>
        <w:t>i</w:t>
      </w:r>
      <w:proofErr w:type="spellEnd"/>
      <w:r w:rsidRPr="00FC4FB3">
        <w:rPr>
          <w:lang w:val="en-US"/>
        </w:rPr>
        <w:t xml:space="preserve"> T</w:t>
      </w:r>
      <w:r>
        <w:rPr>
          <w:lang w:val="en-US"/>
        </w:rPr>
        <w:t>.,</w:t>
      </w:r>
      <w:r w:rsidRPr="00FC4FB3">
        <w:rPr>
          <w:lang w:val="en-US"/>
        </w:rPr>
        <w:t xml:space="preserve"> </w:t>
      </w:r>
      <w:proofErr w:type="spellStart"/>
      <w:r w:rsidRPr="00FC4FB3">
        <w:rPr>
          <w:lang w:val="en-US"/>
        </w:rPr>
        <w:t>Ranzi</w:t>
      </w:r>
      <w:proofErr w:type="spellEnd"/>
      <w:r w:rsidRPr="00FC4FB3">
        <w:rPr>
          <w:lang w:val="en-US"/>
        </w:rPr>
        <w:t xml:space="preserve"> E</w:t>
      </w:r>
      <w:r>
        <w:rPr>
          <w:lang w:val="en-US"/>
        </w:rPr>
        <w:t>.,</w:t>
      </w:r>
      <w:r w:rsidRPr="00FC4FB3">
        <w:rPr>
          <w:lang w:val="en-US"/>
        </w:rPr>
        <w:t xml:space="preserve"> 2015</w:t>
      </w:r>
      <w:r>
        <w:rPr>
          <w:lang w:val="en-US"/>
        </w:rPr>
        <w:t>,</w:t>
      </w:r>
      <w:r w:rsidRPr="00FC4FB3">
        <w:rPr>
          <w:lang w:val="en-US"/>
        </w:rPr>
        <w:t xml:space="preserve"> A Comprehensive CFD Model for the Biomass Pyrolysis</w:t>
      </w:r>
      <w:r>
        <w:rPr>
          <w:lang w:val="en-US"/>
        </w:rPr>
        <w:t>,</w:t>
      </w:r>
      <w:r w:rsidRPr="00FC4FB3">
        <w:rPr>
          <w:lang w:val="en-US"/>
        </w:rPr>
        <w:t xml:space="preserve"> Chemical Engineering Transactions (43), S. 445–450.</w:t>
      </w:r>
    </w:p>
    <w:p w14:paraId="0B2630B4" w14:textId="34F5ACEB" w:rsidR="003E053A" w:rsidRDefault="007722E2" w:rsidP="00600535">
      <w:pPr>
        <w:pStyle w:val="CETReferencetext"/>
        <w:rPr>
          <w:lang w:val="en-US"/>
        </w:rPr>
      </w:pPr>
      <w:r w:rsidRPr="007722E2">
        <w:rPr>
          <w:lang w:val="en-US"/>
        </w:rPr>
        <w:t>Giuliano A</w:t>
      </w:r>
      <w:r>
        <w:rPr>
          <w:lang w:val="en-US"/>
        </w:rPr>
        <w:t>.,</w:t>
      </w:r>
      <w:r w:rsidRPr="007722E2">
        <w:rPr>
          <w:lang w:val="en-US"/>
        </w:rPr>
        <w:t xml:space="preserve"> Freda C</w:t>
      </w:r>
      <w:r>
        <w:rPr>
          <w:lang w:val="en-US"/>
        </w:rPr>
        <w:t>.,</w:t>
      </w:r>
      <w:r w:rsidRPr="007722E2">
        <w:rPr>
          <w:lang w:val="en-US"/>
        </w:rPr>
        <w:t xml:space="preserve"> </w:t>
      </w:r>
      <w:proofErr w:type="spellStart"/>
      <w:r w:rsidRPr="007722E2">
        <w:rPr>
          <w:lang w:val="en-US"/>
        </w:rPr>
        <w:t>Catizzone</w:t>
      </w:r>
      <w:proofErr w:type="spellEnd"/>
      <w:r w:rsidRPr="007722E2">
        <w:rPr>
          <w:lang w:val="en-US"/>
        </w:rPr>
        <w:t xml:space="preserve"> E</w:t>
      </w:r>
      <w:r>
        <w:rPr>
          <w:lang w:val="en-US"/>
        </w:rPr>
        <w:t>.,</w:t>
      </w:r>
      <w:r w:rsidRPr="007722E2">
        <w:rPr>
          <w:lang w:val="en-US"/>
        </w:rPr>
        <w:t xml:space="preserve"> 2020</w:t>
      </w:r>
      <w:r w:rsidR="00661DBC">
        <w:rPr>
          <w:lang w:val="en-US"/>
        </w:rPr>
        <w:t>,</w:t>
      </w:r>
      <w:r w:rsidRPr="007722E2">
        <w:rPr>
          <w:lang w:val="en-US"/>
        </w:rPr>
        <w:t xml:space="preserve"> Techno-Economic Assessment of Bio-Syngas Production for Methanol Synthesis. Bioengineering 7 (3)</w:t>
      </w:r>
      <w:r>
        <w:rPr>
          <w:lang w:val="en-US"/>
        </w:rPr>
        <w:t xml:space="preserve"> 1-19</w:t>
      </w:r>
      <w:r w:rsidRPr="007722E2">
        <w:rPr>
          <w:lang w:val="en-US"/>
        </w:rPr>
        <w:t>.</w:t>
      </w:r>
    </w:p>
    <w:p w14:paraId="1F051E16" w14:textId="5CD6ACD4" w:rsidR="002A31CC" w:rsidRDefault="002A31CC" w:rsidP="00600535">
      <w:pPr>
        <w:pStyle w:val="CETReferencetext"/>
        <w:rPr>
          <w:lang w:val="en-US"/>
        </w:rPr>
      </w:pPr>
      <w:r w:rsidRPr="002A31CC">
        <w:rPr>
          <w:lang w:val="en-US"/>
        </w:rPr>
        <w:t>Gómez M. A.</w:t>
      </w:r>
      <w:r>
        <w:rPr>
          <w:lang w:val="en-US"/>
        </w:rPr>
        <w:t>,</w:t>
      </w:r>
      <w:r w:rsidRPr="002A31CC">
        <w:rPr>
          <w:lang w:val="en-US"/>
        </w:rPr>
        <w:t xml:space="preserve"> </w:t>
      </w:r>
      <w:proofErr w:type="spellStart"/>
      <w:r w:rsidRPr="002A31CC">
        <w:rPr>
          <w:lang w:val="en-US"/>
        </w:rPr>
        <w:t>Porteiro</w:t>
      </w:r>
      <w:proofErr w:type="spellEnd"/>
      <w:r w:rsidRPr="002A31CC">
        <w:rPr>
          <w:lang w:val="en-US"/>
        </w:rPr>
        <w:t xml:space="preserve"> J</w:t>
      </w:r>
      <w:r>
        <w:rPr>
          <w:lang w:val="en-US"/>
        </w:rPr>
        <w:t>.,</w:t>
      </w:r>
      <w:r w:rsidRPr="002A31CC">
        <w:rPr>
          <w:lang w:val="en-US"/>
        </w:rPr>
        <w:t xml:space="preserve"> </w:t>
      </w:r>
      <w:r w:rsidRPr="002A31CC">
        <w:rPr>
          <w:lang w:val="en-US"/>
        </w:rPr>
        <w:t xml:space="preserve">de </w:t>
      </w:r>
      <w:r w:rsidRPr="002A31CC">
        <w:rPr>
          <w:lang w:val="en-US"/>
        </w:rPr>
        <w:t>La Cuesta D.</w:t>
      </w:r>
      <w:r>
        <w:rPr>
          <w:lang w:val="en-US"/>
        </w:rPr>
        <w:t>,</w:t>
      </w:r>
      <w:r w:rsidRPr="002A31CC">
        <w:rPr>
          <w:lang w:val="en-US"/>
        </w:rPr>
        <w:t xml:space="preserve"> </w:t>
      </w:r>
      <w:proofErr w:type="spellStart"/>
      <w:r w:rsidRPr="002A31CC">
        <w:rPr>
          <w:lang w:val="en-US"/>
        </w:rPr>
        <w:t>Patiño</w:t>
      </w:r>
      <w:proofErr w:type="spellEnd"/>
      <w:r w:rsidRPr="002A31CC">
        <w:rPr>
          <w:lang w:val="en-US"/>
        </w:rPr>
        <w:t xml:space="preserve"> D</w:t>
      </w:r>
      <w:r>
        <w:rPr>
          <w:lang w:val="en-US"/>
        </w:rPr>
        <w:t>.,</w:t>
      </w:r>
      <w:r w:rsidRPr="002A31CC">
        <w:rPr>
          <w:lang w:val="en-US"/>
        </w:rPr>
        <w:t xml:space="preserve"> </w:t>
      </w:r>
      <w:proofErr w:type="spellStart"/>
      <w:r w:rsidRPr="002A31CC">
        <w:rPr>
          <w:lang w:val="en-US"/>
        </w:rPr>
        <w:t>Míguez</w:t>
      </w:r>
      <w:proofErr w:type="spellEnd"/>
      <w:r w:rsidRPr="002A31CC">
        <w:rPr>
          <w:lang w:val="en-US"/>
        </w:rPr>
        <w:t xml:space="preserve"> J</w:t>
      </w:r>
      <w:r>
        <w:rPr>
          <w:lang w:val="en-US"/>
        </w:rPr>
        <w:t>.</w:t>
      </w:r>
      <w:r w:rsidRPr="002A31CC">
        <w:rPr>
          <w:lang w:val="en-US"/>
        </w:rPr>
        <w:t xml:space="preserve"> L</w:t>
      </w:r>
      <w:r>
        <w:rPr>
          <w:lang w:val="en-US"/>
        </w:rPr>
        <w:t>.,</w:t>
      </w:r>
      <w:r w:rsidR="00113E90">
        <w:rPr>
          <w:lang w:val="en-US"/>
        </w:rPr>
        <w:t xml:space="preserve"> </w:t>
      </w:r>
      <w:r w:rsidRPr="002A31CC">
        <w:rPr>
          <w:lang w:val="en-US"/>
        </w:rPr>
        <w:t>2017</w:t>
      </w:r>
      <w:r>
        <w:rPr>
          <w:lang w:val="en-US"/>
        </w:rPr>
        <w:t>,</w:t>
      </w:r>
      <w:r w:rsidRPr="002A31CC">
        <w:rPr>
          <w:lang w:val="en-US"/>
        </w:rPr>
        <w:t xml:space="preserve"> Dynamic simulation of a biomass domestic boiler under thermally thick considerations</w:t>
      </w:r>
      <w:r>
        <w:rPr>
          <w:lang w:val="en-US"/>
        </w:rPr>
        <w:t>,</w:t>
      </w:r>
      <w:r w:rsidRPr="002A31CC">
        <w:rPr>
          <w:lang w:val="en-US"/>
        </w:rPr>
        <w:t xml:space="preserve"> Energy Conversion a</w:t>
      </w:r>
      <w:r w:rsidR="00D52855">
        <w:rPr>
          <w:lang w:val="en-US"/>
        </w:rPr>
        <w:t>.</w:t>
      </w:r>
      <w:r w:rsidRPr="002A31CC">
        <w:rPr>
          <w:lang w:val="en-US"/>
        </w:rPr>
        <w:t xml:space="preserve"> Management 140, S. 260–272. </w:t>
      </w:r>
    </w:p>
    <w:p w14:paraId="30C58043" w14:textId="3C0EA94A" w:rsidR="00154E5E" w:rsidRDefault="00154E5E" w:rsidP="00600535">
      <w:pPr>
        <w:pStyle w:val="CETReferencetext"/>
        <w:rPr>
          <w:lang w:val="en-US"/>
        </w:rPr>
      </w:pPr>
      <w:r w:rsidRPr="00154E5E">
        <w:rPr>
          <w:lang w:val="en-US"/>
        </w:rPr>
        <w:t>Haberle I</w:t>
      </w:r>
      <w:r>
        <w:rPr>
          <w:lang w:val="en-US"/>
        </w:rPr>
        <w:t>.,</w:t>
      </w:r>
      <w:r w:rsidRPr="00154E5E">
        <w:rPr>
          <w:lang w:val="en-US"/>
        </w:rPr>
        <w:t xml:space="preserve"> </w:t>
      </w:r>
      <w:proofErr w:type="spellStart"/>
      <w:r w:rsidRPr="00154E5E">
        <w:rPr>
          <w:lang w:val="en-US"/>
        </w:rPr>
        <w:t>Skreiberg</w:t>
      </w:r>
      <w:proofErr w:type="spellEnd"/>
      <w:r w:rsidRPr="00154E5E">
        <w:rPr>
          <w:lang w:val="en-US"/>
        </w:rPr>
        <w:t xml:space="preserve"> Ø</w:t>
      </w:r>
      <w:r>
        <w:rPr>
          <w:lang w:val="en-US"/>
        </w:rPr>
        <w:t>.,</w:t>
      </w:r>
      <w:r w:rsidRPr="00154E5E">
        <w:rPr>
          <w:lang w:val="en-US"/>
        </w:rPr>
        <w:t xml:space="preserve"> </w:t>
      </w:r>
      <w:proofErr w:type="spellStart"/>
      <w:r w:rsidRPr="00154E5E">
        <w:rPr>
          <w:lang w:val="en-US"/>
        </w:rPr>
        <w:t>Łazar</w:t>
      </w:r>
      <w:proofErr w:type="spellEnd"/>
      <w:r w:rsidRPr="00154E5E">
        <w:rPr>
          <w:lang w:val="en-US"/>
        </w:rPr>
        <w:t xml:space="preserve"> J</w:t>
      </w:r>
      <w:r>
        <w:rPr>
          <w:lang w:val="en-US"/>
        </w:rPr>
        <w:t>.,</w:t>
      </w:r>
      <w:r w:rsidRPr="00154E5E">
        <w:rPr>
          <w:lang w:val="en-US"/>
        </w:rPr>
        <w:t xml:space="preserve"> Haugen N</w:t>
      </w:r>
      <w:r>
        <w:rPr>
          <w:lang w:val="en-US"/>
        </w:rPr>
        <w:t>.</w:t>
      </w:r>
      <w:r w:rsidRPr="00154E5E">
        <w:rPr>
          <w:lang w:val="en-US"/>
        </w:rPr>
        <w:t xml:space="preserve"> E</w:t>
      </w:r>
      <w:r>
        <w:rPr>
          <w:lang w:val="en-US"/>
        </w:rPr>
        <w:t>.</w:t>
      </w:r>
      <w:r w:rsidRPr="00154E5E">
        <w:rPr>
          <w:lang w:val="en-US"/>
        </w:rPr>
        <w:t xml:space="preserve"> L.</w:t>
      </w:r>
      <w:r>
        <w:rPr>
          <w:lang w:val="en-US"/>
        </w:rPr>
        <w:t>,</w:t>
      </w:r>
      <w:r w:rsidRPr="00154E5E">
        <w:rPr>
          <w:lang w:val="en-US"/>
        </w:rPr>
        <w:t xml:space="preserve"> 2017</w:t>
      </w:r>
      <w:r>
        <w:rPr>
          <w:lang w:val="en-US"/>
        </w:rPr>
        <w:t>,</w:t>
      </w:r>
      <w:r w:rsidRPr="00154E5E">
        <w:rPr>
          <w:lang w:val="en-US"/>
        </w:rPr>
        <w:t xml:space="preserve"> Numerical models for thermochemical degradation of thermally thick woody biomass, and their application in domestic wood heating appliances and grate furnaces</w:t>
      </w:r>
      <w:r w:rsidR="008A61B5">
        <w:rPr>
          <w:lang w:val="en-US"/>
        </w:rPr>
        <w:t>,</w:t>
      </w:r>
      <w:r w:rsidRPr="00154E5E">
        <w:rPr>
          <w:lang w:val="en-US"/>
        </w:rPr>
        <w:t xml:space="preserve"> Progress in Energy and Combustion Science 63, 204–252.</w:t>
      </w:r>
    </w:p>
    <w:p w14:paraId="5BC5A3E5" w14:textId="77777777" w:rsidR="00982EDF" w:rsidRDefault="0095268C" w:rsidP="002B7879">
      <w:pPr>
        <w:pStyle w:val="CETReferencetext"/>
        <w:rPr>
          <w:lang w:val="en-US"/>
        </w:rPr>
      </w:pPr>
      <w:proofErr w:type="spellStart"/>
      <w:r w:rsidRPr="0095268C">
        <w:rPr>
          <w:lang w:val="en-US"/>
        </w:rPr>
        <w:t>Klason</w:t>
      </w:r>
      <w:proofErr w:type="spellEnd"/>
      <w:r w:rsidRPr="0095268C">
        <w:rPr>
          <w:lang w:val="en-US"/>
        </w:rPr>
        <w:t xml:space="preserve"> T.</w:t>
      </w:r>
      <w:r w:rsidR="00982EDF">
        <w:rPr>
          <w:lang w:val="en-US"/>
        </w:rPr>
        <w:t>,</w:t>
      </w:r>
      <w:r w:rsidRPr="0095268C">
        <w:rPr>
          <w:lang w:val="en-US"/>
        </w:rPr>
        <w:t xml:space="preserve"> Bai X. S.</w:t>
      </w:r>
      <w:r w:rsidR="00982EDF">
        <w:rPr>
          <w:lang w:val="en-US"/>
        </w:rPr>
        <w:t>,</w:t>
      </w:r>
      <w:r w:rsidRPr="0095268C">
        <w:rPr>
          <w:lang w:val="en-US"/>
        </w:rPr>
        <w:t xml:space="preserve"> </w:t>
      </w:r>
      <w:proofErr w:type="spellStart"/>
      <w:r w:rsidRPr="0095268C">
        <w:rPr>
          <w:lang w:val="en-US"/>
        </w:rPr>
        <w:t>Bahador</w:t>
      </w:r>
      <w:proofErr w:type="spellEnd"/>
      <w:r w:rsidRPr="0095268C">
        <w:rPr>
          <w:lang w:val="en-US"/>
        </w:rPr>
        <w:t xml:space="preserve"> M.</w:t>
      </w:r>
      <w:r w:rsidR="00982EDF">
        <w:rPr>
          <w:lang w:val="en-US"/>
        </w:rPr>
        <w:t>,</w:t>
      </w:r>
      <w:r w:rsidRPr="0095268C">
        <w:rPr>
          <w:lang w:val="en-US"/>
        </w:rPr>
        <w:t xml:space="preserve"> Nilsson T. K.</w:t>
      </w:r>
      <w:r w:rsidR="00982EDF">
        <w:rPr>
          <w:lang w:val="en-US"/>
        </w:rPr>
        <w:t>,</w:t>
      </w:r>
      <w:r w:rsidRPr="0095268C">
        <w:rPr>
          <w:lang w:val="en-US"/>
        </w:rPr>
        <w:t xml:space="preserve"> </w:t>
      </w:r>
      <w:proofErr w:type="spellStart"/>
      <w:r w:rsidRPr="0095268C">
        <w:rPr>
          <w:lang w:val="en-US"/>
        </w:rPr>
        <w:t>Sundén</w:t>
      </w:r>
      <w:proofErr w:type="spellEnd"/>
      <w:r w:rsidRPr="0095268C">
        <w:rPr>
          <w:lang w:val="en-US"/>
        </w:rPr>
        <w:t xml:space="preserve"> B.</w:t>
      </w:r>
      <w:r w:rsidR="00982EDF">
        <w:rPr>
          <w:lang w:val="en-US"/>
        </w:rPr>
        <w:t xml:space="preserve">, 2008, </w:t>
      </w:r>
      <w:r w:rsidRPr="0095268C">
        <w:rPr>
          <w:lang w:val="en-US"/>
        </w:rPr>
        <w:t>Investigation of radiative heat transfer in fixed bed biomass furnaces</w:t>
      </w:r>
      <w:r w:rsidR="00982EDF">
        <w:rPr>
          <w:lang w:val="en-US"/>
        </w:rPr>
        <w:t>,</w:t>
      </w:r>
      <w:r w:rsidRPr="0095268C">
        <w:rPr>
          <w:lang w:val="en-US"/>
        </w:rPr>
        <w:t xml:space="preserve"> Fuel</w:t>
      </w:r>
      <w:r w:rsidR="00982EDF">
        <w:rPr>
          <w:lang w:val="en-US"/>
        </w:rPr>
        <w:t xml:space="preserve"> </w:t>
      </w:r>
      <w:r w:rsidRPr="0095268C">
        <w:rPr>
          <w:lang w:val="en-US"/>
        </w:rPr>
        <w:t xml:space="preserve">87, Nr. 10-11, 2141–2153. </w:t>
      </w:r>
    </w:p>
    <w:p w14:paraId="06DE2B3B" w14:textId="6F5E34AB" w:rsidR="009450E2" w:rsidRDefault="007D2595" w:rsidP="002B7879">
      <w:pPr>
        <w:pStyle w:val="CETReferencetext"/>
        <w:rPr>
          <w:lang w:val="en-US"/>
        </w:rPr>
      </w:pPr>
      <w:r>
        <w:rPr>
          <w:lang w:val="en-US"/>
        </w:rPr>
        <w:t>Kwiatkowski K.,</w:t>
      </w:r>
      <w:r w:rsidR="002B7879">
        <w:rPr>
          <w:lang w:val="en-US"/>
        </w:rPr>
        <w:t xml:space="preserve"> </w:t>
      </w:r>
      <w:proofErr w:type="spellStart"/>
      <w:r w:rsidR="002B7879">
        <w:rPr>
          <w:lang w:val="en-US"/>
        </w:rPr>
        <w:t>Górecki</w:t>
      </w:r>
      <w:proofErr w:type="spellEnd"/>
      <w:r w:rsidR="002B7879">
        <w:rPr>
          <w:lang w:val="en-US"/>
        </w:rPr>
        <w:t xml:space="preserve"> B., </w:t>
      </w:r>
      <w:proofErr w:type="spellStart"/>
      <w:r w:rsidR="002B7879">
        <w:rPr>
          <w:lang w:val="en-US"/>
        </w:rPr>
        <w:t>Korotko</w:t>
      </w:r>
      <w:proofErr w:type="spellEnd"/>
      <w:r w:rsidR="002B7879">
        <w:rPr>
          <w:lang w:val="en-US"/>
        </w:rPr>
        <w:t xml:space="preserve"> J., </w:t>
      </w:r>
      <w:proofErr w:type="spellStart"/>
      <w:r w:rsidR="002B7879">
        <w:rPr>
          <w:lang w:val="en-US"/>
        </w:rPr>
        <w:t>Gryglas</w:t>
      </w:r>
      <w:proofErr w:type="spellEnd"/>
      <w:r w:rsidR="002B7879">
        <w:rPr>
          <w:lang w:val="en-US"/>
        </w:rPr>
        <w:t xml:space="preserve"> W., </w:t>
      </w:r>
      <w:proofErr w:type="spellStart"/>
      <w:r w:rsidR="002B7879" w:rsidRPr="002B7879">
        <w:rPr>
          <w:lang w:val="en-US"/>
        </w:rPr>
        <w:t>Dudyński</w:t>
      </w:r>
      <w:proofErr w:type="spellEnd"/>
      <w:r w:rsidR="002B7879" w:rsidRPr="002B7879">
        <w:rPr>
          <w:lang w:val="en-US"/>
        </w:rPr>
        <w:t xml:space="preserve"> M</w:t>
      </w:r>
      <w:r w:rsidR="002B7879">
        <w:rPr>
          <w:lang w:val="en-US"/>
        </w:rPr>
        <w:t>.,</w:t>
      </w:r>
      <w:r w:rsidR="002B7879" w:rsidRPr="002B7879">
        <w:rPr>
          <w:lang w:val="en-US"/>
        </w:rPr>
        <w:t xml:space="preserve"> Bajer K</w:t>
      </w:r>
      <w:r w:rsidR="002B7879">
        <w:rPr>
          <w:lang w:val="en-US"/>
        </w:rPr>
        <w:t>.</w:t>
      </w:r>
      <w:r w:rsidR="002B7879" w:rsidRPr="002B7879">
        <w:rPr>
          <w:lang w:val="en-US"/>
        </w:rPr>
        <w:t xml:space="preserve"> 2013</w:t>
      </w:r>
      <w:r w:rsidR="002B7879">
        <w:rPr>
          <w:lang w:val="en-US"/>
        </w:rPr>
        <w:t xml:space="preserve">, </w:t>
      </w:r>
      <w:r w:rsidR="002B7879" w:rsidRPr="002B7879">
        <w:rPr>
          <w:lang w:val="en-US"/>
        </w:rPr>
        <w:t>Numerical Modeling of Biomass Pyrolysis - Heat and Mass</w:t>
      </w:r>
      <w:r w:rsidR="002B7879">
        <w:rPr>
          <w:lang w:val="en-US"/>
        </w:rPr>
        <w:t xml:space="preserve"> </w:t>
      </w:r>
      <w:r w:rsidR="002B7879" w:rsidRPr="002B7879">
        <w:rPr>
          <w:lang w:val="en-US"/>
        </w:rPr>
        <w:t>Transport Models</w:t>
      </w:r>
      <w:r w:rsidR="002B7879">
        <w:rPr>
          <w:lang w:val="en-US"/>
        </w:rPr>
        <w:t xml:space="preserve">, </w:t>
      </w:r>
      <w:r w:rsidR="002B7879" w:rsidRPr="002B7879">
        <w:rPr>
          <w:lang w:val="en-US"/>
        </w:rPr>
        <w:t>Numerical Heat Transfer, Part A: Applications 64,</w:t>
      </w:r>
      <w:r w:rsidR="002B7879">
        <w:rPr>
          <w:lang w:val="en-US"/>
        </w:rPr>
        <w:t xml:space="preserve"> </w:t>
      </w:r>
      <w:r w:rsidR="002B7879" w:rsidRPr="002B7879">
        <w:rPr>
          <w:lang w:val="en-US"/>
        </w:rPr>
        <w:t>3, 216–234.</w:t>
      </w:r>
    </w:p>
    <w:p w14:paraId="0C177E08" w14:textId="4CA99498" w:rsidR="00661DBC" w:rsidRPr="009450E2" w:rsidRDefault="00661DBC" w:rsidP="002B7879">
      <w:pPr>
        <w:pStyle w:val="CETReferencetext"/>
        <w:rPr>
          <w:lang w:val="en-US"/>
        </w:rPr>
      </w:pPr>
      <w:proofErr w:type="spellStart"/>
      <w:r w:rsidRPr="00661DBC">
        <w:rPr>
          <w:lang w:val="en-US"/>
        </w:rPr>
        <w:t>Mahmoudi</w:t>
      </w:r>
      <w:proofErr w:type="spellEnd"/>
      <w:r w:rsidRPr="00661DBC">
        <w:rPr>
          <w:lang w:val="en-US"/>
        </w:rPr>
        <w:t xml:space="preserve"> A</w:t>
      </w:r>
      <w:r>
        <w:rPr>
          <w:lang w:val="en-US"/>
        </w:rPr>
        <w:t>.</w:t>
      </w:r>
      <w:r w:rsidRPr="00661DBC">
        <w:rPr>
          <w:lang w:val="en-US"/>
        </w:rPr>
        <w:t xml:space="preserve"> H</w:t>
      </w:r>
      <w:r>
        <w:rPr>
          <w:lang w:val="en-US"/>
        </w:rPr>
        <w:t>.,</w:t>
      </w:r>
      <w:r w:rsidRPr="00661DBC">
        <w:rPr>
          <w:lang w:val="en-US"/>
        </w:rPr>
        <w:t xml:space="preserve"> </w:t>
      </w:r>
      <w:proofErr w:type="spellStart"/>
      <w:r w:rsidRPr="00661DBC">
        <w:rPr>
          <w:lang w:val="en-US"/>
        </w:rPr>
        <w:t>Besseron</w:t>
      </w:r>
      <w:proofErr w:type="spellEnd"/>
      <w:r w:rsidRPr="00661DBC">
        <w:rPr>
          <w:lang w:val="en-US"/>
        </w:rPr>
        <w:t xml:space="preserve"> X</w:t>
      </w:r>
      <w:r>
        <w:rPr>
          <w:lang w:val="en-US"/>
        </w:rPr>
        <w:t>.,</w:t>
      </w:r>
      <w:r w:rsidRPr="00661DBC">
        <w:rPr>
          <w:lang w:val="en-US"/>
        </w:rPr>
        <w:t xml:space="preserve"> Hoffmann F</w:t>
      </w:r>
      <w:r>
        <w:rPr>
          <w:lang w:val="en-US"/>
        </w:rPr>
        <w:t>.,</w:t>
      </w:r>
      <w:r w:rsidRPr="00661DBC">
        <w:rPr>
          <w:lang w:val="en-US"/>
        </w:rPr>
        <w:t xml:space="preserve"> Markovic M</w:t>
      </w:r>
      <w:r>
        <w:rPr>
          <w:lang w:val="en-US"/>
        </w:rPr>
        <w:t>.,</w:t>
      </w:r>
      <w:r w:rsidRPr="00661DBC">
        <w:rPr>
          <w:lang w:val="en-US"/>
        </w:rPr>
        <w:t xml:space="preserve"> Peters B</w:t>
      </w:r>
      <w:r>
        <w:rPr>
          <w:lang w:val="en-US"/>
        </w:rPr>
        <w:t>.,</w:t>
      </w:r>
      <w:r w:rsidRPr="00661DBC">
        <w:rPr>
          <w:lang w:val="en-US"/>
        </w:rPr>
        <w:t xml:space="preserve"> 2016</w:t>
      </w:r>
      <w:r>
        <w:rPr>
          <w:lang w:val="en-US"/>
        </w:rPr>
        <w:t>,</w:t>
      </w:r>
      <w:r w:rsidRPr="00661DBC">
        <w:rPr>
          <w:lang w:val="en-US"/>
        </w:rPr>
        <w:t xml:space="preserve"> Modeling of the biomass combustion on a forward acting grate using XDEM</w:t>
      </w:r>
      <w:r w:rsidR="002A31CC">
        <w:rPr>
          <w:lang w:val="en-US"/>
        </w:rPr>
        <w:t>,</w:t>
      </w:r>
      <w:r w:rsidRPr="00661DBC">
        <w:rPr>
          <w:lang w:val="en-US"/>
        </w:rPr>
        <w:t xml:space="preserve"> Chemical Engineering Science 142, S. 32–41. </w:t>
      </w:r>
    </w:p>
    <w:p w14:paraId="0619D195" w14:textId="7908A426" w:rsidR="009450E2" w:rsidRDefault="00D366B9" w:rsidP="00600535">
      <w:pPr>
        <w:pStyle w:val="CETReferencetext"/>
        <w:rPr>
          <w:lang w:val="en-US"/>
        </w:rPr>
      </w:pPr>
      <w:r w:rsidRPr="00D366B9">
        <w:rPr>
          <w:lang w:val="en-US"/>
        </w:rPr>
        <w:lastRenderedPageBreak/>
        <w:t xml:space="preserve">Mehrabian R., </w:t>
      </w:r>
      <w:proofErr w:type="spellStart"/>
      <w:r w:rsidRPr="00D366B9">
        <w:rPr>
          <w:lang w:val="en-US"/>
        </w:rPr>
        <w:t>Zahirović</w:t>
      </w:r>
      <w:proofErr w:type="spellEnd"/>
      <w:r w:rsidRPr="00D366B9">
        <w:rPr>
          <w:lang w:val="en-US"/>
        </w:rPr>
        <w:t xml:space="preserve"> S., </w:t>
      </w:r>
      <w:proofErr w:type="spellStart"/>
      <w:r w:rsidRPr="00D366B9">
        <w:rPr>
          <w:lang w:val="en-US"/>
        </w:rPr>
        <w:t>Scharler</w:t>
      </w:r>
      <w:proofErr w:type="spellEnd"/>
      <w:r w:rsidRPr="00D366B9">
        <w:rPr>
          <w:lang w:val="en-US"/>
        </w:rPr>
        <w:t xml:space="preserve"> R., </w:t>
      </w:r>
      <w:proofErr w:type="spellStart"/>
      <w:r w:rsidRPr="00D366B9">
        <w:rPr>
          <w:lang w:val="en-US"/>
        </w:rPr>
        <w:t>Obernberger</w:t>
      </w:r>
      <w:proofErr w:type="spellEnd"/>
      <w:r w:rsidRPr="00D366B9">
        <w:rPr>
          <w:lang w:val="en-US"/>
        </w:rPr>
        <w:t xml:space="preserve"> I., </w:t>
      </w:r>
      <w:proofErr w:type="spellStart"/>
      <w:r w:rsidRPr="00D366B9">
        <w:rPr>
          <w:lang w:val="en-US"/>
        </w:rPr>
        <w:t>Kleditzsch</w:t>
      </w:r>
      <w:proofErr w:type="spellEnd"/>
      <w:r w:rsidRPr="00D366B9">
        <w:rPr>
          <w:lang w:val="en-US"/>
        </w:rPr>
        <w:t xml:space="preserve"> S., Wirtz S., et al. 2012</w:t>
      </w:r>
      <w:r>
        <w:rPr>
          <w:lang w:val="en-US"/>
        </w:rPr>
        <w:t>,</w:t>
      </w:r>
      <w:r w:rsidRPr="00D366B9">
        <w:rPr>
          <w:lang w:val="en-US"/>
        </w:rPr>
        <w:t xml:space="preserve"> A CFD model for thermal conversion of thermally thick biomass particles. Fuel Processing Technology 95, 96–108. </w:t>
      </w:r>
    </w:p>
    <w:p w14:paraId="744DB540" w14:textId="4FF78232" w:rsidR="002B7879" w:rsidRPr="009450E2" w:rsidRDefault="007C5F3C">
      <w:pPr>
        <w:pStyle w:val="CETReferencetext"/>
        <w:rPr>
          <w:lang w:val="en-US"/>
        </w:rPr>
      </w:pPr>
      <w:r w:rsidRPr="007C5F3C">
        <w:rPr>
          <w:lang w:val="en-US"/>
        </w:rPr>
        <w:t>Park, W</w:t>
      </w:r>
      <w:r>
        <w:rPr>
          <w:lang w:val="en-US"/>
        </w:rPr>
        <w:t>.</w:t>
      </w:r>
      <w:r w:rsidRPr="007C5F3C">
        <w:rPr>
          <w:lang w:val="en-US"/>
        </w:rPr>
        <w:t xml:space="preserve"> C</w:t>
      </w:r>
      <w:r>
        <w:rPr>
          <w:lang w:val="en-US"/>
        </w:rPr>
        <w:t>.</w:t>
      </w:r>
      <w:r w:rsidRPr="007C5F3C">
        <w:rPr>
          <w:lang w:val="en-US"/>
        </w:rPr>
        <w:t xml:space="preserve">; </w:t>
      </w:r>
      <w:proofErr w:type="spellStart"/>
      <w:r w:rsidRPr="007C5F3C">
        <w:rPr>
          <w:lang w:val="en-US"/>
        </w:rPr>
        <w:t>Atreya</w:t>
      </w:r>
      <w:proofErr w:type="spellEnd"/>
      <w:r w:rsidRPr="007C5F3C">
        <w:rPr>
          <w:lang w:val="en-US"/>
        </w:rPr>
        <w:t>, A</w:t>
      </w:r>
      <w:r>
        <w:rPr>
          <w:lang w:val="en-US"/>
        </w:rPr>
        <w:t>.</w:t>
      </w:r>
      <w:r w:rsidRPr="007C5F3C">
        <w:rPr>
          <w:lang w:val="en-US"/>
        </w:rPr>
        <w:t>; Baum, H</w:t>
      </w:r>
      <w:r>
        <w:rPr>
          <w:lang w:val="en-US"/>
        </w:rPr>
        <w:t>.</w:t>
      </w:r>
      <w:r w:rsidRPr="007C5F3C">
        <w:rPr>
          <w:lang w:val="en-US"/>
        </w:rPr>
        <w:t xml:space="preserve"> R. 2010</w:t>
      </w:r>
      <w:r>
        <w:rPr>
          <w:lang w:val="en-US"/>
        </w:rPr>
        <w:t>,</w:t>
      </w:r>
      <w:r w:rsidRPr="007C5F3C">
        <w:rPr>
          <w:lang w:val="en-US"/>
        </w:rPr>
        <w:t xml:space="preserve"> Experimental and theoretical investigation of heat and mass transfer processes during wood pyrolysis. Combustion and Flame 157 (3), 481–494. </w:t>
      </w:r>
    </w:p>
    <w:sectPr w:rsidR="002B7879" w:rsidRPr="009450E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600D9" w14:textId="77777777" w:rsidR="00DA681B" w:rsidRDefault="00DA681B" w:rsidP="004F5E36">
      <w:r>
        <w:separator/>
      </w:r>
    </w:p>
  </w:endnote>
  <w:endnote w:type="continuationSeparator" w:id="0">
    <w:p w14:paraId="73083665" w14:textId="77777777" w:rsidR="00DA681B" w:rsidRDefault="00DA681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EB3F8" w14:textId="77777777" w:rsidR="00DA681B" w:rsidRDefault="00DA681B" w:rsidP="004F5E36">
      <w:r>
        <w:separator/>
      </w:r>
    </w:p>
  </w:footnote>
  <w:footnote w:type="continuationSeparator" w:id="0">
    <w:p w14:paraId="4DDB9D87" w14:textId="77777777" w:rsidR="00DA681B" w:rsidRDefault="00DA681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9310527"/>
    <w:multiLevelType w:val="hybridMultilevel"/>
    <w:tmpl w:val="A94434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3C46"/>
    <w:rsid w:val="0002533C"/>
    <w:rsid w:val="0003148D"/>
    <w:rsid w:val="00050632"/>
    <w:rsid w:val="00051566"/>
    <w:rsid w:val="00056F26"/>
    <w:rsid w:val="000576DE"/>
    <w:rsid w:val="00062A9A"/>
    <w:rsid w:val="00065058"/>
    <w:rsid w:val="00086C39"/>
    <w:rsid w:val="0009135A"/>
    <w:rsid w:val="000956B4"/>
    <w:rsid w:val="000A03B2"/>
    <w:rsid w:val="000B3EAC"/>
    <w:rsid w:val="000D34BE"/>
    <w:rsid w:val="000D71C3"/>
    <w:rsid w:val="000E102F"/>
    <w:rsid w:val="000E36F1"/>
    <w:rsid w:val="000E3A73"/>
    <w:rsid w:val="000E414A"/>
    <w:rsid w:val="000E5EC0"/>
    <w:rsid w:val="000F093C"/>
    <w:rsid w:val="000F2621"/>
    <w:rsid w:val="000F787B"/>
    <w:rsid w:val="001116FB"/>
    <w:rsid w:val="00113E90"/>
    <w:rsid w:val="00115127"/>
    <w:rsid w:val="0012091F"/>
    <w:rsid w:val="00126BC2"/>
    <w:rsid w:val="001308B6"/>
    <w:rsid w:val="0013121F"/>
    <w:rsid w:val="00131FE6"/>
    <w:rsid w:val="0013263F"/>
    <w:rsid w:val="00133D15"/>
    <w:rsid w:val="00134DE4"/>
    <w:rsid w:val="0014034D"/>
    <w:rsid w:val="0014464F"/>
    <w:rsid w:val="0015090B"/>
    <w:rsid w:val="00150E59"/>
    <w:rsid w:val="00152DE3"/>
    <w:rsid w:val="001544DD"/>
    <w:rsid w:val="00154E5E"/>
    <w:rsid w:val="00162054"/>
    <w:rsid w:val="001634E4"/>
    <w:rsid w:val="00164CF9"/>
    <w:rsid w:val="00180860"/>
    <w:rsid w:val="00184AD6"/>
    <w:rsid w:val="00185568"/>
    <w:rsid w:val="001872F2"/>
    <w:rsid w:val="001A5B78"/>
    <w:rsid w:val="001A73EF"/>
    <w:rsid w:val="001B0349"/>
    <w:rsid w:val="001B65C1"/>
    <w:rsid w:val="001B79A2"/>
    <w:rsid w:val="001C684B"/>
    <w:rsid w:val="001D179A"/>
    <w:rsid w:val="001D53FC"/>
    <w:rsid w:val="001E6171"/>
    <w:rsid w:val="001F42A5"/>
    <w:rsid w:val="001F7B9D"/>
    <w:rsid w:val="00222133"/>
    <w:rsid w:val="002224B4"/>
    <w:rsid w:val="00236B35"/>
    <w:rsid w:val="002447EF"/>
    <w:rsid w:val="00244DD0"/>
    <w:rsid w:val="00251550"/>
    <w:rsid w:val="00251BC9"/>
    <w:rsid w:val="0025658E"/>
    <w:rsid w:val="00263B05"/>
    <w:rsid w:val="0027221A"/>
    <w:rsid w:val="00275B61"/>
    <w:rsid w:val="00282656"/>
    <w:rsid w:val="00282CF8"/>
    <w:rsid w:val="00296B83"/>
    <w:rsid w:val="002A31CC"/>
    <w:rsid w:val="002B7879"/>
    <w:rsid w:val="002B78CE"/>
    <w:rsid w:val="002C131D"/>
    <w:rsid w:val="002C2FB6"/>
    <w:rsid w:val="002D44FE"/>
    <w:rsid w:val="002E2AFE"/>
    <w:rsid w:val="003009B7"/>
    <w:rsid w:val="00300E56"/>
    <w:rsid w:val="00303C1A"/>
    <w:rsid w:val="0030469C"/>
    <w:rsid w:val="00321CA6"/>
    <w:rsid w:val="00334C09"/>
    <w:rsid w:val="00342A86"/>
    <w:rsid w:val="00344EE7"/>
    <w:rsid w:val="003528C0"/>
    <w:rsid w:val="003615A2"/>
    <w:rsid w:val="003723D4"/>
    <w:rsid w:val="00383F4B"/>
    <w:rsid w:val="00384CC8"/>
    <w:rsid w:val="003871FD"/>
    <w:rsid w:val="003A153B"/>
    <w:rsid w:val="003A1E30"/>
    <w:rsid w:val="003A7D1C"/>
    <w:rsid w:val="003B304B"/>
    <w:rsid w:val="003B3146"/>
    <w:rsid w:val="003B33EE"/>
    <w:rsid w:val="003E053A"/>
    <w:rsid w:val="003F015E"/>
    <w:rsid w:val="00400414"/>
    <w:rsid w:val="0041446B"/>
    <w:rsid w:val="004245EA"/>
    <w:rsid w:val="00436A2A"/>
    <w:rsid w:val="0044329C"/>
    <w:rsid w:val="004577FE"/>
    <w:rsid w:val="00457B9C"/>
    <w:rsid w:val="0046164A"/>
    <w:rsid w:val="004628D2"/>
    <w:rsid w:val="00462DCD"/>
    <w:rsid w:val="004648AD"/>
    <w:rsid w:val="00467F9F"/>
    <w:rsid w:val="004703A9"/>
    <w:rsid w:val="00471EAD"/>
    <w:rsid w:val="004760DE"/>
    <w:rsid w:val="0048689C"/>
    <w:rsid w:val="00495091"/>
    <w:rsid w:val="004970A0"/>
    <w:rsid w:val="004A004E"/>
    <w:rsid w:val="004A1F95"/>
    <w:rsid w:val="004A24CF"/>
    <w:rsid w:val="004A473A"/>
    <w:rsid w:val="004C3D1D"/>
    <w:rsid w:val="004C7913"/>
    <w:rsid w:val="004D51EE"/>
    <w:rsid w:val="004E4DD6"/>
    <w:rsid w:val="004E5A7F"/>
    <w:rsid w:val="004F5B27"/>
    <w:rsid w:val="004F5E36"/>
    <w:rsid w:val="005001C2"/>
    <w:rsid w:val="005055C9"/>
    <w:rsid w:val="00507B47"/>
    <w:rsid w:val="00507CC9"/>
    <w:rsid w:val="005119A5"/>
    <w:rsid w:val="00511AA1"/>
    <w:rsid w:val="005129B4"/>
    <w:rsid w:val="00516D93"/>
    <w:rsid w:val="005278B7"/>
    <w:rsid w:val="00532016"/>
    <w:rsid w:val="005346C8"/>
    <w:rsid w:val="00536CC7"/>
    <w:rsid w:val="00543E7D"/>
    <w:rsid w:val="00547A68"/>
    <w:rsid w:val="005531C9"/>
    <w:rsid w:val="00584CD8"/>
    <w:rsid w:val="00591C58"/>
    <w:rsid w:val="00592E19"/>
    <w:rsid w:val="005A3E9C"/>
    <w:rsid w:val="005B2110"/>
    <w:rsid w:val="005B46E8"/>
    <w:rsid w:val="005B61E6"/>
    <w:rsid w:val="005B687C"/>
    <w:rsid w:val="005B7CCE"/>
    <w:rsid w:val="005C77E1"/>
    <w:rsid w:val="005D20F3"/>
    <w:rsid w:val="005D6A2F"/>
    <w:rsid w:val="005D6AC3"/>
    <w:rsid w:val="005D6D37"/>
    <w:rsid w:val="005E1A82"/>
    <w:rsid w:val="005E794C"/>
    <w:rsid w:val="005F0A28"/>
    <w:rsid w:val="005F0E5E"/>
    <w:rsid w:val="00600535"/>
    <w:rsid w:val="00610CD6"/>
    <w:rsid w:val="00620C11"/>
    <w:rsid w:val="00620DEE"/>
    <w:rsid w:val="00621F92"/>
    <w:rsid w:val="006242A9"/>
    <w:rsid w:val="00625639"/>
    <w:rsid w:val="00631B33"/>
    <w:rsid w:val="0064184D"/>
    <w:rsid w:val="00660E3E"/>
    <w:rsid w:val="00661DBC"/>
    <w:rsid w:val="00662E74"/>
    <w:rsid w:val="00664391"/>
    <w:rsid w:val="00664582"/>
    <w:rsid w:val="00666BFD"/>
    <w:rsid w:val="00667E06"/>
    <w:rsid w:val="00674AAB"/>
    <w:rsid w:val="00680C23"/>
    <w:rsid w:val="00682728"/>
    <w:rsid w:val="00693766"/>
    <w:rsid w:val="006A3281"/>
    <w:rsid w:val="006B3AFE"/>
    <w:rsid w:val="006B4888"/>
    <w:rsid w:val="006B7A8B"/>
    <w:rsid w:val="006C2E45"/>
    <w:rsid w:val="006C359C"/>
    <w:rsid w:val="006C5579"/>
    <w:rsid w:val="006C7086"/>
    <w:rsid w:val="006E737D"/>
    <w:rsid w:val="006F1F23"/>
    <w:rsid w:val="0070114C"/>
    <w:rsid w:val="00705AE6"/>
    <w:rsid w:val="00705F72"/>
    <w:rsid w:val="00706E76"/>
    <w:rsid w:val="007103E5"/>
    <w:rsid w:val="00720A24"/>
    <w:rsid w:val="00726DBA"/>
    <w:rsid w:val="00732386"/>
    <w:rsid w:val="007403EE"/>
    <w:rsid w:val="007447F3"/>
    <w:rsid w:val="00745BEE"/>
    <w:rsid w:val="0075499F"/>
    <w:rsid w:val="00761306"/>
    <w:rsid w:val="00762CC2"/>
    <w:rsid w:val="007661C8"/>
    <w:rsid w:val="0077098D"/>
    <w:rsid w:val="007722E2"/>
    <w:rsid w:val="007860EC"/>
    <w:rsid w:val="007A7BBA"/>
    <w:rsid w:val="007B0C50"/>
    <w:rsid w:val="007B25ED"/>
    <w:rsid w:val="007B52DB"/>
    <w:rsid w:val="007B7388"/>
    <w:rsid w:val="007C1A43"/>
    <w:rsid w:val="007C5F3C"/>
    <w:rsid w:val="007D2595"/>
    <w:rsid w:val="007D528D"/>
    <w:rsid w:val="007E2B18"/>
    <w:rsid w:val="007E593C"/>
    <w:rsid w:val="007F5F67"/>
    <w:rsid w:val="00813288"/>
    <w:rsid w:val="008168FC"/>
    <w:rsid w:val="00830996"/>
    <w:rsid w:val="00831678"/>
    <w:rsid w:val="008345F1"/>
    <w:rsid w:val="00856DD7"/>
    <w:rsid w:val="00865B07"/>
    <w:rsid w:val="008667EA"/>
    <w:rsid w:val="0087336F"/>
    <w:rsid w:val="00873D70"/>
    <w:rsid w:val="0087637F"/>
    <w:rsid w:val="00892AD5"/>
    <w:rsid w:val="008A1512"/>
    <w:rsid w:val="008A61B5"/>
    <w:rsid w:val="008B170D"/>
    <w:rsid w:val="008D04F4"/>
    <w:rsid w:val="008D433B"/>
    <w:rsid w:val="008E566E"/>
    <w:rsid w:val="008F53B1"/>
    <w:rsid w:val="00900C6C"/>
    <w:rsid w:val="0090161A"/>
    <w:rsid w:val="00901EB6"/>
    <w:rsid w:val="00904C62"/>
    <w:rsid w:val="00917BE0"/>
    <w:rsid w:val="00922FEA"/>
    <w:rsid w:val="00924DAC"/>
    <w:rsid w:val="00927058"/>
    <w:rsid w:val="009309AF"/>
    <w:rsid w:val="00933802"/>
    <w:rsid w:val="009450CE"/>
    <w:rsid w:val="009450E2"/>
    <w:rsid w:val="00947179"/>
    <w:rsid w:val="0095164B"/>
    <w:rsid w:val="0095268C"/>
    <w:rsid w:val="00954090"/>
    <w:rsid w:val="009573E7"/>
    <w:rsid w:val="00963DA0"/>
    <w:rsid w:val="00963E05"/>
    <w:rsid w:val="00967D16"/>
    <w:rsid w:val="00967D54"/>
    <w:rsid w:val="00982EDF"/>
    <w:rsid w:val="00991716"/>
    <w:rsid w:val="009946B8"/>
    <w:rsid w:val="00996483"/>
    <w:rsid w:val="00996F5A"/>
    <w:rsid w:val="009B041A"/>
    <w:rsid w:val="009B437C"/>
    <w:rsid w:val="009C7C86"/>
    <w:rsid w:val="009D2FF7"/>
    <w:rsid w:val="009D3CB0"/>
    <w:rsid w:val="009E24D7"/>
    <w:rsid w:val="009E6297"/>
    <w:rsid w:val="009E7884"/>
    <w:rsid w:val="009E788A"/>
    <w:rsid w:val="009F0E08"/>
    <w:rsid w:val="009F7F64"/>
    <w:rsid w:val="00A02377"/>
    <w:rsid w:val="00A06E03"/>
    <w:rsid w:val="00A1763D"/>
    <w:rsid w:val="00A17CEC"/>
    <w:rsid w:val="00A24DCB"/>
    <w:rsid w:val="00A27EF0"/>
    <w:rsid w:val="00A335C9"/>
    <w:rsid w:val="00A411E6"/>
    <w:rsid w:val="00A50B20"/>
    <w:rsid w:val="00A51390"/>
    <w:rsid w:val="00A576E1"/>
    <w:rsid w:val="00A60D13"/>
    <w:rsid w:val="00A661C9"/>
    <w:rsid w:val="00A67467"/>
    <w:rsid w:val="00A72745"/>
    <w:rsid w:val="00A72947"/>
    <w:rsid w:val="00A76EFC"/>
    <w:rsid w:val="00A91010"/>
    <w:rsid w:val="00A97F29"/>
    <w:rsid w:val="00AA702E"/>
    <w:rsid w:val="00AB0964"/>
    <w:rsid w:val="00AB1880"/>
    <w:rsid w:val="00AB5011"/>
    <w:rsid w:val="00AB5095"/>
    <w:rsid w:val="00AC430E"/>
    <w:rsid w:val="00AC451C"/>
    <w:rsid w:val="00AC7368"/>
    <w:rsid w:val="00AD0758"/>
    <w:rsid w:val="00AD0C68"/>
    <w:rsid w:val="00AD16B9"/>
    <w:rsid w:val="00AE0E24"/>
    <w:rsid w:val="00AE377D"/>
    <w:rsid w:val="00AE431B"/>
    <w:rsid w:val="00AF5968"/>
    <w:rsid w:val="00AF75C6"/>
    <w:rsid w:val="00B04152"/>
    <w:rsid w:val="00B067EF"/>
    <w:rsid w:val="00B17FBD"/>
    <w:rsid w:val="00B315A6"/>
    <w:rsid w:val="00B31813"/>
    <w:rsid w:val="00B33365"/>
    <w:rsid w:val="00B4769F"/>
    <w:rsid w:val="00B57B36"/>
    <w:rsid w:val="00B63B78"/>
    <w:rsid w:val="00B75DB2"/>
    <w:rsid w:val="00B82855"/>
    <w:rsid w:val="00B8539D"/>
    <w:rsid w:val="00B86367"/>
    <w:rsid w:val="00B8686D"/>
    <w:rsid w:val="00B86DCD"/>
    <w:rsid w:val="00BA1B7F"/>
    <w:rsid w:val="00BC30C9"/>
    <w:rsid w:val="00BE376C"/>
    <w:rsid w:val="00BE3E58"/>
    <w:rsid w:val="00BF102D"/>
    <w:rsid w:val="00BF2E07"/>
    <w:rsid w:val="00C01616"/>
    <w:rsid w:val="00C0162B"/>
    <w:rsid w:val="00C31795"/>
    <w:rsid w:val="00C345B1"/>
    <w:rsid w:val="00C40142"/>
    <w:rsid w:val="00C40FDD"/>
    <w:rsid w:val="00C45D6E"/>
    <w:rsid w:val="00C57182"/>
    <w:rsid w:val="00C57863"/>
    <w:rsid w:val="00C651A0"/>
    <w:rsid w:val="00C655FD"/>
    <w:rsid w:val="00C71FB5"/>
    <w:rsid w:val="00C81C0E"/>
    <w:rsid w:val="00C85E65"/>
    <w:rsid w:val="00C870A8"/>
    <w:rsid w:val="00C93494"/>
    <w:rsid w:val="00C94434"/>
    <w:rsid w:val="00CA0D75"/>
    <w:rsid w:val="00CA1C95"/>
    <w:rsid w:val="00CA5A9C"/>
    <w:rsid w:val="00CC07AE"/>
    <w:rsid w:val="00CC2265"/>
    <w:rsid w:val="00CD39DD"/>
    <w:rsid w:val="00CD5FE2"/>
    <w:rsid w:val="00CE082C"/>
    <w:rsid w:val="00CE7C68"/>
    <w:rsid w:val="00D02B4C"/>
    <w:rsid w:val="00D040C4"/>
    <w:rsid w:val="00D1246C"/>
    <w:rsid w:val="00D21F92"/>
    <w:rsid w:val="00D27F22"/>
    <w:rsid w:val="00D366B9"/>
    <w:rsid w:val="00D430C4"/>
    <w:rsid w:val="00D43595"/>
    <w:rsid w:val="00D43AD7"/>
    <w:rsid w:val="00D4499B"/>
    <w:rsid w:val="00D52855"/>
    <w:rsid w:val="00D52ADB"/>
    <w:rsid w:val="00D57C84"/>
    <w:rsid w:val="00D603FA"/>
    <w:rsid w:val="00D6057D"/>
    <w:rsid w:val="00D75336"/>
    <w:rsid w:val="00D84576"/>
    <w:rsid w:val="00D93BD5"/>
    <w:rsid w:val="00DA1399"/>
    <w:rsid w:val="00DA24C6"/>
    <w:rsid w:val="00DA4D7B"/>
    <w:rsid w:val="00DA65A9"/>
    <w:rsid w:val="00DA681B"/>
    <w:rsid w:val="00DB39B7"/>
    <w:rsid w:val="00DC4B68"/>
    <w:rsid w:val="00DE264A"/>
    <w:rsid w:val="00DE4BDB"/>
    <w:rsid w:val="00DF2AAC"/>
    <w:rsid w:val="00DF6142"/>
    <w:rsid w:val="00E02D18"/>
    <w:rsid w:val="00E041E7"/>
    <w:rsid w:val="00E2193D"/>
    <w:rsid w:val="00E22C7E"/>
    <w:rsid w:val="00E23CA1"/>
    <w:rsid w:val="00E256B0"/>
    <w:rsid w:val="00E31D3D"/>
    <w:rsid w:val="00E409A8"/>
    <w:rsid w:val="00E44E78"/>
    <w:rsid w:val="00E50C12"/>
    <w:rsid w:val="00E65B91"/>
    <w:rsid w:val="00E7209D"/>
    <w:rsid w:val="00E77223"/>
    <w:rsid w:val="00E77786"/>
    <w:rsid w:val="00E77935"/>
    <w:rsid w:val="00E83386"/>
    <w:rsid w:val="00E8528B"/>
    <w:rsid w:val="00E85B94"/>
    <w:rsid w:val="00E941BF"/>
    <w:rsid w:val="00E978D0"/>
    <w:rsid w:val="00EA4613"/>
    <w:rsid w:val="00EA7F91"/>
    <w:rsid w:val="00EB1523"/>
    <w:rsid w:val="00EC0E49"/>
    <w:rsid w:val="00EC6199"/>
    <w:rsid w:val="00EE0131"/>
    <w:rsid w:val="00EF2394"/>
    <w:rsid w:val="00F0278C"/>
    <w:rsid w:val="00F03F15"/>
    <w:rsid w:val="00F04984"/>
    <w:rsid w:val="00F04A10"/>
    <w:rsid w:val="00F05C5C"/>
    <w:rsid w:val="00F074AA"/>
    <w:rsid w:val="00F122FD"/>
    <w:rsid w:val="00F14884"/>
    <w:rsid w:val="00F14887"/>
    <w:rsid w:val="00F2219E"/>
    <w:rsid w:val="00F30C64"/>
    <w:rsid w:val="00F32CDB"/>
    <w:rsid w:val="00F32FA7"/>
    <w:rsid w:val="00F63A70"/>
    <w:rsid w:val="00F7450F"/>
    <w:rsid w:val="00FA21D0"/>
    <w:rsid w:val="00FA5F5F"/>
    <w:rsid w:val="00FB730C"/>
    <w:rsid w:val="00FC2695"/>
    <w:rsid w:val="00FC3E03"/>
    <w:rsid w:val="00FC3FC1"/>
    <w:rsid w:val="00FC4FB3"/>
    <w:rsid w:val="00FC6AB4"/>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4:docId w14:val="2AE0CC22"/>
  <w14:defaultImageDpi w14:val="330"/>
  <w15:docId w15:val="{EF998785-AE5D-4423-988B-65108FB0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Kommentarzeichen">
    <w:name w:val="annotation reference"/>
    <w:basedOn w:val="Absatz-Standardschriftart"/>
    <w:uiPriority w:val="99"/>
    <w:semiHidden/>
    <w:unhideWhenUsed/>
    <w:rsid w:val="004577FE"/>
    <w:rPr>
      <w:sz w:val="16"/>
      <w:szCs w:val="16"/>
    </w:rPr>
  </w:style>
  <w:style w:type="paragraph" w:styleId="Sprechblasentext">
    <w:name w:val="Balloon Text"/>
    <w:basedOn w:val="Standard"/>
    <w:link w:val="SprechblasentextZchn"/>
    <w:uiPriority w:val="99"/>
    <w:semiHidden/>
    <w:unhideWhenUs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CETReferencetext"/>
    <w:uiPriority w:val="37"/>
    <w:unhideWhenUsed/>
    <w:rsid w:val="00631B33"/>
    <w:pPr>
      <w:spacing w:line="240" w:lineRule="auto"/>
      <w:ind w:left="720" w:hanging="720"/>
    </w:pPr>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unhideWhenUsed/>
    <w:qFormat/>
    <w:rsid w:val="0003148D"/>
    <w:pPr>
      <w:spacing w:line="240" w:lineRule="auto"/>
    </w:pPr>
    <w:rPr>
      <w:b/>
      <w:bCs/>
      <w:color w:val="4F81BD" w:themeColor="accent1"/>
      <w:szCs w:val="18"/>
    </w:rPr>
  </w:style>
  <w:style w:type="paragraph" w:styleId="Liste">
    <w:name w:val="List"/>
    <w:basedOn w:val="Standard"/>
    <w:uiPriority w:val="99"/>
    <w:semiHidden/>
    <w:unhideWhenUsed/>
    <w:rsid w:val="0003148D"/>
    <w:pPr>
      <w:ind w:left="283" w:hanging="283"/>
      <w:contextualSpacing/>
    </w:pPr>
  </w:style>
  <w:style w:type="paragraph" w:styleId="Liste2">
    <w:name w:val="List 2"/>
    <w:basedOn w:val="Standard"/>
    <w:uiPriority w:val="99"/>
    <w:semiHidden/>
    <w:unhideWhenUsed/>
    <w:rsid w:val="0003148D"/>
    <w:pPr>
      <w:ind w:left="566" w:hanging="283"/>
      <w:contextualSpacing/>
    </w:pPr>
  </w:style>
  <w:style w:type="paragraph" w:styleId="Liste3">
    <w:name w:val="List 3"/>
    <w:basedOn w:val="Standard"/>
    <w:uiPriority w:val="99"/>
    <w:semiHidden/>
    <w:unhideWhenUsed/>
    <w:rsid w:val="0003148D"/>
    <w:pPr>
      <w:ind w:left="849" w:hanging="283"/>
      <w:contextualSpacing/>
    </w:pPr>
  </w:style>
  <w:style w:type="paragraph" w:styleId="Liste4">
    <w:name w:val="List 4"/>
    <w:basedOn w:val="Standard"/>
    <w:uiPriority w:val="99"/>
    <w:semiHidden/>
    <w:unhideWhenUsed/>
    <w:rsid w:val="0003148D"/>
    <w:pPr>
      <w:ind w:left="1132" w:hanging="283"/>
      <w:contextualSpacing/>
    </w:pPr>
  </w:style>
  <w:style w:type="paragraph" w:styleId="Liste5">
    <w:name w:val="List 5"/>
    <w:basedOn w:val="Standard"/>
    <w:uiPriority w:val="99"/>
    <w:semiHidden/>
    <w:unhideWhenUsed/>
    <w:rsid w:val="0003148D"/>
    <w:pPr>
      <w:ind w:left="1415" w:hanging="283"/>
      <w:contextualSpacing/>
    </w:pPr>
  </w:style>
  <w:style w:type="paragraph" w:styleId="Listenfortsetzung">
    <w:name w:val="List Continue"/>
    <w:basedOn w:val="Standard"/>
    <w:uiPriority w:val="99"/>
    <w:semiHidden/>
    <w:unhideWhenUsed/>
    <w:rsid w:val="0003148D"/>
    <w:pPr>
      <w:spacing w:after="120"/>
      <w:ind w:left="283"/>
      <w:contextualSpacing/>
    </w:pPr>
  </w:style>
  <w:style w:type="paragraph" w:styleId="Listenfortsetzung2">
    <w:name w:val="List Continue 2"/>
    <w:basedOn w:val="Standard"/>
    <w:uiPriority w:val="99"/>
    <w:semiHidden/>
    <w:unhideWhenUsed/>
    <w:rsid w:val="0003148D"/>
    <w:pPr>
      <w:spacing w:after="120"/>
      <w:ind w:left="566"/>
      <w:contextualSpacing/>
    </w:pPr>
  </w:style>
  <w:style w:type="paragraph" w:styleId="Listenfortsetzung3">
    <w:name w:val="List Continue 3"/>
    <w:basedOn w:val="Standard"/>
    <w:uiPriority w:val="99"/>
    <w:semiHidden/>
    <w:unhideWhenUsed/>
    <w:rsid w:val="0003148D"/>
    <w:pPr>
      <w:spacing w:after="120"/>
      <w:ind w:left="849"/>
      <w:contextualSpacing/>
    </w:pPr>
  </w:style>
  <w:style w:type="paragraph" w:styleId="Listenfortsetzung4">
    <w:name w:val="List Continue 4"/>
    <w:basedOn w:val="Standard"/>
    <w:uiPriority w:val="99"/>
    <w:semiHidden/>
    <w:unhideWhenUsed/>
    <w:rsid w:val="0003148D"/>
    <w:pPr>
      <w:spacing w:after="120"/>
      <w:ind w:left="1132"/>
      <w:contextualSpacing/>
    </w:pPr>
  </w:style>
  <w:style w:type="paragraph" w:styleId="Listenfortsetzung5">
    <w:name w:val="List Continue 5"/>
    <w:basedOn w:val="Standard"/>
    <w:uiPriority w:val="99"/>
    <w:semiHidden/>
    <w:unhideWhenUsed/>
    <w:rsid w:val="0003148D"/>
    <w:pPr>
      <w:spacing w:after="120"/>
      <w:ind w:left="1415"/>
      <w:contextualSpacing/>
    </w:pPr>
  </w:style>
  <w:style w:type="paragraph" w:styleId="Unterschrift">
    <w:name w:val="Signature"/>
    <w:basedOn w:val="Standard"/>
    <w:link w:val="UnterschriftZchn"/>
    <w:uiPriority w:val="99"/>
    <w:semiHidden/>
    <w:unhideWhenUs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rsid w:val="0003148D"/>
    <w:pPr>
      <w:spacing w:line="240" w:lineRule="auto"/>
      <w:ind w:left="220" w:hanging="220"/>
    </w:pPr>
  </w:style>
  <w:style w:type="paragraph" w:styleId="Index2">
    <w:name w:val="index 2"/>
    <w:basedOn w:val="Standard"/>
    <w:next w:val="Standard"/>
    <w:autoRedefine/>
    <w:uiPriority w:val="99"/>
    <w:semiHidden/>
    <w:unhideWhenUsed/>
    <w:rsid w:val="0003148D"/>
    <w:pPr>
      <w:spacing w:line="240" w:lineRule="auto"/>
      <w:ind w:left="440" w:hanging="220"/>
    </w:pPr>
  </w:style>
  <w:style w:type="paragraph" w:styleId="Index3">
    <w:name w:val="index 3"/>
    <w:basedOn w:val="Standard"/>
    <w:next w:val="Standard"/>
    <w:autoRedefine/>
    <w:uiPriority w:val="99"/>
    <w:semiHidden/>
    <w:unhideWhenUsed/>
    <w:rsid w:val="0003148D"/>
    <w:pPr>
      <w:spacing w:line="240" w:lineRule="auto"/>
      <w:ind w:left="660" w:hanging="220"/>
    </w:pPr>
  </w:style>
  <w:style w:type="paragraph" w:styleId="Index4">
    <w:name w:val="index 4"/>
    <w:basedOn w:val="Standard"/>
    <w:next w:val="Standard"/>
    <w:autoRedefine/>
    <w:uiPriority w:val="99"/>
    <w:semiHidden/>
    <w:unhideWhenUsed/>
    <w:rsid w:val="0003148D"/>
    <w:pPr>
      <w:spacing w:line="240" w:lineRule="auto"/>
      <w:ind w:left="880" w:hanging="220"/>
    </w:pPr>
  </w:style>
  <w:style w:type="paragraph" w:styleId="Index5">
    <w:name w:val="index 5"/>
    <w:basedOn w:val="Standard"/>
    <w:next w:val="Standard"/>
    <w:autoRedefine/>
    <w:uiPriority w:val="99"/>
    <w:semiHidden/>
    <w:unhideWhenUsed/>
    <w:rsid w:val="0003148D"/>
    <w:pPr>
      <w:spacing w:line="240" w:lineRule="auto"/>
      <w:ind w:left="1100" w:hanging="220"/>
    </w:pPr>
  </w:style>
  <w:style w:type="paragraph" w:styleId="Index6">
    <w:name w:val="index 6"/>
    <w:basedOn w:val="Standard"/>
    <w:next w:val="Standard"/>
    <w:autoRedefine/>
    <w:uiPriority w:val="99"/>
    <w:semiHidden/>
    <w:unhideWhenUsed/>
    <w:rsid w:val="0003148D"/>
    <w:pPr>
      <w:spacing w:line="240" w:lineRule="auto"/>
      <w:ind w:left="1320" w:hanging="220"/>
    </w:pPr>
  </w:style>
  <w:style w:type="paragraph" w:styleId="Index7">
    <w:name w:val="index 7"/>
    <w:basedOn w:val="Standard"/>
    <w:next w:val="Standard"/>
    <w:autoRedefine/>
    <w:uiPriority w:val="99"/>
    <w:semiHidden/>
    <w:unhideWhenUsed/>
    <w:rsid w:val="0003148D"/>
    <w:pPr>
      <w:spacing w:line="240" w:lineRule="auto"/>
      <w:ind w:left="1540" w:hanging="220"/>
    </w:pPr>
  </w:style>
  <w:style w:type="paragraph" w:styleId="Index8">
    <w:name w:val="index 8"/>
    <w:basedOn w:val="Standard"/>
    <w:next w:val="Standard"/>
    <w:autoRedefine/>
    <w:uiPriority w:val="99"/>
    <w:semiHidden/>
    <w:unhideWhenUsed/>
    <w:rsid w:val="0003148D"/>
    <w:pPr>
      <w:spacing w:line="240" w:lineRule="auto"/>
      <w:ind w:left="1760" w:hanging="220"/>
    </w:pPr>
  </w:style>
  <w:style w:type="paragraph" w:styleId="Index9">
    <w:name w:val="index 9"/>
    <w:basedOn w:val="Standard"/>
    <w:next w:val="Standard"/>
    <w:autoRedefine/>
    <w:uiPriority w:val="99"/>
    <w:semiHidden/>
    <w:unhideWhenUsed/>
    <w:rsid w:val="0003148D"/>
    <w:pPr>
      <w:spacing w:line="240" w:lineRule="auto"/>
      <w:ind w:left="1980" w:hanging="220"/>
    </w:pPr>
  </w:style>
  <w:style w:type="paragraph" w:styleId="Abbildungsverzeichnis">
    <w:name w:val="table of figures"/>
    <w:basedOn w:val="Standard"/>
    <w:next w:val="Standard"/>
    <w:uiPriority w:val="99"/>
    <w:semiHidden/>
    <w:unhideWhenUsed/>
    <w:rsid w:val="0003148D"/>
  </w:style>
  <w:style w:type="paragraph" w:styleId="Rechtsgrundlagenverzeichnis">
    <w:name w:val="table of authorities"/>
    <w:basedOn w:val="Standard"/>
    <w:next w:val="Standard"/>
    <w:uiPriority w:val="99"/>
    <w:semiHidden/>
    <w:unhideWhenUsed/>
    <w:rsid w:val="0003148D"/>
    <w:pPr>
      <w:ind w:left="220" w:hanging="220"/>
    </w:pPr>
  </w:style>
  <w:style w:type="paragraph" w:styleId="Umschlagadresse">
    <w:name w:val="envelope address"/>
    <w:basedOn w:val="Standard"/>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rsid w:val="0003148D"/>
    <w:rPr>
      <w:sz w:val="24"/>
      <w:szCs w:val="24"/>
    </w:rPr>
  </w:style>
  <w:style w:type="paragraph" w:styleId="Listennummer">
    <w:name w:val="List Number"/>
    <w:basedOn w:val="Standard"/>
    <w:uiPriority w:val="99"/>
    <w:semiHidden/>
    <w:unhideWhenUsed/>
    <w:rsid w:val="0003148D"/>
    <w:pPr>
      <w:numPr>
        <w:numId w:val="2"/>
      </w:numPr>
      <w:contextualSpacing/>
    </w:pPr>
  </w:style>
  <w:style w:type="paragraph" w:styleId="Listennummer2">
    <w:name w:val="List Number 2"/>
    <w:basedOn w:val="Standard"/>
    <w:uiPriority w:val="99"/>
    <w:semiHidden/>
    <w:unhideWhenUsed/>
    <w:rsid w:val="0003148D"/>
    <w:pPr>
      <w:numPr>
        <w:numId w:val="3"/>
      </w:numPr>
      <w:contextualSpacing/>
    </w:pPr>
  </w:style>
  <w:style w:type="paragraph" w:styleId="Listennummer3">
    <w:name w:val="List Number 3"/>
    <w:basedOn w:val="Standard"/>
    <w:uiPriority w:val="99"/>
    <w:semiHidden/>
    <w:unhideWhenUsed/>
    <w:rsid w:val="0003148D"/>
    <w:pPr>
      <w:numPr>
        <w:numId w:val="4"/>
      </w:numPr>
      <w:contextualSpacing/>
    </w:pPr>
  </w:style>
  <w:style w:type="paragraph" w:styleId="Listennummer4">
    <w:name w:val="List Number 4"/>
    <w:basedOn w:val="Standard"/>
    <w:uiPriority w:val="99"/>
    <w:semiHidden/>
    <w:unhideWhenUsed/>
    <w:rsid w:val="0003148D"/>
    <w:pPr>
      <w:numPr>
        <w:numId w:val="5"/>
      </w:numPr>
      <w:contextualSpacing/>
    </w:pPr>
  </w:style>
  <w:style w:type="paragraph" w:styleId="Listennummer5">
    <w:name w:val="List Number 5"/>
    <w:basedOn w:val="Standard"/>
    <w:uiPriority w:val="99"/>
    <w:semiHidden/>
    <w:unhideWhenUsed/>
    <w:rsid w:val="0003148D"/>
    <w:pPr>
      <w:numPr>
        <w:numId w:val="6"/>
      </w:numPr>
      <w:contextualSpacing/>
    </w:pPr>
  </w:style>
  <w:style w:type="paragraph" w:styleId="HTMLVorformatiert">
    <w:name w:val="HTML Preformatted"/>
    <w:basedOn w:val="Standard"/>
    <w:link w:val="HTMLVorformatiertZchn"/>
    <w:uiPriority w:val="99"/>
    <w:semiHidden/>
    <w:unhideWhenUs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rsid w:val="0003148D"/>
    <w:pPr>
      <w:numPr>
        <w:numId w:val="7"/>
      </w:numPr>
      <w:contextualSpacing/>
    </w:pPr>
  </w:style>
  <w:style w:type="paragraph" w:styleId="Aufzhlungszeichen2">
    <w:name w:val="List Bullet 2"/>
    <w:basedOn w:val="Standard"/>
    <w:uiPriority w:val="99"/>
    <w:semiHidden/>
    <w:unhideWhenUsed/>
    <w:rsid w:val="0003148D"/>
    <w:pPr>
      <w:numPr>
        <w:numId w:val="8"/>
      </w:numPr>
      <w:contextualSpacing/>
    </w:pPr>
  </w:style>
  <w:style w:type="paragraph" w:styleId="Aufzhlungszeichen3">
    <w:name w:val="List Bullet 3"/>
    <w:basedOn w:val="Standard"/>
    <w:uiPriority w:val="99"/>
    <w:semiHidden/>
    <w:unhideWhenUsed/>
    <w:rsid w:val="0003148D"/>
    <w:pPr>
      <w:numPr>
        <w:numId w:val="9"/>
      </w:numPr>
      <w:contextualSpacing/>
    </w:pPr>
  </w:style>
  <w:style w:type="paragraph" w:styleId="Aufzhlungszeichen4">
    <w:name w:val="List Bullet 4"/>
    <w:basedOn w:val="Standard"/>
    <w:uiPriority w:val="99"/>
    <w:semiHidden/>
    <w:unhideWhenUsed/>
    <w:rsid w:val="0003148D"/>
    <w:pPr>
      <w:numPr>
        <w:numId w:val="10"/>
      </w:numPr>
      <w:contextualSpacing/>
    </w:pPr>
  </w:style>
  <w:style w:type="paragraph" w:styleId="Aufzhlungszeichen5">
    <w:name w:val="List Bullet 5"/>
    <w:basedOn w:val="Standard"/>
    <w:uiPriority w:val="99"/>
    <w:semiHidden/>
    <w:unhideWhenUsed/>
    <w:rsid w:val="0003148D"/>
    <w:pPr>
      <w:numPr>
        <w:numId w:val="11"/>
      </w:numPr>
      <w:contextualSpacing/>
    </w:pPr>
  </w:style>
  <w:style w:type="paragraph" w:styleId="Textkrper-Einzug2">
    <w:name w:val="Body Text Indent 2"/>
    <w:basedOn w:val="Standard"/>
    <w:link w:val="Textkrper-Einzug2Zchn"/>
    <w:uiPriority w:val="99"/>
    <w:semiHidden/>
    <w:unhideWhenUs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rsid w:val="0003148D"/>
    <w:pPr>
      <w:ind w:left="720"/>
    </w:pPr>
  </w:style>
  <w:style w:type="paragraph" w:styleId="Kommentartext">
    <w:name w:val="annotation text"/>
    <w:basedOn w:val="Standard"/>
    <w:link w:val="KommentartextZchn"/>
    <w:uiPriority w:val="99"/>
    <w:unhideWhenUsed/>
    <w:rsid w:val="0003148D"/>
    <w:pPr>
      <w:spacing w:line="240" w:lineRule="auto"/>
    </w:pPr>
  </w:style>
  <w:style w:type="character" w:customStyle="1" w:styleId="KommentartextZchn">
    <w:name w:val="Kommentartext Zchn"/>
    <w:basedOn w:val="Absatz-Standardschriftart"/>
    <w:link w:val="Kommentartext"/>
    <w:uiPriority w:val="99"/>
    <w:rsid w:val="0003148D"/>
    <w:rPr>
      <w:sz w:val="20"/>
      <w:szCs w:val="20"/>
    </w:rPr>
  </w:style>
  <w:style w:type="paragraph" w:styleId="Kommentarthema">
    <w:name w:val="annotation subject"/>
    <w:basedOn w:val="Kommentartext"/>
    <w:next w:val="Kommentartext"/>
    <w:link w:val="KommentarthemaZchn"/>
    <w:uiPriority w:val="99"/>
    <w:semiHidden/>
    <w:unhideWhenUs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rsid w:val="0003148D"/>
    <w:pPr>
      <w:spacing w:after="100"/>
    </w:pPr>
  </w:style>
  <w:style w:type="paragraph" w:styleId="Verzeichnis2">
    <w:name w:val="toc 2"/>
    <w:basedOn w:val="Standard"/>
    <w:next w:val="Standard"/>
    <w:autoRedefine/>
    <w:uiPriority w:val="39"/>
    <w:semiHidden/>
    <w:unhideWhenUsed/>
    <w:rsid w:val="0003148D"/>
    <w:pPr>
      <w:spacing w:after="100"/>
      <w:ind w:left="220"/>
    </w:pPr>
  </w:style>
  <w:style w:type="paragraph" w:styleId="Verzeichnis3">
    <w:name w:val="toc 3"/>
    <w:basedOn w:val="Standard"/>
    <w:next w:val="Standard"/>
    <w:autoRedefine/>
    <w:uiPriority w:val="39"/>
    <w:semiHidden/>
    <w:unhideWhenUsed/>
    <w:rsid w:val="0003148D"/>
    <w:pPr>
      <w:spacing w:after="100"/>
      <w:ind w:left="440"/>
    </w:pPr>
  </w:style>
  <w:style w:type="paragraph" w:styleId="Verzeichnis4">
    <w:name w:val="toc 4"/>
    <w:basedOn w:val="Standard"/>
    <w:next w:val="Standard"/>
    <w:autoRedefine/>
    <w:uiPriority w:val="39"/>
    <w:semiHidden/>
    <w:unhideWhenUsed/>
    <w:rsid w:val="0003148D"/>
    <w:pPr>
      <w:spacing w:after="100"/>
      <w:ind w:left="660"/>
    </w:pPr>
  </w:style>
  <w:style w:type="paragraph" w:styleId="Verzeichnis5">
    <w:name w:val="toc 5"/>
    <w:basedOn w:val="Standard"/>
    <w:next w:val="Standard"/>
    <w:autoRedefine/>
    <w:uiPriority w:val="39"/>
    <w:semiHidden/>
    <w:unhideWhenUsed/>
    <w:rsid w:val="0003148D"/>
    <w:pPr>
      <w:spacing w:after="100"/>
      <w:ind w:left="880"/>
    </w:pPr>
  </w:style>
  <w:style w:type="paragraph" w:styleId="Verzeichnis6">
    <w:name w:val="toc 6"/>
    <w:basedOn w:val="Standard"/>
    <w:next w:val="Standard"/>
    <w:autoRedefine/>
    <w:uiPriority w:val="39"/>
    <w:semiHidden/>
    <w:unhideWhenUsed/>
    <w:rsid w:val="0003148D"/>
    <w:pPr>
      <w:spacing w:after="100"/>
      <w:ind w:left="1100"/>
    </w:pPr>
  </w:style>
  <w:style w:type="paragraph" w:styleId="Verzeichnis7">
    <w:name w:val="toc 7"/>
    <w:basedOn w:val="Standard"/>
    <w:next w:val="Standard"/>
    <w:autoRedefine/>
    <w:uiPriority w:val="39"/>
    <w:semiHidden/>
    <w:unhideWhenUsed/>
    <w:rsid w:val="0003148D"/>
    <w:pPr>
      <w:spacing w:after="100"/>
      <w:ind w:left="1320"/>
    </w:pPr>
  </w:style>
  <w:style w:type="paragraph" w:styleId="Verzeichnis8">
    <w:name w:val="toc 8"/>
    <w:basedOn w:val="Standard"/>
    <w:next w:val="Standard"/>
    <w:autoRedefine/>
    <w:uiPriority w:val="39"/>
    <w:semiHidden/>
    <w:unhideWhenUsed/>
    <w:rsid w:val="0003148D"/>
    <w:pPr>
      <w:spacing w:after="100"/>
      <w:ind w:left="1540"/>
    </w:pPr>
  </w:style>
  <w:style w:type="paragraph" w:styleId="Verzeichnis9">
    <w:name w:val="toc 9"/>
    <w:basedOn w:val="Standard"/>
    <w:next w:val="Standard"/>
    <w:autoRedefine/>
    <w:uiPriority w:val="39"/>
    <w:semiHidden/>
    <w:unhideWhenUsed/>
    <w:rsid w:val="0003148D"/>
    <w:pPr>
      <w:spacing w:after="100"/>
      <w:ind w:left="1760"/>
    </w:pPr>
  </w:style>
  <w:style w:type="paragraph" w:styleId="Blocktext">
    <w:name w:val="Block Text"/>
    <w:basedOn w:val="Standard"/>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Kopfzeile">
    <w:name w:val="header"/>
    <w:basedOn w:val="Standard"/>
    <w:link w:val="KopfzeileZchn"/>
    <w:uiPriority w:val="99"/>
    <w:unhideWhenUs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04C62"/>
    <w:rPr>
      <w:color w:val="0000FF" w:themeColor="hyperlink"/>
      <w:u w:val="single"/>
    </w:rPr>
  </w:style>
  <w:style w:type="character" w:customStyle="1" w:styleId="eudoraheader">
    <w:name w:val="eudoraheader"/>
    <w:basedOn w:val="Absatz-Standardschriftar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Platzhaltertext">
    <w:name w:val="Placeholder Text"/>
    <w:basedOn w:val="Absatz-Standardschriftart"/>
    <w:uiPriority w:val="99"/>
    <w:semiHidden/>
    <w:rsid w:val="004A473A"/>
    <w:rPr>
      <w:color w:val="808080"/>
    </w:rPr>
  </w:style>
  <w:style w:type="character" w:styleId="NichtaufgelsteErwhnung">
    <w:name w:val="Unresolved Mention"/>
    <w:basedOn w:val="Absatz-Standardschriftart"/>
    <w:uiPriority w:val="99"/>
    <w:semiHidden/>
    <w:unhideWhenUsed/>
    <w:rsid w:val="00BF1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7572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606A4-89CE-42B5-8DE6-FEE50D8F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3403</Words>
  <Characters>21444</Characters>
  <Application>Microsoft Office Word</Application>
  <DocSecurity>0</DocSecurity>
  <Lines>178</Lines>
  <Paragraphs>49</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dernbech</cp:lastModifiedBy>
  <cp:revision>5</cp:revision>
  <cp:lastPrinted>2015-05-12T18:31:00Z</cp:lastPrinted>
  <dcterms:created xsi:type="dcterms:W3CDTF">2022-03-30T20:29:00Z</dcterms:created>
  <dcterms:modified xsi:type="dcterms:W3CDTF">2022-03-30T20:40:00Z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