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eastAsia="en-GB"/>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65D5BBB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1D21AF">
              <w:rPr>
                <w:rFonts w:cs="Arial"/>
                <w:b/>
                <w:bCs/>
                <w:i/>
                <w:iCs/>
                <w:color w:val="000066"/>
                <w:sz w:val="22"/>
                <w:szCs w:val="22"/>
                <w:lang w:eastAsia="it-IT"/>
              </w:rPr>
              <w:t>2</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eastAsia="en-GB"/>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14967F0F"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Rubens Maciel Filho</w:t>
            </w:r>
            <w:r w:rsidR="00964A45">
              <w:rPr>
                <w:rFonts w:ascii="Tahoma" w:hAnsi="Tahoma" w:cs="Tahoma"/>
                <w:color w:val="000000"/>
                <w:sz w:val="14"/>
                <w:szCs w:val="14"/>
                <w:shd w:val="clear" w:color="auto" w:fill="FFFFFF"/>
                <w:lang w:val="it-IT"/>
              </w:rPr>
              <w:t>,</w:t>
            </w:r>
            <w:r w:rsidR="00964A45" w:rsidRPr="0044071E">
              <w:rPr>
                <w:rFonts w:ascii="Tahoma" w:hAnsi="Tahoma" w:cs="Tahoma"/>
                <w:color w:val="000000"/>
                <w:sz w:val="14"/>
                <w:szCs w:val="14"/>
                <w:shd w:val="clear" w:color="auto" w:fill="FFFFFF"/>
                <w:lang w:val="it-IT"/>
              </w:rPr>
              <w:t xml:space="preserve"> Eliseo Ranzi</w:t>
            </w:r>
            <w:r w:rsidR="00964A45">
              <w:rPr>
                <w:rFonts w:ascii="Tahoma" w:hAnsi="Tahoma" w:cs="Tahoma"/>
                <w:color w:val="000000"/>
                <w:sz w:val="14"/>
                <w:szCs w:val="14"/>
                <w:shd w:val="clear" w:color="auto" w:fill="FFFFFF"/>
                <w:lang w:val="it-IT"/>
              </w:rPr>
              <w:t>, Leonardo Tognotti</w:t>
            </w:r>
          </w:p>
          <w:p w14:paraId="1B0F1814" w14:textId="4A78A049" w:rsidR="000A03B2" w:rsidRPr="00B57B36" w:rsidRDefault="00FA5F5F" w:rsidP="001D21A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90</w:t>
            </w:r>
            <w:r w:rsidR="00D46B7E">
              <w:rPr>
                <w:rFonts w:ascii="Tahoma" w:hAnsi="Tahoma" w:cs="Tahoma"/>
                <w:sz w:val="14"/>
                <w:szCs w:val="14"/>
              </w:rPr>
              <w:t>-</w:t>
            </w:r>
            <w:r w:rsidR="001D21AF">
              <w:rPr>
                <w:rFonts w:ascii="Tahoma" w:hAnsi="Tahoma" w:cs="Tahoma"/>
                <w:sz w:val="14"/>
                <w:szCs w:val="14"/>
              </w:rPr>
              <w:t>7</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E667253" w14:textId="7BBE3C42" w:rsidR="00E978D0" w:rsidRPr="00085283" w:rsidRDefault="00085283" w:rsidP="00085283">
      <w:pPr>
        <w:pStyle w:val="CETTitle"/>
      </w:pPr>
      <w:r w:rsidRPr="00085283">
        <w:t xml:space="preserve">An </w:t>
      </w:r>
      <w:r w:rsidR="0083378D" w:rsidRPr="00085283">
        <w:t>A</w:t>
      </w:r>
      <w:r w:rsidR="0083378D">
        <w:t>spen</w:t>
      </w:r>
      <w:r w:rsidR="0083378D" w:rsidRPr="00085283">
        <w:t xml:space="preserve"> </w:t>
      </w:r>
      <w:r w:rsidR="006F12AA">
        <w:t>P</w:t>
      </w:r>
      <w:r w:rsidR="00381C5C" w:rsidRPr="00085283">
        <w:t>lus</w:t>
      </w:r>
      <w:r w:rsidRPr="00085283">
        <w:t xml:space="preserve"> Kinetic Model for the Gasification of Biomass in a Downdraft Gasifier</w:t>
      </w:r>
    </w:p>
    <w:p w14:paraId="2E8DFDCA" w14:textId="642365DF" w:rsidR="00085283" w:rsidRPr="00010EAC" w:rsidRDefault="00085283" w:rsidP="00085283">
      <w:pPr>
        <w:pStyle w:val="CETAuthors"/>
        <w:jc w:val="center"/>
        <w:rPr>
          <w:lang w:val="it-IT"/>
        </w:rPr>
      </w:pPr>
      <w:r w:rsidRPr="00010EAC">
        <w:rPr>
          <w:lang w:val="it-IT"/>
        </w:rPr>
        <w:t>Elena Catalanotti*, R</w:t>
      </w:r>
      <w:r w:rsidR="00C765A9">
        <w:rPr>
          <w:lang w:val="it-IT"/>
        </w:rPr>
        <w:t>ichard T.J. Porter, Haroun Mahge</w:t>
      </w:r>
      <w:r w:rsidRPr="00010EAC">
        <w:rPr>
          <w:lang w:val="it-IT"/>
        </w:rPr>
        <w:t>refteh</w:t>
      </w:r>
    </w:p>
    <w:p w14:paraId="184DF3D8" w14:textId="77777777" w:rsidR="00085283" w:rsidRPr="00B57B36" w:rsidRDefault="00085283" w:rsidP="00085283">
      <w:pPr>
        <w:pStyle w:val="CETAddress"/>
      </w:pPr>
      <w:r>
        <w:t>Department of Chemical Engineering, University College London, Torrington Place, London WC1E 7JE, UK</w:t>
      </w:r>
    </w:p>
    <w:p w14:paraId="0190678F" w14:textId="77777777" w:rsidR="00085283" w:rsidRPr="00B57B36" w:rsidRDefault="00085283" w:rsidP="00085283">
      <w:pPr>
        <w:pStyle w:val="CETemail"/>
      </w:pPr>
      <w:r>
        <w:t>*</w:t>
      </w:r>
      <w:r w:rsidRPr="006C3389">
        <w:t>e.catalanotti@ucl.ac.uk</w:t>
      </w:r>
    </w:p>
    <w:p w14:paraId="03DEA7FA" w14:textId="36063A69" w:rsidR="00CE4575" w:rsidRPr="00AD542B" w:rsidRDefault="00085283" w:rsidP="00CE4575">
      <w:pPr>
        <w:pStyle w:val="CETBodytext"/>
        <w:rPr>
          <w:lang w:val="en-GB"/>
        </w:rPr>
      </w:pPr>
      <w:r w:rsidRPr="00085283">
        <w:rPr>
          <w:lang w:val="en-GB"/>
        </w:rPr>
        <w:t>Gasification is a useful technology to recove</w:t>
      </w:r>
      <w:r w:rsidR="004131D6">
        <w:rPr>
          <w:lang w:val="en-GB"/>
        </w:rPr>
        <w:t>r energy from renewable biomass</w:t>
      </w:r>
      <w:r w:rsidRPr="00085283">
        <w:rPr>
          <w:lang w:val="en-GB"/>
        </w:rPr>
        <w:t xml:space="preserve"> by producing a versatile syngas which can be converted into useful chemicals or fuels</w:t>
      </w:r>
      <w:r w:rsidR="00146284">
        <w:rPr>
          <w:lang w:val="en-GB"/>
        </w:rPr>
        <w:t>,</w:t>
      </w:r>
      <w:r w:rsidRPr="00085283">
        <w:rPr>
          <w:lang w:val="en-GB"/>
        </w:rPr>
        <w:t xml:space="preserve"> or used directly for energy generation. </w:t>
      </w:r>
      <w:r w:rsidR="005E2F21">
        <w:rPr>
          <w:lang w:val="en-GB"/>
        </w:rPr>
        <w:t>The quality</w:t>
      </w:r>
      <w:r w:rsidR="002C65F3">
        <w:rPr>
          <w:lang w:val="en-GB"/>
        </w:rPr>
        <w:t xml:space="preserve"> and composition of the </w:t>
      </w:r>
      <w:r w:rsidR="00EF59D3">
        <w:rPr>
          <w:lang w:val="en-GB"/>
        </w:rPr>
        <w:t xml:space="preserve">syngas </w:t>
      </w:r>
      <w:r w:rsidR="005E2F21">
        <w:rPr>
          <w:lang w:val="en-GB"/>
        </w:rPr>
        <w:t xml:space="preserve">is highly dependent on the </w:t>
      </w:r>
      <w:r w:rsidR="00B60770">
        <w:rPr>
          <w:lang w:val="en-GB"/>
        </w:rPr>
        <w:t xml:space="preserve">biomass feedstock, design parameters and process </w:t>
      </w:r>
      <w:r w:rsidR="005E2F21">
        <w:rPr>
          <w:lang w:val="en-GB"/>
        </w:rPr>
        <w:t xml:space="preserve">conditions, such as temperature, gasifying agent and </w:t>
      </w:r>
      <w:r w:rsidR="00043EAE">
        <w:rPr>
          <w:lang w:val="en-GB"/>
        </w:rPr>
        <w:t>E</w:t>
      </w:r>
      <w:r w:rsidR="00B60770">
        <w:rPr>
          <w:lang w:val="en-GB"/>
        </w:rPr>
        <w:t xml:space="preserve">quivalence </w:t>
      </w:r>
      <w:r w:rsidR="00043EAE">
        <w:rPr>
          <w:lang w:val="en-GB"/>
        </w:rPr>
        <w:t>R</w:t>
      </w:r>
      <w:r w:rsidR="00B60770">
        <w:rPr>
          <w:lang w:val="en-GB"/>
        </w:rPr>
        <w:t>atio</w:t>
      </w:r>
      <w:r w:rsidR="00043EAE">
        <w:rPr>
          <w:lang w:val="en-GB"/>
        </w:rPr>
        <w:t xml:space="preserve"> (ER)</w:t>
      </w:r>
      <w:r w:rsidR="005E2F21">
        <w:rPr>
          <w:lang w:val="en-GB"/>
        </w:rPr>
        <w:t xml:space="preserve">. Downdraft gasifiers are considered </w:t>
      </w:r>
      <w:r w:rsidR="00146284">
        <w:rPr>
          <w:lang w:val="en-GB"/>
        </w:rPr>
        <w:t xml:space="preserve">to be </w:t>
      </w:r>
      <w:r w:rsidR="005E2F21">
        <w:rPr>
          <w:lang w:val="en-GB"/>
        </w:rPr>
        <w:t xml:space="preserve">a good option for low tar syngas production. </w:t>
      </w:r>
      <w:r w:rsidR="00CE4575" w:rsidRPr="00CE4575">
        <w:rPr>
          <w:lang w:val="en-GB"/>
        </w:rPr>
        <w:t xml:space="preserve">In this work, a kinetic model for a downdraft gasifier is </w:t>
      </w:r>
      <w:r w:rsidR="00043EAE">
        <w:rPr>
          <w:lang w:val="en-GB"/>
        </w:rPr>
        <w:t>assembled and incorporated into</w:t>
      </w:r>
      <w:r w:rsidR="00966E29">
        <w:rPr>
          <w:lang w:val="en-GB"/>
        </w:rPr>
        <w:t xml:space="preserve"> a flowsheet </w:t>
      </w:r>
      <w:r w:rsidR="00043EAE">
        <w:rPr>
          <w:lang w:val="en-GB"/>
        </w:rPr>
        <w:t xml:space="preserve">using </w:t>
      </w:r>
      <w:r w:rsidR="00966E29">
        <w:rPr>
          <w:lang w:val="en-GB"/>
        </w:rPr>
        <w:t>A</w:t>
      </w:r>
      <w:r w:rsidR="00043EAE">
        <w:rPr>
          <w:lang w:val="en-GB"/>
        </w:rPr>
        <w:t>spen</w:t>
      </w:r>
      <w:r w:rsidR="00966E29">
        <w:rPr>
          <w:lang w:val="en-GB"/>
        </w:rPr>
        <w:t xml:space="preserve"> </w:t>
      </w:r>
      <w:r w:rsidR="00043EAE">
        <w:rPr>
          <w:lang w:val="en-GB"/>
        </w:rPr>
        <w:t>P</w:t>
      </w:r>
      <w:r w:rsidR="00CE4575" w:rsidRPr="00CE4575">
        <w:rPr>
          <w:lang w:val="en-GB"/>
        </w:rPr>
        <w:t>lus with the aim of performing detailed process analysis. The model is organised according to the assumption that</w:t>
      </w:r>
      <w:r w:rsidR="00CA33B8">
        <w:rPr>
          <w:lang w:val="en-GB"/>
        </w:rPr>
        <w:t xml:space="preserve"> in a downdraft gasifier</w:t>
      </w:r>
      <w:r w:rsidR="00CE4575" w:rsidRPr="00CE4575">
        <w:rPr>
          <w:lang w:val="en-GB"/>
        </w:rPr>
        <w:t xml:space="preserve"> pyrolysis, oxidation and reduction occur almost as separate consecutive processes, with the pyrolysis considered as an instantaneous</w:t>
      </w:r>
      <w:r w:rsidR="00043EAE">
        <w:rPr>
          <w:lang w:val="en-GB"/>
        </w:rPr>
        <w:t>ly occurring</w:t>
      </w:r>
      <w:r w:rsidR="00CE4575" w:rsidRPr="00CE4575">
        <w:rPr>
          <w:lang w:val="en-GB"/>
        </w:rPr>
        <w:t xml:space="preserve"> process while oxidation and reduction are governed by chemical kinetics. </w:t>
      </w:r>
      <w:r w:rsidR="00CE4575" w:rsidRPr="00CE4575">
        <w:t xml:space="preserve">The model has been validated against experimental </w:t>
      </w:r>
      <w:r w:rsidR="00043EAE">
        <w:t>data</w:t>
      </w:r>
      <w:r w:rsidR="00043EAE" w:rsidRPr="00CE4575">
        <w:t xml:space="preserve"> </w:t>
      </w:r>
      <w:r w:rsidR="00CE4575" w:rsidRPr="00CE4575">
        <w:t>for different conditions of ER ranging from 0.2 to 0.35. The results show an overall agreement of the main species, with slight discrepancies in the prediction of CH</w:t>
      </w:r>
      <w:r w:rsidR="00CE4575" w:rsidRPr="00CE4575">
        <w:rPr>
          <w:vertAlign w:val="subscript"/>
        </w:rPr>
        <w:t>4</w:t>
      </w:r>
      <w:r w:rsidR="00CE4575" w:rsidRPr="00CE4575">
        <w:t>, which is over-predicted at lower ERs and und</w:t>
      </w:r>
      <w:r w:rsidR="0045018B">
        <w:t xml:space="preserve">er predicted at ER 0.345. This </w:t>
      </w:r>
      <w:r w:rsidR="00CE4575" w:rsidRPr="00CE4575">
        <w:t xml:space="preserve">has an effect on the calculated </w:t>
      </w:r>
      <w:r w:rsidR="0056122D" w:rsidRPr="0091504B">
        <w:rPr>
          <w:lang w:val="en-GB"/>
        </w:rPr>
        <w:t>L</w:t>
      </w:r>
      <w:r w:rsidR="0056122D">
        <w:rPr>
          <w:lang w:val="en-GB"/>
        </w:rPr>
        <w:t xml:space="preserve">ower </w:t>
      </w:r>
      <w:r w:rsidR="0056122D" w:rsidRPr="0091504B">
        <w:rPr>
          <w:lang w:val="en-GB"/>
        </w:rPr>
        <w:t>H</w:t>
      </w:r>
      <w:r w:rsidR="0056122D">
        <w:rPr>
          <w:lang w:val="en-GB"/>
        </w:rPr>
        <w:t xml:space="preserve">eating </w:t>
      </w:r>
      <w:r w:rsidR="0056122D" w:rsidRPr="0091504B">
        <w:rPr>
          <w:lang w:val="en-GB"/>
        </w:rPr>
        <w:t>V</w:t>
      </w:r>
      <w:r w:rsidR="0056122D">
        <w:rPr>
          <w:lang w:val="en-GB"/>
        </w:rPr>
        <w:t xml:space="preserve">alue </w:t>
      </w:r>
      <w:r w:rsidR="00CA33B8">
        <w:t>(LHV)</w:t>
      </w:r>
      <w:r w:rsidR="00CE4575" w:rsidRPr="00CE4575">
        <w:t xml:space="preserve"> of th</w:t>
      </w:r>
      <w:r w:rsidR="0056122D">
        <w:t xml:space="preserve">e </w:t>
      </w:r>
      <w:r w:rsidR="00283470">
        <w:t>syn</w:t>
      </w:r>
      <w:r w:rsidR="00CE4575" w:rsidRPr="00CE4575">
        <w:t>gas which is generally higher than the experimental value. A set of sensitivity analyses were performed to investigate the impact of</w:t>
      </w:r>
      <w:r w:rsidR="0045018B">
        <w:t xml:space="preserve"> the value of the Char Reactivity Factor (CRF) on the composition of the produce</w:t>
      </w:r>
      <w:r w:rsidR="00716B6D">
        <w:t>r</w:t>
      </w:r>
      <w:r w:rsidR="0045018B">
        <w:t xml:space="preserve"> gas and</w:t>
      </w:r>
      <w:r w:rsidR="00CE4575" w:rsidRPr="00CE4575">
        <w:t xml:space="preserve"> the kinetic parameters used in the model on the production of CH</w:t>
      </w:r>
      <w:r w:rsidR="00CE4575" w:rsidRPr="00CE4575">
        <w:rPr>
          <w:vertAlign w:val="subscript"/>
        </w:rPr>
        <w:t>4</w:t>
      </w:r>
      <w:r w:rsidR="00CE4575" w:rsidRPr="00CE4575">
        <w:t xml:space="preserve">. </w:t>
      </w:r>
      <w:r w:rsidR="00043EAE">
        <w:t>Sensitivity analys</w:t>
      </w:r>
      <w:r w:rsidR="004131D6">
        <w:t>e</w:t>
      </w:r>
      <w:r w:rsidR="00043EAE">
        <w:t>s</w:t>
      </w:r>
      <w:r w:rsidR="00CE4575" w:rsidRPr="00CE4575">
        <w:t xml:space="preserve"> show that </w:t>
      </w:r>
      <w:r w:rsidR="004131D6">
        <w:t>a CRF of 14</w:t>
      </w:r>
      <w:r w:rsidR="0045018B">
        <w:t xml:space="preserve"> gives the best prediction of the syngas composition and that </w:t>
      </w:r>
      <w:r w:rsidR="00CE4575" w:rsidRPr="00CE4575">
        <w:t>the kinetics of the reactions in the reduction zone do not have a large impact on the final levels of methane in the syngas</w:t>
      </w:r>
      <w:r w:rsidR="0045018B">
        <w:t>. M</w:t>
      </w:r>
      <w:r w:rsidR="00CE4575" w:rsidRPr="00CE4575">
        <w:t xml:space="preserve">ore important is the </w:t>
      </w:r>
      <w:r w:rsidR="00043EAE">
        <w:t>sensitivity to</w:t>
      </w:r>
      <w:r w:rsidR="00CE4575" w:rsidRPr="00CE4575">
        <w:t xml:space="preserve"> variation of the kinetic parameters in the oxidation stage. By doubling the rate of oxidation of CH</w:t>
      </w:r>
      <w:r w:rsidR="00CE4575" w:rsidRPr="00CE4575">
        <w:rPr>
          <w:vertAlign w:val="subscript"/>
        </w:rPr>
        <w:t>4</w:t>
      </w:r>
      <w:r w:rsidR="00CE4575" w:rsidRPr="00CE4575">
        <w:t xml:space="preserve"> in the oxidation zone, the final levels of CH</w:t>
      </w:r>
      <w:r w:rsidR="00CE4575" w:rsidRPr="00CE4575">
        <w:rPr>
          <w:vertAlign w:val="subscript"/>
        </w:rPr>
        <w:t>4</w:t>
      </w:r>
      <w:r w:rsidR="00CE4575" w:rsidRPr="00CE4575">
        <w:t xml:space="preserve"> in the syngas are reduced by almost 20%.</w:t>
      </w:r>
    </w:p>
    <w:p w14:paraId="1D9E3CC2" w14:textId="4CD88A05" w:rsidR="00AD542B" w:rsidRPr="00AD542B" w:rsidRDefault="00AD542B" w:rsidP="00E71A2C">
      <w:pPr>
        <w:pStyle w:val="CETBodytext"/>
        <w:spacing w:before="240" w:after="240"/>
        <w:rPr>
          <w:b/>
          <w:sz w:val="20"/>
          <w:lang w:val="en-GB"/>
        </w:rPr>
      </w:pPr>
      <w:r w:rsidRPr="00AD542B">
        <w:rPr>
          <w:b/>
          <w:sz w:val="20"/>
          <w:lang w:val="en-GB"/>
        </w:rPr>
        <w:t>1. Introduction</w:t>
      </w:r>
    </w:p>
    <w:p w14:paraId="0306FE5F" w14:textId="1D806475" w:rsidR="001B5B9C" w:rsidRDefault="00B51720" w:rsidP="000D6C72">
      <w:pPr>
        <w:pStyle w:val="CETBodytext"/>
      </w:pPr>
      <w:r>
        <w:rPr>
          <w:lang w:val="en-GB"/>
        </w:rPr>
        <w:t xml:space="preserve">Biomass </w:t>
      </w:r>
      <w:r w:rsidR="00EC511A">
        <w:rPr>
          <w:lang w:val="en-GB"/>
        </w:rPr>
        <w:t>is</w:t>
      </w:r>
      <w:r w:rsidR="001B5B9C">
        <w:rPr>
          <w:lang w:val="en-GB"/>
        </w:rPr>
        <w:t xml:space="preserve"> </w:t>
      </w:r>
      <w:r w:rsidR="00EC511A">
        <w:rPr>
          <w:lang w:val="en-GB"/>
        </w:rPr>
        <w:t>plant</w:t>
      </w:r>
      <w:r w:rsidR="00236858">
        <w:rPr>
          <w:lang w:val="en-GB"/>
        </w:rPr>
        <w:t xml:space="preserve"> or animal material</w:t>
      </w:r>
      <w:r w:rsidR="001B5B9C">
        <w:rPr>
          <w:lang w:val="en-GB"/>
        </w:rPr>
        <w:t xml:space="preserve"> that can be used as a fuel-</w:t>
      </w:r>
      <w:r w:rsidR="00EC511A">
        <w:rPr>
          <w:lang w:val="en-GB"/>
        </w:rPr>
        <w:t>base</w:t>
      </w:r>
      <w:r w:rsidR="000D6C72">
        <w:rPr>
          <w:lang w:val="en-GB"/>
        </w:rPr>
        <w:t>d</w:t>
      </w:r>
      <w:r w:rsidR="00EC511A">
        <w:rPr>
          <w:lang w:val="en-GB"/>
        </w:rPr>
        <w:t xml:space="preserve"> source of energy</w:t>
      </w:r>
      <w:r w:rsidR="000D6C72">
        <w:rPr>
          <w:lang w:val="en-GB"/>
        </w:rPr>
        <w:t xml:space="preserve"> and it has attracted increasing interest due to </w:t>
      </w:r>
      <w:r w:rsidR="00236858">
        <w:rPr>
          <w:lang w:val="en-GB"/>
        </w:rPr>
        <w:t>its</w:t>
      </w:r>
      <w:r w:rsidR="000D6C72">
        <w:rPr>
          <w:lang w:val="en-GB"/>
        </w:rPr>
        <w:t xml:space="preserve"> characteristics</w:t>
      </w:r>
      <w:r w:rsidR="00236858">
        <w:rPr>
          <w:lang w:val="en-GB"/>
        </w:rPr>
        <w:t>;</w:t>
      </w:r>
      <w:r w:rsidR="001B5B9C">
        <w:rPr>
          <w:lang w:val="en-GB"/>
        </w:rPr>
        <w:t xml:space="preserve"> i</w:t>
      </w:r>
      <w:r w:rsidR="000D6C72">
        <w:rPr>
          <w:lang w:val="en-GB"/>
        </w:rPr>
        <w:t xml:space="preserve">t is renewable and </w:t>
      </w:r>
      <w:r w:rsidR="00236858">
        <w:rPr>
          <w:lang w:val="en-GB"/>
        </w:rPr>
        <w:t>considered</w:t>
      </w:r>
      <w:r w:rsidR="000D6C72" w:rsidRPr="000D6C72">
        <w:rPr>
          <w:lang w:val="en-GB"/>
        </w:rPr>
        <w:t xml:space="preserve"> </w:t>
      </w:r>
      <w:r w:rsidR="00236858">
        <w:rPr>
          <w:lang w:val="en-GB"/>
        </w:rPr>
        <w:t xml:space="preserve">to be </w:t>
      </w:r>
      <w:r w:rsidR="000D6C72" w:rsidRPr="000D6C72">
        <w:rPr>
          <w:lang w:val="en-GB"/>
        </w:rPr>
        <w:t>‘carbon neutral’, meaning that the CO</w:t>
      </w:r>
      <w:r w:rsidR="000D6C72" w:rsidRPr="000D6C72">
        <w:rPr>
          <w:vertAlign w:val="subscript"/>
          <w:lang w:val="en-GB"/>
        </w:rPr>
        <w:t>2</w:t>
      </w:r>
      <w:r w:rsidR="000D6C72" w:rsidRPr="000D6C72">
        <w:rPr>
          <w:lang w:val="en-GB"/>
        </w:rPr>
        <w:t xml:space="preserve"> released</w:t>
      </w:r>
      <w:r w:rsidR="005C1D2A">
        <w:rPr>
          <w:lang w:val="en-GB"/>
        </w:rPr>
        <w:t xml:space="preserve"> when treating the biomass</w:t>
      </w:r>
      <w:r w:rsidR="000D6C72" w:rsidRPr="000D6C72">
        <w:rPr>
          <w:lang w:val="en-GB"/>
        </w:rPr>
        <w:t xml:space="preserve"> </w:t>
      </w:r>
      <w:r w:rsidR="000D6C72">
        <w:rPr>
          <w:lang w:val="en-GB"/>
        </w:rPr>
        <w:t>had</w:t>
      </w:r>
      <w:r w:rsidR="000D6C72" w:rsidRPr="000D6C72">
        <w:rPr>
          <w:lang w:val="en-GB"/>
        </w:rPr>
        <w:t xml:space="preserve"> previously </w:t>
      </w:r>
      <w:r w:rsidR="00236858">
        <w:rPr>
          <w:lang w:val="en-GB"/>
        </w:rPr>
        <w:t>been taken up</w:t>
      </w:r>
      <w:r w:rsidR="00236858" w:rsidRPr="000D6C72">
        <w:rPr>
          <w:lang w:val="en-GB"/>
        </w:rPr>
        <w:t xml:space="preserve"> </w:t>
      </w:r>
      <w:r w:rsidR="000D6C72" w:rsidRPr="000D6C72">
        <w:rPr>
          <w:lang w:val="en-GB"/>
        </w:rPr>
        <w:t xml:space="preserve">by the </w:t>
      </w:r>
      <w:r w:rsidR="00283470">
        <w:rPr>
          <w:lang w:val="en-GB"/>
        </w:rPr>
        <w:t>organisms</w:t>
      </w:r>
      <w:r w:rsidR="00283470" w:rsidRPr="000D6C72">
        <w:rPr>
          <w:lang w:val="en-GB"/>
        </w:rPr>
        <w:t xml:space="preserve"> </w:t>
      </w:r>
      <w:r w:rsidR="000D6C72" w:rsidRPr="000D6C72">
        <w:rPr>
          <w:lang w:val="en-GB"/>
        </w:rPr>
        <w:t xml:space="preserve">during photosynthesis, so no </w:t>
      </w:r>
      <w:r w:rsidR="00236858">
        <w:rPr>
          <w:lang w:val="en-GB"/>
        </w:rPr>
        <w:t xml:space="preserve">net </w:t>
      </w:r>
      <w:r w:rsidR="000D6C72" w:rsidRPr="000D6C72">
        <w:rPr>
          <w:lang w:val="en-GB"/>
        </w:rPr>
        <w:t>additional</w:t>
      </w:r>
      <w:r w:rsidR="000D6C72">
        <w:rPr>
          <w:lang w:val="en-GB"/>
        </w:rPr>
        <w:t xml:space="preserve"> </w:t>
      </w:r>
      <w:r w:rsidR="000D6C72" w:rsidRPr="000D6C72">
        <w:rPr>
          <w:lang w:val="en-GB"/>
        </w:rPr>
        <w:t>carbon is added to the atmosphere</w:t>
      </w:r>
      <w:r w:rsidR="00236858">
        <w:rPr>
          <w:lang w:val="en-GB"/>
        </w:rPr>
        <w:t xml:space="preserve"> when burnt as a fuel</w:t>
      </w:r>
      <w:r w:rsidR="000D6C72" w:rsidRPr="000D6C72">
        <w:rPr>
          <w:lang w:val="en-GB"/>
        </w:rPr>
        <w:t>.</w:t>
      </w:r>
      <w:r w:rsidR="000D6C72">
        <w:rPr>
          <w:lang w:val="en-GB"/>
        </w:rPr>
        <w:t xml:space="preserve"> </w:t>
      </w:r>
      <w:r w:rsidR="00EC511A">
        <w:rPr>
          <w:lang w:val="en-GB"/>
        </w:rPr>
        <w:t xml:space="preserve">Biomass </w:t>
      </w:r>
      <w:r w:rsidR="00381C5C">
        <w:rPr>
          <w:lang w:val="en-GB"/>
        </w:rPr>
        <w:t>gasification has been the focus of</w:t>
      </w:r>
      <w:r w:rsidR="0091504B" w:rsidRPr="0091504B">
        <w:rPr>
          <w:lang w:val="en-GB"/>
        </w:rPr>
        <w:t xml:space="preserve"> </w:t>
      </w:r>
      <w:r w:rsidR="00381C5C">
        <w:rPr>
          <w:lang w:val="en-GB"/>
        </w:rPr>
        <w:t xml:space="preserve">many studies in the past decades because of its </w:t>
      </w:r>
      <w:r w:rsidR="00236858">
        <w:rPr>
          <w:lang w:val="en-GB"/>
        </w:rPr>
        <w:t xml:space="preserve">ability </w:t>
      </w:r>
      <w:r w:rsidR="001B5B9C">
        <w:rPr>
          <w:lang w:val="en-GB"/>
        </w:rPr>
        <w:t>to</w:t>
      </w:r>
      <w:r w:rsidR="0091504B" w:rsidRPr="0091504B">
        <w:rPr>
          <w:lang w:val="en-GB"/>
        </w:rPr>
        <w:t xml:space="preserve"> </w:t>
      </w:r>
      <w:r w:rsidR="00236858" w:rsidRPr="0091504B">
        <w:rPr>
          <w:lang w:val="en-GB"/>
        </w:rPr>
        <w:t>produc</w:t>
      </w:r>
      <w:r w:rsidR="00236858">
        <w:rPr>
          <w:lang w:val="en-GB"/>
        </w:rPr>
        <w:t>e</w:t>
      </w:r>
      <w:r w:rsidR="00236858" w:rsidRPr="0091504B">
        <w:rPr>
          <w:lang w:val="en-GB"/>
        </w:rPr>
        <w:t xml:space="preserve"> </w:t>
      </w:r>
      <w:r w:rsidR="0091504B" w:rsidRPr="0091504B">
        <w:rPr>
          <w:lang w:val="en-GB"/>
        </w:rPr>
        <w:t>a versatile syngas which can be converted into useful chemicals or fuels or used</w:t>
      </w:r>
      <w:r w:rsidR="003B7D72">
        <w:rPr>
          <w:lang w:val="en-GB"/>
        </w:rPr>
        <w:t xml:space="preserve"> directly for energy generation</w:t>
      </w:r>
      <w:r w:rsidR="005E2F21">
        <w:rPr>
          <w:lang w:val="en-GB"/>
        </w:rPr>
        <w:t>.</w:t>
      </w:r>
      <w:r w:rsidR="0091504B" w:rsidRPr="0091504B">
        <w:rPr>
          <w:lang w:val="en-GB"/>
        </w:rPr>
        <w:t xml:space="preserve"> With </w:t>
      </w:r>
      <w:r w:rsidR="004131D6" w:rsidRPr="0091504B">
        <w:rPr>
          <w:lang w:val="en-GB"/>
        </w:rPr>
        <w:t>L</w:t>
      </w:r>
      <w:r w:rsidR="004131D6">
        <w:rPr>
          <w:lang w:val="en-GB"/>
        </w:rPr>
        <w:t xml:space="preserve">ower </w:t>
      </w:r>
      <w:r w:rsidR="004131D6" w:rsidRPr="0091504B">
        <w:rPr>
          <w:lang w:val="en-GB"/>
        </w:rPr>
        <w:t>H</w:t>
      </w:r>
      <w:r w:rsidR="004131D6">
        <w:rPr>
          <w:lang w:val="en-GB"/>
        </w:rPr>
        <w:t xml:space="preserve">eating </w:t>
      </w:r>
      <w:r w:rsidR="004131D6" w:rsidRPr="0091504B">
        <w:rPr>
          <w:lang w:val="en-GB"/>
        </w:rPr>
        <w:t>V</w:t>
      </w:r>
      <w:r w:rsidR="004131D6">
        <w:rPr>
          <w:lang w:val="en-GB"/>
        </w:rPr>
        <w:t xml:space="preserve">alue </w:t>
      </w:r>
      <w:r w:rsidR="004131D6">
        <w:t>(LHV)</w:t>
      </w:r>
      <w:r w:rsidR="0091504B" w:rsidRPr="0091504B">
        <w:rPr>
          <w:lang w:val="en-GB"/>
        </w:rPr>
        <w:t xml:space="preserve"> typically ranging from about 4 to 18 MJ/Nm</w:t>
      </w:r>
      <w:r w:rsidR="0091504B" w:rsidRPr="0078611F">
        <w:rPr>
          <w:vertAlign w:val="superscript"/>
          <w:lang w:val="en-GB"/>
        </w:rPr>
        <w:t>3</w:t>
      </w:r>
      <w:r w:rsidR="003B7D72">
        <w:rPr>
          <w:lang w:val="en-GB"/>
        </w:rPr>
        <w:t xml:space="preserve"> (</w:t>
      </w:r>
      <w:r w:rsidR="005B4840">
        <w:rPr>
          <w:lang w:val="en-GB"/>
        </w:rPr>
        <w:t xml:space="preserve">Gallucci </w:t>
      </w:r>
      <w:r w:rsidR="005B4840" w:rsidRPr="00694D5D">
        <w:rPr>
          <w:lang w:val="en-GB"/>
        </w:rPr>
        <w:t>et</w:t>
      </w:r>
      <w:r w:rsidR="005B4840">
        <w:rPr>
          <w:i/>
          <w:lang w:val="en-GB"/>
        </w:rPr>
        <w:t xml:space="preserve"> </w:t>
      </w:r>
      <w:r w:rsidR="005B4840" w:rsidRPr="005B4840">
        <w:rPr>
          <w:lang w:val="en-GB"/>
        </w:rPr>
        <w:t>al</w:t>
      </w:r>
      <w:r w:rsidR="00694D5D">
        <w:rPr>
          <w:lang w:val="en-GB"/>
        </w:rPr>
        <w:t>.,</w:t>
      </w:r>
      <w:r w:rsidR="005B4840">
        <w:rPr>
          <w:lang w:val="en-GB"/>
        </w:rPr>
        <w:t xml:space="preserve"> 2020</w:t>
      </w:r>
      <w:r w:rsidR="003B7D72">
        <w:rPr>
          <w:lang w:val="en-GB"/>
        </w:rPr>
        <w:t>)</w:t>
      </w:r>
      <w:r w:rsidR="0091504B" w:rsidRPr="0091504B">
        <w:rPr>
          <w:lang w:val="en-GB"/>
        </w:rPr>
        <w:t>, biomass-derived syngas is mainly composed of H</w:t>
      </w:r>
      <w:r w:rsidR="0091504B" w:rsidRPr="005B4840">
        <w:rPr>
          <w:vertAlign w:val="subscript"/>
          <w:lang w:val="en-GB"/>
        </w:rPr>
        <w:t>2</w:t>
      </w:r>
      <w:r w:rsidR="0091504B" w:rsidRPr="0091504B">
        <w:rPr>
          <w:lang w:val="en-GB"/>
        </w:rPr>
        <w:t>, CO, CO</w:t>
      </w:r>
      <w:r w:rsidR="0091504B" w:rsidRPr="003B7D72">
        <w:rPr>
          <w:vertAlign w:val="subscript"/>
          <w:lang w:val="en-GB"/>
        </w:rPr>
        <w:t>2</w:t>
      </w:r>
      <w:r w:rsidR="0091504B" w:rsidRPr="0091504B">
        <w:rPr>
          <w:lang w:val="en-GB"/>
        </w:rPr>
        <w:t xml:space="preserve"> and small amounts of CH</w:t>
      </w:r>
      <w:r w:rsidR="0091504B" w:rsidRPr="003B7D72">
        <w:rPr>
          <w:vertAlign w:val="subscript"/>
          <w:lang w:val="en-GB"/>
        </w:rPr>
        <w:t>4</w:t>
      </w:r>
      <w:r w:rsidR="0091504B" w:rsidRPr="0091504B">
        <w:rPr>
          <w:lang w:val="en-GB"/>
        </w:rPr>
        <w:t>, in concentrations which vary according to the type of biomass used, the gasifying agent (</w:t>
      </w:r>
      <w:r w:rsidR="00746713">
        <w:rPr>
          <w:lang w:val="en-GB"/>
        </w:rPr>
        <w:t xml:space="preserve">such as </w:t>
      </w:r>
      <w:r w:rsidR="0091504B" w:rsidRPr="0091504B">
        <w:rPr>
          <w:lang w:val="en-GB"/>
        </w:rPr>
        <w:t xml:space="preserve">air, </w:t>
      </w:r>
      <w:r w:rsidR="00553723">
        <w:rPr>
          <w:lang w:val="en-GB"/>
        </w:rPr>
        <w:t>O</w:t>
      </w:r>
      <w:r w:rsidR="00553723">
        <w:rPr>
          <w:vertAlign w:val="subscript"/>
          <w:lang w:val="en-GB"/>
        </w:rPr>
        <w:t>2</w:t>
      </w:r>
      <w:r w:rsidR="0091504B" w:rsidRPr="0091504B">
        <w:rPr>
          <w:lang w:val="en-GB"/>
        </w:rPr>
        <w:t xml:space="preserve">-enriched air, steam), ER and the temperature of the process. </w:t>
      </w:r>
      <w:r w:rsidR="00925B52" w:rsidRPr="0091504B">
        <w:rPr>
          <w:lang w:val="en-GB"/>
        </w:rPr>
        <w:t xml:space="preserve">The type of gasifier used and its </w:t>
      </w:r>
      <w:r w:rsidR="00283470">
        <w:rPr>
          <w:lang w:val="en-GB"/>
        </w:rPr>
        <w:t>design</w:t>
      </w:r>
      <w:r w:rsidR="00283470" w:rsidRPr="0091504B">
        <w:rPr>
          <w:lang w:val="en-GB"/>
        </w:rPr>
        <w:t xml:space="preserve"> </w:t>
      </w:r>
      <w:r w:rsidR="00925B52" w:rsidRPr="0091504B">
        <w:rPr>
          <w:lang w:val="en-GB"/>
        </w:rPr>
        <w:t>also have an impact on syngas composition and level of</w:t>
      </w:r>
      <w:r w:rsidR="00093936">
        <w:rPr>
          <w:lang w:val="en-GB"/>
        </w:rPr>
        <w:t xml:space="preserve"> by-products</w:t>
      </w:r>
      <w:r w:rsidR="00746713">
        <w:rPr>
          <w:lang w:val="en-GB"/>
        </w:rPr>
        <w:t xml:space="preserve"> produced</w:t>
      </w:r>
      <w:r w:rsidR="00093936">
        <w:rPr>
          <w:lang w:val="en-GB"/>
        </w:rPr>
        <w:t xml:space="preserve">, such as tar and </w:t>
      </w:r>
      <w:r w:rsidR="00746713">
        <w:rPr>
          <w:lang w:val="en-GB"/>
        </w:rPr>
        <w:t>un</w:t>
      </w:r>
      <w:r w:rsidR="00925B52" w:rsidRPr="0091504B">
        <w:rPr>
          <w:lang w:val="en-GB"/>
        </w:rPr>
        <w:t>converted char.</w:t>
      </w:r>
      <w:r w:rsidR="00925B52">
        <w:rPr>
          <w:lang w:val="en-GB"/>
        </w:rPr>
        <w:t xml:space="preserve"> </w:t>
      </w:r>
      <w:r w:rsidR="00572FB4" w:rsidRPr="00572FB4">
        <w:t>Given the large interest attracted by the topic and the large amount of work available, several review articles have been published recently which help</w:t>
      </w:r>
      <w:r w:rsidR="00B97621">
        <w:t xml:space="preserve"> to</w:t>
      </w:r>
      <w:r w:rsidR="00572FB4" w:rsidRPr="00572FB4">
        <w:t xml:space="preserve"> identify the areas needing further </w:t>
      </w:r>
      <w:r w:rsidR="00631707" w:rsidRPr="00572FB4">
        <w:t>development</w:t>
      </w:r>
      <w:r w:rsidR="00631707">
        <w:t>, which</w:t>
      </w:r>
      <w:r w:rsidR="00B97621">
        <w:t xml:space="preserve"> are summari</w:t>
      </w:r>
      <w:r w:rsidR="009333E8">
        <w:t>s</w:t>
      </w:r>
      <w:r w:rsidR="00B97621">
        <w:t>ed below</w:t>
      </w:r>
      <w:r w:rsidR="00572FB4" w:rsidRPr="00572FB4">
        <w:t>.</w:t>
      </w:r>
    </w:p>
    <w:p w14:paraId="6EEEAEE0" w14:textId="4C4A5C6B" w:rsidR="003B7D72" w:rsidRDefault="00C06209" w:rsidP="001714E5">
      <w:pPr>
        <w:pStyle w:val="CETBodytext"/>
      </w:pPr>
      <w:r>
        <w:rPr>
          <w:lang w:val="en-GB"/>
        </w:rPr>
        <w:t xml:space="preserve">Although limited to </w:t>
      </w:r>
      <w:r w:rsidR="00746713">
        <w:rPr>
          <w:lang w:val="en-GB"/>
        </w:rPr>
        <w:t>small-</w:t>
      </w:r>
      <w:r>
        <w:rPr>
          <w:lang w:val="en-GB"/>
        </w:rPr>
        <w:t>scale application, b</w:t>
      </w:r>
      <w:r w:rsidRPr="0091504B">
        <w:rPr>
          <w:lang w:val="en-GB"/>
        </w:rPr>
        <w:t>iomass gasification in a downdraft gasifier has the benefit of producing low levels of tar</w:t>
      </w:r>
      <w:r>
        <w:rPr>
          <w:lang w:val="en-GB"/>
        </w:rPr>
        <w:t xml:space="preserve"> (Puig-Arnavat</w:t>
      </w:r>
      <w:r w:rsidR="00746713">
        <w:rPr>
          <w:lang w:val="en-GB"/>
        </w:rPr>
        <w:t xml:space="preserve"> et al.</w:t>
      </w:r>
      <w:r>
        <w:rPr>
          <w:lang w:val="en-GB"/>
        </w:rPr>
        <w:t>, 2010)</w:t>
      </w:r>
      <w:r w:rsidRPr="0091504B">
        <w:rPr>
          <w:lang w:val="en-GB"/>
        </w:rPr>
        <w:t xml:space="preserve"> due to the high temperature oxidation and cracking reactions happening in a specific section of the gasifier immediately after tar is formed during pyrolysis</w:t>
      </w:r>
      <w:r>
        <w:rPr>
          <w:lang w:val="en-GB"/>
        </w:rPr>
        <w:t>.</w:t>
      </w:r>
      <w:r w:rsidR="001B5B9C">
        <w:rPr>
          <w:lang w:val="en-GB"/>
        </w:rPr>
        <w:t xml:space="preserve"> </w:t>
      </w:r>
      <w:r w:rsidR="00925B52">
        <w:t xml:space="preserve">Baruah </w:t>
      </w:r>
      <w:r w:rsidR="00925B52">
        <w:lastRenderedPageBreak/>
        <w:t xml:space="preserve">&amp; Baruah (2014) have </w:t>
      </w:r>
      <w:r w:rsidR="00B97621">
        <w:t xml:space="preserve">reviewed </w:t>
      </w:r>
      <w:r w:rsidR="00925B52">
        <w:t>numerous</w:t>
      </w:r>
      <w:r w:rsidR="00B97621">
        <w:t xml:space="preserve"> biomass gasification </w:t>
      </w:r>
      <w:r w:rsidR="00925B52">
        <w:t xml:space="preserve">studies and </w:t>
      </w:r>
      <w:r w:rsidR="00B97621">
        <w:t xml:space="preserve">analysed </w:t>
      </w:r>
      <w:r w:rsidR="00925B52">
        <w:t xml:space="preserve">the </w:t>
      </w:r>
      <w:r w:rsidR="00631707">
        <w:t xml:space="preserve">influence </w:t>
      </w:r>
      <w:r w:rsidR="00925B52">
        <w:t>of different parameters on syngas</w:t>
      </w:r>
      <w:r w:rsidR="00631707">
        <w:t xml:space="preserve"> quality</w:t>
      </w:r>
      <w:r w:rsidR="001B5B9C">
        <w:t xml:space="preserve"> and offer</w:t>
      </w:r>
      <w:r w:rsidR="00631707">
        <w:t>ed</w:t>
      </w:r>
      <w:r w:rsidR="001714E5">
        <w:t xml:space="preserve"> a</w:t>
      </w:r>
      <w:r w:rsidR="00B97621">
        <w:t>n overview</w:t>
      </w:r>
      <w:r w:rsidR="001714E5">
        <w:t xml:space="preserve"> of the types of models published for different </w:t>
      </w:r>
      <w:r w:rsidR="00631707">
        <w:t xml:space="preserve">overall </w:t>
      </w:r>
      <w:r w:rsidR="00113EBB">
        <w:t xml:space="preserve">process </w:t>
      </w:r>
      <w:r w:rsidR="001714E5">
        <w:t>configurations</w:t>
      </w:r>
      <w:r w:rsidR="00925B52">
        <w:t xml:space="preserve">. </w:t>
      </w:r>
      <w:r w:rsidR="0056112F">
        <w:t>They identified that equilibrium models have been widely used to study the process in downdraft gasifiers with satisfying results in predicting</w:t>
      </w:r>
      <w:r w:rsidR="00481F7B">
        <w:t xml:space="preserve"> the composition of the </w:t>
      </w:r>
      <w:r w:rsidR="00631707">
        <w:t>syn</w:t>
      </w:r>
      <w:r w:rsidR="0056112F">
        <w:t>gas</w:t>
      </w:r>
      <w:r w:rsidR="00C27492">
        <w:t>. The limitation of this type of model</w:t>
      </w:r>
      <w:r w:rsidR="00113EBB">
        <w:t>l</w:t>
      </w:r>
      <w:r w:rsidR="00C27492">
        <w:t>ing approach is</w:t>
      </w:r>
      <w:r w:rsidR="00572FB4">
        <w:t>,</w:t>
      </w:r>
      <w:r w:rsidR="00C27492">
        <w:t xml:space="preserve"> however</w:t>
      </w:r>
      <w:r w:rsidR="00572FB4">
        <w:t>,</w:t>
      </w:r>
      <w:r w:rsidR="00C27492">
        <w:t xml:space="preserve"> </w:t>
      </w:r>
      <w:r w:rsidR="0056112F">
        <w:t xml:space="preserve">the </w:t>
      </w:r>
      <w:r w:rsidR="00C27492">
        <w:t>in</w:t>
      </w:r>
      <w:r w:rsidR="0056112F">
        <w:t>ability to predict tar</w:t>
      </w:r>
      <w:r w:rsidR="00C27492">
        <w:t xml:space="preserve"> and to work in conditions far from equilibrium, for example for low temperature processes</w:t>
      </w:r>
      <w:r w:rsidR="0056112F">
        <w:t xml:space="preserve">. </w:t>
      </w:r>
      <w:r w:rsidR="00F53F86">
        <w:t>A similar conclusion was</w:t>
      </w:r>
      <w:r w:rsidR="00631707">
        <w:t xml:space="preserve"> </w:t>
      </w:r>
      <w:r w:rsidR="00F53F86">
        <w:t>drawn in t</w:t>
      </w:r>
      <w:r w:rsidR="000410B0">
        <w:t>he review from Mutlu &amp; Zeng (2020)</w:t>
      </w:r>
      <w:r w:rsidR="00F53F86">
        <w:t>, which</w:t>
      </w:r>
      <w:r w:rsidR="000410B0">
        <w:t xml:space="preserve"> </w:t>
      </w:r>
      <w:r w:rsidR="001714E5">
        <w:t xml:space="preserve">focuses on process simulation models developed </w:t>
      </w:r>
      <w:r w:rsidR="00261A7C">
        <w:t xml:space="preserve">using </w:t>
      </w:r>
      <w:r w:rsidR="001714E5">
        <w:t>A</w:t>
      </w:r>
      <w:r w:rsidR="00261A7C">
        <w:t>spen</w:t>
      </w:r>
      <w:r w:rsidR="001714E5">
        <w:t xml:space="preserve"> </w:t>
      </w:r>
      <w:r w:rsidR="00261A7C">
        <w:t>P</w:t>
      </w:r>
      <w:r w:rsidR="001714E5">
        <w:t>lus.</w:t>
      </w:r>
      <w:r w:rsidR="00B549C1">
        <w:t xml:space="preserve"> Smith et al</w:t>
      </w:r>
      <w:r w:rsidR="001B1B31">
        <w:t>.</w:t>
      </w:r>
      <w:r w:rsidR="00B549C1">
        <w:t xml:space="preserve"> (2019) developed and compared an equilibrium model based on</w:t>
      </w:r>
      <w:r w:rsidR="00CC21CC">
        <w:t xml:space="preserve"> the</w:t>
      </w:r>
      <w:r w:rsidR="00B549C1">
        <w:t xml:space="preserve"> Gibbs </w:t>
      </w:r>
      <w:r w:rsidR="00CC21CC">
        <w:t>energy minimisation method</w:t>
      </w:r>
      <w:r w:rsidR="00B549C1">
        <w:t xml:space="preserve"> with a kinetic model for the gasification of biomass in a downdraft gasifier and found that the kinetic model was more accurate in predicting the experimental data used for validation.</w:t>
      </w:r>
      <w:r w:rsidR="007A1A92">
        <w:t xml:space="preserve"> </w:t>
      </w:r>
      <w:r w:rsidR="00C521B0">
        <w:rPr>
          <w:lang w:val="en-GB"/>
        </w:rPr>
        <w:t xml:space="preserve">Despite the large number of models developed, experimental data on downdraft gasifiers are less </w:t>
      </w:r>
      <w:r w:rsidR="00CC21CC">
        <w:rPr>
          <w:lang w:val="en-GB"/>
        </w:rPr>
        <w:t xml:space="preserve">available </w:t>
      </w:r>
      <w:r w:rsidR="00C521B0">
        <w:rPr>
          <w:lang w:val="en-GB"/>
        </w:rPr>
        <w:t xml:space="preserve">and sometimes design details are not </w:t>
      </w:r>
      <w:r w:rsidR="00CC21CC">
        <w:rPr>
          <w:lang w:val="en-GB"/>
        </w:rPr>
        <w:t>adequately described</w:t>
      </w:r>
      <w:r w:rsidR="00C521B0">
        <w:rPr>
          <w:lang w:val="en-GB"/>
        </w:rPr>
        <w:t>. This presents an obstacle for the validation of a model over a large number of conditions, including feedstock types and gasifying agents.</w:t>
      </w:r>
    </w:p>
    <w:p w14:paraId="224ACA2A" w14:textId="29BA5374" w:rsidR="00857972" w:rsidRPr="00857972" w:rsidRDefault="001B1B31" w:rsidP="008C0E84">
      <w:pPr>
        <w:pStyle w:val="CETBodytext"/>
        <w:spacing w:after="240"/>
        <w:rPr>
          <w:lang w:val="en-GB"/>
        </w:rPr>
      </w:pPr>
      <w:r>
        <w:t>I</w:t>
      </w:r>
      <w:r w:rsidR="00033909">
        <w:t>n</w:t>
      </w:r>
      <w:r w:rsidR="00E71A2C">
        <w:t xml:space="preserve"> this work, a kinetic mechanism</w:t>
      </w:r>
      <w:r>
        <w:t xml:space="preserve"> previously developed by the authors (Catalanotti et al., 2020)</w:t>
      </w:r>
      <w:r w:rsidR="00D02141">
        <w:t xml:space="preserve"> was </w:t>
      </w:r>
      <w:r w:rsidR="00CC21CC">
        <w:t xml:space="preserve">incorporated </w:t>
      </w:r>
      <w:r w:rsidR="00C521B0">
        <w:t>in</w:t>
      </w:r>
      <w:r w:rsidR="00631707">
        <w:t>to</w:t>
      </w:r>
      <w:r w:rsidR="00D02141">
        <w:t xml:space="preserve"> A</w:t>
      </w:r>
      <w:r w:rsidR="00CC21CC">
        <w:t>spen</w:t>
      </w:r>
      <w:r w:rsidR="00D02141">
        <w:t xml:space="preserve"> </w:t>
      </w:r>
      <w:r w:rsidR="00CC21CC">
        <w:t>P</w:t>
      </w:r>
      <w:r w:rsidR="00D02141">
        <w:t xml:space="preserve">lus </w:t>
      </w:r>
      <w:r w:rsidR="00044656">
        <w:t>with</w:t>
      </w:r>
      <w:r w:rsidR="00631707">
        <w:t xml:space="preserve"> the aim of</w:t>
      </w:r>
      <w:r w:rsidR="00C521B0">
        <w:t xml:space="preserve"> reproduc</w:t>
      </w:r>
      <w:r w:rsidR="00631707">
        <w:t>ing</w:t>
      </w:r>
      <w:r w:rsidR="00C521B0">
        <w:t xml:space="preserve"> the</w:t>
      </w:r>
      <w:r w:rsidR="00CC21CC">
        <w:t xml:space="preserve"> sequence of</w:t>
      </w:r>
      <w:r w:rsidR="00C521B0">
        <w:t xml:space="preserve"> </w:t>
      </w:r>
      <w:r w:rsidR="00CC21CC">
        <w:t xml:space="preserve">three thermochemical </w:t>
      </w:r>
      <w:r w:rsidR="00C521B0">
        <w:t xml:space="preserve">stages </w:t>
      </w:r>
      <w:r w:rsidR="00CC21CC">
        <w:t xml:space="preserve">for </w:t>
      </w:r>
      <w:r w:rsidR="00C521B0">
        <w:t>design of a downdraft gasifier</w:t>
      </w:r>
      <w:r w:rsidR="00716B6D">
        <w:t xml:space="preserve">, </w:t>
      </w:r>
      <w:r w:rsidR="00CC21CC">
        <w:t>whic</w:t>
      </w:r>
      <w:r w:rsidR="00044656">
        <w:t>h are described here</w:t>
      </w:r>
      <w:r w:rsidR="00CC21CC">
        <w:t>.</w:t>
      </w:r>
      <w:r w:rsidR="009333E8">
        <w:t xml:space="preserve"> B</w:t>
      </w:r>
      <w:r w:rsidR="00A4031F">
        <w:t xml:space="preserve">iomass is fed </w:t>
      </w:r>
      <w:r w:rsidR="009333E8">
        <w:t xml:space="preserve">at </w:t>
      </w:r>
      <w:r w:rsidR="00A4031F">
        <w:t>the top</w:t>
      </w:r>
      <w:r w:rsidR="009333E8">
        <w:t xml:space="preserve"> of the gasifier</w:t>
      </w:r>
      <w:r w:rsidR="00A4031F">
        <w:t xml:space="preserve"> and </w:t>
      </w:r>
      <w:r w:rsidR="00857972">
        <w:t xml:space="preserve">first </w:t>
      </w:r>
      <w:r w:rsidR="00A4031F">
        <w:t xml:space="preserve">it encounters a hot region, typically with temperatures between 500 and 700 </w:t>
      </w:r>
      <w:r w:rsidR="00A4031F" w:rsidRPr="00B57B36">
        <w:rPr>
          <w:rFonts w:cs="Arial"/>
        </w:rPr>
        <w:t>°</w:t>
      </w:r>
      <w:r w:rsidR="00A4031F" w:rsidRPr="00B57B36">
        <w:t>C</w:t>
      </w:r>
      <w:r w:rsidR="00A4031F">
        <w:t xml:space="preserve">. </w:t>
      </w:r>
      <w:r w:rsidR="00E7356F">
        <w:t>In this condition</w:t>
      </w:r>
      <w:r w:rsidR="00A4031F">
        <w:t xml:space="preserve">, the complex structure of the feedstock </w:t>
      </w:r>
      <w:r w:rsidR="00E7356F">
        <w:t>is</w:t>
      </w:r>
      <w:r w:rsidR="00A4031F">
        <w:t xml:space="preserve"> broken down to form a mixture o</w:t>
      </w:r>
      <w:r w:rsidR="00857972">
        <w:t>f gases</w:t>
      </w:r>
      <w:r w:rsidR="00857972" w:rsidRPr="00857972">
        <w:t>,</w:t>
      </w:r>
      <w:r w:rsidR="009333E8">
        <w:t xml:space="preserve"> comprising</w:t>
      </w:r>
      <w:r w:rsidR="00631707">
        <w:t xml:space="preserve"> mainly</w:t>
      </w:r>
      <w:r w:rsidR="00857972" w:rsidRPr="00857972">
        <w:t xml:space="preserve"> </w:t>
      </w:r>
      <w:r w:rsidR="00857972" w:rsidRPr="00857972">
        <w:rPr>
          <w:bCs/>
          <w:lang w:val="en-GB"/>
        </w:rPr>
        <w:t>H</w:t>
      </w:r>
      <w:r w:rsidR="00857972" w:rsidRPr="00857972">
        <w:rPr>
          <w:bCs/>
          <w:vertAlign w:val="subscript"/>
          <w:lang w:val="en-GB"/>
        </w:rPr>
        <w:t>2</w:t>
      </w:r>
      <w:r w:rsidR="00857972">
        <w:rPr>
          <w:bCs/>
          <w:lang w:val="en-GB"/>
        </w:rPr>
        <w:t xml:space="preserve">, </w:t>
      </w:r>
      <w:r w:rsidR="00857972" w:rsidRPr="00857972">
        <w:rPr>
          <w:bCs/>
          <w:lang w:val="en-GB"/>
        </w:rPr>
        <w:t>CO</w:t>
      </w:r>
      <w:r w:rsidR="00857972">
        <w:rPr>
          <w:bCs/>
          <w:lang w:val="en-GB"/>
        </w:rPr>
        <w:t xml:space="preserve">, </w:t>
      </w:r>
      <w:r w:rsidR="00857972" w:rsidRPr="00857972">
        <w:rPr>
          <w:bCs/>
          <w:lang w:val="en-GB"/>
        </w:rPr>
        <w:t>CO</w:t>
      </w:r>
      <w:r w:rsidR="00857972" w:rsidRPr="00857972">
        <w:rPr>
          <w:bCs/>
          <w:vertAlign w:val="subscript"/>
          <w:lang w:val="en-GB"/>
        </w:rPr>
        <w:t>2</w:t>
      </w:r>
      <w:r w:rsidR="00857972">
        <w:rPr>
          <w:bCs/>
          <w:vertAlign w:val="subscript"/>
          <w:lang w:val="en-GB"/>
        </w:rPr>
        <w:t xml:space="preserve">, </w:t>
      </w:r>
      <w:r w:rsidR="00857972" w:rsidRPr="00857972">
        <w:rPr>
          <w:bCs/>
          <w:lang w:val="en-GB"/>
        </w:rPr>
        <w:t>CH</w:t>
      </w:r>
      <w:r w:rsidR="00857972">
        <w:rPr>
          <w:bCs/>
          <w:vertAlign w:val="subscript"/>
          <w:lang w:val="en-GB"/>
        </w:rPr>
        <w:t>4</w:t>
      </w:r>
      <w:r w:rsidR="00857972" w:rsidRPr="00857972">
        <w:rPr>
          <w:bCs/>
          <w:lang w:val="en-GB"/>
        </w:rPr>
        <w:t xml:space="preserve"> and</w:t>
      </w:r>
      <w:r w:rsidR="00857972">
        <w:rPr>
          <w:bCs/>
          <w:vertAlign w:val="subscript"/>
          <w:lang w:val="en-GB"/>
        </w:rPr>
        <w:t xml:space="preserve"> </w:t>
      </w:r>
      <w:r w:rsidR="00857972" w:rsidRPr="00857972">
        <w:rPr>
          <w:bCs/>
          <w:lang w:val="en-GB"/>
        </w:rPr>
        <w:t>H</w:t>
      </w:r>
      <w:r w:rsidR="00857972" w:rsidRPr="00857972">
        <w:rPr>
          <w:bCs/>
          <w:vertAlign w:val="subscript"/>
          <w:lang w:val="en-GB"/>
        </w:rPr>
        <w:t>2</w:t>
      </w:r>
      <w:r w:rsidR="00857972" w:rsidRPr="00857972">
        <w:rPr>
          <w:bCs/>
          <w:lang w:val="en-GB"/>
        </w:rPr>
        <w:t>O</w:t>
      </w:r>
      <w:r w:rsidR="00857972">
        <w:rPr>
          <w:bCs/>
          <w:lang w:val="en-GB"/>
        </w:rPr>
        <w:t xml:space="preserve">, along with char, mainly composed of carbon, and tar, a liquid by-product </w:t>
      </w:r>
      <w:r w:rsidR="00044656">
        <w:rPr>
          <w:bCs/>
          <w:lang w:val="en-GB"/>
        </w:rPr>
        <w:t>composed of a</w:t>
      </w:r>
      <w:r w:rsidR="00857972">
        <w:rPr>
          <w:bCs/>
          <w:lang w:val="en-GB"/>
        </w:rPr>
        <w:t xml:space="preserve"> mixture of aromatic hydrocarbons.</w:t>
      </w:r>
      <w:r w:rsidR="00E7356F" w:rsidRPr="00E7356F">
        <w:t xml:space="preserve"> </w:t>
      </w:r>
      <w:r w:rsidR="00E7356F">
        <w:t xml:space="preserve">This process, called pyrolysis, </w:t>
      </w:r>
      <w:r w:rsidR="00B96F25">
        <w:t>occurs</w:t>
      </w:r>
      <w:r w:rsidR="00E7356F">
        <w:t xml:space="preserve"> very quickly and is therefore often </w:t>
      </w:r>
      <w:r w:rsidR="009333E8">
        <w:t>simulated using</w:t>
      </w:r>
      <w:r w:rsidR="00E7356F">
        <w:t xml:space="preserve"> equilibrium models.</w:t>
      </w:r>
      <w:r w:rsidR="00B96F25">
        <w:t xml:space="preserve"> As t</w:t>
      </w:r>
      <w:r w:rsidR="00E7356F">
        <w:t>he</w:t>
      </w:r>
      <w:r w:rsidR="00B96F25">
        <w:t xml:space="preserve"> hot</w:t>
      </w:r>
      <w:r w:rsidR="00E7356F">
        <w:t xml:space="preserve"> pyrolysis products travel </w:t>
      </w:r>
      <w:r w:rsidR="00B96F25">
        <w:t>downwards, they enter a second zone, in the throat of th</w:t>
      </w:r>
      <w:r w:rsidR="00716B6D">
        <w:t xml:space="preserve">e gasifier, where air or </w:t>
      </w:r>
      <w:r w:rsidR="00553723">
        <w:t>O</w:t>
      </w:r>
      <w:r w:rsidR="00553723">
        <w:rPr>
          <w:vertAlign w:val="subscript"/>
        </w:rPr>
        <w:t>2</w:t>
      </w:r>
      <w:r w:rsidR="00716B6D">
        <w:t>-</w:t>
      </w:r>
      <w:r w:rsidR="009333E8">
        <w:t xml:space="preserve">enriched </w:t>
      </w:r>
      <w:r w:rsidR="00B96F25">
        <w:t xml:space="preserve">air is injected and oxidation reactions take place. This section of the gasifier </w:t>
      </w:r>
      <w:r w:rsidR="009E062D">
        <w:t xml:space="preserve">reaches temperatures of </w:t>
      </w:r>
      <w:r w:rsidR="009333E8">
        <w:t xml:space="preserve">around </w:t>
      </w:r>
      <w:r w:rsidR="009E062D">
        <w:t>10</w:t>
      </w:r>
      <w:r w:rsidR="00B96F25">
        <w:t xml:space="preserve">00 </w:t>
      </w:r>
      <w:r w:rsidR="00B96F25" w:rsidRPr="00B57B36">
        <w:rPr>
          <w:rFonts w:cs="Arial"/>
        </w:rPr>
        <w:t>°</w:t>
      </w:r>
      <w:r w:rsidR="00B96F25" w:rsidRPr="00B57B36">
        <w:t>C</w:t>
      </w:r>
      <w:r w:rsidR="00B96F25">
        <w:t xml:space="preserve"> </w:t>
      </w:r>
      <w:r w:rsidR="009E062D">
        <w:t>(</w:t>
      </w:r>
      <w:r w:rsidR="007539C6" w:rsidRPr="009E062D">
        <w:rPr>
          <w:lang w:val="en-GB"/>
        </w:rPr>
        <w:t>Zainal</w:t>
      </w:r>
      <w:r w:rsidR="007539C6">
        <w:t xml:space="preserve"> et al., 2002) </w:t>
      </w:r>
      <w:r w:rsidR="00B96F25">
        <w:t xml:space="preserve">and provides the necessary energy for the entire process. </w:t>
      </w:r>
      <w:r w:rsidR="009E5B8F">
        <w:t xml:space="preserve">In order to obtain a high energy syngas, oxidation must be incomplete and a large amount of char must be left uncombusted. </w:t>
      </w:r>
      <w:r w:rsidR="00B96F25">
        <w:t>T</w:t>
      </w:r>
      <w:r w:rsidR="009E5B8F">
        <w:t>ypically, t</w:t>
      </w:r>
      <w:r w:rsidR="00B96F25">
        <w:t>he</w:t>
      </w:r>
      <w:r w:rsidR="009E5B8F">
        <w:t xml:space="preserve"> optimal</w:t>
      </w:r>
      <w:r w:rsidR="00B96F25">
        <w:t xml:space="preserve"> amount of </w:t>
      </w:r>
      <w:r w:rsidR="00553723">
        <w:t>O</w:t>
      </w:r>
      <w:r w:rsidR="00553723">
        <w:rPr>
          <w:vertAlign w:val="subscript"/>
        </w:rPr>
        <w:t>2</w:t>
      </w:r>
      <w:r w:rsidR="00553723">
        <w:t xml:space="preserve"> </w:t>
      </w:r>
      <w:r w:rsidR="00B96F25">
        <w:t xml:space="preserve">fed to the system is </w:t>
      </w:r>
      <w:r w:rsidR="009E5B8F">
        <w:t xml:space="preserve">just under a third of the stoichiometric </w:t>
      </w:r>
      <w:r w:rsidR="00553723">
        <w:t xml:space="preserve">value </w:t>
      </w:r>
      <w:r w:rsidR="009E5B8F">
        <w:t>for a given feedstock. In this stage</w:t>
      </w:r>
      <w:r w:rsidR="00DC034E">
        <w:t>,</w:t>
      </w:r>
      <w:r w:rsidR="009E5B8F">
        <w:t xml:space="preserve"> part of the tar formed is also combusted and a kinetic approach can be used to assess the impact of </w:t>
      </w:r>
      <w:r w:rsidR="009333E8">
        <w:t>variation of ER</w:t>
      </w:r>
      <w:r w:rsidR="009E5B8F">
        <w:t xml:space="preserve"> and temperature </w:t>
      </w:r>
      <w:r w:rsidR="0086174E">
        <w:t>on the</w:t>
      </w:r>
      <w:r w:rsidR="009333E8">
        <w:t xml:space="preserve"> production rate of</w:t>
      </w:r>
      <w:r w:rsidR="0086174E">
        <w:t xml:space="preserve"> tar.</w:t>
      </w:r>
      <w:r w:rsidR="009E5B8F">
        <w:t xml:space="preserve"> Once the </w:t>
      </w:r>
      <w:r w:rsidR="00553723">
        <w:t>O</w:t>
      </w:r>
      <w:r w:rsidR="00553723">
        <w:rPr>
          <w:vertAlign w:val="subscript"/>
        </w:rPr>
        <w:t>2</w:t>
      </w:r>
      <w:r w:rsidR="00553723">
        <w:t xml:space="preserve"> </w:t>
      </w:r>
      <w:r w:rsidR="009E5B8F">
        <w:t xml:space="preserve">has </w:t>
      </w:r>
      <w:r w:rsidR="0086174E">
        <w:t xml:space="preserve">been consumed completely, the </w:t>
      </w:r>
      <w:r w:rsidR="00DC034E">
        <w:t>gases, char and tar left</w:t>
      </w:r>
      <w:r w:rsidR="003116DC">
        <w:t>,</w:t>
      </w:r>
      <w:r w:rsidR="00DC034E">
        <w:t xml:space="preserve"> keep travelling downwards and enter the reduction zone. Here </w:t>
      </w:r>
      <w:r w:rsidR="003116DC">
        <w:t xml:space="preserve">the </w:t>
      </w:r>
      <w:r w:rsidR="00DC034E">
        <w:t xml:space="preserve">temperature reaches values of about 700 – 800 </w:t>
      </w:r>
      <w:r w:rsidR="00DC034E" w:rsidRPr="00B57B36">
        <w:rPr>
          <w:rFonts w:cs="Arial"/>
        </w:rPr>
        <w:t>°</w:t>
      </w:r>
      <w:r w:rsidR="00DC034E" w:rsidRPr="00B57B36">
        <w:t>C</w:t>
      </w:r>
      <w:r w:rsidR="00DC034E">
        <w:t xml:space="preserve"> </w:t>
      </w:r>
      <w:r w:rsidR="007539C6">
        <w:t>(</w:t>
      </w:r>
      <w:r w:rsidR="007539C6" w:rsidRPr="009E062D">
        <w:rPr>
          <w:lang w:val="en-GB"/>
        </w:rPr>
        <w:t>Zainal</w:t>
      </w:r>
      <w:r w:rsidR="007539C6">
        <w:t xml:space="preserve"> et al., 2002) </w:t>
      </w:r>
      <w:r w:rsidR="00DC034E">
        <w:t xml:space="preserve">and the endothermic </w:t>
      </w:r>
      <w:r w:rsidR="006D114D">
        <w:t xml:space="preserve">gasification </w:t>
      </w:r>
      <w:r w:rsidR="00DC034E">
        <w:t xml:space="preserve">reactions take place, along with </w:t>
      </w:r>
      <w:r w:rsidR="003116DC" w:rsidRPr="003116DC">
        <w:rPr>
          <w:lang w:val="en-GB"/>
        </w:rPr>
        <w:t>steam methane reforming and water gas shift reactions, resulting in the production of the final syngas product</w:t>
      </w:r>
      <w:r w:rsidR="003116DC">
        <w:rPr>
          <w:lang w:val="en-GB"/>
        </w:rPr>
        <w:t xml:space="preserve">. A schematic of the process and the reactions considered in this study </w:t>
      </w:r>
      <w:r w:rsidR="006D114D">
        <w:rPr>
          <w:lang w:val="en-GB"/>
        </w:rPr>
        <w:t xml:space="preserve">are </w:t>
      </w:r>
      <w:r w:rsidR="003116DC">
        <w:rPr>
          <w:lang w:val="en-GB"/>
        </w:rPr>
        <w:t>presented in Figure 1.</w:t>
      </w:r>
    </w:p>
    <w:p w14:paraId="45B96396" w14:textId="171977C2" w:rsidR="001B1B31" w:rsidRPr="00857972" w:rsidRDefault="00A24376" w:rsidP="001714E5">
      <w:pPr>
        <w:pStyle w:val="CETBodytext"/>
        <w:rPr>
          <w:lang w:val="en-GB"/>
        </w:rPr>
      </w:pPr>
      <w:r>
        <w:rPr>
          <w:noProof/>
          <w:lang w:val="en-GB" w:eastAsia="en-GB"/>
        </w:rPr>
        <w:drawing>
          <wp:inline distT="0" distB="0" distL="0" distR="0" wp14:anchorId="4B7FB2D8" wp14:editId="6CE1E4E9">
            <wp:extent cx="5618815" cy="1911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0">
                      <a:extLst>
                        <a:ext uri="{28A0092B-C50C-407E-A947-70E740481C1C}">
                          <a14:useLocalDpi xmlns:a14="http://schemas.microsoft.com/office/drawing/2010/main" val="0"/>
                        </a:ext>
                      </a:extLst>
                    </a:blip>
                    <a:srcRect r="4066"/>
                    <a:stretch/>
                  </pic:blipFill>
                  <pic:spPr bwMode="auto">
                    <a:xfrm>
                      <a:off x="0" y="0"/>
                      <a:ext cx="5673127" cy="1929825"/>
                    </a:xfrm>
                    <a:prstGeom prst="rect">
                      <a:avLst/>
                    </a:prstGeom>
                    <a:noFill/>
                    <a:ln>
                      <a:noFill/>
                    </a:ln>
                    <a:extLst>
                      <a:ext uri="{53640926-AAD7-44D8-BBD7-CCE9431645EC}">
                        <a14:shadowObscured xmlns:a14="http://schemas.microsoft.com/office/drawing/2010/main"/>
                      </a:ext>
                    </a:extLst>
                  </pic:spPr>
                </pic:pic>
              </a:graphicData>
            </a:graphic>
          </wp:inline>
        </w:drawing>
      </w:r>
    </w:p>
    <w:p w14:paraId="02957CCD" w14:textId="2C16CFD1" w:rsidR="003116DC" w:rsidRDefault="003116DC" w:rsidP="003116DC">
      <w:pPr>
        <w:pStyle w:val="CETBodytext"/>
      </w:pPr>
      <w:r w:rsidRPr="00BD077D">
        <w:rPr>
          <w:rStyle w:val="CETCaptionCarattere"/>
        </w:rPr>
        <w:t>Figure 1:</w:t>
      </w:r>
      <w:r w:rsidR="006373AF">
        <w:rPr>
          <w:rStyle w:val="CETCaptionCarattere"/>
        </w:rPr>
        <w:t xml:space="preserve"> Schematic of the consecutive stages occurring during biomass gasification in a downdraft gasifier.</w:t>
      </w:r>
    </w:p>
    <w:p w14:paraId="0D31E4D7" w14:textId="54820811" w:rsidR="00572FB4" w:rsidRPr="00D33184" w:rsidRDefault="00553723" w:rsidP="00E71A2C">
      <w:pPr>
        <w:pStyle w:val="CETHeading1"/>
        <w:numPr>
          <w:ilvl w:val="0"/>
          <w:numId w:val="0"/>
        </w:numPr>
      </w:pPr>
      <w:r>
        <w:t xml:space="preserve">2. </w:t>
      </w:r>
      <w:r w:rsidR="00F55866" w:rsidRPr="00D33184">
        <w:t xml:space="preserve">The </w:t>
      </w:r>
      <w:r w:rsidR="006D114D" w:rsidRPr="00D33184">
        <w:t>A</w:t>
      </w:r>
      <w:r w:rsidR="006D114D">
        <w:t>spen</w:t>
      </w:r>
      <w:r w:rsidR="006D114D" w:rsidRPr="00D33184">
        <w:t xml:space="preserve"> </w:t>
      </w:r>
      <w:r w:rsidR="006D114D" w:rsidRPr="001D2B26">
        <w:t>P</w:t>
      </w:r>
      <w:r w:rsidR="00F55866" w:rsidRPr="001D2B26">
        <w:t>lus</w:t>
      </w:r>
      <w:r w:rsidR="00F55866" w:rsidRPr="00D33184">
        <w:t xml:space="preserve"> model</w:t>
      </w:r>
    </w:p>
    <w:p w14:paraId="79A38EC9" w14:textId="2FC779B0" w:rsidR="00D33184" w:rsidRPr="007E499B" w:rsidRDefault="006D114D" w:rsidP="000A34F7">
      <w:pPr>
        <w:pStyle w:val="CETTabletitle"/>
        <w:jc w:val="both"/>
        <w:rPr>
          <w:i w:val="0"/>
        </w:rPr>
      </w:pPr>
      <w:r w:rsidRPr="00D33184">
        <w:rPr>
          <w:i w:val="0"/>
        </w:rPr>
        <w:t>A</w:t>
      </w:r>
      <w:r>
        <w:rPr>
          <w:i w:val="0"/>
        </w:rPr>
        <w:t>spen</w:t>
      </w:r>
      <w:r w:rsidRPr="00D33184">
        <w:rPr>
          <w:i w:val="0"/>
        </w:rPr>
        <w:t xml:space="preserve"> </w:t>
      </w:r>
      <w:r>
        <w:rPr>
          <w:i w:val="0"/>
        </w:rPr>
        <w:t>P</w:t>
      </w:r>
      <w:r w:rsidR="00FF641E" w:rsidRPr="00D33184">
        <w:rPr>
          <w:i w:val="0"/>
        </w:rPr>
        <w:t xml:space="preserve">lus is a process simulation software used to </w:t>
      </w:r>
      <w:r w:rsidR="006800CF" w:rsidRPr="00D33184">
        <w:rPr>
          <w:rFonts w:cs="Arial"/>
          <w:i w:val="0"/>
          <w:color w:val="1C1D1E"/>
          <w:shd w:val="clear" w:color="auto" w:fill="FFFFFF"/>
        </w:rPr>
        <w:t>mod</w:t>
      </w:r>
      <w:r w:rsidR="00F5548E" w:rsidRPr="00D33184">
        <w:rPr>
          <w:rFonts w:cs="Arial"/>
          <w:i w:val="0"/>
          <w:color w:val="1C1D1E"/>
          <w:shd w:val="clear" w:color="auto" w:fill="FFFFFF"/>
        </w:rPr>
        <w:t xml:space="preserve">el, simulate, and </w:t>
      </w:r>
      <w:r w:rsidRPr="00D33184">
        <w:rPr>
          <w:rFonts w:cs="Arial"/>
          <w:i w:val="0"/>
          <w:color w:val="1C1D1E"/>
          <w:shd w:val="clear" w:color="auto" w:fill="FFFFFF"/>
        </w:rPr>
        <w:t>optimi</w:t>
      </w:r>
      <w:r>
        <w:rPr>
          <w:rFonts w:cs="Arial"/>
          <w:i w:val="0"/>
          <w:color w:val="1C1D1E"/>
          <w:shd w:val="clear" w:color="auto" w:fill="FFFFFF"/>
        </w:rPr>
        <w:t>s</w:t>
      </w:r>
      <w:r w:rsidRPr="00D33184">
        <w:rPr>
          <w:rFonts w:cs="Arial"/>
          <w:i w:val="0"/>
          <w:color w:val="1C1D1E"/>
          <w:shd w:val="clear" w:color="auto" w:fill="FFFFFF"/>
        </w:rPr>
        <w:t xml:space="preserve">e </w:t>
      </w:r>
      <w:r w:rsidR="00F5548E" w:rsidRPr="00D33184">
        <w:rPr>
          <w:rFonts w:cs="Arial"/>
          <w:i w:val="0"/>
          <w:color w:val="1C1D1E"/>
          <w:shd w:val="clear" w:color="auto" w:fill="FFFFFF"/>
        </w:rPr>
        <w:t>complex</w:t>
      </w:r>
      <w:r w:rsidR="006800CF" w:rsidRPr="00D33184">
        <w:rPr>
          <w:rFonts w:cs="Arial"/>
          <w:i w:val="0"/>
          <w:color w:val="1C1D1E"/>
          <w:shd w:val="clear" w:color="auto" w:fill="FFFFFF"/>
        </w:rPr>
        <w:t xml:space="preserve"> processes such as biomass gasification.</w:t>
      </w:r>
      <w:r w:rsidR="000858A6" w:rsidRPr="00D33184">
        <w:rPr>
          <w:rFonts w:cs="Arial"/>
          <w:i w:val="0"/>
          <w:color w:val="1C1D1E"/>
          <w:shd w:val="clear" w:color="auto" w:fill="FFFFFF"/>
        </w:rPr>
        <w:t xml:space="preserve"> Biomass has a complicated structure</w:t>
      </w:r>
      <w:r w:rsidR="004569F5" w:rsidRPr="00D33184">
        <w:rPr>
          <w:rFonts w:cs="Arial"/>
          <w:i w:val="0"/>
          <w:color w:val="1C1D1E"/>
          <w:shd w:val="clear" w:color="auto" w:fill="FFFFFF"/>
        </w:rPr>
        <w:t xml:space="preserve"> made of large polymeric molecules such as lignin</w:t>
      </w:r>
      <w:r w:rsidR="000858A6" w:rsidRPr="00D33184">
        <w:rPr>
          <w:rFonts w:cs="Arial"/>
          <w:i w:val="0"/>
          <w:color w:val="1C1D1E"/>
          <w:shd w:val="clear" w:color="auto" w:fill="FFFFFF"/>
        </w:rPr>
        <w:t xml:space="preserve">, which can vary drastically for different feedstocks. </w:t>
      </w:r>
      <w:r w:rsidR="004569F5" w:rsidRPr="00D33184">
        <w:rPr>
          <w:rFonts w:cs="Arial"/>
          <w:i w:val="0"/>
          <w:color w:val="1C1D1E"/>
          <w:shd w:val="clear" w:color="auto" w:fill="FFFFFF"/>
        </w:rPr>
        <w:t>It cannot therefore be found as a pure chemical compound in any database but it must</w:t>
      </w:r>
      <w:r w:rsidR="00D33184" w:rsidRPr="00D33184">
        <w:rPr>
          <w:rFonts w:cs="Arial"/>
          <w:i w:val="0"/>
          <w:color w:val="1C1D1E"/>
          <w:shd w:val="clear" w:color="auto" w:fill="FFFFFF"/>
        </w:rPr>
        <w:t xml:space="preserve"> be defined in </w:t>
      </w:r>
      <w:r w:rsidRPr="00D33184">
        <w:rPr>
          <w:rFonts w:cs="Arial"/>
          <w:i w:val="0"/>
          <w:color w:val="1C1D1E"/>
          <w:shd w:val="clear" w:color="auto" w:fill="FFFFFF"/>
        </w:rPr>
        <w:t>A</w:t>
      </w:r>
      <w:r>
        <w:rPr>
          <w:rFonts w:cs="Arial"/>
          <w:i w:val="0"/>
          <w:color w:val="1C1D1E"/>
          <w:shd w:val="clear" w:color="auto" w:fill="FFFFFF"/>
        </w:rPr>
        <w:t>spen</w:t>
      </w:r>
      <w:r w:rsidRPr="00D33184">
        <w:rPr>
          <w:rFonts w:cs="Arial"/>
          <w:i w:val="0"/>
          <w:color w:val="1C1D1E"/>
          <w:shd w:val="clear" w:color="auto" w:fill="FFFFFF"/>
        </w:rPr>
        <w:t xml:space="preserve"> </w:t>
      </w:r>
      <w:r>
        <w:rPr>
          <w:rFonts w:cs="Arial"/>
          <w:i w:val="0"/>
          <w:color w:val="1C1D1E"/>
          <w:shd w:val="clear" w:color="auto" w:fill="FFFFFF"/>
        </w:rPr>
        <w:t>P</w:t>
      </w:r>
      <w:r w:rsidR="00D33184" w:rsidRPr="00D33184">
        <w:rPr>
          <w:rFonts w:cs="Arial"/>
          <w:i w:val="0"/>
          <w:color w:val="1C1D1E"/>
          <w:shd w:val="clear" w:color="auto" w:fill="FFFFFF"/>
        </w:rPr>
        <w:t>lus as a</w:t>
      </w:r>
      <w:r w:rsidR="00093936" w:rsidRPr="00D33184">
        <w:rPr>
          <w:rFonts w:cs="Arial"/>
          <w:i w:val="0"/>
          <w:color w:val="1C1D1E"/>
          <w:shd w:val="clear" w:color="auto" w:fill="FFFFFF"/>
        </w:rPr>
        <w:t xml:space="preserve"> non</w:t>
      </w:r>
      <w:r w:rsidR="000858A6" w:rsidRPr="00D33184">
        <w:rPr>
          <w:rFonts w:cs="Arial"/>
          <w:i w:val="0"/>
          <w:color w:val="1C1D1E"/>
          <w:shd w:val="clear" w:color="auto" w:fill="FFFFFF"/>
        </w:rPr>
        <w:t xml:space="preserve">conventional fuel, </w:t>
      </w:r>
      <w:r w:rsidRPr="00D33184">
        <w:rPr>
          <w:rFonts w:cs="Arial"/>
          <w:i w:val="0"/>
          <w:color w:val="1C1D1E"/>
          <w:shd w:val="clear" w:color="auto" w:fill="FFFFFF"/>
        </w:rPr>
        <w:t>characteri</w:t>
      </w:r>
      <w:r>
        <w:rPr>
          <w:rFonts w:cs="Arial"/>
          <w:i w:val="0"/>
          <w:color w:val="1C1D1E"/>
          <w:shd w:val="clear" w:color="auto" w:fill="FFFFFF"/>
        </w:rPr>
        <w:t>s</w:t>
      </w:r>
      <w:r w:rsidRPr="00D33184">
        <w:rPr>
          <w:rFonts w:cs="Arial"/>
          <w:i w:val="0"/>
          <w:color w:val="1C1D1E"/>
          <w:shd w:val="clear" w:color="auto" w:fill="FFFFFF"/>
        </w:rPr>
        <w:t xml:space="preserve">ed </w:t>
      </w:r>
      <w:r w:rsidR="000858A6" w:rsidRPr="00D33184">
        <w:rPr>
          <w:rFonts w:cs="Arial"/>
          <w:i w:val="0"/>
          <w:color w:val="1C1D1E"/>
          <w:shd w:val="clear" w:color="auto" w:fill="FFFFFF"/>
        </w:rPr>
        <w:t xml:space="preserve">by its proximate and </w:t>
      </w:r>
      <w:r w:rsidR="002B5854" w:rsidRPr="00D33184">
        <w:rPr>
          <w:rFonts w:cs="Arial"/>
          <w:i w:val="0"/>
          <w:color w:val="1C1D1E"/>
          <w:shd w:val="clear" w:color="auto" w:fill="FFFFFF"/>
        </w:rPr>
        <w:t>ultimate analyses, which are</w:t>
      </w:r>
      <w:r w:rsidR="000858A6" w:rsidRPr="00D33184">
        <w:rPr>
          <w:rFonts w:cs="Arial"/>
          <w:i w:val="0"/>
          <w:color w:val="1C1D1E"/>
          <w:shd w:val="clear" w:color="auto" w:fill="FFFFFF"/>
        </w:rPr>
        <w:t xml:space="preserve"> used to generate material balance calculations in later stages.</w:t>
      </w:r>
      <w:r w:rsidR="00F5548E" w:rsidRPr="00D33184">
        <w:rPr>
          <w:i w:val="0"/>
        </w:rPr>
        <w:t xml:space="preserve"> </w:t>
      </w:r>
      <w:r w:rsidR="00FF641E" w:rsidRPr="00D33184">
        <w:rPr>
          <w:i w:val="0"/>
        </w:rPr>
        <w:t>The model proposed here follows the rationale described above</w:t>
      </w:r>
      <w:r w:rsidR="00D33184">
        <w:rPr>
          <w:i w:val="0"/>
        </w:rPr>
        <w:t xml:space="preserve"> for a downdraft gasifier</w:t>
      </w:r>
      <w:r w:rsidR="00FF641E" w:rsidRPr="00D33184">
        <w:rPr>
          <w:i w:val="0"/>
        </w:rPr>
        <w:t xml:space="preserve">. </w:t>
      </w:r>
      <w:r w:rsidR="00D33184" w:rsidRPr="00D33184">
        <w:rPr>
          <w:i w:val="0"/>
        </w:rPr>
        <w:t xml:space="preserve">Figure </w:t>
      </w:r>
      <w:r w:rsidR="00D33184" w:rsidRPr="007E499B">
        <w:rPr>
          <w:i w:val="0"/>
        </w:rPr>
        <w:t xml:space="preserve">2 shows the flowsheet built to </w:t>
      </w:r>
      <w:r w:rsidR="00481F7B">
        <w:rPr>
          <w:i w:val="0"/>
        </w:rPr>
        <w:t>simulate</w:t>
      </w:r>
      <w:r w:rsidR="00D33184" w:rsidRPr="007E499B">
        <w:rPr>
          <w:i w:val="0"/>
        </w:rPr>
        <w:t xml:space="preserve"> the sequence of thermochemical stages biomass undergoes, from wet biomass to the produced syngas. The red streams represent the biomass and the species it converts into, while the blue streams </w:t>
      </w:r>
      <w:r w:rsidR="00D33184" w:rsidRPr="007E499B">
        <w:rPr>
          <w:i w:val="0"/>
        </w:rPr>
        <w:lastRenderedPageBreak/>
        <w:t xml:space="preserve">represent external inputs. Table 1 </w:t>
      </w:r>
      <w:r w:rsidR="00D33184">
        <w:rPr>
          <w:i w:val="0"/>
        </w:rPr>
        <w:t>presents</w:t>
      </w:r>
      <w:r w:rsidR="00D33184" w:rsidRPr="007E499B">
        <w:rPr>
          <w:i w:val="0"/>
        </w:rPr>
        <w:t xml:space="preserve"> the list of units employed in the flowsheet with a short description of each block.</w:t>
      </w:r>
    </w:p>
    <w:p w14:paraId="7C2B0064" w14:textId="16432631" w:rsidR="00453E24" w:rsidRDefault="000B381D" w:rsidP="00A4031F">
      <w:pPr>
        <w:pStyle w:val="CETBodytext"/>
        <w:jc w:val="left"/>
      </w:pPr>
      <w:r>
        <w:rPr>
          <w:noProof/>
          <w:lang w:val="en-GB" w:eastAsia="en-GB"/>
        </w:rPr>
        <w:drawing>
          <wp:inline distT="0" distB="0" distL="0" distR="0" wp14:anchorId="363830FA" wp14:editId="2BAC3348">
            <wp:extent cx="5581650" cy="1703408"/>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1">
                      <a:extLst>
                        <a:ext uri="{28A0092B-C50C-407E-A947-70E740481C1C}">
                          <a14:useLocalDpi xmlns:a14="http://schemas.microsoft.com/office/drawing/2010/main" val="0"/>
                        </a:ext>
                      </a:extLst>
                    </a:blip>
                    <a:srcRect l="641" t="1986" r="673" b="4667"/>
                    <a:stretch/>
                  </pic:blipFill>
                  <pic:spPr bwMode="auto">
                    <a:xfrm>
                      <a:off x="0" y="0"/>
                      <a:ext cx="5618170" cy="1714553"/>
                    </a:xfrm>
                    <a:prstGeom prst="rect">
                      <a:avLst/>
                    </a:prstGeom>
                    <a:noFill/>
                    <a:ln>
                      <a:noFill/>
                    </a:ln>
                    <a:extLst>
                      <a:ext uri="{53640926-AAD7-44D8-BBD7-CCE9431645EC}">
                        <a14:shadowObscured xmlns:a14="http://schemas.microsoft.com/office/drawing/2010/main"/>
                      </a:ext>
                    </a:extLst>
                  </pic:spPr>
                </pic:pic>
              </a:graphicData>
            </a:graphic>
          </wp:inline>
        </w:drawing>
      </w:r>
    </w:p>
    <w:p w14:paraId="0292B45D" w14:textId="48CE319D" w:rsidR="00572FB4" w:rsidRDefault="00A40898" w:rsidP="00453E24">
      <w:pPr>
        <w:pStyle w:val="CETBodytext"/>
      </w:pPr>
      <w:r w:rsidRPr="00BD077D">
        <w:rPr>
          <w:rStyle w:val="CETCaptionCarattere"/>
        </w:rPr>
        <w:t xml:space="preserve">Figure </w:t>
      </w:r>
      <w:r w:rsidR="009138D7">
        <w:rPr>
          <w:rStyle w:val="CETCaptionCarattere"/>
        </w:rPr>
        <w:t>2</w:t>
      </w:r>
      <w:r w:rsidRPr="00BD077D">
        <w:rPr>
          <w:rStyle w:val="CETCaptionCarattere"/>
        </w:rPr>
        <w:t>:</w:t>
      </w:r>
      <w:r w:rsidR="009138D7">
        <w:rPr>
          <w:rStyle w:val="CETCaptionCarattere"/>
        </w:rPr>
        <w:t xml:space="preserve"> A</w:t>
      </w:r>
      <w:r w:rsidR="00967564">
        <w:rPr>
          <w:rStyle w:val="CETCaptionCarattere"/>
        </w:rPr>
        <w:t>spen</w:t>
      </w:r>
      <w:r w:rsidR="009138D7">
        <w:rPr>
          <w:rStyle w:val="CETCaptionCarattere"/>
        </w:rPr>
        <w:t xml:space="preserve"> </w:t>
      </w:r>
      <w:r w:rsidR="00967564">
        <w:rPr>
          <w:rStyle w:val="CETCaptionCarattere"/>
        </w:rPr>
        <w:t>P</w:t>
      </w:r>
      <w:r w:rsidR="009138D7">
        <w:rPr>
          <w:rStyle w:val="CETCaptionCarattere"/>
        </w:rPr>
        <w:t>lus flowsheet constructed for the present work. Red streams represent the motion of the biomass material and derivatives</w:t>
      </w:r>
      <w:r w:rsidR="00967564">
        <w:rPr>
          <w:rStyle w:val="CETCaptionCarattere"/>
        </w:rPr>
        <w:t>.</w:t>
      </w:r>
      <w:r w:rsidR="009138D7">
        <w:rPr>
          <w:rStyle w:val="CETCaptionCarattere"/>
        </w:rPr>
        <w:t xml:space="preserve"> </w:t>
      </w:r>
    </w:p>
    <w:p w14:paraId="5A6C6CDF" w14:textId="3E438C2E" w:rsidR="000A3326" w:rsidRPr="00B57B36" w:rsidRDefault="000A3326" w:rsidP="000A3326">
      <w:pPr>
        <w:pStyle w:val="CETTabletitle"/>
      </w:pPr>
      <w:r w:rsidRPr="00B57B36">
        <w:t xml:space="preserve">Table 1: </w:t>
      </w:r>
      <w:r>
        <w:t xml:space="preserve">List of </w:t>
      </w:r>
      <w:r w:rsidR="00967564">
        <w:t>units used in the Aspen Plus flowsheet.</w:t>
      </w:r>
    </w:p>
    <w:tbl>
      <w:tblPr>
        <w:tblW w:w="8789"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985"/>
        <w:gridCol w:w="1559"/>
        <w:gridCol w:w="5245"/>
      </w:tblGrid>
      <w:tr w:rsidR="00F519D9" w:rsidRPr="00DD058A" w14:paraId="37EF1CCA" w14:textId="77777777" w:rsidTr="00D33184">
        <w:tc>
          <w:tcPr>
            <w:tcW w:w="1985" w:type="dxa"/>
            <w:tcBorders>
              <w:top w:val="single" w:sz="12" w:space="0" w:color="008000"/>
              <w:bottom w:val="single" w:sz="6" w:space="0" w:color="008000"/>
            </w:tcBorders>
            <w:shd w:val="clear" w:color="auto" w:fill="FFFFFF"/>
          </w:tcPr>
          <w:p w14:paraId="0C999DA0" w14:textId="7E31AF1E" w:rsidR="00F519D9" w:rsidRPr="00DD058A" w:rsidRDefault="00F519D9" w:rsidP="00C84AF9">
            <w:pPr>
              <w:pStyle w:val="CETBodytext"/>
              <w:rPr>
                <w:sz w:val="16"/>
                <w:lang w:val="en-GB"/>
              </w:rPr>
            </w:pPr>
            <w:r w:rsidRPr="00DD058A">
              <w:rPr>
                <w:sz w:val="16"/>
                <w:lang w:val="en-GB"/>
              </w:rPr>
              <w:t>Block name</w:t>
            </w:r>
          </w:p>
        </w:tc>
        <w:tc>
          <w:tcPr>
            <w:tcW w:w="1559" w:type="dxa"/>
            <w:tcBorders>
              <w:top w:val="single" w:sz="12" w:space="0" w:color="008000"/>
              <w:bottom w:val="single" w:sz="6" w:space="0" w:color="008000"/>
            </w:tcBorders>
            <w:shd w:val="clear" w:color="auto" w:fill="FFFFFF"/>
          </w:tcPr>
          <w:p w14:paraId="7C40CB34" w14:textId="58E9C654" w:rsidR="00F519D9" w:rsidRPr="00DD058A" w:rsidRDefault="00F519D9" w:rsidP="00C84AF9">
            <w:pPr>
              <w:pStyle w:val="CETBodytext"/>
              <w:rPr>
                <w:sz w:val="16"/>
                <w:lang w:val="en-GB"/>
              </w:rPr>
            </w:pPr>
            <w:r w:rsidRPr="00DD058A">
              <w:rPr>
                <w:sz w:val="16"/>
                <w:lang w:val="en-GB"/>
              </w:rPr>
              <w:t>Type</w:t>
            </w:r>
          </w:p>
        </w:tc>
        <w:tc>
          <w:tcPr>
            <w:tcW w:w="5245" w:type="dxa"/>
            <w:tcBorders>
              <w:top w:val="single" w:sz="12" w:space="0" w:color="008000"/>
              <w:bottom w:val="single" w:sz="6" w:space="0" w:color="008000"/>
            </w:tcBorders>
            <w:shd w:val="clear" w:color="auto" w:fill="FFFFFF"/>
          </w:tcPr>
          <w:p w14:paraId="5CC0800D" w14:textId="343B4DF6" w:rsidR="00F519D9" w:rsidRPr="00DD058A" w:rsidRDefault="00F519D9" w:rsidP="00C84AF9">
            <w:pPr>
              <w:pStyle w:val="CETBodytext"/>
              <w:rPr>
                <w:sz w:val="16"/>
                <w:lang w:val="en-GB"/>
              </w:rPr>
            </w:pPr>
            <w:r w:rsidRPr="00DD058A">
              <w:rPr>
                <w:sz w:val="16"/>
                <w:lang w:val="en-GB"/>
              </w:rPr>
              <w:t>Description</w:t>
            </w:r>
          </w:p>
        </w:tc>
      </w:tr>
      <w:tr w:rsidR="00F519D9" w:rsidRPr="00DD058A" w14:paraId="79C430C3" w14:textId="77777777" w:rsidTr="00D33184">
        <w:tc>
          <w:tcPr>
            <w:tcW w:w="1985" w:type="dxa"/>
            <w:shd w:val="clear" w:color="auto" w:fill="FFFFFF"/>
          </w:tcPr>
          <w:p w14:paraId="6B30490C" w14:textId="35CFB2E8" w:rsidR="00F519D9" w:rsidRPr="00DD058A" w:rsidRDefault="00F519D9" w:rsidP="00C84AF9">
            <w:pPr>
              <w:pStyle w:val="CETBodytext"/>
              <w:rPr>
                <w:sz w:val="16"/>
                <w:lang w:val="en-GB"/>
              </w:rPr>
            </w:pPr>
            <w:r w:rsidRPr="00DD058A">
              <w:rPr>
                <w:sz w:val="16"/>
                <w:lang w:val="en-GB"/>
              </w:rPr>
              <w:t>WATER-CALCULATOR</w:t>
            </w:r>
          </w:p>
        </w:tc>
        <w:tc>
          <w:tcPr>
            <w:tcW w:w="1559" w:type="dxa"/>
            <w:shd w:val="clear" w:color="auto" w:fill="FFFFFF"/>
          </w:tcPr>
          <w:p w14:paraId="366F3F21" w14:textId="1B2B25C5" w:rsidR="00F519D9" w:rsidRPr="00DD058A" w:rsidRDefault="00F519D9" w:rsidP="00C84AF9">
            <w:pPr>
              <w:pStyle w:val="CETBodytext"/>
              <w:rPr>
                <w:sz w:val="16"/>
                <w:lang w:val="en-GB"/>
              </w:rPr>
            </w:pPr>
            <w:r w:rsidRPr="00DD058A">
              <w:rPr>
                <w:sz w:val="16"/>
                <w:lang w:val="en-GB"/>
              </w:rPr>
              <w:t>Fortran Calculator</w:t>
            </w:r>
          </w:p>
        </w:tc>
        <w:tc>
          <w:tcPr>
            <w:tcW w:w="5245" w:type="dxa"/>
            <w:shd w:val="clear" w:color="auto" w:fill="FFFFFF"/>
          </w:tcPr>
          <w:p w14:paraId="64D5B2DF" w14:textId="679DC3B2" w:rsidR="00F519D9" w:rsidRPr="00DD058A" w:rsidRDefault="00730691" w:rsidP="00C84AF9">
            <w:pPr>
              <w:pStyle w:val="CETBodytext"/>
              <w:rPr>
                <w:sz w:val="16"/>
                <w:lang w:val="en-GB"/>
              </w:rPr>
            </w:pPr>
            <w:r>
              <w:rPr>
                <w:sz w:val="16"/>
                <w:lang w:val="en-GB"/>
              </w:rPr>
              <w:t>C</w:t>
            </w:r>
            <w:r w:rsidR="00F519D9" w:rsidRPr="00DD058A">
              <w:rPr>
                <w:sz w:val="16"/>
                <w:lang w:val="en-GB"/>
              </w:rPr>
              <w:t>ontrol</w:t>
            </w:r>
            <w:r>
              <w:rPr>
                <w:sz w:val="16"/>
                <w:lang w:val="en-GB"/>
              </w:rPr>
              <w:t>s</w:t>
            </w:r>
            <w:r w:rsidR="00F519D9" w:rsidRPr="00DD058A">
              <w:rPr>
                <w:sz w:val="16"/>
                <w:lang w:val="en-GB"/>
              </w:rPr>
              <w:t xml:space="preserve"> the fraction of water removed during the drying step.</w:t>
            </w:r>
          </w:p>
        </w:tc>
      </w:tr>
      <w:tr w:rsidR="00F519D9" w:rsidRPr="00DD058A" w14:paraId="70DC4D1A" w14:textId="77777777" w:rsidTr="00D33184">
        <w:tc>
          <w:tcPr>
            <w:tcW w:w="1985" w:type="dxa"/>
            <w:shd w:val="clear" w:color="auto" w:fill="FFFFFF"/>
          </w:tcPr>
          <w:p w14:paraId="41734E5C" w14:textId="4C922A79" w:rsidR="00F519D9" w:rsidRPr="00DD058A" w:rsidRDefault="00F519D9" w:rsidP="00C84AF9">
            <w:pPr>
              <w:pStyle w:val="CETBodytext"/>
              <w:rPr>
                <w:sz w:val="16"/>
                <w:lang w:val="en-GB"/>
              </w:rPr>
            </w:pPr>
            <w:r w:rsidRPr="00DD058A">
              <w:rPr>
                <w:sz w:val="16"/>
                <w:lang w:val="en-GB"/>
              </w:rPr>
              <w:t>DRY-REAC</w:t>
            </w:r>
          </w:p>
        </w:tc>
        <w:tc>
          <w:tcPr>
            <w:tcW w:w="1559" w:type="dxa"/>
            <w:shd w:val="clear" w:color="auto" w:fill="FFFFFF"/>
          </w:tcPr>
          <w:p w14:paraId="7F91E926" w14:textId="1DB9EC21" w:rsidR="00F519D9" w:rsidRPr="00DD058A" w:rsidRDefault="00F519D9" w:rsidP="00C84AF9">
            <w:pPr>
              <w:pStyle w:val="CETBodytext"/>
              <w:rPr>
                <w:sz w:val="16"/>
                <w:lang w:val="en-GB"/>
              </w:rPr>
            </w:pPr>
            <w:r w:rsidRPr="00DD058A">
              <w:rPr>
                <w:sz w:val="16"/>
                <w:lang w:val="en-GB"/>
              </w:rPr>
              <w:t>RStoic</w:t>
            </w:r>
          </w:p>
        </w:tc>
        <w:tc>
          <w:tcPr>
            <w:tcW w:w="5245" w:type="dxa"/>
            <w:shd w:val="clear" w:color="auto" w:fill="FFFFFF"/>
          </w:tcPr>
          <w:p w14:paraId="1BAA4CD2" w14:textId="68E1ACC7" w:rsidR="00F519D9" w:rsidRPr="00DD058A" w:rsidRDefault="00F519D9" w:rsidP="00F519D9">
            <w:pPr>
              <w:pStyle w:val="CETBodytext"/>
              <w:rPr>
                <w:sz w:val="16"/>
                <w:lang w:val="en-GB"/>
              </w:rPr>
            </w:pPr>
            <w:r w:rsidRPr="00DD058A">
              <w:rPr>
                <w:sz w:val="16"/>
                <w:lang w:val="en-GB"/>
              </w:rPr>
              <w:t>Simulates the drying process.</w:t>
            </w:r>
          </w:p>
        </w:tc>
      </w:tr>
      <w:tr w:rsidR="00F519D9" w:rsidRPr="00DD058A" w14:paraId="0FC5C875" w14:textId="77777777" w:rsidTr="00D33184">
        <w:tc>
          <w:tcPr>
            <w:tcW w:w="1985" w:type="dxa"/>
            <w:shd w:val="clear" w:color="auto" w:fill="FFFFFF"/>
          </w:tcPr>
          <w:p w14:paraId="4EA4E47B" w14:textId="3BBD7D7F" w:rsidR="00F519D9" w:rsidRPr="00DD058A" w:rsidRDefault="00F519D9" w:rsidP="00C84AF9">
            <w:pPr>
              <w:pStyle w:val="CETBodytext"/>
              <w:rPr>
                <w:sz w:val="16"/>
                <w:lang w:val="en-GB"/>
              </w:rPr>
            </w:pPr>
            <w:r w:rsidRPr="00DD058A">
              <w:rPr>
                <w:sz w:val="16"/>
                <w:lang w:val="en-GB"/>
              </w:rPr>
              <w:t>DRY-FLSH</w:t>
            </w:r>
          </w:p>
        </w:tc>
        <w:tc>
          <w:tcPr>
            <w:tcW w:w="1559" w:type="dxa"/>
            <w:shd w:val="clear" w:color="auto" w:fill="FFFFFF"/>
          </w:tcPr>
          <w:p w14:paraId="26DE3387" w14:textId="2DB407A5" w:rsidR="00F519D9" w:rsidRPr="00DD058A" w:rsidRDefault="00F519D9" w:rsidP="00C84AF9">
            <w:pPr>
              <w:pStyle w:val="CETBodytext"/>
              <w:rPr>
                <w:sz w:val="16"/>
                <w:lang w:val="en-GB"/>
              </w:rPr>
            </w:pPr>
            <w:r w:rsidRPr="00DD058A">
              <w:rPr>
                <w:sz w:val="16"/>
                <w:lang w:val="en-GB"/>
              </w:rPr>
              <w:t>Flash 2</w:t>
            </w:r>
          </w:p>
        </w:tc>
        <w:tc>
          <w:tcPr>
            <w:tcW w:w="5245" w:type="dxa"/>
            <w:shd w:val="clear" w:color="auto" w:fill="FFFFFF"/>
          </w:tcPr>
          <w:p w14:paraId="356B8AA6" w14:textId="5602DBCB" w:rsidR="00F519D9" w:rsidRPr="00DD058A" w:rsidRDefault="00F519D9" w:rsidP="00C84AF9">
            <w:pPr>
              <w:pStyle w:val="CETBodytext"/>
              <w:rPr>
                <w:sz w:val="16"/>
                <w:lang w:val="en-GB"/>
              </w:rPr>
            </w:pPr>
            <w:r w:rsidRPr="00DD058A">
              <w:rPr>
                <w:sz w:val="16"/>
                <w:lang w:val="en-GB"/>
              </w:rPr>
              <w:t>Separates the solid dry biomass from the hot gas and water vapour.</w:t>
            </w:r>
          </w:p>
        </w:tc>
      </w:tr>
      <w:tr w:rsidR="00F519D9" w:rsidRPr="00DD058A" w14:paraId="2DDF2345" w14:textId="77777777" w:rsidTr="00D33184">
        <w:tc>
          <w:tcPr>
            <w:tcW w:w="1985" w:type="dxa"/>
            <w:shd w:val="clear" w:color="auto" w:fill="FFFFFF"/>
          </w:tcPr>
          <w:p w14:paraId="08099FCD" w14:textId="4738F029" w:rsidR="00F519D9" w:rsidRPr="00DD058A" w:rsidRDefault="00F519D9" w:rsidP="00C84AF9">
            <w:pPr>
              <w:pStyle w:val="CETBodytext"/>
              <w:rPr>
                <w:sz w:val="16"/>
                <w:lang w:val="en-GB"/>
              </w:rPr>
            </w:pPr>
            <w:r w:rsidRPr="00DD058A">
              <w:rPr>
                <w:sz w:val="16"/>
                <w:lang w:val="en-GB"/>
              </w:rPr>
              <w:t>SEP2</w:t>
            </w:r>
          </w:p>
        </w:tc>
        <w:tc>
          <w:tcPr>
            <w:tcW w:w="1559" w:type="dxa"/>
            <w:shd w:val="clear" w:color="auto" w:fill="FFFFFF"/>
          </w:tcPr>
          <w:p w14:paraId="74442821" w14:textId="369ABB5D" w:rsidR="00F519D9" w:rsidRPr="00DD058A" w:rsidRDefault="00152687" w:rsidP="00C84AF9">
            <w:pPr>
              <w:pStyle w:val="CETBodytext"/>
              <w:rPr>
                <w:sz w:val="16"/>
                <w:lang w:val="en-GB"/>
              </w:rPr>
            </w:pPr>
            <w:r w:rsidRPr="00DD058A">
              <w:rPr>
                <w:sz w:val="16"/>
                <w:lang w:val="en-GB"/>
              </w:rPr>
              <w:t>SSOLID</w:t>
            </w:r>
          </w:p>
        </w:tc>
        <w:tc>
          <w:tcPr>
            <w:tcW w:w="5245" w:type="dxa"/>
            <w:shd w:val="clear" w:color="auto" w:fill="FFFFFF"/>
          </w:tcPr>
          <w:p w14:paraId="75C45DB7" w14:textId="6D14B8CF" w:rsidR="00F519D9" w:rsidRPr="00DD058A" w:rsidRDefault="00F519D9" w:rsidP="00C84AF9">
            <w:pPr>
              <w:pStyle w:val="CETBodytext"/>
              <w:rPr>
                <w:sz w:val="16"/>
                <w:lang w:val="en-GB"/>
              </w:rPr>
            </w:pPr>
            <w:r w:rsidRPr="00DD058A">
              <w:rPr>
                <w:sz w:val="16"/>
                <w:lang w:val="en-GB"/>
              </w:rPr>
              <w:t>Separates the hot gas from the water extracted from the biomass.</w:t>
            </w:r>
          </w:p>
        </w:tc>
      </w:tr>
      <w:tr w:rsidR="00F519D9" w:rsidRPr="00DD058A" w14:paraId="6AE1CB35" w14:textId="77777777" w:rsidTr="00D33184">
        <w:tc>
          <w:tcPr>
            <w:tcW w:w="1985" w:type="dxa"/>
            <w:shd w:val="clear" w:color="auto" w:fill="FFFFFF"/>
          </w:tcPr>
          <w:p w14:paraId="44F7C7DB" w14:textId="355DD7B4" w:rsidR="00F519D9" w:rsidRPr="00DD058A" w:rsidRDefault="00F519D9" w:rsidP="00C84AF9">
            <w:pPr>
              <w:pStyle w:val="CETBodytext"/>
              <w:rPr>
                <w:sz w:val="16"/>
                <w:lang w:val="en-GB"/>
              </w:rPr>
            </w:pPr>
            <w:r w:rsidRPr="00DD058A">
              <w:rPr>
                <w:sz w:val="16"/>
                <w:lang w:val="en-GB"/>
              </w:rPr>
              <w:t>HEATER</w:t>
            </w:r>
          </w:p>
        </w:tc>
        <w:tc>
          <w:tcPr>
            <w:tcW w:w="1559" w:type="dxa"/>
            <w:shd w:val="clear" w:color="auto" w:fill="FFFFFF"/>
          </w:tcPr>
          <w:p w14:paraId="70BAF39F" w14:textId="414C9319" w:rsidR="00F519D9" w:rsidRPr="00DD058A" w:rsidRDefault="00152687" w:rsidP="00C84AF9">
            <w:pPr>
              <w:pStyle w:val="CETBodytext"/>
              <w:rPr>
                <w:sz w:val="16"/>
                <w:lang w:val="en-GB"/>
              </w:rPr>
            </w:pPr>
            <w:r w:rsidRPr="00DD058A">
              <w:rPr>
                <w:sz w:val="16"/>
                <w:lang w:val="en-GB"/>
              </w:rPr>
              <w:t>HEATER</w:t>
            </w:r>
          </w:p>
        </w:tc>
        <w:tc>
          <w:tcPr>
            <w:tcW w:w="5245" w:type="dxa"/>
            <w:shd w:val="clear" w:color="auto" w:fill="FFFFFF"/>
          </w:tcPr>
          <w:p w14:paraId="4F211D83" w14:textId="3C4441E8" w:rsidR="00F519D9" w:rsidRPr="00DD058A" w:rsidRDefault="00F519D9" w:rsidP="00C84AF9">
            <w:pPr>
              <w:pStyle w:val="CETBodytext"/>
              <w:rPr>
                <w:sz w:val="16"/>
                <w:lang w:val="en-GB"/>
              </w:rPr>
            </w:pPr>
            <w:r w:rsidRPr="00DD058A">
              <w:rPr>
                <w:sz w:val="16"/>
                <w:lang w:val="en-GB"/>
              </w:rPr>
              <w:t>Heats the biomass to the temperature chosen for pyrolysis.</w:t>
            </w:r>
          </w:p>
        </w:tc>
      </w:tr>
      <w:tr w:rsidR="00F519D9" w:rsidRPr="00DD058A" w14:paraId="781DCB6C" w14:textId="77777777" w:rsidTr="00D33184">
        <w:tc>
          <w:tcPr>
            <w:tcW w:w="1985" w:type="dxa"/>
            <w:shd w:val="clear" w:color="auto" w:fill="FFFFFF"/>
          </w:tcPr>
          <w:p w14:paraId="2E6CACE3" w14:textId="1362DCC3" w:rsidR="00F519D9" w:rsidRPr="00DD058A" w:rsidRDefault="00F519D9" w:rsidP="00C84AF9">
            <w:pPr>
              <w:pStyle w:val="CETBodytext"/>
              <w:rPr>
                <w:sz w:val="16"/>
                <w:lang w:val="en-GB"/>
              </w:rPr>
            </w:pPr>
            <w:r w:rsidRPr="00DD058A">
              <w:rPr>
                <w:sz w:val="16"/>
                <w:lang w:val="en-GB"/>
              </w:rPr>
              <w:t>DECO-CAL</w:t>
            </w:r>
          </w:p>
        </w:tc>
        <w:tc>
          <w:tcPr>
            <w:tcW w:w="1559" w:type="dxa"/>
            <w:shd w:val="clear" w:color="auto" w:fill="FFFFFF"/>
          </w:tcPr>
          <w:p w14:paraId="1A314FBE" w14:textId="45D2FAC1" w:rsidR="00F519D9" w:rsidRPr="00DD058A" w:rsidRDefault="00F519D9" w:rsidP="00C84AF9">
            <w:pPr>
              <w:pStyle w:val="CETBodytext"/>
              <w:rPr>
                <w:sz w:val="16"/>
                <w:lang w:val="en-GB"/>
              </w:rPr>
            </w:pPr>
            <w:r w:rsidRPr="00DD058A">
              <w:rPr>
                <w:sz w:val="16"/>
                <w:lang w:val="en-GB"/>
              </w:rPr>
              <w:t>Fortran Calculator</w:t>
            </w:r>
          </w:p>
        </w:tc>
        <w:tc>
          <w:tcPr>
            <w:tcW w:w="5245" w:type="dxa"/>
            <w:shd w:val="clear" w:color="auto" w:fill="FFFFFF"/>
          </w:tcPr>
          <w:p w14:paraId="70CCE63D" w14:textId="75E4DA75" w:rsidR="00F519D9" w:rsidRPr="00DD058A" w:rsidRDefault="00730691" w:rsidP="00C84AF9">
            <w:pPr>
              <w:pStyle w:val="CETBodytext"/>
              <w:rPr>
                <w:sz w:val="16"/>
                <w:lang w:val="en-GB"/>
              </w:rPr>
            </w:pPr>
            <w:r>
              <w:rPr>
                <w:sz w:val="16"/>
                <w:lang w:val="en-GB"/>
              </w:rPr>
              <w:t>C</w:t>
            </w:r>
            <w:r w:rsidR="00152687" w:rsidRPr="00DD058A">
              <w:rPr>
                <w:sz w:val="16"/>
                <w:lang w:val="en-GB"/>
              </w:rPr>
              <w:t>ontrol</w:t>
            </w:r>
            <w:r>
              <w:rPr>
                <w:sz w:val="16"/>
                <w:lang w:val="en-GB"/>
              </w:rPr>
              <w:t>s</w:t>
            </w:r>
            <w:r w:rsidR="00152687" w:rsidRPr="00DD058A">
              <w:rPr>
                <w:sz w:val="16"/>
                <w:lang w:val="en-GB"/>
              </w:rPr>
              <w:t xml:space="preserve"> the conversion of nonconventional component into tar, char and conventional components.</w:t>
            </w:r>
          </w:p>
        </w:tc>
      </w:tr>
      <w:tr w:rsidR="00F519D9" w:rsidRPr="00DD058A" w14:paraId="6ED66D3C" w14:textId="77777777" w:rsidTr="00D33184">
        <w:tc>
          <w:tcPr>
            <w:tcW w:w="1985" w:type="dxa"/>
            <w:shd w:val="clear" w:color="auto" w:fill="FFFFFF"/>
          </w:tcPr>
          <w:p w14:paraId="2D7A0951" w14:textId="4951B95B" w:rsidR="00F519D9" w:rsidRPr="00DD058A" w:rsidRDefault="00F519D9" w:rsidP="00C84AF9">
            <w:pPr>
              <w:pStyle w:val="CETBodytext"/>
              <w:rPr>
                <w:sz w:val="16"/>
                <w:lang w:val="en-GB"/>
              </w:rPr>
            </w:pPr>
            <w:r w:rsidRPr="00DD058A">
              <w:rPr>
                <w:sz w:val="16"/>
                <w:lang w:val="en-GB"/>
              </w:rPr>
              <w:t>DECOMP</w:t>
            </w:r>
          </w:p>
        </w:tc>
        <w:tc>
          <w:tcPr>
            <w:tcW w:w="1559" w:type="dxa"/>
            <w:shd w:val="clear" w:color="auto" w:fill="FFFFFF"/>
          </w:tcPr>
          <w:p w14:paraId="3DC422CC" w14:textId="60889394" w:rsidR="00F519D9" w:rsidRPr="00DD058A" w:rsidRDefault="00152687" w:rsidP="00C84AF9">
            <w:pPr>
              <w:pStyle w:val="CETBodytext"/>
              <w:rPr>
                <w:sz w:val="16"/>
                <w:lang w:val="en-GB"/>
              </w:rPr>
            </w:pPr>
            <w:r w:rsidRPr="00DD058A">
              <w:rPr>
                <w:sz w:val="16"/>
                <w:lang w:val="en-GB"/>
              </w:rPr>
              <w:t>RYield</w:t>
            </w:r>
          </w:p>
        </w:tc>
        <w:tc>
          <w:tcPr>
            <w:tcW w:w="5245" w:type="dxa"/>
            <w:shd w:val="clear" w:color="auto" w:fill="FFFFFF"/>
          </w:tcPr>
          <w:p w14:paraId="2877B2B2" w14:textId="54C3DCDA" w:rsidR="00F519D9" w:rsidRPr="00DD058A" w:rsidRDefault="00152687" w:rsidP="00C84AF9">
            <w:pPr>
              <w:pStyle w:val="CETBodytext"/>
              <w:rPr>
                <w:sz w:val="16"/>
                <w:lang w:val="en-GB"/>
              </w:rPr>
            </w:pPr>
            <w:r w:rsidRPr="00DD058A">
              <w:rPr>
                <w:sz w:val="16"/>
                <w:lang w:val="en-GB"/>
              </w:rPr>
              <w:t>Converts the nonconventional component into tar, char and conventional components.</w:t>
            </w:r>
          </w:p>
        </w:tc>
      </w:tr>
      <w:tr w:rsidR="00F519D9" w:rsidRPr="00DD058A" w14:paraId="511678AF" w14:textId="77777777" w:rsidTr="00D33184">
        <w:tc>
          <w:tcPr>
            <w:tcW w:w="1985" w:type="dxa"/>
            <w:shd w:val="clear" w:color="auto" w:fill="FFFFFF"/>
          </w:tcPr>
          <w:p w14:paraId="70A180DF" w14:textId="331E67DE" w:rsidR="00F519D9" w:rsidRPr="00DD058A" w:rsidRDefault="00F519D9" w:rsidP="00C84AF9">
            <w:pPr>
              <w:pStyle w:val="CETBodytext"/>
              <w:rPr>
                <w:sz w:val="16"/>
                <w:lang w:val="en-GB"/>
              </w:rPr>
            </w:pPr>
            <w:r w:rsidRPr="00DD058A">
              <w:rPr>
                <w:sz w:val="16"/>
                <w:lang w:val="en-GB"/>
              </w:rPr>
              <w:t>SEP</w:t>
            </w:r>
          </w:p>
        </w:tc>
        <w:tc>
          <w:tcPr>
            <w:tcW w:w="1559" w:type="dxa"/>
            <w:shd w:val="clear" w:color="auto" w:fill="FFFFFF"/>
          </w:tcPr>
          <w:p w14:paraId="7ED9D675" w14:textId="3A0920B9" w:rsidR="00F519D9" w:rsidRPr="00DD058A" w:rsidRDefault="00152687" w:rsidP="00C84AF9">
            <w:pPr>
              <w:pStyle w:val="CETBodytext"/>
              <w:rPr>
                <w:sz w:val="16"/>
                <w:lang w:val="en-GB"/>
              </w:rPr>
            </w:pPr>
            <w:r w:rsidRPr="00DD058A">
              <w:rPr>
                <w:sz w:val="16"/>
                <w:lang w:val="en-GB"/>
              </w:rPr>
              <w:t>SSOLID</w:t>
            </w:r>
          </w:p>
        </w:tc>
        <w:tc>
          <w:tcPr>
            <w:tcW w:w="5245" w:type="dxa"/>
            <w:shd w:val="clear" w:color="auto" w:fill="FFFFFF"/>
          </w:tcPr>
          <w:p w14:paraId="060532A1" w14:textId="29522303" w:rsidR="00F519D9" w:rsidRPr="00DD058A" w:rsidRDefault="00152687" w:rsidP="00C84AF9">
            <w:pPr>
              <w:pStyle w:val="CETBodytext"/>
              <w:rPr>
                <w:sz w:val="16"/>
                <w:lang w:val="en-GB"/>
              </w:rPr>
            </w:pPr>
            <w:r w:rsidRPr="00DD058A">
              <w:rPr>
                <w:sz w:val="16"/>
                <w:lang w:val="en-GB"/>
              </w:rPr>
              <w:t>Separates char, tar and mixture of conventional compone</w:t>
            </w:r>
            <w:r w:rsidR="00774CB1" w:rsidRPr="00DD058A">
              <w:rPr>
                <w:sz w:val="16"/>
                <w:lang w:val="en-GB"/>
              </w:rPr>
              <w:t>n</w:t>
            </w:r>
            <w:r w:rsidRPr="00DD058A">
              <w:rPr>
                <w:sz w:val="16"/>
                <w:lang w:val="en-GB"/>
              </w:rPr>
              <w:t>ts</w:t>
            </w:r>
            <w:r w:rsidR="00967564">
              <w:rPr>
                <w:sz w:val="16"/>
                <w:lang w:val="en-GB"/>
              </w:rPr>
              <w:t>.</w:t>
            </w:r>
          </w:p>
        </w:tc>
      </w:tr>
      <w:tr w:rsidR="00F519D9" w:rsidRPr="00DD058A" w14:paraId="5E0BE964" w14:textId="77777777" w:rsidTr="00D33184">
        <w:tc>
          <w:tcPr>
            <w:tcW w:w="1985" w:type="dxa"/>
            <w:shd w:val="clear" w:color="auto" w:fill="FFFFFF"/>
          </w:tcPr>
          <w:p w14:paraId="43F3BE27" w14:textId="6F94CE31" w:rsidR="00F519D9" w:rsidRPr="00DD058A" w:rsidRDefault="00F519D9" w:rsidP="00C84AF9">
            <w:pPr>
              <w:pStyle w:val="CETBodytext"/>
              <w:rPr>
                <w:sz w:val="16"/>
                <w:lang w:val="en-GB"/>
              </w:rPr>
            </w:pPr>
            <w:r w:rsidRPr="00DD058A">
              <w:rPr>
                <w:sz w:val="16"/>
                <w:lang w:val="en-GB"/>
              </w:rPr>
              <w:t>PYRO</w:t>
            </w:r>
          </w:p>
        </w:tc>
        <w:tc>
          <w:tcPr>
            <w:tcW w:w="1559" w:type="dxa"/>
            <w:shd w:val="clear" w:color="auto" w:fill="FFFFFF"/>
          </w:tcPr>
          <w:p w14:paraId="78D2C6D7" w14:textId="74304BB4" w:rsidR="00F519D9" w:rsidRPr="00DD058A" w:rsidRDefault="00152687" w:rsidP="00C84AF9">
            <w:pPr>
              <w:pStyle w:val="CETBodytext"/>
              <w:rPr>
                <w:sz w:val="16"/>
                <w:lang w:val="en-GB"/>
              </w:rPr>
            </w:pPr>
            <w:r w:rsidRPr="00DD058A">
              <w:rPr>
                <w:sz w:val="16"/>
                <w:lang w:val="en-GB"/>
              </w:rPr>
              <w:t>RGibbs</w:t>
            </w:r>
          </w:p>
        </w:tc>
        <w:tc>
          <w:tcPr>
            <w:tcW w:w="5245" w:type="dxa"/>
            <w:shd w:val="clear" w:color="auto" w:fill="FFFFFF"/>
          </w:tcPr>
          <w:p w14:paraId="49231CCB" w14:textId="38F1E5A6" w:rsidR="00F519D9" w:rsidRPr="00DD058A" w:rsidRDefault="00152687" w:rsidP="00967564">
            <w:pPr>
              <w:pStyle w:val="CETBodytext"/>
              <w:rPr>
                <w:sz w:val="16"/>
                <w:lang w:val="en-GB"/>
              </w:rPr>
            </w:pPr>
            <w:r w:rsidRPr="00DD058A">
              <w:rPr>
                <w:sz w:val="16"/>
              </w:rPr>
              <w:t>Simulate</w:t>
            </w:r>
            <w:r w:rsidR="00736F2C">
              <w:rPr>
                <w:sz w:val="16"/>
              </w:rPr>
              <w:t>s</w:t>
            </w:r>
            <w:r w:rsidRPr="00DD058A">
              <w:rPr>
                <w:sz w:val="16"/>
              </w:rPr>
              <w:t xml:space="preserve"> the reactions between conventional components through Gibbs free energy </w:t>
            </w:r>
            <w:r w:rsidR="00967564" w:rsidRPr="00DD058A">
              <w:rPr>
                <w:sz w:val="16"/>
              </w:rPr>
              <w:t>minimi</w:t>
            </w:r>
            <w:r w:rsidR="00967564">
              <w:rPr>
                <w:sz w:val="16"/>
              </w:rPr>
              <w:t>s</w:t>
            </w:r>
            <w:r w:rsidR="00967564" w:rsidRPr="00DD058A">
              <w:rPr>
                <w:sz w:val="16"/>
              </w:rPr>
              <w:t>ation</w:t>
            </w:r>
            <w:r w:rsidRPr="00DD058A">
              <w:rPr>
                <w:sz w:val="16"/>
              </w:rPr>
              <w:t>.</w:t>
            </w:r>
          </w:p>
        </w:tc>
      </w:tr>
      <w:tr w:rsidR="00F519D9" w:rsidRPr="00DD058A" w14:paraId="2362EE0A" w14:textId="77777777" w:rsidTr="00D33184">
        <w:tc>
          <w:tcPr>
            <w:tcW w:w="1985" w:type="dxa"/>
            <w:shd w:val="clear" w:color="auto" w:fill="FFFFFF"/>
          </w:tcPr>
          <w:p w14:paraId="6A28898B" w14:textId="629D6783" w:rsidR="00F519D9" w:rsidRPr="00DD058A" w:rsidRDefault="00F519D9" w:rsidP="00C84AF9">
            <w:pPr>
              <w:pStyle w:val="CETBodytext"/>
              <w:rPr>
                <w:sz w:val="16"/>
                <w:lang w:val="en-GB"/>
              </w:rPr>
            </w:pPr>
            <w:r w:rsidRPr="00DD058A">
              <w:rPr>
                <w:rFonts w:cs="Arial"/>
                <w:sz w:val="16"/>
                <w:szCs w:val="18"/>
                <w:lang w:val="en-GB"/>
              </w:rPr>
              <w:t>MIX-PYRO</w:t>
            </w:r>
          </w:p>
        </w:tc>
        <w:tc>
          <w:tcPr>
            <w:tcW w:w="1559" w:type="dxa"/>
            <w:shd w:val="clear" w:color="auto" w:fill="FFFFFF"/>
          </w:tcPr>
          <w:p w14:paraId="3031797B" w14:textId="55B4A45A" w:rsidR="00F519D9" w:rsidRPr="00DD058A" w:rsidRDefault="00AB7A7F" w:rsidP="00C84AF9">
            <w:pPr>
              <w:pStyle w:val="CETBodytext"/>
              <w:rPr>
                <w:sz w:val="16"/>
                <w:lang w:val="en-GB"/>
              </w:rPr>
            </w:pPr>
            <w:r w:rsidRPr="00DD058A">
              <w:rPr>
                <w:sz w:val="16"/>
                <w:lang w:val="en-GB"/>
              </w:rPr>
              <w:t>Mixer</w:t>
            </w:r>
          </w:p>
        </w:tc>
        <w:tc>
          <w:tcPr>
            <w:tcW w:w="5245" w:type="dxa"/>
            <w:shd w:val="clear" w:color="auto" w:fill="FFFFFF"/>
          </w:tcPr>
          <w:p w14:paraId="750E314E" w14:textId="401084CF" w:rsidR="00F519D9" w:rsidRPr="00DD058A" w:rsidRDefault="00152687" w:rsidP="00C84AF9">
            <w:pPr>
              <w:pStyle w:val="CETBodytext"/>
              <w:rPr>
                <w:sz w:val="16"/>
                <w:lang w:val="en-GB"/>
              </w:rPr>
            </w:pPr>
            <w:r w:rsidRPr="00DD058A">
              <w:rPr>
                <w:sz w:val="16"/>
                <w:lang w:val="en-GB"/>
              </w:rPr>
              <w:t>Mixes char, tar and gas producing the pyrolysis products stream.</w:t>
            </w:r>
          </w:p>
        </w:tc>
      </w:tr>
      <w:tr w:rsidR="00F519D9" w:rsidRPr="00DD058A" w14:paraId="3FD84F66" w14:textId="77777777" w:rsidTr="00D33184">
        <w:tc>
          <w:tcPr>
            <w:tcW w:w="1985" w:type="dxa"/>
            <w:shd w:val="clear" w:color="auto" w:fill="FFFFFF"/>
          </w:tcPr>
          <w:p w14:paraId="13D562BA" w14:textId="4AE006AC" w:rsidR="00F519D9" w:rsidRPr="00DD058A" w:rsidRDefault="008E517D" w:rsidP="00C84AF9">
            <w:pPr>
              <w:pStyle w:val="CETBodytext"/>
              <w:rPr>
                <w:sz w:val="16"/>
                <w:lang w:val="en-GB"/>
              </w:rPr>
            </w:pPr>
            <w:r>
              <w:rPr>
                <w:sz w:val="16"/>
                <w:lang w:val="en-GB"/>
              </w:rPr>
              <w:t>MIX-OXI</w:t>
            </w:r>
          </w:p>
        </w:tc>
        <w:tc>
          <w:tcPr>
            <w:tcW w:w="1559" w:type="dxa"/>
            <w:shd w:val="clear" w:color="auto" w:fill="FFFFFF"/>
          </w:tcPr>
          <w:p w14:paraId="7C392E77" w14:textId="4225E08E" w:rsidR="00F519D9" w:rsidRPr="00DD058A" w:rsidRDefault="00AB7A7F" w:rsidP="00C84AF9">
            <w:pPr>
              <w:pStyle w:val="CETBodytext"/>
              <w:rPr>
                <w:sz w:val="16"/>
                <w:lang w:val="en-GB"/>
              </w:rPr>
            </w:pPr>
            <w:r w:rsidRPr="00DD058A">
              <w:rPr>
                <w:sz w:val="16"/>
                <w:lang w:val="en-GB"/>
              </w:rPr>
              <w:t>Mixer</w:t>
            </w:r>
          </w:p>
        </w:tc>
        <w:tc>
          <w:tcPr>
            <w:tcW w:w="5245" w:type="dxa"/>
            <w:shd w:val="clear" w:color="auto" w:fill="FFFFFF"/>
          </w:tcPr>
          <w:p w14:paraId="38B89493" w14:textId="3A649763" w:rsidR="00F519D9" w:rsidRPr="00DD058A" w:rsidRDefault="00152687" w:rsidP="00C84AF9">
            <w:pPr>
              <w:pStyle w:val="CETBodytext"/>
              <w:rPr>
                <w:sz w:val="16"/>
                <w:lang w:val="en-GB"/>
              </w:rPr>
            </w:pPr>
            <w:r w:rsidRPr="00DD058A">
              <w:rPr>
                <w:sz w:val="16"/>
                <w:lang w:val="en-GB"/>
              </w:rPr>
              <w:t>Mixes the pyrolysis products with air or oxygen.</w:t>
            </w:r>
          </w:p>
        </w:tc>
      </w:tr>
      <w:tr w:rsidR="00F519D9" w:rsidRPr="00DD058A" w14:paraId="5B239968" w14:textId="77777777" w:rsidTr="00D33184">
        <w:tc>
          <w:tcPr>
            <w:tcW w:w="1985" w:type="dxa"/>
            <w:shd w:val="clear" w:color="auto" w:fill="FFFFFF"/>
          </w:tcPr>
          <w:p w14:paraId="01575B8C" w14:textId="43E4AA5B" w:rsidR="00F519D9" w:rsidRPr="00DD058A" w:rsidRDefault="00F519D9" w:rsidP="00C84AF9">
            <w:pPr>
              <w:pStyle w:val="CETBodytext"/>
              <w:rPr>
                <w:sz w:val="16"/>
                <w:lang w:val="en-GB"/>
              </w:rPr>
            </w:pPr>
            <w:r w:rsidRPr="00DD058A">
              <w:rPr>
                <w:sz w:val="16"/>
                <w:lang w:val="en-GB"/>
              </w:rPr>
              <w:t>OXI</w:t>
            </w:r>
          </w:p>
        </w:tc>
        <w:tc>
          <w:tcPr>
            <w:tcW w:w="1559" w:type="dxa"/>
            <w:shd w:val="clear" w:color="auto" w:fill="FFFFFF"/>
          </w:tcPr>
          <w:p w14:paraId="0F5FA97B" w14:textId="1A11F229" w:rsidR="00F519D9" w:rsidRPr="00DD058A" w:rsidRDefault="00AB7A7F" w:rsidP="00C84AF9">
            <w:pPr>
              <w:pStyle w:val="CETBodytext"/>
              <w:rPr>
                <w:sz w:val="16"/>
                <w:lang w:val="en-GB"/>
              </w:rPr>
            </w:pPr>
            <w:r w:rsidRPr="00DD058A">
              <w:rPr>
                <w:sz w:val="16"/>
                <w:lang w:val="en-GB"/>
              </w:rPr>
              <w:t>RPlug</w:t>
            </w:r>
          </w:p>
        </w:tc>
        <w:tc>
          <w:tcPr>
            <w:tcW w:w="5245" w:type="dxa"/>
            <w:shd w:val="clear" w:color="auto" w:fill="FFFFFF"/>
          </w:tcPr>
          <w:p w14:paraId="63F5A02F" w14:textId="04956215" w:rsidR="00F519D9" w:rsidRPr="00DD058A" w:rsidRDefault="00AB7A7F" w:rsidP="00C84AF9">
            <w:pPr>
              <w:pStyle w:val="CETBodytext"/>
              <w:rPr>
                <w:sz w:val="16"/>
                <w:lang w:val="en-GB"/>
              </w:rPr>
            </w:pPr>
            <w:r w:rsidRPr="00DD058A">
              <w:rPr>
                <w:sz w:val="16"/>
                <w:lang w:val="en-GB"/>
              </w:rPr>
              <w:t>Computes the kinetics of the oxidation zone</w:t>
            </w:r>
            <w:r w:rsidR="00967564">
              <w:rPr>
                <w:sz w:val="16"/>
                <w:lang w:val="en-GB"/>
              </w:rPr>
              <w:t>.</w:t>
            </w:r>
            <w:r w:rsidRPr="00DD058A">
              <w:rPr>
                <w:sz w:val="16"/>
                <w:lang w:val="en-GB"/>
              </w:rPr>
              <w:t xml:space="preserve"> </w:t>
            </w:r>
          </w:p>
        </w:tc>
      </w:tr>
      <w:tr w:rsidR="00F519D9" w:rsidRPr="00DD058A" w14:paraId="1D3FA390" w14:textId="77777777" w:rsidTr="00D33184">
        <w:tc>
          <w:tcPr>
            <w:tcW w:w="1985" w:type="dxa"/>
            <w:shd w:val="clear" w:color="auto" w:fill="FFFFFF"/>
          </w:tcPr>
          <w:p w14:paraId="2F71F094" w14:textId="2930DED0" w:rsidR="00F519D9" w:rsidRPr="00DD058A" w:rsidRDefault="008E517D" w:rsidP="00C84AF9">
            <w:pPr>
              <w:pStyle w:val="CETBodytext"/>
              <w:rPr>
                <w:sz w:val="16"/>
                <w:lang w:val="en-GB"/>
              </w:rPr>
            </w:pPr>
            <w:r>
              <w:rPr>
                <w:sz w:val="16"/>
                <w:lang w:val="en-GB"/>
              </w:rPr>
              <w:t>MIX-STEAM</w:t>
            </w:r>
          </w:p>
        </w:tc>
        <w:tc>
          <w:tcPr>
            <w:tcW w:w="1559" w:type="dxa"/>
            <w:shd w:val="clear" w:color="auto" w:fill="FFFFFF"/>
          </w:tcPr>
          <w:p w14:paraId="41273847" w14:textId="3A21ECF3" w:rsidR="00F519D9" w:rsidRPr="00DD058A" w:rsidRDefault="00AB7A7F" w:rsidP="00C84AF9">
            <w:pPr>
              <w:pStyle w:val="CETBodytext"/>
              <w:rPr>
                <w:sz w:val="16"/>
                <w:lang w:val="en-GB"/>
              </w:rPr>
            </w:pPr>
            <w:r w:rsidRPr="00DD058A">
              <w:rPr>
                <w:sz w:val="16"/>
                <w:lang w:val="en-GB"/>
              </w:rPr>
              <w:t>Mix</w:t>
            </w:r>
          </w:p>
        </w:tc>
        <w:tc>
          <w:tcPr>
            <w:tcW w:w="5245" w:type="dxa"/>
            <w:shd w:val="clear" w:color="auto" w:fill="FFFFFF"/>
          </w:tcPr>
          <w:p w14:paraId="18A6E5D2" w14:textId="71E071D4" w:rsidR="00F519D9" w:rsidRPr="00DD058A" w:rsidRDefault="00AB7A7F" w:rsidP="00C84AF9">
            <w:pPr>
              <w:pStyle w:val="CETBodytext"/>
              <w:rPr>
                <w:sz w:val="16"/>
                <w:lang w:val="en-GB"/>
              </w:rPr>
            </w:pPr>
            <w:r w:rsidRPr="00DD058A">
              <w:rPr>
                <w:sz w:val="16"/>
                <w:lang w:val="en-GB"/>
              </w:rPr>
              <w:t>Optional: Mixes oxidation products with additional steam</w:t>
            </w:r>
            <w:r w:rsidR="00967564">
              <w:rPr>
                <w:sz w:val="16"/>
                <w:lang w:val="en-GB"/>
              </w:rPr>
              <w:t>.</w:t>
            </w:r>
          </w:p>
        </w:tc>
      </w:tr>
      <w:tr w:rsidR="00AB7A7F" w:rsidRPr="00DD058A" w14:paraId="2AA4DCDA" w14:textId="77777777" w:rsidTr="00D33184">
        <w:tc>
          <w:tcPr>
            <w:tcW w:w="1985" w:type="dxa"/>
            <w:shd w:val="clear" w:color="auto" w:fill="FFFFFF"/>
          </w:tcPr>
          <w:p w14:paraId="768FA392" w14:textId="665A659A" w:rsidR="00AB7A7F" w:rsidRPr="00DD058A" w:rsidRDefault="00AB7A7F" w:rsidP="00AB7A7F">
            <w:pPr>
              <w:pStyle w:val="CETBodytext"/>
              <w:ind w:right="-1"/>
              <w:rPr>
                <w:rFonts w:cs="Arial"/>
                <w:sz w:val="16"/>
                <w:szCs w:val="18"/>
                <w:lang w:val="en-GB"/>
              </w:rPr>
            </w:pPr>
            <w:r w:rsidRPr="00DD058A">
              <w:rPr>
                <w:rFonts w:cs="Arial"/>
                <w:sz w:val="16"/>
                <w:szCs w:val="18"/>
                <w:lang w:val="en-GB"/>
              </w:rPr>
              <w:t>RED</w:t>
            </w:r>
          </w:p>
        </w:tc>
        <w:tc>
          <w:tcPr>
            <w:tcW w:w="1559" w:type="dxa"/>
            <w:shd w:val="clear" w:color="auto" w:fill="FFFFFF"/>
          </w:tcPr>
          <w:p w14:paraId="7F830641" w14:textId="27994799" w:rsidR="00AB7A7F" w:rsidRPr="00DD058A" w:rsidRDefault="00AB7A7F" w:rsidP="00AB7A7F">
            <w:pPr>
              <w:pStyle w:val="CETBodytext"/>
              <w:ind w:right="-1"/>
              <w:rPr>
                <w:rFonts w:cs="Arial"/>
                <w:sz w:val="16"/>
                <w:szCs w:val="18"/>
                <w:lang w:val="en-GB"/>
              </w:rPr>
            </w:pPr>
            <w:r w:rsidRPr="00DD058A">
              <w:rPr>
                <w:rFonts w:cs="Arial"/>
                <w:sz w:val="16"/>
                <w:szCs w:val="18"/>
                <w:lang w:val="en-GB"/>
              </w:rPr>
              <w:t>RPlug</w:t>
            </w:r>
          </w:p>
        </w:tc>
        <w:tc>
          <w:tcPr>
            <w:tcW w:w="5245" w:type="dxa"/>
            <w:shd w:val="clear" w:color="auto" w:fill="FFFFFF"/>
          </w:tcPr>
          <w:p w14:paraId="6093F34F" w14:textId="4A7BC6AE" w:rsidR="00AB7A7F" w:rsidRPr="00DD058A" w:rsidRDefault="00AB7A7F" w:rsidP="00AB7A7F">
            <w:pPr>
              <w:pStyle w:val="CETBodytext"/>
              <w:ind w:right="-1"/>
              <w:rPr>
                <w:rFonts w:cs="Arial"/>
                <w:sz w:val="16"/>
                <w:szCs w:val="18"/>
                <w:lang w:val="en-GB"/>
              </w:rPr>
            </w:pPr>
            <w:r w:rsidRPr="00DD058A">
              <w:rPr>
                <w:sz w:val="16"/>
                <w:lang w:val="en-GB"/>
              </w:rPr>
              <w:t>Computes the kinetics of the reduction zone</w:t>
            </w:r>
            <w:r w:rsidR="00967564">
              <w:rPr>
                <w:sz w:val="16"/>
                <w:lang w:val="en-GB"/>
              </w:rPr>
              <w:t>.</w:t>
            </w:r>
          </w:p>
        </w:tc>
      </w:tr>
    </w:tbl>
    <w:p w14:paraId="13D229DE" w14:textId="22E8380C" w:rsidR="002B3858" w:rsidRDefault="002B3858" w:rsidP="001D2B26">
      <w:pPr>
        <w:pStyle w:val="CETheadingx"/>
      </w:pPr>
      <w:r>
        <w:t xml:space="preserve">Physical </w:t>
      </w:r>
      <w:r w:rsidRPr="001D2B26">
        <w:t>Properties</w:t>
      </w:r>
      <w:r>
        <w:t xml:space="preserve"> Model and Model Assumptions</w:t>
      </w:r>
    </w:p>
    <w:p w14:paraId="3FB0CBE8" w14:textId="6FB176F0" w:rsidR="008D1111" w:rsidRDefault="002B3858" w:rsidP="00453E24">
      <w:pPr>
        <w:pStyle w:val="CETBodytext"/>
      </w:pPr>
      <w:r>
        <w:t xml:space="preserve">Aspen </w:t>
      </w:r>
      <w:r w:rsidR="00967564">
        <w:t xml:space="preserve">Plus </w:t>
      </w:r>
      <w:r>
        <w:t>allows the user to select several sets o</w:t>
      </w:r>
      <w:r w:rsidR="00B65858">
        <w:t>f property calculation methods. The choice depends on the specific process studied, the conditions used (temperature and pressure ranges) and the nature of the components involved. In this work</w:t>
      </w:r>
      <w:r w:rsidR="00967564">
        <w:t>,</w:t>
      </w:r>
      <w:r w:rsidR="00B65858">
        <w:t xml:space="preserve"> the IDEAL </w:t>
      </w:r>
      <w:r w:rsidR="00B65858" w:rsidRPr="00B65858">
        <w:rPr>
          <w:lang w:val="en-GB"/>
        </w:rPr>
        <w:t>property method has been</w:t>
      </w:r>
      <w:r w:rsidR="00B65858">
        <w:rPr>
          <w:lang w:val="en-GB"/>
        </w:rPr>
        <w:t xml:space="preserve"> chosen as the process involves low pressure and relatively small quantities of condensable components (tars). Since bi</w:t>
      </w:r>
      <w:r w:rsidR="00093936">
        <w:rPr>
          <w:lang w:val="en-GB"/>
        </w:rPr>
        <w:t>omass and ash were defined as non</w:t>
      </w:r>
      <w:r w:rsidR="00B65858">
        <w:rPr>
          <w:lang w:val="en-GB"/>
        </w:rPr>
        <w:t>conventional components, the density and enthalpy calculation</w:t>
      </w:r>
      <w:r w:rsidR="000A3326">
        <w:rPr>
          <w:lang w:val="en-GB"/>
        </w:rPr>
        <w:t xml:space="preserve"> methods</w:t>
      </w:r>
      <w:r w:rsidR="00B65858">
        <w:rPr>
          <w:lang w:val="en-GB"/>
        </w:rPr>
        <w:t xml:space="preserve"> </w:t>
      </w:r>
      <w:r w:rsidR="00976A06">
        <w:rPr>
          <w:lang w:val="en-GB"/>
        </w:rPr>
        <w:t>must</w:t>
      </w:r>
      <w:r w:rsidR="00B65858">
        <w:rPr>
          <w:lang w:val="en-GB"/>
        </w:rPr>
        <w:t xml:space="preserve"> be specified, which were</w:t>
      </w:r>
      <w:r w:rsidR="00B65858">
        <w:t xml:space="preserve"> DCOALIGT and HCOALGEN</w:t>
      </w:r>
      <w:r w:rsidR="00976A06">
        <w:t>,</w:t>
      </w:r>
      <w:r w:rsidR="00B65858">
        <w:t xml:space="preserve"> respectively.</w:t>
      </w:r>
      <w:r w:rsidR="001D489C">
        <w:t xml:space="preserve"> </w:t>
      </w:r>
      <w:r w:rsidR="0010484B">
        <w:t xml:space="preserve">The stream class was defined as MCINCPSD, </w:t>
      </w:r>
      <w:r w:rsidR="000A3326">
        <w:t>for the presence</w:t>
      </w:r>
      <w:r w:rsidR="0010484B">
        <w:t xml:space="preserve"> of</w:t>
      </w:r>
      <w:r w:rsidR="00DA4D7C">
        <w:t xml:space="preserve"> both</w:t>
      </w:r>
      <w:r w:rsidR="0010484B">
        <w:t xml:space="preserve"> conventional and </w:t>
      </w:r>
      <w:r w:rsidR="00093936">
        <w:t>non</w:t>
      </w:r>
      <w:r w:rsidR="0010484B">
        <w:t>conventional streams wit</w:t>
      </w:r>
      <w:r w:rsidR="000A3326">
        <w:t>h solid particles</w:t>
      </w:r>
      <w:r w:rsidR="00DA4D7C">
        <w:t>.</w:t>
      </w:r>
      <w:r w:rsidR="00772096">
        <w:t xml:space="preserve"> </w:t>
      </w:r>
      <w:r w:rsidR="008D1111">
        <w:t>Given the complexity of the process, a set of assumptions was adopted: the process described is steady</w:t>
      </w:r>
      <w:r w:rsidR="00976A06">
        <w:t>-</w:t>
      </w:r>
      <w:r w:rsidR="008D1111">
        <w:t>state, pyrolysis is considered instantaneous while oxidation and reduction are governed by chemical kinetics and each block is</w:t>
      </w:r>
      <w:r w:rsidR="00976A06">
        <w:t xml:space="preserve"> modelled as</w:t>
      </w:r>
      <w:r w:rsidR="008D1111">
        <w:t xml:space="preserve"> isothermal. </w:t>
      </w:r>
      <w:r w:rsidR="002848C4">
        <w:t xml:space="preserve">Char is modelled as carbon (graphite) and tars are represented by a surrogate mixture of benzene and naphthalene, </w:t>
      </w:r>
      <w:r w:rsidR="00976A06">
        <w:t xml:space="preserve">in a ratio of </w:t>
      </w:r>
      <w:r w:rsidR="002848C4">
        <w:t>3:7. The chemistry of minor species, such as sulfur</w:t>
      </w:r>
      <w:r w:rsidR="004E3198">
        <w:t xml:space="preserve"> compounds</w:t>
      </w:r>
      <w:r w:rsidR="002848C4">
        <w:t>, is neglected.</w:t>
      </w:r>
    </w:p>
    <w:p w14:paraId="7C04FCDE" w14:textId="1016279E" w:rsidR="002B3858" w:rsidRDefault="001C50F8" w:rsidP="001D2B26">
      <w:pPr>
        <w:pStyle w:val="CETheadingx"/>
      </w:pPr>
      <w:r>
        <w:t>Model development</w:t>
      </w:r>
    </w:p>
    <w:p w14:paraId="1069AD37" w14:textId="588A94ED" w:rsidR="002B3858" w:rsidRDefault="007937DA" w:rsidP="00453E24">
      <w:pPr>
        <w:pStyle w:val="CETBodytext"/>
      </w:pPr>
      <w:r>
        <w:t xml:space="preserve">A </w:t>
      </w:r>
      <w:r w:rsidR="000A3326">
        <w:t xml:space="preserve">first step is sometimes included </w:t>
      </w:r>
      <w:r>
        <w:t xml:space="preserve">for </w:t>
      </w:r>
      <w:r w:rsidR="000A3326">
        <w:t>dry</w:t>
      </w:r>
      <w:r>
        <w:t>ing</w:t>
      </w:r>
      <w:r w:rsidR="000A3326">
        <w:t xml:space="preserve"> biomass. </w:t>
      </w:r>
      <w:r>
        <w:t>This step</w:t>
      </w:r>
      <w:r w:rsidR="000A3326">
        <w:t xml:space="preserve"> i</w:t>
      </w:r>
      <w:r>
        <w:t>s not needed if</w:t>
      </w:r>
      <w:r w:rsidR="000A3326">
        <w:t xml:space="preserve"> dry biomass is fed into the system instead of the wet biomass.</w:t>
      </w:r>
      <w:r w:rsidR="0093222F">
        <w:t xml:space="preserve"> </w:t>
      </w:r>
      <w:r w:rsidR="00AD797C">
        <w:t>Hot air or nitrogen is</w:t>
      </w:r>
      <w:r w:rsidR="0093222F">
        <w:t xml:space="preserve"> mixed with biomass to remove a portion of the moisture. The fraction removed depends on the temperature and the amount of hot gas used</w:t>
      </w:r>
      <w:r w:rsidR="00AD797C">
        <w:t>.</w:t>
      </w:r>
      <w:r w:rsidR="0093222F">
        <w:t xml:space="preserve"> Since specifications </w:t>
      </w:r>
      <w:r w:rsidR="00E961D3">
        <w:t>for</w:t>
      </w:r>
      <w:r w:rsidR="0093222F">
        <w:t xml:space="preserve"> drying</w:t>
      </w:r>
      <w:r w:rsidR="00E961D3">
        <w:t xml:space="preserve"> </w:t>
      </w:r>
      <w:r w:rsidR="0093222F">
        <w:t>were not available in t</w:t>
      </w:r>
      <w:r w:rsidR="00E06DA9">
        <w:t>he set of experimental data employed</w:t>
      </w:r>
      <w:r w:rsidR="0093222F">
        <w:t xml:space="preserve"> in this work</w:t>
      </w:r>
      <w:r w:rsidR="00E06DA9">
        <w:t xml:space="preserve"> for </w:t>
      </w:r>
      <w:r w:rsidR="00E961D3">
        <w:t xml:space="preserve">model </w:t>
      </w:r>
      <w:r w:rsidR="00E06DA9">
        <w:t>validation</w:t>
      </w:r>
      <w:r w:rsidR="0093222F">
        <w:t>, a general approach was used when modelling t</w:t>
      </w:r>
      <w:r w:rsidR="000A3326">
        <w:t>h</w:t>
      </w:r>
      <w:r w:rsidR="00E961D3">
        <w:t>is</w:t>
      </w:r>
      <w:r w:rsidR="000A3326">
        <w:t xml:space="preserve"> step</w:t>
      </w:r>
      <w:r w:rsidR="00FB2567">
        <w:t xml:space="preserve"> (Aspen Technology, Inc., 2013)</w:t>
      </w:r>
      <w:r w:rsidR="00AD797C">
        <w:t>.</w:t>
      </w:r>
      <w:r w:rsidR="00F519D9">
        <w:t xml:space="preserve"> </w:t>
      </w:r>
      <w:r w:rsidR="00E06DA9">
        <w:t>The drying step produces a water stream which can potentially be recycled back into the reduction zone for steam gasification. The dry biomass is heated to the temperature at which pyrolysis occur</w:t>
      </w:r>
      <w:r w:rsidR="00E961D3">
        <w:t>s</w:t>
      </w:r>
      <w:r w:rsidR="00E06DA9">
        <w:t xml:space="preserve">.  </w:t>
      </w:r>
    </w:p>
    <w:p w14:paraId="474E2491" w14:textId="67C6A593" w:rsidR="00503097" w:rsidRDefault="006C2C6A" w:rsidP="00AD2E8F">
      <w:r>
        <w:t>S</w:t>
      </w:r>
      <w:r w:rsidR="008A4AF0">
        <w:t>ince biomass is defined as a nonconven</w:t>
      </w:r>
      <w:r>
        <w:t>tio</w:t>
      </w:r>
      <w:r w:rsidR="008A4AF0">
        <w:t>n</w:t>
      </w:r>
      <w:r>
        <w:t xml:space="preserve">al </w:t>
      </w:r>
      <w:r w:rsidR="008A4AF0">
        <w:t xml:space="preserve">component, before modelling a chemical process, it needs to be ‘decomposed’ into </w:t>
      </w:r>
      <w:r w:rsidR="00E961D3">
        <w:t xml:space="preserve">its </w:t>
      </w:r>
      <w:r w:rsidR="008A4AF0">
        <w:t>elemental constituents. This can be done in a</w:t>
      </w:r>
      <w:r w:rsidR="00E961D3">
        <w:t>n</w:t>
      </w:r>
      <w:r w:rsidR="008A4AF0">
        <w:t xml:space="preserve"> RYield block (DECOMP) where the </w:t>
      </w:r>
      <w:r w:rsidR="008A4AF0">
        <w:lastRenderedPageBreak/>
        <w:t xml:space="preserve">output is defined through a </w:t>
      </w:r>
      <w:r w:rsidR="00E961D3">
        <w:t xml:space="preserve">Fortran </w:t>
      </w:r>
      <w:r w:rsidR="008A4AF0">
        <w:t>calculator block as derived from the ultimate analysis.</w:t>
      </w:r>
      <w:r w:rsidR="00917A19">
        <w:t xml:space="preserve"> The standard subroutine</w:t>
      </w:r>
      <w:r w:rsidR="00A74D9B">
        <w:t xml:space="preserve"> described in Aspen Technology, Inc. (2013) was modified to account for the formation of specified yields of tar and char, according to the empirical formula reported by Gomez-Barea et al. (2010). The DECOMP stream output was then separated into three sub-streams, CHAR, TAR and a mixture of elemental species (C, H</w:t>
      </w:r>
      <w:r w:rsidR="00A74D9B">
        <w:rPr>
          <w:vertAlign w:val="subscript"/>
        </w:rPr>
        <w:t>2</w:t>
      </w:r>
      <w:r w:rsidR="00A74D9B">
        <w:t>, O</w:t>
      </w:r>
      <w:r w:rsidR="00A74D9B">
        <w:rPr>
          <w:vertAlign w:val="subscript"/>
        </w:rPr>
        <w:t>2</w:t>
      </w:r>
      <w:r w:rsidR="00A74D9B">
        <w:t xml:space="preserve"> and S) and ash. The latter stream was inputted in a</w:t>
      </w:r>
      <w:r w:rsidR="00871E3E">
        <w:t>n</w:t>
      </w:r>
      <w:r w:rsidR="00A74D9B">
        <w:t xml:space="preserve"> RGibbs </w:t>
      </w:r>
      <w:r w:rsidR="00E961D3">
        <w:t xml:space="preserve">reactor unit </w:t>
      </w:r>
      <w:r w:rsidR="00A74D9B">
        <w:t>to calculate the composition at equilibrium of the expected mixture of pyrolysis gases, H</w:t>
      </w:r>
      <w:r w:rsidR="00A74D9B">
        <w:rPr>
          <w:vertAlign w:val="subscript"/>
        </w:rPr>
        <w:t>2</w:t>
      </w:r>
      <w:r w:rsidR="00A74D9B">
        <w:t>, CO, CO</w:t>
      </w:r>
      <w:r w:rsidR="00A74D9B">
        <w:rPr>
          <w:vertAlign w:val="subscript"/>
        </w:rPr>
        <w:t>2</w:t>
      </w:r>
      <w:r w:rsidR="00A74D9B">
        <w:t xml:space="preserve"> and CH</w:t>
      </w:r>
      <w:r w:rsidR="00A74D9B">
        <w:rPr>
          <w:vertAlign w:val="subscript"/>
        </w:rPr>
        <w:t>4</w:t>
      </w:r>
      <w:r w:rsidR="00DF2880">
        <w:t xml:space="preserve">, based on the </w:t>
      </w:r>
      <w:r w:rsidR="00E961D3">
        <w:t xml:space="preserve">minimisation </w:t>
      </w:r>
      <w:r w:rsidR="00DF2880">
        <w:t>of the Gibbs free energy of the system</w:t>
      </w:r>
      <w:r w:rsidR="00A74D9B">
        <w:t>. The product</w:t>
      </w:r>
      <w:r w:rsidR="00E961D3">
        <w:t xml:space="preserve"> streams</w:t>
      </w:r>
      <w:r w:rsidR="00A74D9B">
        <w:t xml:space="preserve"> </w:t>
      </w:r>
      <w:r w:rsidR="00E961D3">
        <w:t xml:space="preserve">from the </w:t>
      </w:r>
      <w:r w:rsidR="00A74D9B">
        <w:t>pyrolysis</w:t>
      </w:r>
      <w:r w:rsidR="00E961D3">
        <w:t xml:space="preserve"> stage</w:t>
      </w:r>
      <w:r w:rsidR="00A74D9B">
        <w:t>, TAR, CHAR and GAS</w:t>
      </w:r>
      <w:r w:rsidR="00A80543">
        <w:t xml:space="preserve">, </w:t>
      </w:r>
      <w:r w:rsidR="00DF2880">
        <w:t xml:space="preserve">were </w:t>
      </w:r>
      <w:r w:rsidR="00A80543">
        <w:t>mix</w:t>
      </w:r>
      <w:r w:rsidR="00DF2880">
        <w:t>ed</w:t>
      </w:r>
      <w:r w:rsidR="00A80543">
        <w:t xml:space="preserve"> before </w:t>
      </w:r>
      <w:r w:rsidR="00E961D3">
        <w:t>entering the oxidation</w:t>
      </w:r>
      <w:r w:rsidR="00A80543">
        <w:t xml:space="preserve"> zone.</w:t>
      </w:r>
      <w:r w:rsidR="00AD2E8F">
        <w:t xml:space="preserve"> </w:t>
      </w:r>
      <w:r w:rsidR="00DF2880">
        <w:t xml:space="preserve">The pyrolysis products were mixed with air (or oxygen) before entering the oxidation reactor </w:t>
      </w:r>
      <w:r w:rsidR="00E961D3">
        <w:t xml:space="preserve">(named </w:t>
      </w:r>
      <w:r w:rsidR="00DF2880">
        <w:t>OXI</w:t>
      </w:r>
      <w:r w:rsidR="00E961D3">
        <w:t>)</w:t>
      </w:r>
      <w:r w:rsidR="00DF2880">
        <w:t>. In this work, o</w:t>
      </w:r>
      <w:r w:rsidR="00AA23A6">
        <w:t>xi</w:t>
      </w:r>
      <w:r w:rsidR="00EC7675">
        <w:t>dation is assumed to be governed by chemical kinetics. An RPlug reactor was chosen for this section of the model and</w:t>
      </w:r>
      <w:r w:rsidR="00DF2880">
        <w:t xml:space="preserve"> the</w:t>
      </w:r>
      <w:r w:rsidR="00EC7675">
        <w:t xml:space="preserve"> reaction scheme is that proposed by Gerun et al. (2008)</w:t>
      </w:r>
      <w:r w:rsidR="00771DCC">
        <w:t xml:space="preserve"> and includes</w:t>
      </w:r>
      <w:r w:rsidR="00DF2880">
        <w:t xml:space="preserve"> oxidation of the tar species benzene and naphthalene</w:t>
      </w:r>
      <w:r w:rsidR="00EC7675">
        <w:t>.</w:t>
      </w:r>
      <w:r w:rsidR="00AA23A6">
        <w:t xml:space="preserve"> </w:t>
      </w:r>
      <w:r w:rsidR="00121FF5">
        <w:t>The reactor was modelled as isothermal</w:t>
      </w:r>
      <w:r w:rsidR="00871E3E">
        <w:t>.</w:t>
      </w:r>
      <w:r w:rsidR="00121FF5">
        <w:t xml:space="preserve"> </w:t>
      </w:r>
      <w:r w:rsidR="009B0DEC">
        <w:t xml:space="preserve">Details of the size of the oxidation zone are difficult to retrieve in literature. The actual length of the zone is quite small in comparison to the reduction zone as the oxygen is consumed relatively quickly by reacting with </w:t>
      </w:r>
      <w:r w:rsidR="009B0DEC" w:rsidRPr="009B0DEC">
        <w:t>H</w:t>
      </w:r>
      <w:r w:rsidR="009B0DEC" w:rsidRPr="009B0DEC">
        <w:rPr>
          <w:vertAlign w:val="subscript"/>
        </w:rPr>
        <w:t>2</w:t>
      </w:r>
      <w:r w:rsidR="009B0DEC">
        <w:t>, CO,</w:t>
      </w:r>
      <w:r w:rsidR="009B0DEC" w:rsidRPr="009B0DEC">
        <w:t xml:space="preserve"> CH</w:t>
      </w:r>
      <w:r w:rsidR="009B0DEC" w:rsidRPr="009B0DEC">
        <w:rPr>
          <w:vertAlign w:val="subscript"/>
        </w:rPr>
        <w:t>4</w:t>
      </w:r>
      <w:r w:rsidR="009B0DEC">
        <w:t xml:space="preserve"> and tar. In this work, the experimental data from Sheth and Babu (2009) were used to validate the model and the sizes of the reactors are</w:t>
      </w:r>
      <w:r w:rsidR="00EF1384">
        <w:t xml:space="preserve"> based on their finding</w:t>
      </w:r>
      <w:r w:rsidR="00E961D3">
        <w:t>s</w:t>
      </w:r>
      <w:r w:rsidR="00EF1384">
        <w:t xml:space="preserve"> </w:t>
      </w:r>
      <w:r w:rsidR="00553723">
        <w:t xml:space="preserve">as </w:t>
      </w:r>
      <w:r w:rsidR="0024384F">
        <w:t xml:space="preserve">will be discussed in Section </w:t>
      </w:r>
      <w:r w:rsidR="00AD2E8F">
        <w:t>2.</w:t>
      </w:r>
      <w:r w:rsidR="0024384F">
        <w:t>3</w:t>
      </w:r>
      <w:r w:rsidR="009B0DEC">
        <w:t>.</w:t>
      </w:r>
      <w:r w:rsidR="00AD2E8F">
        <w:t xml:space="preserve"> </w:t>
      </w:r>
      <w:r w:rsidR="00121FF5">
        <w:t xml:space="preserve">Oxidation products exit </w:t>
      </w:r>
      <w:r w:rsidR="00E961D3">
        <w:t xml:space="preserve">the </w:t>
      </w:r>
      <w:r w:rsidR="00121FF5">
        <w:t xml:space="preserve">OXI </w:t>
      </w:r>
      <w:r w:rsidR="00E961D3">
        <w:t xml:space="preserve">block </w:t>
      </w:r>
      <w:r w:rsidR="00121FF5">
        <w:t>and can be mixed with steam for steam enhanced gasification before entering the reduction zone, modelled with a second Rplug reactor (</w:t>
      </w:r>
      <w:r w:rsidR="00E961D3">
        <w:t xml:space="preserve">named </w:t>
      </w:r>
      <w:r w:rsidR="002C65F3">
        <w:t>RED)</w:t>
      </w:r>
      <w:r w:rsidR="00EF1384">
        <w:t xml:space="preserve">. </w:t>
      </w:r>
      <w:r w:rsidR="00E7237C">
        <w:t>The heterogeneous reactions in the reduction zone were modelled according to a L</w:t>
      </w:r>
      <w:r w:rsidR="00E7237C" w:rsidRPr="00050F9B">
        <w:t>angmuir-Hinshelwood</w:t>
      </w:r>
      <w:r w:rsidR="00E7237C">
        <w:t xml:space="preserve"> mechanism as shown in equations 1.</w:t>
      </w:r>
    </w:p>
    <w:tbl>
      <w:tblPr>
        <w:tblW w:w="5000" w:type="pct"/>
        <w:tblLook w:val="04A0" w:firstRow="1" w:lastRow="0" w:firstColumn="1" w:lastColumn="0" w:noHBand="0" w:noVBand="1"/>
      </w:tblPr>
      <w:tblGrid>
        <w:gridCol w:w="7984"/>
        <w:gridCol w:w="803"/>
      </w:tblGrid>
      <w:tr w:rsidR="00164867" w:rsidRPr="00694BC2" w14:paraId="6CE0D387" w14:textId="77777777" w:rsidTr="00653B11">
        <w:tc>
          <w:tcPr>
            <w:tcW w:w="7984" w:type="dxa"/>
            <w:shd w:val="clear" w:color="auto" w:fill="auto"/>
            <w:vAlign w:val="center"/>
          </w:tcPr>
          <w:p w14:paraId="3F9C2164" w14:textId="0A69DF1A" w:rsidR="00164867" w:rsidRPr="003A396F" w:rsidRDefault="00E7237C" w:rsidP="00694BC2">
            <w:pPr>
              <w:spacing w:before="120" w:after="120"/>
              <w:rPr>
                <w:sz w:val="20"/>
              </w:rPr>
            </w:pPr>
            <w:r w:rsidRPr="003A396F">
              <w:rPr>
                <w:sz w:val="20"/>
              </w:rPr>
              <w:t xml:space="preserve"> </w:t>
            </w:r>
            <m:oMath>
              <m:r>
                <w:rPr>
                  <w:rFonts w:ascii="Cambria Math" w:hAnsi="Cambria Math"/>
                  <w:sz w:val="20"/>
                  <w:szCs w:val="16"/>
                  <w:vertAlign w:val="subscript"/>
                </w:rPr>
                <m:t xml:space="preserve">rate= </m:t>
              </m:r>
              <m:f>
                <m:fPr>
                  <m:ctrlPr>
                    <w:rPr>
                      <w:rFonts w:ascii="Cambria Math" w:hAnsi="Cambria Math"/>
                      <w:i/>
                      <w:sz w:val="20"/>
                      <w:szCs w:val="16"/>
                      <w:vertAlign w:val="subscript"/>
                    </w:rPr>
                  </m:ctrlPr>
                </m:fPr>
                <m:num>
                  <m:r>
                    <w:rPr>
                      <w:rFonts w:ascii="Cambria Math" w:hAnsi="Cambria Math"/>
                      <w:sz w:val="20"/>
                      <w:szCs w:val="16"/>
                      <w:vertAlign w:val="subscript"/>
                    </w:rPr>
                    <m:t>[Kinetic Factor][Driving Force]</m:t>
                  </m:r>
                </m:num>
                <m:den>
                  <m:r>
                    <w:rPr>
                      <w:rFonts w:ascii="Cambria Math" w:hAnsi="Cambria Math"/>
                      <w:sz w:val="20"/>
                      <w:szCs w:val="16"/>
                      <w:vertAlign w:val="subscript"/>
                    </w:rPr>
                    <m:t>[Adsorption]</m:t>
                  </m:r>
                </m:den>
              </m:f>
            </m:oMath>
          </w:p>
        </w:tc>
        <w:tc>
          <w:tcPr>
            <w:tcW w:w="803" w:type="dxa"/>
            <w:shd w:val="clear" w:color="auto" w:fill="auto"/>
            <w:vAlign w:val="center"/>
          </w:tcPr>
          <w:p w14:paraId="63B9E05A" w14:textId="6303D0A4" w:rsidR="00164867" w:rsidRPr="00694BC2" w:rsidRDefault="00164867" w:rsidP="00653B11">
            <w:pPr>
              <w:spacing w:line="276" w:lineRule="auto"/>
              <w:jc w:val="right"/>
            </w:pPr>
            <w:r w:rsidRPr="00694BC2">
              <w:t>(1)</w:t>
            </w:r>
          </w:p>
        </w:tc>
      </w:tr>
    </w:tbl>
    <w:p w14:paraId="7F5D709A" w14:textId="19194A92" w:rsidR="007C012E" w:rsidRPr="007C012E" w:rsidRDefault="007C012E" w:rsidP="007C012E">
      <w:pPr>
        <w:pStyle w:val="CETBodytextItalic"/>
      </w:pPr>
      <w:r>
        <w:rPr>
          <w:i w:val="0"/>
        </w:rPr>
        <w:t xml:space="preserve">where the </w:t>
      </w:r>
      <w:r w:rsidRPr="00694BC2">
        <w:t>Kinetic Factor</w:t>
      </w:r>
      <w:r>
        <w:rPr>
          <w:i w:val="0"/>
        </w:rPr>
        <w:t xml:space="preserve"> is defined by the Arrhenius parameters, i.e. the pre-exponential factor</w:t>
      </w:r>
      <w:r w:rsidRPr="007D73BB">
        <w:t xml:space="preserve"> k</w:t>
      </w:r>
      <w:r>
        <w:rPr>
          <w:i w:val="0"/>
        </w:rPr>
        <w:t xml:space="preserve"> and the activation energy </w:t>
      </w:r>
      <w:r w:rsidRPr="007D73BB">
        <w:t>E</w:t>
      </w:r>
      <w:r w:rsidRPr="002E5A39">
        <w:rPr>
          <w:vertAlign w:val="subscript"/>
        </w:rPr>
        <w:t>a</w:t>
      </w:r>
      <w:r>
        <w:rPr>
          <w:i w:val="0"/>
        </w:rPr>
        <w:t xml:space="preserve">, the </w:t>
      </w:r>
      <w:r w:rsidRPr="00694BC2">
        <w:t>Driving Force</w:t>
      </w:r>
      <w:r>
        <w:rPr>
          <w:i w:val="0"/>
        </w:rPr>
        <w:t xml:space="preserve"> is a function of the concentration of the species and the </w:t>
      </w:r>
      <w:r w:rsidRPr="00694BC2">
        <w:t>Adsorption Factor</w:t>
      </w:r>
      <w:r>
        <w:rPr>
          <w:i w:val="0"/>
        </w:rPr>
        <w:t xml:space="preserve"> takes into account competitive adsorption on the char surface due to the co-presence of several gases. The reaction scheme, along with the kinetic parameters and adsorption constants, were</w:t>
      </w:r>
      <w:r w:rsidRPr="00813622">
        <w:rPr>
          <w:i w:val="0"/>
        </w:rPr>
        <w:t xml:space="preserve"> based on the work published by the authors (Catalanotti et al., 2019)</w:t>
      </w:r>
      <w:r>
        <w:rPr>
          <w:i w:val="0"/>
        </w:rPr>
        <w:t>.</w:t>
      </w:r>
      <w:r w:rsidRPr="00813622">
        <w:rPr>
          <w:i w:val="0"/>
        </w:rPr>
        <w:t xml:space="preserve"> </w:t>
      </w:r>
      <w:r>
        <w:rPr>
          <w:i w:val="0"/>
        </w:rPr>
        <w:t>T</w:t>
      </w:r>
      <w:r w:rsidRPr="00813622">
        <w:rPr>
          <w:i w:val="0"/>
        </w:rPr>
        <w:t xml:space="preserve">he parameters were recast for compatibility with the Aspen Plus format and are reported in Table 2.  </w:t>
      </w:r>
      <w:r>
        <w:rPr>
          <w:i w:val="0"/>
        </w:rPr>
        <w:t>T</w:t>
      </w:r>
      <w:r w:rsidRPr="00813622">
        <w:rPr>
          <w:i w:val="0"/>
        </w:rPr>
        <w:t xml:space="preserve">he factor </w:t>
      </w:r>
      <w:r w:rsidRPr="00E71A2C">
        <w:t>k</w:t>
      </w:r>
      <w:r w:rsidRPr="00813622">
        <w:rPr>
          <w:i w:val="0"/>
        </w:rPr>
        <w:t xml:space="preserve"> </w:t>
      </w:r>
      <w:r w:rsidR="003D07DC">
        <w:rPr>
          <w:i w:val="0"/>
        </w:rPr>
        <w:t>is</w:t>
      </w:r>
      <w:r w:rsidR="003D07DC" w:rsidRPr="00813622">
        <w:rPr>
          <w:i w:val="0"/>
        </w:rPr>
        <w:t xml:space="preserve"> </w:t>
      </w:r>
      <w:r w:rsidRPr="00813622">
        <w:rPr>
          <w:i w:val="0"/>
        </w:rPr>
        <w:t>a combi</w:t>
      </w:r>
      <w:r w:rsidR="00DA1C78">
        <w:rPr>
          <w:i w:val="0"/>
        </w:rPr>
        <w:t xml:space="preserve">nation of the frequency factor </w:t>
      </w:r>
      <w:r w:rsidR="00DA1C78" w:rsidRPr="00813622">
        <w:rPr>
          <w:i w:val="0"/>
        </w:rPr>
        <w:t xml:space="preserve">of the reaction </w:t>
      </w:r>
      <w:r w:rsidR="00DA1C78">
        <w:rPr>
          <w:i w:val="0"/>
        </w:rPr>
        <w:t>(Wang and Kinoshita, 1993)</w:t>
      </w:r>
      <w:r w:rsidRPr="00813622">
        <w:rPr>
          <w:i w:val="0"/>
        </w:rPr>
        <w:t xml:space="preserve"> and a </w:t>
      </w:r>
      <w:r>
        <w:rPr>
          <w:i w:val="0"/>
        </w:rPr>
        <w:t>Char Reactivity Factor (</w:t>
      </w:r>
      <w:r w:rsidRPr="00813622">
        <w:rPr>
          <w:i w:val="0"/>
        </w:rPr>
        <w:t>CRF</w:t>
      </w:r>
      <w:r>
        <w:rPr>
          <w:i w:val="0"/>
        </w:rPr>
        <w:t>), which is a function of char density a</w:t>
      </w:r>
      <w:r w:rsidR="004E3198">
        <w:rPr>
          <w:i w:val="0"/>
        </w:rPr>
        <w:t>nd</w:t>
      </w:r>
      <w:r>
        <w:rPr>
          <w:i w:val="0"/>
        </w:rPr>
        <w:t xml:space="preserve"> particle size, for which</w:t>
      </w:r>
      <w:r w:rsidRPr="00813622">
        <w:rPr>
          <w:i w:val="0"/>
        </w:rPr>
        <w:t xml:space="preserve"> a reference value of </w:t>
      </w:r>
      <w:r>
        <w:rPr>
          <w:i w:val="0"/>
        </w:rPr>
        <w:t xml:space="preserve">about 15 was calculated based on the expressions </w:t>
      </w:r>
      <w:r w:rsidR="00375168">
        <w:rPr>
          <w:i w:val="0"/>
        </w:rPr>
        <w:t xml:space="preserve">and values of char characteristics </w:t>
      </w:r>
      <w:r>
        <w:rPr>
          <w:i w:val="0"/>
        </w:rPr>
        <w:t>used in Catalanotti et al. (2019)</w:t>
      </w:r>
      <w:r w:rsidR="00375168">
        <w:rPr>
          <w:i w:val="0"/>
        </w:rPr>
        <w:t xml:space="preserve"> and extensively described in Wang and Kinoshita (1993)</w:t>
      </w:r>
      <w:r>
        <w:rPr>
          <w:i w:val="0"/>
        </w:rPr>
        <w:t>.</w:t>
      </w:r>
    </w:p>
    <w:p w14:paraId="0CEB9258" w14:textId="1FD311C5" w:rsidR="0024384F" w:rsidRPr="00B57B36" w:rsidRDefault="0024384F" w:rsidP="0024384F">
      <w:pPr>
        <w:pStyle w:val="CETTabletitle"/>
      </w:pPr>
      <w:r>
        <w:t>Table 2</w:t>
      </w:r>
      <w:r w:rsidRPr="00B57B36">
        <w:t xml:space="preserve">: </w:t>
      </w:r>
      <w:r>
        <w:t xml:space="preserve">Kinetic parameters used in </w:t>
      </w:r>
      <w:r w:rsidR="006561EC">
        <w:t xml:space="preserve">reduction </w:t>
      </w:r>
      <w:r w:rsidR="00E961D3">
        <w:t>reactor</w:t>
      </w:r>
      <w:r w:rsidR="006561EC">
        <w:t xml:space="preserve"> (RED).</w:t>
      </w:r>
      <w:r w:rsidR="00E961D3">
        <w:t xml:space="preserve"> </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268"/>
        <w:gridCol w:w="2127"/>
        <w:gridCol w:w="1275"/>
        <w:gridCol w:w="1418"/>
        <w:gridCol w:w="1276"/>
      </w:tblGrid>
      <w:tr w:rsidR="00164867" w:rsidRPr="00DD058A" w14:paraId="011196D6" w14:textId="77777777" w:rsidTr="00DA1C78">
        <w:tc>
          <w:tcPr>
            <w:tcW w:w="2268" w:type="dxa"/>
            <w:tcBorders>
              <w:top w:val="single" w:sz="12" w:space="0" w:color="008000"/>
              <w:bottom w:val="single" w:sz="6" w:space="0" w:color="008000"/>
            </w:tcBorders>
            <w:shd w:val="clear" w:color="auto" w:fill="FFFFFF"/>
          </w:tcPr>
          <w:p w14:paraId="304BBCB4" w14:textId="132E66AB" w:rsidR="00164867" w:rsidRPr="00DD058A" w:rsidRDefault="00164867" w:rsidP="00C84AF9">
            <w:pPr>
              <w:pStyle w:val="CETBodytext"/>
              <w:rPr>
                <w:sz w:val="16"/>
                <w:lang w:val="en-GB"/>
              </w:rPr>
            </w:pPr>
            <w:r w:rsidRPr="00DD058A">
              <w:rPr>
                <w:sz w:val="16"/>
                <w:lang w:val="en-GB"/>
              </w:rPr>
              <w:t xml:space="preserve">Reaction </w:t>
            </w:r>
          </w:p>
        </w:tc>
        <w:tc>
          <w:tcPr>
            <w:tcW w:w="2127" w:type="dxa"/>
            <w:tcBorders>
              <w:top w:val="single" w:sz="12" w:space="0" w:color="008000"/>
              <w:bottom w:val="single" w:sz="6" w:space="0" w:color="008000"/>
            </w:tcBorders>
            <w:shd w:val="clear" w:color="auto" w:fill="FFFFFF"/>
          </w:tcPr>
          <w:p w14:paraId="64931AF5" w14:textId="4190E289" w:rsidR="00164867" w:rsidRPr="00E71A2C" w:rsidRDefault="00DA1C78" w:rsidP="003D07DC">
            <w:pPr>
              <w:pStyle w:val="CETBodytext"/>
              <w:rPr>
                <w:sz w:val="16"/>
                <w:lang w:val="en-GB"/>
              </w:rPr>
            </w:pPr>
            <w:r>
              <w:rPr>
                <w:sz w:val="16"/>
                <w:lang w:val="en-GB"/>
              </w:rPr>
              <w:t>Frequency factor</w:t>
            </w:r>
            <w:r w:rsidR="00E71A2C">
              <w:rPr>
                <w:sz w:val="16"/>
                <w:lang w:val="en-GB"/>
              </w:rPr>
              <w:t xml:space="preserve"> (s</w:t>
            </w:r>
            <w:r w:rsidR="00E71A2C">
              <w:rPr>
                <w:sz w:val="16"/>
                <w:vertAlign w:val="superscript"/>
                <w:lang w:val="en-GB"/>
              </w:rPr>
              <w:t>-1</w:t>
            </w:r>
            <w:r w:rsidR="00E71A2C">
              <w:rPr>
                <w:sz w:val="16"/>
                <w:lang w:val="en-GB"/>
              </w:rPr>
              <w:t>)</w:t>
            </w:r>
          </w:p>
        </w:tc>
        <w:tc>
          <w:tcPr>
            <w:tcW w:w="1275" w:type="dxa"/>
            <w:tcBorders>
              <w:top w:val="single" w:sz="12" w:space="0" w:color="008000"/>
              <w:bottom w:val="single" w:sz="6" w:space="0" w:color="008000"/>
            </w:tcBorders>
            <w:shd w:val="clear" w:color="auto" w:fill="FFFFFF"/>
          </w:tcPr>
          <w:p w14:paraId="4BD22E43" w14:textId="507AA371" w:rsidR="00164867" w:rsidRPr="00DD058A" w:rsidRDefault="00164867" w:rsidP="00C84AF9">
            <w:pPr>
              <w:pStyle w:val="CETBodytext"/>
              <w:rPr>
                <w:sz w:val="16"/>
                <w:lang w:val="en-GB"/>
              </w:rPr>
            </w:pPr>
            <w:r>
              <w:rPr>
                <w:sz w:val="16"/>
                <w:lang w:val="en-GB"/>
              </w:rPr>
              <w:t>CRF</w:t>
            </w:r>
          </w:p>
        </w:tc>
        <w:tc>
          <w:tcPr>
            <w:tcW w:w="1418" w:type="dxa"/>
            <w:tcBorders>
              <w:top w:val="single" w:sz="12" w:space="0" w:color="008000"/>
              <w:bottom w:val="single" w:sz="6" w:space="0" w:color="008000"/>
            </w:tcBorders>
            <w:shd w:val="clear" w:color="auto" w:fill="FFFFFF"/>
          </w:tcPr>
          <w:p w14:paraId="7A7E1379" w14:textId="1A2216FE" w:rsidR="00164867" w:rsidRPr="00DD058A" w:rsidRDefault="00164867" w:rsidP="00C84AF9">
            <w:pPr>
              <w:pStyle w:val="CETBodytext"/>
              <w:rPr>
                <w:sz w:val="16"/>
                <w:lang w:val="en-GB"/>
              </w:rPr>
            </w:pPr>
            <w:r w:rsidRPr="00DD058A">
              <w:rPr>
                <w:sz w:val="16"/>
                <w:lang w:val="en-GB"/>
              </w:rPr>
              <w:t>k</w:t>
            </w:r>
            <w:r w:rsidR="000D02D2">
              <w:rPr>
                <w:sz w:val="16"/>
                <w:lang w:val="en-GB"/>
              </w:rPr>
              <w:t xml:space="preserve"> </w:t>
            </w:r>
            <w:r w:rsidR="00E71A2C">
              <w:rPr>
                <w:sz w:val="16"/>
                <w:lang w:val="en-GB"/>
              </w:rPr>
              <w:t>(s</w:t>
            </w:r>
            <w:r w:rsidR="00E71A2C">
              <w:rPr>
                <w:sz w:val="16"/>
                <w:vertAlign w:val="superscript"/>
                <w:lang w:val="en-GB"/>
              </w:rPr>
              <w:t>-1</w:t>
            </w:r>
            <w:r w:rsidR="00E71A2C">
              <w:rPr>
                <w:sz w:val="16"/>
                <w:lang w:val="en-GB"/>
              </w:rPr>
              <w:t>)</w:t>
            </w:r>
            <w:r w:rsidRPr="00DD058A">
              <w:rPr>
                <w:sz w:val="16"/>
                <w:lang w:val="en-GB"/>
              </w:rPr>
              <w:t xml:space="preserve"> </w:t>
            </w:r>
          </w:p>
        </w:tc>
        <w:tc>
          <w:tcPr>
            <w:tcW w:w="1276" w:type="dxa"/>
            <w:tcBorders>
              <w:top w:val="single" w:sz="12" w:space="0" w:color="008000"/>
              <w:bottom w:val="single" w:sz="6" w:space="0" w:color="008000"/>
            </w:tcBorders>
            <w:shd w:val="clear" w:color="auto" w:fill="FFFFFF"/>
          </w:tcPr>
          <w:p w14:paraId="51BE0D6E" w14:textId="1C70AAC1" w:rsidR="00164867" w:rsidRPr="00DD058A" w:rsidRDefault="00164867" w:rsidP="00C84AF9">
            <w:pPr>
              <w:pStyle w:val="CETBodytext"/>
              <w:ind w:right="-1"/>
              <w:rPr>
                <w:rFonts w:cs="Arial"/>
                <w:sz w:val="16"/>
                <w:szCs w:val="18"/>
                <w:lang w:val="en-GB"/>
              </w:rPr>
            </w:pPr>
            <w:r w:rsidRPr="00DD058A">
              <w:rPr>
                <w:sz w:val="16"/>
                <w:lang w:val="en-GB"/>
              </w:rPr>
              <w:t>E (kJ/kmol)</w:t>
            </w:r>
          </w:p>
        </w:tc>
      </w:tr>
      <w:tr w:rsidR="00164867" w:rsidRPr="00DD058A" w14:paraId="3F8EE69B" w14:textId="77777777" w:rsidTr="00DA1C78">
        <w:tc>
          <w:tcPr>
            <w:tcW w:w="2268" w:type="dxa"/>
            <w:shd w:val="clear" w:color="auto" w:fill="FFFFFF"/>
            <w:vAlign w:val="bottom"/>
          </w:tcPr>
          <w:p w14:paraId="7988B316" w14:textId="665F5B11" w:rsidR="00164867" w:rsidRPr="00DD058A" w:rsidRDefault="00164867" w:rsidP="006561EC">
            <w:pPr>
              <w:pStyle w:val="CETBodytext"/>
              <w:rPr>
                <w:rFonts w:cs="Arial"/>
                <w:sz w:val="16"/>
                <w:szCs w:val="18"/>
                <w:lang w:val="en-GB"/>
              </w:rPr>
            </w:pPr>
            <w:r w:rsidRPr="00DD058A">
              <w:rPr>
                <w:rFonts w:cs="Arial"/>
                <w:color w:val="000000"/>
                <w:sz w:val="16"/>
                <w:szCs w:val="18"/>
              </w:rPr>
              <w:t>C+CO</w:t>
            </w:r>
            <w:r w:rsidRPr="00DD058A">
              <w:rPr>
                <w:rFonts w:cs="Arial"/>
                <w:color w:val="000000"/>
                <w:sz w:val="16"/>
                <w:szCs w:val="18"/>
                <w:vertAlign w:val="subscript"/>
              </w:rPr>
              <w:t xml:space="preserve">2 </w:t>
            </w:r>
            <w:r>
              <w:rPr>
                <w:rFonts w:ascii="Times New Roman" w:hAnsi="Times New Roman"/>
                <w:color w:val="000000"/>
                <w:sz w:val="16"/>
                <w:szCs w:val="18"/>
              </w:rPr>
              <w:t>→</w:t>
            </w:r>
            <w:r w:rsidRPr="00DD058A">
              <w:rPr>
                <w:rFonts w:cs="Arial"/>
                <w:color w:val="000000"/>
                <w:sz w:val="16"/>
                <w:szCs w:val="18"/>
              </w:rPr>
              <w:t xml:space="preserve"> 2  CO</w:t>
            </w:r>
          </w:p>
        </w:tc>
        <w:tc>
          <w:tcPr>
            <w:tcW w:w="2127" w:type="dxa"/>
            <w:shd w:val="clear" w:color="auto" w:fill="FFFFFF"/>
          </w:tcPr>
          <w:p w14:paraId="0C4B5093" w14:textId="6909E5F9" w:rsidR="00164867" w:rsidRPr="00DD058A" w:rsidRDefault="00E71A2C" w:rsidP="00C95D8F">
            <w:pPr>
              <w:pStyle w:val="CETBodytext"/>
              <w:rPr>
                <w:sz w:val="16"/>
                <w:lang w:val="en-GB"/>
              </w:rPr>
            </w:pPr>
            <w:r>
              <w:rPr>
                <w:sz w:val="16"/>
              </w:rPr>
              <w:t>3</w:t>
            </w:r>
            <w:r w:rsidR="00164867" w:rsidRPr="00DD058A">
              <w:rPr>
                <w:sz w:val="16"/>
              </w:rPr>
              <w:t>6</w:t>
            </w:r>
            <w:r w:rsidR="000D02D2">
              <w:rPr>
                <w:sz w:val="16"/>
              </w:rPr>
              <w:t>.</w:t>
            </w:r>
            <w:r w:rsidR="00164867" w:rsidRPr="00DD058A">
              <w:rPr>
                <w:sz w:val="16"/>
              </w:rPr>
              <w:t>16</w:t>
            </w:r>
          </w:p>
        </w:tc>
        <w:tc>
          <w:tcPr>
            <w:tcW w:w="1275" w:type="dxa"/>
            <w:shd w:val="clear" w:color="auto" w:fill="FFFFFF"/>
          </w:tcPr>
          <w:p w14:paraId="5D63F1F4" w14:textId="3D437511" w:rsidR="00164867" w:rsidRDefault="00164867" w:rsidP="00C95D8F">
            <w:pPr>
              <w:pStyle w:val="CETBodytext"/>
              <w:rPr>
                <w:sz w:val="16"/>
              </w:rPr>
            </w:pPr>
            <w:r>
              <w:rPr>
                <w:sz w:val="16"/>
              </w:rPr>
              <w:t>14.8</w:t>
            </w:r>
          </w:p>
        </w:tc>
        <w:tc>
          <w:tcPr>
            <w:tcW w:w="1418" w:type="dxa"/>
            <w:shd w:val="clear" w:color="auto" w:fill="FFFFFF"/>
          </w:tcPr>
          <w:p w14:paraId="405EDB5D" w14:textId="00E6323E" w:rsidR="00164867" w:rsidRPr="00DD058A" w:rsidRDefault="000D02D2" w:rsidP="00C95D8F">
            <w:pPr>
              <w:pStyle w:val="CETBodytext"/>
              <w:rPr>
                <w:sz w:val="16"/>
                <w:lang w:val="en-GB"/>
              </w:rPr>
            </w:pPr>
            <w:r>
              <w:rPr>
                <w:sz w:val="16"/>
              </w:rPr>
              <w:t>53</w:t>
            </w:r>
            <w:r w:rsidR="00164867">
              <w:rPr>
                <w:sz w:val="16"/>
              </w:rPr>
              <w:t>5</w:t>
            </w:r>
          </w:p>
        </w:tc>
        <w:tc>
          <w:tcPr>
            <w:tcW w:w="1276" w:type="dxa"/>
            <w:shd w:val="clear" w:color="auto" w:fill="FFFFFF"/>
          </w:tcPr>
          <w:p w14:paraId="12124EF6" w14:textId="1E036C0C" w:rsidR="00164867" w:rsidRPr="00DD058A" w:rsidRDefault="00164867" w:rsidP="00C95D8F">
            <w:pPr>
              <w:pStyle w:val="CETBodytext"/>
              <w:ind w:right="-1"/>
              <w:rPr>
                <w:rFonts w:cs="Arial"/>
                <w:sz w:val="16"/>
                <w:szCs w:val="18"/>
                <w:lang w:val="en-GB"/>
              </w:rPr>
            </w:pPr>
            <w:r w:rsidRPr="00DD058A">
              <w:rPr>
                <w:sz w:val="16"/>
              </w:rPr>
              <w:t>77</w:t>
            </w:r>
            <w:r>
              <w:rPr>
                <w:sz w:val="16"/>
              </w:rPr>
              <w:t>,</w:t>
            </w:r>
            <w:r w:rsidRPr="00DD058A">
              <w:rPr>
                <w:sz w:val="16"/>
              </w:rPr>
              <w:t>390</w:t>
            </w:r>
          </w:p>
        </w:tc>
      </w:tr>
      <w:tr w:rsidR="00164867" w:rsidRPr="00DD058A" w14:paraId="359B8E73" w14:textId="77777777" w:rsidTr="00DA1C78">
        <w:tc>
          <w:tcPr>
            <w:tcW w:w="2268" w:type="dxa"/>
            <w:shd w:val="clear" w:color="auto" w:fill="FFFFFF"/>
            <w:vAlign w:val="bottom"/>
          </w:tcPr>
          <w:p w14:paraId="15CC9905" w14:textId="73359754" w:rsidR="00164867" w:rsidRPr="00DD058A" w:rsidRDefault="00164867" w:rsidP="006561EC">
            <w:pPr>
              <w:pStyle w:val="CETBodytext"/>
              <w:rPr>
                <w:rFonts w:cs="Arial"/>
                <w:sz w:val="16"/>
                <w:szCs w:val="18"/>
                <w:lang w:val="en-GB"/>
              </w:rPr>
            </w:pPr>
            <w:r w:rsidRPr="00DD058A">
              <w:rPr>
                <w:rFonts w:cs="Arial"/>
                <w:color w:val="000000"/>
                <w:sz w:val="16"/>
                <w:szCs w:val="18"/>
              </w:rPr>
              <w:t>C+H</w:t>
            </w:r>
            <w:r w:rsidRPr="00DD058A">
              <w:rPr>
                <w:rFonts w:cs="Arial"/>
                <w:color w:val="000000"/>
                <w:sz w:val="16"/>
                <w:szCs w:val="18"/>
                <w:vertAlign w:val="subscript"/>
              </w:rPr>
              <w:t>2</w:t>
            </w:r>
            <w:r w:rsidRPr="00DD058A">
              <w:rPr>
                <w:rFonts w:cs="Arial"/>
                <w:color w:val="000000"/>
                <w:sz w:val="16"/>
                <w:szCs w:val="18"/>
              </w:rPr>
              <w:t xml:space="preserve">O </w:t>
            </w:r>
            <w:r>
              <w:rPr>
                <w:rFonts w:ascii="Times New Roman" w:hAnsi="Times New Roman"/>
                <w:color w:val="000000"/>
                <w:sz w:val="16"/>
                <w:szCs w:val="18"/>
              </w:rPr>
              <w:t>→</w:t>
            </w:r>
            <w:r w:rsidRPr="00DD058A">
              <w:rPr>
                <w:rFonts w:cs="Arial"/>
                <w:color w:val="000000"/>
                <w:sz w:val="16"/>
                <w:szCs w:val="18"/>
              </w:rPr>
              <w:t xml:space="preserve">  CO + H</w:t>
            </w:r>
            <w:r w:rsidRPr="00DD058A">
              <w:rPr>
                <w:rFonts w:cs="Arial"/>
                <w:color w:val="000000"/>
                <w:sz w:val="16"/>
                <w:szCs w:val="18"/>
                <w:vertAlign w:val="subscript"/>
              </w:rPr>
              <w:t>2</w:t>
            </w:r>
          </w:p>
        </w:tc>
        <w:tc>
          <w:tcPr>
            <w:tcW w:w="2127" w:type="dxa"/>
            <w:shd w:val="clear" w:color="auto" w:fill="FFFFFF"/>
          </w:tcPr>
          <w:p w14:paraId="65170E49" w14:textId="5F28098E" w:rsidR="00164867" w:rsidRPr="00DD058A" w:rsidRDefault="00164867" w:rsidP="00C95D8F">
            <w:pPr>
              <w:pStyle w:val="CETBodytext"/>
              <w:rPr>
                <w:sz w:val="16"/>
                <w:lang w:val="en-GB"/>
              </w:rPr>
            </w:pPr>
            <w:r w:rsidRPr="00DD058A">
              <w:rPr>
                <w:sz w:val="16"/>
              </w:rPr>
              <w:t>15</w:t>
            </w:r>
            <w:r>
              <w:rPr>
                <w:sz w:val="16"/>
              </w:rPr>
              <w:t>,</w:t>
            </w:r>
            <w:r w:rsidRPr="00DD058A">
              <w:rPr>
                <w:sz w:val="16"/>
              </w:rPr>
              <w:t>170</w:t>
            </w:r>
          </w:p>
        </w:tc>
        <w:tc>
          <w:tcPr>
            <w:tcW w:w="1275" w:type="dxa"/>
            <w:shd w:val="clear" w:color="auto" w:fill="FFFFFF"/>
          </w:tcPr>
          <w:p w14:paraId="3CD7FF7F" w14:textId="66D94658" w:rsidR="00164867" w:rsidRPr="00DD058A" w:rsidRDefault="00164867" w:rsidP="0011771A">
            <w:pPr>
              <w:pStyle w:val="CETBodytext"/>
              <w:rPr>
                <w:sz w:val="16"/>
              </w:rPr>
            </w:pPr>
            <w:r>
              <w:rPr>
                <w:sz w:val="16"/>
              </w:rPr>
              <w:t>14.8</w:t>
            </w:r>
          </w:p>
        </w:tc>
        <w:tc>
          <w:tcPr>
            <w:tcW w:w="1418" w:type="dxa"/>
            <w:shd w:val="clear" w:color="auto" w:fill="FFFFFF"/>
          </w:tcPr>
          <w:p w14:paraId="408BEC92" w14:textId="5E45F515" w:rsidR="00164867" w:rsidRPr="00DD058A" w:rsidRDefault="00164867" w:rsidP="0011771A">
            <w:pPr>
              <w:pStyle w:val="CETBodytext"/>
              <w:rPr>
                <w:sz w:val="16"/>
                <w:lang w:val="en-GB"/>
              </w:rPr>
            </w:pPr>
            <w:r w:rsidRPr="00DD058A">
              <w:rPr>
                <w:sz w:val="16"/>
              </w:rPr>
              <w:t>224</w:t>
            </w:r>
            <w:r>
              <w:rPr>
                <w:sz w:val="16"/>
              </w:rPr>
              <w:t>,</w:t>
            </w:r>
            <w:r w:rsidRPr="00DD058A">
              <w:rPr>
                <w:sz w:val="16"/>
              </w:rPr>
              <w:t>705</w:t>
            </w:r>
          </w:p>
        </w:tc>
        <w:tc>
          <w:tcPr>
            <w:tcW w:w="1276" w:type="dxa"/>
            <w:shd w:val="clear" w:color="auto" w:fill="FFFFFF"/>
          </w:tcPr>
          <w:p w14:paraId="52FF8603" w14:textId="0454CB93" w:rsidR="00164867" w:rsidRPr="00DD058A" w:rsidRDefault="00164867" w:rsidP="00C95D8F">
            <w:pPr>
              <w:pStyle w:val="CETBodytext"/>
              <w:ind w:right="-1"/>
              <w:rPr>
                <w:rFonts w:cs="Arial"/>
                <w:sz w:val="16"/>
                <w:szCs w:val="18"/>
                <w:lang w:val="en-GB"/>
              </w:rPr>
            </w:pPr>
            <w:r w:rsidRPr="00DD058A">
              <w:rPr>
                <w:sz w:val="16"/>
              </w:rPr>
              <w:t>121</w:t>
            </w:r>
            <w:r>
              <w:rPr>
                <w:sz w:val="16"/>
              </w:rPr>
              <w:t>,</w:t>
            </w:r>
            <w:r w:rsidRPr="00DD058A">
              <w:rPr>
                <w:sz w:val="16"/>
              </w:rPr>
              <w:t>620</w:t>
            </w:r>
          </w:p>
        </w:tc>
      </w:tr>
      <w:tr w:rsidR="00164867" w:rsidRPr="00DD058A" w14:paraId="774F70D9" w14:textId="77777777" w:rsidTr="00DA1C78">
        <w:tc>
          <w:tcPr>
            <w:tcW w:w="2268" w:type="dxa"/>
            <w:shd w:val="clear" w:color="auto" w:fill="FFFFFF"/>
            <w:vAlign w:val="bottom"/>
          </w:tcPr>
          <w:p w14:paraId="7D23DCF3" w14:textId="69FB70E4" w:rsidR="00164867" w:rsidRPr="00DD058A" w:rsidRDefault="00164867" w:rsidP="006561EC">
            <w:pPr>
              <w:pStyle w:val="CETBodytext"/>
              <w:rPr>
                <w:rFonts w:cs="Arial"/>
                <w:sz w:val="16"/>
                <w:szCs w:val="18"/>
                <w:lang w:val="en-GB"/>
              </w:rPr>
            </w:pPr>
            <w:r w:rsidRPr="00DD058A">
              <w:rPr>
                <w:rFonts w:cs="Arial"/>
                <w:color w:val="000000"/>
                <w:sz w:val="16"/>
                <w:szCs w:val="18"/>
              </w:rPr>
              <w:t>C+2H</w:t>
            </w:r>
            <w:r w:rsidRPr="00DD058A">
              <w:rPr>
                <w:rFonts w:cs="Arial"/>
                <w:color w:val="000000"/>
                <w:sz w:val="16"/>
                <w:szCs w:val="18"/>
                <w:vertAlign w:val="subscript"/>
              </w:rPr>
              <w:t xml:space="preserve">2 </w:t>
            </w:r>
            <w:r>
              <w:rPr>
                <w:rFonts w:ascii="Times New Roman" w:hAnsi="Times New Roman"/>
                <w:color w:val="000000"/>
                <w:sz w:val="16"/>
                <w:szCs w:val="18"/>
              </w:rPr>
              <w:t>→</w:t>
            </w:r>
            <w:r w:rsidRPr="00DD058A">
              <w:rPr>
                <w:rFonts w:cs="Arial"/>
                <w:color w:val="000000"/>
                <w:sz w:val="16"/>
                <w:szCs w:val="18"/>
              </w:rPr>
              <w:t xml:space="preserve"> CH</w:t>
            </w:r>
            <w:r w:rsidRPr="00DD058A">
              <w:rPr>
                <w:rFonts w:cs="Arial"/>
                <w:color w:val="000000"/>
                <w:sz w:val="16"/>
                <w:szCs w:val="18"/>
                <w:vertAlign w:val="subscript"/>
              </w:rPr>
              <w:t>4</w:t>
            </w:r>
          </w:p>
        </w:tc>
        <w:tc>
          <w:tcPr>
            <w:tcW w:w="2127" w:type="dxa"/>
            <w:shd w:val="clear" w:color="auto" w:fill="FFFFFF"/>
          </w:tcPr>
          <w:p w14:paraId="63E04DA3" w14:textId="47AA5A70" w:rsidR="00164867" w:rsidRPr="00DD058A" w:rsidRDefault="00164867" w:rsidP="00C95D8F">
            <w:pPr>
              <w:pStyle w:val="CETBodytext"/>
              <w:rPr>
                <w:sz w:val="16"/>
                <w:lang w:val="en-GB"/>
              </w:rPr>
            </w:pPr>
            <w:r w:rsidRPr="00DD058A">
              <w:rPr>
                <w:sz w:val="16"/>
              </w:rPr>
              <w:t>0.004</w:t>
            </w:r>
          </w:p>
        </w:tc>
        <w:tc>
          <w:tcPr>
            <w:tcW w:w="1275" w:type="dxa"/>
            <w:shd w:val="clear" w:color="auto" w:fill="FFFFFF"/>
          </w:tcPr>
          <w:p w14:paraId="2BBA2284" w14:textId="687A4DF6" w:rsidR="00164867" w:rsidRPr="00DD058A" w:rsidRDefault="00164867" w:rsidP="00C95D8F">
            <w:pPr>
              <w:pStyle w:val="CETBodytext"/>
              <w:rPr>
                <w:sz w:val="16"/>
              </w:rPr>
            </w:pPr>
            <w:r>
              <w:rPr>
                <w:sz w:val="16"/>
              </w:rPr>
              <w:t>14.8</w:t>
            </w:r>
          </w:p>
        </w:tc>
        <w:tc>
          <w:tcPr>
            <w:tcW w:w="1418" w:type="dxa"/>
            <w:shd w:val="clear" w:color="auto" w:fill="FFFFFF"/>
          </w:tcPr>
          <w:p w14:paraId="2F0F4DB1" w14:textId="45716EF2" w:rsidR="00164867" w:rsidRPr="00DD058A" w:rsidRDefault="00164867" w:rsidP="00C95D8F">
            <w:pPr>
              <w:pStyle w:val="CETBodytext"/>
              <w:rPr>
                <w:sz w:val="16"/>
                <w:lang w:val="en-GB"/>
              </w:rPr>
            </w:pPr>
            <w:r w:rsidRPr="00DD058A">
              <w:rPr>
                <w:sz w:val="16"/>
              </w:rPr>
              <w:t>0.062</w:t>
            </w:r>
          </w:p>
        </w:tc>
        <w:tc>
          <w:tcPr>
            <w:tcW w:w="1276" w:type="dxa"/>
            <w:shd w:val="clear" w:color="auto" w:fill="FFFFFF"/>
          </w:tcPr>
          <w:p w14:paraId="79245338" w14:textId="44127741" w:rsidR="00164867" w:rsidRPr="00DD058A" w:rsidRDefault="00164867" w:rsidP="00C95D8F">
            <w:pPr>
              <w:pStyle w:val="CETBodytext"/>
              <w:ind w:right="-1"/>
              <w:rPr>
                <w:rFonts w:cs="Arial"/>
                <w:sz w:val="16"/>
                <w:szCs w:val="18"/>
                <w:lang w:val="en-GB"/>
              </w:rPr>
            </w:pPr>
            <w:r w:rsidRPr="00DD058A">
              <w:rPr>
                <w:sz w:val="16"/>
              </w:rPr>
              <w:t>19</w:t>
            </w:r>
            <w:r>
              <w:rPr>
                <w:sz w:val="16"/>
              </w:rPr>
              <w:t>,</w:t>
            </w:r>
            <w:r w:rsidRPr="00DD058A">
              <w:rPr>
                <w:sz w:val="16"/>
              </w:rPr>
              <w:t>210</w:t>
            </w:r>
          </w:p>
        </w:tc>
      </w:tr>
    </w:tbl>
    <w:p w14:paraId="4A4679B5" w14:textId="384682E1" w:rsidR="002B3858" w:rsidRDefault="001F3BCE" w:rsidP="0044008C">
      <w:pPr>
        <w:pStyle w:val="CETheadingx"/>
      </w:pPr>
      <w:r>
        <w:t>Model validation</w:t>
      </w:r>
    </w:p>
    <w:p w14:paraId="6AE5ACAE" w14:textId="3C1040FB" w:rsidR="00A12317" w:rsidRDefault="00571A2E" w:rsidP="00FB2698">
      <w:pPr>
        <w:pStyle w:val="CETBodytext"/>
      </w:pPr>
      <w:r>
        <w:t xml:space="preserve">The model was validated against experimental data </w:t>
      </w:r>
      <w:r w:rsidR="003D07DC">
        <w:t xml:space="preserve">provided by </w:t>
      </w:r>
      <w:r>
        <w:t>Sheth and Babu (2009)</w:t>
      </w:r>
      <w:r w:rsidR="00F05FBF">
        <w:t xml:space="preserve"> which investigated the </w:t>
      </w:r>
      <w:r w:rsidR="003D07DC">
        <w:t>syn</w:t>
      </w:r>
      <w:r w:rsidR="00F05FBF">
        <w:t>gas composition</w:t>
      </w:r>
      <w:r w:rsidR="00714799">
        <w:t xml:space="preserve"> and heating value</w:t>
      </w:r>
      <w:r w:rsidR="00F05FBF">
        <w:t xml:space="preserve"> obtained from biomass gasification in a dow</w:t>
      </w:r>
      <w:r w:rsidR="00871E3E">
        <w:t>n</w:t>
      </w:r>
      <w:r w:rsidR="00F05FBF">
        <w:t xml:space="preserve">draft gasifier </w:t>
      </w:r>
      <w:r w:rsidR="00871E3E">
        <w:t xml:space="preserve">for different </w:t>
      </w:r>
      <w:r w:rsidR="00871E3E" w:rsidRPr="00871E3E">
        <w:rPr>
          <w:lang w:val="en-GB"/>
        </w:rPr>
        <w:t>values of ER</w:t>
      </w:r>
      <w:r w:rsidR="00674DB8">
        <w:rPr>
          <w:lang w:val="en-GB"/>
        </w:rPr>
        <w:t>, ranging 0.2 to 0.35</w:t>
      </w:r>
      <w:r>
        <w:t>.</w:t>
      </w:r>
      <w:r w:rsidR="00FB2698">
        <w:t xml:space="preserve"> The composition of the biomass was the same reported in </w:t>
      </w:r>
      <w:r w:rsidR="00FB2698">
        <w:t>Sheth and Babu (2009)</w:t>
      </w:r>
      <w:r w:rsidR="00C42ED7">
        <w:t>, with the p</w:t>
      </w:r>
      <w:r w:rsidR="00FB2698">
        <w:t xml:space="preserve">roximate </w:t>
      </w:r>
      <w:r w:rsidR="00FB2698">
        <w:t>analysis</w:t>
      </w:r>
      <w:r w:rsidR="00C42ED7">
        <w:t xml:space="preserve"> </w:t>
      </w:r>
      <w:r w:rsidR="00C42ED7">
        <w:t xml:space="preserve">(% by wt. dry basis) </w:t>
      </w:r>
      <w:r w:rsidR="00C42ED7">
        <w:t xml:space="preserve">reporting fixed carbon </w:t>
      </w:r>
      <w:r w:rsidR="00FB2698">
        <w:t>15.70</w:t>
      </w:r>
      <w:r w:rsidR="00FB2698">
        <w:t>%</w:t>
      </w:r>
      <w:r w:rsidR="00C42ED7">
        <w:t>, v</w:t>
      </w:r>
      <w:r w:rsidR="00FB2698">
        <w:t>olatile matter 80.40</w:t>
      </w:r>
      <w:r w:rsidR="00FB2698">
        <w:t>%</w:t>
      </w:r>
      <w:r w:rsidR="00FB2698">
        <w:t xml:space="preserve"> </w:t>
      </w:r>
      <w:r w:rsidR="00C42ED7">
        <w:t>and ash</w:t>
      </w:r>
      <w:r w:rsidR="00FB2698">
        <w:t xml:space="preserve"> 3.90</w:t>
      </w:r>
      <w:r w:rsidR="00FB2698">
        <w:t>%</w:t>
      </w:r>
      <w:r w:rsidR="00FB2698">
        <w:t xml:space="preserve"> </w:t>
      </w:r>
      <w:r w:rsidR="00FB2698">
        <w:t xml:space="preserve">and the </w:t>
      </w:r>
      <w:r w:rsidR="00C42ED7">
        <w:t>u</w:t>
      </w:r>
      <w:r w:rsidR="00FB2698">
        <w:t>ltimat</w:t>
      </w:r>
      <w:r w:rsidR="00FB2698">
        <w:t xml:space="preserve">e analysis (% by wt. dry basis) </w:t>
      </w:r>
      <w:r w:rsidR="00C42ED7">
        <w:t>reporting c</w:t>
      </w:r>
      <w:r w:rsidR="00FB2698">
        <w:t>arbon 48.6</w:t>
      </w:r>
      <w:r w:rsidR="00C42ED7">
        <w:t>%</w:t>
      </w:r>
      <w:r w:rsidR="00FB2698">
        <w:t xml:space="preserve"> </w:t>
      </w:r>
      <w:r w:rsidR="00C42ED7">
        <w:t>h</w:t>
      </w:r>
      <w:r w:rsidR="00FB2698">
        <w:t>ydrogen 6.2</w:t>
      </w:r>
      <w:r w:rsidR="00C42ED7">
        <w:t>%</w:t>
      </w:r>
      <w:r w:rsidR="00FB2698">
        <w:t xml:space="preserve"> </w:t>
      </w:r>
      <w:r w:rsidR="00C42ED7">
        <w:t>o</w:t>
      </w:r>
      <w:r w:rsidR="00FB2698">
        <w:t>xygen 44.87</w:t>
      </w:r>
      <w:r w:rsidR="00C42ED7">
        <w:t>%</w:t>
      </w:r>
      <w:r w:rsidR="00FB2698">
        <w:t xml:space="preserve"> </w:t>
      </w:r>
      <w:r w:rsidR="00C42ED7">
        <w:t>and n</w:t>
      </w:r>
      <w:r w:rsidR="00FB2698">
        <w:t>itrogen</w:t>
      </w:r>
      <w:r w:rsidR="00FB2698">
        <w:t xml:space="preserve"> 0.33</w:t>
      </w:r>
      <w:r w:rsidR="00C42ED7">
        <w:t>%</w:t>
      </w:r>
      <w:r w:rsidR="00871E3E">
        <w:t xml:space="preserve">. </w:t>
      </w:r>
      <w:r w:rsidR="00363CFE">
        <w:t>A scale-up of the whole system was necessary to avoid computational errors</w:t>
      </w:r>
      <w:r>
        <w:t xml:space="preserve"> </w:t>
      </w:r>
      <w:r w:rsidR="003D07DC">
        <w:t xml:space="preserve">encountered </w:t>
      </w:r>
      <w:r w:rsidR="00363CFE">
        <w:t xml:space="preserve">when the flow rates of the feed were as low as those employed in the experiments. </w:t>
      </w:r>
      <w:r>
        <w:t>The size</w:t>
      </w:r>
      <w:r w:rsidR="004E3198">
        <w:t>s</w:t>
      </w:r>
      <w:r>
        <w:t xml:space="preserve"> of the reactors were enlarged </w:t>
      </w:r>
      <w:r w:rsidR="00363CFE">
        <w:t xml:space="preserve">accordingly to retain </w:t>
      </w:r>
      <w:r w:rsidR="006561EC">
        <w:t xml:space="preserve">equivalent </w:t>
      </w:r>
      <w:r w:rsidR="00363CFE">
        <w:t>residence time in each section.</w:t>
      </w:r>
      <w:r w:rsidR="007523C4">
        <w:t xml:space="preserve"> Details of the conditions</w:t>
      </w:r>
      <w:r w:rsidR="00F05FBF">
        <w:t xml:space="preserve"> </w:t>
      </w:r>
      <w:r w:rsidR="00D30067">
        <w:t xml:space="preserve">and the calculations </w:t>
      </w:r>
      <w:r w:rsidR="007523C4">
        <w:t xml:space="preserve">used for the scale-up </w:t>
      </w:r>
      <w:r w:rsidR="00363CFE">
        <w:t>are listed in Table 3</w:t>
      </w:r>
      <w:r w:rsidR="00D30067" w:rsidRPr="00D30067">
        <w:t xml:space="preserve"> </w:t>
      </w:r>
      <w:r w:rsidR="00D30067">
        <w:t>for ER = 0.2533</w:t>
      </w:r>
      <w:r w:rsidR="00363CFE">
        <w:t>.</w:t>
      </w:r>
      <w:r w:rsidR="00C84AF9">
        <w:t xml:space="preserve"> </w:t>
      </w:r>
    </w:p>
    <w:p w14:paraId="0DDD5839" w14:textId="3C2787C2" w:rsidR="00363CFE" w:rsidRPr="00B57B36" w:rsidRDefault="00363CFE" w:rsidP="00363CFE">
      <w:pPr>
        <w:pStyle w:val="CETTabletitle"/>
      </w:pPr>
      <w:r>
        <w:t>Table 3</w:t>
      </w:r>
      <w:r w:rsidRPr="00B57B36">
        <w:t xml:space="preserve">: </w:t>
      </w:r>
      <w:r w:rsidR="009C4D0B">
        <w:t>Experimental and model gasifier design parameters.</w:t>
      </w:r>
    </w:p>
    <w:tbl>
      <w:tblPr>
        <w:tblW w:w="880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977"/>
        <w:gridCol w:w="3119"/>
        <w:gridCol w:w="2693"/>
        <w:gridCol w:w="20"/>
      </w:tblGrid>
      <w:tr w:rsidR="00363CFE" w:rsidRPr="00DD058A" w14:paraId="28DCEFF3" w14:textId="77777777" w:rsidTr="00D30067">
        <w:tc>
          <w:tcPr>
            <w:tcW w:w="2977" w:type="dxa"/>
            <w:tcBorders>
              <w:top w:val="single" w:sz="12" w:space="0" w:color="008000"/>
              <w:bottom w:val="single" w:sz="6" w:space="0" w:color="008000"/>
            </w:tcBorders>
            <w:shd w:val="clear" w:color="auto" w:fill="FFFFFF"/>
          </w:tcPr>
          <w:p w14:paraId="7F8E3475" w14:textId="50366611" w:rsidR="00363CFE" w:rsidRPr="00DD058A" w:rsidRDefault="00363CFE" w:rsidP="00C84AF9">
            <w:pPr>
              <w:pStyle w:val="CETBodytext"/>
              <w:rPr>
                <w:sz w:val="16"/>
                <w:lang w:val="en-GB"/>
              </w:rPr>
            </w:pPr>
            <w:r w:rsidRPr="00DD058A">
              <w:rPr>
                <w:sz w:val="16"/>
                <w:lang w:val="en-GB"/>
              </w:rPr>
              <w:t xml:space="preserve">Parameter </w:t>
            </w:r>
          </w:p>
        </w:tc>
        <w:tc>
          <w:tcPr>
            <w:tcW w:w="3119" w:type="dxa"/>
            <w:tcBorders>
              <w:top w:val="single" w:sz="12" w:space="0" w:color="008000"/>
              <w:bottom w:val="single" w:sz="6" w:space="0" w:color="008000"/>
            </w:tcBorders>
            <w:shd w:val="clear" w:color="auto" w:fill="FFFFFF"/>
          </w:tcPr>
          <w:p w14:paraId="0D7F5DB9" w14:textId="32009875" w:rsidR="00363CFE" w:rsidRPr="00DD058A" w:rsidRDefault="00363CFE" w:rsidP="00C84AF9">
            <w:pPr>
              <w:pStyle w:val="CETBodytext"/>
              <w:rPr>
                <w:sz w:val="16"/>
                <w:lang w:val="en-GB"/>
              </w:rPr>
            </w:pPr>
            <w:r w:rsidRPr="00DD058A">
              <w:rPr>
                <w:sz w:val="16"/>
                <w:lang w:val="en-GB"/>
              </w:rPr>
              <w:t>Sheth</w:t>
            </w:r>
            <w:r w:rsidR="00571430">
              <w:rPr>
                <w:sz w:val="16"/>
                <w:lang w:val="en-GB"/>
              </w:rPr>
              <w:t xml:space="preserve"> </w:t>
            </w:r>
            <w:r w:rsidRPr="00DD058A">
              <w:rPr>
                <w:sz w:val="16"/>
                <w:lang w:val="en-GB"/>
              </w:rPr>
              <w:t>&amp;</w:t>
            </w:r>
            <w:r w:rsidR="00571430">
              <w:rPr>
                <w:sz w:val="16"/>
                <w:lang w:val="en-GB"/>
              </w:rPr>
              <w:t xml:space="preserve"> </w:t>
            </w:r>
            <w:r w:rsidRPr="00DD058A">
              <w:rPr>
                <w:sz w:val="16"/>
                <w:lang w:val="en-GB"/>
              </w:rPr>
              <w:t>Babu (2009)</w:t>
            </w:r>
          </w:p>
        </w:tc>
        <w:tc>
          <w:tcPr>
            <w:tcW w:w="2693" w:type="dxa"/>
            <w:tcBorders>
              <w:top w:val="single" w:sz="12" w:space="0" w:color="008000"/>
              <w:bottom w:val="single" w:sz="6" w:space="0" w:color="008000"/>
            </w:tcBorders>
            <w:shd w:val="clear" w:color="auto" w:fill="FFFFFF"/>
          </w:tcPr>
          <w:p w14:paraId="6A3B475D" w14:textId="375D7FFD" w:rsidR="00363CFE" w:rsidRPr="00DD058A" w:rsidRDefault="00363CFE" w:rsidP="00C84AF9">
            <w:pPr>
              <w:pStyle w:val="CETBodytext"/>
              <w:rPr>
                <w:sz w:val="16"/>
                <w:lang w:val="en-GB"/>
              </w:rPr>
            </w:pPr>
            <w:r w:rsidRPr="00DD058A">
              <w:rPr>
                <w:sz w:val="16"/>
                <w:lang w:val="en-GB"/>
              </w:rPr>
              <w:t>Current Model</w:t>
            </w:r>
          </w:p>
        </w:tc>
        <w:tc>
          <w:tcPr>
            <w:tcW w:w="20" w:type="dxa"/>
            <w:tcBorders>
              <w:top w:val="single" w:sz="12" w:space="0" w:color="008000"/>
              <w:bottom w:val="single" w:sz="6" w:space="0" w:color="008000"/>
            </w:tcBorders>
            <w:shd w:val="clear" w:color="auto" w:fill="FFFFFF"/>
          </w:tcPr>
          <w:p w14:paraId="7F2DADB9" w14:textId="77777777" w:rsidR="00363CFE" w:rsidRPr="00DD058A" w:rsidRDefault="00363CFE" w:rsidP="00C84AF9">
            <w:pPr>
              <w:pStyle w:val="CETBodytext"/>
              <w:ind w:right="-1"/>
              <w:rPr>
                <w:rFonts w:cs="Arial"/>
                <w:sz w:val="16"/>
                <w:szCs w:val="18"/>
                <w:lang w:val="en-GB"/>
              </w:rPr>
            </w:pPr>
          </w:p>
        </w:tc>
      </w:tr>
      <w:tr w:rsidR="00B519E4" w:rsidRPr="00DD058A" w14:paraId="4764936C" w14:textId="77777777" w:rsidTr="00D30067">
        <w:tc>
          <w:tcPr>
            <w:tcW w:w="2977" w:type="dxa"/>
            <w:shd w:val="clear" w:color="auto" w:fill="FFFFFF"/>
          </w:tcPr>
          <w:p w14:paraId="3EEDF686" w14:textId="4A591C69" w:rsidR="00B519E4" w:rsidRPr="00DD058A" w:rsidRDefault="00B519E4" w:rsidP="00B519E4">
            <w:pPr>
              <w:pStyle w:val="CETBodytext"/>
              <w:rPr>
                <w:sz w:val="16"/>
                <w:lang w:val="en-GB"/>
              </w:rPr>
            </w:pPr>
            <w:r w:rsidRPr="00DD058A">
              <w:rPr>
                <w:sz w:val="16"/>
                <w:lang w:val="en-GB"/>
              </w:rPr>
              <w:t>Biomass Flowrate (kg/hr)</w:t>
            </w:r>
          </w:p>
        </w:tc>
        <w:tc>
          <w:tcPr>
            <w:tcW w:w="3119" w:type="dxa"/>
            <w:shd w:val="clear" w:color="auto" w:fill="FFFFFF"/>
          </w:tcPr>
          <w:p w14:paraId="4A1743D4" w14:textId="014F2338" w:rsidR="00B519E4" w:rsidRPr="00DD058A" w:rsidRDefault="00B519E4" w:rsidP="00B519E4">
            <w:pPr>
              <w:pStyle w:val="CETBodytext"/>
              <w:rPr>
                <w:sz w:val="16"/>
                <w:lang w:val="en-GB"/>
              </w:rPr>
            </w:pPr>
            <w:r w:rsidRPr="00DD058A">
              <w:rPr>
                <w:sz w:val="16"/>
              </w:rPr>
              <w:t>2.1</w:t>
            </w:r>
          </w:p>
        </w:tc>
        <w:tc>
          <w:tcPr>
            <w:tcW w:w="2693" w:type="dxa"/>
            <w:shd w:val="clear" w:color="auto" w:fill="FFFFFF"/>
          </w:tcPr>
          <w:p w14:paraId="7991EAFD" w14:textId="12573211" w:rsidR="00B519E4" w:rsidRPr="00DD058A" w:rsidRDefault="00B519E4" w:rsidP="00B519E4">
            <w:pPr>
              <w:pStyle w:val="CETBodytext"/>
              <w:rPr>
                <w:sz w:val="16"/>
                <w:lang w:val="en-GB"/>
              </w:rPr>
            </w:pPr>
            <w:r w:rsidRPr="00DD058A">
              <w:rPr>
                <w:sz w:val="16"/>
                <w:lang w:val="en-GB"/>
              </w:rPr>
              <w:t>21</w:t>
            </w:r>
          </w:p>
        </w:tc>
        <w:tc>
          <w:tcPr>
            <w:tcW w:w="20" w:type="dxa"/>
            <w:shd w:val="clear" w:color="auto" w:fill="FFFFFF"/>
          </w:tcPr>
          <w:p w14:paraId="6DF0D6FB" w14:textId="77777777" w:rsidR="00B519E4" w:rsidRPr="00DD058A" w:rsidRDefault="00B519E4" w:rsidP="00B519E4">
            <w:pPr>
              <w:pStyle w:val="CETBodytext"/>
              <w:ind w:right="-1"/>
              <w:rPr>
                <w:rFonts w:cs="Arial"/>
                <w:sz w:val="16"/>
                <w:szCs w:val="18"/>
                <w:lang w:val="en-GB"/>
              </w:rPr>
            </w:pPr>
          </w:p>
        </w:tc>
      </w:tr>
      <w:tr w:rsidR="00B519E4" w:rsidRPr="00DD058A" w14:paraId="03848654" w14:textId="77777777" w:rsidTr="00D30067">
        <w:tc>
          <w:tcPr>
            <w:tcW w:w="2977" w:type="dxa"/>
            <w:shd w:val="clear" w:color="auto" w:fill="FFFFFF"/>
          </w:tcPr>
          <w:p w14:paraId="09E02333" w14:textId="2C24888F" w:rsidR="00B519E4" w:rsidRPr="00DD058A" w:rsidRDefault="0056122D" w:rsidP="00B519E4">
            <w:pPr>
              <w:pStyle w:val="CETBodytext"/>
              <w:rPr>
                <w:sz w:val="16"/>
                <w:lang w:val="en-GB"/>
              </w:rPr>
            </w:pPr>
            <w:r>
              <w:rPr>
                <w:sz w:val="16"/>
                <w:lang w:val="en-GB"/>
              </w:rPr>
              <w:t>Air (kg/</w:t>
            </w:r>
            <w:r w:rsidR="00B519E4" w:rsidRPr="00DD058A">
              <w:rPr>
                <w:sz w:val="16"/>
                <w:lang w:val="en-GB"/>
              </w:rPr>
              <w:t>hr)</w:t>
            </w:r>
          </w:p>
        </w:tc>
        <w:tc>
          <w:tcPr>
            <w:tcW w:w="3119" w:type="dxa"/>
            <w:shd w:val="clear" w:color="auto" w:fill="FFFFFF"/>
          </w:tcPr>
          <w:p w14:paraId="76B323AE" w14:textId="2192BE7C" w:rsidR="00B519E4" w:rsidRPr="00DD058A" w:rsidRDefault="00B519E4" w:rsidP="00B519E4">
            <w:pPr>
              <w:pStyle w:val="CETBodytext"/>
              <w:rPr>
                <w:sz w:val="16"/>
                <w:lang w:val="en-GB"/>
              </w:rPr>
            </w:pPr>
            <w:r w:rsidRPr="00DD058A">
              <w:rPr>
                <w:sz w:val="16"/>
              </w:rPr>
              <w:t>4.9</w:t>
            </w:r>
          </w:p>
        </w:tc>
        <w:tc>
          <w:tcPr>
            <w:tcW w:w="2693" w:type="dxa"/>
            <w:shd w:val="clear" w:color="auto" w:fill="FFFFFF"/>
          </w:tcPr>
          <w:p w14:paraId="516CC757" w14:textId="469DE686" w:rsidR="00B519E4" w:rsidRPr="00DD058A" w:rsidRDefault="00B519E4" w:rsidP="00B519E4">
            <w:pPr>
              <w:pStyle w:val="CETBodytext"/>
              <w:rPr>
                <w:sz w:val="16"/>
                <w:lang w:val="en-GB"/>
              </w:rPr>
            </w:pPr>
            <w:r w:rsidRPr="00DD058A">
              <w:rPr>
                <w:sz w:val="16"/>
                <w:lang w:val="en-GB"/>
              </w:rPr>
              <w:t>49</w:t>
            </w:r>
          </w:p>
        </w:tc>
        <w:tc>
          <w:tcPr>
            <w:tcW w:w="20" w:type="dxa"/>
            <w:shd w:val="clear" w:color="auto" w:fill="FFFFFF"/>
          </w:tcPr>
          <w:p w14:paraId="55283BA2" w14:textId="77777777" w:rsidR="00B519E4" w:rsidRPr="00DD058A" w:rsidRDefault="00B519E4" w:rsidP="00B519E4">
            <w:pPr>
              <w:pStyle w:val="CETBodytext"/>
              <w:ind w:right="-1"/>
              <w:rPr>
                <w:rFonts w:cs="Arial"/>
                <w:sz w:val="16"/>
                <w:szCs w:val="18"/>
                <w:lang w:val="en-GB"/>
              </w:rPr>
            </w:pPr>
          </w:p>
        </w:tc>
      </w:tr>
      <w:tr w:rsidR="00F05FBF" w:rsidRPr="00DD058A" w14:paraId="3D0B609B" w14:textId="77777777" w:rsidTr="00755BDC">
        <w:tc>
          <w:tcPr>
            <w:tcW w:w="2977" w:type="dxa"/>
            <w:tcBorders>
              <w:bottom w:val="nil"/>
            </w:tcBorders>
            <w:shd w:val="clear" w:color="auto" w:fill="FFFFFF"/>
          </w:tcPr>
          <w:p w14:paraId="03F7E5FE" w14:textId="462AC505" w:rsidR="00F05FBF" w:rsidRPr="00DD058A" w:rsidRDefault="00F05FBF" w:rsidP="00B519E4">
            <w:pPr>
              <w:pStyle w:val="CETBodytext"/>
              <w:rPr>
                <w:sz w:val="16"/>
                <w:lang w:val="en-GB"/>
              </w:rPr>
            </w:pPr>
            <w:r w:rsidRPr="00DD058A">
              <w:rPr>
                <w:sz w:val="16"/>
                <w:lang w:val="en-GB"/>
              </w:rPr>
              <w:t>ER</w:t>
            </w:r>
          </w:p>
        </w:tc>
        <w:tc>
          <w:tcPr>
            <w:tcW w:w="3119" w:type="dxa"/>
            <w:tcBorders>
              <w:bottom w:val="nil"/>
            </w:tcBorders>
            <w:shd w:val="clear" w:color="auto" w:fill="FFFFFF"/>
          </w:tcPr>
          <w:p w14:paraId="583EE1F1" w14:textId="58E88CBC" w:rsidR="00F05FBF" w:rsidRPr="00DD058A" w:rsidRDefault="00755BDC" w:rsidP="00B519E4">
            <w:pPr>
              <w:pStyle w:val="CETBodytext"/>
              <w:rPr>
                <w:sz w:val="16"/>
              </w:rPr>
            </w:pPr>
            <w:r>
              <w:rPr>
                <w:sz w:val="16"/>
              </w:rPr>
              <w:t>0.253</w:t>
            </w:r>
          </w:p>
        </w:tc>
        <w:tc>
          <w:tcPr>
            <w:tcW w:w="2693" w:type="dxa"/>
            <w:tcBorders>
              <w:bottom w:val="nil"/>
            </w:tcBorders>
            <w:shd w:val="clear" w:color="auto" w:fill="FFFFFF"/>
          </w:tcPr>
          <w:p w14:paraId="7F6EBBE1" w14:textId="04924A94" w:rsidR="00F05FBF" w:rsidRPr="00DD058A" w:rsidRDefault="00755BDC" w:rsidP="00B519E4">
            <w:pPr>
              <w:pStyle w:val="CETBodytext"/>
              <w:rPr>
                <w:sz w:val="16"/>
                <w:lang w:val="en-GB"/>
              </w:rPr>
            </w:pPr>
            <w:r>
              <w:rPr>
                <w:sz w:val="16"/>
              </w:rPr>
              <w:t>0.253</w:t>
            </w:r>
          </w:p>
        </w:tc>
        <w:tc>
          <w:tcPr>
            <w:tcW w:w="20" w:type="dxa"/>
            <w:tcBorders>
              <w:bottom w:val="nil"/>
            </w:tcBorders>
            <w:shd w:val="clear" w:color="auto" w:fill="FFFFFF"/>
          </w:tcPr>
          <w:p w14:paraId="562AA511" w14:textId="77777777" w:rsidR="00F05FBF" w:rsidRPr="00DD058A" w:rsidRDefault="00F05FBF" w:rsidP="00B519E4">
            <w:pPr>
              <w:pStyle w:val="CETBodytext"/>
              <w:ind w:right="-1"/>
              <w:rPr>
                <w:rFonts w:cs="Arial"/>
                <w:sz w:val="16"/>
                <w:szCs w:val="18"/>
                <w:lang w:val="en-GB"/>
              </w:rPr>
            </w:pPr>
          </w:p>
        </w:tc>
      </w:tr>
      <w:tr w:rsidR="00D30067" w:rsidRPr="00DD058A" w14:paraId="14009A38" w14:textId="77777777" w:rsidTr="00755BDC">
        <w:tc>
          <w:tcPr>
            <w:tcW w:w="2977" w:type="dxa"/>
            <w:tcBorders>
              <w:top w:val="nil"/>
              <w:bottom w:val="nil"/>
            </w:tcBorders>
            <w:shd w:val="clear" w:color="auto" w:fill="FFFFFF"/>
          </w:tcPr>
          <w:p w14:paraId="7D5520BE" w14:textId="788F069A" w:rsidR="00D30067" w:rsidRPr="00755BDC" w:rsidRDefault="00D30067" w:rsidP="00C84AF9">
            <w:pPr>
              <w:pStyle w:val="CETBodytext"/>
              <w:rPr>
                <w:sz w:val="16"/>
                <w:lang w:val="en-GB"/>
              </w:rPr>
            </w:pPr>
            <w:r w:rsidRPr="00DD058A">
              <w:rPr>
                <w:sz w:val="16"/>
                <w:lang w:val="en-GB"/>
              </w:rPr>
              <w:t>Oxidation zone</w:t>
            </w:r>
            <w:r w:rsidR="00755BDC">
              <w:rPr>
                <w:sz w:val="16"/>
                <w:lang w:val="en-GB"/>
              </w:rPr>
              <w:t xml:space="preserve"> Volume (mm</w:t>
            </w:r>
            <w:r w:rsidR="00755BDC">
              <w:rPr>
                <w:sz w:val="16"/>
                <w:vertAlign w:val="superscript"/>
                <w:lang w:val="en-GB"/>
              </w:rPr>
              <w:t>3</w:t>
            </w:r>
            <w:r w:rsidR="00755BDC">
              <w:rPr>
                <w:sz w:val="16"/>
                <w:lang w:val="en-GB"/>
              </w:rPr>
              <w:t>)</w:t>
            </w:r>
          </w:p>
        </w:tc>
        <w:tc>
          <w:tcPr>
            <w:tcW w:w="3119" w:type="dxa"/>
            <w:tcBorders>
              <w:top w:val="nil"/>
              <w:bottom w:val="nil"/>
            </w:tcBorders>
            <w:shd w:val="clear" w:color="auto" w:fill="FFFFFF"/>
          </w:tcPr>
          <w:p w14:paraId="45D60645" w14:textId="163C12C2" w:rsidR="00D30067" w:rsidRPr="00755BDC" w:rsidRDefault="00755BDC" w:rsidP="00C84AF9">
            <w:pPr>
              <w:pStyle w:val="CETBodytext"/>
              <w:rPr>
                <w:sz w:val="16"/>
              </w:rPr>
            </w:pPr>
            <w:r w:rsidRPr="00755BDC">
              <w:rPr>
                <w:sz w:val="16"/>
              </w:rPr>
              <w:t>937</w:t>
            </w:r>
          </w:p>
        </w:tc>
        <w:tc>
          <w:tcPr>
            <w:tcW w:w="2693" w:type="dxa"/>
            <w:tcBorders>
              <w:top w:val="nil"/>
              <w:bottom w:val="nil"/>
            </w:tcBorders>
            <w:shd w:val="clear" w:color="auto" w:fill="FFFFFF"/>
          </w:tcPr>
          <w:p w14:paraId="3EBB589D" w14:textId="4439C9BD" w:rsidR="00D30067" w:rsidRPr="00755BDC" w:rsidRDefault="00755BDC" w:rsidP="00C84AF9">
            <w:pPr>
              <w:pStyle w:val="CETBodytext"/>
              <w:rPr>
                <w:sz w:val="16"/>
              </w:rPr>
            </w:pPr>
            <w:r w:rsidRPr="00755BDC">
              <w:rPr>
                <w:sz w:val="16"/>
              </w:rPr>
              <w:t>4</w:t>
            </w:r>
            <w:r>
              <w:rPr>
                <w:sz w:val="16"/>
              </w:rPr>
              <w:t>,</w:t>
            </w:r>
            <w:r w:rsidRPr="00755BDC">
              <w:rPr>
                <w:sz w:val="16"/>
              </w:rPr>
              <w:t>683</w:t>
            </w:r>
          </w:p>
        </w:tc>
        <w:tc>
          <w:tcPr>
            <w:tcW w:w="20" w:type="dxa"/>
            <w:tcBorders>
              <w:top w:val="nil"/>
              <w:bottom w:val="nil"/>
            </w:tcBorders>
            <w:shd w:val="clear" w:color="auto" w:fill="FFFFFF"/>
          </w:tcPr>
          <w:p w14:paraId="344346D1" w14:textId="77777777" w:rsidR="00D30067" w:rsidRPr="00DD058A" w:rsidRDefault="00D30067" w:rsidP="00C84AF9">
            <w:pPr>
              <w:pStyle w:val="CETBodytext"/>
              <w:ind w:right="-1"/>
              <w:rPr>
                <w:rFonts w:cs="Arial"/>
                <w:sz w:val="16"/>
                <w:szCs w:val="18"/>
                <w:lang w:val="en-GB"/>
              </w:rPr>
            </w:pPr>
          </w:p>
        </w:tc>
      </w:tr>
      <w:tr w:rsidR="00D30067" w:rsidRPr="00DD058A" w14:paraId="21070ABB" w14:textId="77777777" w:rsidTr="00755BDC">
        <w:tc>
          <w:tcPr>
            <w:tcW w:w="2977" w:type="dxa"/>
            <w:tcBorders>
              <w:top w:val="nil"/>
              <w:bottom w:val="single" w:sz="12" w:space="0" w:color="008000"/>
            </w:tcBorders>
            <w:shd w:val="clear" w:color="auto" w:fill="FFFFFF"/>
          </w:tcPr>
          <w:p w14:paraId="528AADEA" w14:textId="6519E09D" w:rsidR="00D30067" w:rsidRPr="00DD058A" w:rsidRDefault="00D30067" w:rsidP="00E961D3">
            <w:pPr>
              <w:pStyle w:val="CETBodytext"/>
              <w:rPr>
                <w:sz w:val="16"/>
                <w:lang w:val="en-GB"/>
              </w:rPr>
            </w:pPr>
            <w:r w:rsidRPr="00DD058A">
              <w:rPr>
                <w:sz w:val="16"/>
                <w:lang w:val="en-GB"/>
              </w:rPr>
              <w:t>Reduction zone</w:t>
            </w:r>
            <w:r w:rsidR="00755BDC">
              <w:rPr>
                <w:sz w:val="16"/>
                <w:lang w:val="en-GB"/>
              </w:rPr>
              <w:t xml:space="preserve"> Volume (mm</w:t>
            </w:r>
            <w:r w:rsidR="00755BDC">
              <w:rPr>
                <w:sz w:val="16"/>
                <w:vertAlign w:val="superscript"/>
                <w:lang w:val="en-GB"/>
              </w:rPr>
              <w:t>3</w:t>
            </w:r>
            <w:r w:rsidR="00755BDC">
              <w:rPr>
                <w:sz w:val="16"/>
                <w:lang w:val="en-GB"/>
              </w:rPr>
              <w:t>)</w:t>
            </w:r>
          </w:p>
        </w:tc>
        <w:tc>
          <w:tcPr>
            <w:tcW w:w="3119" w:type="dxa"/>
            <w:tcBorders>
              <w:top w:val="nil"/>
              <w:bottom w:val="single" w:sz="12" w:space="0" w:color="008000"/>
            </w:tcBorders>
            <w:shd w:val="clear" w:color="auto" w:fill="FFFFFF"/>
          </w:tcPr>
          <w:p w14:paraId="2D3ED11C" w14:textId="77FD30F9" w:rsidR="00D30067" w:rsidRPr="00755BDC" w:rsidRDefault="00755BDC" w:rsidP="00E961D3">
            <w:pPr>
              <w:pStyle w:val="CETBodytext"/>
              <w:rPr>
                <w:sz w:val="16"/>
              </w:rPr>
            </w:pPr>
            <w:r w:rsidRPr="00755BDC">
              <w:rPr>
                <w:sz w:val="16"/>
              </w:rPr>
              <w:t>1</w:t>
            </w:r>
            <w:r>
              <w:rPr>
                <w:sz w:val="16"/>
              </w:rPr>
              <w:t>,</w:t>
            </w:r>
            <w:r w:rsidRPr="00755BDC">
              <w:rPr>
                <w:sz w:val="16"/>
              </w:rPr>
              <w:t>767</w:t>
            </w:r>
          </w:p>
        </w:tc>
        <w:tc>
          <w:tcPr>
            <w:tcW w:w="2693" w:type="dxa"/>
            <w:tcBorders>
              <w:top w:val="nil"/>
              <w:bottom w:val="single" w:sz="12" w:space="0" w:color="008000"/>
            </w:tcBorders>
            <w:shd w:val="clear" w:color="auto" w:fill="FFFFFF"/>
          </w:tcPr>
          <w:p w14:paraId="5DE8F69D" w14:textId="20F72456" w:rsidR="00D30067" w:rsidRPr="00755BDC" w:rsidRDefault="00755BDC" w:rsidP="00E961D3">
            <w:pPr>
              <w:pStyle w:val="CETBodytext"/>
              <w:rPr>
                <w:sz w:val="16"/>
              </w:rPr>
            </w:pPr>
            <w:r w:rsidRPr="00755BDC">
              <w:rPr>
                <w:sz w:val="16"/>
              </w:rPr>
              <w:t>22</w:t>
            </w:r>
            <w:r>
              <w:rPr>
                <w:sz w:val="16"/>
              </w:rPr>
              <w:t>,</w:t>
            </w:r>
            <w:r w:rsidRPr="00755BDC">
              <w:rPr>
                <w:sz w:val="16"/>
              </w:rPr>
              <w:t>443</w:t>
            </w:r>
          </w:p>
        </w:tc>
        <w:tc>
          <w:tcPr>
            <w:tcW w:w="20" w:type="dxa"/>
            <w:tcBorders>
              <w:top w:val="nil"/>
              <w:bottom w:val="single" w:sz="12" w:space="0" w:color="008000"/>
            </w:tcBorders>
            <w:shd w:val="clear" w:color="auto" w:fill="FFFFFF"/>
          </w:tcPr>
          <w:p w14:paraId="4D49BDE6" w14:textId="77777777" w:rsidR="00D30067" w:rsidRPr="00DD058A" w:rsidRDefault="00D30067" w:rsidP="00E961D3">
            <w:pPr>
              <w:pStyle w:val="CETBodytext"/>
              <w:ind w:right="-1"/>
              <w:rPr>
                <w:rFonts w:cs="Arial"/>
                <w:sz w:val="16"/>
                <w:szCs w:val="18"/>
                <w:lang w:val="en-GB"/>
              </w:rPr>
            </w:pPr>
          </w:p>
        </w:tc>
      </w:tr>
      <w:tr w:rsidR="00D30067" w:rsidRPr="00DD058A" w14:paraId="4E0AC3B7" w14:textId="77777777" w:rsidTr="00755BDC">
        <w:tc>
          <w:tcPr>
            <w:tcW w:w="2977" w:type="dxa"/>
            <w:tcBorders>
              <w:top w:val="single" w:sz="12" w:space="0" w:color="008000"/>
              <w:bottom w:val="single" w:sz="6" w:space="0" w:color="008000"/>
            </w:tcBorders>
            <w:shd w:val="clear" w:color="auto" w:fill="FFFFFF"/>
          </w:tcPr>
          <w:p w14:paraId="7265932E" w14:textId="317B0987" w:rsidR="00D30067" w:rsidRPr="00DD058A" w:rsidRDefault="00D30067" w:rsidP="00E961D3">
            <w:pPr>
              <w:pStyle w:val="CETBodytext"/>
              <w:rPr>
                <w:sz w:val="16"/>
                <w:lang w:val="en-GB"/>
              </w:rPr>
            </w:pPr>
            <w:r w:rsidRPr="00DD058A">
              <w:rPr>
                <w:sz w:val="16"/>
                <w:lang w:val="en-GB"/>
              </w:rPr>
              <w:t>Overall Calculations for Scale-up</w:t>
            </w:r>
          </w:p>
        </w:tc>
        <w:tc>
          <w:tcPr>
            <w:tcW w:w="3119" w:type="dxa"/>
            <w:tcBorders>
              <w:top w:val="single" w:sz="12" w:space="0" w:color="008000"/>
              <w:bottom w:val="single" w:sz="6" w:space="0" w:color="008000"/>
            </w:tcBorders>
            <w:shd w:val="clear" w:color="auto" w:fill="FFFFFF"/>
          </w:tcPr>
          <w:p w14:paraId="3DCC52CF" w14:textId="77777777" w:rsidR="00D30067" w:rsidRPr="00DD058A" w:rsidRDefault="00D30067" w:rsidP="00E961D3">
            <w:pPr>
              <w:pStyle w:val="CETBodytext"/>
              <w:rPr>
                <w:sz w:val="16"/>
                <w:lang w:val="en-GB"/>
              </w:rPr>
            </w:pPr>
          </w:p>
        </w:tc>
        <w:tc>
          <w:tcPr>
            <w:tcW w:w="2693" w:type="dxa"/>
            <w:tcBorders>
              <w:top w:val="single" w:sz="12" w:space="0" w:color="008000"/>
              <w:bottom w:val="single" w:sz="6" w:space="0" w:color="008000"/>
            </w:tcBorders>
            <w:shd w:val="clear" w:color="auto" w:fill="FFFFFF"/>
          </w:tcPr>
          <w:p w14:paraId="629195DB" w14:textId="77777777" w:rsidR="00D30067" w:rsidRPr="00DD058A" w:rsidRDefault="00D30067" w:rsidP="00E961D3">
            <w:pPr>
              <w:pStyle w:val="CETBodytext"/>
              <w:rPr>
                <w:sz w:val="16"/>
                <w:lang w:val="en-GB"/>
              </w:rPr>
            </w:pPr>
          </w:p>
        </w:tc>
        <w:tc>
          <w:tcPr>
            <w:tcW w:w="20" w:type="dxa"/>
            <w:tcBorders>
              <w:top w:val="single" w:sz="12" w:space="0" w:color="008000"/>
              <w:bottom w:val="single" w:sz="6" w:space="0" w:color="008000"/>
            </w:tcBorders>
            <w:shd w:val="clear" w:color="auto" w:fill="FFFFFF"/>
          </w:tcPr>
          <w:p w14:paraId="062ED76A" w14:textId="77777777" w:rsidR="00D30067" w:rsidRPr="00DD058A" w:rsidRDefault="00D30067" w:rsidP="00E961D3">
            <w:pPr>
              <w:pStyle w:val="CETBodytext"/>
              <w:ind w:right="-1"/>
              <w:rPr>
                <w:rFonts w:cs="Arial"/>
                <w:sz w:val="16"/>
                <w:szCs w:val="18"/>
                <w:lang w:val="en-GB"/>
              </w:rPr>
            </w:pPr>
          </w:p>
        </w:tc>
      </w:tr>
      <w:tr w:rsidR="00D30067" w:rsidRPr="00DD058A" w14:paraId="120E882C" w14:textId="77777777" w:rsidTr="00D30067">
        <w:tc>
          <w:tcPr>
            <w:tcW w:w="2977" w:type="dxa"/>
            <w:shd w:val="clear" w:color="auto" w:fill="FFFFFF"/>
          </w:tcPr>
          <w:p w14:paraId="3122071A" w14:textId="578186A7" w:rsidR="00D30067" w:rsidRPr="00DD058A" w:rsidRDefault="00D30067" w:rsidP="00D30067">
            <w:pPr>
              <w:pStyle w:val="CETBodytext"/>
              <w:rPr>
                <w:sz w:val="16"/>
                <w:lang w:val="en-GB"/>
              </w:rPr>
            </w:pPr>
            <w:r w:rsidRPr="00DD058A">
              <w:rPr>
                <w:sz w:val="16"/>
              </w:rPr>
              <w:t>Tot Vol m</w:t>
            </w:r>
            <w:r w:rsidRPr="00DD058A">
              <w:rPr>
                <w:sz w:val="16"/>
                <w:vertAlign w:val="superscript"/>
              </w:rPr>
              <w:t>3</w:t>
            </w:r>
          </w:p>
        </w:tc>
        <w:tc>
          <w:tcPr>
            <w:tcW w:w="3119" w:type="dxa"/>
            <w:shd w:val="clear" w:color="auto" w:fill="FFFFFF"/>
          </w:tcPr>
          <w:p w14:paraId="01774C63" w14:textId="35C1ECED" w:rsidR="00D30067" w:rsidRPr="00DD058A" w:rsidRDefault="00D30067" w:rsidP="00D30067">
            <w:pPr>
              <w:pStyle w:val="CETBodytext"/>
              <w:rPr>
                <w:sz w:val="16"/>
                <w:lang w:val="en-GB"/>
              </w:rPr>
            </w:pPr>
            <w:r w:rsidRPr="00DD058A">
              <w:rPr>
                <w:sz w:val="16"/>
              </w:rPr>
              <w:t>2.7</w:t>
            </w:r>
          </w:p>
        </w:tc>
        <w:tc>
          <w:tcPr>
            <w:tcW w:w="2693" w:type="dxa"/>
            <w:shd w:val="clear" w:color="auto" w:fill="FFFFFF"/>
          </w:tcPr>
          <w:p w14:paraId="58BA2092" w14:textId="7B4D2060" w:rsidR="00D30067" w:rsidRPr="00DD058A" w:rsidRDefault="00D30067" w:rsidP="00D30067">
            <w:pPr>
              <w:pStyle w:val="CETBodytext"/>
              <w:rPr>
                <w:sz w:val="16"/>
                <w:lang w:val="en-GB"/>
              </w:rPr>
            </w:pPr>
            <w:r w:rsidRPr="00DD058A">
              <w:rPr>
                <w:sz w:val="16"/>
                <w:lang w:val="en-GB"/>
              </w:rPr>
              <w:t>27</w:t>
            </w:r>
          </w:p>
        </w:tc>
        <w:tc>
          <w:tcPr>
            <w:tcW w:w="20" w:type="dxa"/>
            <w:shd w:val="clear" w:color="auto" w:fill="FFFFFF"/>
          </w:tcPr>
          <w:p w14:paraId="77805A20" w14:textId="77777777" w:rsidR="00D30067" w:rsidRPr="00DD058A" w:rsidRDefault="00D30067" w:rsidP="00D30067">
            <w:pPr>
              <w:pStyle w:val="CETBodytext"/>
              <w:ind w:right="-1"/>
              <w:rPr>
                <w:rFonts w:cs="Arial"/>
                <w:sz w:val="16"/>
                <w:szCs w:val="18"/>
                <w:lang w:val="en-GB"/>
              </w:rPr>
            </w:pPr>
          </w:p>
        </w:tc>
      </w:tr>
      <w:tr w:rsidR="00D30067" w:rsidRPr="00DD058A" w14:paraId="2F833FBE" w14:textId="77777777" w:rsidTr="00D30067">
        <w:tc>
          <w:tcPr>
            <w:tcW w:w="2977" w:type="dxa"/>
            <w:shd w:val="clear" w:color="auto" w:fill="FFFFFF"/>
          </w:tcPr>
          <w:p w14:paraId="444DF314" w14:textId="19CBE5E6" w:rsidR="00D30067" w:rsidRPr="00DD058A" w:rsidRDefault="00D30067" w:rsidP="00D30067">
            <w:pPr>
              <w:pStyle w:val="CETBodytext"/>
              <w:rPr>
                <w:sz w:val="16"/>
                <w:lang w:val="en-GB"/>
              </w:rPr>
            </w:pPr>
            <w:r w:rsidRPr="00DD058A">
              <w:rPr>
                <w:sz w:val="16"/>
              </w:rPr>
              <w:t>Biomass/Air</w:t>
            </w:r>
          </w:p>
        </w:tc>
        <w:tc>
          <w:tcPr>
            <w:tcW w:w="3119" w:type="dxa"/>
            <w:shd w:val="clear" w:color="auto" w:fill="FFFFFF"/>
          </w:tcPr>
          <w:p w14:paraId="7D731E87" w14:textId="5D335BD5" w:rsidR="00D30067" w:rsidRPr="00DD058A" w:rsidRDefault="00D30067" w:rsidP="00D30067">
            <w:pPr>
              <w:pStyle w:val="CETBodytext"/>
              <w:rPr>
                <w:sz w:val="16"/>
                <w:lang w:val="en-GB"/>
              </w:rPr>
            </w:pPr>
            <w:r w:rsidRPr="00DD058A">
              <w:rPr>
                <w:sz w:val="16"/>
              </w:rPr>
              <w:t>0.43</w:t>
            </w:r>
          </w:p>
        </w:tc>
        <w:tc>
          <w:tcPr>
            <w:tcW w:w="2693" w:type="dxa"/>
            <w:shd w:val="clear" w:color="auto" w:fill="FFFFFF"/>
          </w:tcPr>
          <w:p w14:paraId="44672032" w14:textId="13AED3E4" w:rsidR="00D30067" w:rsidRPr="00DD058A" w:rsidRDefault="00D30067" w:rsidP="00D30067">
            <w:pPr>
              <w:pStyle w:val="CETBodytext"/>
              <w:rPr>
                <w:sz w:val="16"/>
                <w:lang w:val="en-GB"/>
              </w:rPr>
            </w:pPr>
            <w:r w:rsidRPr="00DD058A">
              <w:rPr>
                <w:sz w:val="16"/>
                <w:lang w:val="en-GB"/>
              </w:rPr>
              <w:t>0.43</w:t>
            </w:r>
          </w:p>
        </w:tc>
        <w:tc>
          <w:tcPr>
            <w:tcW w:w="20" w:type="dxa"/>
            <w:shd w:val="clear" w:color="auto" w:fill="FFFFFF"/>
          </w:tcPr>
          <w:p w14:paraId="434B0172" w14:textId="77777777" w:rsidR="00D30067" w:rsidRPr="00DD058A" w:rsidRDefault="00D30067" w:rsidP="00D30067">
            <w:pPr>
              <w:pStyle w:val="CETBodytext"/>
              <w:ind w:right="-1"/>
              <w:rPr>
                <w:rFonts w:cs="Arial"/>
                <w:sz w:val="16"/>
                <w:szCs w:val="18"/>
                <w:lang w:val="en-GB"/>
              </w:rPr>
            </w:pPr>
          </w:p>
        </w:tc>
      </w:tr>
      <w:tr w:rsidR="00D30067" w:rsidRPr="00DD058A" w14:paraId="5EEE110D" w14:textId="77777777" w:rsidTr="00D30067">
        <w:tc>
          <w:tcPr>
            <w:tcW w:w="2977" w:type="dxa"/>
            <w:shd w:val="clear" w:color="auto" w:fill="FFFFFF"/>
          </w:tcPr>
          <w:p w14:paraId="602D76B4" w14:textId="6B64496A" w:rsidR="00D30067" w:rsidRPr="00DD058A" w:rsidRDefault="00D30067" w:rsidP="00D30067">
            <w:pPr>
              <w:pStyle w:val="CETBodytext"/>
              <w:rPr>
                <w:sz w:val="16"/>
                <w:lang w:val="en-GB"/>
              </w:rPr>
            </w:pPr>
            <w:r w:rsidRPr="00DD058A">
              <w:rPr>
                <w:sz w:val="16"/>
              </w:rPr>
              <w:t>Air/Volume</w:t>
            </w:r>
          </w:p>
        </w:tc>
        <w:tc>
          <w:tcPr>
            <w:tcW w:w="3119" w:type="dxa"/>
            <w:shd w:val="clear" w:color="auto" w:fill="FFFFFF"/>
          </w:tcPr>
          <w:p w14:paraId="4B2FB3ED" w14:textId="1C90F496" w:rsidR="00D30067" w:rsidRPr="00DD058A" w:rsidRDefault="00D30067" w:rsidP="00D30067">
            <w:pPr>
              <w:pStyle w:val="CETBodytext"/>
              <w:rPr>
                <w:sz w:val="16"/>
                <w:lang w:val="en-GB"/>
              </w:rPr>
            </w:pPr>
            <w:r w:rsidRPr="00DD058A">
              <w:rPr>
                <w:sz w:val="16"/>
              </w:rPr>
              <w:t>1.81</w:t>
            </w:r>
          </w:p>
        </w:tc>
        <w:tc>
          <w:tcPr>
            <w:tcW w:w="2693" w:type="dxa"/>
            <w:shd w:val="clear" w:color="auto" w:fill="FFFFFF"/>
          </w:tcPr>
          <w:p w14:paraId="00167174" w14:textId="3FCFD7EE" w:rsidR="00D30067" w:rsidRPr="00DD058A" w:rsidRDefault="00D30067" w:rsidP="00D30067">
            <w:pPr>
              <w:pStyle w:val="CETBodytext"/>
              <w:rPr>
                <w:sz w:val="16"/>
                <w:lang w:val="en-GB"/>
              </w:rPr>
            </w:pPr>
            <w:r w:rsidRPr="00DD058A">
              <w:rPr>
                <w:sz w:val="16"/>
                <w:lang w:val="en-GB"/>
              </w:rPr>
              <w:t>1.81</w:t>
            </w:r>
          </w:p>
        </w:tc>
        <w:tc>
          <w:tcPr>
            <w:tcW w:w="20" w:type="dxa"/>
            <w:shd w:val="clear" w:color="auto" w:fill="FFFFFF"/>
          </w:tcPr>
          <w:p w14:paraId="780B2742" w14:textId="77777777" w:rsidR="00D30067" w:rsidRPr="00DD058A" w:rsidRDefault="00D30067" w:rsidP="00D30067">
            <w:pPr>
              <w:pStyle w:val="CETBodytext"/>
              <w:ind w:right="-1"/>
              <w:rPr>
                <w:rFonts w:cs="Arial"/>
                <w:sz w:val="16"/>
                <w:szCs w:val="18"/>
                <w:lang w:val="en-GB"/>
              </w:rPr>
            </w:pPr>
          </w:p>
        </w:tc>
      </w:tr>
    </w:tbl>
    <w:p w14:paraId="38E044E4" w14:textId="141EC21C" w:rsidR="00FB6E79" w:rsidRDefault="00FB6E79" w:rsidP="00FB6E79">
      <w:pPr>
        <w:pStyle w:val="CETBodytext"/>
      </w:pPr>
      <w:r>
        <w:lastRenderedPageBreak/>
        <w:t>The same approach was used to run the cases with different flowrates and ERs.</w:t>
      </w:r>
      <w:r w:rsidRPr="00DD058A">
        <w:t xml:space="preserve"> </w:t>
      </w:r>
      <w:r>
        <w:t>A comparison of the model results with the experimental data is reported in</w:t>
      </w:r>
      <w:r w:rsidRPr="00674DB8">
        <w:t xml:space="preserve"> </w:t>
      </w:r>
      <w:r>
        <w:t>Figure 3.</w:t>
      </w:r>
      <w:r w:rsidRPr="00DD058A">
        <w:rPr>
          <w:lang w:val="en-GB"/>
        </w:rPr>
        <w:t xml:space="preserve"> </w:t>
      </w:r>
      <w:r>
        <w:rPr>
          <w:lang w:val="en-GB"/>
        </w:rPr>
        <w:t>The results in Figure 3a show</w:t>
      </w:r>
      <w:r w:rsidRPr="00674DB8">
        <w:rPr>
          <w:lang w:val="en-GB"/>
        </w:rPr>
        <w:t xml:space="preserve"> </w:t>
      </w:r>
      <w:r>
        <w:rPr>
          <w:lang w:val="en-GB"/>
        </w:rPr>
        <w:t>the composition of the syngas at the exit of the gasifier. The model is able to satisfactorily predict the relative levels of</w:t>
      </w:r>
      <w:r w:rsidRPr="00674DB8">
        <w:rPr>
          <w:lang w:val="en-GB"/>
        </w:rPr>
        <w:t xml:space="preserve"> </w:t>
      </w:r>
      <w:r>
        <w:rPr>
          <w:lang w:val="en-GB"/>
        </w:rPr>
        <w:t xml:space="preserve">the </w:t>
      </w:r>
      <w:r w:rsidRPr="00674DB8">
        <w:rPr>
          <w:lang w:val="en-GB"/>
        </w:rPr>
        <w:t>main species</w:t>
      </w:r>
      <w:r>
        <w:rPr>
          <w:lang w:val="en-GB"/>
        </w:rPr>
        <w:t xml:space="preserve"> responsible for the energy content of the syngas, H</w:t>
      </w:r>
      <w:r>
        <w:rPr>
          <w:vertAlign w:val="subscript"/>
          <w:lang w:val="en-GB"/>
        </w:rPr>
        <w:t>2</w:t>
      </w:r>
      <w:r>
        <w:rPr>
          <w:lang w:val="en-GB"/>
        </w:rPr>
        <w:t xml:space="preserve"> and CO.</w:t>
      </w:r>
      <w:r w:rsidR="00C42ED7">
        <w:rPr>
          <w:lang w:val="en-GB"/>
        </w:rPr>
        <w:t xml:space="preserve"> </w:t>
      </w:r>
      <w:r>
        <w:rPr>
          <w:lang w:val="en-GB"/>
        </w:rPr>
        <w:t>However</w:t>
      </w:r>
      <w:r w:rsidRPr="00674DB8">
        <w:rPr>
          <w:lang w:val="en-GB"/>
        </w:rPr>
        <w:t xml:space="preserve">, </w:t>
      </w:r>
      <w:r>
        <w:rPr>
          <w:lang w:val="en-GB"/>
        </w:rPr>
        <w:t xml:space="preserve">an accurate comparison reveals </w:t>
      </w:r>
      <w:r w:rsidRPr="00674DB8">
        <w:rPr>
          <w:lang w:val="en-GB"/>
        </w:rPr>
        <w:t>slight discrepancies in the prediction of CH</w:t>
      </w:r>
      <w:r w:rsidRPr="00674DB8">
        <w:rPr>
          <w:vertAlign w:val="subscript"/>
          <w:lang w:val="en-GB"/>
        </w:rPr>
        <w:t>4</w:t>
      </w:r>
      <w:r w:rsidRPr="00674DB8">
        <w:rPr>
          <w:lang w:val="en-GB"/>
        </w:rPr>
        <w:t xml:space="preserve">, which is over predicted at lower ERs </w:t>
      </w:r>
      <w:r>
        <w:rPr>
          <w:lang w:val="en-GB"/>
        </w:rPr>
        <w:t>and under predicted at ER 0.345</w:t>
      </w:r>
      <w:r w:rsidR="00C42ED7">
        <w:rPr>
          <w:lang w:val="en-GB"/>
        </w:rPr>
        <w:t>,</w:t>
      </w:r>
      <w:r>
        <w:rPr>
          <w:lang w:val="en-GB"/>
        </w:rPr>
        <w:t xml:space="preserve"> while</w:t>
      </w:r>
      <w:r w:rsidRPr="00674DB8">
        <w:rPr>
          <w:lang w:val="en-GB"/>
        </w:rPr>
        <w:t xml:space="preserve"> N</w:t>
      </w:r>
      <w:r w:rsidRPr="00674DB8">
        <w:rPr>
          <w:vertAlign w:val="subscript"/>
          <w:lang w:val="en-GB"/>
        </w:rPr>
        <w:t>2</w:t>
      </w:r>
      <w:r w:rsidRPr="00674DB8">
        <w:rPr>
          <w:lang w:val="en-GB"/>
        </w:rPr>
        <w:t xml:space="preserve"> levels </w:t>
      </w:r>
      <w:r>
        <w:rPr>
          <w:lang w:val="en-GB"/>
        </w:rPr>
        <w:t>are overall under</w:t>
      </w:r>
      <w:r w:rsidRPr="00674DB8">
        <w:rPr>
          <w:lang w:val="en-GB"/>
        </w:rPr>
        <w:t xml:space="preserve"> predicted</w:t>
      </w:r>
      <w:r>
        <w:rPr>
          <w:lang w:val="en-GB"/>
        </w:rPr>
        <w:t xml:space="preserve"> by the model. The LHV for the gas was calculated according to the composition and the </w:t>
      </w:r>
      <w:r w:rsidR="0076454C">
        <w:rPr>
          <w:lang w:val="en-GB"/>
        </w:rPr>
        <w:t>values published</w:t>
      </w:r>
      <w:r>
        <w:rPr>
          <w:lang w:val="en-GB"/>
        </w:rPr>
        <w:t xml:space="preserve"> in </w:t>
      </w:r>
      <w:r w:rsidR="0076454C">
        <w:t xml:space="preserve">Waldheim and </w:t>
      </w:r>
      <w:r w:rsidR="009D668C">
        <w:t>Nilsson</w:t>
      </w:r>
      <w:r w:rsidR="002F3D32">
        <w:t xml:space="preserve"> (2001) </w:t>
      </w:r>
      <w:r>
        <w:rPr>
          <w:lang w:val="en-GB"/>
        </w:rPr>
        <w:t>for H</w:t>
      </w:r>
      <w:r>
        <w:rPr>
          <w:vertAlign w:val="subscript"/>
          <w:lang w:val="en-GB"/>
        </w:rPr>
        <w:t>2</w:t>
      </w:r>
      <w:r>
        <w:rPr>
          <w:lang w:val="en-GB"/>
        </w:rPr>
        <w:t>, CO and CH</w:t>
      </w:r>
      <w:r>
        <w:rPr>
          <w:vertAlign w:val="subscript"/>
          <w:lang w:val="en-GB"/>
        </w:rPr>
        <w:t>4</w:t>
      </w:r>
      <w:r>
        <w:rPr>
          <w:lang w:val="en-GB"/>
        </w:rPr>
        <w:t xml:space="preserve"> (Figure 3b). The discrepancies described above</w:t>
      </w:r>
      <w:r w:rsidRPr="00674DB8">
        <w:rPr>
          <w:lang w:val="en-GB"/>
        </w:rPr>
        <w:t xml:space="preserve"> </w:t>
      </w:r>
      <w:r>
        <w:rPr>
          <w:lang w:val="en-GB"/>
        </w:rPr>
        <w:t>have</w:t>
      </w:r>
      <w:r w:rsidRPr="00674DB8">
        <w:rPr>
          <w:lang w:val="en-GB"/>
        </w:rPr>
        <w:t xml:space="preserve"> </w:t>
      </w:r>
      <w:r>
        <w:rPr>
          <w:lang w:val="en-GB"/>
        </w:rPr>
        <w:t>a direct impact on the</w:t>
      </w:r>
      <w:r w:rsidRPr="00674DB8">
        <w:rPr>
          <w:lang w:val="en-GB"/>
        </w:rPr>
        <w:t xml:space="preserve"> </w:t>
      </w:r>
      <w:r>
        <w:rPr>
          <w:lang w:val="en-GB"/>
        </w:rPr>
        <w:t>LHV of the producer</w:t>
      </w:r>
      <w:r w:rsidRPr="00674DB8">
        <w:rPr>
          <w:lang w:val="en-GB"/>
        </w:rPr>
        <w:t xml:space="preserve"> gas which is hig</w:t>
      </w:r>
      <w:r>
        <w:rPr>
          <w:lang w:val="en-GB"/>
        </w:rPr>
        <w:t>her than the experimental value for ER</w:t>
      </w:r>
      <w:r w:rsidR="00DB52E7">
        <w:rPr>
          <w:lang w:val="en-GB"/>
        </w:rPr>
        <w:t xml:space="preserve"> =</w:t>
      </w:r>
      <w:r>
        <w:rPr>
          <w:lang w:val="en-GB"/>
        </w:rPr>
        <w:t xml:space="preserve"> 0.20</w:t>
      </w:r>
      <w:r w:rsidR="00DB52E7">
        <w:rPr>
          <w:lang w:val="en-GB"/>
        </w:rPr>
        <w:t>5</w:t>
      </w:r>
      <w:r>
        <w:rPr>
          <w:lang w:val="en-GB"/>
        </w:rPr>
        <w:t>4 and 0.2533 as CH</w:t>
      </w:r>
      <w:r>
        <w:rPr>
          <w:vertAlign w:val="subscript"/>
          <w:lang w:val="en-GB"/>
        </w:rPr>
        <w:t>4</w:t>
      </w:r>
      <w:r w:rsidRPr="005578BA">
        <w:rPr>
          <w:lang w:val="en-GB"/>
        </w:rPr>
        <w:t xml:space="preserve"> </w:t>
      </w:r>
      <w:r>
        <w:rPr>
          <w:lang w:val="en-GB"/>
        </w:rPr>
        <w:t>has a relatively high heating value for unit of volume in comparison to H</w:t>
      </w:r>
      <w:r>
        <w:rPr>
          <w:vertAlign w:val="subscript"/>
          <w:lang w:val="en-GB"/>
        </w:rPr>
        <w:t xml:space="preserve">2 </w:t>
      </w:r>
      <w:r>
        <w:rPr>
          <w:lang w:val="en-GB"/>
        </w:rPr>
        <w:t xml:space="preserve">and CO, so small variations in the composition have a visible effect. </w:t>
      </w:r>
    </w:p>
    <w:p w14:paraId="590D09CE" w14:textId="77777777" w:rsidR="001F3BCE" w:rsidRPr="00090C4D" w:rsidRDefault="001F3BCE" w:rsidP="00453E24">
      <w:pPr>
        <w:pStyle w:val="CETBodytext"/>
        <w:rPr>
          <w:sz w:val="10"/>
          <w:szCs w:val="10"/>
        </w:rPr>
      </w:pPr>
    </w:p>
    <w:p w14:paraId="248C5B2F" w14:textId="2BC5FCA1" w:rsidR="00842E26" w:rsidRPr="00842E26" w:rsidRDefault="001B2A27" w:rsidP="00842E26">
      <w:pPr>
        <w:pStyle w:val="CETBodytext"/>
      </w:pPr>
      <w:r>
        <w:rPr>
          <w:noProof/>
          <w:lang w:val="en-GB" w:eastAsia="en-GB"/>
        </w:rPr>
        <w:drawing>
          <wp:inline distT="0" distB="0" distL="0" distR="0" wp14:anchorId="0399BE58" wp14:editId="2B6EFDD7">
            <wp:extent cx="2671200" cy="1548000"/>
            <wp:effectExtent l="19050" t="19050" r="15240" b="1460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71200" cy="1548000"/>
                    </a:xfrm>
                    <a:prstGeom prst="rect">
                      <a:avLst/>
                    </a:prstGeom>
                    <a:noFill/>
                    <a:ln>
                      <a:solidFill>
                        <a:schemeClr val="tx1"/>
                      </a:solidFill>
                    </a:ln>
                  </pic:spPr>
                </pic:pic>
              </a:graphicData>
            </a:graphic>
          </wp:inline>
        </w:drawing>
      </w:r>
      <w:r>
        <w:rPr>
          <w:noProof/>
          <w:lang w:val="en-GB" w:eastAsia="en-GB"/>
        </w:rPr>
        <w:drawing>
          <wp:inline distT="0" distB="0" distL="0" distR="0" wp14:anchorId="7F96E09B" wp14:editId="5C0CD854">
            <wp:extent cx="2520000" cy="1548000"/>
            <wp:effectExtent l="19050" t="19050" r="13970" b="1460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0000" cy="1548000"/>
                    </a:xfrm>
                    <a:prstGeom prst="rect">
                      <a:avLst/>
                    </a:prstGeom>
                    <a:noFill/>
                    <a:ln>
                      <a:solidFill>
                        <a:schemeClr val="tx1"/>
                      </a:solidFill>
                    </a:ln>
                  </pic:spPr>
                </pic:pic>
              </a:graphicData>
            </a:graphic>
          </wp:inline>
        </w:drawing>
      </w:r>
    </w:p>
    <w:p w14:paraId="2668FDE9" w14:textId="632A81B6" w:rsidR="00DD058A" w:rsidRPr="00A12317" w:rsidRDefault="00842E26" w:rsidP="00DD058A">
      <w:pPr>
        <w:pStyle w:val="CETBodytext"/>
      </w:pPr>
      <w:r w:rsidRPr="00BD077D">
        <w:rPr>
          <w:rStyle w:val="CETCaptionCarattere"/>
        </w:rPr>
        <w:t xml:space="preserve">Figure </w:t>
      </w:r>
      <w:r>
        <w:rPr>
          <w:rStyle w:val="CETCaptionCarattere"/>
        </w:rPr>
        <w:t>3</w:t>
      </w:r>
      <w:r w:rsidRPr="00BD077D">
        <w:rPr>
          <w:rStyle w:val="CETCaptionCarattere"/>
        </w:rPr>
        <w:t>:</w:t>
      </w:r>
      <w:r>
        <w:rPr>
          <w:rStyle w:val="CETCaptionCarattere"/>
        </w:rPr>
        <w:t xml:space="preserve"> Comparison of model predictions with experimental data from Sheth and Babu (2009); a) presents the syngas composition for different values of ER; b) </w:t>
      </w:r>
      <w:r w:rsidR="009C4D0B">
        <w:rPr>
          <w:rStyle w:val="CETCaptionCarattere"/>
        </w:rPr>
        <w:t xml:space="preserve">presents </w:t>
      </w:r>
      <w:r>
        <w:rPr>
          <w:rStyle w:val="CETCaptionCarattere"/>
        </w:rPr>
        <w:t xml:space="preserve">the </w:t>
      </w:r>
      <w:r w:rsidR="0011771A">
        <w:rPr>
          <w:rStyle w:val="CETCaptionCarattere"/>
        </w:rPr>
        <w:t>LHV</w:t>
      </w:r>
      <w:r>
        <w:rPr>
          <w:rStyle w:val="CETCaptionCarattere"/>
        </w:rPr>
        <w:t xml:space="preserve"> calculated for the gas at different ER values.</w:t>
      </w:r>
    </w:p>
    <w:p w14:paraId="4BE27687" w14:textId="12098252" w:rsidR="00B87A45" w:rsidRDefault="0029583B" w:rsidP="005100C3">
      <w:pPr>
        <w:pStyle w:val="CETHeading1"/>
        <w:numPr>
          <w:ilvl w:val="0"/>
          <w:numId w:val="0"/>
        </w:numPr>
      </w:pPr>
      <w:r>
        <w:t xml:space="preserve">3. </w:t>
      </w:r>
      <w:r w:rsidR="00B87A45">
        <w:t xml:space="preserve">Sensitivity </w:t>
      </w:r>
      <w:r w:rsidR="00B87A45" w:rsidRPr="001D2B26">
        <w:t>Analyses</w:t>
      </w:r>
    </w:p>
    <w:p w14:paraId="327E44DA" w14:textId="77777777" w:rsidR="00C42ED7" w:rsidRDefault="00B87A45" w:rsidP="003A396F">
      <w:pPr>
        <w:pStyle w:val="CETBodytext"/>
      </w:pPr>
      <w:r w:rsidRPr="008A4837">
        <w:t xml:space="preserve">In </w:t>
      </w:r>
      <w:r>
        <w:t>order to investigate the effect of the kinetic parameter</w:t>
      </w:r>
      <w:r w:rsidR="0029583B">
        <w:t xml:space="preserve"> variation </w:t>
      </w:r>
      <w:r>
        <w:t xml:space="preserve">on the </w:t>
      </w:r>
      <w:r w:rsidR="003A396F">
        <w:t>syngas composition</w:t>
      </w:r>
      <w:r w:rsidR="00B43DD4">
        <w:t xml:space="preserve"> and, in particular, on the </w:t>
      </w:r>
      <w:r>
        <w:t>concentration of CH</w:t>
      </w:r>
      <w:r>
        <w:rPr>
          <w:vertAlign w:val="subscript"/>
        </w:rPr>
        <w:t>4</w:t>
      </w:r>
      <w:r>
        <w:t>, sensitivity</w:t>
      </w:r>
      <w:r w:rsidR="008F66FF">
        <w:t xml:space="preserve"> analyses were performed and the</w:t>
      </w:r>
      <w:r>
        <w:t xml:space="preserve"> results</w:t>
      </w:r>
      <w:r w:rsidR="008F66FF">
        <w:t xml:space="preserve"> are</w:t>
      </w:r>
      <w:r>
        <w:t xml:space="preserve"> shown in Figure</w:t>
      </w:r>
      <w:r w:rsidR="0029583B">
        <w:t>s</w:t>
      </w:r>
      <w:r>
        <w:t xml:space="preserve"> </w:t>
      </w:r>
      <w:r w:rsidR="0018706C">
        <w:t>4 and 5.</w:t>
      </w:r>
      <w:r w:rsidR="003A396F" w:rsidRPr="003A396F">
        <w:t xml:space="preserve"> Since information on the char was not given in the experiments, the main uncertainty was the CRF. The impact of varying the CRF from 1 to 45 on all the species compared with the experimental data is shown in Figure 4 for ER = 0.2533. The CFR initially chosen as a reference value of roughly 15 gives already a good representation of the main species</w:t>
      </w:r>
      <w:r w:rsidR="00576B63">
        <w:t xml:space="preserve"> (Figure 4a)</w:t>
      </w:r>
      <w:r w:rsidR="005C0048">
        <w:t xml:space="preserve"> with deviations from the experimental data of CO and H</w:t>
      </w:r>
      <w:r w:rsidR="005C0048">
        <w:rPr>
          <w:vertAlign w:val="subscript"/>
        </w:rPr>
        <w:t>2</w:t>
      </w:r>
      <w:r w:rsidR="005C0048">
        <w:t xml:space="preserve"> equal to 3.7% and 2.3% respectively</w:t>
      </w:r>
      <w:r w:rsidR="003A396F" w:rsidRPr="003A396F">
        <w:t xml:space="preserve">, with the </w:t>
      </w:r>
      <w:r w:rsidR="005C0048">
        <w:t>best results obtained for CRF 14 where the deviations are 1.4% and 1%</w:t>
      </w:r>
      <w:r w:rsidR="003A396F" w:rsidRPr="003A396F">
        <w:t>, while there is negligible effect on methane concentration. Moreover, while reducing the CRF to about 7-8 improves the prediction of N</w:t>
      </w:r>
      <w:r w:rsidR="003A396F" w:rsidRPr="003A396F">
        <w:rPr>
          <w:vertAlign w:val="subscript"/>
        </w:rPr>
        <w:t>2</w:t>
      </w:r>
      <w:r w:rsidR="003A396F" w:rsidRPr="003A396F">
        <w:t>, as less char is converted to gas, it also negatively affects the accuracy of predicting the concentration of most important components H</w:t>
      </w:r>
      <w:r w:rsidR="003A396F" w:rsidRPr="003A396F">
        <w:rPr>
          <w:vertAlign w:val="subscript"/>
        </w:rPr>
        <w:t>2</w:t>
      </w:r>
      <w:r w:rsidR="003A396F" w:rsidRPr="003A396F">
        <w:t xml:space="preserve"> and CO.</w:t>
      </w:r>
      <w:r w:rsidR="00C42ED7" w:rsidRPr="00C42ED7">
        <w:t xml:space="preserve"> </w:t>
      </w:r>
    </w:p>
    <w:p w14:paraId="065044A2" w14:textId="01D87223" w:rsidR="003A396F" w:rsidRPr="003A396F" w:rsidRDefault="00C42ED7" w:rsidP="003A396F">
      <w:pPr>
        <w:pStyle w:val="CETBodytext"/>
      </w:pPr>
      <w:r w:rsidRPr="003A396F">
        <w:t>The effect of the variation of the pre-exponential factor for each reaction on the final concentration of methane in the syngas was also investigated with the most influential reactions plotted in Figure 5. The oxidation reaction of CH</w:t>
      </w:r>
      <w:r w:rsidRPr="003A396F">
        <w:rPr>
          <w:vertAlign w:val="subscript"/>
        </w:rPr>
        <w:t>4</w:t>
      </w:r>
      <w:r w:rsidRPr="003A396F">
        <w:t xml:space="preserve"> was fou</w:t>
      </w:r>
      <w:r w:rsidR="00D90003">
        <w:t>nd to be highly sensitive, with</w:t>
      </w:r>
      <w:r w:rsidRPr="003A396F">
        <w:t xml:space="preserve"> doubling the reaction rate leading to final levels of methane in the syngas being reduced by almost 20% (Figure 5a). For the reduction zone the pre-exponential factor of each reaction was varied in the range from 1 to 100. The results showed that the Water-Gas reaction (i.e. the reaction of water with char) has the greatest effect on methane formation (Figure 5b). This is mostly due to the increase of H</w:t>
      </w:r>
      <w:r w:rsidRPr="003A396F">
        <w:rPr>
          <w:vertAlign w:val="subscript"/>
        </w:rPr>
        <w:t>2</w:t>
      </w:r>
      <w:r w:rsidRPr="003A396F">
        <w:t xml:space="preserve"> which in turn shifts the Steam-Methane-Reforming reaction towards the production of more CH</w:t>
      </w:r>
      <w:r w:rsidRPr="003A396F">
        <w:rPr>
          <w:vertAlign w:val="subscript"/>
        </w:rPr>
        <w:t>4</w:t>
      </w:r>
      <w:r w:rsidRPr="003A396F">
        <w:t>. The value used for the base-case scenario gives, however, the minimum CH</w:t>
      </w:r>
      <w:r w:rsidRPr="003A396F">
        <w:rPr>
          <w:vertAlign w:val="subscript"/>
        </w:rPr>
        <w:t>4</w:t>
      </w:r>
      <w:r w:rsidRPr="003A396F">
        <w:t xml:space="preserve"> levels already. The kinetics of the other reactions in the reduction zone do not have a large impact on the final levels of methane in the syngas.</w:t>
      </w:r>
    </w:p>
    <w:p w14:paraId="336BF6EA" w14:textId="7EC2EE30" w:rsidR="00C54CE0" w:rsidRPr="00C54CE0" w:rsidRDefault="00C54CE0" w:rsidP="00453E24">
      <w:pPr>
        <w:pStyle w:val="CETBodytext"/>
        <w:rPr>
          <w:sz w:val="10"/>
        </w:rPr>
      </w:pPr>
    </w:p>
    <w:p w14:paraId="3BB7A491" w14:textId="59B1C64F" w:rsidR="00730691" w:rsidRDefault="004A7243" w:rsidP="00453E24">
      <w:pPr>
        <w:pStyle w:val="CETBodytext"/>
      </w:pPr>
      <w:r>
        <w:rPr>
          <w:noProof/>
          <w:lang w:val="en-GB" w:eastAsia="en-GB"/>
        </w:rPr>
        <w:drawing>
          <wp:inline distT="0" distB="0" distL="0" distR="0" wp14:anchorId="72CE6BB8" wp14:editId="10D673F5">
            <wp:extent cx="2707200" cy="1548000"/>
            <wp:effectExtent l="19050" t="19050" r="17145" b="1460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4">
                      <a:extLst>
                        <a:ext uri="{28A0092B-C50C-407E-A947-70E740481C1C}">
                          <a14:useLocalDpi xmlns:a14="http://schemas.microsoft.com/office/drawing/2010/main" val="0"/>
                        </a:ext>
                      </a:extLst>
                    </a:blip>
                    <a:srcRect r="3700"/>
                    <a:stretch/>
                  </pic:blipFill>
                  <pic:spPr bwMode="auto">
                    <a:xfrm>
                      <a:off x="0" y="0"/>
                      <a:ext cx="2707200" cy="1548000"/>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r w:rsidR="003A5F35">
        <w:rPr>
          <w:noProof/>
          <w:lang w:val="en-GB" w:eastAsia="en-GB"/>
        </w:rPr>
        <w:drawing>
          <wp:inline distT="0" distB="0" distL="0" distR="0" wp14:anchorId="3D999AEA" wp14:editId="0E2B3A79">
            <wp:extent cx="2779200" cy="1548000"/>
            <wp:effectExtent l="19050" t="19050" r="21590" b="1460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15">
                      <a:extLst>
                        <a:ext uri="{28A0092B-C50C-407E-A947-70E740481C1C}">
                          <a14:useLocalDpi xmlns:a14="http://schemas.microsoft.com/office/drawing/2010/main" val="0"/>
                        </a:ext>
                      </a:extLst>
                    </a:blip>
                    <a:srcRect r="6972"/>
                    <a:stretch/>
                  </pic:blipFill>
                  <pic:spPr bwMode="auto">
                    <a:xfrm>
                      <a:off x="0" y="0"/>
                      <a:ext cx="2779200" cy="1548000"/>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546F25C8" w14:textId="54FC7AAD" w:rsidR="0029583B" w:rsidRDefault="00730691" w:rsidP="00453E24">
      <w:pPr>
        <w:pStyle w:val="CETBodytext"/>
        <w:rPr>
          <w:lang w:val="en-GB"/>
        </w:rPr>
      </w:pPr>
      <w:r w:rsidRPr="00BD077D">
        <w:rPr>
          <w:rStyle w:val="CETCaptionCarattere"/>
        </w:rPr>
        <w:t xml:space="preserve">Figure </w:t>
      </w:r>
      <w:r>
        <w:rPr>
          <w:rStyle w:val="CETCaptionCarattere"/>
        </w:rPr>
        <w:t>4</w:t>
      </w:r>
      <w:r w:rsidRPr="00BD077D">
        <w:rPr>
          <w:rStyle w:val="CETCaptionCarattere"/>
        </w:rPr>
        <w:t>:</w:t>
      </w:r>
      <w:r>
        <w:rPr>
          <w:rStyle w:val="CETCaptionCarattere"/>
        </w:rPr>
        <w:t xml:space="preserve"> </w:t>
      </w:r>
      <w:r w:rsidR="0029583B">
        <w:rPr>
          <w:rStyle w:val="CETCaptionCarattere"/>
        </w:rPr>
        <w:t>Sensitivity of syngas composition on value</w:t>
      </w:r>
      <w:r>
        <w:rPr>
          <w:rStyle w:val="CETCaptionCarattere"/>
        </w:rPr>
        <w:t xml:space="preserve"> of CRF for the heterogeneous reactions. The dotted line</w:t>
      </w:r>
      <w:r w:rsidR="00FB6E79">
        <w:rPr>
          <w:rStyle w:val="CETCaptionCarattere"/>
        </w:rPr>
        <w:t>s</w:t>
      </w:r>
      <w:r>
        <w:rPr>
          <w:rStyle w:val="CETCaptionCarattere"/>
        </w:rPr>
        <w:t xml:space="preserve"> represent the experimental value</w:t>
      </w:r>
      <w:r w:rsidR="00FB6E79">
        <w:rPr>
          <w:rStyle w:val="CETCaptionCarattere"/>
        </w:rPr>
        <w:t>s</w:t>
      </w:r>
      <w:r>
        <w:rPr>
          <w:rStyle w:val="CETCaptionCarattere"/>
        </w:rPr>
        <w:t xml:space="preserve"> while the plain line</w:t>
      </w:r>
      <w:r w:rsidR="00FB6E79">
        <w:rPr>
          <w:rStyle w:val="CETCaptionCarattere"/>
        </w:rPr>
        <w:t>s</w:t>
      </w:r>
      <w:r>
        <w:rPr>
          <w:rStyle w:val="CETCaptionCarattere"/>
        </w:rPr>
        <w:t xml:space="preserve"> are the model prediction</w:t>
      </w:r>
      <w:r w:rsidR="00FB6E79">
        <w:rPr>
          <w:rStyle w:val="CETCaptionCarattere"/>
        </w:rPr>
        <w:t>s</w:t>
      </w:r>
      <w:r>
        <w:rPr>
          <w:rStyle w:val="CETCaptionCarattere"/>
        </w:rPr>
        <w:t xml:space="preserve"> for different CRF values.</w:t>
      </w:r>
      <w:r w:rsidR="00AA115D" w:rsidRPr="00AA115D">
        <w:rPr>
          <w:lang w:val="en-GB"/>
        </w:rPr>
        <w:t xml:space="preserve"> </w:t>
      </w:r>
    </w:p>
    <w:p w14:paraId="634F3096" w14:textId="1449FEE4" w:rsidR="00730691" w:rsidRPr="00730691" w:rsidRDefault="002814BD" w:rsidP="00453E24">
      <w:pPr>
        <w:pStyle w:val="CETBodytext"/>
        <w:rPr>
          <w:rStyle w:val="CETCaptionCarattere"/>
          <w:i w:val="0"/>
        </w:rPr>
      </w:pPr>
      <w:r>
        <w:rPr>
          <w:rStyle w:val="CETCaptionCarattere"/>
          <w:i w:val="0"/>
          <w:noProof/>
          <w:lang w:eastAsia="en-GB"/>
        </w:rPr>
        <w:lastRenderedPageBreak/>
        <w:drawing>
          <wp:inline distT="0" distB="0" distL="0" distR="0" wp14:anchorId="3BC15BC2" wp14:editId="043D8C82">
            <wp:extent cx="2430000" cy="1548000"/>
            <wp:effectExtent l="19050" t="19050" r="27940" b="1460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30000" cy="1548000"/>
                    </a:xfrm>
                    <a:prstGeom prst="rect">
                      <a:avLst/>
                    </a:prstGeom>
                    <a:noFill/>
                    <a:ln>
                      <a:solidFill>
                        <a:schemeClr val="tx1"/>
                      </a:solidFill>
                    </a:ln>
                  </pic:spPr>
                </pic:pic>
              </a:graphicData>
            </a:graphic>
          </wp:inline>
        </w:drawing>
      </w:r>
      <w:r>
        <w:rPr>
          <w:rStyle w:val="CETCaptionCarattere"/>
          <w:i w:val="0"/>
          <w:noProof/>
          <w:lang w:eastAsia="en-GB"/>
        </w:rPr>
        <w:drawing>
          <wp:inline distT="0" distB="0" distL="0" distR="0" wp14:anchorId="7510B06C" wp14:editId="7258BB76">
            <wp:extent cx="2638800" cy="1548000"/>
            <wp:effectExtent l="19050" t="19050" r="9525" b="1460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38800" cy="1548000"/>
                    </a:xfrm>
                    <a:prstGeom prst="rect">
                      <a:avLst/>
                    </a:prstGeom>
                    <a:noFill/>
                    <a:ln>
                      <a:solidFill>
                        <a:schemeClr val="tx1"/>
                      </a:solidFill>
                    </a:ln>
                  </pic:spPr>
                </pic:pic>
              </a:graphicData>
            </a:graphic>
          </wp:inline>
        </w:drawing>
      </w:r>
    </w:p>
    <w:p w14:paraId="4BF7B13B" w14:textId="0B59EBE7" w:rsidR="007030D8" w:rsidRPr="003A396F" w:rsidRDefault="00FB6E79" w:rsidP="00FB6E79">
      <w:pPr>
        <w:pStyle w:val="CETBodytext"/>
        <w:rPr>
          <w:rStyle w:val="CETCaptionCarattere"/>
        </w:rPr>
      </w:pPr>
      <w:r w:rsidRPr="00BD077D">
        <w:rPr>
          <w:rStyle w:val="CETCaptionCarattere"/>
        </w:rPr>
        <w:t xml:space="preserve">Figure </w:t>
      </w:r>
      <w:r>
        <w:rPr>
          <w:rStyle w:val="CETCaptionCarattere"/>
        </w:rPr>
        <w:t>5</w:t>
      </w:r>
      <w:r w:rsidRPr="00BD077D">
        <w:rPr>
          <w:rStyle w:val="CETCaptionCarattere"/>
        </w:rPr>
        <w:t>:</w:t>
      </w:r>
      <w:r>
        <w:rPr>
          <w:rStyle w:val="CETCaptionCarattere"/>
        </w:rPr>
        <w:t xml:space="preserve"> Sensitivity </w:t>
      </w:r>
      <w:r w:rsidR="007030D8">
        <w:rPr>
          <w:rStyle w:val="CETCaptionCarattere"/>
        </w:rPr>
        <w:t>of</w:t>
      </w:r>
      <w:r>
        <w:rPr>
          <w:rStyle w:val="CETCaptionCarattere"/>
        </w:rPr>
        <w:t xml:space="preserve"> pre-exponential parameter</w:t>
      </w:r>
      <w:r w:rsidR="007030D8">
        <w:rPr>
          <w:rStyle w:val="CETCaptionCarattere"/>
        </w:rPr>
        <w:t xml:space="preserve"> value</w:t>
      </w:r>
      <w:r>
        <w:rPr>
          <w:rStyle w:val="CETCaptionCarattere"/>
        </w:rPr>
        <w:t xml:space="preserve"> for selected chemical reactions</w:t>
      </w:r>
      <w:r w:rsidRPr="001C50F8">
        <w:rPr>
          <w:rStyle w:val="CETCaptionCarattere"/>
        </w:rPr>
        <w:t xml:space="preserve"> </w:t>
      </w:r>
      <w:r>
        <w:rPr>
          <w:rStyle w:val="CETCaptionCarattere"/>
        </w:rPr>
        <w:t>on CH</w:t>
      </w:r>
      <w:r>
        <w:rPr>
          <w:rStyle w:val="CETCaptionCarattere"/>
          <w:vertAlign w:val="subscript"/>
        </w:rPr>
        <w:t>4</w:t>
      </w:r>
      <w:r w:rsidR="00481F7B">
        <w:rPr>
          <w:rStyle w:val="CETCaptionCarattere"/>
        </w:rPr>
        <w:t xml:space="preserve"> </w:t>
      </w:r>
      <w:r w:rsidR="007030D8">
        <w:rPr>
          <w:rStyle w:val="CETCaptionCarattere"/>
        </w:rPr>
        <w:t xml:space="preserve">concentration </w:t>
      </w:r>
      <w:r w:rsidR="00481F7B">
        <w:rPr>
          <w:rStyle w:val="CETCaptionCarattere"/>
        </w:rPr>
        <w:t xml:space="preserve">vol% in </w:t>
      </w:r>
      <w:r w:rsidR="007030D8">
        <w:rPr>
          <w:rStyle w:val="CETCaptionCarattere"/>
        </w:rPr>
        <w:t>syn</w:t>
      </w:r>
      <w:r>
        <w:rPr>
          <w:rStyle w:val="CETCaptionCarattere"/>
        </w:rPr>
        <w:t>gas</w:t>
      </w:r>
      <w:r w:rsidR="007030D8">
        <w:rPr>
          <w:rStyle w:val="CETCaptionCarattere"/>
        </w:rPr>
        <w:t>, i.e.;</w:t>
      </w:r>
      <w:r>
        <w:rPr>
          <w:rStyle w:val="CETCaptionCarattere"/>
        </w:rPr>
        <w:t xml:space="preserve"> a) CH</w:t>
      </w:r>
      <w:r>
        <w:rPr>
          <w:rStyle w:val="CETCaptionCarattere"/>
          <w:vertAlign w:val="subscript"/>
        </w:rPr>
        <w:t>4</w:t>
      </w:r>
      <w:r w:rsidR="007030D8">
        <w:rPr>
          <w:rStyle w:val="CETCaptionCarattere"/>
        </w:rPr>
        <w:t xml:space="preserve"> oxidation</w:t>
      </w:r>
      <w:r>
        <w:rPr>
          <w:rStyle w:val="CETCaptionCarattere"/>
        </w:rPr>
        <w:t xml:space="preserve">; b) three heterogeneous reactions. The dotted line represents the nominal </w:t>
      </w:r>
      <w:r w:rsidR="007030D8">
        <w:rPr>
          <w:rStyle w:val="CETCaptionCarattere"/>
        </w:rPr>
        <w:t xml:space="preserve">parameter </w:t>
      </w:r>
      <w:r>
        <w:rPr>
          <w:rStyle w:val="CETCaptionCarattere"/>
        </w:rPr>
        <w:t>value.</w:t>
      </w:r>
    </w:p>
    <w:p w14:paraId="4442E635" w14:textId="419FF666" w:rsidR="00103FF5" w:rsidRPr="00E4544E" w:rsidRDefault="00C01822" w:rsidP="005100C3">
      <w:pPr>
        <w:pStyle w:val="CETHeading1"/>
        <w:numPr>
          <w:ilvl w:val="0"/>
          <w:numId w:val="0"/>
        </w:numPr>
      </w:pPr>
      <w:r>
        <w:t xml:space="preserve">4. </w:t>
      </w:r>
      <w:r w:rsidR="00B87A45" w:rsidRPr="001D2B26">
        <w:t>Conclusions</w:t>
      </w:r>
    </w:p>
    <w:p w14:paraId="14D5CF64" w14:textId="210DD0F2" w:rsidR="00DD058A" w:rsidRPr="0011771A" w:rsidRDefault="005E6956" w:rsidP="00453E24">
      <w:pPr>
        <w:pStyle w:val="CETBodytext"/>
      </w:pPr>
      <w:r w:rsidRPr="0011771A">
        <w:t>A kinetic scheme was incorporated in</w:t>
      </w:r>
      <w:r w:rsidR="00F620AE">
        <w:t>to</w:t>
      </w:r>
      <w:r w:rsidRPr="0011771A">
        <w:t xml:space="preserve"> A</w:t>
      </w:r>
      <w:r>
        <w:t>spen</w:t>
      </w:r>
      <w:r w:rsidRPr="005E6956">
        <w:t xml:space="preserve"> P</w:t>
      </w:r>
      <w:r w:rsidRPr="0011771A">
        <w:t xml:space="preserve">lus to simulate and predict the </w:t>
      </w:r>
      <w:r>
        <w:t>syngas product</w:t>
      </w:r>
      <w:r w:rsidR="00F620AE">
        <w:t xml:space="preserve"> composition</w:t>
      </w:r>
      <w:r w:rsidRPr="0011771A">
        <w:t xml:space="preserve"> of biomass gasification in a downdraft gasifier. In the model, the layout of the gasifier is taken into consideration and pyrolysis, oxidation and reduction are modelled as consecutive stages. Pyrolysis</w:t>
      </w:r>
      <w:r w:rsidR="00F620AE">
        <w:t xml:space="preserve"> is</w:t>
      </w:r>
      <w:r w:rsidRPr="0011771A">
        <w:t xml:space="preserve"> considered </w:t>
      </w:r>
      <w:r>
        <w:t>to occur</w:t>
      </w:r>
      <w:r w:rsidRPr="0011771A">
        <w:t xml:space="preserve"> instantaneous</w:t>
      </w:r>
      <w:r>
        <w:t>ly</w:t>
      </w:r>
      <w:r w:rsidR="00F620AE">
        <w:t xml:space="preserve"> and</w:t>
      </w:r>
      <w:r w:rsidR="00F620AE" w:rsidRPr="0011771A">
        <w:t xml:space="preserve"> </w:t>
      </w:r>
      <w:r w:rsidRPr="0011771A">
        <w:t>is modelled through a combination of temperature dependent empirical relationships to generate tar and char</w:t>
      </w:r>
      <w:r w:rsidR="00F620AE">
        <w:t>. A</w:t>
      </w:r>
      <w:r>
        <w:t>n</w:t>
      </w:r>
      <w:r w:rsidRPr="0011771A">
        <w:t xml:space="preserve"> RGibbs </w:t>
      </w:r>
      <w:r>
        <w:t xml:space="preserve">reactor </w:t>
      </w:r>
      <w:r w:rsidR="00F620AE">
        <w:t xml:space="preserve">is used </w:t>
      </w:r>
      <w:r w:rsidRPr="0011771A">
        <w:t xml:space="preserve">to define the composition of the pyrolysis gas, while oxidation and reduction are modelled in two consecutive RPlug reactors and are governed by chemical </w:t>
      </w:r>
      <w:r>
        <w:t xml:space="preserve">kinetic </w:t>
      </w:r>
      <w:r w:rsidRPr="0011771A">
        <w:t xml:space="preserve">reactions. A comparison with experimental data reveals that the performance is satisfactory in regards to the main species with minor deviation in the prediction of </w:t>
      </w:r>
      <w:r w:rsidR="00F620AE">
        <w:t>CH</w:t>
      </w:r>
      <w:r w:rsidR="00F620AE">
        <w:rPr>
          <w:vertAlign w:val="subscript"/>
        </w:rPr>
        <w:t>4</w:t>
      </w:r>
      <w:r w:rsidRPr="0011771A">
        <w:t xml:space="preserve">. Sensitivity analyses performed on kinetic parameters identified that the rate of methane oxidation is the </w:t>
      </w:r>
      <w:r w:rsidR="00F620AE">
        <w:t>most influential factor in the model governing the predicted CH</w:t>
      </w:r>
      <w:r w:rsidR="00F620AE">
        <w:rPr>
          <w:vertAlign w:val="subscript"/>
        </w:rPr>
        <w:t>4</w:t>
      </w:r>
      <w:r w:rsidR="00F620AE">
        <w:t xml:space="preserve"> syngas concentration</w:t>
      </w:r>
      <w:r w:rsidRPr="0011771A">
        <w:t>.</w:t>
      </w:r>
    </w:p>
    <w:p w14:paraId="01E3BC29" w14:textId="39024E61" w:rsidR="002B3858" w:rsidRDefault="0093222F" w:rsidP="00B87A45">
      <w:pPr>
        <w:pStyle w:val="CETAcknowledgementstitle"/>
      </w:pPr>
      <w:r w:rsidRPr="0093222F">
        <w:t>Acknowledgements</w:t>
      </w:r>
      <w:r w:rsidR="00695EBF">
        <w:t xml:space="preserve">: </w:t>
      </w:r>
      <w:r w:rsidRPr="0011771A">
        <w:rPr>
          <w:b w:val="0"/>
        </w:rPr>
        <w:t>This work was supported by a Daphne Jackson Trust Postdoctoral Fellowship, funded by EPSRC and University College London.</w:t>
      </w:r>
    </w:p>
    <w:p w14:paraId="0961D9E9" w14:textId="77777777" w:rsidR="00F55866" w:rsidRPr="00F55866" w:rsidRDefault="00F55866" w:rsidP="00F55866">
      <w:pPr>
        <w:pStyle w:val="CETBodytext"/>
        <w:rPr>
          <w:b/>
          <w:lang w:val="en-GB"/>
        </w:rPr>
      </w:pPr>
      <w:r w:rsidRPr="00F55866">
        <w:rPr>
          <w:b/>
          <w:lang w:val="en-GB"/>
        </w:rPr>
        <w:t>References</w:t>
      </w:r>
    </w:p>
    <w:p w14:paraId="38FBD5F4" w14:textId="35419819" w:rsidR="00FB2567" w:rsidRDefault="00FB2567" w:rsidP="00F55866">
      <w:pPr>
        <w:pStyle w:val="CETBodytext"/>
      </w:pPr>
      <w:r>
        <w:t>Aspen Technology, Inc., 2013, Getting Started Modeling Processes with Solids, Version Number: V8.4.</w:t>
      </w:r>
    </w:p>
    <w:p w14:paraId="09F16ABB" w14:textId="020F0546" w:rsidR="00F55866" w:rsidRPr="00F55866" w:rsidRDefault="00F55866" w:rsidP="00F55866">
      <w:pPr>
        <w:pStyle w:val="CETBodytext"/>
        <w:rPr>
          <w:lang w:val="en-GB"/>
        </w:rPr>
      </w:pPr>
      <w:r w:rsidRPr="00F55866">
        <w:rPr>
          <w:lang w:val="en-GB"/>
        </w:rPr>
        <w:t>Baruah</w:t>
      </w:r>
      <w:r w:rsidR="005E6956">
        <w:rPr>
          <w:lang w:val="en-GB"/>
        </w:rPr>
        <w:t>,</w:t>
      </w:r>
      <w:r w:rsidRPr="00F55866">
        <w:rPr>
          <w:lang w:val="en-GB"/>
        </w:rPr>
        <w:t xml:space="preserve"> D.</w:t>
      </w:r>
      <w:r w:rsidR="005E6956">
        <w:rPr>
          <w:lang w:val="en-GB"/>
        </w:rPr>
        <w:t xml:space="preserve"> and</w:t>
      </w:r>
      <w:r w:rsidRPr="00F55866">
        <w:rPr>
          <w:lang w:val="en-GB"/>
        </w:rPr>
        <w:t xml:space="preserve"> Baruah</w:t>
      </w:r>
      <w:r w:rsidR="005E6956">
        <w:rPr>
          <w:lang w:val="en-GB"/>
        </w:rPr>
        <w:t>,</w:t>
      </w:r>
      <w:r w:rsidRPr="00F55866">
        <w:rPr>
          <w:lang w:val="en-GB"/>
        </w:rPr>
        <w:t xml:space="preserve"> D.C., 2014, Modeling of biomass gasification: A review, Renewable and Sustainable Energy Reviews, 39, 806-815.</w:t>
      </w:r>
    </w:p>
    <w:p w14:paraId="0D984C6C" w14:textId="7EDDEA0A" w:rsidR="00F55866" w:rsidRDefault="00F55866" w:rsidP="00F55866">
      <w:pPr>
        <w:pStyle w:val="CETBodytext"/>
        <w:rPr>
          <w:lang w:val="en-GB"/>
        </w:rPr>
      </w:pPr>
      <w:r w:rsidRPr="00F55866">
        <w:rPr>
          <w:lang w:val="en-GB"/>
        </w:rPr>
        <w:t>Catalanotti</w:t>
      </w:r>
      <w:r w:rsidR="005E6956">
        <w:rPr>
          <w:lang w:val="en-GB"/>
        </w:rPr>
        <w:t>,</w:t>
      </w:r>
      <w:r w:rsidRPr="00F55866">
        <w:rPr>
          <w:lang w:val="en-GB"/>
        </w:rPr>
        <w:t xml:space="preserve"> E., Porter</w:t>
      </w:r>
      <w:r w:rsidR="005E6956">
        <w:rPr>
          <w:lang w:val="en-GB"/>
        </w:rPr>
        <w:t>,</w:t>
      </w:r>
      <w:r w:rsidRPr="00F55866">
        <w:rPr>
          <w:lang w:val="en-GB"/>
        </w:rPr>
        <w:t xml:space="preserve"> R.T.</w:t>
      </w:r>
      <w:r w:rsidR="00F620AE">
        <w:rPr>
          <w:lang w:val="en-GB"/>
        </w:rPr>
        <w:t>J.</w:t>
      </w:r>
      <w:r w:rsidRPr="00F55866">
        <w:rPr>
          <w:lang w:val="en-GB"/>
        </w:rPr>
        <w:t>, Chalchooghi</w:t>
      </w:r>
      <w:r w:rsidR="005E6956">
        <w:rPr>
          <w:lang w:val="en-GB"/>
        </w:rPr>
        <w:t>,</w:t>
      </w:r>
      <w:r w:rsidRPr="00F55866">
        <w:rPr>
          <w:lang w:val="en-GB"/>
        </w:rPr>
        <w:t xml:space="preserve"> M.M.</w:t>
      </w:r>
      <w:r w:rsidR="005E6956">
        <w:rPr>
          <w:lang w:val="en-GB"/>
        </w:rPr>
        <w:t xml:space="preserve"> and</w:t>
      </w:r>
      <w:r w:rsidRPr="00F55866">
        <w:rPr>
          <w:lang w:val="en-GB"/>
        </w:rPr>
        <w:t xml:space="preserve"> Mahg</w:t>
      </w:r>
      <w:r w:rsidR="0011771A">
        <w:rPr>
          <w:lang w:val="en-GB"/>
        </w:rPr>
        <w:t>e</w:t>
      </w:r>
      <w:r w:rsidRPr="00F55866">
        <w:rPr>
          <w:lang w:val="en-GB"/>
        </w:rPr>
        <w:t>refteh</w:t>
      </w:r>
      <w:r w:rsidR="005E6956">
        <w:rPr>
          <w:lang w:val="en-GB"/>
        </w:rPr>
        <w:t>,</w:t>
      </w:r>
      <w:r w:rsidRPr="00F55866">
        <w:rPr>
          <w:lang w:val="en-GB"/>
        </w:rPr>
        <w:t xml:space="preserve"> H., 2020, Biomass Gasification in a Downdraft Gasifier with In-situ CO</w:t>
      </w:r>
      <w:r w:rsidRPr="0011771A">
        <w:rPr>
          <w:vertAlign w:val="subscript"/>
          <w:lang w:val="en-GB"/>
        </w:rPr>
        <w:t>2</w:t>
      </w:r>
      <w:r w:rsidRPr="00F55866">
        <w:rPr>
          <w:lang w:val="en-GB"/>
        </w:rPr>
        <w:t xml:space="preserve"> Capture: a Pyrolysis, Oxidation and Reduction Staged Model, Chemical Engineering Transactions, 80, 85-90.</w:t>
      </w:r>
    </w:p>
    <w:p w14:paraId="26B87F76" w14:textId="1D5D5455" w:rsidR="00F55866" w:rsidRPr="00F55866" w:rsidRDefault="00F55866" w:rsidP="00F55866">
      <w:pPr>
        <w:pStyle w:val="CETBodytext"/>
        <w:rPr>
          <w:lang w:val="en-GB"/>
        </w:rPr>
      </w:pPr>
      <w:r w:rsidRPr="00F55866">
        <w:rPr>
          <w:lang w:val="en-GB"/>
        </w:rPr>
        <w:t>Gallucci</w:t>
      </w:r>
      <w:r w:rsidR="009001B9">
        <w:rPr>
          <w:lang w:val="en-GB"/>
        </w:rPr>
        <w:t>,</w:t>
      </w:r>
      <w:r w:rsidRPr="00F55866">
        <w:rPr>
          <w:lang w:val="en-GB"/>
        </w:rPr>
        <w:t xml:space="preserve"> F., Liberatore</w:t>
      </w:r>
      <w:r w:rsidR="009001B9">
        <w:rPr>
          <w:lang w:val="en-GB"/>
        </w:rPr>
        <w:t>,</w:t>
      </w:r>
      <w:r w:rsidRPr="00F55866">
        <w:rPr>
          <w:lang w:val="en-GB"/>
        </w:rPr>
        <w:t xml:space="preserve"> R., Sapegno</w:t>
      </w:r>
      <w:r w:rsidR="009001B9">
        <w:rPr>
          <w:lang w:val="en-GB"/>
        </w:rPr>
        <w:t>,</w:t>
      </w:r>
      <w:r w:rsidRPr="00F55866">
        <w:rPr>
          <w:lang w:val="en-GB"/>
        </w:rPr>
        <w:t xml:space="preserve"> L., Volponi</w:t>
      </w:r>
      <w:r w:rsidR="009001B9">
        <w:rPr>
          <w:lang w:val="en-GB"/>
        </w:rPr>
        <w:t>,</w:t>
      </w:r>
      <w:r w:rsidRPr="00F55866">
        <w:rPr>
          <w:lang w:val="en-GB"/>
        </w:rPr>
        <w:t xml:space="preserve"> E., Venturini</w:t>
      </w:r>
      <w:r w:rsidR="009001B9">
        <w:rPr>
          <w:lang w:val="en-GB"/>
        </w:rPr>
        <w:t>,</w:t>
      </w:r>
      <w:r w:rsidRPr="00F55866">
        <w:rPr>
          <w:lang w:val="en-GB"/>
        </w:rPr>
        <w:t xml:space="preserve"> P., Rispoli</w:t>
      </w:r>
      <w:r w:rsidR="009001B9">
        <w:rPr>
          <w:lang w:val="en-GB"/>
        </w:rPr>
        <w:t>,</w:t>
      </w:r>
      <w:r w:rsidRPr="00F55866">
        <w:rPr>
          <w:lang w:val="en-GB"/>
        </w:rPr>
        <w:t xml:space="preserve"> F., Paris</w:t>
      </w:r>
      <w:r w:rsidR="009001B9">
        <w:rPr>
          <w:lang w:val="en-GB"/>
        </w:rPr>
        <w:t>,</w:t>
      </w:r>
      <w:r w:rsidRPr="00F55866">
        <w:rPr>
          <w:lang w:val="en-GB"/>
        </w:rPr>
        <w:t xml:space="preserve"> E., Carnevale</w:t>
      </w:r>
      <w:r w:rsidR="009001B9">
        <w:rPr>
          <w:lang w:val="en-GB"/>
        </w:rPr>
        <w:t>,</w:t>
      </w:r>
      <w:r w:rsidRPr="00F55866">
        <w:rPr>
          <w:lang w:val="en-GB"/>
        </w:rPr>
        <w:t xml:space="preserve"> M., Colantoni A., 2020, Influence of Oxidant Agent on Syngas Composition: Gasification of Hazelnut Shells through an Updraft Reactor, Energies, 13, 102-115.</w:t>
      </w:r>
    </w:p>
    <w:p w14:paraId="6B2B1EE2" w14:textId="1C1F2A19" w:rsidR="00EC7675" w:rsidRDefault="00EC7675" w:rsidP="00F55866">
      <w:pPr>
        <w:pStyle w:val="CETBodytext"/>
        <w:rPr>
          <w:lang w:val="en-GB"/>
        </w:rPr>
      </w:pPr>
      <w:r>
        <w:t>Gerun, L., Paraschiv, M., Vîjeu, R., Bellettre, J., Tazerout, M., Gøbel, B., and Henriksen, U., 2008, Numerical investigation of the partial oxidation in a two-stage downdraft gasifier, Fuel, 87(7), 1383-1393.</w:t>
      </w:r>
    </w:p>
    <w:p w14:paraId="6162E6AD" w14:textId="1F5921F2" w:rsidR="00C52346" w:rsidRDefault="00EC7675" w:rsidP="00F55866">
      <w:pPr>
        <w:pStyle w:val="CETBodytext"/>
        <w:rPr>
          <w:lang w:val="en-GB"/>
        </w:rPr>
      </w:pPr>
      <w:r>
        <w:t>Gomez-Barea</w:t>
      </w:r>
      <w:r w:rsidR="005E6956">
        <w:t>,</w:t>
      </w:r>
      <w:r>
        <w:t xml:space="preserve"> A., Nilsson, S.; Barrero, F.V. and Campoy, M., 2010, Devolatilization of wood and wastes in fluidized bed, Fuel Processing Technology, 91(11), 1624–1633.</w:t>
      </w:r>
    </w:p>
    <w:p w14:paraId="0EFE9C80" w14:textId="01CE94EF" w:rsidR="00F55866" w:rsidRPr="00F55866" w:rsidRDefault="00F55866" w:rsidP="00F55866">
      <w:pPr>
        <w:pStyle w:val="CETBodytext"/>
        <w:rPr>
          <w:lang w:val="en-GB"/>
        </w:rPr>
      </w:pPr>
      <w:r w:rsidRPr="00F55866">
        <w:rPr>
          <w:lang w:val="en-GB"/>
        </w:rPr>
        <w:t>Mutlu, Ö.Ç. and Zeng, T.,</w:t>
      </w:r>
      <w:r w:rsidR="00C52346">
        <w:rPr>
          <w:lang w:val="en-GB"/>
        </w:rPr>
        <w:t xml:space="preserve"> </w:t>
      </w:r>
      <w:r w:rsidRPr="00F55866">
        <w:rPr>
          <w:lang w:val="en-GB"/>
        </w:rPr>
        <w:t>2020, Challenges and Opportunities of Modeling Biomass Gasification</w:t>
      </w:r>
      <w:r w:rsidR="00C52346">
        <w:rPr>
          <w:lang w:val="en-GB"/>
        </w:rPr>
        <w:t xml:space="preserve"> in Aspen Plus: A Review.</w:t>
      </w:r>
      <w:r w:rsidRPr="00F55866">
        <w:rPr>
          <w:lang w:val="en-GB"/>
        </w:rPr>
        <w:t xml:space="preserve"> Chemical Engineering Technology, 43, 1674-1689. </w:t>
      </w:r>
    </w:p>
    <w:p w14:paraId="58C68AAD" w14:textId="6D345230" w:rsidR="00F55866" w:rsidRPr="00F55866" w:rsidRDefault="00F55866" w:rsidP="00F55866">
      <w:pPr>
        <w:pStyle w:val="CETBodytext"/>
        <w:rPr>
          <w:lang w:val="en-GB"/>
        </w:rPr>
      </w:pPr>
      <w:r w:rsidRPr="00F55866">
        <w:rPr>
          <w:lang w:val="en-GB"/>
        </w:rPr>
        <w:t>Puig-Arnavat</w:t>
      </w:r>
      <w:r w:rsidR="005E6956">
        <w:rPr>
          <w:lang w:val="en-GB"/>
        </w:rPr>
        <w:t>,</w:t>
      </w:r>
      <w:r w:rsidRPr="00F55866">
        <w:rPr>
          <w:lang w:val="en-GB"/>
        </w:rPr>
        <w:t xml:space="preserve"> M., Bruno</w:t>
      </w:r>
      <w:r w:rsidR="005E6956">
        <w:rPr>
          <w:lang w:val="en-GB"/>
        </w:rPr>
        <w:t>,</w:t>
      </w:r>
      <w:r w:rsidRPr="00F55866">
        <w:rPr>
          <w:lang w:val="en-GB"/>
        </w:rPr>
        <w:t xml:space="preserve"> J.C., </w:t>
      </w:r>
      <w:r w:rsidR="005E6956">
        <w:rPr>
          <w:lang w:val="en-GB"/>
        </w:rPr>
        <w:t xml:space="preserve">and </w:t>
      </w:r>
      <w:r w:rsidRPr="00F55866">
        <w:rPr>
          <w:lang w:val="en-GB"/>
        </w:rPr>
        <w:t>Coronas</w:t>
      </w:r>
      <w:r w:rsidR="005E6956">
        <w:rPr>
          <w:lang w:val="en-GB"/>
        </w:rPr>
        <w:t>,</w:t>
      </w:r>
      <w:r w:rsidRPr="00F55866">
        <w:rPr>
          <w:lang w:val="en-GB"/>
        </w:rPr>
        <w:t xml:space="preserve"> A., 2010, Review and analysis of biomass gasification models, Renewable and Sustainable Energy Reviews, 14, Issue 9, 2841-2851.</w:t>
      </w:r>
    </w:p>
    <w:p w14:paraId="60B31ACE" w14:textId="73C8077B" w:rsidR="008F3EB1" w:rsidRDefault="008F3EB1" w:rsidP="008F3EB1">
      <w:pPr>
        <w:pStyle w:val="CETBodytext"/>
        <w:rPr>
          <w:lang w:val="en-GB"/>
        </w:rPr>
      </w:pPr>
      <w:r>
        <w:rPr>
          <w:lang w:val="en-GB"/>
        </w:rPr>
        <w:t>Sheth</w:t>
      </w:r>
      <w:r w:rsidR="0083378D">
        <w:rPr>
          <w:lang w:val="en-GB"/>
        </w:rPr>
        <w:t>,</w:t>
      </w:r>
      <w:r>
        <w:rPr>
          <w:lang w:val="en-GB"/>
        </w:rPr>
        <w:t xml:space="preserve"> P.N., and Babu</w:t>
      </w:r>
      <w:r w:rsidR="0083378D">
        <w:rPr>
          <w:lang w:val="en-GB"/>
        </w:rPr>
        <w:t>,</w:t>
      </w:r>
      <w:r>
        <w:rPr>
          <w:lang w:val="en-GB"/>
        </w:rPr>
        <w:t xml:space="preserve"> B.V., 2009, </w:t>
      </w:r>
      <w:r w:rsidRPr="008F3EB1">
        <w:t>Experimental studies on producer gas generation from wood waste</w:t>
      </w:r>
      <w:r w:rsidR="00090C4D">
        <w:t xml:space="preserve"> </w:t>
      </w:r>
      <w:r w:rsidRPr="008F3EB1">
        <w:rPr>
          <w:lang w:val="en-GB"/>
        </w:rPr>
        <w:t>in a downdraft biomass gasifier</w:t>
      </w:r>
      <w:r>
        <w:rPr>
          <w:lang w:val="en-GB"/>
        </w:rPr>
        <w:t xml:space="preserve">, </w:t>
      </w:r>
      <w:r w:rsidRPr="008F3EB1">
        <w:rPr>
          <w:lang w:val="en-GB"/>
        </w:rPr>
        <w:t>B</w:t>
      </w:r>
      <w:r>
        <w:rPr>
          <w:lang w:val="en-GB"/>
        </w:rPr>
        <w:t>ioresource Technology, 100, 3127-</w:t>
      </w:r>
      <w:r w:rsidRPr="008F3EB1">
        <w:rPr>
          <w:lang w:val="en-GB"/>
        </w:rPr>
        <w:t>3133</w:t>
      </w:r>
      <w:r>
        <w:rPr>
          <w:lang w:val="en-GB"/>
        </w:rPr>
        <w:t>.</w:t>
      </w:r>
    </w:p>
    <w:p w14:paraId="0317D911" w14:textId="3AF4800A" w:rsidR="00D419A6" w:rsidRPr="00D419A6" w:rsidRDefault="00D419A6" w:rsidP="00453E24">
      <w:pPr>
        <w:pStyle w:val="CETBodytext"/>
        <w:rPr>
          <w:rStyle w:val="author"/>
        </w:rPr>
      </w:pPr>
      <w:r>
        <w:t>Smith, J.D., Alembath, A., Al-Rubaye, H., Yu, J., Gao, X. and Golpour, H. 2019, Validation and Application of a Kinetic Model for Downdraft Biomass Gasification Simu</w:t>
      </w:r>
      <w:r w:rsidR="005F57C4">
        <w:t>lation. Chemical Engineering Technology</w:t>
      </w:r>
      <w:r>
        <w:t>, 42, 2505-2519.</w:t>
      </w:r>
    </w:p>
    <w:p w14:paraId="719CCF25" w14:textId="4AD9B299" w:rsidR="0044008C" w:rsidRDefault="009E062D" w:rsidP="001C50F8">
      <w:pPr>
        <w:pStyle w:val="CETBodytext"/>
        <w:rPr>
          <w:lang w:val="en-GB"/>
        </w:rPr>
      </w:pPr>
      <w:r w:rsidRPr="009E062D">
        <w:rPr>
          <w:lang w:val="en-GB"/>
        </w:rPr>
        <w:t>Zainal</w:t>
      </w:r>
      <w:r w:rsidR="005E6956">
        <w:rPr>
          <w:lang w:val="en-GB"/>
        </w:rPr>
        <w:t>,</w:t>
      </w:r>
      <w:r w:rsidRPr="009E062D">
        <w:rPr>
          <w:lang w:val="en-GB"/>
        </w:rPr>
        <w:t xml:space="preserve"> </w:t>
      </w:r>
      <w:r>
        <w:rPr>
          <w:lang w:val="en-GB"/>
        </w:rPr>
        <w:t>Z.A.,</w:t>
      </w:r>
      <w:r w:rsidR="005E6956">
        <w:rPr>
          <w:lang w:val="en-GB"/>
        </w:rPr>
        <w:t xml:space="preserve"> </w:t>
      </w:r>
      <w:r w:rsidRPr="009E062D">
        <w:rPr>
          <w:lang w:val="en-GB"/>
        </w:rPr>
        <w:t>Rifau</w:t>
      </w:r>
      <w:r>
        <w:rPr>
          <w:lang w:val="en-GB"/>
        </w:rPr>
        <w:t xml:space="preserve"> A.</w:t>
      </w:r>
      <w:r w:rsidRPr="009E062D">
        <w:rPr>
          <w:lang w:val="en-GB"/>
        </w:rPr>
        <w:t>, Quadir G.A.</w:t>
      </w:r>
      <w:r w:rsidR="005E6956">
        <w:rPr>
          <w:lang w:val="en-GB"/>
        </w:rPr>
        <w:t xml:space="preserve"> and</w:t>
      </w:r>
      <w:r w:rsidRPr="009E062D">
        <w:rPr>
          <w:lang w:val="en-GB"/>
        </w:rPr>
        <w:t xml:space="preserve"> Seetharamu</w:t>
      </w:r>
      <w:r w:rsidR="005E6956">
        <w:rPr>
          <w:lang w:val="en-GB"/>
        </w:rPr>
        <w:t>,</w:t>
      </w:r>
      <w:r w:rsidRPr="009E062D">
        <w:rPr>
          <w:lang w:val="en-GB"/>
        </w:rPr>
        <w:t xml:space="preserve"> K.N.</w:t>
      </w:r>
      <w:r>
        <w:rPr>
          <w:lang w:val="en-GB"/>
        </w:rPr>
        <w:t xml:space="preserve">, 2002, </w:t>
      </w:r>
      <w:r w:rsidRPr="009E062D">
        <w:rPr>
          <w:lang w:val="en-GB"/>
        </w:rPr>
        <w:t>Experimental investigation of a downd</w:t>
      </w:r>
      <w:r>
        <w:rPr>
          <w:lang w:val="en-GB"/>
        </w:rPr>
        <w:t>raft biomass gas</w:t>
      </w:r>
      <w:r w:rsidR="005E6956">
        <w:rPr>
          <w:lang w:val="en-GB"/>
        </w:rPr>
        <w:t>if</w:t>
      </w:r>
      <w:r>
        <w:rPr>
          <w:lang w:val="en-GB"/>
        </w:rPr>
        <w:t xml:space="preserve">ier, </w:t>
      </w:r>
      <w:r w:rsidRPr="009E062D">
        <w:rPr>
          <w:lang w:val="en-GB"/>
        </w:rPr>
        <w:t>Bioma</w:t>
      </w:r>
      <w:r>
        <w:rPr>
          <w:lang w:val="en-GB"/>
        </w:rPr>
        <w:t>ss and Bioenergy 23, 283-</w:t>
      </w:r>
      <w:r w:rsidRPr="009E062D">
        <w:rPr>
          <w:lang w:val="en-GB"/>
        </w:rPr>
        <w:t>289</w:t>
      </w:r>
      <w:r w:rsidR="005F6F21">
        <w:rPr>
          <w:lang w:val="en-GB"/>
        </w:rPr>
        <w:t>.</w:t>
      </w:r>
    </w:p>
    <w:p w14:paraId="3E931D45" w14:textId="652F57D1" w:rsidR="002F3D32" w:rsidRDefault="002F3D32" w:rsidP="002F3D32">
      <w:pPr>
        <w:pStyle w:val="CETBodytext"/>
        <w:rPr>
          <w:b/>
        </w:rPr>
      </w:pPr>
      <w:r>
        <w:t>Waldheim, L., Nilsson, T., 2001, Heating Value of Gases from Biomass Gasification, Report prepared for: IEA Bioenergy Agreement, Task 20 - Thermal Gasification of Biomass.</w:t>
      </w:r>
    </w:p>
    <w:p w14:paraId="10E2BFAA" w14:textId="6EC0A909" w:rsidR="00571430" w:rsidRPr="00567CB8" w:rsidRDefault="00375168">
      <w:pPr>
        <w:pStyle w:val="CETBodytext"/>
      </w:pPr>
      <w:r>
        <w:t>Wang, Y., and Kinoshita, C., 1993, Kinetic model of biomass gasification, Solar Energy, 51(1), 19-24.</w:t>
      </w:r>
      <w:bookmarkStart w:id="0" w:name="_GoBack"/>
      <w:bookmarkEnd w:id="0"/>
    </w:p>
    <w:sectPr w:rsidR="00571430" w:rsidRPr="00567CB8"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62E40" w14:textId="77777777" w:rsidR="005E4D8E" w:rsidRDefault="005E4D8E" w:rsidP="004F5E36">
      <w:r>
        <w:separator/>
      </w:r>
    </w:p>
  </w:endnote>
  <w:endnote w:type="continuationSeparator" w:id="0">
    <w:p w14:paraId="65C3F19D" w14:textId="77777777" w:rsidR="005E4D8E" w:rsidRDefault="005E4D8E"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176FF" w14:textId="77777777" w:rsidR="005E4D8E" w:rsidRDefault="005E4D8E" w:rsidP="004F5E36">
      <w:r>
        <w:separator/>
      </w:r>
    </w:p>
  </w:footnote>
  <w:footnote w:type="continuationSeparator" w:id="0">
    <w:p w14:paraId="6B45D243" w14:textId="77777777" w:rsidR="005E4D8E" w:rsidRDefault="005E4D8E"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D12F65"/>
    <w:multiLevelType w:val="hybridMultilevel"/>
    <w:tmpl w:val="510CA5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F17CDF"/>
    <w:multiLevelType w:val="hybridMultilevel"/>
    <w:tmpl w:val="A6A81D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38217E"/>
    <w:multiLevelType w:val="multilevel"/>
    <w:tmpl w:val="884E8572"/>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2A44272C"/>
    <w:multiLevelType w:val="hybridMultilevel"/>
    <w:tmpl w:val="C33C76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86071DE"/>
    <w:multiLevelType w:val="multilevel"/>
    <w:tmpl w:val="33C46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2" w15:restartNumberingAfterBreak="0">
    <w:nsid w:val="59491707"/>
    <w:multiLevelType w:val="hybridMultilevel"/>
    <w:tmpl w:val="E95ACF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6C3007"/>
    <w:multiLevelType w:val="hybridMultilevel"/>
    <w:tmpl w:val="FA368B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DA7226E"/>
    <w:multiLevelType w:val="hybridMultilevel"/>
    <w:tmpl w:val="D29C2016"/>
    <w:lvl w:ilvl="0" w:tplc="2F6CBEF8">
      <w:start w:val="1"/>
      <w:numFmt w:val="decimal"/>
      <w:pStyle w:val="CETHeading1"/>
      <w:suff w:val="space"/>
      <w:lvlText w:val="%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C4620F"/>
    <w:multiLevelType w:val="hybridMultilevel"/>
    <w:tmpl w:val="7E1C89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1"/>
  </w:num>
  <w:num w:numId="13">
    <w:abstractNumId w:val="15"/>
  </w:num>
  <w:num w:numId="14">
    <w:abstractNumId w:val="24"/>
  </w:num>
  <w:num w:numId="15">
    <w:abstractNumId w:val="28"/>
  </w:num>
  <w:num w:numId="16">
    <w:abstractNumId w:val="27"/>
  </w:num>
  <w:num w:numId="17">
    <w:abstractNumId w:val="14"/>
  </w:num>
  <w:num w:numId="18">
    <w:abstractNumId w:val="15"/>
    <w:lvlOverride w:ilvl="0">
      <w:startOverride w:val="1"/>
    </w:lvlOverride>
  </w:num>
  <w:num w:numId="19">
    <w:abstractNumId w:val="20"/>
  </w:num>
  <w:num w:numId="20">
    <w:abstractNumId w:val="19"/>
  </w:num>
  <w:num w:numId="21">
    <w:abstractNumId w:val="18"/>
  </w:num>
  <w:num w:numId="22">
    <w:abstractNumId w:val="17"/>
  </w:num>
  <w:num w:numId="23">
    <w:abstractNumId w:val="16"/>
  </w:num>
  <w:num w:numId="24">
    <w:abstractNumId w:val="23"/>
  </w:num>
  <w:num w:numId="25">
    <w:abstractNumId w:val="22"/>
  </w:num>
  <w:num w:numId="26">
    <w:abstractNumId w:val="11"/>
  </w:num>
  <w:num w:numId="27">
    <w:abstractNumId w:val="13"/>
  </w:num>
  <w:num w:numId="28">
    <w:abstractNumId w:val="26"/>
  </w:num>
  <w:num w:numId="29">
    <w:abstractNumId w:val="25"/>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C53"/>
    <w:rsid w:val="000027C0"/>
    <w:rsid w:val="000052FB"/>
    <w:rsid w:val="000117CB"/>
    <w:rsid w:val="00021085"/>
    <w:rsid w:val="0003148D"/>
    <w:rsid w:val="00031EEC"/>
    <w:rsid w:val="00033909"/>
    <w:rsid w:val="000410B0"/>
    <w:rsid w:val="00043EAE"/>
    <w:rsid w:val="00044656"/>
    <w:rsid w:val="00051566"/>
    <w:rsid w:val="00062A9A"/>
    <w:rsid w:val="00063AFB"/>
    <w:rsid w:val="00065058"/>
    <w:rsid w:val="00065FAE"/>
    <w:rsid w:val="000828E5"/>
    <w:rsid w:val="00085283"/>
    <w:rsid w:val="000858A6"/>
    <w:rsid w:val="00086C39"/>
    <w:rsid w:val="00090C4D"/>
    <w:rsid w:val="00093936"/>
    <w:rsid w:val="0009647C"/>
    <w:rsid w:val="000A03B2"/>
    <w:rsid w:val="000A3326"/>
    <w:rsid w:val="000A34F7"/>
    <w:rsid w:val="000A4684"/>
    <w:rsid w:val="000B381D"/>
    <w:rsid w:val="000D0268"/>
    <w:rsid w:val="000D02D2"/>
    <w:rsid w:val="000D2FB6"/>
    <w:rsid w:val="000D34BE"/>
    <w:rsid w:val="000D6C72"/>
    <w:rsid w:val="000E102F"/>
    <w:rsid w:val="000E1C96"/>
    <w:rsid w:val="000E36F1"/>
    <w:rsid w:val="000E3A73"/>
    <w:rsid w:val="000E414A"/>
    <w:rsid w:val="000F093C"/>
    <w:rsid w:val="000F787B"/>
    <w:rsid w:val="00103FF5"/>
    <w:rsid w:val="0010484B"/>
    <w:rsid w:val="00104EEB"/>
    <w:rsid w:val="00113EBB"/>
    <w:rsid w:val="0011771A"/>
    <w:rsid w:val="001207BD"/>
    <w:rsid w:val="0012091F"/>
    <w:rsid w:val="00121FF5"/>
    <w:rsid w:val="00126BC2"/>
    <w:rsid w:val="001308B6"/>
    <w:rsid w:val="0013121F"/>
    <w:rsid w:val="00131FE6"/>
    <w:rsid w:val="0013263F"/>
    <w:rsid w:val="001331DF"/>
    <w:rsid w:val="00133C0C"/>
    <w:rsid w:val="00134DE4"/>
    <w:rsid w:val="0014034D"/>
    <w:rsid w:val="00144D16"/>
    <w:rsid w:val="00146284"/>
    <w:rsid w:val="00147B54"/>
    <w:rsid w:val="00150E59"/>
    <w:rsid w:val="00152687"/>
    <w:rsid w:val="00152DE3"/>
    <w:rsid w:val="00164867"/>
    <w:rsid w:val="00164CF9"/>
    <w:rsid w:val="001667A6"/>
    <w:rsid w:val="001714E5"/>
    <w:rsid w:val="00171982"/>
    <w:rsid w:val="00173C49"/>
    <w:rsid w:val="00184AD6"/>
    <w:rsid w:val="0018706C"/>
    <w:rsid w:val="001A3238"/>
    <w:rsid w:val="001A4AF7"/>
    <w:rsid w:val="001B0349"/>
    <w:rsid w:val="001B1B31"/>
    <w:rsid w:val="001B1E93"/>
    <w:rsid w:val="001B269A"/>
    <w:rsid w:val="001B2A27"/>
    <w:rsid w:val="001B5B9C"/>
    <w:rsid w:val="001B65C1"/>
    <w:rsid w:val="001C50F8"/>
    <w:rsid w:val="001C684B"/>
    <w:rsid w:val="001D0CFB"/>
    <w:rsid w:val="001D1418"/>
    <w:rsid w:val="001D21AF"/>
    <w:rsid w:val="001D2B26"/>
    <w:rsid w:val="001D489C"/>
    <w:rsid w:val="001D53FC"/>
    <w:rsid w:val="001E18FF"/>
    <w:rsid w:val="001F3BCE"/>
    <w:rsid w:val="001F42A5"/>
    <w:rsid w:val="001F7B9D"/>
    <w:rsid w:val="00201C93"/>
    <w:rsid w:val="002046A4"/>
    <w:rsid w:val="00213CC8"/>
    <w:rsid w:val="002206E5"/>
    <w:rsid w:val="002224B4"/>
    <w:rsid w:val="00236858"/>
    <w:rsid w:val="0024384F"/>
    <w:rsid w:val="002447EF"/>
    <w:rsid w:val="00251550"/>
    <w:rsid w:val="00257218"/>
    <w:rsid w:val="0026177B"/>
    <w:rsid w:val="00261A7C"/>
    <w:rsid w:val="00263B05"/>
    <w:rsid w:val="00266D11"/>
    <w:rsid w:val="0027221A"/>
    <w:rsid w:val="00273005"/>
    <w:rsid w:val="00275B61"/>
    <w:rsid w:val="00280FAF"/>
    <w:rsid w:val="002813EF"/>
    <w:rsid w:val="002814BD"/>
    <w:rsid w:val="00282656"/>
    <w:rsid w:val="00283470"/>
    <w:rsid w:val="002848C4"/>
    <w:rsid w:val="00285F41"/>
    <w:rsid w:val="0029583B"/>
    <w:rsid w:val="00296B83"/>
    <w:rsid w:val="002B3858"/>
    <w:rsid w:val="002B4015"/>
    <w:rsid w:val="002B5854"/>
    <w:rsid w:val="002B78CE"/>
    <w:rsid w:val="002C2FB6"/>
    <w:rsid w:val="002C34AD"/>
    <w:rsid w:val="002C65F3"/>
    <w:rsid w:val="002E41F5"/>
    <w:rsid w:val="002E5A39"/>
    <w:rsid w:val="002E5FA7"/>
    <w:rsid w:val="002F3309"/>
    <w:rsid w:val="002F3D32"/>
    <w:rsid w:val="003008CE"/>
    <w:rsid w:val="003009B7"/>
    <w:rsid w:val="00300E56"/>
    <w:rsid w:val="0030469C"/>
    <w:rsid w:val="003076E2"/>
    <w:rsid w:val="003116DC"/>
    <w:rsid w:val="00321CA6"/>
    <w:rsid w:val="00321DD4"/>
    <w:rsid w:val="00323763"/>
    <w:rsid w:val="00334C09"/>
    <w:rsid w:val="00335A85"/>
    <w:rsid w:val="003554B6"/>
    <w:rsid w:val="00363CFE"/>
    <w:rsid w:val="003723D4"/>
    <w:rsid w:val="00375168"/>
    <w:rsid w:val="00381311"/>
    <w:rsid w:val="00381905"/>
    <w:rsid w:val="00381C5C"/>
    <w:rsid w:val="00384CC8"/>
    <w:rsid w:val="003871FD"/>
    <w:rsid w:val="003A1E30"/>
    <w:rsid w:val="003A2829"/>
    <w:rsid w:val="003A396F"/>
    <w:rsid w:val="003A5F35"/>
    <w:rsid w:val="003A7D1C"/>
    <w:rsid w:val="003B304B"/>
    <w:rsid w:val="003B3146"/>
    <w:rsid w:val="003B7D72"/>
    <w:rsid w:val="003C7781"/>
    <w:rsid w:val="003D07DC"/>
    <w:rsid w:val="003E57DA"/>
    <w:rsid w:val="003F015E"/>
    <w:rsid w:val="00400414"/>
    <w:rsid w:val="004131D6"/>
    <w:rsid w:val="0041446B"/>
    <w:rsid w:val="00417E74"/>
    <w:rsid w:val="004250E7"/>
    <w:rsid w:val="0044008C"/>
    <w:rsid w:val="0044071E"/>
    <w:rsid w:val="0044329C"/>
    <w:rsid w:val="004463E7"/>
    <w:rsid w:val="0045018B"/>
    <w:rsid w:val="00453E24"/>
    <w:rsid w:val="004569F5"/>
    <w:rsid w:val="00457456"/>
    <w:rsid w:val="004577FE"/>
    <w:rsid w:val="00457B9C"/>
    <w:rsid w:val="00461252"/>
    <w:rsid w:val="0046164A"/>
    <w:rsid w:val="004628D2"/>
    <w:rsid w:val="00462DCD"/>
    <w:rsid w:val="004648AD"/>
    <w:rsid w:val="004703A9"/>
    <w:rsid w:val="004760DE"/>
    <w:rsid w:val="004763D7"/>
    <w:rsid w:val="00481F7B"/>
    <w:rsid w:val="004A004E"/>
    <w:rsid w:val="004A24CF"/>
    <w:rsid w:val="004A7243"/>
    <w:rsid w:val="004C3D1D"/>
    <w:rsid w:val="004C7913"/>
    <w:rsid w:val="004D7B52"/>
    <w:rsid w:val="004E3198"/>
    <w:rsid w:val="004E4DD6"/>
    <w:rsid w:val="004F5E36"/>
    <w:rsid w:val="00503097"/>
    <w:rsid w:val="00503792"/>
    <w:rsid w:val="00507B47"/>
    <w:rsid w:val="00507BEF"/>
    <w:rsid w:val="00507CC9"/>
    <w:rsid w:val="005100C3"/>
    <w:rsid w:val="005119A5"/>
    <w:rsid w:val="00524D93"/>
    <w:rsid w:val="005278B7"/>
    <w:rsid w:val="00532016"/>
    <w:rsid w:val="005346C8"/>
    <w:rsid w:val="00543E7D"/>
    <w:rsid w:val="00547A68"/>
    <w:rsid w:val="005531C9"/>
    <w:rsid w:val="00553723"/>
    <w:rsid w:val="005578BA"/>
    <w:rsid w:val="0056112F"/>
    <w:rsid w:val="0056122D"/>
    <w:rsid w:val="00567AE3"/>
    <w:rsid w:val="00567CB8"/>
    <w:rsid w:val="00570C43"/>
    <w:rsid w:val="00571430"/>
    <w:rsid w:val="00571A2E"/>
    <w:rsid w:val="00572FB4"/>
    <w:rsid w:val="00576B63"/>
    <w:rsid w:val="00586466"/>
    <w:rsid w:val="0059379D"/>
    <w:rsid w:val="005974CA"/>
    <w:rsid w:val="005A05C9"/>
    <w:rsid w:val="005B2110"/>
    <w:rsid w:val="005B4840"/>
    <w:rsid w:val="005B61E6"/>
    <w:rsid w:val="005C0048"/>
    <w:rsid w:val="005C1D2A"/>
    <w:rsid w:val="005C77E1"/>
    <w:rsid w:val="005D2A43"/>
    <w:rsid w:val="005D668A"/>
    <w:rsid w:val="005D6A2F"/>
    <w:rsid w:val="005E1A81"/>
    <w:rsid w:val="005E1A82"/>
    <w:rsid w:val="005E2F21"/>
    <w:rsid w:val="005E4D8E"/>
    <w:rsid w:val="005E6956"/>
    <w:rsid w:val="005E794C"/>
    <w:rsid w:val="005F0A28"/>
    <w:rsid w:val="005F0E5E"/>
    <w:rsid w:val="005F57C4"/>
    <w:rsid w:val="005F6F21"/>
    <w:rsid w:val="00600535"/>
    <w:rsid w:val="00610CD6"/>
    <w:rsid w:val="00620DEE"/>
    <w:rsid w:val="00621F92"/>
    <w:rsid w:val="0062280A"/>
    <w:rsid w:val="00622C85"/>
    <w:rsid w:val="00625639"/>
    <w:rsid w:val="00631707"/>
    <w:rsid w:val="00631B33"/>
    <w:rsid w:val="00632B02"/>
    <w:rsid w:val="006373AF"/>
    <w:rsid w:val="006403E5"/>
    <w:rsid w:val="0064184D"/>
    <w:rsid w:val="006422CC"/>
    <w:rsid w:val="006561EC"/>
    <w:rsid w:val="00660E3E"/>
    <w:rsid w:val="00662E74"/>
    <w:rsid w:val="00674DB8"/>
    <w:rsid w:val="006800CF"/>
    <w:rsid w:val="00680C23"/>
    <w:rsid w:val="00693766"/>
    <w:rsid w:val="00694BC2"/>
    <w:rsid w:val="00694D5D"/>
    <w:rsid w:val="00695EBF"/>
    <w:rsid w:val="006A3281"/>
    <w:rsid w:val="006B4888"/>
    <w:rsid w:val="006C2C6A"/>
    <w:rsid w:val="006C2E45"/>
    <w:rsid w:val="006C359C"/>
    <w:rsid w:val="006C5579"/>
    <w:rsid w:val="006C6143"/>
    <w:rsid w:val="006D114D"/>
    <w:rsid w:val="006D21A4"/>
    <w:rsid w:val="006D6E8B"/>
    <w:rsid w:val="006E737D"/>
    <w:rsid w:val="006F12AA"/>
    <w:rsid w:val="007030D8"/>
    <w:rsid w:val="00713973"/>
    <w:rsid w:val="00714799"/>
    <w:rsid w:val="00716B6D"/>
    <w:rsid w:val="00720A24"/>
    <w:rsid w:val="00730691"/>
    <w:rsid w:val="00732386"/>
    <w:rsid w:val="0073514D"/>
    <w:rsid w:val="00736F2C"/>
    <w:rsid w:val="007447F3"/>
    <w:rsid w:val="007449CE"/>
    <w:rsid w:val="00746713"/>
    <w:rsid w:val="00747033"/>
    <w:rsid w:val="007523C4"/>
    <w:rsid w:val="007539C6"/>
    <w:rsid w:val="0075499F"/>
    <w:rsid w:val="00755BDC"/>
    <w:rsid w:val="0076454C"/>
    <w:rsid w:val="007661C8"/>
    <w:rsid w:val="0077098D"/>
    <w:rsid w:val="00771DCC"/>
    <w:rsid w:val="00772096"/>
    <w:rsid w:val="00774CB1"/>
    <w:rsid w:val="0078611F"/>
    <w:rsid w:val="007931FA"/>
    <w:rsid w:val="007937DA"/>
    <w:rsid w:val="007A1A92"/>
    <w:rsid w:val="007A4861"/>
    <w:rsid w:val="007A7BBA"/>
    <w:rsid w:val="007B0C50"/>
    <w:rsid w:val="007B48F9"/>
    <w:rsid w:val="007C012E"/>
    <w:rsid w:val="007C1A43"/>
    <w:rsid w:val="007D73BB"/>
    <w:rsid w:val="007E499B"/>
    <w:rsid w:val="007E5B88"/>
    <w:rsid w:val="007F4BD8"/>
    <w:rsid w:val="0080013E"/>
    <w:rsid w:val="00813288"/>
    <w:rsid w:val="00813622"/>
    <w:rsid w:val="008168FC"/>
    <w:rsid w:val="00830996"/>
    <w:rsid w:val="0083378D"/>
    <w:rsid w:val="008345F1"/>
    <w:rsid w:val="00842E26"/>
    <w:rsid w:val="00857972"/>
    <w:rsid w:val="0086174E"/>
    <w:rsid w:val="00865B07"/>
    <w:rsid w:val="008667EA"/>
    <w:rsid w:val="00871E3E"/>
    <w:rsid w:val="0087637F"/>
    <w:rsid w:val="00892AD5"/>
    <w:rsid w:val="008A1512"/>
    <w:rsid w:val="008A4837"/>
    <w:rsid w:val="008A4AF0"/>
    <w:rsid w:val="008C0E84"/>
    <w:rsid w:val="008D1111"/>
    <w:rsid w:val="008D32B9"/>
    <w:rsid w:val="008D433B"/>
    <w:rsid w:val="008E517D"/>
    <w:rsid w:val="008E566E"/>
    <w:rsid w:val="008F3EB1"/>
    <w:rsid w:val="008F66FF"/>
    <w:rsid w:val="009001B9"/>
    <w:rsid w:val="0090161A"/>
    <w:rsid w:val="00901EB6"/>
    <w:rsid w:val="00902739"/>
    <w:rsid w:val="00904C62"/>
    <w:rsid w:val="009117A7"/>
    <w:rsid w:val="009138D7"/>
    <w:rsid w:val="0091504B"/>
    <w:rsid w:val="00917A19"/>
    <w:rsid w:val="00922BA8"/>
    <w:rsid w:val="00924DAC"/>
    <w:rsid w:val="00925B52"/>
    <w:rsid w:val="00927058"/>
    <w:rsid w:val="0093222F"/>
    <w:rsid w:val="009333E8"/>
    <w:rsid w:val="00942750"/>
    <w:rsid w:val="009450CE"/>
    <w:rsid w:val="00947179"/>
    <w:rsid w:val="0095164B"/>
    <w:rsid w:val="00954090"/>
    <w:rsid w:val="00954C62"/>
    <w:rsid w:val="009557E6"/>
    <w:rsid w:val="009573E7"/>
    <w:rsid w:val="00963E05"/>
    <w:rsid w:val="00964A45"/>
    <w:rsid w:val="00966E29"/>
    <w:rsid w:val="00967564"/>
    <w:rsid w:val="00967843"/>
    <w:rsid w:val="00967D54"/>
    <w:rsid w:val="00971028"/>
    <w:rsid w:val="00976A06"/>
    <w:rsid w:val="00985151"/>
    <w:rsid w:val="00993B84"/>
    <w:rsid w:val="00996483"/>
    <w:rsid w:val="00996F5A"/>
    <w:rsid w:val="009B041A"/>
    <w:rsid w:val="009B0DEC"/>
    <w:rsid w:val="009B0E35"/>
    <w:rsid w:val="009C37C3"/>
    <w:rsid w:val="009C4D0B"/>
    <w:rsid w:val="009C6BFD"/>
    <w:rsid w:val="009C7C86"/>
    <w:rsid w:val="009D2FF7"/>
    <w:rsid w:val="009D668C"/>
    <w:rsid w:val="009E062D"/>
    <w:rsid w:val="009E5B8F"/>
    <w:rsid w:val="009E726F"/>
    <w:rsid w:val="009E7884"/>
    <w:rsid w:val="009E788A"/>
    <w:rsid w:val="009F0E08"/>
    <w:rsid w:val="00A12317"/>
    <w:rsid w:val="00A1763D"/>
    <w:rsid w:val="00A17CEC"/>
    <w:rsid w:val="00A20FA0"/>
    <w:rsid w:val="00A24083"/>
    <w:rsid w:val="00A24376"/>
    <w:rsid w:val="00A26240"/>
    <w:rsid w:val="00A27EF0"/>
    <w:rsid w:val="00A337DD"/>
    <w:rsid w:val="00A4031F"/>
    <w:rsid w:val="00A40898"/>
    <w:rsid w:val="00A42361"/>
    <w:rsid w:val="00A50B20"/>
    <w:rsid w:val="00A51390"/>
    <w:rsid w:val="00A53D90"/>
    <w:rsid w:val="00A60561"/>
    <w:rsid w:val="00A60D13"/>
    <w:rsid w:val="00A71EB5"/>
    <w:rsid w:val="00A72745"/>
    <w:rsid w:val="00A74D9B"/>
    <w:rsid w:val="00A74EF8"/>
    <w:rsid w:val="00A76EFC"/>
    <w:rsid w:val="00A80543"/>
    <w:rsid w:val="00A81CC0"/>
    <w:rsid w:val="00A91010"/>
    <w:rsid w:val="00A93D53"/>
    <w:rsid w:val="00A97F29"/>
    <w:rsid w:val="00AA115D"/>
    <w:rsid w:val="00AA23A6"/>
    <w:rsid w:val="00AA702E"/>
    <w:rsid w:val="00AB0964"/>
    <w:rsid w:val="00AB5011"/>
    <w:rsid w:val="00AB526A"/>
    <w:rsid w:val="00AB59EF"/>
    <w:rsid w:val="00AB7A7F"/>
    <w:rsid w:val="00AC7368"/>
    <w:rsid w:val="00AD16B9"/>
    <w:rsid w:val="00AD2E8F"/>
    <w:rsid w:val="00AD542B"/>
    <w:rsid w:val="00AD797C"/>
    <w:rsid w:val="00AE377D"/>
    <w:rsid w:val="00AF0EBA"/>
    <w:rsid w:val="00B02C8A"/>
    <w:rsid w:val="00B17FBD"/>
    <w:rsid w:val="00B315A6"/>
    <w:rsid w:val="00B31813"/>
    <w:rsid w:val="00B33365"/>
    <w:rsid w:val="00B364BF"/>
    <w:rsid w:val="00B43DD4"/>
    <w:rsid w:val="00B51720"/>
    <w:rsid w:val="00B519E4"/>
    <w:rsid w:val="00B529C6"/>
    <w:rsid w:val="00B549C1"/>
    <w:rsid w:val="00B57B36"/>
    <w:rsid w:val="00B57E6F"/>
    <w:rsid w:val="00B60770"/>
    <w:rsid w:val="00B61D94"/>
    <w:rsid w:val="00B65858"/>
    <w:rsid w:val="00B70906"/>
    <w:rsid w:val="00B76B8E"/>
    <w:rsid w:val="00B8686D"/>
    <w:rsid w:val="00B87A45"/>
    <w:rsid w:val="00B93F69"/>
    <w:rsid w:val="00B96F25"/>
    <w:rsid w:val="00B97621"/>
    <w:rsid w:val="00B97F30"/>
    <w:rsid w:val="00BB1DDC"/>
    <w:rsid w:val="00BC30C9"/>
    <w:rsid w:val="00BD077D"/>
    <w:rsid w:val="00BE3E58"/>
    <w:rsid w:val="00C01616"/>
    <w:rsid w:val="00C0162B"/>
    <w:rsid w:val="00C01822"/>
    <w:rsid w:val="00C06209"/>
    <w:rsid w:val="00C068ED"/>
    <w:rsid w:val="00C16B02"/>
    <w:rsid w:val="00C22E0C"/>
    <w:rsid w:val="00C27492"/>
    <w:rsid w:val="00C345B1"/>
    <w:rsid w:val="00C40142"/>
    <w:rsid w:val="00C40CAB"/>
    <w:rsid w:val="00C418BA"/>
    <w:rsid w:val="00C42ED7"/>
    <w:rsid w:val="00C521B0"/>
    <w:rsid w:val="00C52346"/>
    <w:rsid w:val="00C52C3C"/>
    <w:rsid w:val="00C54CE0"/>
    <w:rsid w:val="00C56B68"/>
    <w:rsid w:val="00C57182"/>
    <w:rsid w:val="00C57863"/>
    <w:rsid w:val="00C655FD"/>
    <w:rsid w:val="00C673DA"/>
    <w:rsid w:val="00C75407"/>
    <w:rsid w:val="00C765A9"/>
    <w:rsid w:val="00C801AB"/>
    <w:rsid w:val="00C84AF9"/>
    <w:rsid w:val="00C861AA"/>
    <w:rsid w:val="00C86FED"/>
    <w:rsid w:val="00C870A8"/>
    <w:rsid w:val="00C94434"/>
    <w:rsid w:val="00C95D8F"/>
    <w:rsid w:val="00CA0D75"/>
    <w:rsid w:val="00CA1C95"/>
    <w:rsid w:val="00CA33B8"/>
    <w:rsid w:val="00CA5A9C"/>
    <w:rsid w:val="00CC21CC"/>
    <w:rsid w:val="00CC4C20"/>
    <w:rsid w:val="00CC7781"/>
    <w:rsid w:val="00CD06D9"/>
    <w:rsid w:val="00CD1A15"/>
    <w:rsid w:val="00CD3517"/>
    <w:rsid w:val="00CD5FE2"/>
    <w:rsid w:val="00CE4575"/>
    <w:rsid w:val="00CE7C68"/>
    <w:rsid w:val="00CF629C"/>
    <w:rsid w:val="00D02141"/>
    <w:rsid w:val="00D02B4C"/>
    <w:rsid w:val="00D040C4"/>
    <w:rsid w:val="00D06A75"/>
    <w:rsid w:val="00D30067"/>
    <w:rsid w:val="00D33184"/>
    <w:rsid w:val="00D419A6"/>
    <w:rsid w:val="00D421D5"/>
    <w:rsid w:val="00D46B7E"/>
    <w:rsid w:val="00D57C84"/>
    <w:rsid w:val="00D6057D"/>
    <w:rsid w:val="00D71640"/>
    <w:rsid w:val="00D836C5"/>
    <w:rsid w:val="00D84576"/>
    <w:rsid w:val="00D90003"/>
    <w:rsid w:val="00D95638"/>
    <w:rsid w:val="00DA1399"/>
    <w:rsid w:val="00DA1C78"/>
    <w:rsid w:val="00DA24C6"/>
    <w:rsid w:val="00DA4D7B"/>
    <w:rsid w:val="00DA4D7C"/>
    <w:rsid w:val="00DB350B"/>
    <w:rsid w:val="00DB52E7"/>
    <w:rsid w:val="00DC034E"/>
    <w:rsid w:val="00DD058A"/>
    <w:rsid w:val="00DE264A"/>
    <w:rsid w:val="00DE2F5C"/>
    <w:rsid w:val="00DF2880"/>
    <w:rsid w:val="00DF5072"/>
    <w:rsid w:val="00E02D18"/>
    <w:rsid w:val="00E041E7"/>
    <w:rsid w:val="00E06DA9"/>
    <w:rsid w:val="00E23CA1"/>
    <w:rsid w:val="00E3191E"/>
    <w:rsid w:val="00E409A8"/>
    <w:rsid w:val="00E41C9F"/>
    <w:rsid w:val="00E4544E"/>
    <w:rsid w:val="00E50988"/>
    <w:rsid w:val="00E50C12"/>
    <w:rsid w:val="00E65B91"/>
    <w:rsid w:val="00E71A2C"/>
    <w:rsid w:val="00E7209D"/>
    <w:rsid w:val="00E7237C"/>
    <w:rsid w:val="00E72EAD"/>
    <w:rsid w:val="00E7356F"/>
    <w:rsid w:val="00E77223"/>
    <w:rsid w:val="00E85105"/>
    <w:rsid w:val="00E8528B"/>
    <w:rsid w:val="00E85B94"/>
    <w:rsid w:val="00E961D3"/>
    <w:rsid w:val="00E978D0"/>
    <w:rsid w:val="00EA4613"/>
    <w:rsid w:val="00EA7F91"/>
    <w:rsid w:val="00EB1523"/>
    <w:rsid w:val="00EB5FF8"/>
    <w:rsid w:val="00EC0E49"/>
    <w:rsid w:val="00EC101F"/>
    <w:rsid w:val="00EC1D9F"/>
    <w:rsid w:val="00EC511A"/>
    <w:rsid w:val="00EC7675"/>
    <w:rsid w:val="00EE0131"/>
    <w:rsid w:val="00EE17B0"/>
    <w:rsid w:val="00EF06D9"/>
    <w:rsid w:val="00EF1384"/>
    <w:rsid w:val="00EF59D3"/>
    <w:rsid w:val="00F05FBF"/>
    <w:rsid w:val="00F30C64"/>
    <w:rsid w:val="00F32BA2"/>
    <w:rsid w:val="00F32CDB"/>
    <w:rsid w:val="00F519D9"/>
    <w:rsid w:val="00F53F86"/>
    <w:rsid w:val="00F5548E"/>
    <w:rsid w:val="00F55866"/>
    <w:rsid w:val="00F565FE"/>
    <w:rsid w:val="00F620AE"/>
    <w:rsid w:val="00F62402"/>
    <w:rsid w:val="00F63A70"/>
    <w:rsid w:val="00F72A19"/>
    <w:rsid w:val="00F7534E"/>
    <w:rsid w:val="00F86A8B"/>
    <w:rsid w:val="00FA1802"/>
    <w:rsid w:val="00FA21D0"/>
    <w:rsid w:val="00FA33C5"/>
    <w:rsid w:val="00FA5F5F"/>
    <w:rsid w:val="00FB2567"/>
    <w:rsid w:val="00FB2698"/>
    <w:rsid w:val="00FB6E79"/>
    <w:rsid w:val="00FB730C"/>
    <w:rsid w:val="00FC2695"/>
    <w:rsid w:val="00FC3E03"/>
    <w:rsid w:val="00FC3FC1"/>
    <w:rsid w:val="00FD3BD5"/>
    <w:rsid w:val="00FE3109"/>
    <w:rsid w:val="00FF10D7"/>
    <w:rsid w:val="00FF3DBF"/>
    <w:rsid w:val="00FF592A"/>
    <w:rsid w:val="00FF641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D16E424B-4136-46E6-9370-D690B5623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right" w:pos="7100"/>
      </w:tabs>
      <w:jc w:val="both"/>
      <w:outlineLvl w:val="0"/>
    </w:p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A26240"/>
    <w:pPr>
      <w:keepNext/>
      <w:numPr>
        <w:numId w:val="29"/>
      </w:numPr>
      <w:suppressAutoHyphens/>
      <w:spacing w:before="240" w:after="120" w:line="240" w:lineRule="auto"/>
    </w:pPr>
    <w:rPr>
      <w:rFonts w:ascii="Arial" w:eastAsia="Times New Roman" w:hAnsi="Arial" w:cs="Times New Roman"/>
      <w:b/>
      <w:sz w:val="20"/>
      <w:szCs w:val="20"/>
      <w:lang w:val="en-GB"/>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1D2B26"/>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1D2B26"/>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customStyle="1" w:styleId="author">
    <w:name w:val="author"/>
    <w:basedOn w:val="DefaultParagraphFont"/>
    <w:rsid w:val="00D419A6"/>
  </w:style>
  <w:style w:type="character" w:customStyle="1" w:styleId="anchor-text">
    <w:name w:val="anchor-text"/>
    <w:basedOn w:val="DefaultParagraphFont"/>
    <w:rsid w:val="00C86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315095">
      <w:bodyDiv w:val="1"/>
      <w:marLeft w:val="0"/>
      <w:marRight w:val="0"/>
      <w:marTop w:val="0"/>
      <w:marBottom w:val="0"/>
      <w:divBdr>
        <w:top w:val="none" w:sz="0" w:space="0" w:color="auto"/>
        <w:left w:val="none" w:sz="0" w:space="0" w:color="auto"/>
        <w:bottom w:val="none" w:sz="0" w:space="0" w:color="auto"/>
        <w:right w:val="none" w:sz="0" w:space="0" w:color="auto"/>
      </w:divBdr>
    </w:div>
    <w:div w:id="163211433">
      <w:bodyDiv w:val="1"/>
      <w:marLeft w:val="0"/>
      <w:marRight w:val="0"/>
      <w:marTop w:val="0"/>
      <w:marBottom w:val="0"/>
      <w:divBdr>
        <w:top w:val="none" w:sz="0" w:space="0" w:color="auto"/>
        <w:left w:val="none" w:sz="0" w:space="0" w:color="auto"/>
        <w:bottom w:val="none" w:sz="0" w:space="0" w:color="auto"/>
        <w:right w:val="none" w:sz="0" w:space="0" w:color="auto"/>
      </w:divBdr>
    </w:div>
    <w:div w:id="205332846">
      <w:bodyDiv w:val="1"/>
      <w:marLeft w:val="0"/>
      <w:marRight w:val="0"/>
      <w:marTop w:val="0"/>
      <w:marBottom w:val="0"/>
      <w:divBdr>
        <w:top w:val="none" w:sz="0" w:space="0" w:color="auto"/>
        <w:left w:val="none" w:sz="0" w:space="0" w:color="auto"/>
        <w:bottom w:val="none" w:sz="0" w:space="0" w:color="auto"/>
        <w:right w:val="none" w:sz="0" w:space="0" w:color="auto"/>
      </w:divBdr>
    </w:div>
    <w:div w:id="205800934">
      <w:bodyDiv w:val="1"/>
      <w:marLeft w:val="0"/>
      <w:marRight w:val="0"/>
      <w:marTop w:val="0"/>
      <w:marBottom w:val="0"/>
      <w:divBdr>
        <w:top w:val="none" w:sz="0" w:space="0" w:color="auto"/>
        <w:left w:val="none" w:sz="0" w:space="0" w:color="auto"/>
        <w:bottom w:val="none" w:sz="0" w:space="0" w:color="auto"/>
        <w:right w:val="none" w:sz="0" w:space="0" w:color="auto"/>
      </w:divBdr>
    </w:div>
    <w:div w:id="240796327">
      <w:bodyDiv w:val="1"/>
      <w:marLeft w:val="0"/>
      <w:marRight w:val="0"/>
      <w:marTop w:val="0"/>
      <w:marBottom w:val="0"/>
      <w:divBdr>
        <w:top w:val="none" w:sz="0" w:space="0" w:color="auto"/>
        <w:left w:val="none" w:sz="0" w:space="0" w:color="auto"/>
        <w:bottom w:val="none" w:sz="0" w:space="0" w:color="auto"/>
        <w:right w:val="none" w:sz="0" w:space="0" w:color="auto"/>
      </w:divBdr>
    </w:div>
    <w:div w:id="333538142">
      <w:bodyDiv w:val="1"/>
      <w:marLeft w:val="0"/>
      <w:marRight w:val="0"/>
      <w:marTop w:val="0"/>
      <w:marBottom w:val="0"/>
      <w:divBdr>
        <w:top w:val="none" w:sz="0" w:space="0" w:color="auto"/>
        <w:left w:val="none" w:sz="0" w:space="0" w:color="auto"/>
        <w:bottom w:val="none" w:sz="0" w:space="0" w:color="auto"/>
        <w:right w:val="none" w:sz="0" w:space="0" w:color="auto"/>
      </w:divBdr>
    </w:div>
    <w:div w:id="562062471">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659741">
      <w:bodyDiv w:val="1"/>
      <w:marLeft w:val="0"/>
      <w:marRight w:val="0"/>
      <w:marTop w:val="0"/>
      <w:marBottom w:val="0"/>
      <w:divBdr>
        <w:top w:val="none" w:sz="0" w:space="0" w:color="auto"/>
        <w:left w:val="none" w:sz="0" w:space="0" w:color="auto"/>
        <w:bottom w:val="none" w:sz="0" w:space="0" w:color="auto"/>
        <w:right w:val="none" w:sz="0" w:space="0" w:color="auto"/>
      </w:divBdr>
    </w:div>
    <w:div w:id="1220625684">
      <w:bodyDiv w:val="1"/>
      <w:marLeft w:val="0"/>
      <w:marRight w:val="0"/>
      <w:marTop w:val="0"/>
      <w:marBottom w:val="0"/>
      <w:divBdr>
        <w:top w:val="none" w:sz="0" w:space="0" w:color="auto"/>
        <w:left w:val="none" w:sz="0" w:space="0" w:color="auto"/>
        <w:bottom w:val="none" w:sz="0" w:space="0" w:color="auto"/>
        <w:right w:val="none" w:sz="0" w:space="0" w:color="auto"/>
      </w:divBdr>
    </w:div>
    <w:div w:id="1261182648">
      <w:bodyDiv w:val="1"/>
      <w:marLeft w:val="0"/>
      <w:marRight w:val="0"/>
      <w:marTop w:val="0"/>
      <w:marBottom w:val="0"/>
      <w:divBdr>
        <w:top w:val="none" w:sz="0" w:space="0" w:color="auto"/>
        <w:left w:val="none" w:sz="0" w:space="0" w:color="auto"/>
        <w:bottom w:val="none" w:sz="0" w:space="0" w:color="auto"/>
        <w:right w:val="none" w:sz="0" w:space="0" w:color="auto"/>
      </w:divBdr>
    </w:div>
    <w:div w:id="1319768622">
      <w:bodyDiv w:val="1"/>
      <w:marLeft w:val="0"/>
      <w:marRight w:val="0"/>
      <w:marTop w:val="0"/>
      <w:marBottom w:val="0"/>
      <w:divBdr>
        <w:top w:val="none" w:sz="0" w:space="0" w:color="auto"/>
        <w:left w:val="none" w:sz="0" w:space="0" w:color="auto"/>
        <w:bottom w:val="none" w:sz="0" w:space="0" w:color="auto"/>
        <w:right w:val="none" w:sz="0" w:space="0" w:color="auto"/>
      </w:divBdr>
    </w:div>
    <w:div w:id="1426223521">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138722">
      <w:bodyDiv w:val="1"/>
      <w:marLeft w:val="0"/>
      <w:marRight w:val="0"/>
      <w:marTop w:val="0"/>
      <w:marBottom w:val="0"/>
      <w:divBdr>
        <w:top w:val="none" w:sz="0" w:space="0" w:color="auto"/>
        <w:left w:val="none" w:sz="0" w:space="0" w:color="auto"/>
        <w:bottom w:val="none" w:sz="0" w:space="0" w:color="auto"/>
        <w:right w:val="none" w:sz="0" w:space="0" w:color="auto"/>
      </w:divBdr>
    </w:div>
    <w:div w:id="1881670979">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7A715-FFFA-40D8-92F0-A7A82BD0B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3616</Words>
  <Characters>20617</Characters>
  <Application>Microsoft Office Word</Application>
  <DocSecurity>0</DocSecurity>
  <Lines>171</Lines>
  <Paragraphs>48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Catalanotti, Elena</cp:lastModifiedBy>
  <cp:revision>3</cp:revision>
  <cp:lastPrinted>2015-05-12T18:31:00Z</cp:lastPrinted>
  <dcterms:created xsi:type="dcterms:W3CDTF">2022-03-30T10:15:00Z</dcterms:created>
  <dcterms:modified xsi:type="dcterms:W3CDTF">2022-03-30T10:21:00Z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