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3EAE42C4" w14:textId="77777777" w:rsidTr="00DE264A">
        <w:trPr>
          <w:trHeight w:val="852"/>
          <w:jc w:val="center"/>
        </w:trPr>
        <w:tc>
          <w:tcPr>
            <w:tcW w:w="6946" w:type="dxa"/>
            <w:vMerge w:val="restart"/>
            <w:tcBorders>
              <w:right w:val="single" w:sz="4" w:space="0" w:color="auto"/>
            </w:tcBorders>
          </w:tcPr>
          <w:p w14:paraId="54E40CD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22672081" wp14:editId="6956BB7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CDF677"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377502F4"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EFF2EAC" w14:textId="77777777" w:rsidR="000A03B2" w:rsidRPr="00B57B36" w:rsidRDefault="000A03B2" w:rsidP="00CD5FE2">
            <w:pPr>
              <w:jc w:val="right"/>
            </w:pPr>
            <w:r w:rsidRPr="00B57B36">
              <w:rPr>
                <w:noProof/>
                <w:lang w:val="it-IT" w:eastAsia="it-IT"/>
              </w:rPr>
              <w:drawing>
                <wp:inline distT="0" distB="0" distL="0" distR="0" wp14:anchorId="3F61E24D" wp14:editId="29336E4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B4E9D69" w14:textId="77777777" w:rsidTr="00DE264A">
        <w:trPr>
          <w:trHeight w:val="567"/>
          <w:jc w:val="center"/>
        </w:trPr>
        <w:tc>
          <w:tcPr>
            <w:tcW w:w="6946" w:type="dxa"/>
            <w:vMerge/>
            <w:tcBorders>
              <w:right w:val="single" w:sz="4" w:space="0" w:color="auto"/>
            </w:tcBorders>
          </w:tcPr>
          <w:p w14:paraId="3E44419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B94A594"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0A0FE4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B489A26"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088D7D7" w14:textId="77777777" w:rsidTr="00DE264A">
        <w:trPr>
          <w:trHeight w:val="68"/>
          <w:jc w:val="center"/>
        </w:trPr>
        <w:tc>
          <w:tcPr>
            <w:tcW w:w="8789" w:type="dxa"/>
            <w:gridSpan w:val="2"/>
          </w:tcPr>
          <w:p w14:paraId="71F9BDDA" w14:textId="77777777"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4F545F0" w14:textId="77777777"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CCD09CE"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0FDEE3E" w14:textId="4046E607" w:rsidR="00732C41" w:rsidRDefault="00732C41" w:rsidP="00732C41">
      <w:pPr>
        <w:autoSpaceDE w:val="0"/>
        <w:autoSpaceDN w:val="0"/>
        <w:adjustRightInd w:val="0"/>
        <w:jc w:val="center"/>
        <w:rPr>
          <w:b/>
          <w:sz w:val="28"/>
          <w:szCs w:val="28"/>
        </w:rPr>
      </w:pPr>
      <w:r w:rsidRPr="00B02905">
        <w:rPr>
          <w:sz w:val="32"/>
          <w:szCs w:val="32"/>
        </w:rPr>
        <w:t>Microalgae growth in physically pre-treated wastewater generated during hydraulic fracturing</w:t>
      </w:r>
      <w:bookmarkStart w:id="0" w:name="_GoBack"/>
      <w:bookmarkEnd w:id="0"/>
    </w:p>
    <w:p w14:paraId="3F4FB8A6" w14:textId="77777777" w:rsidR="00EF514B" w:rsidRPr="00732C41" w:rsidRDefault="00EF514B" w:rsidP="00732C41">
      <w:pPr>
        <w:autoSpaceDE w:val="0"/>
        <w:autoSpaceDN w:val="0"/>
        <w:adjustRightInd w:val="0"/>
        <w:jc w:val="center"/>
        <w:rPr>
          <w:sz w:val="32"/>
          <w:szCs w:val="32"/>
        </w:rPr>
      </w:pPr>
    </w:p>
    <w:p w14:paraId="48A98229" w14:textId="77777777" w:rsidR="00732C41" w:rsidRPr="00552B8E" w:rsidRDefault="00732C41" w:rsidP="00732C41">
      <w:pPr>
        <w:pStyle w:val="CETAuthors"/>
        <w:rPr>
          <w:lang w:val="it-IT"/>
        </w:rPr>
      </w:pPr>
      <w:r w:rsidRPr="00552B8E">
        <w:rPr>
          <w:lang w:val="it-IT"/>
        </w:rPr>
        <w:t>Giovanni Antonio Lutzu</w:t>
      </w:r>
      <w:r w:rsidRPr="00552B8E">
        <w:rPr>
          <w:vertAlign w:val="superscript"/>
          <w:lang w:val="it-IT"/>
        </w:rPr>
        <w:t>a</w:t>
      </w:r>
      <w:r w:rsidRPr="00552B8E">
        <w:rPr>
          <w:lang w:val="it-IT"/>
        </w:rPr>
        <w:t>*</w:t>
      </w:r>
      <w:r>
        <w:rPr>
          <w:lang w:val="it-IT"/>
        </w:rPr>
        <w:t xml:space="preserve">, </w:t>
      </w:r>
      <w:r w:rsidRPr="00552B8E">
        <w:rPr>
          <w:lang w:val="it-IT"/>
        </w:rPr>
        <w:t>Alessandro Concas</w:t>
      </w:r>
      <w:r w:rsidRPr="00552B8E">
        <w:rPr>
          <w:vertAlign w:val="superscript"/>
          <w:lang w:val="it-IT"/>
        </w:rPr>
        <w:t>b</w:t>
      </w:r>
      <w:r>
        <w:rPr>
          <w:vertAlign w:val="superscript"/>
          <w:lang w:val="it-IT"/>
        </w:rPr>
        <w:t>,c</w:t>
      </w:r>
      <w:r w:rsidRPr="00552B8E">
        <w:rPr>
          <w:lang w:val="it-IT"/>
        </w:rPr>
        <w:t>, Nurhan Turgut Dunford</w:t>
      </w:r>
      <w:r w:rsidRPr="00552B8E">
        <w:rPr>
          <w:vertAlign w:val="superscript"/>
          <w:lang w:val="it-IT"/>
        </w:rPr>
        <w:t>a,</w:t>
      </w:r>
      <w:r>
        <w:rPr>
          <w:vertAlign w:val="superscript"/>
          <w:lang w:val="it-IT"/>
        </w:rPr>
        <w:t>d</w:t>
      </w:r>
    </w:p>
    <w:p w14:paraId="29F33D3B" w14:textId="77777777" w:rsidR="00732C41" w:rsidRPr="00521CEC" w:rsidRDefault="00732C41" w:rsidP="00732C41">
      <w:pPr>
        <w:rPr>
          <w:rFonts w:cs="Arial"/>
          <w:szCs w:val="18"/>
        </w:rPr>
      </w:pPr>
      <w:r w:rsidRPr="00B57B36">
        <w:rPr>
          <w:vertAlign w:val="superscript"/>
        </w:rPr>
        <w:t>a</w:t>
      </w:r>
      <w:r w:rsidRPr="00A718BA">
        <w:rPr>
          <w:rFonts w:cs="Arial"/>
          <w:szCs w:val="18"/>
        </w:rPr>
        <w:t>Robert M. Kerr Food &amp; Agricultural Products Center, FAPC Room 13, Oklahoma State University, Stillwater, OK 74078-6055, US</w:t>
      </w:r>
    </w:p>
    <w:p w14:paraId="7380CE35" w14:textId="77777777" w:rsidR="00732C41" w:rsidRPr="00C61158" w:rsidRDefault="00732C41" w:rsidP="00732C41">
      <w:pPr>
        <w:autoSpaceDE w:val="0"/>
        <w:autoSpaceDN w:val="0"/>
        <w:adjustRightInd w:val="0"/>
        <w:jc w:val="left"/>
      </w:pPr>
      <w:r w:rsidRPr="00B02905">
        <w:rPr>
          <w:vertAlign w:val="superscript"/>
        </w:rPr>
        <w:t>b</w:t>
      </w:r>
      <w:r w:rsidRPr="00B02905">
        <w:t>Department of Mechanical, Chemical and Materials Engineering, University of Cagliari, Piazza d’Armi, 09123 Cagliari (CA), Italy</w:t>
      </w:r>
    </w:p>
    <w:p w14:paraId="2F73B5ED" w14:textId="77777777" w:rsidR="00732C41" w:rsidRDefault="00732C41" w:rsidP="00732C41">
      <w:pPr>
        <w:rPr>
          <w:rFonts w:cs="Arial"/>
          <w:szCs w:val="18"/>
          <w:lang w:val="en-US"/>
        </w:rPr>
      </w:pPr>
      <w:r w:rsidRPr="00A718BA">
        <w:rPr>
          <w:rFonts w:cs="Arial"/>
          <w:szCs w:val="18"/>
          <w:vertAlign w:val="superscript"/>
          <w:lang w:val="it-IT"/>
        </w:rPr>
        <w:t>c</w:t>
      </w:r>
      <w:r w:rsidRPr="00A718BA">
        <w:rPr>
          <w:rFonts w:cs="Arial"/>
          <w:szCs w:val="18"/>
          <w:lang w:val="it-IT"/>
        </w:rPr>
        <w:t xml:space="preserve">Centro di Ricerca, Sviluppo e Studi Superiori in Sardegna, (CRS4), Loc. </w:t>
      </w:r>
      <w:r w:rsidRPr="009937F5">
        <w:rPr>
          <w:rFonts w:cs="Arial"/>
          <w:szCs w:val="18"/>
          <w:lang w:val="en-US"/>
        </w:rPr>
        <w:t>Piscina Manna, Edificio 1, 09050 Pula (CA), Italia</w:t>
      </w:r>
    </w:p>
    <w:p w14:paraId="05170384" w14:textId="77777777" w:rsidR="00732C41" w:rsidRPr="00B02905" w:rsidRDefault="00732C41" w:rsidP="00732C41">
      <w:pPr>
        <w:rPr>
          <w:rFonts w:cs="Arial"/>
          <w:szCs w:val="18"/>
        </w:rPr>
      </w:pPr>
      <w:r>
        <w:rPr>
          <w:vertAlign w:val="superscript"/>
        </w:rPr>
        <w:t>d</w:t>
      </w:r>
      <w:r w:rsidRPr="00A718BA">
        <w:rPr>
          <w:rFonts w:cs="Arial"/>
          <w:szCs w:val="18"/>
        </w:rPr>
        <w:t>Department of Biosystems and Agricultural Engineering, Oklahoma State University, Stillwater, OK 74078-6055, US</w:t>
      </w:r>
    </w:p>
    <w:p w14:paraId="5EEE9E31" w14:textId="77777777" w:rsidR="00732C41" w:rsidRPr="00B57B36" w:rsidRDefault="00732C41" w:rsidP="00732C41">
      <w:pPr>
        <w:pStyle w:val="CETemail"/>
        <w:spacing w:line="264" w:lineRule="auto"/>
        <w:jc w:val="both"/>
      </w:pPr>
      <w:r w:rsidRPr="00E505C7">
        <w:rPr>
          <w:lang w:val="en-US"/>
        </w:rPr>
        <w:t>*</w:t>
      </w:r>
      <w:r>
        <w:t xml:space="preserve">gianni.lutzu@teregroup.net </w:t>
      </w:r>
    </w:p>
    <w:p w14:paraId="0337A355" w14:textId="77777777" w:rsidR="00732C41" w:rsidRPr="00521CEC" w:rsidRDefault="00732C41" w:rsidP="00732C41">
      <w:pPr>
        <w:pStyle w:val="Paragrafoelenco"/>
        <w:autoSpaceDE w:val="0"/>
        <w:autoSpaceDN w:val="0"/>
        <w:adjustRightInd w:val="0"/>
        <w:ind w:left="0"/>
        <w:rPr>
          <w:rFonts w:cs="Arial"/>
          <w:szCs w:val="18"/>
        </w:rPr>
      </w:pPr>
      <w:r w:rsidRPr="005075ED">
        <w:t>Hydraulic fracturing technique frequently used during gas and oil production generates large amounts of wastewaters</w:t>
      </w:r>
      <w:r w:rsidR="00006EE6" w:rsidRPr="005075ED">
        <w:t xml:space="preserve"> (WWs)</w:t>
      </w:r>
      <w:r w:rsidRPr="005075ED">
        <w:t>. High cost of the conventional techniques used to treat such waters adversely affect their economic feasibility. Hence, novel technologies that will facilitate remediation and subse</w:t>
      </w:r>
      <w:r w:rsidR="00006EE6" w:rsidRPr="005075ED">
        <w:t>quent re-use of these WW</w:t>
      </w:r>
      <w:r w:rsidRPr="005075ED">
        <w:t>s are welcomed. In this study, growth profile of four Oklahoma native microalgae (</w:t>
      </w:r>
      <w:r w:rsidRPr="005075ED">
        <w:rPr>
          <w:i/>
        </w:rPr>
        <w:t>Geitlerinema carotinosum</w:t>
      </w:r>
      <w:r w:rsidRPr="005075ED">
        <w:t xml:space="preserve">, </w:t>
      </w:r>
      <w:r w:rsidRPr="005075ED">
        <w:rPr>
          <w:i/>
        </w:rPr>
        <w:t>Komvophoron</w:t>
      </w:r>
      <w:r w:rsidRPr="005075ED">
        <w:t xml:space="preserve"> sp., </w:t>
      </w:r>
      <w:r w:rsidRPr="005075ED">
        <w:rPr>
          <w:i/>
        </w:rPr>
        <w:t>Pseudanabaena</w:t>
      </w:r>
      <w:r w:rsidRPr="005075ED">
        <w:t xml:space="preserve"> sp., </w:t>
      </w:r>
      <w:r w:rsidRPr="005075ED">
        <w:rPr>
          <w:i/>
        </w:rPr>
        <w:t>Picochlorum oklahomensis</w:t>
      </w:r>
      <w:r w:rsidRPr="005075ED">
        <w:t>) cultivated in physically pre</w:t>
      </w:r>
      <w:r w:rsidR="00DF5504">
        <w:t>-</w:t>
      </w:r>
      <w:r w:rsidRPr="005075ED">
        <w:t xml:space="preserve">treated flowback and produced water generated during hydraulic fracturing were characterized. A mechanical step based on oil removal by an oil skimmer was introduced during pre-treatment. The experimental results demonstrated that all four strains could grow in pre-treated flowback and produced water. Biomass productivity varied significantly with the microalgae strain and type of the </w:t>
      </w:r>
      <w:r w:rsidR="00006EE6" w:rsidRPr="005075ED">
        <w:t xml:space="preserve">WW </w:t>
      </w:r>
      <w:r w:rsidRPr="005075ED">
        <w:t xml:space="preserve">used in the growth experiments. The best performing strain, cyanobacterium </w:t>
      </w:r>
      <w:r w:rsidRPr="005075ED">
        <w:rPr>
          <w:i/>
        </w:rPr>
        <w:t>Komvophoron</w:t>
      </w:r>
      <w:r w:rsidRPr="005075ED">
        <w:t xml:space="preserve"> sp., was able to grow with a specific growth rate ranging from 0.03 to 0.18 day</w:t>
      </w:r>
      <w:r w:rsidRPr="005075ED">
        <w:rPr>
          <w:vertAlign w:val="superscript"/>
        </w:rPr>
        <w:t>-1</w:t>
      </w:r>
      <w:r w:rsidRPr="005075ED">
        <w:t xml:space="preserve"> depending on the type of </w:t>
      </w:r>
      <w:r w:rsidR="00006EE6" w:rsidRPr="005075ED">
        <w:t>WW</w:t>
      </w:r>
      <w:r w:rsidRPr="005075ED">
        <w:t xml:space="preserve">. The process was capable of removing ammonium and phosphorus with efficiencies up to 99 and 63%, respectively. </w:t>
      </w:r>
    </w:p>
    <w:p w14:paraId="0881AC14" w14:textId="77777777" w:rsidR="00732C41" w:rsidRPr="00B57B36" w:rsidRDefault="00732C41" w:rsidP="00732C41">
      <w:pPr>
        <w:pStyle w:val="CETHeading1"/>
        <w:spacing w:line="264" w:lineRule="auto"/>
        <w:rPr>
          <w:lang w:val="en-GB"/>
        </w:rPr>
      </w:pPr>
      <w:r w:rsidRPr="00B57B36">
        <w:rPr>
          <w:lang w:val="en-GB"/>
        </w:rPr>
        <w:t>Introduction</w:t>
      </w:r>
    </w:p>
    <w:p w14:paraId="71B33795" w14:textId="305C1409" w:rsidR="00006EE6" w:rsidRPr="00006EE6" w:rsidRDefault="00006EE6" w:rsidP="00006EE6">
      <w:pPr>
        <w:rPr>
          <w:szCs w:val="18"/>
        </w:rPr>
      </w:pPr>
      <w:r w:rsidRPr="005075ED">
        <w:rPr>
          <w:szCs w:val="18"/>
        </w:rPr>
        <w:t xml:space="preserve">Hydraulic fracturing, also referred to as fracking, is frequently used to stimulate oil and gas production, especially in North America </w:t>
      </w:r>
      <w:r w:rsidR="000E18D0" w:rsidRPr="005075ED">
        <w:rPr>
          <w:szCs w:val="18"/>
        </w:rPr>
        <w:fldChar w:fldCharType="begin" w:fldLock="1"/>
      </w:r>
      <w:r w:rsidRPr="005075ED">
        <w:rPr>
          <w:szCs w:val="18"/>
        </w:rPr>
        <w:instrText>ADDIN CSL_CITATION {"citationItems":[{"id":"ITEM-1","itemData":{"DOI":"10.1016/j.envint.2019.02.019","ISSN":"18736750","PMID":"30763832","abstract":"Shale gas extraction via horizontal drilling and hydraulic fracturing (HF) has enhanced gas production worldwide, which has altered global energy markets and reduced the prices of natural gas and oil. Water management has become the most challenging issue of HF, as it demands vast amounts of freshwater and generates high volumes of complex liquid wastes contaminated by diverse potentially toxic elements at variable rates. This critical review focuses on characterizing HF wastewater and establishing strategies to mitigate environmental impacts. High prioritization was given to the constituents with mean concentrations over 10 times greater than the maximum contamination level (MCL) guidelines for drinking water. A number of potentially harmful organic compounds in HF wastewaters were identified via the risk quotient approach to predict the associated toxicity for freshwater organisms in recipient surface waters. Currently, two options for HF wastewater treatment are preferred, i.e., disposal by deep well injection or on-site re-use as a fracturing fluid. Supplementary treatment will be enforced by increasingly rigorous regulations. Partial treatment and reuse remain the preferred method for managing HF wastewater where feasible. Otherwise, advanced technologies such as membrane separation/distillation, forward osmosis, mechanical vapor compression, electrocoagulation, advanced oxidation, and adsorption-biological treatment will be required to satisfy the sustainable requirements for reuse or surface discharge.","author":[{"dropping-particle":"","family":"Sun","given":"Yuqing","non-dropping-particle":"","parse-names":false,"suffix":""},{"dropping-particle":"","family":"Wang","given":"Di","non-dropping-particle":"","parse-names":false,"suffix":""},{"dropping-particle":"","family":"Tsang","given":"Daniel C.W.","non-dropping-particle":"","parse-names":false,"suffix":""},{"dropping-particle":"","family":"Wang","given":"Linling","non-dropping-particle":"","parse-names":false,"suffix":""},{"dropping-particle":"","family":"Ok","given":"Yong Sik","non-dropping-particle":"","parse-names":false,"suffix":""},{"dropping-particle":"","family":"Feng","given":"Yujie","non-dropping-particle":"","parse-names":false,"suffix":""}],"container-title":"Environment International","id":"ITEM-1","issue":"October 2018","issued":{"date-parts":[["2019"]]},"page":"452-469","publisher":"Elsevier","title":"A critical review of risks, characteristics, and treatment strategies for potentially toxic elements in wastewater from shale gas extraction","type":"article-journal","volume":"125"},"uris":["http://www.mendeley.com/documents/?uuid=6b11aec3-1990-4042-970d-cbf5c280443b"]}],"mendeley":{"formattedCitation":"(Sun et al., 2019)","plainTextFormattedCitation":"(Sun et al., 2019)","previouslyFormattedCitation":"(Sun et al., 2019)"},"properties":{"noteIndex":0},"schema":"https://github.com/citation-style-language/schema/raw/master/csl-citation.json"}</w:instrText>
      </w:r>
      <w:r w:rsidR="000E18D0" w:rsidRPr="005075ED">
        <w:rPr>
          <w:szCs w:val="18"/>
        </w:rPr>
        <w:fldChar w:fldCharType="separate"/>
      </w:r>
      <w:r w:rsidRPr="005075ED">
        <w:rPr>
          <w:noProof/>
          <w:szCs w:val="18"/>
        </w:rPr>
        <w:t>(Sun et al., 2019)</w:t>
      </w:r>
      <w:r w:rsidR="000E18D0" w:rsidRPr="005075ED">
        <w:rPr>
          <w:szCs w:val="18"/>
        </w:rPr>
        <w:fldChar w:fldCharType="end"/>
      </w:r>
      <w:r w:rsidRPr="005075ED">
        <w:rPr>
          <w:szCs w:val="18"/>
        </w:rPr>
        <w:t xml:space="preserve">. </w:t>
      </w:r>
      <w:r w:rsidR="006D6199" w:rsidRPr="006D6199">
        <w:rPr>
          <w:szCs w:val="18"/>
        </w:rPr>
        <w:t xml:space="preserve">Large volumes of freshwater are </w:t>
      </w:r>
      <w:r w:rsidR="006D6199" w:rsidRPr="00093235">
        <w:rPr>
          <w:szCs w:val="18"/>
        </w:rPr>
        <w:t xml:space="preserve">used and </w:t>
      </w:r>
      <w:r w:rsidR="00743280" w:rsidRPr="00093235">
        <w:rPr>
          <w:szCs w:val="18"/>
        </w:rPr>
        <w:t xml:space="preserve">about </w:t>
      </w:r>
      <w:r w:rsidR="006D6199" w:rsidRPr="00093235">
        <w:rPr>
          <w:rFonts w:cs="Arial"/>
          <w:szCs w:val="18"/>
        </w:rPr>
        <w:t>3 mil</w:t>
      </w:r>
      <w:r w:rsidR="00743280" w:rsidRPr="00093235">
        <w:rPr>
          <w:rFonts w:cs="Arial"/>
          <w:szCs w:val="18"/>
        </w:rPr>
        <w:t>l</w:t>
      </w:r>
      <w:r w:rsidR="006D6199" w:rsidRPr="00093235">
        <w:rPr>
          <w:rFonts w:cs="Arial"/>
          <w:szCs w:val="18"/>
        </w:rPr>
        <w:t>ion of megaliters</w:t>
      </w:r>
      <w:r w:rsidR="006D6199" w:rsidRPr="00093235">
        <w:rPr>
          <w:sz w:val="24"/>
          <w:szCs w:val="24"/>
        </w:rPr>
        <w:t xml:space="preserve"> </w:t>
      </w:r>
      <w:r w:rsidR="006D6199" w:rsidRPr="00093235">
        <w:rPr>
          <w:szCs w:val="18"/>
        </w:rPr>
        <w:t xml:space="preserve">of wastewater (WW) are generated </w:t>
      </w:r>
      <w:r w:rsidR="00743280" w:rsidRPr="00093235">
        <w:rPr>
          <w:szCs w:val="18"/>
        </w:rPr>
        <w:t>only in US</w:t>
      </w:r>
      <w:r w:rsidR="00743280" w:rsidRPr="00093235">
        <w:rPr>
          <w:sz w:val="24"/>
          <w:szCs w:val="24"/>
        </w:rPr>
        <w:t xml:space="preserve"> </w:t>
      </w:r>
      <w:r w:rsidR="006D6199" w:rsidRPr="00093235">
        <w:rPr>
          <w:szCs w:val="18"/>
        </w:rPr>
        <w:t>during the fracking process</w:t>
      </w:r>
      <w:r w:rsidR="00995207" w:rsidRPr="00093235">
        <w:rPr>
          <w:szCs w:val="18"/>
        </w:rPr>
        <w:t xml:space="preserve"> (</w:t>
      </w:r>
      <w:r w:rsidR="00995207" w:rsidRPr="00093235">
        <w:rPr>
          <w:noProof/>
          <w:szCs w:val="18"/>
        </w:rPr>
        <w:t>Sullivan Graham</w:t>
      </w:r>
      <w:r w:rsidR="00995207" w:rsidRPr="00093235">
        <w:rPr>
          <w:szCs w:val="18"/>
        </w:rPr>
        <w:t xml:space="preserve"> et al., 2017).</w:t>
      </w:r>
      <w:r w:rsidR="006D6199" w:rsidRPr="00093235">
        <w:rPr>
          <w:szCs w:val="18"/>
        </w:rPr>
        <w:t xml:space="preserve"> </w:t>
      </w:r>
      <w:r w:rsidRPr="00093235">
        <w:rPr>
          <w:szCs w:val="18"/>
        </w:rPr>
        <w:t>Two main strea</w:t>
      </w:r>
      <w:r w:rsidR="00995207" w:rsidRPr="00093235">
        <w:rPr>
          <w:szCs w:val="18"/>
        </w:rPr>
        <w:t xml:space="preserve">ms </w:t>
      </w:r>
      <w:r w:rsidR="00743280" w:rsidRPr="00093235">
        <w:rPr>
          <w:szCs w:val="18"/>
        </w:rPr>
        <w:t>originate</w:t>
      </w:r>
      <w:r w:rsidRPr="00093235">
        <w:rPr>
          <w:szCs w:val="18"/>
        </w:rPr>
        <w:t xml:space="preserve"> by this activity, flowback water (FW) and produced water (PW). Fracking fluid (FF) which is injected into the well bore during the process contains sand and a number</w:t>
      </w:r>
      <w:r w:rsidRPr="005075ED">
        <w:rPr>
          <w:szCs w:val="18"/>
        </w:rPr>
        <w:t xml:space="preserve"> of chemicals to control pH, microbial growth, gelling, and corrosion. FW refers to the WW returning to the surface right after fracking before oil or gas production starts and consists of hydraulic FF and formation brines. PW usually contains some hydraulic FF, crude oil, grease as well as formation water. Presence and concentrations of various inorganic and organic compounds including hydrocarbons </w:t>
      </w:r>
      <w:r w:rsidR="000E18D0" w:rsidRPr="005075ED">
        <w:rPr>
          <w:szCs w:val="18"/>
        </w:rPr>
        <w:fldChar w:fldCharType="begin" w:fldLock="1"/>
      </w:r>
      <w:r w:rsidRPr="005075ED">
        <w:rPr>
          <w:szCs w:val="18"/>
        </w:rPr>
        <w:instrText>ADDIN CSL_CITATION {"citationItems":[{"id":"ITEM-1","itemData":{"DOI":"10.1039/c4em00376d","ISSN":"20507895","abstract":"A detailed analysis is reported of the organic composition of produced water samples from typical shale gas wells in the Marcellus (PA), Eagle Ford (TX), and Barnett (NM) formations. The quality of shale gas produced (and frac flowback) waters is a current environmental concern and disposal problem for producers. Re-use of produced water for hydraulic fracturing is being encouraged; however, knowledge of the organic impurities is important in determining the method of treatment. The metal content was determined by inductively coupled plasma optical emission spectrometry (ICP-OES). Mineral elements are expected depending on the reservoir geology and salts used in hydraulic fracturing; however, significant levels of other transition metals and heavier main group elements are observed. The presence of scaling elements (Ca and Ba) is related to the pH of the water rather than total dissolved solids (TDS). Using gas chromatography mass spectrometry (GC/MS) analysis of the chloroform extracts of the produced water samples, a plethora of organic compounds were identified. In each water sample, the majority of organics are saturated (aliphatic), and only a small fraction comes under aromatic, resin, and asphaltene categories. Unlike coalbed methane produced water it appears that shale oil/gas produced water does not contain significant quantities of polyaromatic hydrocarbons reducing the potential health hazard. Marcellus and Barnett produced waters contain predominantly C&lt;inf&gt;6&lt;/inf&gt;-C&lt;inf&gt;16&lt;/inf&gt; hydrocarbons, while the Eagle Ford produced water shows the highest concentration in the C&lt;inf&gt;17&lt;/inf&gt;-C&lt;inf&gt;30&lt;/inf&gt; range. The structures of the saturated hydrocarbons identified generally follows the trend of linear &gt; branched &gt; cyclic. Heterocyclic compounds are identified with the largest fraction being fatty alcohols, esters, and ethers. However, the presence of various fatty acid phthalate esters in the Barnett and Marcellus produced waters can be related to their use in drilling fluids and breaker additives rather than their presence in connate fluids. Halogen containing compounds are found in each of the water samples, and although the fluorocarbon compounds identified are used as tracers, the presence of chlorocarbons and organobromides formed as a consequence of using chlorine containing oxidants (to remove bacteria from source water), suggests that industry should concentrate on non-chemical treatments of frac and produced waters. This journal is","author":[{"dropping-particle":"","family":"Maguire-Boyle","given":"Samuel J.","non-dropping-particle":"","parse-names":false,"suffix":""},{"dropping-particle":"","family":"Barron","given":"Andrew R.","non-dropping-particle":"","parse-names":false,"suffix":""}],"container-title":"Environmental Sciences: Processes and Impacts","id":"ITEM-1","issue":"10","issued":{"date-parts":[["2014"]]},"page":"2237-2248","publisher":"Royal Society of Chemistry","title":"Organic compounds in produced waters from shale gas wells","type":"article-journal","volume":"16"},"uris":["http://www.mendeley.com/documents/?uuid=e04b080e-09b6-4aac-81ea-05b581188502"]}],"mendeley":{"formattedCitation":"(Maguire-Boyle and Barron, 2014)","plainTextFormattedCitation":"(Maguire-Boyle and Barron, 2014)","previouslyFormattedCitation":"(Maguire-Boyle and Barron, 2014)"},"properties":{"noteIndex":0},"schema":"https://github.com/citation-style-language/schema/raw/master/csl-citation.json"}</w:instrText>
      </w:r>
      <w:r w:rsidR="000E18D0" w:rsidRPr="005075ED">
        <w:rPr>
          <w:szCs w:val="18"/>
        </w:rPr>
        <w:fldChar w:fldCharType="separate"/>
      </w:r>
      <w:r w:rsidRPr="005075ED">
        <w:rPr>
          <w:noProof/>
          <w:szCs w:val="18"/>
        </w:rPr>
        <w:t>(Maguire-Boyle and Barron, 2014)</w:t>
      </w:r>
      <w:r w:rsidR="000E18D0" w:rsidRPr="005075ED">
        <w:rPr>
          <w:szCs w:val="18"/>
        </w:rPr>
        <w:fldChar w:fldCharType="end"/>
      </w:r>
      <w:r w:rsidRPr="005075ED">
        <w:rPr>
          <w:szCs w:val="18"/>
        </w:rPr>
        <w:t xml:space="preserve"> in PW depend on the </w:t>
      </w:r>
      <w:r w:rsidR="005075ED" w:rsidRPr="005075ED">
        <w:rPr>
          <w:szCs w:val="18"/>
        </w:rPr>
        <w:t xml:space="preserve">geological formation fractured. </w:t>
      </w:r>
      <w:r w:rsidRPr="005075ED">
        <w:rPr>
          <w:szCs w:val="18"/>
        </w:rPr>
        <w:t xml:space="preserve">The environmental impact of PW depends on the number and types of wells, local geology, hydrology, proximity to freshwater sources, existence and location of water treatment facilities, the chemical makeup of PW, management practices, land availability for surface storage, and availability of deep-disposal wells </w:t>
      </w:r>
      <w:r w:rsidR="000E18D0" w:rsidRPr="005075ED">
        <w:rPr>
          <w:szCs w:val="18"/>
        </w:rPr>
        <w:fldChar w:fldCharType="begin" w:fldLock="1"/>
      </w:r>
      <w:r w:rsidRPr="005075ED">
        <w:rPr>
          <w:szCs w:val="18"/>
        </w:rPr>
        <w:instrText>ADDIN CSL_CITATION {"citationItems":[{"id":"ITEM-1","itemData":{"DOI":"10.1021/es405432k","ISSN":"15205851","PMID":"24684515","abstract":"The unconventional fossil fuel industry is expected to expand dramatically in coming decades as conventional reserves wane. Minimizing the environmental impacts of this energy transition requires a contextualized understanding of the unique regional issues that shale gas development poses. This manuscript highlights the variation in regional water issues associated with shale gas development in the U.S. and the approaches of various states in mitigating these impacts. The manuscript also explores opportunities for emerging international shale plays to leverage the diverse experiences of U.S. states in formulating development strategies that minimize water-related impacts within their environmental, cultural, and political ecosystem. © 2014 American Chemical Society.","author":[{"dropping-particle":"","family":"Mauter","given":"Meagan S.","non-dropping-particle":"","parse-names":false,"suffix":""},{"dropping-particle":"","family":"Alvarez","given":"Pedro J.J.","non-dropping-particle":"","parse-names":false,"suffix":""},{"dropping-particle":"","family":"Burton","given":"Allen","non-dropping-particle":"","parse-names":false,"suffix":""},{"dropping-particle":"","family":"Cafaro","given":"Diego C.","non-dropping-particle":"","parse-names":false,"suffix":""},{"dropping-particle":"","family":"Chen","given":"Wei","non-dropping-particle":"","parse-names":false,"suffix":""},{"dropping-particle":"","family":"Gregory","given":"Kelvin B.","non-dropping-particle":"","parse-names":false,"suffix":""},{"dropping-particle":"","family":"Jiang","given":"Guibin","non-dropping-particle":"","parse-names":false,"suffix":""},{"dropping-particle":"","family":"Li","given":"Qilin","non-dropping-particle":"","parse-names":false,"suffix":""},{"dropping-particle":"","family":"Pittock","given":"Jamie","non-dropping-particle":"","parse-names":false,"suffix":""},{"dropping-particle":"","family":"Reible","given":"Danny","non-dropping-particle":"","parse-names":false,"suffix":""},{"dropping-particle":"","family":"Schnoor","given":"Jerald L.","non-dropping-particle":"","parse-names":false,"suffix":""}],"container-title":"Environmental Science and Technology","id":"ITEM-1","issued":{"date-parts":[["2014"]]},"title":"Regional variation in water-related impacts of shale gas development and implications for emerging international plays","type":"article-journal"},"uris":["http://www.mendeley.com/documents/?uuid=371edcd0-8fec-4eb0-bf0e-f2f1ee88b642"]}],"mendeley":{"formattedCitation":"(Mauter et al., 2014)","plainTextFormattedCitation":"(Mauter et al., 2014)","previouslyFormattedCitation":"(Mauter et al., 2014)"},"properties":{"noteIndex":0},"schema":"https://github.com/citation-style-language/schema/raw/master/csl-citation.json"}</w:instrText>
      </w:r>
      <w:r w:rsidR="000E18D0" w:rsidRPr="005075ED">
        <w:rPr>
          <w:szCs w:val="18"/>
        </w:rPr>
        <w:fldChar w:fldCharType="separate"/>
      </w:r>
      <w:r w:rsidRPr="005075ED">
        <w:rPr>
          <w:noProof/>
          <w:szCs w:val="18"/>
        </w:rPr>
        <w:t>(Mauter et al., 2014)</w:t>
      </w:r>
      <w:r w:rsidR="000E18D0" w:rsidRPr="005075ED">
        <w:rPr>
          <w:szCs w:val="18"/>
        </w:rPr>
        <w:fldChar w:fldCharType="end"/>
      </w:r>
      <w:r w:rsidRPr="005075ED">
        <w:rPr>
          <w:szCs w:val="18"/>
        </w:rPr>
        <w:t>. High cost of the current treatment technologies is limiting recycle and re-use of the generated WW and constraining the management options available to the fracking industry. Biological treatment of FW and PW using algae has gained attention during the last decade</w:t>
      </w:r>
      <w:r w:rsidR="00CC0EDD" w:rsidRPr="005075ED">
        <w:rPr>
          <w:szCs w:val="18"/>
        </w:rPr>
        <w:t xml:space="preserve"> (Lutzu et al., 2020a). Recently, </w:t>
      </w:r>
      <w:r w:rsidRPr="005075ED">
        <w:rPr>
          <w:szCs w:val="18"/>
        </w:rPr>
        <w:t xml:space="preserve">effect of algae growth in FW </w:t>
      </w:r>
      <w:r w:rsidR="000E18D0" w:rsidRPr="005075ED">
        <w:rPr>
          <w:szCs w:val="18"/>
        </w:rPr>
        <w:fldChar w:fldCharType="begin" w:fldLock="1"/>
      </w:r>
      <w:r w:rsidRPr="005075ED">
        <w:rPr>
          <w:szCs w:val="18"/>
        </w:rPr>
        <w:instrText>ADDIN CSL_CITATION {"citationItems":[{"id":"ITEM-1","itemData":{"DOI":"10.1080/09593330.2017.1415983","ISSN":"1479487X","PMID":"29226768","abstract":"Hydraulic fracturing technology is widely used for recovering natural gas and oil from tight oil and gas reserves. Large volumes of wastewater, flowback water, are produced during the fracturing process. This study examines algal treatment of flowback water. Thirteen microalgae strains consisting of cyanobacteria and green algae were examined. Wastewater quality before and after algae treatment, as well as volatile matter, fixed carbon and ash contents of the biomass grown in flowback water were examined. The experimental results demonstrated that microalgae can grow in flowback water. The chemical composition of the algal biomass produced in flowback water was strain specific. Over 65% total dissolved solids, 100% nitrate and over 95% boron reduction in flowback water could be achieved. Hence, algal treatment of flowback water can significantly reduce the adverse environmental impact of hydraulic fracturing technology and produce biomass that can be converted to bioproducts.","author":[{"dropping-particle":"","family":"Lutzu","given":"Giovanni Antonio","non-dropping-particle":"","parse-names":false,"suffix":""},{"dropping-particle":"","family":"Dunford","given":"Nurhan Turgut","non-dropping-particle":"","parse-names":false,"suffix":""}],"container-title":"Environmental Technology (United Kingdom)","id":"ITEM-1","issue":"8","issued":{"date-parts":[["2019"]]},"page":"1027-1034","title":"Algal treatment of wastewater generated during oil and gas production using hydraulic fracturing technology","type":"article-journal","volume":"40"},"uris":["http://www.mendeley.com/documents/?uuid=8913edf2-bff3-4040-b349-307bd4c96f2d"]}],"mendeley":{"formattedCitation":"(Lutzu and Dunford, 2019a)","plainTextFormattedCitation":"(Lutzu and Dunford, 2019a)","previouslyFormattedCitation":"(Lutzu and Dunford, 2019a)"},"properties":{"noteIndex":0},"schema":"https://github.com/citation-style-language/schema/raw/master/csl-citation.json"}</w:instrText>
      </w:r>
      <w:r w:rsidR="000E18D0" w:rsidRPr="005075ED">
        <w:rPr>
          <w:szCs w:val="18"/>
        </w:rPr>
        <w:fldChar w:fldCharType="separate"/>
      </w:r>
      <w:r w:rsidRPr="005075ED">
        <w:rPr>
          <w:noProof/>
          <w:szCs w:val="18"/>
        </w:rPr>
        <w:t>(Lutzu and Dunford, 2019a)</w:t>
      </w:r>
      <w:r w:rsidR="000E18D0" w:rsidRPr="005075ED">
        <w:rPr>
          <w:szCs w:val="18"/>
        </w:rPr>
        <w:fldChar w:fldCharType="end"/>
      </w:r>
      <w:r w:rsidRPr="005075ED">
        <w:rPr>
          <w:szCs w:val="18"/>
        </w:rPr>
        <w:t xml:space="preserve"> and PW </w:t>
      </w:r>
      <w:r w:rsidR="000E18D0" w:rsidRPr="005075ED">
        <w:rPr>
          <w:szCs w:val="18"/>
        </w:rPr>
        <w:fldChar w:fldCharType="begin" w:fldLock="1"/>
      </w:r>
      <w:r w:rsidRPr="005075ED">
        <w:rPr>
          <w:szCs w:val="18"/>
        </w:rPr>
        <w:instrText>ADDIN CSL_CITATION {"citationItems":[{"id":"ITEM-1","itemData":{"DOI":"10.3303/CET1974211","ISSN":"22839216","abstract":"Hydraulic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technology.","author":[{"dropping-particle":"","family":"Lutzu","given":"Giovanni Antonio","non-dropping-particle":"","parse-names":false,"suffix":""},{"dropping-particle":"","family":"Dunford","given":"Nurhan Turgut","non-dropping-particle":"","parse-names":false,"suffix":""}],"container-title":"Chemical Engineering Transactions","id":"ITEM-1","issued":{"date-parts":[["2019"]]},"title":"Growing Algae in Produced Water Generated during Oil and Gas Production using Hydraulic Fracturing Technique","type":"article-journal"},"uris":["http://www.mendeley.com/documents/?uuid=3e25336d-1946-48c2-8750-618312e66384"]},{"id":"ITEM-2","itemData":{"DOI":"10.1007/s11270-020-04826-1","ISSN":"15732932","abstract":"Hydraulic fracturing is used to enhance oil and gas extraction from tight shale formations and generates millions of gallons of wastewater which needs to be cleaned up prior to disposal or reuse. The current technologies used for the management of this wastewater present technical, economic, and environmental challenges. Hence, the main objective of this study was to examine the potential of algal remediation of hydraulic fracturing wastewater (PW) as an alternative method. Considering that PW contains very low concentration of the nutrients needed for algae growth PW supplemented with animal wastewater (AW-PW) was also examined. Biomass production capacity, average biomass productivity, and specific growth rate of the microalgae strain used in the study, Picochlorum oklahomensis, were 1.87 g L−1, 268 mg L−1 day−1, and 0.35 day−1, respectively, when grown in PW. Complete nitrate, ammonia, and phosphate removal could be achieved by growing algae in PW. Supplementation of PW with animal wastewater enhanced biomass production (1.87–2.40 g L−1) and lipid content (15–25% wt) in the produced algal biomass. A mathematical model with a correlation coefficient of greater than 0.94 was developed to describe the growth kinetics of algae grown in AW-PW.","author":[{"dropping-particle":"","family":"Lutzu","given":"Giovanni Antonio","non-dropping-particle":"","parse-names":false,"suffix":""},{"dropping-particle":"","family":"Marin","given":"Maria Antonietta","non-dropping-particle":"","parse-names":false,"suffix":""},{"dropping-particle":"","family":"Concas","given":"Alessandro","non-dropping-particle":"","parse-names":false,"suffix":""},{"dropping-particle":"","family":"Dunford","given":"Nurhan Turgut","non-dropping-particle":"","parse-names":false,"suffix":""}],"container-title":"Water, Air, and Soil Pollution","id":"ITEM-2","issued":{"date-parts":[["2020"]]},"title":"Growing Picochlorum oklahomensis in Hydraulic Fracturing Wastewater Supplemented with Animal Wastewater","type":"article-journal"},"uris":["http://www.mendeley.com/documents/?uuid=eb3e243c-e8bf-4e79-93b5-c1fc37cf89f9"]}],"mendeley":{"formattedCitation":"(Lutzu et al., 2020b; Lutzu and Dunford, 2019b)","plainTextFormattedCitation":"(Lutzu et al., 2020b; Lutzu and Dunford, 2019b)","previouslyFormattedCitation":"(Lutzu et al., 2020; Lutzu and Dunford, 2019b)"},"properties":{"noteIndex":0},"schema":"https://github.com/citation-style-language/schema/raw/master/csl-citation.json"}</w:instrText>
      </w:r>
      <w:r w:rsidR="000E18D0" w:rsidRPr="005075ED">
        <w:rPr>
          <w:szCs w:val="18"/>
        </w:rPr>
        <w:fldChar w:fldCharType="separate"/>
      </w:r>
      <w:r w:rsidRPr="005075ED">
        <w:rPr>
          <w:noProof/>
          <w:szCs w:val="18"/>
        </w:rPr>
        <w:t>(Lutzu et al., 2020b; Lutzu and Dunford, 2019b)</w:t>
      </w:r>
      <w:r w:rsidR="000E18D0" w:rsidRPr="005075ED">
        <w:rPr>
          <w:szCs w:val="18"/>
        </w:rPr>
        <w:fldChar w:fldCharType="end"/>
      </w:r>
      <w:r w:rsidRPr="005075ED">
        <w:rPr>
          <w:szCs w:val="18"/>
        </w:rPr>
        <w:t xml:space="preserve"> on </w:t>
      </w:r>
      <w:r w:rsidRPr="005075ED">
        <w:rPr>
          <w:szCs w:val="18"/>
        </w:rPr>
        <w:lastRenderedPageBreak/>
        <w:t xml:space="preserve">residual water quality has been reported. The latter studies demonstrated that microalgae can grow in PW and remove some of the inorganic contaminants, but cell growth was constrained by the low concentrations of nitrogen (N) and phosphorous (P). Chemical composition of WW from different wells and geographical regions may be significantly different </w:t>
      </w:r>
      <w:r w:rsidR="000E18D0" w:rsidRPr="005075ED">
        <w:rPr>
          <w:szCs w:val="18"/>
        </w:rPr>
        <w:fldChar w:fldCharType="begin" w:fldLock="1"/>
      </w:r>
      <w:r w:rsidRPr="005075ED">
        <w:rPr>
          <w:szCs w:val="18"/>
        </w:rPr>
        <w:instrText>ADDIN CSL_CITATION {"citationItems":[{"id":"ITEM-1","itemData":{"DOI":"10.1016/j.teac.2015.01.003","ISSN":"22141588","abstract":"Hydraulic fracturing fluids contain a mix of organic and inorganic additives in an aqueous media. The compositions of these mixtures vary according to the region or company use, thus making the process of identifying individual compounds difficult. The analytical characterization of such mixtures is important in order to understand the transport, environmental fate and ultimate potential health impact in various water compartments associated with hydraulic fracturing. Organic compound classes include solvents, gels, biocides, scale inhibitors, friction reducers, surfactants and other related compounds. These contaminants are usually present in trace amounts, so sophisticated analytical methodologies are needed in order to fully characterize the chemical composition of fracking fluids. The current state of knowledge of chemical components and approaches for their analysis is reviewed here. In recent years, modern analytical methodologies, such as gas chromatography-mass spectrometry (GC-MS) have been specifically used to identify organic chemical components of fracking fluids and/or flowback and produced waters associated with the process of hydraulic fracturing. Other techniques such as liquid chromatography-mass spectrometry (LC-MS) have not been explored in detail yet. In this review a detailed description of chemical constituents present in hydraulic fracturing waters will be given, as well as an evaluation of the analytical techniques used for their unequivocal determination.","author":[{"dropping-particle":"","family":"Ferrer","given":"Imma","non-dropping-particle":"","parse-names":false,"suffix":""},{"dropping-particle":"","family":"Thurman","given":"E. Michael","non-dropping-particle":"","parse-names":false,"suffix":""}],"container-title":"Trends in Environmental Analytical Chemistry","id":"ITEM-1","issued":{"date-parts":[["2015"]]},"title":"Chemical constituents and analytical approaches for hydraulic fracturing waters","type":"article"},"uris":["http://www.mendeley.com/documents/?uuid=e1544148-f9b6-46a2-818d-f39d0b9a45d7"]}],"mendeley":{"formattedCitation":"(Ferrer and Thurman, 2015)","plainTextFormattedCitation":"(Ferrer and Thurman, 2015)","previouslyFormattedCitation":"(Ferrer and Thurman, 2015)"},"properties":{"noteIndex":0},"schema":"https://github.com/citation-style-language/schema/raw/master/csl-citation.json"}</w:instrText>
      </w:r>
      <w:r w:rsidR="000E18D0" w:rsidRPr="005075ED">
        <w:rPr>
          <w:szCs w:val="18"/>
        </w:rPr>
        <w:fldChar w:fldCharType="separate"/>
      </w:r>
      <w:r w:rsidRPr="005075ED">
        <w:rPr>
          <w:noProof/>
          <w:szCs w:val="18"/>
        </w:rPr>
        <w:t>(Ferrer and Thurman, 2015)</w:t>
      </w:r>
      <w:r w:rsidR="000E18D0" w:rsidRPr="005075ED">
        <w:rPr>
          <w:szCs w:val="18"/>
        </w:rPr>
        <w:fldChar w:fldCharType="end"/>
      </w:r>
      <w:r w:rsidRPr="005075ED">
        <w:rPr>
          <w:szCs w:val="18"/>
        </w:rPr>
        <w:t>. Therefore</w:t>
      </w:r>
      <w:r w:rsidR="00093235">
        <w:rPr>
          <w:szCs w:val="18"/>
        </w:rPr>
        <w:t>,</w:t>
      </w:r>
      <w:r w:rsidRPr="005075ED">
        <w:rPr>
          <w:szCs w:val="18"/>
        </w:rPr>
        <w:t xml:space="preserve"> further research and development studies are vital for a better understanding of these water streams as potential algae growth media and WW remediation. Successful cultivation of microalgae in PW and FW depends on chemical composition of WW as well as strain selection. Hence, the main goal of this study was to fill the scientific knowledge gap in the field by investigating </w:t>
      </w:r>
      <w:r w:rsidR="005075ED" w:rsidRPr="005075ED">
        <w:rPr>
          <w:szCs w:val="18"/>
        </w:rPr>
        <w:t xml:space="preserve">the </w:t>
      </w:r>
      <w:r w:rsidRPr="005075ED">
        <w:rPr>
          <w:szCs w:val="18"/>
        </w:rPr>
        <w:t>potential of four Oklahoma native microalgae strains for remediation of PW and FW generated in the same region and producing biomass. Effect of physical WW pre-treatment on water quality and biomass production was evaluated based on a preliminary removal of oil and geese from the WW samples by an oil skimmer. Characteristics of the algal biomass grown in FW and PW were assessed and compared to previous studies were WWs were not subjected to mechanical oil removal.</w:t>
      </w:r>
      <w:r w:rsidRPr="00006EE6">
        <w:rPr>
          <w:szCs w:val="18"/>
        </w:rPr>
        <w:t xml:space="preserve"> </w:t>
      </w:r>
    </w:p>
    <w:p w14:paraId="0368486F" w14:textId="77777777" w:rsidR="00006EE6" w:rsidRDefault="00006EE6" w:rsidP="00006EE6">
      <w:pPr>
        <w:pStyle w:val="Paragrafoelenco"/>
        <w:autoSpaceDE w:val="0"/>
        <w:autoSpaceDN w:val="0"/>
        <w:adjustRightInd w:val="0"/>
        <w:ind w:left="0"/>
      </w:pPr>
    </w:p>
    <w:p w14:paraId="52AF7183" w14:textId="77777777" w:rsidR="00732C41" w:rsidRPr="00CC0EDD" w:rsidRDefault="00732C41" w:rsidP="00006EE6">
      <w:pPr>
        <w:pStyle w:val="Paragrafoelenco"/>
        <w:autoSpaceDE w:val="0"/>
        <w:autoSpaceDN w:val="0"/>
        <w:adjustRightInd w:val="0"/>
        <w:ind w:left="0"/>
        <w:rPr>
          <w:b/>
          <w:sz w:val="20"/>
        </w:rPr>
      </w:pPr>
      <w:r w:rsidRPr="00CC0EDD">
        <w:rPr>
          <w:b/>
          <w:sz w:val="20"/>
        </w:rPr>
        <w:t>Material and Methods</w:t>
      </w:r>
    </w:p>
    <w:p w14:paraId="2FA2885B" w14:textId="77777777" w:rsidR="00732C41" w:rsidRPr="00E06EAC" w:rsidRDefault="00732C41" w:rsidP="00732C41">
      <w:pPr>
        <w:autoSpaceDE w:val="0"/>
        <w:autoSpaceDN w:val="0"/>
        <w:adjustRightInd w:val="0"/>
        <w:spacing w:after="120"/>
        <w:rPr>
          <w:rFonts w:cs="Arial"/>
          <w:b/>
          <w:szCs w:val="18"/>
        </w:rPr>
      </w:pPr>
      <w:r>
        <w:rPr>
          <w:rFonts w:cs="Arial"/>
          <w:b/>
          <w:szCs w:val="18"/>
        </w:rPr>
        <w:t xml:space="preserve">2.1 Inoculum, </w:t>
      </w:r>
      <w:r w:rsidRPr="00E06EAC">
        <w:rPr>
          <w:rFonts w:cs="Arial"/>
          <w:b/>
          <w:szCs w:val="18"/>
        </w:rPr>
        <w:t xml:space="preserve">culture medium </w:t>
      </w:r>
      <w:r>
        <w:rPr>
          <w:rFonts w:cs="Arial"/>
          <w:b/>
          <w:szCs w:val="18"/>
        </w:rPr>
        <w:t xml:space="preserve">and wastewater </w:t>
      </w:r>
      <w:r w:rsidRPr="00E06EAC">
        <w:rPr>
          <w:rFonts w:cs="Arial"/>
          <w:b/>
          <w:szCs w:val="18"/>
        </w:rPr>
        <w:t>preparation</w:t>
      </w:r>
    </w:p>
    <w:p w14:paraId="0955D5C4" w14:textId="77777777" w:rsidR="000E0632" w:rsidRPr="00392148" w:rsidRDefault="000E0632" w:rsidP="000E0632">
      <w:pPr>
        <w:rPr>
          <w:szCs w:val="18"/>
        </w:rPr>
      </w:pPr>
      <w:r w:rsidRPr="00392148">
        <w:rPr>
          <w:szCs w:val="18"/>
        </w:rPr>
        <w:t xml:space="preserve">Three of the four algae strains examined in this study, </w:t>
      </w:r>
      <w:r w:rsidRPr="00392148">
        <w:rPr>
          <w:i/>
          <w:iCs/>
          <w:szCs w:val="18"/>
        </w:rPr>
        <w:t>Geitlerinema carotinosum</w:t>
      </w:r>
      <w:r w:rsidR="00A07B1E" w:rsidRPr="00392148">
        <w:rPr>
          <w:i/>
          <w:iCs/>
          <w:szCs w:val="18"/>
        </w:rPr>
        <w:t xml:space="preserve"> </w:t>
      </w:r>
      <w:r w:rsidR="00A07B1E" w:rsidRPr="00392148">
        <w:rPr>
          <w:iCs/>
          <w:szCs w:val="18"/>
        </w:rPr>
        <w:t>(</w:t>
      </w:r>
      <w:r w:rsidR="005075ED" w:rsidRPr="00392148">
        <w:rPr>
          <w:iCs/>
          <w:szCs w:val="18"/>
        </w:rPr>
        <w:t>SP28</w:t>
      </w:r>
      <w:r w:rsidR="00A07B1E" w:rsidRPr="00392148">
        <w:rPr>
          <w:iCs/>
          <w:szCs w:val="18"/>
        </w:rPr>
        <w:t>)</w:t>
      </w:r>
      <w:r w:rsidRPr="00392148">
        <w:rPr>
          <w:szCs w:val="18"/>
        </w:rPr>
        <w:t xml:space="preserve">, </w:t>
      </w:r>
      <w:r w:rsidRPr="00392148">
        <w:rPr>
          <w:i/>
          <w:iCs/>
          <w:szCs w:val="18"/>
        </w:rPr>
        <w:t xml:space="preserve">Komvophoron </w:t>
      </w:r>
      <w:r w:rsidRPr="00392148">
        <w:rPr>
          <w:iCs/>
          <w:szCs w:val="18"/>
        </w:rPr>
        <w:t>sp.</w:t>
      </w:r>
      <w:r w:rsidR="00A07B1E" w:rsidRPr="00392148">
        <w:rPr>
          <w:iCs/>
          <w:szCs w:val="18"/>
        </w:rPr>
        <w:t xml:space="preserve"> (</w:t>
      </w:r>
      <w:r w:rsidR="005075ED" w:rsidRPr="00392148">
        <w:rPr>
          <w:iCs/>
          <w:szCs w:val="18"/>
        </w:rPr>
        <w:t>SP33</w:t>
      </w:r>
      <w:r w:rsidR="00A07B1E" w:rsidRPr="00392148">
        <w:rPr>
          <w:iCs/>
          <w:szCs w:val="18"/>
        </w:rPr>
        <w:t>)</w:t>
      </w:r>
      <w:r w:rsidRPr="00392148">
        <w:rPr>
          <w:szCs w:val="18"/>
        </w:rPr>
        <w:t xml:space="preserve">, and </w:t>
      </w:r>
      <w:r w:rsidRPr="00392148">
        <w:rPr>
          <w:i/>
          <w:iCs/>
          <w:szCs w:val="18"/>
        </w:rPr>
        <w:t xml:space="preserve">Pseudanabaena </w:t>
      </w:r>
      <w:r w:rsidRPr="00392148">
        <w:rPr>
          <w:iCs/>
          <w:szCs w:val="18"/>
        </w:rPr>
        <w:t>sp.</w:t>
      </w:r>
      <w:r w:rsidR="00A07B1E" w:rsidRPr="00392148">
        <w:rPr>
          <w:iCs/>
          <w:szCs w:val="18"/>
        </w:rPr>
        <w:t xml:space="preserve"> (</w:t>
      </w:r>
      <w:r w:rsidR="005075ED" w:rsidRPr="00392148">
        <w:rPr>
          <w:iCs/>
          <w:szCs w:val="18"/>
        </w:rPr>
        <w:t>SP46</w:t>
      </w:r>
      <w:r w:rsidR="00A07B1E" w:rsidRPr="00392148">
        <w:rPr>
          <w:iCs/>
          <w:szCs w:val="18"/>
        </w:rPr>
        <w:t>)</w:t>
      </w:r>
      <w:r w:rsidRPr="00392148">
        <w:rPr>
          <w:szCs w:val="18"/>
        </w:rPr>
        <w:t xml:space="preserve"> were obtained from the culture collection of the University of Texas at Austin, US (UTEX, 2019). </w:t>
      </w:r>
      <w:r w:rsidRPr="00392148">
        <w:rPr>
          <w:i/>
          <w:iCs/>
          <w:szCs w:val="18"/>
        </w:rPr>
        <w:t>Picochlorum oklahomensis</w:t>
      </w:r>
      <w:r w:rsidRPr="00392148">
        <w:rPr>
          <w:szCs w:val="18"/>
        </w:rPr>
        <w:t xml:space="preserve"> </w:t>
      </w:r>
      <w:r w:rsidR="00A07B1E" w:rsidRPr="00392148">
        <w:rPr>
          <w:szCs w:val="18"/>
        </w:rPr>
        <w:t>(</w:t>
      </w:r>
      <w:r w:rsidR="005075ED" w:rsidRPr="00392148">
        <w:rPr>
          <w:szCs w:val="18"/>
        </w:rPr>
        <w:t>CCMP2329</w:t>
      </w:r>
      <w:r w:rsidR="00A07B1E" w:rsidRPr="00392148">
        <w:rPr>
          <w:szCs w:val="18"/>
        </w:rPr>
        <w:t xml:space="preserve">) </w:t>
      </w:r>
      <w:r w:rsidRPr="00392148">
        <w:rPr>
          <w:szCs w:val="18"/>
        </w:rPr>
        <w:t xml:space="preserve">was provided by the culture collection of the National Center for Marine Algae and Microbiota, Boothbay, Maine, US </w:t>
      </w:r>
      <w:r w:rsidRPr="00392148">
        <w:rPr>
          <w:bCs/>
          <w:szCs w:val="18"/>
        </w:rPr>
        <w:t>(NCMA, 2019)</w:t>
      </w:r>
      <w:r w:rsidRPr="00392148">
        <w:rPr>
          <w:szCs w:val="18"/>
        </w:rPr>
        <w:t>. Detailed chemical composition of the culture maintenance media is available on the UTEX and NCMA official websites. The strains were maintained in 50 mL glass tubes containing the growth medium recommended by UTEX and NCMA at room temperature. Two 32 W white fluorescent tubes provided a photosynthetic photon flux density (PPFD) of 40 µmol m</w:t>
      </w:r>
      <w:r w:rsidRPr="00392148">
        <w:rPr>
          <w:szCs w:val="18"/>
          <w:vertAlign w:val="superscript"/>
        </w:rPr>
        <w:t>−2</w:t>
      </w:r>
      <w:r w:rsidRPr="00392148">
        <w:rPr>
          <w:szCs w:val="18"/>
        </w:rPr>
        <w:t xml:space="preserve"> s</w:t>
      </w:r>
      <w:r w:rsidRPr="00392148">
        <w:rPr>
          <w:szCs w:val="18"/>
          <w:vertAlign w:val="superscript"/>
        </w:rPr>
        <w:t>−1</w:t>
      </w:r>
      <w:r w:rsidRPr="00392148">
        <w:rPr>
          <w:szCs w:val="18"/>
        </w:rPr>
        <w:t xml:space="preserve"> during the 12 h light period/day. The light was off during the remaining 12 h/day (dark period) of the growth period.</w:t>
      </w:r>
      <w:r w:rsidR="00A07B1E" w:rsidRPr="00392148">
        <w:rPr>
          <w:szCs w:val="18"/>
        </w:rPr>
        <w:t xml:space="preserve"> </w:t>
      </w:r>
      <w:r w:rsidRPr="00392148">
        <w:rPr>
          <w:szCs w:val="18"/>
        </w:rPr>
        <w:t>WW samples were collected from oil-producing wells operating in Okarche, OK, US. An oil skimmer (Mighty Mini SS2, Abanaki Corporation, OH, US) was used to remove oil from the samples. Then, water was filtered through a filter paper disk (#1, Whatman, UK), and subsequently treated for 20 min at 121°C and 0.1 MPa in an autoclave before microalgae cultivation.</w:t>
      </w:r>
    </w:p>
    <w:p w14:paraId="3CF6775A" w14:textId="77777777" w:rsidR="00732C41" w:rsidRPr="00AA1FB7" w:rsidRDefault="00732C41" w:rsidP="00732C41">
      <w:pPr>
        <w:autoSpaceDE w:val="0"/>
        <w:autoSpaceDN w:val="0"/>
        <w:adjustRightInd w:val="0"/>
        <w:spacing w:before="120" w:after="120"/>
        <w:rPr>
          <w:rFonts w:cs="Arial"/>
          <w:b/>
          <w:szCs w:val="18"/>
        </w:rPr>
      </w:pPr>
      <w:r>
        <w:rPr>
          <w:rFonts w:cs="Arial"/>
          <w:b/>
          <w:szCs w:val="18"/>
        </w:rPr>
        <w:t>2.2</w:t>
      </w:r>
      <w:r w:rsidRPr="00AA1FB7">
        <w:rPr>
          <w:rFonts w:cs="Arial"/>
          <w:b/>
          <w:szCs w:val="18"/>
        </w:rPr>
        <w:t xml:space="preserve"> Algae Cultivation</w:t>
      </w:r>
    </w:p>
    <w:p w14:paraId="564D858B" w14:textId="77777777" w:rsidR="00732C41" w:rsidRPr="000E0632" w:rsidRDefault="000E0632" w:rsidP="000E0632">
      <w:pPr>
        <w:rPr>
          <w:szCs w:val="18"/>
        </w:rPr>
      </w:pPr>
      <w:r w:rsidRPr="00392148">
        <w:rPr>
          <w:szCs w:val="18"/>
        </w:rPr>
        <w:t xml:space="preserve">2 L glass reactors, thereafter denominated PBRs, were used for algae cultivation and maintained in a closed chamber under controlled conditions. A detailed description of the cultivation systems, growth conditions and chamber dimensions has been provided in previous works carried out by our research team </w:t>
      </w:r>
      <w:r w:rsidR="000E18D0" w:rsidRPr="00392148">
        <w:rPr>
          <w:szCs w:val="18"/>
        </w:rPr>
        <w:fldChar w:fldCharType="begin" w:fldLock="1"/>
      </w:r>
      <w:r w:rsidRPr="00392148">
        <w:rPr>
          <w:szCs w:val="18"/>
        </w:rPr>
        <w:instrText>ADDIN CSL_CITATION {"citationItems":[{"id":"ITEM-1","itemData":{"DOI":"10.3303/CET1974211","ISSN":"22839216","abstract":"Hydraulic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technology.","author":[{"dropping-particle":"","family":"Lutzu","given":"Giovanni Antonio","non-dropping-particle":"","parse-names":false,"suffix":""},{"dropping-particle":"","family":"Dunford","given":"Nurhan Turgut","non-dropping-particle":"","parse-names":false,"suffix":""}],"container-title":"Chemical Engineering Transactions","id":"ITEM-1","issued":{"date-parts":[["2019"]]},"title":"Growing Algae in Produced Water Generated during Oil and Gas Production using Hydraulic Fracturing Technique","type":"article-journal"},"uris":["http://www.mendeley.com/documents/?uuid=3e25336d-1946-48c2-8750-618312e66384"]},{"id":"ITEM-2","itemData":{"DOI":"10.1007/s11270-020-04826-1","ISSN":"15732932","abstract":"Hydraulic fracturing is used to enhance oil and gas extraction from tight shale formations and generates millions of gallons of wastewater which needs to be cleaned up prior to disposal or reuse. The current technologies used for the management of this wastewater present technical, economic, and environmental challenges. Hence, the main objective of this study was to examine the potential of algal remediation of hydraulic fracturing wastewater (PW) as an alternative method. Considering that PW contains very low concentration of the nutrients needed for algae growth PW supplemented with animal wastewater (AW-PW) was also examined. Biomass production capacity, average biomass productivity, and specific growth rate of the microalgae strain used in the study, Picochlorum oklahomensis, were 1.87 g L−1, 268 mg L−1 day−1, and 0.35 day−1, respectively, when grown in PW. Complete nitrate, ammonia, and phosphate removal could be achieved by growing algae in PW. Supplementation of PW with animal wastewater enhanced biomass production (1.87–2.40 g L−1) and lipid content (15–25% wt) in the produced algal biomass. A mathematical model with a correlation coefficient of greater than 0.94 was developed to describe the growth kinetics of algae grown in AW-PW.","author":[{"dropping-particle":"","family":"Lutzu","given":"Giovanni Antonio","non-dropping-particle":"","parse-names":false,"suffix":""},{"dropping-particle":"","family":"Marin","given":"Maria Antonietta","non-dropping-particle":"","parse-names":false,"suffix":""},{"dropping-particle":"","family":"Concas","given":"Alessandro","non-dropping-particle":"","parse-names":false,"suffix":""},{"dropping-particle":"","family":"Dunford","given":"Nurhan Turgut","non-dropping-particle":"","parse-names":false,"suffix":""}],"container-title":"Water, Air, and Soil Pollution","id":"ITEM-2","issued":{"date-parts":[["2020"]]},"title":"Growing Picochlorum oklahomensis in Hydraulic Fracturing Wastewater Supplemented with Animal Wastewater","type":"article-journal"},"uris":["http://www.mendeley.com/documents/?uuid=eb3e243c-e8bf-4e79-93b5-c1fc37cf89f9"]}],"mendeley":{"formattedCitation":"(Lutzu et al., 2020b; Lutzu and Dunford, 2019b)","plainTextFormattedCitation":"(Lutzu et al., 2020b; Lutzu and Dunford, 2019b)","previouslyFormattedCitation":"(Lutzu et al., 2020; Lutzu and Dunford, 2019b)"},"properties":{"noteIndex":0},"schema":"https://github.com/citation-style-language/schema/raw/master/csl-citation.json"}</w:instrText>
      </w:r>
      <w:r w:rsidR="000E18D0" w:rsidRPr="00392148">
        <w:rPr>
          <w:szCs w:val="18"/>
        </w:rPr>
        <w:fldChar w:fldCharType="separate"/>
      </w:r>
      <w:r w:rsidRPr="00392148">
        <w:rPr>
          <w:noProof/>
          <w:szCs w:val="18"/>
        </w:rPr>
        <w:t>(Lutzu et al., 2020b; Lutzu and Dunford, 2019b)</w:t>
      </w:r>
      <w:r w:rsidR="000E18D0" w:rsidRPr="00392148">
        <w:rPr>
          <w:szCs w:val="18"/>
        </w:rPr>
        <w:fldChar w:fldCharType="end"/>
      </w:r>
      <w:r w:rsidRPr="00392148">
        <w:rPr>
          <w:szCs w:val="18"/>
        </w:rPr>
        <w:t xml:space="preserve">. The initial working volume of the PBR and </w:t>
      </w:r>
      <w:r w:rsidRPr="00392148">
        <w:rPr>
          <w:rFonts w:cs="Arial"/>
          <w:szCs w:val="18"/>
        </w:rPr>
        <w:t>cell concentration were</w:t>
      </w:r>
      <w:r w:rsidRPr="00392148">
        <w:rPr>
          <w:szCs w:val="18"/>
        </w:rPr>
        <w:t xml:space="preserve"> 1.2 L and </w:t>
      </w:r>
      <w:r w:rsidR="00732C41" w:rsidRPr="00392148">
        <w:rPr>
          <w:rFonts w:cs="Arial"/>
          <w:szCs w:val="18"/>
        </w:rPr>
        <w:t>0.1 g L</w:t>
      </w:r>
      <w:r w:rsidR="00732C41" w:rsidRPr="00392148">
        <w:rPr>
          <w:rFonts w:cs="Arial"/>
          <w:szCs w:val="18"/>
          <w:vertAlign w:val="superscript"/>
        </w:rPr>
        <w:t>-1</w:t>
      </w:r>
      <w:r w:rsidR="005075ED" w:rsidRPr="00392148">
        <w:rPr>
          <w:rFonts w:cs="Arial"/>
          <w:szCs w:val="18"/>
        </w:rPr>
        <w:t>, respectively</w:t>
      </w:r>
      <w:r w:rsidRPr="00392148">
        <w:rPr>
          <w:rFonts w:cs="Arial"/>
          <w:szCs w:val="18"/>
        </w:rPr>
        <w:t>.</w:t>
      </w:r>
      <w:r w:rsidR="00732C41" w:rsidRPr="00392148">
        <w:rPr>
          <w:rFonts w:cs="Arial"/>
          <w:szCs w:val="18"/>
        </w:rPr>
        <w:t xml:space="preserve"> After one month of cell growth, the cult</w:t>
      </w:r>
      <w:r w:rsidRPr="00392148">
        <w:rPr>
          <w:rFonts w:cs="Arial"/>
          <w:szCs w:val="18"/>
        </w:rPr>
        <w:t xml:space="preserve">ures were centrifuged at 9722 g </w:t>
      </w:r>
      <w:r w:rsidR="00732C41" w:rsidRPr="00392148">
        <w:rPr>
          <w:rFonts w:cs="Arial"/>
          <w:szCs w:val="18"/>
        </w:rPr>
        <w:t>RCF</w:t>
      </w:r>
      <w:r w:rsidRPr="00392148">
        <w:rPr>
          <w:rFonts w:cs="Arial"/>
          <w:szCs w:val="18"/>
          <w:vertAlign w:val="superscript"/>
        </w:rPr>
        <w:t>-1</w:t>
      </w:r>
      <w:r w:rsidR="00732C41" w:rsidRPr="00392148">
        <w:rPr>
          <w:rFonts w:cs="Arial"/>
          <w:szCs w:val="18"/>
        </w:rPr>
        <w:t xml:space="preserve"> for 10 min. The liquid phase was separated and used for WW</w:t>
      </w:r>
      <w:r w:rsidRPr="00392148">
        <w:rPr>
          <w:rFonts w:cs="Arial"/>
          <w:szCs w:val="18"/>
        </w:rPr>
        <w:t xml:space="preserve"> analysis</w:t>
      </w:r>
      <w:r w:rsidR="00732C41" w:rsidRPr="00392148">
        <w:rPr>
          <w:rFonts w:cs="Arial"/>
          <w:szCs w:val="18"/>
        </w:rPr>
        <w:t>.</w:t>
      </w:r>
      <w:r w:rsidR="00732C41" w:rsidRPr="00AA1FB7">
        <w:rPr>
          <w:rFonts w:cs="Arial"/>
          <w:szCs w:val="18"/>
        </w:rPr>
        <w:t xml:space="preserve"> </w:t>
      </w:r>
    </w:p>
    <w:p w14:paraId="77091B21" w14:textId="77777777" w:rsidR="00732C41" w:rsidRPr="00AA1FB7" w:rsidRDefault="00732C41" w:rsidP="00732C41">
      <w:pPr>
        <w:autoSpaceDE w:val="0"/>
        <w:autoSpaceDN w:val="0"/>
        <w:adjustRightInd w:val="0"/>
        <w:spacing w:before="120" w:after="120"/>
        <w:rPr>
          <w:rFonts w:cs="Arial"/>
          <w:b/>
          <w:szCs w:val="18"/>
        </w:rPr>
      </w:pPr>
      <w:r>
        <w:rPr>
          <w:rFonts w:cs="Arial"/>
          <w:b/>
          <w:szCs w:val="18"/>
        </w:rPr>
        <w:t>2.3</w:t>
      </w:r>
      <w:r w:rsidRPr="00AA1FB7">
        <w:rPr>
          <w:rFonts w:cs="Arial"/>
          <w:b/>
          <w:szCs w:val="18"/>
        </w:rPr>
        <w:t xml:space="preserve"> Characterization of microalgae growth pattern</w:t>
      </w:r>
      <w:r w:rsidR="00CE21E9">
        <w:rPr>
          <w:rFonts w:cs="Arial"/>
          <w:b/>
          <w:szCs w:val="18"/>
        </w:rPr>
        <w:t xml:space="preserve">   </w:t>
      </w:r>
    </w:p>
    <w:p w14:paraId="7E38D0FE" w14:textId="51312320" w:rsidR="00093235" w:rsidRPr="00A00EEB" w:rsidRDefault="00770A6B" w:rsidP="00093235">
      <w:pPr>
        <w:rPr>
          <w:rFonts w:cs="Arial"/>
          <w:szCs w:val="18"/>
        </w:rPr>
      </w:pPr>
      <w:r w:rsidRPr="00392148">
        <w:rPr>
          <w:rFonts w:cs="Arial"/>
          <w:szCs w:val="18"/>
        </w:rPr>
        <w:t xml:space="preserve">Microalgae growth in the culture was monitored by measuring the optical density (OD) at </w:t>
      </w:r>
      <w:r w:rsidR="00392148">
        <w:rPr>
          <w:rFonts w:cs="Arial"/>
          <w:szCs w:val="18"/>
        </w:rPr>
        <w:t>680 nm</w:t>
      </w:r>
      <w:r w:rsidRPr="00392148">
        <w:rPr>
          <w:rFonts w:cs="Arial"/>
          <w:szCs w:val="18"/>
        </w:rPr>
        <w:t>. The detailed procedure adopted to monitor algal growth was re</w:t>
      </w:r>
      <w:r w:rsidR="00BC6104" w:rsidRPr="00392148">
        <w:rPr>
          <w:rFonts w:cs="Arial"/>
          <w:szCs w:val="18"/>
        </w:rPr>
        <w:t xml:space="preserve">ported in Lutzu et al. (2020b). </w:t>
      </w:r>
      <w:r w:rsidR="00392148">
        <w:rPr>
          <w:rFonts w:cs="Arial"/>
          <w:szCs w:val="18"/>
        </w:rPr>
        <w:t>Cell concentration on dry weight basis</w:t>
      </w:r>
      <w:r w:rsidRPr="00392148">
        <w:rPr>
          <w:rFonts w:cs="Arial"/>
          <w:szCs w:val="18"/>
        </w:rPr>
        <w:t xml:space="preserve"> X (g</w:t>
      </w:r>
      <w:r w:rsidRPr="00392148">
        <w:rPr>
          <w:rFonts w:cs="Arial"/>
          <w:szCs w:val="18"/>
          <w:vertAlign w:val="subscript"/>
        </w:rPr>
        <w:t>dw</w:t>
      </w:r>
      <w:r w:rsidRPr="00392148">
        <w:rPr>
          <w:rFonts w:cs="Arial"/>
          <w:szCs w:val="18"/>
        </w:rPr>
        <w:t xml:space="preserve"> L</w:t>
      </w:r>
      <w:r w:rsidRPr="00392148">
        <w:rPr>
          <w:rFonts w:cs="Arial"/>
          <w:szCs w:val="18"/>
          <w:vertAlign w:val="superscript"/>
        </w:rPr>
        <w:t>−1</w:t>
      </w:r>
      <w:r w:rsidR="00CE21E9" w:rsidRPr="00392148">
        <w:rPr>
          <w:rFonts w:cs="Arial"/>
          <w:szCs w:val="18"/>
        </w:rPr>
        <w:t xml:space="preserve">) </w:t>
      </w:r>
      <w:r w:rsidRPr="00392148">
        <w:rPr>
          <w:rFonts w:cs="Arial"/>
          <w:szCs w:val="18"/>
        </w:rPr>
        <w:t>and specific growth rate (μ) calculations were performed according to the procedures reported elsewhere (Zhu and Dunford</w:t>
      </w:r>
      <w:r w:rsidR="00093235">
        <w:rPr>
          <w:rFonts w:cs="Arial"/>
          <w:szCs w:val="18"/>
        </w:rPr>
        <w:t>, 2013)</w:t>
      </w:r>
      <w:r w:rsidRPr="00392148">
        <w:rPr>
          <w:rFonts w:cs="Arial"/>
          <w:szCs w:val="18"/>
        </w:rPr>
        <w:t xml:space="preserve">. </w:t>
      </w:r>
      <w:r w:rsidR="00093235" w:rsidRPr="00A00EEB">
        <w:rPr>
          <w:rFonts w:cs="Arial"/>
          <w:szCs w:val="18"/>
        </w:rPr>
        <w:t xml:space="preserve">The </w:t>
      </w:r>
      <w:r w:rsidR="00093235">
        <w:rPr>
          <w:rFonts w:cs="Arial"/>
          <w:szCs w:val="18"/>
        </w:rPr>
        <w:t xml:space="preserve">maximum </w:t>
      </w:r>
      <w:r w:rsidR="00093235" w:rsidRPr="00A00EEB">
        <w:rPr>
          <w:rFonts w:cs="Arial"/>
          <w:szCs w:val="18"/>
        </w:rPr>
        <w:t>biomass productivity (∆X) was expressed as:</w:t>
      </w:r>
    </w:p>
    <w:p w14:paraId="64B6A292" w14:textId="77777777" w:rsidR="00093235" w:rsidRPr="00A00EEB" w:rsidRDefault="00093235" w:rsidP="00093235">
      <w:pPr>
        <w:autoSpaceDE w:val="0"/>
        <w:autoSpaceDN w:val="0"/>
        <w:adjustRightInd w:val="0"/>
        <w:rPr>
          <w:rFonts w:cs="Arial"/>
          <w:i/>
          <w:szCs w:val="18"/>
          <w:vertAlign w:val="subscript"/>
        </w:rPr>
      </w:pPr>
      <w:r w:rsidRPr="00A00EEB">
        <w:rPr>
          <w:rFonts w:cs="Arial"/>
          <w:position w:val="-30"/>
          <w:szCs w:val="18"/>
        </w:rPr>
        <w:object w:dxaOrig="1840" w:dyaOrig="680" w14:anchorId="610B0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33.2pt" o:ole="">
            <v:imagedata r:id="rId10" o:title=""/>
          </v:shape>
          <o:OLEObject Type="Embed" ProgID="Equation.DSMT4" ShapeID="_x0000_i1025" DrawAspect="Content" ObjectID="_1706608662" r:id="rId11"/>
        </w:object>
      </w:r>
      <w:r w:rsidRPr="00A00EEB">
        <w:rPr>
          <w:rFonts w:cs="Arial"/>
          <w:szCs w:val="18"/>
        </w:rPr>
        <w:tab/>
        <w:t>(1)</w:t>
      </w:r>
    </w:p>
    <w:p w14:paraId="6F9CFAE8" w14:textId="312566B2" w:rsidR="00732C41" w:rsidRPr="00AA1FB7" w:rsidRDefault="00770A6B" w:rsidP="00093235">
      <w:pPr>
        <w:rPr>
          <w:rFonts w:cs="Arial"/>
          <w:szCs w:val="18"/>
        </w:rPr>
      </w:pPr>
      <w:r w:rsidRPr="00392148">
        <w:rPr>
          <w:rFonts w:cs="Arial"/>
          <w:szCs w:val="18"/>
        </w:rPr>
        <w:t>The pH of the cultures was also recorded using a pH-meter (model AR20, Fisher Scientific, Waltham, MA, US).</w:t>
      </w:r>
      <w:r w:rsidRPr="00770A6B">
        <w:rPr>
          <w:rFonts w:cs="Arial"/>
          <w:szCs w:val="18"/>
        </w:rPr>
        <w:t xml:space="preserve"> </w:t>
      </w:r>
    </w:p>
    <w:p w14:paraId="74528360" w14:textId="77777777" w:rsidR="00732C41" w:rsidRPr="00AA1FB7" w:rsidRDefault="009D0379" w:rsidP="00732C41">
      <w:pPr>
        <w:autoSpaceDE w:val="0"/>
        <w:autoSpaceDN w:val="0"/>
        <w:adjustRightInd w:val="0"/>
        <w:spacing w:before="120" w:after="120"/>
        <w:rPr>
          <w:rFonts w:cs="Arial"/>
          <w:b/>
          <w:szCs w:val="18"/>
        </w:rPr>
      </w:pPr>
      <w:r>
        <w:rPr>
          <w:rFonts w:cs="Arial"/>
          <w:b/>
          <w:szCs w:val="18"/>
        </w:rPr>
        <w:t>2.4</w:t>
      </w:r>
      <w:r w:rsidR="00732C41" w:rsidRPr="00AA1FB7">
        <w:rPr>
          <w:rFonts w:cs="Arial"/>
          <w:b/>
          <w:szCs w:val="18"/>
        </w:rPr>
        <w:t xml:space="preserve"> Wastewater quality </w:t>
      </w:r>
    </w:p>
    <w:p w14:paraId="7E26C630" w14:textId="3D6CD528" w:rsidR="00732C41" w:rsidRPr="00093235" w:rsidRDefault="00F93C5F" w:rsidP="00093235">
      <w:pPr>
        <w:rPr>
          <w:szCs w:val="18"/>
        </w:rPr>
      </w:pPr>
      <w:r w:rsidRPr="00392148">
        <w:rPr>
          <w:szCs w:val="18"/>
        </w:rPr>
        <w:t xml:space="preserve">Chemical compositions of the WW samples were analyzed before and after microalgae cultivation according to the standard analytical water quality methods proposed by the American Public Health Association </w:t>
      </w:r>
      <w:r w:rsidR="000E18D0" w:rsidRPr="00392148">
        <w:rPr>
          <w:szCs w:val="18"/>
        </w:rPr>
        <w:fldChar w:fldCharType="begin" w:fldLock="1"/>
      </w:r>
      <w:r w:rsidRPr="00392148">
        <w:rPr>
          <w:szCs w:val="18"/>
        </w:rPr>
        <w:instrText>ADDIN CSL_CITATION {"citationItems":[{"id":"ITEM-1","itemData":{"ISBN":"0875530478","ISSN":"15585646","PMID":"27235000","abstract":"The Nineteenth and Earlier Editions The first edition of Standard Methods was published in 1905. Each subsequent edition presented significant improvements of methodology and enlarged its scope to include techniques suitable for examination of many types of samples encountered in the assessment and control of water quality and water pollution. A brief history of Standard Methods is of interest because of its contemporary relevance. A movement for ''securing the adoption of more uniform and efficient methods of water analysis'' led in the 1880's to the organization of a special committee of the Chemical Section of American Association for the Advancement of Science. A report of this committee, published in 1889, was entitled: A Method, in Part, for the Sanitary Examination of Water, and for the Statement of Results, Offered for General Adoption.*#(1) Five topics were covered: (1) ''free'' and ''albuminoid'' ammonia; (2) oxygen-consuming capacity; (3) total nitrogen as nitrates and nitrites; (4) nitrogen as nitrites; and (5) statement of results. In 1895, members of the American Public Health Association, recognizing the need for standard methods in the bacteriological examination of water, sponsored a convention of bacteriologists to discuss the problem. As a result, an APHA committee was appointed ''to draw up procedures for the study of bacteria in a uniform manner and with special references to the differentiation of species.'' Submitted in 1897, #(2) the procedures found wide acceptance. In 1899, APHA appointed a Committee on Standard Methods of Water Analysis, charged with the extension of standard procedures to all methods involved in the analysis of water. The committee report, published in 1905, constituted the first edition of Standard Methods (then entitled Standard Methods of Water Analysis). Physical, chemical, microscopic, and bacteriological methods of water examination were included. In its letter of transmittal, the Committee stated: The methods of analysis presented in this report as ''Standard Methods'' are believed to represent the best current practice of American water analysts, and to be generally applicable in connection with the ordinary problems of water purification, sewage disposal and sanitary investigations. Analysts working on widely different problems manifestly cannot use methods which are identical, and special problems obviously require the methods best adapted to them; but, while recognizing these facts, it yet remains …","author":[{"dropping-particle":"","family":"Eaton","given":"A.D.","non-dropping-particle":"","parse-names":false,"suffix":""},{"dropping-particle":"","family":"Clesceri","given":"L.S.","non-dropping-particle":"","parse-names":false,"suffix":""},{"dropping-particle":"","family":"Rice","given":"E.W","non-dropping-particle":"","parse-names":false,"suffix":""},{"dropping-particle":"","family":"Greenbaerg","given":"A.E.","non-dropping-particle":"","parse-names":false,"suffix":""},{"dropping-particle":"","family":"Franson","given":"M. A. H","non-dropping-particle":"","parse-names":false,"suffix":""}],"container-title":"American Public Health Association (APHA): Washington, DC, USA","id":"ITEM-1","issued":{"date-parts":[["2005"]]},"title":"Standard Methods for Examination of Water and Wastewater: Centennial Edition","type":"book"},"uris":["http://www.mendeley.com/documents/?uuid=2270757a-f5d4-4b68-9a95-0df9d73eaefe"]}],"mendeley":{"formattedCitation":"(Eaton et al., 2005)","plainTextFormattedCitation":"(Eaton et al., 2005)","previouslyFormattedCitation":"(Eaton et al., 2005)"},"properties":{"noteIndex":0},"schema":"https://github.com/citation-style-language/schema/raw/master/csl-citation.json"}</w:instrText>
      </w:r>
      <w:r w:rsidR="000E18D0" w:rsidRPr="00392148">
        <w:rPr>
          <w:szCs w:val="18"/>
        </w:rPr>
        <w:fldChar w:fldCharType="separate"/>
      </w:r>
      <w:r w:rsidRPr="00392148">
        <w:rPr>
          <w:noProof/>
          <w:szCs w:val="18"/>
        </w:rPr>
        <w:t>(Eaton et al., 2005)</w:t>
      </w:r>
      <w:r w:rsidR="000E18D0" w:rsidRPr="00392148">
        <w:rPr>
          <w:szCs w:val="18"/>
        </w:rPr>
        <w:fldChar w:fldCharType="end"/>
      </w:r>
      <w:r w:rsidRPr="00392148">
        <w:rPr>
          <w:szCs w:val="18"/>
        </w:rPr>
        <w:t xml:space="preserve">. Chemical Oxygen Demand (COD) of the WW samples was determined according to a method developed by the US Environmental Protection Agency </w:t>
      </w:r>
      <w:r w:rsidR="000E18D0" w:rsidRPr="00392148">
        <w:rPr>
          <w:szCs w:val="18"/>
        </w:rPr>
        <w:fldChar w:fldCharType="begin" w:fldLock="1"/>
      </w:r>
      <w:r w:rsidRPr="00392148">
        <w:rPr>
          <w:szCs w:val="18"/>
        </w:rPr>
        <w:instrText>ADDIN CSL_CITATION {"citationItems":[{"id":"ITEM-1","itemData":{"author":[{"dropping-particle":"","family":"USEPA","given":"","non-dropping-particle":"","parse-names":false,"suffix":""}],"container-title":"Federal Register.","id":"ITEM-1","issued":{"date-parts":[["1980"]]},"page":"268111-26812","title":"Standard Method 5220 D","type":"article-journal"},"uris":["http://www.mendeley.com/documents/?uuid=b6b12a3a-b8f3-452a-a14d-aa8edccdd8e0"]}],"mendeley":{"formattedCitation":"(USEPA, 1980)","plainTextFormattedCitation":"(USEPA, 1980)","previouslyFormattedCitation":"(USEPA, 1980)"},"properties":{"noteIndex":0},"schema":"https://github.com/citation-style-language/schema/raw/master/csl-citation.json"}</w:instrText>
      </w:r>
      <w:r w:rsidR="000E18D0" w:rsidRPr="00392148">
        <w:rPr>
          <w:szCs w:val="18"/>
        </w:rPr>
        <w:fldChar w:fldCharType="separate"/>
      </w:r>
      <w:r w:rsidRPr="00392148">
        <w:rPr>
          <w:noProof/>
          <w:szCs w:val="18"/>
        </w:rPr>
        <w:t>(USEPA, 1980)</w:t>
      </w:r>
      <w:r w:rsidR="000E18D0" w:rsidRPr="00392148">
        <w:rPr>
          <w:szCs w:val="18"/>
        </w:rPr>
        <w:fldChar w:fldCharType="end"/>
      </w:r>
      <w:r w:rsidRPr="00392148">
        <w:rPr>
          <w:szCs w:val="18"/>
        </w:rPr>
        <w:t>. Water samples were centrifuged at 8,000 rpm for 10 min and filtered through a glass microfiber filter (GF/CTM, Whatman, UK) before chemical tests were performed.</w:t>
      </w:r>
      <w:r w:rsidRPr="00F93C5F">
        <w:rPr>
          <w:szCs w:val="18"/>
        </w:rPr>
        <w:t xml:space="preserve"> </w:t>
      </w:r>
    </w:p>
    <w:p w14:paraId="308E0830" w14:textId="77777777" w:rsidR="00732C41" w:rsidRPr="00AA1FB7" w:rsidRDefault="009D0379" w:rsidP="00732C41">
      <w:pPr>
        <w:autoSpaceDE w:val="0"/>
        <w:autoSpaceDN w:val="0"/>
        <w:adjustRightInd w:val="0"/>
        <w:spacing w:before="120" w:after="120"/>
        <w:rPr>
          <w:rFonts w:cs="Arial"/>
          <w:b/>
          <w:szCs w:val="18"/>
        </w:rPr>
      </w:pPr>
      <w:r>
        <w:rPr>
          <w:rFonts w:cs="Arial"/>
          <w:b/>
          <w:szCs w:val="18"/>
        </w:rPr>
        <w:t>2.5</w:t>
      </w:r>
      <w:r w:rsidR="00732C41" w:rsidRPr="00AA1FB7">
        <w:rPr>
          <w:rFonts w:cs="Arial"/>
          <w:b/>
          <w:szCs w:val="18"/>
        </w:rPr>
        <w:t xml:space="preserve"> Data Analysis</w:t>
      </w:r>
    </w:p>
    <w:p w14:paraId="53DCF0E1" w14:textId="77777777" w:rsidR="00F93C5F" w:rsidRPr="00F93C5F" w:rsidRDefault="00F93C5F" w:rsidP="00F93C5F">
      <w:pPr>
        <w:pStyle w:val="Paragrafoelenco"/>
        <w:ind w:left="0"/>
        <w:rPr>
          <w:szCs w:val="18"/>
        </w:rPr>
      </w:pPr>
      <w:r w:rsidRPr="00392148">
        <w:rPr>
          <w:szCs w:val="18"/>
        </w:rPr>
        <w:t xml:space="preserve">All the experiments with algae and analytical tests were carried out at least in duplicate, typically in triplicate, and for all of them the mean values were reported. SAS 9.3 (SAS Institute Inc., Cary, NC, US) was used for the </w:t>
      </w:r>
      <w:r w:rsidRPr="00392148">
        <w:rPr>
          <w:szCs w:val="18"/>
        </w:rPr>
        <w:lastRenderedPageBreak/>
        <w:t>statistical analyses of the data. The regression equations correlating dr</w:t>
      </w:r>
      <w:r w:rsidR="00392148">
        <w:rPr>
          <w:szCs w:val="18"/>
        </w:rPr>
        <w:t xml:space="preserve">y biomass concentration to OD, </w:t>
      </w:r>
      <w:r w:rsidRPr="00392148">
        <w:rPr>
          <w:szCs w:val="18"/>
        </w:rPr>
        <w:t xml:space="preserve">and </w:t>
      </w:r>
      <w:r w:rsidR="00392148">
        <w:rPr>
          <w:szCs w:val="18"/>
        </w:rPr>
        <w:t xml:space="preserve">to </w:t>
      </w:r>
      <w:r w:rsidRPr="00392148">
        <w:rPr>
          <w:szCs w:val="18"/>
        </w:rPr>
        <w:t>µ were calculated using Microsoft Office Excel program (Excel 2016 Ink, Microsoft, US).</w:t>
      </w:r>
    </w:p>
    <w:p w14:paraId="5E11C09A" w14:textId="77777777" w:rsidR="00732C41" w:rsidRPr="008567FA" w:rsidRDefault="00732C41" w:rsidP="008C40CA">
      <w:pPr>
        <w:pStyle w:val="CETHeading1"/>
        <w:numPr>
          <w:ilvl w:val="1"/>
          <w:numId w:val="23"/>
        </w:numPr>
        <w:spacing w:line="264" w:lineRule="auto"/>
      </w:pPr>
      <w:r w:rsidRPr="008567FA">
        <w:t>Results and Discussion</w:t>
      </w:r>
    </w:p>
    <w:p w14:paraId="6A16BE1E" w14:textId="77777777" w:rsidR="00732C41" w:rsidRPr="008567FA" w:rsidRDefault="0041385B" w:rsidP="00732C41">
      <w:pPr>
        <w:autoSpaceDE w:val="0"/>
        <w:autoSpaceDN w:val="0"/>
        <w:adjustRightInd w:val="0"/>
        <w:spacing w:before="120" w:after="120"/>
        <w:rPr>
          <w:rFonts w:cs="Arial"/>
          <w:b/>
          <w:szCs w:val="18"/>
        </w:rPr>
      </w:pPr>
      <w:r>
        <w:rPr>
          <w:rFonts w:cs="Arial"/>
          <w:b/>
          <w:szCs w:val="18"/>
        </w:rPr>
        <w:t xml:space="preserve">3.1 Chemical </w:t>
      </w:r>
      <w:r w:rsidR="00392148">
        <w:rPr>
          <w:rFonts w:cs="Arial"/>
          <w:b/>
          <w:szCs w:val="18"/>
        </w:rPr>
        <w:t>c</w:t>
      </w:r>
      <w:r w:rsidR="00732C41" w:rsidRPr="008567FA">
        <w:rPr>
          <w:rFonts w:cs="Arial"/>
          <w:b/>
          <w:szCs w:val="18"/>
        </w:rPr>
        <w:t>omposition</w:t>
      </w:r>
      <w:r w:rsidR="00392148">
        <w:rPr>
          <w:rFonts w:cs="Arial"/>
          <w:b/>
          <w:szCs w:val="18"/>
        </w:rPr>
        <w:t xml:space="preserve"> before and after p</w:t>
      </w:r>
      <w:r>
        <w:rPr>
          <w:rFonts w:cs="Arial"/>
          <w:b/>
          <w:szCs w:val="18"/>
        </w:rPr>
        <w:t>re-treatment</w:t>
      </w:r>
    </w:p>
    <w:p w14:paraId="05886D81" w14:textId="77777777" w:rsidR="0041385B" w:rsidRDefault="0041385B" w:rsidP="0041385B">
      <w:pPr>
        <w:pStyle w:val="Titolo1"/>
        <w:numPr>
          <w:ilvl w:val="0"/>
          <w:numId w:val="0"/>
        </w:numPr>
        <w:rPr>
          <w:b w:val="0"/>
          <w:sz w:val="18"/>
          <w:szCs w:val="18"/>
        </w:rPr>
      </w:pPr>
      <w:r w:rsidRPr="00392148">
        <w:rPr>
          <w:b w:val="0"/>
          <w:sz w:val="18"/>
          <w:szCs w:val="18"/>
        </w:rPr>
        <w:t>All the WW samples examined in this study were collected from wells producing oil at the time of sampling. Na</w:t>
      </w:r>
      <w:r w:rsidRPr="00392148">
        <w:rPr>
          <w:b w:val="0"/>
          <w:sz w:val="18"/>
          <w:szCs w:val="18"/>
          <w:vertAlign w:val="superscript"/>
        </w:rPr>
        <w:t>+</w:t>
      </w:r>
      <w:r w:rsidRPr="00392148">
        <w:rPr>
          <w:b w:val="0"/>
          <w:sz w:val="18"/>
          <w:szCs w:val="18"/>
        </w:rPr>
        <w:t xml:space="preserve"> and Cl</w:t>
      </w:r>
      <w:r w:rsidRPr="00392148">
        <w:rPr>
          <w:b w:val="0"/>
          <w:sz w:val="18"/>
          <w:szCs w:val="18"/>
          <w:vertAlign w:val="superscript"/>
        </w:rPr>
        <w:t>-</w:t>
      </w:r>
      <w:r w:rsidRPr="00392148">
        <w:rPr>
          <w:b w:val="0"/>
          <w:sz w:val="18"/>
          <w:szCs w:val="18"/>
        </w:rPr>
        <w:t xml:space="preserve"> were the major ions in all the WW samples (Table 1). In general, order of the relative abundance of</w:t>
      </w:r>
      <w:r w:rsidR="00A07B1E" w:rsidRPr="00392148">
        <w:rPr>
          <w:b w:val="0"/>
          <w:sz w:val="18"/>
          <w:szCs w:val="18"/>
        </w:rPr>
        <w:t xml:space="preserve"> the ions in W</w:t>
      </w:r>
      <w:r w:rsidRPr="00392148">
        <w:rPr>
          <w:b w:val="0"/>
          <w:sz w:val="18"/>
          <w:szCs w:val="18"/>
        </w:rPr>
        <w:t>W were as follows: Na</w:t>
      </w:r>
      <w:r w:rsidRPr="00392148">
        <w:rPr>
          <w:b w:val="0"/>
          <w:sz w:val="18"/>
          <w:szCs w:val="18"/>
          <w:vertAlign w:val="superscript"/>
        </w:rPr>
        <w:t>+</w:t>
      </w:r>
      <w:r w:rsidRPr="00392148">
        <w:rPr>
          <w:b w:val="0"/>
          <w:sz w:val="18"/>
          <w:szCs w:val="18"/>
        </w:rPr>
        <w:t>, Cl</w:t>
      </w:r>
      <w:r w:rsidRPr="00392148">
        <w:rPr>
          <w:b w:val="0"/>
          <w:sz w:val="18"/>
          <w:szCs w:val="18"/>
          <w:vertAlign w:val="superscript"/>
        </w:rPr>
        <w:t>-</w:t>
      </w:r>
      <w:r w:rsidRPr="00392148">
        <w:rPr>
          <w:b w:val="0"/>
          <w:sz w:val="18"/>
          <w:szCs w:val="18"/>
        </w:rPr>
        <w:t>, Ca</w:t>
      </w:r>
      <w:r w:rsidRPr="00392148">
        <w:rPr>
          <w:b w:val="0"/>
          <w:sz w:val="18"/>
          <w:szCs w:val="18"/>
          <w:vertAlign w:val="superscript"/>
        </w:rPr>
        <w:t>2+</w:t>
      </w:r>
      <w:r w:rsidRPr="00392148">
        <w:rPr>
          <w:b w:val="0"/>
          <w:sz w:val="18"/>
          <w:szCs w:val="18"/>
        </w:rPr>
        <w:t>, Mg</w:t>
      </w:r>
      <w:r w:rsidRPr="00392148">
        <w:rPr>
          <w:b w:val="0"/>
          <w:sz w:val="18"/>
          <w:szCs w:val="18"/>
          <w:vertAlign w:val="superscript"/>
        </w:rPr>
        <w:t>+</w:t>
      </w:r>
      <w:r w:rsidRPr="00392148">
        <w:rPr>
          <w:b w:val="0"/>
          <w:sz w:val="18"/>
          <w:szCs w:val="18"/>
        </w:rPr>
        <w:t>, K</w:t>
      </w:r>
      <w:r w:rsidRPr="00392148">
        <w:rPr>
          <w:b w:val="0"/>
          <w:sz w:val="18"/>
          <w:szCs w:val="18"/>
          <w:vertAlign w:val="superscript"/>
        </w:rPr>
        <w:t>+</w:t>
      </w:r>
      <w:r w:rsidRPr="00392148">
        <w:rPr>
          <w:b w:val="0"/>
          <w:sz w:val="18"/>
          <w:szCs w:val="18"/>
        </w:rPr>
        <w:t>, SO</w:t>
      </w:r>
      <w:r w:rsidRPr="00392148">
        <w:rPr>
          <w:b w:val="0"/>
          <w:sz w:val="18"/>
          <w:szCs w:val="18"/>
          <w:vertAlign w:val="subscript"/>
        </w:rPr>
        <w:t>4</w:t>
      </w:r>
      <w:r w:rsidRPr="00392148">
        <w:rPr>
          <w:b w:val="0"/>
          <w:sz w:val="18"/>
          <w:szCs w:val="18"/>
          <w:vertAlign w:val="superscript"/>
        </w:rPr>
        <w:t>2-</w:t>
      </w:r>
      <w:r w:rsidRPr="00392148">
        <w:rPr>
          <w:b w:val="0"/>
          <w:sz w:val="18"/>
          <w:szCs w:val="18"/>
        </w:rPr>
        <w:t>, Br</w:t>
      </w:r>
      <w:r w:rsidRPr="00392148">
        <w:rPr>
          <w:b w:val="0"/>
          <w:sz w:val="18"/>
          <w:szCs w:val="18"/>
          <w:vertAlign w:val="superscript"/>
        </w:rPr>
        <w:t>-</w:t>
      </w:r>
      <w:r w:rsidRPr="00392148">
        <w:rPr>
          <w:b w:val="0"/>
          <w:sz w:val="18"/>
          <w:szCs w:val="18"/>
        </w:rPr>
        <w:t xml:space="preserve"> and HCO</w:t>
      </w:r>
      <w:r w:rsidRPr="00392148">
        <w:rPr>
          <w:b w:val="0"/>
          <w:sz w:val="18"/>
          <w:szCs w:val="18"/>
          <w:vertAlign w:val="subscript"/>
        </w:rPr>
        <w:t>3</w:t>
      </w:r>
      <w:r w:rsidRPr="00392148">
        <w:rPr>
          <w:b w:val="0"/>
          <w:sz w:val="18"/>
          <w:szCs w:val="18"/>
          <w:vertAlign w:val="superscript"/>
        </w:rPr>
        <w:t>-</w:t>
      </w:r>
      <w:r w:rsidRPr="00392148">
        <w:rPr>
          <w:b w:val="0"/>
          <w:sz w:val="18"/>
          <w:szCs w:val="18"/>
        </w:rPr>
        <w:t>. Although many of these ions at high concentrations contrib</w:t>
      </w:r>
      <w:r w:rsidR="00A07B1E" w:rsidRPr="00392148">
        <w:rPr>
          <w:b w:val="0"/>
          <w:sz w:val="18"/>
          <w:szCs w:val="18"/>
        </w:rPr>
        <w:t>ute to the aquatic toxicity of a W</w:t>
      </w:r>
      <w:r w:rsidRPr="00392148">
        <w:rPr>
          <w:b w:val="0"/>
          <w:sz w:val="18"/>
          <w:szCs w:val="18"/>
        </w:rPr>
        <w:t xml:space="preserve">W </w:t>
      </w:r>
      <w:r w:rsidR="000E18D0" w:rsidRPr="00392148">
        <w:rPr>
          <w:b w:val="0"/>
          <w:sz w:val="18"/>
          <w:szCs w:val="18"/>
        </w:rPr>
        <w:fldChar w:fldCharType="begin" w:fldLock="1"/>
      </w:r>
      <w:r w:rsidRPr="00392148">
        <w:rPr>
          <w:b w:val="0"/>
          <w:sz w:val="18"/>
          <w:szCs w:val="18"/>
        </w:rPr>
        <w:instrText>ADDIN CSL_CITATION {"citationItems":[{"id":"ITEM-1","itemData":{"DOI":"10.1007/978-1-4613-0379-4_6","abstract":"Common ions in effluents can be toxic to aquatic organisms over a wide range of salinities. Although the toxicity of high salinity (hypersaline) solutions and low salinity (hyposaline) solutions may...","author":[{"dropping-particle":"","family":"Pillard","given":"David A.","non-dropping-particle":"","parse-names":false,"suffix":""},{"dropping-particle":"","family":"Tietge","given":"Joseph E.","non-dropping-particle":"","parse-names":false,"suffix":""},{"dropping-particle":"","family":"Evans","given":"James M.","non-dropping-particle":"","parse-names":false,"suffix":""}],"container-title":"Produced Water 2","id":"ITEM-1","issued":{"date-parts":[["1996"]]},"title":"Estimating the Acute Toxicity of Produced Waters to Marine Organisms Using Predictive Toxicity Models","type":"chapter"},"uris":["http://www.mendeley.com/documents/?uuid=c991f1c0-b65b-4ac6-a78a-7aa53bd54ad3"]}],"mendeley":{"formattedCitation":"(Pillard et al., 1996)","plainTextFormattedCitation":"(Pillard et al., 1996)","previouslyFormattedCitation":"(Pillard et al., 1996)"},"properties":{"noteIndex":0},"schema":"https://github.com/citation-style-language/schema/raw/master/csl-citation.json"}</w:instrText>
      </w:r>
      <w:r w:rsidR="000E18D0" w:rsidRPr="00392148">
        <w:rPr>
          <w:b w:val="0"/>
          <w:sz w:val="18"/>
          <w:szCs w:val="18"/>
        </w:rPr>
        <w:fldChar w:fldCharType="separate"/>
      </w:r>
      <w:r w:rsidRPr="00392148">
        <w:rPr>
          <w:b w:val="0"/>
          <w:noProof/>
          <w:sz w:val="18"/>
          <w:szCs w:val="18"/>
        </w:rPr>
        <w:t>(Pillard et al., 1996)</w:t>
      </w:r>
      <w:r w:rsidR="000E18D0" w:rsidRPr="00392148">
        <w:rPr>
          <w:b w:val="0"/>
          <w:sz w:val="18"/>
          <w:szCs w:val="18"/>
        </w:rPr>
        <w:fldChar w:fldCharType="end"/>
      </w:r>
      <w:r w:rsidRPr="00392148">
        <w:rPr>
          <w:b w:val="0"/>
          <w:sz w:val="18"/>
          <w:szCs w:val="18"/>
        </w:rPr>
        <w:t>, they may also be nutrients enhancing microalgae growth. Mg</w:t>
      </w:r>
      <w:r w:rsidRPr="00392148">
        <w:rPr>
          <w:b w:val="0"/>
          <w:sz w:val="18"/>
          <w:szCs w:val="18"/>
          <w:vertAlign w:val="superscript"/>
        </w:rPr>
        <w:t>2+</w:t>
      </w:r>
      <w:r w:rsidR="00392148" w:rsidRPr="00392148">
        <w:rPr>
          <w:b w:val="0"/>
          <w:sz w:val="18"/>
          <w:szCs w:val="18"/>
        </w:rPr>
        <w:t xml:space="preserve">, </w:t>
      </w:r>
      <w:r w:rsidRPr="00392148">
        <w:rPr>
          <w:b w:val="0"/>
          <w:sz w:val="18"/>
          <w:szCs w:val="18"/>
        </w:rPr>
        <w:t>K</w:t>
      </w:r>
      <w:r w:rsidRPr="00392148">
        <w:rPr>
          <w:b w:val="0"/>
          <w:sz w:val="18"/>
          <w:szCs w:val="18"/>
          <w:vertAlign w:val="superscript"/>
        </w:rPr>
        <w:t xml:space="preserve">+ </w:t>
      </w:r>
      <w:r w:rsidR="00392148" w:rsidRPr="00392148">
        <w:rPr>
          <w:b w:val="0"/>
          <w:sz w:val="18"/>
          <w:szCs w:val="18"/>
        </w:rPr>
        <w:t>and NH</w:t>
      </w:r>
      <w:r w:rsidR="00392148" w:rsidRPr="00392148">
        <w:rPr>
          <w:b w:val="0"/>
          <w:sz w:val="18"/>
          <w:szCs w:val="18"/>
          <w:vertAlign w:val="subscript"/>
        </w:rPr>
        <w:t>4</w:t>
      </w:r>
      <w:r w:rsidR="00392148" w:rsidRPr="00392148">
        <w:rPr>
          <w:b w:val="0"/>
          <w:sz w:val="18"/>
          <w:szCs w:val="18"/>
          <w:vertAlign w:val="superscript"/>
        </w:rPr>
        <w:t>+</w:t>
      </w:r>
      <w:r w:rsidR="00392148" w:rsidRPr="00392148">
        <w:rPr>
          <w:b w:val="0"/>
          <w:sz w:val="18"/>
          <w:szCs w:val="18"/>
        </w:rPr>
        <w:t xml:space="preserve"> contents of PW-A</w:t>
      </w:r>
      <w:r w:rsidRPr="00392148">
        <w:rPr>
          <w:b w:val="0"/>
          <w:sz w:val="18"/>
          <w:szCs w:val="18"/>
        </w:rPr>
        <w:t xml:space="preserve"> were much higher than those of the other samples. Growth of living cells in PW may be inhibited by the presence of free oil, dissolved solids, suspended solids, metals, organics and volatile organic compounds (VOCs).</w:t>
      </w:r>
      <w:r w:rsidRPr="0041385B">
        <w:rPr>
          <w:b w:val="0"/>
          <w:sz w:val="18"/>
          <w:szCs w:val="18"/>
        </w:rPr>
        <w:t xml:space="preserve"> </w:t>
      </w:r>
    </w:p>
    <w:p w14:paraId="5DDD90DA" w14:textId="77777777" w:rsidR="008C40CA" w:rsidRPr="00541B22" w:rsidRDefault="008C40CA" w:rsidP="008C40CA">
      <w:pPr>
        <w:pStyle w:val="CETTabletitle"/>
        <w:spacing w:line="264" w:lineRule="auto"/>
        <w:rPr>
          <w:rFonts w:eastAsia="Calibri" w:cs="Arial"/>
          <w:szCs w:val="18"/>
        </w:rPr>
      </w:pPr>
      <w:r w:rsidRPr="00B57B36">
        <w:t>Ta</w:t>
      </w:r>
      <w:r>
        <w:t xml:space="preserve">ble 1: </w:t>
      </w:r>
      <w:r w:rsidRPr="00892A79">
        <w:rPr>
          <w:rFonts w:eastAsia="Calibri" w:cs="Arial"/>
          <w:szCs w:val="18"/>
        </w:rPr>
        <w:t xml:space="preserve">Chemical composition </w:t>
      </w:r>
      <w:r w:rsidRPr="0089551B">
        <w:rPr>
          <w:rFonts w:eastAsia="Calibri" w:cs="Arial"/>
          <w:szCs w:val="18"/>
          <w:lang w:val="en-US"/>
        </w:rPr>
        <w:t>before and after pre-</w:t>
      </w:r>
      <w:r>
        <w:rPr>
          <w:rFonts w:eastAsia="Calibri" w:cs="Arial"/>
          <w:szCs w:val="18"/>
          <w:lang w:val="en-US"/>
        </w:rPr>
        <w:t xml:space="preserve">treatment of produced and flowback </w:t>
      </w:r>
      <w:r w:rsidRPr="0089551B">
        <w:rPr>
          <w:rFonts w:eastAsia="Calibri" w:cs="Arial"/>
          <w:szCs w:val="18"/>
          <w:lang w:val="en-US"/>
        </w:rPr>
        <w:t>wastewaters</w:t>
      </w:r>
      <w:r>
        <w:rPr>
          <w:rFonts w:eastAsia="Calibri" w:cs="Arial"/>
          <w:szCs w:val="18"/>
          <w:lang w:val="en-US"/>
        </w:rPr>
        <w:t xml:space="preserve"> </w:t>
      </w:r>
    </w:p>
    <w:tbl>
      <w:tblPr>
        <w:tblW w:w="87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024"/>
        <w:gridCol w:w="178"/>
        <w:gridCol w:w="446"/>
        <w:gridCol w:w="103"/>
        <w:gridCol w:w="19"/>
      </w:tblGrid>
      <w:tr w:rsidR="008C40CA" w:rsidRPr="00B57B36" w14:paraId="0AEFA777" w14:textId="77777777" w:rsidTr="008F6FDB">
        <w:trPr>
          <w:trHeight w:val="450"/>
        </w:trPr>
        <w:tc>
          <w:tcPr>
            <w:tcW w:w="8100" w:type="dxa"/>
            <w:tcBorders>
              <w:top w:val="single" w:sz="12" w:space="0" w:color="008000"/>
              <w:bottom w:val="single" w:sz="6" w:space="0" w:color="008000"/>
            </w:tcBorders>
            <w:shd w:val="clear" w:color="auto" w:fill="FFFFFF"/>
          </w:tcPr>
          <w:p w14:paraId="180AF4BB" w14:textId="77777777" w:rsidR="008C40CA" w:rsidRDefault="008C40CA" w:rsidP="008F6FDB">
            <w:pPr>
              <w:pStyle w:val="CETBodytext"/>
              <w:rPr>
                <w:lang w:val="en-GB"/>
              </w:rPr>
            </w:pPr>
            <w:r>
              <w:rPr>
                <w:lang w:val="en-GB"/>
              </w:rPr>
              <w:t xml:space="preserve">                                        PW-A             </w:t>
            </w:r>
            <w:r w:rsidR="00392148">
              <w:rPr>
                <w:lang w:val="en-GB"/>
              </w:rPr>
              <w:t xml:space="preserve">     PW-B                </w:t>
            </w:r>
            <w:r>
              <w:rPr>
                <w:lang w:val="en-GB"/>
              </w:rPr>
              <w:t xml:space="preserve">FW-A                 FW-B        </w:t>
            </w:r>
          </w:p>
          <w:p w14:paraId="775B753C" w14:textId="77777777" w:rsidR="008C40CA" w:rsidRPr="00B57B36" w:rsidRDefault="008C40CA" w:rsidP="00392148">
            <w:pPr>
              <w:pStyle w:val="CETBodytext"/>
              <w:rPr>
                <w:lang w:val="en-GB"/>
              </w:rPr>
            </w:pPr>
            <w:r>
              <w:rPr>
                <w:lang w:val="en-GB"/>
              </w:rPr>
              <w:t xml:space="preserve">                                  BPT      APT        BPT      APT       BPT      APT      BPT      APT                                                  </w:t>
            </w:r>
          </w:p>
        </w:tc>
        <w:tc>
          <w:tcPr>
            <w:tcW w:w="180" w:type="dxa"/>
            <w:tcBorders>
              <w:top w:val="single" w:sz="12" w:space="0" w:color="008000"/>
              <w:bottom w:val="single" w:sz="6" w:space="0" w:color="008000"/>
            </w:tcBorders>
            <w:shd w:val="clear" w:color="auto" w:fill="FFFFFF"/>
          </w:tcPr>
          <w:p w14:paraId="0AAD6DB2" w14:textId="77777777" w:rsidR="008C40CA" w:rsidRPr="00B57B36" w:rsidRDefault="008C40CA" w:rsidP="008F6FDB">
            <w:pPr>
              <w:pStyle w:val="CETBodytext"/>
              <w:ind w:left="881" w:hanging="881"/>
              <w:rPr>
                <w:lang w:val="en-GB"/>
              </w:rPr>
            </w:pPr>
          </w:p>
        </w:tc>
        <w:tc>
          <w:tcPr>
            <w:tcW w:w="451" w:type="dxa"/>
            <w:tcBorders>
              <w:top w:val="single" w:sz="12" w:space="0" w:color="008000"/>
              <w:bottom w:val="single" w:sz="6" w:space="0" w:color="008000"/>
            </w:tcBorders>
            <w:shd w:val="clear" w:color="auto" w:fill="FFFFFF"/>
          </w:tcPr>
          <w:p w14:paraId="3A55F28C" w14:textId="77777777" w:rsidR="008C40CA" w:rsidRPr="00B57B36" w:rsidRDefault="008C40CA" w:rsidP="008F6FDB">
            <w:pPr>
              <w:pStyle w:val="CETBodytext"/>
              <w:rPr>
                <w:lang w:val="en-GB"/>
              </w:rPr>
            </w:pPr>
            <w:r>
              <w:rPr>
                <w:lang w:val="en-GB"/>
              </w:rPr>
              <w:t xml:space="preserve">                                </w:t>
            </w:r>
          </w:p>
        </w:tc>
        <w:tc>
          <w:tcPr>
            <w:tcW w:w="20" w:type="dxa"/>
            <w:tcBorders>
              <w:top w:val="single" w:sz="12" w:space="0" w:color="008000"/>
              <w:bottom w:val="single" w:sz="6" w:space="0" w:color="008000"/>
            </w:tcBorders>
            <w:shd w:val="clear" w:color="auto" w:fill="FFFFFF"/>
          </w:tcPr>
          <w:p w14:paraId="0E46B722" w14:textId="77777777" w:rsidR="008C40CA" w:rsidRPr="00892A79" w:rsidRDefault="008C40CA" w:rsidP="008F6FDB">
            <w:pPr>
              <w:pStyle w:val="CETBodytext"/>
              <w:ind w:left="-902" w:right="102"/>
              <w:rPr>
                <w:lang w:val="en-GB"/>
              </w:rPr>
            </w:pPr>
            <w:r>
              <w:rPr>
                <w:lang w:val="en-GB"/>
              </w:rPr>
              <w:t xml:space="preserve">    </w:t>
            </w:r>
          </w:p>
        </w:tc>
        <w:tc>
          <w:tcPr>
            <w:tcW w:w="19" w:type="dxa"/>
            <w:tcBorders>
              <w:top w:val="single" w:sz="12" w:space="0" w:color="008000"/>
              <w:bottom w:val="single" w:sz="6" w:space="0" w:color="008000"/>
            </w:tcBorders>
            <w:shd w:val="clear" w:color="auto" w:fill="FFFFFF"/>
          </w:tcPr>
          <w:p w14:paraId="49EC57C3" w14:textId="77777777" w:rsidR="008C40CA" w:rsidRPr="00B57B36" w:rsidRDefault="008C40CA" w:rsidP="008F6FDB">
            <w:pPr>
              <w:pStyle w:val="CETBodytext"/>
              <w:ind w:right="-1"/>
              <w:rPr>
                <w:rFonts w:cs="Arial"/>
                <w:szCs w:val="18"/>
                <w:lang w:val="en-GB"/>
              </w:rPr>
            </w:pPr>
          </w:p>
        </w:tc>
      </w:tr>
      <w:tr w:rsidR="008C40CA" w:rsidRPr="00B57B36" w14:paraId="303DE9ED" w14:textId="77777777" w:rsidTr="008F6FDB">
        <w:trPr>
          <w:trHeight w:val="216"/>
        </w:trPr>
        <w:tc>
          <w:tcPr>
            <w:tcW w:w="8100" w:type="dxa"/>
            <w:shd w:val="clear" w:color="auto" w:fill="FFFFFF"/>
          </w:tcPr>
          <w:p w14:paraId="26F8289E" w14:textId="77777777" w:rsidR="008C40CA" w:rsidRPr="008C40CA" w:rsidRDefault="008C40CA" w:rsidP="008F6FDB">
            <w:pPr>
              <w:pStyle w:val="CETBodytext"/>
              <w:rPr>
                <w:lang w:val="it-IT"/>
              </w:rPr>
            </w:pPr>
            <w:r w:rsidRPr="008C40CA">
              <w:rPr>
                <w:lang w:val="it-IT"/>
              </w:rPr>
              <w:t>Sodium                     10452   1</w:t>
            </w:r>
            <w:r w:rsidR="00392148">
              <w:rPr>
                <w:lang w:val="it-IT"/>
              </w:rPr>
              <w:t xml:space="preserve">1729      3332     3732       </w:t>
            </w:r>
            <w:r w:rsidRPr="008C40CA">
              <w:rPr>
                <w:lang w:val="it-IT"/>
              </w:rPr>
              <w:t xml:space="preserve">3309     3666     2242     2358         </w:t>
            </w:r>
          </w:p>
          <w:p w14:paraId="193B0B92" w14:textId="77777777" w:rsidR="008C40CA" w:rsidRPr="008C40CA" w:rsidRDefault="008C40CA" w:rsidP="008F6FDB">
            <w:pPr>
              <w:pStyle w:val="CETBodytext"/>
              <w:rPr>
                <w:lang w:val="it-IT"/>
              </w:rPr>
            </w:pPr>
            <w:r w:rsidRPr="008C40CA">
              <w:rPr>
                <w:lang w:val="it-IT"/>
              </w:rPr>
              <w:t xml:space="preserve">Calcium                     979       1018 </w:t>
            </w:r>
            <w:r w:rsidR="00392148">
              <w:rPr>
                <w:lang w:val="it-IT"/>
              </w:rPr>
              <w:t xml:space="preserve">      68         41          </w:t>
            </w:r>
            <w:r w:rsidRPr="008C40CA">
              <w:rPr>
                <w:lang w:val="it-IT"/>
              </w:rPr>
              <w:t xml:space="preserve">92         69         49        50                                       </w:t>
            </w:r>
          </w:p>
          <w:p w14:paraId="09378F2C" w14:textId="77777777" w:rsidR="008C40CA" w:rsidRPr="008C40CA" w:rsidRDefault="008C40CA" w:rsidP="008F6FDB">
            <w:pPr>
              <w:pStyle w:val="CETBodytext"/>
              <w:rPr>
                <w:lang w:val="it-IT"/>
              </w:rPr>
            </w:pPr>
            <w:r w:rsidRPr="008C40CA">
              <w:rPr>
                <w:lang w:val="it-IT"/>
              </w:rPr>
              <w:t xml:space="preserve">Magnesium               135       140   </w:t>
            </w:r>
            <w:r w:rsidR="00392148">
              <w:rPr>
                <w:lang w:val="it-IT"/>
              </w:rPr>
              <w:t xml:space="preserve">      12          11          </w:t>
            </w:r>
            <w:r w:rsidRPr="008C40CA">
              <w:rPr>
                <w:lang w:val="it-IT"/>
              </w:rPr>
              <w:t>13        13          5          5</w:t>
            </w:r>
          </w:p>
          <w:p w14:paraId="337C4821" w14:textId="77777777" w:rsidR="008C40CA" w:rsidRPr="006A77C5" w:rsidRDefault="008C40CA" w:rsidP="008F6FDB">
            <w:pPr>
              <w:pStyle w:val="CETBodytext"/>
              <w:rPr>
                <w:lang w:val="it-IT"/>
              </w:rPr>
            </w:pPr>
            <w:r w:rsidRPr="006A77C5">
              <w:rPr>
                <w:lang w:val="it-IT"/>
              </w:rPr>
              <w:t xml:space="preserve">Potassium                 160       161   </w:t>
            </w:r>
            <w:r w:rsidR="00392148">
              <w:rPr>
                <w:lang w:val="it-IT"/>
              </w:rPr>
              <w:t xml:space="preserve">       63         71          </w:t>
            </w:r>
            <w:r w:rsidRPr="006A77C5">
              <w:rPr>
                <w:lang w:val="it-IT"/>
              </w:rPr>
              <w:t>42        49          53        56</w:t>
            </w:r>
          </w:p>
          <w:p w14:paraId="41E7D5DB" w14:textId="77777777" w:rsidR="008C40CA" w:rsidRPr="006A77C5" w:rsidRDefault="008C40CA" w:rsidP="008F6FDB">
            <w:pPr>
              <w:pStyle w:val="CETBodytext"/>
              <w:rPr>
                <w:lang w:val="it-IT"/>
              </w:rPr>
            </w:pPr>
            <w:r w:rsidRPr="006A77C5">
              <w:rPr>
                <w:lang w:val="it-IT"/>
              </w:rPr>
              <w:t>Nitrate</w:t>
            </w:r>
            <w:r>
              <w:rPr>
                <w:lang w:val="it-IT"/>
              </w:rPr>
              <w:t xml:space="preserve">-N                    </w:t>
            </w:r>
            <w:r w:rsidRPr="006A77C5">
              <w:rPr>
                <w:lang w:val="it-IT"/>
              </w:rPr>
              <w:t>0.1</w:t>
            </w:r>
            <w:r>
              <w:rPr>
                <w:lang w:val="it-IT"/>
              </w:rPr>
              <w:t xml:space="preserve">        </w:t>
            </w:r>
            <w:r w:rsidRPr="006A77C5">
              <w:rPr>
                <w:lang w:val="it-IT"/>
              </w:rPr>
              <w:t>0.1</w:t>
            </w:r>
            <w:r>
              <w:rPr>
                <w:lang w:val="it-IT"/>
              </w:rPr>
              <w:t xml:space="preserve">          </w:t>
            </w:r>
            <w:r w:rsidRPr="006A77C5">
              <w:rPr>
                <w:lang w:val="it-IT"/>
              </w:rPr>
              <w:t>0.1</w:t>
            </w:r>
            <w:r>
              <w:rPr>
                <w:lang w:val="it-IT"/>
              </w:rPr>
              <w:t xml:space="preserve">        </w:t>
            </w:r>
            <w:r w:rsidR="00392148">
              <w:rPr>
                <w:lang w:val="it-IT"/>
              </w:rPr>
              <w:t xml:space="preserve">0.1         </w:t>
            </w:r>
            <w:r w:rsidRPr="006A77C5">
              <w:rPr>
                <w:lang w:val="it-IT"/>
              </w:rPr>
              <w:t xml:space="preserve">0.1       </w:t>
            </w:r>
            <w:r>
              <w:rPr>
                <w:lang w:val="it-IT"/>
              </w:rPr>
              <w:t>0.2</w:t>
            </w:r>
            <w:r w:rsidRPr="006A77C5">
              <w:rPr>
                <w:lang w:val="it-IT"/>
              </w:rPr>
              <w:t xml:space="preserve">         </w:t>
            </w:r>
            <w:r>
              <w:rPr>
                <w:lang w:val="it-IT"/>
              </w:rPr>
              <w:t>0</w:t>
            </w:r>
            <w:r w:rsidRPr="006A77C5">
              <w:rPr>
                <w:lang w:val="it-IT"/>
              </w:rPr>
              <w:t>.2</w:t>
            </w:r>
            <w:r>
              <w:rPr>
                <w:lang w:val="it-IT"/>
              </w:rPr>
              <w:t xml:space="preserve">       0.1</w:t>
            </w:r>
          </w:p>
          <w:p w14:paraId="7604116A" w14:textId="77777777" w:rsidR="008C40CA" w:rsidRPr="00DF1F27" w:rsidRDefault="008C40CA" w:rsidP="008F6FDB">
            <w:pPr>
              <w:pStyle w:val="CETBodytext"/>
              <w:rPr>
                <w:lang w:val="it-IT"/>
              </w:rPr>
            </w:pPr>
            <w:r w:rsidRPr="00DF1F27">
              <w:rPr>
                <w:lang w:val="it-IT"/>
              </w:rPr>
              <w:t>Chloride</w:t>
            </w:r>
            <w:r>
              <w:rPr>
                <w:lang w:val="it-IT"/>
              </w:rPr>
              <w:t xml:space="preserve">                    13348   1</w:t>
            </w:r>
            <w:r w:rsidR="00392148">
              <w:rPr>
                <w:lang w:val="it-IT"/>
              </w:rPr>
              <w:t xml:space="preserve">9906      3473     3495       </w:t>
            </w:r>
            <w:r>
              <w:rPr>
                <w:lang w:val="it-IT"/>
              </w:rPr>
              <w:t>3824     4354     1406     758</w:t>
            </w:r>
          </w:p>
          <w:p w14:paraId="151D0E11" w14:textId="77777777" w:rsidR="008C40CA" w:rsidRPr="00DF1F27" w:rsidRDefault="008C40CA" w:rsidP="008F6FDB">
            <w:pPr>
              <w:pStyle w:val="CETBodytext"/>
              <w:rPr>
                <w:lang w:val="it-IT"/>
              </w:rPr>
            </w:pPr>
            <w:r w:rsidRPr="00DF1F27">
              <w:rPr>
                <w:lang w:val="it-IT"/>
              </w:rPr>
              <w:t>Sulfate</w:t>
            </w:r>
            <w:r>
              <w:rPr>
                <w:lang w:val="it-IT"/>
              </w:rPr>
              <w:t xml:space="preserve">                       651       683</w:t>
            </w:r>
            <w:r w:rsidR="00392148">
              <w:rPr>
                <w:lang w:val="it-IT"/>
              </w:rPr>
              <w:t xml:space="preserve">         816       906         283      </w:t>
            </w:r>
            <w:r>
              <w:rPr>
                <w:lang w:val="it-IT"/>
              </w:rPr>
              <w:t>328      1012     1064</w:t>
            </w:r>
          </w:p>
          <w:p w14:paraId="16B14DB6" w14:textId="77777777" w:rsidR="008C40CA" w:rsidRPr="00DF1F27" w:rsidRDefault="008C40CA" w:rsidP="008F6FDB">
            <w:pPr>
              <w:pStyle w:val="CETBodytext"/>
              <w:rPr>
                <w:lang w:val="it-IT"/>
              </w:rPr>
            </w:pPr>
            <w:r w:rsidRPr="00DF1F27">
              <w:rPr>
                <w:lang w:val="it-IT"/>
              </w:rPr>
              <w:t>Boron</w:t>
            </w:r>
            <w:r>
              <w:rPr>
                <w:lang w:val="it-IT"/>
              </w:rPr>
              <w:t xml:space="preserve">                         51         53   </w:t>
            </w:r>
            <w:r w:rsidR="00392148">
              <w:rPr>
                <w:lang w:val="it-IT"/>
              </w:rPr>
              <w:t xml:space="preserve">        49         55         </w:t>
            </w:r>
            <w:r>
              <w:rPr>
                <w:lang w:val="it-IT"/>
              </w:rPr>
              <w:t>48         56         64         67</w:t>
            </w:r>
          </w:p>
          <w:p w14:paraId="2AFF070D" w14:textId="77777777" w:rsidR="008C40CA" w:rsidRPr="00DF1F27" w:rsidRDefault="008C40CA" w:rsidP="008F6FDB">
            <w:pPr>
              <w:pStyle w:val="CETBodytext"/>
              <w:rPr>
                <w:lang w:val="it-IT"/>
              </w:rPr>
            </w:pPr>
            <w:r w:rsidRPr="00DF1F27">
              <w:rPr>
                <w:lang w:val="it-IT"/>
              </w:rPr>
              <w:t>Bicarbonate</w:t>
            </w:r>
            <w:r>
              <w:rPr>
                <w:lang w:val="it-IT"/>
              </w:rPr>
              <w:t xml:space="preserve">               570       5</w:t>
            </w:r>
            <w:r w:rsidR="00392148">
              <w:rPr>
                <w:lang w:val="it-IT"/>
              </w:rPr>
              <w:t xml:space="preserve">87         1258     1356       </w:t>
            </w:r>
            <w:r>
              <w:rPr>
                <w:lang w:val="it-IT"/>
              </w:rPr>
              <w:t>1130     1193     1577    1506</w:t>
            </w:r>
          </w:p>
          <w:p w14:paraId="14BE3F96" w14:textId="77777777" w:rsidR="008C40CA" w:rsidRPr="0006123C" w:rsidRDefault="008C40CA" w:rsidP="008F6FDB">
            <w:pPr>
              <w:pStyle w:val="CETBodytext"/>
              <w:rPr>
                <w:lang w:val="it-IT"/>
              </w:rPr>
            </w:pPr>
            <w:r w:rsidRPr="0006123C">
              <w:rPr>
                <w:lang w:val="it-IT"/>
              </w:rPr>
              <w:t>Carbonate</w:t>
            </w:r>
            <w:r>
              <w:rPr>
                <w:lang w:val="it-IT"/>
              </w:rPr>
              <w:t xml:space="preserve">                  n.a        n.a          n.a        n.a        </w:t>
            </w:r>
            <w:r w:rsidR="00392148">
              <w:rPr>
                <w:lang w:val="it-IT"/>
              </w:rPr>
              <w:t xml:space="preserve"> </w:t>
            </w:r>
            <w:r>
              <w:rPr>
                <w:lang w:val="it-IT"/>
              </w:rPr>
              <w:t>n.a        24         n.a        70</w:t>
            </w:r>
          </w:p>
          <w:p w14:paraId="619A2A5E" w14:textId="77777777" w:rsidR="008C40CA" w:rsidRPr="008C40CA" w:rsidRDefault="008C40CA" w:rsidP="008F6FDB">
            <w:pPr>
              <w:pStyle w:val="CETBodytext"/>
              <w:rPr>
                <w:lang w:val="it-IT"/>
              </w:rPr>
            </w:pPr>
            <w:r w:rsidRPr="008C40CA">
              <w:rPr>
                <w:lang w:val="it-IT"/>
              </w:rPr>
              <w:t xml:space="preserve">Ammonium                24          15           6           3           0.3       </w:t>
            </w:r>
            <w:r w:rsidR="00392148">
              <w:rPr>
                <w:lang w:val="it-IT"/>
              </w:rPr>
              <w:t xml:space="preserve"> </w:t>
            </w:r>
            <w:r w:rsidRPr="008C40CA">
              <w:rPr>
                <w:lang w:val="it-IT"/>
              </w:rPr>
              <w:t>0.7         0.3       1.3</w:t>
            </w:r>
          </w:p>
          <w:p w14:paraId="72583FEC" w14:textId="77777777" w:rsidR="008C40CA" w:rsidRPr="008C40CA" w:rsidRDefault="008C40CA" w:rsidP="008F6FDB">
            <w:pPr>
              <w:pStyle w:val="CETBodytext"/>
              <w:rPr>
                <w:lang w:val="it-IT"/>
              </w:rPr>
            </w:pPr>
            <w:r w:rsidRPr="008C40CA">
              <w:rPr>
                <w:lang w:val="it-IT"/>
              </w:rPr>
              <w:t xml:space="preserve">ICAP_P                      0.29      0.27        0.20      0.29      0.15      </w:t>
            </w:r>
            <w:r w:rsidR="00392148">
              <w:rPr>
                <w:lang w:val="it-IT"/>
              </w:rPr>
              <w:t xml:space="preserve"> </w:t>
            </w:r>
            <w:r w:rsidRPr="008C40CA">
              <w:rPr>
                <w:lang w:val="it-IT"/>
              </w:rPr>
              <w:t xml:space="preserve">0.15      0.28      0.62 </w:t>
            </w:r>
          </w:p>
          <w:p w14:paraId="3E993087" w14:textId="77777777" w:rsidR="008C40CA" w:rsidRPr="008C40CA" w:rsidRDefault="008C40CA" w:rsidP="008F6FDB">
            <w:pPr>
              <w:pStyle w:val="CETBodytext"/>
              <w:rPr>
                <w:lang w:val="it-IT"/>
              </w:rPr>
            </w:pPr>
            <w:r w:rsidRPr="008C40CA">
              <w:rPr>
                <w:lang w:val="it-IT"/>
              </w:rPr>
              <w:t xml:space="preserve">TDS                          31218   34225      9246   </w:t>
            </w:r>
            <w:r w:rsidR="00392148">
              <w:rPr>
                <w:lang w:val="it-IT"/>
              </w:rPr>
              <w:t xml:space="preserve"> </w:t>
            </w:r>
            <w:r w:rsidRPr="008C40CA">
              <w:rPr>
                <w:lang w:val="it-IT"/>
              </w:rPr>
              <w:t xml:space="preserve">10309    </w:t>
            </w:r>
            <w:r w:rsidR="00392148">
              <w:rPr>
                <w:lang w:val="it-IT"/>
              </w:rPr>
              <w:t xml:space="preserve">  </w:t>
            </w:r>
            <w:r w:rsidRPr="008C40CA">
              <w:rPr>
                <w:lang w:val="it-IT"/>
              </w:rPr>
              <w:t xml:space="preserve">9986    </w:t>
            </w:r>
            <w:r w:rsidR="00392148">
              <w:rPr>
                <w:lang w:val="it-IT"/>
              </w:rPr>
              <w:t xml:space="preserve"> </w:t>
            </w:r>
            <w:r w:rsidRPr="008C40CA">
              <w:rPr>
                <w:lang w:val="it-IT"/>
              </w:rPr>
              <w:t>11240    6345     6488</w:t>
            </w:r>
          </w:p>
          <w:p w14:paraId="15E7852F" w14:textId="77777777" w:rsidR="008C40CA" w:rsidRPr="008C40CA" w:rsidRDefault="008C40CA" w:rsidP="008F6FDB">
            <w:pPr>
              <w:pStyle w:val="CETBodytext"/>
              <w:rPr>
                <w:lang w:val="it-IT"/>
              </w:rPr>
            </w:pPr>
            <w:r w:rsidRPr="008C40CA">
              <w:rPr>
                <w:lang w:val="it-IT"/>
              </w:rPr>
              <w:t xml:space="preserve">BOD5                         n.a         21          n.a        14          n.a       14          n.a       13        </w:t>
            </w:r>
          </w:p>
          <w:p w14:paraId="6DED2341" w14:textId="77777777" w:rsidR="008C40CA" w:rsidRPr="008C40CA" w:rsidRDefault="008C40CA" w:rsidP="008F6FDB">
            <w:pPr>
              <w:pStyle w:val="CETBodytext"/>
              <w:rPr>
                <w:lang w:val="it-IT"/>
              </w:rPr>
            </w:pPr>
            <w:r w:rsidRPr="008C40CA">
              <w:rPr>
                <w:lang w:val="it-IT"/>
              </w:rPr>
              <w:t xml:space="preserve">COD                           n.a       2645        n.a       1083       n.a      </w:t>
            </w:r>
            <w:r w:rsidR="00392148">
              <w:rPr>
                <w:lang w:val="it-IT"/>
              </w:rPr>
              <w:t xml:space="preserve"> 2770      </w:t>
            </w:r>
            <w:r w:rsidRPr="008C40CA">
              <w:rPr>
                <w:lang w:val="it-IT"/>
              </w:rPr>
              <w:t xml:space="preserve"> n.a     1964        </w:t>
            </w:r>
          </w:p>
          <w:p w14:paraId="3D6E63E2" w14:textId="77777777" w:rsidR="008C40CA" w:rsidRPr="00B57B36" w:rsidRDefault="008C40CA" w:rsidP="00392148">
            <w:pPr>
              <w:pStyle w:val="CETBodytext"/>
              <w:rPr>
                <w:lang w:val="en-GB"/>
              </w:rPr>
            </w:pPr>
            <w:r>
              <w:rPr>
                <w:lang w:val="en-GB"/>
              </w:rPr>
              <w:t xml:space="preserve">pH                       </w:t>
            </w:r>
            <w:r w:rsidR="00392148">
              <w:rPr>
                <w:lang w:val="en-GB"/>
              </w:rPr>
              <w:t xml:space="preserve">        7.1        7.8         </w:t>
            </w:r>
            <w:r>
              <w:rPr>
                <w:lang w:val="en-GB"/>
              </w:rPr>
              <w:t xml:space="preserve">7.7        7.7        </w:t>
            </w:r>
            <w:r w:rsidR="00392148">
              <w:rPr>
                <w:lang w:val="en-GB"/>
              </w:rPr>
              <w:t xml:space="preserve"> 7.6        8.5        </w:t>
            </w:r>
            <w:r>
              <w:rPr>
                <w:lang w:val="en-GB"/>
              </w:rPr>
              <w:t xml:space="preserve">7.4       8.7  </w:t>
            </w:r>
          </w:p>
        </w:tc>
        <w:tc>
          <w:tcPr>
            <w:tcW w:w="180" w:type="dxa"/>
            <w:shd w:val="clear" w:color="auto" w:fill="FFFFFF"/>
          </w:tcPr>
          <w:p w14:paraId="4EFAA4E6" w14:textId="77777777" w:rsidR="008C40CA" w:rsidRPr="00B57B36" w:rsidRDefault="008C40CA" w:rsidP="008F6FDB">
            <w:pPr>
              <w:pStyle w:val="CETBodytext"/>
              <w:rPr>
                <w:lang w:val="en-GB"/>
              </w:rPr>
            </w:pPr>
            <w:r>
              <w:rPr>
                <w:lang w:val="en-GB"/>
              </w:rPr>
              <w:t xml:space="preserve">                    </w:t>
            </w:r>
          </w:p>
        </w:tc>
        <w:tc>
          <w:tcPr>
            <w:tcW w:w="451" w:type="dxa"/>
            <w:shd w:val="clear" w:color="auto" w:fill="FFFFFF"/>
          </w:tcPr>
          <w:p w14:paraId="0094F68E" w14:textId="77777777" w:rsidR="008C40CA" w:rsidRPr="00B57B36" w:rsidRDefault="008C40CA" w:rsidP="008F6FDB">
            <w:pPr>
              <w:pStyle w:val="CETBodytext"/>
              <w:rPr>
                <w:lang w:val="en-GB"/>
              </w:rPr>
            </w:pPr>
            <w:r>
              <w:rPr>
                <w:lang w:val="en-GB"/>
              </w:rPr>
              <w:t xml:space="preserve">         </w:t>
            </w:r>
          </w:p>
        </w:tc>
        <w:tc>
          <w:tcPr>
            <w:tcW w:w="20" w:type="dxa"/>
            <w:shd w:val="clear" w:color="auto" w:fill="FFFFFF"/>
          </w:tcPr>
          <w:p w14:paraId="6DC367BF" w14:textId="77777777" w:rsidR="008C40CA" w:rsidRDefault="008C40CA" w:rsidP="008F6FDB">
            <w:pPr>
              <w:pStyle w:val="CETBodytext"/>
              <w:ind w:left="-902" w:right="102"/>
              <w:rPr>
                <w:rFonts w:cs="Arial"/>
                <w:szCs w:val="18"/>
                <w:lang w:val="en-GB"/>
              </w:rPr>
            </w:pPr>
            <w:r>
              <w:rPr>
                <w:rFonts w:cs="Arial"/>
                <w:szCs w:val="18"/>
                <w:lang w:val="en-GB"/>
              </w:rPr>
              <w:t xml:space="preserve">     3.536               4.222</w:t>
            </w:r>
          </w:p>
          <w:p w14:paraId="7C6FF322" w14:textId="77777777" w:rsidR="008C40CA" w:rsidRDefault="008C40CA" w:rsidP="008F6FDB">
            <w:pPr>
              <w:pStyle w:val="CETBodytext"/>
              <w:ind w:left="-902" w:right="102"/>
              <w:rPr>
                <w:rFonts w:cs="Arial"/>
                <w:szCs w:val="18"/>
                <w:lang w:val="en-GB"/>
              </w:rPr>
            </w:pPr>
          </w:p>
          <w:p w14:paraId="6DCF688B" w14:textId="77777777" w:rsidR="008C40CA" w:rsidRDefault="008C40CA" w:rsidP="008F6FDB">
            <w:pPr>
              <w:pStyle w:val="CETBodytext"/>
              <w:ind w:left="-902" w:right="102"/>
              <w:rPr>
                <w:rFonts w:cs="Arial"/>
                <w:szCs w:val="18"/>
                <w:lang w:val="en-GB"/>
              </w:rPr>
            </w:pPr>
          </w:p>
          <w:p w14:paraId="48EA8CD0" w14:textId="77777777" w:rsidR="008C40CA" w:rsidRDefault="008C40CA" w:rsidP="008F6FDB">
            <w:pPr>
              <w:pStyle w:val="CETBodytext"/>
              <w:ind w:left="-902" w:right="102"/>
              <w:rPr>
                <w:rFonts w:cs="Arial"/>
                <w:szCs w:val="18"/>
                <w:lang w:val="en-GB"/>
              </w:rPr>
            </w:pPr>
          </w:p>
          <w:p w14:paraId="6928EC30" w14:textId="77777777" w:rsidR="008C40CA" w:rsidRDefault="008C40CA" w:rsidP="008F6FDB">
            <w:pPr>
              <w:pStyle w:val="CETBodytext"/>
              <w:ind w:left="-902" w:right="102"/>
              <w:rPr>
                <w:rFonts w:cs="Arial"/>
                <w:szCs w:val="18"/>
                <w:lang w:val="en-GB"/>
              </w:rPr>
            </w:pPr>
          </w:p>
          <w:p w14:paraId="61F9EB77" w14:textId="77777777" w:rsidR="008C40CA" w:rsidRDefault="008C40CA" w:rsidP="008F6FDB">
            <w:pPr>
              <w:pStyle w:val="CETBodytext"/>
              <w:ind w:left="-902" w:right="102"/>
              <w:rPr>
                <w:rFonts w:cs="Arial"/>
                <w:szCs w:val="18"/>
                <w:lang w:val="en-GB"/>
              </w:rPr>
            </w:pPr>
          </w:p>
          <w:p w14:paraId="4BCB2200" w14:textId="77777777" w:rsidR="008C40CA" w:rsidRPr="00B57B36" w:rsidRDefault="008C40CA" w:rsidP="008F6FDB">
            <w:pPr>
              <w:pStyle w:val="CETBodytext"/>
              <w:ind w:left="-902" w:right="102"/>
              <w:rPr>
                <w:rFonts w:cs="Arial"/>
                <w:szCs w:val="18"/>
                <w:lang w:val="en-GB"/>
              </w:rPr>
            </w:pPr>
          </w:p>
        </w:tc>
        <w:tc>
          <w:tcPr>
            <w:tcW w:w="19" w:type="dxa"/>
            <w:shd w:val="clear" w:color="auto" w:fill="FFFFFF"/>
          </w:tcPr>
          <w:p w14:paraId="4AE437CF" w14:textId="77777777" w:rsidR="008C40CA" w:rsidRPr="00B57B36" w:rsidRDefault="008C40CA" w:rsidP="008F6FDB">
            <w:pPr>
              <w:pStyle w:val="CETBodytext"/>
              <w:ind w:right="-1"/>
              <w:rPr>
                <w:rFonts w:cs="Arial"/>
                <w:szCs w:val="18"/>
                <w:lang w:val="en-GB"/>
              </w:rPr>
            </w:pPr>
          </w:p>
        </w:tc>
      </w:tr>
    </w:tbl>
    <w:p w14:paraId="5243E7E3" w14:textId="77777777" w:rsidR="008C40CA" w:rsidRPr="0078793E" w:rsidRDefault="00392148" w:rsidP="008C40CA">
      <w:pPr>
        <w:rPr>
          <w:rFonts w:eastAsia="Calibri" w:cs="Arial"/>
          <w:sz w:val="16"/>
          <w:szCs w:val="16"/>
        </w:rPr>
      </w:pPr>
      <w:r>
        <w:rPr>
          <w:rFonts w:eastAsia="Calibri" w:cs="Arial"/>
          <w:sz w:val="16"/>
          <w:szCs w:val="16"/>
        </w:rPr>
        <w:t>Note: PW-A and -B: Produced water sample A and B, FW-A and -</w:t>
      </w:r>
      <w:r w:rsidR="008C40CA">
        <w:rPr>
          <w:rFonts w:eastAsia="Calibri" w:cs="Arial"/>
          <w:sz w:val="16"/>
          <w:szCs w:val="16"/>
        </w:rPr>
        <w:t xml:space="preserve">B: Flowback water sample A and B, BPT = Before Pre-treatment, APT = After Pre-treatment, </w:t>
      </w:r>
      <w:r w:rsidR="008C40CA" w:rsidRPr="00592555">
        <w:rPr>
          <w:rFonts w:eastAsia="Calibri" w:cs="Arial"/>
          <w:sz w:val="16"/>
          <w:szCs w:val="16"/>
        </w:rPr>
        <w:t>na: Not available,</w:t>
      </w:r>
      <w:r w:rsidR="008C40CA">
        <w:rPr>
          <w:rFonts w:eastAsia="Calibri" w:cs="Arial"/>
          <w:sz w:val="16"/>
          <w:szCs w:val="16"/>
        </w:rPr>
        <w:t xml:space="preserve"> </w:t>
      </w:r>
      <w:r w:rsidR="008C40CA" w:rsidRPr="00592555">
        <w:rPr>
          <w:rFonts w:eastAsia="Calibri" w:cs="Arial"/>
          <w:sz w:val="16"/>
          <w:szCs w:val="16"/>
        </w:rPr>
        <w:t xml:space="preserve">ICAP_P: Total P determined by Inductively Coupled Argon Plasma ion chromatography method, </w:t>
      </w:r>
      <w:r w:rsidR="008C40CA" w:rsidRPr="00592555">
        <w:rPr>
          <w:rFonts w:cs="Arial"/>
          <w:sz w:val="16"/>
          <w:szCs w:val="16"/>
          <w:lang w:val="en-US"/>
        </w:rPr>
        <w:t>TDS = Total Dissolved Solids, BOD5 = Biological Oxygen Demand, COD = Chemical Oxygen Demand</w:t>
      </w:r>
      <w:r w:rsidR="008C40CA">
        <w:rPr>
          <w:rFonts w:eastAsia="Calibri" w:cs="Arial"/>
          <w:sz w:val="16"/>
          <w:szCs w:val="16"/>
        </w:rPr>
        <w:t xml:space="preserve">. </w:t>
      </w:r>
      <w:r w:rsidR="008C40CA" w:rsidRPr="00592555">
        <w:rPr>
          <w:rFonts w:eastAsia="Calibri" w:cs="Arial"/>
          <w:sz w:val="16"/>
          <w:szCs w:val="16"/>
        </w:rPr>
        <w:t xml:space="preserve">All the values are expressed in terms of </w:t>
      </w:r>
      <w:r w:rsidR="008C40CA" w:rsidRPr="00592555">
        <w:rPr>
          <w:rFonts w:cs="Arial"/>
          <w:sz w:val="16"/>
          <w:szCs w:val="16"/>
        </w:rPr>
        <w:t>mg L</w:t>
      </w:r>
      <w:r w:rsidR="008C40CA" w:rsidRPr="00592555">
        <w:rPr>
          <w:rFonts w:cs="Arial"/>
          <w:sz w:val="16"/>
          <w:szCs w:val="16"/>
          <w:vertAlign w:val="superscript"/>
        </w:rPr>
        <w:t>-1</w:t>
      </w:r>
      <w:r w:rsidR="008C40CA" w:rsidRPr="00592555">
        <w:rPr>
          <w:rFonts w:cs="Arial"/>
          <w:sz w:val="16"/>
          <w:szCs w:val="16"/>
        </w:rPr>
        <w:t xml:space="preserve">. </w:t>
      </w:r>
      <w:r w:rsidR="008C40CA" w:rsidRPr="00592555">
        <w:rPr>
          <w:rFonts w:eastAsia="Calibri" w:cs="Arial"/>
          <w:sz w:val="16"/>
          <w:szCs w:val="16"/>
        </w:rPr>
        <w:t>All data were obtained as means from at least two experiments</w:t>
      </w:r>
      <w:r w:rsidR="008C40CA">
        <w:rPr>
          <w:rFonts w:eastAsia="Calibri" w:cs="Arial"/>
          <w:sz w:val="16"/>
          <w:szCs w:val="16"/>
        </w:rPr>
        <w:t>.</w:t>
      </w:r>
    </w:p>
    <w:p w14:paraId="1223D18D" w14:textId="25396AF5" w:rsidR="009D0379" w:rsidRDefault="0041385B" w:rsidP="00732C41">
      <w:pPr>
        <w:autoSpaceDE w:val="0"/>
        <w:autoSpaceDN w:val="0"/>
        <w:adjustRightInd w:val="0"/>
        <w:spacing w:before="120" w:after="120"/>
        <w:rPr>
          <w:rFonts w:cs="Arial"/>
          <w:szCs w:val="18"/>
        </w:rPr>
      </w:pPr>
      <w:r w:rsidRPr="001A089B">
        <w:rPr>
          <w:szCs w:val="18"/>
        </w:rPr>
        <w:t xml:space="preserve">WW samples were subjected to a pre-treatment before using for microalgae growth to reduce the amount of oil, suspended solids, and dark </w:t>
      </w:r>
      <w:r w:rsidR="00E93C28" w:rsidRPr="001A089B">
        <w:rPr>
          <w:szCs w:val="18"/>
        </w:rPr>
        <w:t>coloured</w:t>
      </w:r>
      <w:r w:rsidRPr="001A089B">
        <w:rPr>
          <w:szCs w:val="18"/>
        </w:rPr>
        <w:t xml:space="preserve"> grease present in the samples. Heat treatment was done to ensure axenic cell growth. Although, air floatation technique can be a more practical alternative for oil removal at large scale commercial operation, a mechanical rotatory disc oil skimmer was chosen for this study due to the relatively small size of the samples availab</w:t>
      </w:r>
      <w:r w:rsidR="001A089B" w:rsidRPr="001A089B">
        <w:rPr>
          <w:szCs w:val="18"/>
        </w:rPr>
        <w:t>le for the experiments. The</w:t>
      </w:r>
      <w:r w:rsidRPr="001A089B">
        <w:rPr>
          <w:szCs w:val="18"/>
        </w:rPr>
        <w:t xml:space="preserve"> recovery performance </w:t>
      </w:r>
      <w:r w:rsidR="00A07B1E" w:rsidRPr="001A089B">
        <w:rPr>
          <w:szCs w:val="18"/>
        </w:rPr>
        <w:t xml:space="preserve">of this type of oil skimmer </w:t>
      </w:r>
      <w:r w:rsidRPr="001A089B">
        <w:rPr>
          <w:szCs w:val="18"/>
        </w:rPr>
        <w:t>depends on the number of disks and their rotating velocity (Supriyono and Nurrohman, 2020). Presence of oil in PW was expected, because, the samples were taken from an oil producing well. A considerable amount of oil, 5.94% by weight, was removed from PW during pre-treatment. In addition, about 3% of solids and 2.4% of volatile compounds were removed by filtration and heat treatment, respectively.</w:t>
      </w:r>
      <w:r w:rsidR="009D0379" w:rsidRPr="001A089B">
        <w:rPr>
          <w:szCs w:val="18"/>
        </w:rPr>
        <w:t xml:space="preserve"> </w:t>
      </w:r>
      <w:r w:rsidR="009D0379" w:rsidRPr="001A089B">
        <w:rPr>
          <w:rFonts w:cs="Arial"/>
          <w:szCs w:val="18"/>
        </w:rPr>
        <w:t>Compared to PW the amount of oil removed from FW was lower and this aspect was somehow expected since disc oil skimmers works well with heavy crude oil characterized by high viscosity. The amount of solids removed during filtration (1.1%) was about three times lower than that found for PW, while heat treatment caused the same amount of volatile loss from both FW and PW (</w:t>
      </w:r>
      <w:r w:rsidR="008E0790">
        <w:rPr>
          <w:rFonts w:cs="Arial"/>
          <w:szCs w:val="18"/>
        </w:rPr>
        <w:t>Fig</w:t>
      </w:r>
      <w:r w:rsidR="00093235">
        <w:rPr>
          <w:rFonts w:cs="Arial"/>
          <w:szCs w:val="18"/>
        </w:rPr>
        <w:t>ure</w:t>
      </w:r>
      <w:r w:rsidR="008E0790">
        <w:rPr>
          <w:rFonts w:cs="Arial"/>
          <w:szCs w:val="18"/>
        </w:rPr>
        <w:t xml:space="preserve"> 1</w:t>
      </w:r>
      <w:r w:rsidR="009D0379" w:rsidRPr="001A089B">
        <w:rPr>
          <w:rFonts w:cs="Arial"/>
          <w:szCs w:val="18"/>
        </w:rPr>
        <w:t>).</w:t>
      </w:r>
    </w:p>
    <w:p w14:paraId="71DB9FC0" w14:textId="77777777" w:rsidR="000546CC" w:rsidRPr="009D0379" w:rsidRDefault="000546CC" w:rsidP="000546CC">
      <w:pPr>
        <w:autoSpaceDE w:val="0"/>
        <w:autoSpaceDN w:val="0"/>
        <w:adjustRightInd w:val="0"/>
        <w:spacing w:before="120" w:after="120"/>
        <w:rPr>
          <w:rFonts w:cs="Arial"/>
          <w:b/>
          <w:szCs w:val="18"/>
        </w:rPr>
      </w:pPr>
      <w:r>
        <w:rPr>
          <w:rFonts w:cs="Arial"/>
          <w:b/>
          <w:szCs w:val="18"/>
        </w:rPr>
        <w:t>3.2 Microalgae</w:t>
      </w:r>
      <w:r w:rsidRPr="009D0379">
        <w:rPr>
          <w:rFonts w:cs="Arial"/>
          <w:b/>
          <w:szCs w:val="18"/>
        </w:rPr>
        <w:t xml:space="preserve"> growth in produced </w:t>
      </w:r>
      <w:r>
        <w:rPr>
          <w:rFonts w:cs="Arial"/>
          <w:b/>
          <w:szCs w:val="18"/>
        </w:rPr>
        <w:t xml:space="preserve">and flowback </w:t>
      </w:r>
      <w:r w:rsidRPr="009D0379">
        <w:rPr>
          <w:rFonts w:cs="Arial"/>
          <w:b/>
          <w:szCs w:val="18"/>
        </w:rPr>
        <w:t>water</w:t>
      </w:r>
    </w:p>
    <w:p w14:paraId="5BD3BDB8" w14:textId="6DD5F5C6" w:rsidR="000546CC" w:rsidRDefault="000546CC" w:rsidP="000546CC">
      <w:pPr>
        <w:autoSpaceDE w:val="0"/>
        <w:autoSpaceDN w:val="0"/>
        <w:adjustRightInd w:val="0"/>
        <w:spacing w:before="120" w:after="120"/>
        <w:rPr>
          <w:rFonts w:cs="Arial"/>
          <w:szCs w:val="18"/>
        </w:rPr>
      </w:pPr>
      <w:r w:rsidRPr="001A089B">
        <w:rPr>
          <w:rFonts w:cs="Arial"/>
          <w:szCs w:val="18"/>
        </w:rPr>
        <w:t>On average, the four strains grown in PW (Fig</w:t>
      </w:r>
      <w:r w:rsidR="00093235">
        <w:rPr>
          <w:rFonts w:cs="Arial"/>
          <w:szCs w:val="18"/>
        </w:rPr>
        <w:t>ure</w:t>
      </w:r>
      <w:r w:rsidRPr="001A089B">
        <w:rPr>
          <w:rFonts w:cs="Arial"/>
          <w:szCs w:val="18"/>
        </w:rPr>
        <w:t xml:space="preserve"> </w:t>
      </w:r>
      <w:r w:rsidR="008E0790">
        <w:rPr>
          <w:rFonts w:cs="Arial"/>
          <w:szCs w:val="18"/>
        </w:rPr>
        <w:t>2</w:t>
      </w:r>
      <w:r w:rsidRPr="001A089B">
        <w:rPr>
          <w:rFonts w:cs="Arial"/>
          <w:szCs w:val="18"/>
        </w:rPr>
        <w:t xml:space="preserve">) showed lower µ than the respective rates achieved in regular media (MAS and A+) </w:t>
      </w:r>
      <w:r w:rsidRPr="001A089B">
        <w:rPr>
          <w:rFonts w:cs="Arial"/>
          <w:szCs w:val="18"/>
        </w:rPr>
        <w:fldChar w:fldCharType="begin" w:fldLock="1"/>
      </w:r>
      <w:r w:rsidRPr="001A089B">
        <w:rPr>
          <w:rFonts w:cs="Arial"/>
          <w:szCs w:val="18"/>
        </w:rPr>
        <w:instrText>ADDIN CSL_CITATION {"citationItems":[{"id":"ITEM-1","itemData":{"DOI":"10.1007/s11746-013-2225-0","ISSN":"0003021X","abstract":"Biofuels derived from microalgae are considered a viable alternative energy resource that eliminates the major drawbacks associated with biofuels produced from land crops. Strain selection is a critical factor for the success of microalgal production systems. This study evaluates Picochlorum oklahomensis (PO) as a potential microalga strain for biofuel and bioproduct applications. Nannochloropsis oculata (NO) was included in the study as a well-studied reference strain with biomass properties suitable for commercial applications. Growth pattern including specific growth rates, generation time and maximum biomass concentrations in culture media were determined for both PO and NO. Oil and protein contents and fatty acid composition of both strains were analyzed. PO had a higher biomass concentration in the medium and shorter generation time than NO. Both strains were rich in oil, protein and polyunsaturated fatty acids. This study indicates that PO can be a viable strain for bioproduct manufacturing because of its high oil and protein content and biomass productivity. © 2013 AOCS.","author":[{"dropping-particle":"","family":"Zhu","given":"Yan","non-dropping-particle":"","parse-names":false,"suffix":""},{"dropping-particle":"","family":"Dunford","given":"Nurhan Turgut","non-dropping-particle":"","parse-names":false,"suffix":""}],"container-title":"JAOCS, Journal of the American Oil Chemists' Society","id":"ITEM-1","issued":{"date-parts":[["2013"]]},"title":"Growth and biomass characteristics of picochlorum oklahomensis and nannochloropsis oculata","type":"article-journal"},"uris":["http://www.mendeley.com/documents/?uuid=e79766ab-f6e8-49ce-b331-4f0851bfb4ce"]}],"mendeley":{"formattedCitation":"(Zhu and Dunford, 2013)","plainTextFormattedCitation":"(Zhu and Dunford, 2013)","previouslyFormattedCitation":"(Zhu and Dunford, 2013)"},"properties":{"noteIndex":0},"schema":"https://github.com/citation-style-language/schema/raw/master/csl-citation.json"}</w:instrText>
      </w:r>
      <w:r w:rsidRPr="001A089B">
        <w:rPr>
          <w:rFonts w:cs="Arial"/>
          <w:szCs w:val="18"/>
        </w:rPr>
        <w:fldChar w:fldCharType="separate"/>
      </w:r>
      <w:r w:rsidRPr="001A089B">
        <w:rPr>
          <w:rFonts w:cs="Arial"/>
          <w:szCs w:val="18"/>
        </w:rPr>
        <w:t>(Zhu and Dunford, 2013)</w:t>
      </w:r>
      <w:r w:rsidRPr="001A089B">
        <w:rPr>
          <w:rFonts w:cs="Arial"/>
          <w:szCs w:val="18"/>
        </w:rPr>
        <w:fldChar w:fldCharType="end"/>
      </w:r>
      <w:r w:rsidRPr="001A089B">
        <w:rPr>
          <w:rFonts w:cs="Arial"/>
          <w:szCs w:val="18"/>
        </w:rPr>
        <w:t xml:space="preserve">. The higher growth rates found in regular media are expected because they are formulated to optimize the growth of specific strains. It is well established that algae growth rate is positively correlated with N/P ratio in the growth medium </w:t>
      </w:r>
      <w:r w:rsidRPr="001A089B">
        <w:rPr>
          <w:rFonts w:cs="Arial"/>
          <w:szCs w:val="18"/>
        </w:rPr>
        <w:fldChar w:fldCharType="begin" w:fldLock="1"/>
      </w:r>
      <w:r w:rsidRPr="001A089B">
        <w:rPr>
          <w:rFonts w:cs="Arial"/>
          <w:szCs w:val="18"/>
        </w:rPr>
        <w:instrText>ADDIN CSL_CITATION {"citationItems":[{"id":"ITEM-1","itemData":{"DOI":"10.1016/j.watres.2015.12.054","ISSN":"18792448","PMID":"26854403","abstract":"Microalgae have demonstrated the ability to remediate wastewater nutrients efficiently, with methods to further enhance performance through species selection and biomass concentration. This work evaluates a freshwater species remediation characteristics through analysis of internal biomass N:P (nitrogen:phosphorus) and presents a relationship between composition and nutrient uptake ability to assist in species selection. Findings are then translated to an optimal biomass concentration, achieved through immobilisation enabling biomass intensification by modifying bead concentration, for wastewaters of differing nutrient concentrations at hydraulic retention times (HRT) from 3 h to 10 d. A HRT &lt;20 h was found suitable for the remediation of secondary effluent by immobilised Scenedesmus obliquus and Chlorella vulgaris at bead concentrations as low as 3.2 and 4.4 bead·mL-1. Increasing bead concentrations were required for shorter HRTs with 3 h possible at influent concentrations &lt;5 mgP L-1.","author":[{"dropping-particle":"","family":"Whitton","given":"Rachel","non-dropping-particle":"","parse-names":false,"suffix":""},{"dropping-particle":"","family":"Mével","given":"Amandine","non-dropping-particle":"Le","parse-names":false,"suffix":""},{"dropping-particle":"","family":"Pidou","given":"Marc","non-dropping-particle":"","parse-names":false,"suffix":""},{"dropping-particle":"","family":"Ometto","given":"Francesco","non-dropping-particle":"","parse-names":false,"suffix":""},{"dropping-particle":"","family":"Villa","given":"Raffaella","non-dropping-particle":"","parse-names":false,"suffix":""},{"dropping-particle":"","family":"Jefferson","given":"Bruce","non-dropping-particle":"","parse-names":false,"suffix":""}],"container-title":"Water Research","id":"ITEM-1","issued":{"date-parts":[["2016"]]},"title":"Influence of microalgal N and P composition on wastewater nutrient remediation","type":"article-journal"},"uris":["http://www.mendeley.com/documents/?uuid=ce5b20bf-ce96-4546-ba43-266277b7b33b"]}],"mendeley":{"formattedCitation":"(Whitton et al., 2016)","plainTextFormattedCitation":"(Whitton et al., 2016)","previouslyFormattedCitation":"(Whitton et al., 2016)"},"properties":{"noteIndex":0},"schema":"https://github.com/citation-style-language/schema/raw/master/csl-citation.json"}</w:instrText>
      </w:r>
      <w:r w:rsidRPr="001A089B">
        <w:rPr>
          <w:rFonts w:cs="Arial"/>
          <w:szCs w:val="18"/>
        </w:rPr>
        <w:fldChar w:fldCharType="separate"/>
      </w:r>
      <w:r w:rsidRPr="001A089B">
        <w:rPr>
          <w:rFonts w:cs="Arial"/>
          <w:szCs w:val="18"/>
        </w:rPr>
        <w:t>(Whitton et al., 2016)</w:t>
      </w:r>
      <w:r w:rsidRPr="001A089B">
        <w:rPr>
          <w:rFonts w:cs="Arial"/>
          <w:szCs w:val="18"/>
        </w:rPr>
        <w:fldChar w:fldCharType="end"/>
      </w:r>
      <w:r w:rsidRPr="001A089B">
        <w:rPr>
          <w:rFonts w:cs="Arial"/>
          <w:szCs w:val="18"/>
        </w:rPr>
        <w:t xml:space="preserve">. In both MAS and A+ media used in the study by Zhu and Dunford </w:t>
      </w:r>
      <w:r w:rsidRPr="001A089B">
        <w:rPr>
          <w:rFonts w:cs="Arial"/>
          <w:szCs w:val="18"/>
        </w:rPr>
        <w:fldChar w:fldCharType="begin" w:fldLock="1"/>
      </w:r>
      <w:r w:rsidRPr="001A089B">
        <w:rPr>
          <w:rFonts w:cs="Arial"/>
          <w:szCs w:val="18"/>
        </w:rPr>
        <w:instrText>ADDIN CSL_CITATION {"citationItems":[{"id":"ITEM-1","itemData":{"DOI":"10.1007/s11746-013-2225-0","ISSN":"0003021X","abstract":"Biofuels derived from microalgae are considered a viable alternative energy resource that eliminates the major drawbacks associated with biofuels produced from land crops. Strain selection is a critical factor for the success of microalgal production systems. This study evaluates Picochlorum oklahomensis (PO) as a potential microalga strain for biofuel and bioproduct applications. Nannochloropsis oculata (NO) was included in the study as a well-studied reference strain with biomass properties suitable for commercial applications. Growth pattern including specific growth rates, generation time and maximum biomass concentrations in culture media were determined for both PO and NO. Oil and protein contents and fatty acid composition of both strains were analyzed. PO had a higher biomass concentration in the medium and shorter generation time than NO. Both strains were rich in oil, protein and polyunsaturated fatty acids. This study indicates that PO can be a viable strain for bioproduct manufacturing because of its high oil and protein content and biomass productivity. © 2013 AOCS.","author":[{"dropping-particle":"","family":"Zhu","given":"Yan","non-dropping-particle":"","parse-names":false,"suffix":""},{"dropping-particle":"","family":"Dunford","given":"Nurhan Turgut","non-dropping-particle":"","parse-names":false,"suffix":""}],"container-title":"JAOCS, Journal of the American Oil Chemists' Society","id":"ITEM-1","issued":{"date-parts":[["2013"]]},"title":"Growth and biomass characteristics of picochlorum oklahomensis and nannochloropsis oculata","type":"article-journal"},"suppress-author":1,"uris":["http://www.mendeley.com/documents/?uuid=e79766ab-f6e8-49ce-b331-4f0851bfb4ce"]}],"mendeley":{"formattedCitation":"(2013)","plainTextFormattedCitation":"(2013)","previouslyFormattedCitation":"(2013)"},"properties":{"noteIndex":0},"schema":"https://github.com/citation-style-language/schema/raw/master/csl-citation.json"}</w:instrText>
      </w:r>
      <w:r w:rsidRPr="001A089B">
        <w:rPr>
          <w:rFonts w:cs="Arial"/>
          <w:szCs w:val="18"/>
        </w:rPr>
        <w:fldChar w:fldCharType="separate"/>
      </w:r>
      <w:r w:rsidRPr="001A089B">
        <w:rPr>
          <w:rFonts w:cs="Arial"/>
          <w:szCs w:val="18"/>
        </w:rPr>
        <w:t>(2013)</w:t>
      </w:r>
      <w:r w:rsidRPr="001A089B">
        <w:rPr>
          <w:rFonts w:cs="Arial"/>
          <w:szCs w:val="18"/>
        </w:rPr>
        <w:fldChar w:fldCharType="end"/>
      </w:r>
      <w:r w:rsidRPr="001A089B">
        <w:rPr>
          <w:rFonts w:cs="Arial"/>
          <w:szCs w:val="18"/>
        </w:rPr>
        <w:t xml:space="preserve"> NO</w:t>
      </w:r>
      <w:r w:rsidRPr="001A089B">
        <w:rPr>
          <w:rFonts w:cs="Arial"/>
          <w:szCs w:val="18"/>
          <w:vertAlign w:val="subscript"/>
        </w:rPr>
        <w:t>3</w:t>
      </w:r>
      <w:r w:rsidRPr="001A089B">
        <w:rPr>
          <w:rFonts w:cs="Arial"/>
          <w:szCs w:val="18"/>
          <w:vertAlign w:val="superscript"/>
        </w:rPr>
        <w:t>-</w:t>
      </w:r>
      <w:r w:rsidRPr="001A089B">
        <w:rPr>
          <w:rFonts w:cs="Arial"/>
          <w:szCs w:val="18"/>
        </w:rPr>
        <w:t xml:space="preserve"> and PO</w:t>
      </w:r>
      <w:r w:rsidRPr="001A089B">
        <w:rPr>
          <w:rFonts w:cs="Arial"/>
          <w:szCs w:val="18"/>
          <w:vertAlign w:val="subscript"/>
        </w:rPr>
        <w:t>4</w:t>
      </w:r>
      <w:r w:rsidRPr="001A089B">
        <w:rPr>
          <w:rFonts w:cs="Arial"/>
          <w:szCs w:val="18"/>
          <w:vertAlign w:val="superscript"/>
        </w:rPr>
        <w:t>3-</w:t>
      </w:r>
      <w:r w:rsidRPr="001A089B">
        <w:rPr>
          <w:rFonts w:cs="Arial"/>
          <w:szCs w:val="18"/>
        </w:rPr>
        <w:t xml:space="preserve"> represented the sources of N and P with the same N/P ratio of 20. When CCMP2329 was grown in f/2 medium with a similar N/P ratio (15), maximum µ </w:t>
      </w:r>
      <w:r w:rsidRPr="001A089B">
        <w:rPr>
          <w:rFonts w:cs="Arial"/>
          <w:szCs w:val="18"/>
        </w:rPr>
        <w:lastRenderedPageBreak/>
        <w:t>value achieved was 0.84 day</w:t>
      </w:r>
      <w:r w:rsidRPr="001A089B">
        <w:rPr>
          <w:rFonts w:cs="Arial"/>
          <w:szCs w:val="18"/>
          <w:vertAlign w:val="superscript"/>
        </w:rPr>
        <w:t>-1</w:t>
      </w:r>
      <w:r w:rsidRPr="001A089B">
        <w:rPr>
          <w:rFonts w:cs="Arial"/>
          <w:szCs w:val="18"/>
        </w:rPr>
        <w:t xml:space="preserve"> </w:t>
      </w:r>
      <w:r w:rsidRPr="001A089B">
        <w:rPr>
          <w:rFonts w:cs="Arial"/>
          <w:szCs w:val="18"/>
        </w:rPr>
        <w:fldChar w:fldCharType="begin" w:fldLock="1"/>
      </w:r>
      <w:r w:rsidRPr="001A089B">
        <w:rPr>
          <w:rFonts w:cs="Arial"/>
          <w:szCs w:val="18"/>
        </w:rPr>
        <w:instrText>ADDIN CSL_CITATION {"citationItems":[{"id":"ITEM-1","itemData":{"DOI":"10.1016/j.algal.2018.02.034","ISSN":"22119264","abstract":"Microalgal biomass represents a potential third generation feedstock that could be utilised as a source of carbohydrates for fermentative production of a range of platform biochemicals. Identifying microalgal strains with high biomass and carbohydrate productivities while also being amenable to downstream processes is key in improving the feasibility of these processes. Utilising marine microalgae capable of growing in seawater will decrease reliance on freshwater resources and improve the sustainability of production. This study screened several marine microalgae believed to accumulate carbohydrates to find new high performing strains. Four strains had high growth rates and accumulated carbohydrates &gt;35% DW under stress. The strain Chlorella salina demonstrated the highest biomass and carbohydrate productivity, and alkaline autoflocculation (4 mM NaOH) enabled biomass recoveries &gt;95% efficiency, resulting in an 8–10 × concentration of the culture. Under nutrient replete conditions, biomass productivity reached 0.6 g L−1 d−1, significantly greater than that of nitrogen starved cultures. However, nitrogen starvation rapidly increased carbohydrate content to &gt;50% DW in 2 days, resulting in carbohydrate productivities &gt;0.20 g L−1 d−1. Chlorella salina partitions the products of photosynthesis preferentially into carbohydrate synthesis under nitrogen starvation. A greater understanding of cellular physiology and carbon partitioning in response to nutrient stress will enable better control and optimisation of the bio-processes. This study has identified a potentially high performance marine microalga for carbohydrate production that is also amenable to low-cost harvesting.","author":[{"dropping-particle":"","family":"Mayers","given":"Joshua J.","non-dropping-particle":"","parse-names":false,"suffix":""},{"dropping-particle":"","family":"Vaiciulyte","given":"Sigita","non-dropping-particle":"","parse-names":false,"suffix":""},{"dropping-particle":"","family":"Malmhäll-Bah","given":"Eric","non-dropping-particle":"","parse-names":false,"suffix":""},{"dropping-particle":"","family":"Alcaide-Sancho","given":"Javier","non-dropping-particle":"","parse-names":false,"suffix":""},{"dropping-particle":"","family":"Ewald","given":"Stefanie","non-dropping-particle":"","parse-names":false,"suffix":""},{"dropping-particle":"","family":"Godhe","given":"Anna","non-dropping-particle":"","parse-names":false,"suffix":""},{"dropping-particle":"","family":"Ekendahl","given":"Susanne","non-dropping-particle":"","parse-names":false,"suffix":""},{"dropping-particle":"","family":"Albers","given":"Eva","non-dropping-particle":"","parse-names":false,"suffix":""}],"container-title":"Algal Research","id":"ITEM-1","issued":{"date-parts":[["2018"]]},"title":"Identifying a marine microalgae with high carbohydrate productivities under stress and potential for efficient flocculation","type":"article-journal"},"uris":["http://www.mendeley.com/documents/?uuid=420e964b-bd1a-4f2e-9a0d-fe37a0fa52bd"]}],"mendeley":{"formattedCitation":"(Mayers et al., 2018)","plainTextFormattedCitation":"(Mayers et al., 2018)","previouslyFormattedCitation":"(Mayers et al., 2018)"},"properties":{"noteIndex":0},"schema":"https://github.com/citation-style-language/schema/raw/master/csl-citation.json"}</w:instrText>
      </w:r>
      <w:r w:rsidRPr="001A089B">
        <w:rPr>
          <w:rFonts w:cs="Arial"/>
          <w:szCs w:val="18"/>
        </w:rPr>
        <w:fldChar w:fldCharType="separate"/>
      </w:r>
      <w:r w:rsidRPr="001A089B">
        <w:rPr>
          <w:rFonts w:cs="Arial"/>
          <w:szCs w:val="18"/>
        </w:rPr>
        <w:t>(Mayers et al., 2018)</w:t>
      </w:r>
      <w:r w:rsidRPr="001A089B">
        <w:rPr>
          <w:rFonts w:cs="Arial"/>
          <w:szCs w:val="18"/>
        </w:rPr>
        <w:fldChar w:fldCharType="end"/>
      </w:r>
      <w:r w:rsidRPr="001A089B">
        <w:rPr>
          <w:rFonts w:cs="Arial"/>
          <w:szCs w:val="18"/>
        </w:rPr>
        <w:t xml:space="preserve">. Other authors </w:t>
      </w:r>
      <w:r w:rsidRPr="001A089B">
        <w:rPr>
          <w:rFonts w:cs="Arial"/>
          <w:szCs w:val="18"/>
        </w:rPr>
        <w:fldChar w:fldCharType="begin" w:fldLock="1"/>
      </w:r>
      <w:r w:rsidRPr="001A089B">
        <w:rPr>
          <w:rFonts w:cs="Arial"/>
          <w:szCs w:val="18"/>
        </w:rPr>
        <w:instrText>ADDIN CSL_CITATION {"citationItems":[{"id":"ITEM-1","itemData":{"author":[{"dropping-particle":"","family":"Lutzu","given":"Giovanni Antonio","non-dropping-particle":"","parse-names":false,"suffix":""},{"dropping-particle":"","family":"Locci","given":"Antonio Mario","non-dropping-particle":"","parse-names":false,"suffix":""},{"dropping-particle":"","family":"Cao","given":"Giacomo","non-dropping-particle":"","parse-names":false,"suffix":""}],"container-title":"Journal of Biobased Materials and Bioenergy","id":"ITEM-1","issue":"1","issued":{"date-parts":[["2012"]]},"page":"94-100","publisher":"American Scientific Publishers","title":"Effect of medium composition on the growth of Nannochloris eucaryotum in batch photobioreactors","type":"article-journal","volume":"6"},"uris":["http://www.mendeley.com/documents/?uuid=a9ced171-3d85-4ec8-949f-35c60114246c"]},{"id":"ITEM-2","itemData":{"DOI":"10.1016/j.cej.2015.11.021","ISSN":"13858947","abstract":"Several microalgae strains are capable to divide by multiple fission, namely they can give rise to variable number of daughter cells after cytokinesis. Such behavior may have implications on the overall growth and productivities of microalgal cultures that are difficult to infer intuitively. Consequently, a novel mathematical model to simulate the dynamics of the size-structured growth of microalgal strains characterized by multiple fission, is proposed in this work. The model relies on the use of population balance equations (PBEs) to describe the evolution of the size distribution of microalgae cells during growth and permits to decouple the single cell growth phase, which is known to take place in the light, from the division one, that on the contrary is assumed to occur under dark conditions according to well corroborated experimental observations. Moreover, the effect of light intensity, photoperiod and nutrients concentration on the continuous growth of the cells, are suitably accounted for by the model. Furthermore, in order to describe the partition of newborn cells after division, a new approach, which relies on suitable experimental observations, is developed to formulate a novel birth term related to PBEs which takes into account the possibility of multiple fission to take place. Model results and literature experimental data pertaining a strain capable to divide by multiple fission, are successfully compared in terms of biomass concentration evolution, thus highlighting a good predictive capability of the model. Subsequently, specific numerical experiments are performed in order to examine the potential improvements arising from this model with respect to the ones currently available in the literature. Finally, suitable simulation-based inferences are formulated about the potential implications of multiple fission on photobioreactor's productivity.","author":[{"dropping-particle":"","family":"Concas","given":"Alessandro","non-dropping-particle":"","parse-names":false,"suffix":""},{"dropping-particle":"","family":"Pisu","given":"Massimo","non-dropping-particle":"","parse-names":false,"suffix":""},{"dropping-particle":"","family":"Cao","given":"Giacomo","non-dropping-particle":"","parse-names":false,"suffix":""}],"container-title":"Chemical Engineering Journal","id":"ITEM-2","issued":{"date-parts":[["2016","3"]]},"page":"252-268","publisher":"Elsevier","title":"A novel mathematical model to simulate the size-structured growth of microalgae strains dividing by multiple fission","type":"article-journal","volume":"287"},"uris":["http://www.mendeley.com/documents/?uuid=38ff9527-7dea-4eba-87b9-044197629a67"]}],"mendeley":{"formattedCitation":"(Concas et al., 2016; Lutzu et al., 2012)","manualFormatting":"(Lutzu et al., 2012; Concas et al., 2016)","plainTextFormattedCitation":"(Concas et al., 2016; Lutzu et al., 2012)","previouslyFormattedCitation":"(Concas et al., 2016; Lutzu et al., 2012)"},"properties":{"noteIndex":0},"schema":"https://github.com/citation-style-language/schema/raw/master/csl-citation.json"}</w:instrText>
      </w:r>
      <w:r w:rsidRPr="001A089B">
        <w:rPr>
          <w:rFonts w:cs="Arial"/>
          <w:szCs w:val="18"/>
        </w:rPr>
        <w:fldChar w:fldCharType="separate"/>
      </w:r>
      <w:r w:rsidRPr="001A089B">
        <w:rPr>
          <w:rFonts w:cs="Arial"/>
          <w:szCs w:val="18"/>
        </w:rPr>
        <w:t>(Concas et al., 2016)</w:t>
      </w:r>
      <w:r w:rsidRPr="001A089B">
        <w:rPr>
          <w:rFonts w:cs="Arial"/>
          <w:szCs w:val="18"/>
        </w:rPr>
        <w:fldChar w:fldCharType="end"/>
      </w:r>
      <w:r w:rsidRPr="001A089B">
        <w:rPr>
          <w:rFonts w:cs="Arial"/>
          <w:szCs w:val="18"/>
        </w:rPr>
        <w:t xml:space="preserve"> have shown that </w:t>
      </w:r>
      <w:r w:rsidRPr="001A089B">
        <w:rPr>
          <w:rFonts w:cs="Arial"/>
          <w:i/>
          <w:iCs/>
          <w:szCs w:val="18"/>
        </w:rPr>
        <w:t>Pseudochloris wilhelmii</w:t>
      </w:r>
      <w:r w:rsidRPr="001A089B">
        <w:rPr>
          <w:rFonts w:cs="Arial"/>
          <w:szCs w:val="18"/>
        </w:rPr>
        <w:t xml:space="preserve"> (belonging to the genus </w:t>
      </w:r>
      <w:r w:rsidRPr="001A089B">
        <w:rPr>
          <w:rFonts w:cs="Arial"/>
          <w:i/>
          <w:szCs w:val="18"/>
        </w:rPr>
        <w:t>Picochlorum</w:t>
      </w:r>
      <w:r w:rsidRPr="001A089B">
        <w:rPr>
          <w:rFonts w:cs="Arial"/>
          <w:szCs w:val="18"/>
        </w:rPr>
        <w:t xml:space="preserve">) had the highest µ when cultivated in the standard Brackish Water Medium with a N/P ratio of 10. SP46 cultivated in A+ with a N/P ratio of 20 </w:t>
      </w:r>
      <w:r w:rsidRPr="001A089B">
        <w:rPr>
          <w:rFonts w:cs="Arial"/>
          <w:szCs w:val="18"/>
        </w:rPr>
        <w:fldChar w:fldCharType="begin" w:fldLock="1"/>
      </w:r>
      <w:r w:rsidRPr="001A089B">
        <w:rPr>
          <w:rFonts w:cs="Arial"/>
          <w:szCs w:val="18"/>
        </w:rPr>
        <w:instrText>ADDIN CSL_CITATION {"citationItems":[{"id":"ITEM-1","itemData":{"DOI":"10.13031/trans.12136","ISSN":"21510032","abstract":"The objective of this study was to characterize the growth pattern, lipid content, fatty acid profile, and biomass characteristics of seven algae strains isolated from the same environment and grown in standard media under similar conditions. Proximate composition of the algae biomass was determined using a thermogravimetric analysis method. The growth profile of a selected strain (SP22) in wastewater generated during hydraulic fracturing for natural gas production (frac water) was also examined. Average biomass productivities of SP20, SP46, and SP50 were similar and significantly higher than the other strains examined in this study. Maximum biomass concentration in the culture medium (1.32 g L-1) was achieved with SP46. Green algae strains SP20 and SP22 accumulated significantly higher amounts of lipids than all the cyanobacteria investigated in this study. Saturated fatty acid contents of the algal oils varied between 32.5% and 39.9%. The highest mono-And polyunsaturated fatty acid contents were observed in SP46 and SP22, respectively. Total FAME content was highest in SP22 and second highest in SP20. Growth potential of SP22 in wastewater was also examined. This study demonstrated that SP22 can grow in frac water. Furthermore, enrichment of frac water with nutrients resulted in about 20 times more biomass productivity than that of the frac water as is, with no nutrient addition.","author":[{"dropping-particle":"","family":"Zhou","given":"N.","non-dropping-particle":"","parse-names":false,"suffix":""},{"dropping-particle":"","family":"Dunford","given":"N. T.","non-dropping-particle":"","parse-names":false,"suffix":""}],"container-title":"Transactions of the ASABE","id":"ITEM-1","issued":{"date-parts":[["2017"]]},"title":"Characterization of green microalgae and cyanobacteria isolated from the great salt plains","type":"article-journal"},"uris":["http://www.mendeley.com/documents/?uuid=6fd77588-2e22-4917-8ef0-cf915adf0fe1"]}],"mendeley":{"formattedCitation":"(Zhou and Dunford, 2017)","plainTextFormattedCitation":"(Zhou and Dunford, 2017)","previouslyFormattedCitation":"(Zhou and Dunford, 2017)"},"properties":{"noteIndex":0},"schema":"https://github.com/citation-style-language/schema/raw/master/csl-citation.json"}</w:instrText>
      </w:r>
      <w:r w:rsidRPr="001A089B">
        <w:rPr>
          <w:rFonts w:cs="Arial"/>
          <w:szCs w:val="18"/>
        </w:rPr>
        <w:fldChar w:fldCharType="separate"/>
      </w:r>
      <w:r w:rsidRPr="001A089B">
        <w:rPr>
          <w:rFonts w:cs="Arial"/>
          <w:szCs w:val="18"/>
        </w:rPr>
        <w:t>(Zhou and Dunford, 2017)</w:t>
      </w:r>
      <w:r w:rsidRPr="001A089B">
        <w:rPr>
          <w:rFonts w:cs="Arial"/>
          <w:szCs w:val="18"/>
        </w:rPr>
        <w:fldChar w:fldCharType="end"/>
      </w:r>
      <w:r w:rsidRPr="001A089B">
        <w:rPr>
          <w:rFonts w:cs="Arial"/>
          <w:szCs w:val="18"/>
        </w:rPr>
        <w:t xml:space="preserve"> and in another standard medium with a N/P ratio of 12 </w:t>
      </w:r>
      <w:r w:rsidRPr="001A089B">
        <w:rPr>
          <w:rFonts w:cs="Arial"/>
          <w:szCs w:val="18"/>
        </w:rPr>
        <w:fldChar w:fldCharType="begin" w:fldLock="1"/>
      </w:r>
      <w:r w:rsidRPr="001A089B">
        <w:rPr>
          <w:rFonts w:cs="Arial"/>
          <w:szCs w:val="18"/>
        </w:rPr>
        <w:instrText>ADDIN CSL_CITATION {"citationItems":[{"id":"ITEM-1","itemData":{"DOI":"10.1016/j.biortech.2014.12.028","ISSN":"18732976","PMID":"25544498","abstract":"The N/P ratio of wastewater can vary greatly and directly affect algal growth and nutrient removal process. Three benthic filamentous algae species Cladophora sp., Klebsormidium sp. and Pseudanabaena sp. were isolated from a periphyton bioreactor and cultured under laboratory conditions on varying N/P ratios to determine their ability to remove nitrate and phosphorus. The N/P ratio significantly influenced the algal growth and phosphorus uptake process. Appropriate N/P ratios for nitrogen and phosphorus removal were 5-15, 7-10 and 7-20 for Cladophora sp., Klebsormidium sp. and Pseudanabaena sp., respectively. Within these respective ranges, Cladophora sp. had the highest biomass production, while Pseudanabaena sp. had the highest nitrogen and phosphorus contents. This study indicated that Cladophora sp. had a high capacity of removing phosphorus from wastewaters of low N/P ratio, and Pseudanabaena sp. was highly suitable for removing nitrogen from wastewaters with high N/P ratio.","author":[{"dropping-particle":"","family":"Liu","given":"Junzhuo","non-dropping-particle":"","parse-names":false,"suffix":""},{"dropping-particle":"","family":"Vyverman","given":"Wim","non-dropping-particle":"","parse-names":false,"suffix":""}],"container-title":"Bioresource Technology","id":"ITEM-1","issued":{"date-parts":[["2015"]]},"title":"Differences in nutrient uptake capacity of the benthic filamentous algae Cladophora sp., Klebsormidium sp. and Pseudanabaena sp. under varying N/P conditions","type":"article-journal"},"uris":["http://www.mendeley.com/documents/?uuid=fdb4908d-068e-4525-b3e7-325308ec7790"]}],"mendeley":{"formattedCitation":"(Liu and Vyverman, 2015)","plainTextFormattedCitation":"(Liu and Vyverman, 2015)","previouslyFormattedCitation":"(Liu and Vyverman, 2015)"},"properties":{"noteIndex":0},"schema":"https://github.com/citation-style-language/schema/raw/master/csl-citation.json"}</w:instrText>
      </w:r>
      <w:r w:rsidRPr="001A089B">
        <w:rPr>
          <w:rFonts w:cs="Arial"/>
          <w:szCs w:val="18"/>
        </w:rPr>
        <w:fldChar w:fldCharType="separate"/>
      </w:r>
      <w:r w:rsidRPr="001A089B">
        <w:rPr>
          <w:rFonts w:cs="Arial"/>
          <w:szCs w:val="18"/>
        </w:rPr>
        <w:t>(Liu and Vyverman, 2015)</w:t>
      </w:r>
      <w:r w:rsidRPr="001A089B">
        <w:rPr>
          <w:rFonts w:cs="Arial"/>
          <w:szCs w:val="18"/>
        </w:rPr>
        <w:fldChar w:fldCharType="end"/>
      </w:r>
      <w:r w:rsidRPr="001A089B">
        <w:rPr>
          <w:rFonts w:cs="Arial"/>
          <w:szCs w:val="18"/>
        </w:rPr>
        <w:t xml:space="preserve"> resulted in µ of 0.61 and 1.10 day</w:t>
      </w:r>
      <w:r w:rsidRPr="001A089B">
        <w:rPr>
          <w:rFonts w:cs="Arial"/>
          <w:szCs w:val="18"/>
          <w:vertAlign w:val="superscript"/>
        </w:rPr>
        <w:t>-1</w:t>
      </w:r>
      <w:r w:rsidRPr="001A089B">
        <w:rPr>
          <w:rFonts w:cs="Arial"/>
          <w:szCs w:val="18"/>
        </w:rPr>
        <w:t xml:space="preserve">, respectively. SP28, SP33 and SP46 when cultivated in PW-A exhibited lower µ compared those obtained when grown with another PW from a different well operating in Oklahoma which was not mechanically pre-treated by an oil skimmer </w:t>
      </w:r>
      <w:r w:rsidRPr="001A089B">
        <w:rPr>
          <w:rFonts w:cs="Arial"/>
          <w:szCs w:val="18"/>
        </w:rPr>
        <w:fldChar w:fldCharType="begin" w:fldLock="1"/>
      </w:r>
      <w:r w:rsidRPr="001A089B">
        <w:rPr>
          <w:rFonts w:cs="Arial"/>
          <w:szCs w:val="18"/>
        </w:rPr>
        <w:instrText>ADDIN CSL_CITATION {"citationItems":[{"id":"ITEM-1","itemData":{"DOI":"10.3303/CET1974211","ISSN":"22839216","abstract":"Hydraulic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technology.","author":[{"dropping-particle":"","family":"Lutzu","given":"Giovanni Antonio","non-dropping-particle":"","parse-names":false,"suffix":""},{"dropping-particle":"","family":"Dunford","given":"Nurhan Turgut","non-dropping-particle":"","parse-names":false,"suffix":""}],"container-title":"Chemical Engineering Transactions","id":"ITEM-1","issued":{"date-parts":[["2019"]]},"title":"Growing Algae in Produced Water Generated during Oil and Gas Production using Hydraulic Fracturing Technique","type":"article-journal"},"uris":["http://www.mendeley.com/documents/?uuid=3e25336d-1946-48c2-8750-618312e66384"]}],"mendeley":{"formattedCitation":"(Lutzu and Dunford, 2019b)","plainTextFormattedCitation":"(Lutzu and Dunford, 2019b)","previouslyFormattedCitation":"(Lutzu and Dunford, 2019b)"},"properties":{"noteIndex":0},"schema":"https://github.com/citation-style-language/schema/raw/master/csl-citation.json"}</w:instrText>
      </w:r>
      <w:r w:rsidRPr="001A089B">
        <w:rPr>
          <w:rFonts w:cs="Arial"/>
          <w:szCs w:val="18"/>
        </w:rPr>
        <w:fldChar w:fldCharType="separate"/>
      </w:r>
      <w:r w:rsidRPr="001A089B">
        <w:rPr>
          <w:rFonts w:cs="Arial"/>
          <w:szCs w:val="18"/>
        </w:rPr>
        <w:t>(Lutzu and Dunford, 2019b)</w:t>
      </w:r>
      <w:r w:rsidRPr="001A089B">
        <w:rPr>
          <w:rFonts w:cs="Arial"/>
          <w:szCs w:val="18"/>
        </w:rPr>
        <w:fldChar w:fldCharType="end"/>
      </w:r>
      <w:r w:rsidRPr="001A089B">
        <w:rPr>
          <w:rFonts w:cs="Arial"/>
          <w:szCs w:val="18"/>
        </w:rPr>
        <w:t>.</w:t>
      </w:r>
    </w:p>
    <w:p w14:paraId="178560D6" w14:textId="72349A85" w:rsidR="000546CC" w:rsidRDefault="000546CC" w:rsidP="00732C41">
      <w:pPr>
        <w:autoSpaceDE w:val="0"/>
        <w:autoSpaceDN w:val="0"/>
        <w:adjustRightInd w:val="0"/>
        <w:spacing w:before="120" w:after="120"/>
        <w:rPr>
          <w:rFonts w:cs="Arial"/>
          <w:szCs w:val="18"/>
        </w:rPr>
      </w:pPr>
      <w:r>
        <w:rPr>
          <w:rFonts w:cs="Arial"/>
          <w:noProof/>
          <w:szCs w:val="18"/>
          <w:lang w:val="it-IT" w:eastAsia="it-IT"/>
        </w:rPr>
        <w:drawing>
          <wp:inline distT="0" distB="0" distL="0" distR="0" wp14:anchorId="7D42F38E" wp14:editId="4B3B9042">
            <wp:extent cx="2545200" cy="253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200" cy="2534400"/>
                    </a:xfrm>
                    <a:prstGeom prst="rect">
                      <a:avLst/>
                    </a:prstGeom>
                    <a:noFill/>
                  </pic:spPr>
                </pic:pic>
              </a:graphicData>
            </a:graphic>
          </wp:inline>
        </w:drawing>
      </w:r>
      <w:r>
        <w:rPr>
          <w:rFonts w:cs="Arial"/>
          <w:szCs w:val="18"/>
        </w:rPr>
        <w:t xml:space="preserve">        </w:t>
      </w:r>
      <w:r>
        <w:rPr>
          <w:rFonts w:cs="Arial"/>
          <w:noProof/>
          <w:szCs w:val="18"/>
          <w:lang w:val="it-IT" w:eastAsia="it-IT"/>
        </w:rPr>
        <w:drawing>
          <wp:inline distT="0" distB="0" distL="0" distR="0" wp14:anchorId="3F414AD0" wp14:editId="2318022D">
            <wp:extent cx="2541600" cy="250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600" cy="2502000"/>
                    </a:xfrm>
                    <a:prstGeom prst="rect">
                      <a:avLst/>
                    </a:prstGeom>
                    <a:noFill/>
                  </pic:spPr>
                </pic:pic>
              </a:graphicData>
            </a:graphic>
          </wp:inline>
        </w:drawing>
      </w:r>
    </w:p>
    <w:p w14:paraId="6718D7AD" w14:textId="43C72CDE" w:rsidR="000546CC" w:rsidRPr="000546CC" w:rsidRDefault="000546CC" w:rsidP="000546CC">
      <w:pPr>
        <w:autoSpaceDE w:val="0"/>
        <w:autoSpaceDN w:val="0"/>
        <w:adjustRightInd w:val="0"/>
        <w:spacing w:before="240" w:after="120"/>
        <w:rPr>
          <w:rFonts w:cs="Arial"/>
          <w:i/>
          <w:iCs/>
          <w:szCs w:val="18"/>
        </w:rPr>
      </w:pPr>
      <w:r w:rsidRPr="000546CC">
        <w:rPr>
          <w:rFonts w:cs="Arial"/>
          <w:i/>
          <w:iCs/>
          <w:szCs w:val="18"/>
        </w:rPr>
        <w:t>Figure 1. Mass balances around the unit operations used for the pre-treatment of PW (a) and FW (b)</w:t>
      </w:r>
    </w:p>
    <w:p w14:paraId="02E50BBD" w14:textId="317C0323" w:rsidR="00B21A37" w:rsidRDefault="00694061" w:rsidP="00694061">
      <w:pPr>
        <w:pStyle w:val="EndNoteBibliographyTitle"/>
        <w:spacing w:line="240" w:lineRule="auto"/>
        <w:jc w:val="both"/>
        <w:rPr>
          <w:rFonts w:ascii="Arial" w:hAnsi="Arial" w:cs="Arial"/>
          <w:sz w:val="18"/>
          <w:szCs w:val="18"/>
        </w:rPr>
      </w:pPr>
      <w:r w:rsidRPr="001A089B">
        <w:rPr>
          <w:rFonts w:ascii="Arial" w:hAnsi="Arial" w:cs="Arial"/>
          <w:sz w:val="18"/>
          <w:szCs w:val="18"/>
        </w:rPr>
        <w:t>There was no specific trend for the X</w:t>
      </w:r>
      <w:r w:rsidRPr="001A089B">
        <w:rPr>
          <w:rFonts w:ascii="Arial" w:hAnsi="Arial" w:cs="Arial"/>
          <w:sz w:val="18"/>
          <w:szCs w:val="18"/>
          <w:vertAlign w:val="subscript"/>
        </w:rPr>
        <w:t>max</w:t>
      </w:r>
      <w:r w:rsidRPr="001A089B">
        <w:rPr>
          <w:rFonts w:ascii="Arial" w:hAnsi="Arial" w:cs="Arial"/>
          <w:sz w:val="18"/>
          <w:szCs w:val="18"/>
        </w:rPr>
        <w:t xml:space="preserve"> determined the four strains grown in PW. The highest X</w:t>
      </w:r>
      <w:r w:rsidRPr="001A089B">
        <w:rPr>
          <w:rFonts w:ascii="Arial" w:hAnsi="Arial" w:cs="Arial"/>
          <w:sz w:val="18"/>
          <w:szCs w:val="18"/>
          <w:vertAlign w:val="subscript"/>
        </w:rPr>
        <w:t xml:space="preserve">max </w:t>
      </w:r>
      <w:r w:rsidRPr="001A089B">
        <w:rPr>
          <w:rFonts w:ascii="Arial" w:hAnsi="Arial" w:cs="Arial"/>
          <w:sz w:val="18"/>
          <w:szCs w:val="18"/>
        </w:rPr>
        <w:t xml:space="preserve">in PW-A was obtained by </w:t>
      </w:r>
      <w:r w:rsidR="001A089B" w:rsidRPr="001A089B">
        <w:rPr>
          <w:rFonts w:ascii="Arial" w:hAnsi="Arial" w:cs="Arial"/>
          <w:sz w:val="18"/>
          <w:szCs w:val="18"/>
        </w:rPr>
        <w:t>CCMP2329</w:t>
      </w:r>
      <w:r w:rsidRPr="001A089B">
        <w:rPr>
          <w:rFonts w:ascii="Arial" w:hAnsi="Arial" w:cs="Arial"/>
          <w:sz w:val="18"/>
          <w:szCs w:val="18"/>
          <w:vertAlign w:val="subscript"/>
        </w:rPr>
        <w:t xml:space="preserve"> </w:t>
      </w:r>
      <w:r w:rsidRPr="001A089B">
        <w:rPr>
          <w:rFonts w:ascii="Arial" w:hAnsi="Arial" w:cs="Arial"/>
          <w:sz w:val="18"/>
          <w:szCs w:val="18"/>
        </w:rPr>
        <w:t xml:space="preserve">while </w:t>
      </w:r>
      <w:r w:rsidR="001A089B" w:rsidRPr="001A089B">
        <w:rPr>
          <w:rFonts w:ascii="Arial" w:hAnsi="Arial" w:cs="Arial"/>
          <w:sz w:val="18"/>
          <w:szCs w:val="18"/>
        </w:rPr>
        <w:t>SP33</w:t>
      </w:r>
      <w:r w:rsidRPr="001A089B">
        <w:rPr>
          <w:rFonts w:ascii="Arial" w:hAnsi="Arial" w:cs="Arial"/>
          <w:sz w:val="18"/>
          <w:szCs w:val="18"/>
        </w:rPr>
        <w:t xml:space="preserve"> exhibited the highest X</w:t>
      </w:r>
      <w:r w:rsidRPr="001A089B">
        <w:rPr>
          <w:rFonts w:ascii="Arial" w:hAnsi="Arial" w:cs="Arial"/>
          <w:sz w:val="18"/>
          <w:szCs w:val="18"/>
          <w:vertAlign w:val="subscript"/>
        </w:rPr>
        <w:t>max</w:t>
      </w:r>
      <w:r w:rsidR="001A089B" w:rsidRPr="001A089B">
        <w:rPr>
          <w:rFonts w:ascii="Arial" w:hAnsi="Arial" w:cs="Arial"/>
          <w:sz w:val="18"/>
          <w:szCs w:val="18"/>
        </w:rPr>
        <w:t xml:space="preserve"> in PW-B</w:t>
      </w:r>
      <w:r w:rsidRPr="001A089B">
        <w:rPr>
          <w:rFonts w:ascii="Arial" w:hAnsi="Arial" w:cs="Arial"/>
          <w:sz w:val="18"/>
          <w:szCs w:val="18"/>
        </w:rPr>
        <w:t xml:space="preserve">. </w:t>
      </w:r>
      <w:r w:rsidR="001A089B" w:rsidRPr="001A089B">
        <w:rPr>
          <w:rFonts w:ascii="Arial" w:hAnsi="Arial" w:cs="Arial"/>
          <w:sz w:val="18"/>
          <w:szCs w:val="18"/>
        </w:rPr>
        <w:t>SP46</w:t>
      </w:r>
      <w:r w:rsidRPr="001A089B">
        <w:rPr>
          <w:rFonts w:ascii="Arial" w:hAnsi="Arial" w:cs="Arial"/>
          <w:sz w:val="18"/>
          <w:szCs w:val="18"/>
        </w:rPr>
        <w:t xml:space="preserve"> achieved in PW-A a X</w:t>
      </w:r>
      <w:r w:rsidRPr="001A089B">
        <w:rPr>
          <w:rFonts w:ascii="Arial" w:hAnsi="Arial" w:cs="Arial"/>
          <w:sz w:val="18"/>
          <w:szCs w:val="18"/>
          <w:vertAlign w:val="subscript"/>
        </w:rPr>
        <w:t>max</w:t>
      </w:r>
      <w:r w:rsidRPr="001A089B">
        <w:rPr>
          <w:rFonts w:ascii="Arial" w:hAnsi="Arial" w:cs="Arial"/>
          <w:sz w:val="18"/>
          <w:szCs w:val="18"/>
        </w:rPr>
        <w:t xml:space="preserve"> of 1.96 g L</w:t>
      </w:r>
      <w:r w:rsidRPr="001A089B">
        <w:rPr>
          <w:rFonts w:ascii="Arial" w:hAnsi="Arial" w:cs="Arial"/>
          <w:sz w:val="18"/>
          <w:szCs w:val="18"/>
          <w:vertAlign w:val="superscript"/>
        </w:rPr>
        <w:t>-1</w:t>
      </w:r>
      <w:r w:rsidRPr="001A089B">
        <w:rPr>
          <w:rFonts w:ascii="Arial" w:hAnsi="Arial" w:cs="Arial"/>
          <w:sz w:val="18"/>
          <w:szCs w:val="18"/>
        </w:rPr>
        <w:t xml:space="preserve"> which was 4 times higher than the lowest X</w:t>
      </w:r>
      <w:r w:rsidRPr="001A089B">
        <w:rPr>
          <w:rFonts w:ascii="Arial" w:hAnsi="Arial" w:cs="Arial"/>
          <w:sz w:val="18"/>
          <w:szCs w:val="18"/>
          <w:vertAlign w:val="subscript"/>
        </w:rPr>
        <w:t xml:space="preserve">max, </w:t>
      </w:r>
      <w:r w:rsidRPr="001A089B">
        <w:rPr>
          <w:rFonts w:ascii="Arial" w:hAnsi="Arial" w:cs="Arial"/>
          <w:sz w:val="18"/>
          <w:szCs w:val="18"/>
        </w:rPr>
        <w:t>produced by the same strain in FW-B (</w:t>
      </w:r>
      <w:r w:rsidR="001A089B" w:rsidRPr="001A089B">
        <w:rPr>
          <w:rFonts w:ascii="Arial" w:hAnsi="Arial" w:cs="Arial"/>
          <w:sz w:val="18"/>
          <w:szCs w:val="18"/>
        </w:rPr>
        <w:t>Fig</w:t>
      </w:r>
      <w:r w:rsidR="00093235">
        <w:rPr>
          <w:rFonts w:ascii="Arial" w:hAnsi="Arial" w:cs="Arial"/>
          <w:sz w:val="18"/>
          <w:szCs w:val="18"/>
        </w:rPr>
        <w:t>ure</w:t>
      </w:r>
      <w:r w:rsidR="001A089B" w:rsidRPr="001A089B">
        <w:rPr>
          <w:rFonts w:ascii="Arial" w:hAnsi="Arial" w:cs="Arial"/>
          <w:sz w:val="18"/>
          <w:szCs w:val="18"/>
        </w:rPr>
        <w:t xml:space="preserve"> </w:t>
      </w:r>
      <w:r w:rsidR="008E0790">
        <w:rPr>
          <w:rFonts w:ascii="Arial" w:hAnsi="Arial" w:cs="Arial"/>
          <w:sz w:val="18"/>
          <w:szCs w:val="18"/>
        </w:rPr>
        <w:t>2</w:t>
      </w:r>
      <w:r w:rsidR="001A089B" w:rsidRPr="001A089B">
        <w:rPr>
          <w:rFonts w:ascii="Arial" w:hAnsi="Arial" w:cs="Arial"/>
          <w:sz w:val="18"/>
          <w:szCs w:val="18"/>
        </w:rPr>
        <w:t>a</w:t>
      </w:r>
      <w:r w:rsidRPr="001A089B">
        <w:rPr>
          <w:rFonts w:ascii="Arial" w:hAnsi="Arial" w:cs="Arial"/>
          <w:sz w:val="18"/>
          <w:szCs w:val="18"/>
        </w:rPr>
        <w:t>). Indeed, all four strains produced significantly higher X</w:t>
      </w:r>
      <w:r w:rsidRPr="001A089B">
        <w:rPr>
          <w:rFonts w:ascii="Arial" w:hAnsi="Arial" w:cs="Arial"/>
          <w:sz w:val="18"/>
          <w:szCs w:val="18"/>
          <w:vertAlign w:val="subscript"/>
        </w:rPr>
        <w:t xml:space="preserve">max, </w:t>
      </w:r>
      <w:r w:rsidRPr="001A089B">
        <w:rPr>
          <w:rFonts w:ascii="Arial" w:hAnsi="Arial" w:cs="Arial"/>
          <w:sz w:val="18"/>
          <w:szCs w:val="18"/>
        </w:rPr>
        <w:t>in PW-A than they did</w:t>
      </w:r>
      <w:r w:rsidRPr="001A089B">
        <w:rPr>
          <w:rFonts w:ascii="Arial" w:hAnsi="Arial" w:cs="Arial"/>
          <w:sz w:val="18"/>
          <w:szCs w:val="18"/>
          <w:vertAlign w:val="subscript"/>
        </w:rPr>
        <w:t xml:space="preserve"> </w:t>
      </w:r>
      <w:r w:rsidRPr="001A089B">
        <w:rPr>
          <w:rFonts w:ascii="Arial" w:hAnsi="Arial" w:cs="Arial"/>
          <w:sz w:val="18"/>
          <w:szCs w:val="18"/>
        </w:rPr>
        <w:t xml:space="preserve">in other WWs examined in this study. In previous studies carried out in our laboratory under similar growth conditions used in this study except for the PW composition (which was collected from another well in OK), </w:t>
      </w:r>
      <w:r w:rsidR="001A089B" w:rsidRPr="001A089B">
        <w:rPr>
          <w:rFonts w:ascii="Arial" w:hAnsi="Arial" w:cs="Arial"/>
          <w:sz w:val="18"/>
          <w:szCs w:val="18"/>
        </w:rPr>
        <w:t>CCMP2329</w:t>
      </w:r>
      <w:r w:rsidRPr="001A089B">
        <w:rPr>
          <w:rFonts w:ascii="Arial" w:hAnsi="Arial" w:cs="Arial"/>
          <w:sz w:val="18"/>
          <w:szCs w:val="18"/>
        </w:rPr>
        <w:t xml:space="preserve"> produced X</w:t>
      </w:r>
      <w:r w:rsidRPr="001A089B">
        <w:rPr>
          <w:rFonts w:ascii="Arial" w:hAnsi="Arial" w:cs="Arial"/>
          <w:sz w:val="18"/>
          <w:szCs w:val="18"/>
          <w:vertAlign w:val="subscript"/>
        </w:rPr>
        <w:t>max</w:t>
      </w:r>
      <w:r w:rsidRPr="001A089B">
        <w:rPr>
          <w:rFonts w:ascii="Arial" w:hAnsi="Arial" w:cs="Arial"/>
          <w:sz w:val="18"/>
          <w:szCs w:val="18"/>
        </w:rPr>
        <w:t xml:space="preserve"> of 1.87 g L</w:t>
      </w:r>
      <w:r w:rsidRPr="001A089B">
        <w:rPr>
          <w:rFonts w:ascii="Arial" w:hAnsi="Arial" w:cs="Arial"/>
          <w:sz w:val="18"/>
          <w:szCs w:val="18"/>
          <w:vertAlign w:val="superscript"/>
        </w:rPr>
        <w:t>-1</w:t>
      </w:r>
      <w:r w:rsidRPr="001A089B">
        <w:rPr>
          <w:rFonts w:ascii="Arial" w:hAnsi="Arial" w:cs="Arial"/>
          <w:sz w:val="18"/>
          <w:szCs w:val="18"/>
        </w:rPr>
        <w:t xml:space="preserve"> </w:t>
      </w:r>
      <w:r w:rsidR="000E18D0" w:rsidRPr="001A089B">
        <w:rPr>
          <w:rFonts w:ascii="Arial" w:hAnsi="Arial" w:cs="Arial"/>
          <w:sz w:val="18"/>
          <w:szCs w:val="18"/>
        </w:rPr>
        <w:fldChar w:fldCharType="begin" w:fldLock="1"/>
      </w:r>
      <w:r w:rsidRPr="001A089B">
        <w:rPr>
          <w:rFonts w:ascii="Arial" w:hAnsi="Arial" w:cs="Arial"/>
          <w:sz w:val="18"/>
          <w:szCs w:val="18"/>
        </w:rPr>
        <w:instrText>ADDIN CSL_CITATION {"citationItems":[{"id":"ITEM-1","itemData":{"DOI":"10.3303/CET1974211","ISSN":"22839216","abstract":"Hydraulic fracturing technology is widely used for recovering natural gas and oil from tight oil and gas reserves. Large volumes of wastewater are generated during this process. Produced water is considered wastewater by the regulators, hence, need to be treated or disposed accordingly. This study examines algal treatment of produced water. Eleven microalgae strains were examined. Wastewater quality before and after algae treatment was evaluated. Algal biomass grown in produced water was characterized for its volatile matter, fixed carbon and ash contents. The experimental results indicate that microalgae can grow in produced water. The chemical composition of the algal biomass obtained in produced water was strain specific. Cyanobacteria SP47 exhibited the highest high heating value and fixed carbon among the strains examined in this study. About 60 % total dissolved solids, 100 % nitrate and phosphate, over 65 % boron reduction in produced water could be achieved. This study has demonstrated that algal treatment of produced water can significantly reduce the costs and the adverse environmental impact of hydraulic fracturing technology.","author":[{"dropping-particle":"","family":"Lutzu","given":"Giovanni Antonio","non-dropping-particle":"","parse-names":false,"suffix":""},{"dropping-particle":"","family":"Dunford","given":"Nurhan Turgut","non-dropping-particle":"","parse-names":false,"suffix":""}],"container-title":"Chemical Engineering Transactions","id":"ITEM-1","issued":{"date-parts":[["2019"]]},"title":"Growing Algae in Produced Water Generated during Oil and Gas Production using Hydraulic Fracturing Technique","type":"article-journal"},"uris":["http://www.mendeley.com/documents/?uuid=3e25336d-1946-48c2-8750-618312e66384"]}],"mendeley":{"formattedCitation":"(Lutzu and Dunford, 2019b)","plainTextFormattedCitation":"(Lutzu and Dunford, 2019b)","previouslyFormattedCitation":"(Lutzu and Dunford, 2019b)"},"properties":{"noteIndex":0},"schema":"https://github.com/citation-style-language/schema/raw/master/csl-citation.json"}</w:instrText>
      </w:r>
      <w:r w:rsidR="000E18D0" w:rsidRPr="001A089B">
        <w:rPr>
          <w:rFonts w:ascii="Arial" w:hAnsi="Arial" w:cs="Arial"/>
          <w:sz w:val="18"/>
          <w:szCs w:val="18"/>
        </w:rPr>
        <w:fldChar w:fldCharType="separate"/>
      </w:r>
      <w:r w:rsidRPr="001A089B">
        <w:rPr>
          <w:rFonts w:ascii="Arial" w:hAnsi="Arial" w:cs="Arial"/>
          <w:sz w:val="18"/>
          <w:szCs w:val="18"/>
        </w:rPr>
        <w:t>(Lutzu and Dunford, 2019b)</w:t>
      </w:r>
      <w:r w:rsidR="000E18D0" w:rsidRPr="001A089B">
        <w:rPr>
          <w:rFonts w:ascii="Arial" w:hAnsi="Arial" w:cs="Arial"/>
          <w:sz w:val="18"/>
          <w:szCs w:val="18"/>
        </w:rPr>
        <w:fldChar w:fldCharType="end"/>
      </w:r>
      <w:r w:rsidRPr="001A089B">
        <w:rPr>
          <w:rFonts w:ascii="Arial" w:hAnsi="Arial" w:cs="Arial"/>
          <w:sz w:val="18"/>
          <w:szCs w:val="18"/>
        </w:rPr>
        <w:t xml:space="preserve"> while in another study the same strain attained a maximum biomass concentration of 2.10 g L</w:t>
      </w:r>
      <w:r w:rsidRPr="001A089B">
        <w:rPr>
          <w:rFonts w:ascii="Arial" w:hAnsi="Arial" w:cs="Arial"/>
          <w:sz w:val="18"/>
          <w:szCs w:val="18"/>
          <w:vertAlign w:val="superscript"/>
        </w:rPr>
        <w:t xml:space="preserve">-1 </w:t>
      </w:r>
      <w:r w:rsidRPr="001A089B">
        <w:rPr>
          <w:rFonts w:ascii="Arial" w:hAnsi="Arial" w:cs="Arial"/>
          <w:sz w:val="18"/>
          <w:szCs w:val="18"/>
        </w:rPr>
        <w:t xml:space="preserve">in the standard growth medium MAS </w:t>
      </w:r>
      <w:r w:rsidR="000E18D0" w:rsidRPr="001A089B">
        <w:rPr>
          <w:rFonts w:ascii="Arial" w:hAnsi="Arial" w:cs="Arial"/>
          <w:sz w:val="18"/>
          <w:szCs w:val="18"/>
        </w:rPr>
        <w:fldChar w:fldCharType="begin" w:fldLock="1"/>
      </w:r>
      <w:r w:rsidRPr="001A089B">
        <w:rPr>
          <w:rFonts w:ascii="Arial" w:hAnsi="Arial" w:cs="Arial"/>
          <w:sz w:val="18"/>
          <w:szCs w:val="18"/>
        </w:rPr>
        <w:instrText>ADDIN CSL_CITATION {"citationItems":[{"id":"ITEM-1","itemData":{"DOI":"10.1007/s11746-013-2225-0","ISSN":"0003021X","abstract":"Biofuels derived from microalgae are considered a viable alternative energy resource that eliminates the major drawbacks associated with biofuels produced from land crops. Strain selection is a critical factor for the success of microalgal production systems. This study evaluates Picochlorum oklahomensis (PO) as a potential microalga strain for biofuel and bioproduct applications. Nannochloropsis oculata (NO) was included in the study as a well-studied reference strain with biomass properties suitable for commercial applications. Growth pattern including specific growth rates, generation time and maximum biomass concentrations in culture media were determined for both PO and NO. Oil and protein contents and fatty acid composition of both strains were analyzed. PO had a higher biomass concentration in the medium and shorter generation time than NO. Both strains were rich in oil, protein and polyunsaturated fatty acids. This study indicates that PO can be a viable strain for bioproduct manufacturing because of its high oil and protein content and biomass productivity. © 2013 AOCS.","author":[{"dropping-particle":"","family":"Zhu","given":"Yan","non-dropping-particle":"","parse-names":false,"suffix":""},{"dropping-particle":"","family":"Dunford","given":"Nurhan Turgut","non-dropping-particle":"","parse-names":false,"suffix":""}],"container-title":"JAOCS, Journal of the American Oil Chemists' Society","id":"ITEM-1","issued":{"date-parts":[["2013"]]},"title":"Growth and biomass characteristics of picochlorum oklahomensis and nannochloropsis oculata","type":"article-journal"},"uris":["http://www.mendeley.com/documents/?uuid=e79766ab-f6e8-49ce-b331-4f0851bfb4ce"]}],"mendeley":{"formattedCitation":"(Zhu and Dunford, 2013)","plainTextFormattedCitation":"(Zhu and Dunford, 2013)","previouslyFormattedCitation":"(Zhu and Dunford, 2013)"},"properties":{"noteIndex":0},"schema":"https://github.com/citation-style-language/schema/raw/master/csl-citation.json"}</w:instrText>
      </w:r>
      <w:r w:rsidR="000E18D0" w:rsidRPr="001A089B">
        <w:rPr>
          <w:rFonts w:ascii="Arial" w:hAnsi="Arial" w:cs="Arial"/>
          <w:sz w:val="18"/>
          <w:szCs w:val="18"/>
        </w:rPr>
        <w:fldChar w:fldCharType="separate"/>
      </w:r>
      <w:r w:rsidRPr="001A089B">
        <w:rPr>
          <w:rFonts w:ascii="Arial" w:hAnsi="Arial" w:cs="Arial"/>
          <w:sz w:val="18"/>
          <w:szCs w:val="18"/>
        </w:rPr>
        <w:t>(Zhu and Dunford, 2013)</w:t>
      </w:r>
      <w:r w:rsidR="000E18D0" w:rsidRPr="001A089B">
        <w:rPr>
          <w:rFonts w:ascii="Arial" w:hAnsi="Arial" w:cs="Arial"/>
          <w:sz w:val="18"/>
          <w:szCs w:val="18"/>
        </w:rPr>
        <w:fldChar w:fldCharType="end"/>
      </w:r>
      <w:r w:rsidRPr="001A089B">
        <w:rPr>
          <w:rFonts w:ascii="Arial" w:hAnsi="Arial" w:cs="Arial"/>
          <w:sz w:val="18"/>
          <w:szCs w:val="18"/>
        </w:rPr>
        <w:t xml:space="preserve">. </w:t>
      </w:r>
      <w:r w:rsidR="001A089B" w:rsidRPr="001A089B">
        <w:rPr>
          <w:rFonts w:ascii="Arial" w:hAnsi="Arial" w:cs="Arial"/>
          <w:sz w:val="18"/>
          <w:szCs w:val="18"/>
        </w:rPr>
        <w:t>CCMP2329</w:t>
      </w:r>
      <w:r w:rsidRPr="001A089B">
        <w:rPr>
          <w:rFonts w:ascii="Arial" w:hAnsi="Arial" w:cs="Arial"/>
          <w:sz w:val="18"/>
          <w:szCs w:val="18"/>
        </w:rPr>
        <w:t xml:space="preserve"> produced X</w:t>
      </w:r>
      <w:r w:rsidRPr="001A089B">
        <w:rPr>
          <w:rFonts w:ascii="Arial" w:hAnsi="Arial" w:cs="Arial"/>
          <w:sz w:val="18"/>
          <w:szCs w:val="18"/>
          <w:vertAlign w:val="subscript"/>
        </w:rPr>
        <w:t>max</w:t>
      </w:r>
      <w:r w:rsidRPr="001A089B">
        <w:rPr>
          <w:rFonts w:ascii="Arial" w:hAnsi="Arial" w:cs="Arial"/>
          <w:sz w:val="18"/>
          <w:szCs w:val="18"/>
        </w:rPr>
        <w:t xml:space="preserve"> of 1.77 g L</w:t>
      </w:r>
      <w:r w:rsidRPr="001A089B">
        <w:rPr>
          <w:rFonts w:ascii="Arial" w:hAnsi="Arial" w:cs="Arial"/>
          <w:sz w:val="18"/>
          <w:szCs w:val="18"/>
          <w:vertAlign w:val="superscript"/>
        </w:rPr>
        <w:t>-1</w:t>
      </w:r>
      <w:r w:rsidRPr="001A089B">
        <w:rPr>
          <w:rFonts w:ascii="Arial" w:hAnsi="Arial" w:cs="Arial"/>
          <w:sz w:val="18"/>
          <w:szCs w:val="18"/>
        </w:rPr>
        <w:t xml:space="preserve"> in PW-A, which is similar to the values reported in the latter studies. Similar X</w:t>
      </w:r>
      <w:r w:rsidRPr="001A089B">
        <w:rPr>
          <w:rFonts w:ascii="Arial" w:hAnsi="Arial" w:cs="Arial"/>
          <w:sz w:val="18"/>
          <w:szCs w:val="18"/>
          <w:vertAlign w:val="subscript"/>
        </w:rPr>
        <w:t>max</w:t>
      </w:r>
      <w:r w:rsidRPr="001A089B">
        <w:rPr>
          <w:rFonts w:ascii="Arial" w:hAnsi="Arial" w:cs="Arial"/>
          <w:sz w:val="18"/>
          <w:szCs w:val="18"/>
        </w:rPr>
        <w:t xml:space="preserve"> values to the ones obatined in PW-A with </w:t>
      </w:r>
      <w:r w:rsidR="001A089B" w:rsidRPr="001A089B">
        <w:rPr>
          <w:rFonts w:ascii="Arial" w:hAnsi="Arial" w:cs="Arial"/>
          <w:sz w:val="18"/>
          <w:szCs w:val="18"/>
        </w:rPr>
        <w:t xml:space="preserve">SP28, SP33 and SP46 </w:t>
      </w:r>
      <w:r w:rsidRPr="001A089B">
        <w:rPr>
          <w:rFonts w:ascii="Arial" w:hAnsi="Arial" w:cs="Arial"/>
          <w:sz w:val="18"/>
          <w:szCs w:val="18"/>
        </w:rPr>
        <w:t xml:space="preserve">were reported earlier </w:t>
      </w:r>
      <w:r w:rsidR="000E18D0" w:rsidRPr="001A089B">
        <w:rPr>
          <w:rFonts w:ascii="Arial" w:hAnsi="Arial" w:cs="Arial"/>
          <w:sz w:val="18"/>
          <w:szCs w:val="18"/>
        </w:rPr>
        <w:fldChar w:fldCharType="begin" w:fldLock="1"/>
      </w:r>
      <w:r w:rsidRPr="001A089B">
        <w:rPr>
          <w:rFonts w:ascii="Arial" w:hAnsi="Arial" w:cs="Arial"/>
          <w:sz w:val="18"/>
          <w:szCs w:val="18"/>
        </w:rPr>
        <w:instrText>ADDIN CSL_CITATION {"citationItems":[{"id":"ITEM-1","itemData":{"DOI":"10.1080/09593330.2017.1415983","ISSN":"1479487X","PMID":"29226768","abstract":"Hydraulic fracturing technology is widely used for recovering natural gas and oil from tight oil and gas reserves. Large volumes of wastewater, flowback water, are produced during the fracturing process. This study examines algal treatment of flowback water. Thirteen microalgae strains consisting of cyanobacteria and green algae were examined. Wastewater quality before and after algae treatment, as well as volatile matter, fixed carbon and ash contents of the biomass grown in flowback water were examined. The experimental results demonstrated that microalgae can grow in flowback water. The chemical composition of the algal biomass produced in flowback water was strain specific. Over 65% total dissolved solids, 100% nitrate and over 95% boron reduction in flowback water could be achieved. Hence, algal treatment of flowback water can significantly reduce the adverse environmental impact of hydraulic fracturing technology and produce biomass that can be converted to bioproducts.","author":[{"dropping-particle":"","family":"Lutzu","given":"Giovanni Antonio","non-dropping-particle":"","parse-names":false,"suffix":""},{"dropping-particle":"","family":"Dunford","given":"Nurhan Turgut","non-dropping-particle":"","parse-names":false,"suffix":""}],"container-title":"Environmental Technology (United Kingdom)","id":"ITEM-1","issue":"8","issued":{"date-parts":[["2019"]]},"page":"1027-1034","title":"Algal treatment of wastewater generated during oil and gas production using hydraulic fracturing technology","type":"article-journal","volume":"40"},"uris":["http://www.mendeley.com/documents/?uuid=8913edf2-bff3-4040-b349-307bd4c96f2d"]}],"mendeley":{"formattedCitation":"(Lutzu and Dunford, 2019a)","plainTextFormattedCitation":"(Lutzu and Dunford, 2019a)","previouslyFormattedCitation":"(Lutzu and Dunford, 2019a)"},"properties":{"noteIndex":0},"schema":"https://github.com/citation-style-language/schema/raw/master/csl-citation.json"}</w:instrText>
      </w:r>
      <w:r w:rsidR="000E18D0" w:rsidRPr="001A089B">
        <w:rPr>
          <w:rFonts w:ascii="Arial" w:hAnsi="Arial" w:cs="Arial"/>
          <w:sz w:val="18"/>
          <w:szCs w:val="18"/>
        </w:rPr>
        <w:fldChar w:fldCharType="separate"/>
      </w:r>
      <w:r w:rsidRPr="001A089B">
        <w:rPr>
          <w:rFonts w:ascii="Arial" w:hAnsi="Arial" w:cs="Arial"/>
          <w:sz w:val="18"/>
          <w:szCs w:val="18"/>
        </w:rPr>
        <w:t>(Lutzu and Dunford, 2019a)</w:t>
      </w:r>
      <w:r w:rsidR="000E18D0" w:rsidRPr="001A089B">
        <w:rPr>
          <w:rFonts w:ascii="Arial" w:hAnsi="Arial" w:cs="Arial"/>
          <w:sz w:val="18"/>
          <w:szCs w:val="18"/>
        </w:rPr>
        <w:fldChar w:fldCharType="end"/>
      </w:r>
      <w:r w:rsidRPr="001A089B">
        <w:rPr>
          <w:rFonts w:ascii="Arial" w:hAnsi="Arial" w:cs="Arial"/>
          <w:sz w:val="18"/>
          <w:szCs w:val="18"/>
        </w:rPr>
        <w:t>.</w:t>
      </w:r>
      <w:r w:rsidR="00B21A37" w:rsidRPr="001A089B">
        <w:rPr>
          <w:rFonts w:ascii="Arial" w:hAnsi="Arial" w:cs="Arial"/>
          <w:sz w:val="18"/>
          <w:szCs w:val="18"/>
        </w:rPr>
        <w:t xml:space="preserve"> Lower X</w:t>
      </w:r>
      <w:r w:rsidR="00B21A37" w:rsidRPr="001A089B">
        <w:rPr>
          <w:rFonts w:ascii="Arial" w:hAnsi="Arial" w:cs="Arial"/>
          <w:sz w:val="18"/>
          <w:szCs w:val="18"/>
          <w:vertAlign w:val="subscript"/>
        </w:rPr>
        <w:t>max</w:t>
      </w:r>
      <w:r w:rsidR="00B21A37" w:rsidRPr="001A089B">
        <w:rPr>
          <w:rFonts w:ascii="Arial" w:hAnsi="Arial" w:cs="Arial"/>
          <w:sz w:val="18"/>
          <w:szCs w:val="18"/>
        </w:rPr>
        <w:t xml:space="preserve"> values for </w:t>
      </w:r>
      <w:r w:rsidR="001A089B" w:rsidRPr="001A089B">
        <w:rPr>
          <w:rFonts w:ascii="Arial" w:hAnsi="Arial" w:cs="Arial"/>
          <w:sz w:val="18"/>
          <w:szCs w:val="18"/>
        </w:rPr>
        <w:t>CCMP2329</w:t>
      </w:r>
      <w:r w:rsidR="00B21A37" w:rsidRPr="001A089B">
        <w:rPr>
          <w:rFonts w:ascii="Arial" w:hAnsi="Arial" w:cs="Arial"/>
          <w:sz w:val="18"/>
          <w:szCs w:val="18"/>
        </w:rPr>
        <w:t xml:space="preserve"> in FW than those in PW were obtained in this study and in FW from a different well </w:t>
      </w:r>
      <w:r w:rsidR="000E18D0" w:rsidRPr="001A089B">
        <w:rPr>
          <w:rFonts w:ascii="Arial" w:hAnsi="Arial" w:cs="Arial"/>
          <w:sz w:val="18"/>
          <w:szCs w:val="18"/>
        </w:rPr>
        <w:fldChar w:fldCharType="begin" w:fldLock="1"/>
      </w:r>
      <w:r w:rsidR="00B21A37" w:rsidRPr="001A089B">
        <w:rPr>
          <w:rFonts w:ascii="Arial" w:hAnsi="Arial" w:cs="Arial"/>
          <w:sz w:val="18"/>
          <w:szCs w:val="18"/>
        </w:rPr>
        <w:instrText>ADDIN CSL_CITATION {"citationItems":[{"id":"ITEM-1","itemData":{"DOI":"10.1080/09593330.2017.1415983","ISSN":"1479487X","PMID":"29226768","abstract":"Hydraulic fracturing technology is widely used for recovering natural gas and oil from tight oil and gas reserves. Large volumes of wastewater, flowback water, are produced during the fracturing process. This study examines algal treatment of flowback water. Thirteen microalgae strains consisting of cyanobacteria and green algae were examined. Wastewater quality before and after algae treatment, as well as volatile matter, fixed carbon and ash contents of the biomass grown in flowback water were examined. The experimental results demonstrated that microalgae can grow in flowback water. The chemical composition of the algal biomass produced in flowback water was strain specific. Over 65% total dissolved solids, 100% nitrate and over 95% boron reduction in flowback water could be achieved. Hence, algal treatment of flowback water can significantly reduce the adverse environmental impact of hydraulic fracturing technology and produce biomass that can be converted to bioproducts.","author":[{"dropping-particle":"","family":"Lutzu","given":"Giovanni Antonio","non-dropping-particle":"","parse-names":false,"suffix":""},{"dropping-particle":"","family":"Dunford","given":"Nurhan Turgut","non-dropping-particle":"","parse-names":false,"suffix":""}],"container-title":"Environmental Technology (United Kingdom)","id":"ITEM-1","issue":"8","issued":{"date-parts":[["2019"]]},"page":"1027-1034","title":"Algal treatment of wastewater generated during oil and gas production using hydraulic fracturing technology","type":"article-journal","volume":"40"},"uris":["http://www.mendeley.com/documents/?uuid=8913edf2-bff3-4040-b349-307bd4c96f2d"]}],"mendeley":{"formattedCitation":"(Lutzu and Dunford, 2019a)","plainTextFormattedCitation":"(Lutzu and Dunford, 2019a)","previouslyFormattedCitation":"(Lutzu and Dunford, 2019a)"},"properties":{"noteIndex":0},"schema":"https://github.com/citation-style-language/schema/raw/master/csl-citation.json"}</w:instrText>
      </w:r>
      <w:r w:rsidR="000E18D0" w:rsidRPr="001A089B">
        <w:rPr>
          <w:rFonts w:ascii="Arial" w:hAnsi="Arial" w:cs="Arial"/>
          <w:sz w:val="18"/>
          <w:szCs w:val="18"/>
        </w:rPr>
        <w:fldChar w:fldCharType="separate"/>
      </w:r>
      <w:r w:rsidR="00B21A37" w:rsidRPr="001A089B">
        <w:rPr>
          <w:rFonts w:ascii="Arial" w:hAnsi="Arial" w:cs="Arial"/>
          <w:sz w:val="18"/>
          <w:szCs w:val="18"/>
        </w:rPr>
        <w:t>(Lutzu and Dunford, 2019a)</w:t>
      </w:r>
      <w:r w:rsidR="000E18D0" w:rsidRPr="001A089B">
        <w:rPr>
          <w:rFonts w:ascii="Arial" w:hAnsi="Arial" w:cs="Arial"/>
          <w:sz w:val="18"/>
          <w:szCs w:val="18"/>
        </w:rPr>
        <w:fldChar w:fldCharType="end"/>
      </w:r>
      <w:r w:rsidR="00B21A37" w:rsidRPr="001A089B">
        <w:rPr>
          <w:rFonts w:ascii="Arial" w:hAnsi="Arial" w:cs="Arial"/>
          <w:sz w:val="18"/>
          <w:szCs w:val="18"/>
        </w:rPr>
        <w:t>. The X</w:t>
      </w:r>
      <w:r w:rsidR="00B21A37" w:rsidRPr="001A089B">
        <w:rPr>
          <w:rFonts w:ascii="Arial" w:hAnsi="Arial" w:cs="Arial"/>
          <w:sz w:val="18"/>
          <w:szCs w:val="18"/>
          <w:vertAlign w:val="subscript"/>
        </w:rPr>
        <w:t>max</w:t>
      </w:r>
      <w:r w:rsidR="00B21A37" w:rsidRPr="001A089B">
        <w:rPr>
          <w:rFonts w:ascii="Arial" w:hAnsi="Arial" w:cs="Arial"/>
          <w:sz w:val="18"/>
          <w:szCs w:val="18"/>
        </w:rPr>
        <w:t xml:space="preserve"> of </w:t>
      </w:r>
      <w:r w:rsidR="001A089B" w:rsidRPr="001A089B">
        <w:rPr>
          <w:rFonts w:ascii="Arial" w:hAnsi="Arial" w:cs="Arial"/>
          <w:sz w:val="18"/>
          <w:szCs w:val="18"/>
        </w:rPr>
        <w:t>SP46</w:t>
      </w:r>
      <w:r w:rsidR="00B21A37" w:rsidRPr="001A089B">
        <w:rPr>
          <w:rFonts w:ascii="Arial" w:hAnsi="Arial" w:cs="Arial"/>
          <w:sz w:val="18"/>
          <w:szCs w:val="18"/>
        </w:rPr>
        <w:t xml:space="preserve"> cultivated in FW-B, 0.45 g L</w:t>
      </w:r>
      <w:r w:rsidR="00B21A37" w:rsidRPr="001A089B">
        <w:rPr>
          <w:rFonts w:ascii="Arial" w:hAnsi="Arial" w:cs="Arial"/>
          <w:sz w:val="18"/>
          <w:szCs w:val="18"/>
          <w:vertAlign w:val="superscript"/>
        </w:rPr>
        <w:t>-1</w:t>
      </w:r>
      <w:r w:rsidR="00B21A37" w:rsidRPr="001A089B">
        <w:rPr>
          <w:rFonts w:ascii="Arial" w:hAnsi="Arial" w:cs="Arial"/>
          <w:sz w:val="18"/>
          <w:szCs w:val="18"/>
        </w:rPr>
        <w:t xml:space="preserve">, was similar to that of </w:t>
      </w:r>
      <w:r w:rsidR="001A089B" w:rsidRPr="001A089B">
        <w:rPr>
          <w:rFonts w:ascii="Arial" w:hAnsi="Arial" w:cs="Arial"/>
          <w:iCs/>
          <w:sz w:val="18"/>
          <w:szCs w:val="18"/>
        </w:rPr>
        <w:t>SP46</w:t>
      </w:r>
      <w:r w:rsidR="00B21A37" w:rsidRPr="001A089B">
        <w:rPr>
          <w:rFonts w:ascii="Arial" w:hAnsi="Arial" w:cs="Arial"/>
          <w:sz w:val="18"/>
          <w:szCs w:val="18"/>
        </w:rPr>
        <w:t xml:space="preserve"> grown in FW obtained from a diff</w:t>
      </w:r>
      <w:r w:rsidR="006858CE">
        <w:rPr>
          <w:rFonts w:ascii="Arial" w:hAnsi="Arial" w:cs="Arial"/>
          <w:sz w:val="18"/>
          <w:szCs w:val="18"/>
        </w:rPr>
        <w:t>er</w:t>
      </w:r>
      <w:r w:rsidR="00B21A37" w:rsidRPr="001A089B">
        <w:rPr>
          <w:rFonts w:ascii="Arial" w:hAnsi="Arial" w:cs="Arial"/>
          <w:sz w:val="18"/>
          <w:szCs w:val="18"/>
        </w:rPr>
        <w:t>ent well, 0.40 g L</w:t>
      </w:r>
      <w:r w:rsidR="00B21A37" w:rsidRPr="001A089B">
        <w:rPr>
          <w:rFonts w:ascii="Arial" w:hAnsi="Arial" w:cs="Arial"/>
          <w:sz w:val="18"/>
          <w:szCs w:val="18"/>
          <w:vertAlign w:val="superscript"/>
        </w:rPr>
        <w:t>-1</w:t>
      </w:r>
      <w:r w:rsidR="00B21A37" w:rsidRPr="001A089B">
        <w:rPr>
          <w:rFonts w:ascii="Arial" w:hAnsi="Arial" w:cs="Arial"/>
          <w:sz w:val="18"/>
          <w:szCs w:val="18"/>
        </w:rPr>
        <w:t xml:space="preserve"> </w:t>
      </w:r>
      <w:r w:rsidR="000E18D0" w:rsidRPr="001A089B">
        <w:rPr>
          <w:rFonts w:ascii="Arial" w:hAnsi="Arial" w:cs="Arial"/>
          <w:sz w:val="18"/>
          <w:szCs w:val="18"/>
        </w:rPr>
        <w:fldChar w:fldCharType="begin" w:fldLock="1"/>
      </w:r>
      <w:r w:rsidR="00B21A37" w:rsidRPr="001A089B">
        <w:rPr>
          <w:rFonts w:ascii="Arial" w:hAnsi="Arial" w:cs="Arial"/>
          <w:sz w:val="18"/>
          <w:szCs w:val="18"/>
        </w:rPr>
        <w:instrText>ADDIN CSL_CITATION {"citationItems":[{"id":"ITEM-1","itemData":{"DOI":"10.1080/09593330.2017.1415983","ISSN":"1479487X","PMID":"29226768","abstract":"Hydraulic fracturing technology is widely used for recovering natural gas and oil from tight oil and gas reserves. Large volumes of wastewater, flowback water, are produced during the fracturing process. This study examines algal treatment of flowback water. Thirteen microalgae strains consisting of cyanobacteria and green algae were examined. Wastewater quality before and after algae treatment, as well as volatile matter, fixed carbon and ash contents of the biomass grown in flowback water were examined. The experimental results demonstrated that microalgae can grow in flowback water. The chemical composition of the algal biomass produced in flowback water was strain specific. Over 65% total dissolved solids, 100% nitrate and over 95% boron reduction in flowback water could be achieved. Hence, algal treatment of flowback water can significantly reduce the adverse environmental impact of hydraulic fracturing technology and produce biomass that can be converted to bioproducts.","author":[{"dropping-particle":"","family":"Lutzu","given":"Giovanni Antonio","non-dropping-particle":"","parse-names":false,"suffix":""},{"dropping-particle":"","family":"Dunford","given":"Nurhan Turgut","non-dropping-particle":"","parse-names":false,"suffix":""}],"container-title":"Environmental Technology (United Kingdom)","id":"ITEM-1","issue":"8","issued":{"date-parts":[["2019"]]},"page":"1027-1034","title":"Algal treatment of wastewater generated during oil and gas production using hydraulic fracturing technology","type":"article-journal","volume":"40"},"uris":["http://www.mendeley.com/documents/?uuid=8913edf2-bff3-4040-b349-307bd4c96f2d"]}],"mendeley":{"formattedCitation":"(Lutzu and Dunford, 2019a)","plainTextFormattedCitation":"(Lutzu and Dunford, 2019a)","previouslyFormattedCitation":"(Lutzu and Dunford, 2019a)"},"properties":{"noteIndex":0},"schema":"https://github.com/citation-style-language/schema/raw/master/csl-citation.json"}</w:instrText>
      </w:r>
      <w:r w:rsidR="000E18D0" w:rsidRPr="001A089B">
        <w:rPr>
          <w:rFonts w:ascii="Arial" w:hAnsi="Arial" w:cs="Arial"/>
          <w:sz w:val="18"/>
          <w:szCs w:val="18"/>
        </w:rPr>
        <w:fldChar w:fldCharType="separate"/>
      </w:r>
      <w:r w:rsidR="00B21A37" w:rsidRPr="001A089B">
        <w:rPr>
          <w:rFonts w:ascii="Arial" w:hAnsi="Arial" w:cs="Arial"/>
          <w:sz w:val="18"/>
          <w:szCs w:val="18"/>
        </w:rPr>
        <w:t>(Lutzu and Dunford, 2019a)</w:t>
      </w:r>
      <w:r w:rsidR="000E18D0" w:rsidRPr="001A089B">
        <w:rPr>
          <w:rFonts w:ascii="Arial" w:hAnsi="Arial" w:cs="Arial"/>
          <w:sz w:val="18"/>
          <w:szCs w:val="18"/>
        </w:rPr>
        <w:fldChar w:fldCharType="end"/>
      </w:r>
      <w:r w:rsidR="00B21A37" w:rsidRPr="001A089B">
        <w:rPr>
          <w:rFonts w:ascii="Arial" w:hAnsi="Arial" w:cs="Arial"/>
          <w:sz w:val="18"/>
          <w:szCs w:val="18"/>
        </w:rPr>
        <w:t>. It is important to note that the latter wells were operating in two Oklahoma counties 14 miles away from each other and Na</w:t>
      </w:r>
      <w:r w:rsidR="00B21A37" w:rsidRPr="001A089B">
        <w:rPr>
          <w:rFonts w:ascii="Arial" w:hAnsi="Arial" w:cs="Arial"/>
          <w:sz w:val="18"/>
          <w:szCs w:val="18"/>
          <w:vertAlign w:val="superscript"/>
        </w:rPr>
        <w:t>+</w:t>
      </w:r>
      <w:r w:rsidR="00B21A37" w:rsidRPr="001A089B">
        <w:rPr>
          <w:rFonts w:ascii="Arial" w:hAnsi="Arial" w:cs="Arial"/>
          <w:sz w:val="18"/>
          <w:szCs w:val="18"/>
        </w:rPr>
        <w:t>, Cl</w:t>
      </w:r>
      <w:r w:rsidR="00B21A37" w:rsidRPr="001A089B">
        <w:rPr>
          <w:rFonts w:ascii="Arial" w:hAnsi="Arial" w:cs="Arial"/>
          <w:sz w:val="18"/>
          <w:szCs w:val="18"/>
          <w:vertAlign w:val="superscript"/>
        </w:rPr>
        <w:t>-</w:t>
      </w:r>
      <w:r w:rsidR="00B21A37" w:rsidRPr="001A089B">
        <w:rPr>
          <w:rFonts w:ascii="Arial" w:hAnsi="Arial" w:cs="Arial"/>
          <w:sz w:val="18"/>
          <w:szCs w:val="18"/>
        </w:rPr>
        <w:t>, HCO</w:t>
      </w:r>
      <w:r w:rsidR="00B21A37" w:rsidRPr="001A089B">
        <w:rPr>
          <w:rFonts w:ascii="Arial" w:hAnsi="Arial" w:cs="Arial"/>
          <w:sz w:val="18"/>
          <w:szCs w:val="18"/>
          <w:vertAlign w:val="subscript"/>
        </w:rPr>
        <w:t>3</w:t>
      </w:r>
      <w:r w:rsidR="00B21A37" w:rsidRPr="001A089B">
        <w:rPr>
          <w:rFonts w:ascii="Arial" w:hAnsi="Arial" w:cs="Arial"/>
          <w:sz w:val="18"/>
          <w:szCs w:val="18"/>
        </w:rPr>
        <w:t xml:space="preserve">, and TDS contents of FW from both wells were similar. Moreover, since FWs were from oil producing wells, the growth of the four strains might have been supported by the presence of organic compounds such as petroleum hydrocarbons </w:t>
      </w:r>
      <w:r w:rsidR="000E18D0" w:rsidRPr="001A089B">
        <w:rPr>
          <w:rFonts w:ascii="Arial" w:hAnsi="Arial" w:cs="Arial"/>
          <w:sz w:val="18"/>
          <w:szCs w:val="18"/>
        </w:rPr>
        <w:fldChar w:fldCharType="begin" w:fldLock="1"/>
      </w:r>
      <w:r w:rsidR="00B21A37" w:rsidRPr="001A089B">
        <w:rPr>
          <w:rFonts w:ascii="Arial" w:hAnsi="Arial" w:cs="Arial"/>
          <w:sz w:val="18"/>
          <w:szCs w:val="18"/>
        </w:rPr>
        <w:instrText>ADDIN CSL_CITATION {"citationItems":[{"id":"ITEM-1","itemData":{"DOI":"10.3390/ijms18071429","ISSN":"14220067","PMID":"28677659","abstract":"In this review, the effect of organic solvents on microalgae cultures from molecular to industrial scale is presented. Traditional organic solvents and solvents of new generation-ionic liquids (ILs), are considered. Alterations in microalgal cell metabolism and synthesis of target products (pigments, proteins, lipids), as a result of exposure to organic solvents, are summarized. Applications of organic solvents as a carbon source for microalgal growth and production of target molecules are discussed. Possible implementation of various industrial effluents containing organic solvents into microalgal cultivation media, is evaluated. The effect of organic solvents on extraction of target compounds from microalgae is also considered. Techniques for lipid and carotenoid extraction from viable microalgal biomass (milking methods) and dead microalgal biomass (classical methods) are depicted. Moreover, the economic survey of lipid and carotenoid extraction from microalgae biomass, by means of different techniques and solvents, is conducted.","author":[{"dropping-particle":"","family":"Miazek","given":"Krystian","non-dropping-particle":"","parse-names":false,"suffix":""},{"dropping-particle":"","family":"Kratky","given":"Lukas","non-dropping-particle":"","parse-names":false,"suffix":""},{"dropping-particle":"","family":"Sulc","given":"Radek","non-dropping-particle":"","parse-names":false,"suffix":""},{"dropping-particle":"","family":"Jirout","given":"Tomas","non-dropping-particle":"","parse-names":false,"suffix":""},{"dropping-particle":"","family":"Aguedo","given":"Mario","non-dropping-particle":"","parse-names":false,"suffix":""},{"dropping-particle":"","family":"Richel","given":"Aurore","non-dropping-particle":"","parse-names":false,"suffix":""},{"dropping-particle":"","family":"Goffin","given":"Dorothee","non-dropping-particle":"","parse-names":false,"suffix":""}],"container-title":"International Journal of Molecular Sciences","id":"ITEM-1","issued":{"date-parts":[["2017"]]},"title":"Effect of organic solvents on microalgae growth, metabolism and industrial bioproduct extraction: A review","type":"article"},"uris":["http://www.mendeley.com/documents/?uuid=b7c264fa-4bc9-480b-b9ae-cce58d7350df"]}],"mendeley":{"formattedCitation":"(Miazek et al., 2017)","plainTextFormattedCitation":"(Miazek et al., 2017)","previouslyFormattedCitation":"(Miazek et al., 2017)"},"properties":{"noteIndex":0},"schema":"https://github.com/citation-style-language/schema/raw/master/csl-citation.json"}</w:instrText>
      </w:r>
      <w:r w:rsidR="000E18D0" w:rsidRPr="001A089B">
        <w:rPr>
          <w:rFonts w:ascii="Arial" w:hAnsi="Arial" w:cs="Arial"/>
          <w:sz w:val="18"/>
          <w:szCs w:val="18"/>
        </w:rPr>
        <w:fldChar w:fldCharType="separate"/>
      </w:r>
      <w:r w:rsidR="00B21A37" w:rsidRPr="001A089B">
        <w:rPr>
          <w:rFonts w:ascii="Arial" w:hAnsi="Arial" w:cs="Arial"/>
          <w:sz w:val="18"/>
          <w:szCs w:val="18"/>
        </w:rPr>
        <w:t>(Miazek et al., 2017)</w:t>
      </w:r>
      <w:r w:rsidR="000E18D0" w:rsidRPr="001A089B">
        <w:rPr>
          <w:rFonts w:ascii="Arial" w:hAnsi="Arial" w:cs="Arial"/>
          <w:sz w:val="18"/>
          <w:szCs w:val="18"/>
        </w:rPr>
        <w:fldChar w:fldCharType="end"/>
      </w:r>
      <w:r w:rsidR="00B21A37" w:rsidRPr="001A089B">
        <w:rPr>
          <w:rFonts w:ascii="Arial" w:hAnsi="Arial" w:cs="Arial"/>
          <w:sz w:val="18"/>
          <w:szCs w:val="18"/>
        </w:rPr>
        <w:t>.</w:t>
      </w:r>
      <w:r w:rsidR="00B21A37" w:rsidRPr="00B21A37">
        <w:rPr>
          <w:rFonts w:ascii="Arial" w:hAnsi="Arial" w:cs="Arial"/>
          <w:sz w:val="18"/>
          <w:szCs w:val="18"/>
        </w:rPr>
        <w:t xml:space="preserve"> </w:t>
      </w:r>
    </w:p>
    <w:p w14:paraId="27FFF94D" w14:textId="38F65160" w:rsidR="00D1617E" w:rsidRPr="00694061" w:rsidRDefault="008E0790" w:rsidP="00B072F7">
      <w:pPr>
        <w:pStyle w:val="EndNoteBibliographyTitle"/>
        <w:spacing w:line="240" w:lineRule="auto"/>
        <w:rPr>
          <w:rFonts w:ascii="Arial" w:hAnsi="Arial" w:cs="Arial"/>
          <w:sz w:val="18"/>
          <w:szCs w:val="18"/>
        </w:rPr>
      </w:pPr>
      <w:r>
        <w:object w:dxaOrig="8473" w:dyaOrig="5935" w14:anchorId="351B6101">
          <v:shape id="_x0000_i1026" type="#_x0000_t75" style="width:232.85pt;height:165.05pt" o:ole="">
            <v:imagedata r:id="rId14" o:title="" croptop="6262f" cropbottom="3131f" cropright="10087f"/>
          </v:shape>
          <o:OLEObject Type="Embed" ProgID="Origin95.Graph" ShapeID="_x0000_i1026" DrawAspect="Content" ObjectID="_1706608663" r:id="rId15"/>
        </w:object>
      </w:r>
      <w:r>
        <w:object w:dxaOrig="8472" w:dyaOrig="5934" w14:anchorId="766545D1">
          <v:shape id="_x0000_i1027" type="#_x0000_t75" style="width:183.75pt;height:165.05pt;mso-position-horizontal:absolute" o:ole="">
            <v:imagedata r:id="rId16" o:title="" croptop="6262f" cropbottom="3131f" cropleft="13157f" cropright="8771f"/>
          </v:shape>
          <o:OLEObject Type="Embed" ProgID="Origin95.Graph" ShapeID="_x0000_i1027" DrawAspect="Content" ObjectID="_1706608664" r:id="rId17"/>
        </w:object>
      </w:r>
    </w:p>
    <w:p w14:paraId="220BB5D3" w14:textId="79BFF564" w:rsidR="00732C41" w:rsidRPr="003520FF" w:rsidRDefault="00732C41" w:rsidP="00732C41">
      <w:pPr>
        <w:autoSpaceDE w:val="0"/>
        <w:autoSpaceDN w:val="0"/>
        <w:adjustRightInd w:val="0"/>
        <w:rPr>
          <w:rFonts w:cs="Arial"/>
          <w:i/>
          <w:iCs/>
          <w:szCs w:val="18"/>
        </w:rPr>
      </w:pPr>
      <w:r w:rsidRPr="003520FF">
        <w:rPr>
          <w:i/>
          <w:iCs/>
        </w:rPr>
        <w:lastRenderedPageBreak/>
        <w:t xml:space="preserve">Figure </w:t>
      </w:r>
      <w:r w:rsidR="008E0790">
        <w:rPr>
          <w:i/>
          <w:iCs/>
        </w:rPr>
        <w:t>2</w:t>
      </w:r>
      <w:r w:rsidRPr="003520FF">
        <w:rPr>
          <w:i/>
          <w:iCs/>
        </w:rPr>
        <w:t xml:space="preserve">. </w:t>
      </w:r>
      <w:r w:rsidR="005075ED">
        <w:rPr>
          <w:i/>
          <w:iCs/>
        </w:rPr>
        <w:t>Maximum conc</w:t>
      </w:r>
      <w:r w:rsidR="00B072F7">
        <w:rPr>
          <w:i/>
          <w:iCs/>
        </w:rPr>
        <w:t>e</w:t>
      </w:r>
      <w:r w:rsidR="005075ED">
        <w:rPr>
          <w:i/>
          <w:iCs/>
        </w:rPr>
        <w:t>n</w:t>
      </w:r>
      <w:r w:rsidR="00B072F7">
        <w:rPr>
          <w:i/>
          <w:iCs/>
        </w:rPr>
        <w:t>tration</w:t>
      </w:r>
      <w:r w:rsidRPr="003520FF">
        <w:rPr>
          <w:i/>
          <w:iCs/>
        </w:rPr>
        <w:t xml:space="preserve"> and </w:t>
      </w:r>
      <w:r w:rsidR="00B072F7">
        <w:rPr>
          <w:i/>
          <w:iCs/>
        </w:rPr>
        <w:t xml:space="preserve">growth rate </w:t>
      </w:r>
      <w:r w:rsidRPr="003520FF">
        <w:rPr>
          <w:i/>
          <w:iCs/>
        </w:rPr>
        <w:t>with the different media</w:t>
      </w:r>
      <w:r w:rsidR="00B072F7">
        <w:rPr>
          <w:i/>
          <w:iCs/>
        </w:rPr>
        <w:t xml:space="preserve"> and strains investigated</w:t>
      </w:r>
      <w:r w:rsidRPr="003520FF">
        <w:rPr>
          <w:i/>
          <w:iCs/>
        </w:rPr>
        <w:t>.</w:t>
      </w:r>
      <w:r w:rsidR="00093235" w:rsidRPr="00093235">
        <w:rPr>
          <w:i/>
          <w:iCs/>
        </w:rPr>
        <w:t xml:space="preserve"> </w:t>
      </w:r>
      <w:r w:rsidR="00093235">
        <w:rPr>
          <w:i/>
          <w:iCs/>
        </w:rPr>
        <w:t>Green bar = FW-A, blue bar = FW-B, Grey bar = PW-A, red bar = PW-B</w:t>
      </w:r>
      <w:r w:rsidRPr="003520FF">
        <w:rPr>
          <w:i/>
          <w:iCs/>
        </w:rPr>
        <w:t xml:space="preserve"> </w:t>
      </w:r>
    </w:p>
    <w:p w14:paraId="7C62A58A" w14:textId="3FACAB7E" w:rsidR="00732C41" w:rsidRPr="009D0379" w:rsidRDefault="009D0379" w:rsidP="009D0379">
      <w:pPr>
        <w:pStyle w:val="EndNoteBibliographyTitle"/>
        <w:jc w:val="both"/>
        <w:rPr>
          <w:b/>
          <w:i/>
          <w:szCs w:val="24"/>
        </w:rPr>
      </w:pPr>
      <w:r w:rsidRPr="009D0379">
        <w:rPr>
          <w:rFonts w:ascii="Arial" w:hAnsi="Arial" w:cs="Arial"/>
          <w:b/>
          <w:iCs/>
          <w:sz w:val="18"/>
          <w:szCs w:val="18"/>
        </w:rPr>
        <w:t>3.3</w:t>
      </w:r>
      <w:r>
        <w:rPr>
          <w:rFonts w:cs="Arial"/>
          <w:b/>
          <w:iCs/>
          <w:szCs w:val="18"/>
        </w:rPr>
        <w:t xml:space="preserve"> </w:t>
      </w:r>
      <w:r w:rsidRPr="009D0379">
        <w:rPr>
          <w:rFonts w:ascii="Arial" w:hAnsi="Arial" w:cs="Arial"/>
          <w:b/>
          <w:iCs/>
          <w:sz w:val="18"/>
          <w:szCs w:val="18"/>
        </w:rPr>
        <w:t>Produced and f</w:t>
      </w:r>
      <w:r w:rsidRPr="009D0379">
        <w:rPr>
          <w:rFonts w:ascii="Arial" w:hAnsi="Arial" w:cs="Arial"/>
          <w:b/>
          <w:sz w:val="18"/>
          <w:szCs w:val="18"/>
        </w:rPr>
        <w:t>lowback water composition after microalgae growth</w:t>
      </w:r>
    </w:p>
    <w:p w14:paraId="6F75A567" w14:textId="7786346E" w:rsidR="00B96D79" w:rsidRPr="00B96D79" w:rsidRDefault="00B96D79" w:rsidP="00B96D79">
      <w:pPr>
        <w:autoSpaceDE w:val="0"/>
        <w:autoSpaceDN w:val="0"/>
        <w:adjustRightInd w:val="0"/>
        <w:rPr>
          <w:szCs w:val="18"/>
        </w:rPr>
      </w:pPr>
      <w:r w:rsidRPr="00BE2057">
        <w:rPr>
          <w:rFonts w:cs="Arial"/>
          <w:szCs w:val="18"/>
        </w:rPr>
        <w:t>The analysis of the chemical composition for PWs after algae growth has been assessed. Considering that a potential re-use option for treated PW is irrigation, water quality parameters used to evaluate irrigation water was used in this study. In general, nitrate was completely removed from all the WW samples after algae growth due to the cell uptake. A large portion of N in the form of ammonium was also taken up</w:t>
      </w:r>
      <w:r w:rsidR="00BE2057" w:rsidRPr="00BE2057">
        <w:rPr>
          <w:rFonts w:cs="Arial"/>
          <w:szCs w:val="18"/>
        </w:rPr>
        <w:t xml:space="preserve"> by the four strains in PW-B</w:t>
      </w:r>
      <w:r w:rsidR="00712C18">
        <w:rPr>
          <w:rFonts w:cs="Arial"/>
          <w:szCs w:val="18"/>
        </w:rPr>
        <w:t xml:space="preserve"> (Fig</w:t>
      </w:r>
      <w:r w:rsidR="00093235">
        <w:rPr>
          <w:rFonts w:cs="Arial"/>
          <w:szCs w:val="18"/>
        </w:rPr>
        <w:t>ure</w:t>
      </w:r>
      <w:r w:rsidR="00712C18">
        <w:rPr>
          <w:rFonts w:cs="Arial"/>
          <w:szCs w:val="18"/>
        </w:rPr>
        <w:t xml:space="preserve"> </w:t>
      </w:r>
      <w:r w:rsidR="008E0790">
        <w:rPr>
          <w:rFonts w:cs="Arial"/>
          <w:szCs w:val="18"/>
        </w:rPr>
        <w:t>3</w:t>
      </w:r>
      <w:r w:rsidRPr="00BE2057">
        <w:rPr>
          <w:rFonts w:cs="Arial"/>
          <w:szCs w:val="18"/>
        </w:rPr>
        <w:t xml:space="preserve">). </w:t>
      </w:r>
      <w:r w:rsidR="001A089B" w:rsidRPr="00BE2057">
        <w:rPr>
          <w:rFonts w:cs="Arial"/>
          <w:szCs w:val="18"/>
        </w:rPr>
        <w:t>CCMP2329</w:t>
      </w:r>
      <w:r w:rsidRPr="00BE2057">
        <w:rPr>
          <w:szCs w:val="18"/>
        </w:rPr>
        <w:t xml:space="preserve"> was the highest consumer of ammonium, 100%, in FW-A. </w:t>
      </w:r>
      <w:r w:rsidRPr="00BE2057">
        <w:rPr>
          <w:rFonts w:cs="Arial"/>
          <w:szCs w:val="18"/>
        </w:rPr>
        <w:t xml:space="preserve">The largest portion of P was taken up from PW-B by </w:t>
      </w:r>
      <w:r w:rsidR="00BE2057" w:rsidRPr="00BE2057">
        <w:rPr>
          <w:rFonts w:cs="Arial"/>
          <w:szCs w:val="18"/>
        </w:rPr>
        <w:t>SP28, SP33 and SP46</w:t>
      </w:r>
      <w:r w:rsidR="00712C18">
        <w:rPr>
          <w:rFonts w:cs="Arial"/>
          <w:szCs w:val="18"/>
        </w:rPr>
        <w:t xml:space="preserve"> (Fig</w:t>
      </w:r>
      <w:r w:rsidR="00093235">
        <w:rPr>
          <w:rFonts w:cs="Arial"/>
          <w:szCs w:val="18"/>
        </w:rPr>
        <w:t>ure</w:t>
      </w:r>
      <w:r w:rsidR="00712C18">
        <w:rPr>
          <w:rFonts w:cs="Arial"/>
          <w:szCs w:val="18"/>
        </w:rPr>
        <w:t xml:space="preserve"> </w:t>
      </w:r>
      <w:r w:rsidR="008E0790">
        <w:rPr>
          <w:rFonts w:cs="Arial"/>
          <w:szCs w:val="18"/>
        </w:rPr>
        <w:t>3</w:t>
      </w:r>
      <w:r w:rsidR="00712C18">
        <w:rPr>
          <w:rFonts w:cs="Arial"/>
          <w:szCs w:val="18"/>
        </w:rPr>
        <w:t>)</w:t>
      </w:r>
      <w:r w:rsidRPr="00BE2057">
        <w:rPr>
          <w:rFonts w:cs="Arial"/>
          <w:szCs w:val="18"/>
        </w:rPr>
        <w:t>. The reduction in TDS content was quite low due to the very low cell growth and uptake</w:t>
      </w:r>
      <w:r w:rsidR="006858CE">
        <w:rPr>
          <w:rFonts w:cs="Arial"/>
          <w:szCs w:val="18"/>
        </w:rPr>
        <w:t xml:space="preserve"> (data not shown)</w:t>
      </w:r>
      <w:r w:rsidRPr="00BE2057">
        <w:rPr>
          <w:rFonts w:cs="Arial"/>
          <w:szCs w:val="18"/>
        </w:rPr>
        <w:t>. It has been reported that a high salt concentration, about 10 g L</w:t>
      </w:r>
      <w:r w:rsidRPr="00BE2057">
        <w:rPr>
          <w:rFonts w:cs="Arial"/>
          <w:szCs w:val="18"/>
          <w:vertAlign w:val="superscript"/>
        </w:rPr>
        <w:t>-1</w:t>
      </w:r>
      <w:r w:rsidRPr="00BE2057">
        <w:rPr>
          <w:rFonts w:cs="Arial"/>
          <w:szCs w:val="18"/>
        </w:rPr>
        <w:t xml:space="preserve">, adversely affect performance of biological WW treatments due to plasmolysis and/or loss of cell activity </w:t>
      </w:r>
      <w:r w:rsidR="000E18D0" w:rsidRPr="00BE2057">
        <w:rPr>
          <w:rFonts w:cs="Arial"/>
          <w:szCs w:val="18"/>
        </w:rPr>
        <w:fldChar w:fldCharType="begin" w:fldLock="1"/>
      </w:r>
      <w:r w:rsidRPr="00BE2057">
        <w:rPr>
          <w:rFonts w:cs="Arial"/>
          <w:szCs w:val="18"/>
        </w:rPr>
        <w:instrText>ADDIN CSL_CITATION {"citationItems":[{"id":"ITEM-1","itemData":{"DOI":"10.1016/j.desal.2009.03.022","ISSN":"00119164","abstract":"Biological aerobic treatment of saline wastewater provides the material of this study. A salt-tolerant microorganism (Staphylococcus xylosus) was isolated from a vegetable pickled plant containing about 7.2% salt. Selection, identification and characterization of the microorganism were carried out. The isolated microorganism was used as inoculum for biodegradation. An activated sludge reactor operated in a fed-batch mode was used for the treatment of synthetic saline wastewater using three different microbial cultures namely: activated sludge (100%), a mixture of Staphylococcus supplement by activated sludge (1:1) and pure S. xylosus (100%) at different salt concentrations ranging from 0.5 to 3% NaCl. The results obtained showed that at low NaCl concentration (1%), the removal efficiency of chemical oxygen demand (COD) using different microbial cultures were almost the same (80-90%). However, increasing the NaCl concentration to 2% and using Staphylococcus-supplemented mixture by activated sludge and S. xylosus alone improved the treatment performance as indicated by COD removal rates which reached 91% and 93.4%, respectively, while the system performance started to deteriorate when activated bacterial culture was used alone (74%). Furthermore, the increase in NaCl concentration up to 3% and with the inclusion of Staphylococcus-supplemented mixture by activated sludge increased the COD removal to 93%, while the use of S. xylosus alone further improved the COD removal rate up to 94%. Also, the use of S. xylosus alone proved to be capable for biological treatment of a real case study of a vegetable pickled wastewater containing 7.2% salinity; the removal efficiency of COD reached 88% at this very high concentration of NaCl. © 2009.","author":[{"dropping-particle":"","family":"Abou-Elela","given":"Sohair I.","non-dropping-particle":"","parse-names":false,"suffix":""},{"dropping-particle":"","family":"Kamel","given":"Mohamed M.","non-dropping-particle":"","parse-names":false,"suffix":""},{"dropping-particle":"","family":"Fawzy","given":"Mariam E.","non-dropping-particle":"","parse-names":false,"suffix":""}],"container-title":"Desalination","id":"ITEM-1","issued":{"date-parts":[["2010"]]},"title":"Biological treatment of saline wastewater using a salt-tolerant microorganism","type":"article-journal"},"uris":["http://www.mendeley.com/documents/?uuid=2354462b-2b8e-4636-8695-9e8182ec3f9a"]}],"mendeley":{"formattedCitation":"(Abou-Elela et al., 2010)","plainTextFormattedCitation":"(Abou-Elela et al., 2010)","previouslyFormattedCitation":"(Abou-Elela et al., 2010)"},"properties":{"noteIndex":0},"schema":"https://github.com/citation-style-language/schema/raw/master/csl-citation.json"}</w:instrText>
      </w:r>
      <w:r w:rsidR="000E18D0" w:rsidRPr="00BE2057">
        <w:rPr>
          <w:rFonts w:cs="Arial"/>
          <w:szCs w:val="18"/>
        </w:rPr>
        <w:fldChar w:fldCharType="separate"/>
      </w:r>
      <w:r w:rsidRPr="00BE2057">
        <w:rPr>
          <w:rFonts w:cs="Arial"/>
          <w:noProof/>
          <w:szCs w:val="18"/>
        </w:rPr>
        <w:t>(Abou-Elela et al., 2010)</w:t>
      </w:r>
      <w:r w:rsidR="000E18D0" w:rsidRPr="00BE2057">
        <w:rPr>
          <w:rFonts w:cs="Arial"/>
          <w:szCs w:val="18"/>
        </w:rPr>
        <w:fldChar w:fldCharType="end"/>
      </w:r>
      <w:r w:rsidRPr="00BE2057">
        <w:rPr>
          <w:rFonts w:cs="Arial"/>
          <w:szCs w:val="18"/>
        </w:rPr>
        <w:t>. High salinity of the WW investigated in this study led to a low COD reduction during algal treatment</w:t>
      </w:r>
      <w:r w:rsidR="006858CE">
        <w:rPr>
          <w:rFonts w:cs="Arial"/>
          <w:szCs w:val="18"/>
        </w:rPr>
        <w:t xml:space="preserve"> (data not shown)</w:t>
      </w:r>
      <w:r w:rsidRPr="00BE2057">
        <w:rPr>
          <w:rFonts w:cs="Arial"/>
          <w:szCs w:val="18"/>
        </w:rPr>
        <w:t xml:space="preserve">. According to the literature, COD removal from a synthetic WW sample decreased from 85 to 59% during biological treatment when the salinity increased from 0 to 5% </w:t>
      </w:r>
      <w:r w:rsidR="000E18D0" w:rsidRPr="00BE2057">
        <w:rPr>
          <w:rFonts w:cs="Arial"/>
          <w:szCs w:val="18"/>
        </w:rPr>
        <w:fldChar w:fldCharType="begin" w:fldLock="1"/>
      </w:r>
      <w:r w:rsidRPr="00BE2057">
        <w:rPr>
          <w:rFonts w:cs="Arial"/>
          <w:szCs w:val="18"/>
        </w:rPr>
        <w:instrText>ADDIN CSL_CITATION {"citationItems":[{"id":"ITEM-1","itemData":{"DOI":"10.1080/09593332008616912","ISSN":"1479487X","abstract":"Biological processes used for nitrification and denitrification of saline wastewater results in low treatment efficiencies because of plasmolysis or loss of activity of organisms in the presence of salt. However, adverse effects of salt on performance of nitrification/denitrification processes has not been systematically investigated and mathematically formulated. Biological nitrification and denitrification of synthetic wastewater containing different concentrations of salt were investigated in this study. Effect of salt concentration on the system performance was investigated. Salt concentrations above 2% resulted in significant reductions in performances of both nitrification and denitrification. Denitrification was more sensitive to salt compared to nitrification. A mathematical model was developed and the salt inhibition constants were determined using the experimental data. © 1999 Taylor &amp; Francis Group, LLC.","author":[{"dropping-particle":"","family":"Dinçer","given":"A. R.","non-dropping-particle":"","parse-names":false,"suffix":""},{"dropping-particle":"","family":"Kargi","given":"F.","non-dropping-particle":"","parse-names":false,"suffix":""}],"container-title":"Environmental Technology (United Kingdom)","id":"ITEM-1","issued":{"date-parts":[["1999"]]},"title":"Salt inhibition of nitrification and denitrification in saline wastewater","type":"article-journal"},"uris":["http://www.mendeley.com/documents/?uuid=926e445d-e758-4d03-8e5b-e0b457dce671"]}],"mendeley":{"formattedCitation":"(Dinçer and Kargi, 1999)","plainTextFormattedCitation":"(Dinçer and Kargi, 1999)","previouslyFormattedCitation":"(Dinçer and Kargi, 1999)"},"properties":{"noteIndex":0},"schema":"https://github.com/citation-style-language/schema/raw/master/csl-citation.json"}</w:instrText>
      </w:r>
      <w:r w:rsidR="000E18D0" w:rsidRPr="00BE2057">
        <w:rPr>
          <w:rFonts w:cs="Arial"/>
          <w:szCs w:val="18"/>
        </w:rPr>
        <w:fldChar w:fldCharType="separate"/>
      </w:r>
      <w:r w:rsidRPr="00BE2057">
        <w:rPr>
          <w:rFonts w:cs="Arial"/>
          <w:noProof/>
          <w:szCs w:val="18"/>
        </w:rPr>
        <w:t>(Dinçer and Kargi, 1999)</w:t>
      </w:r>
      <w:r w:rsidR="000E18D0" w:rsidRPr="00BE2057">
        <w:rPr>
          <w:rFonts w:cs="Arial"/>
          <w:szCs w:val="18"/>
        </w:rPr>
        <w:fldChar w:fldCharType="end"/>
      </w:r>
      <w:r w:rsidRPr="00BE2057">
        <w:rPr>
          <w:rFonts w:cs="Arial"/>
          <w:szCs w:val="18"/>
        </w:rPr>
        <w:t>. Boron (B) concentration is one of the important quality parameters for irrigation water. Presence of B in soil or water can severely affect plant growth and producti</w:t>
      </w:r>
      <w:r w:rsidR="004511FE" w:rsidRPr="00BE2057">
        <w:rPr>
          <w:rFonts w:cs="Arial"/>
          <w:szCs w:val="18"/>
        </w:rPr>
        <w:t>on</w:t>
      </w:r>
      <w:r w:rsidRPr="00BE2057">
        <w:rPr>
          <w:rFonts w:cs="Arial"/>
          <w:szCs w:val="18"/>
        </w:rPr>
        <w:t>. The B reduction achieved by algae cultivation in PW and FW was quite low (&lt;10%)</w:t>
      </w:r>
      <w:r w:rsidR="006858CE">
        <w:rPr>
          <w:rFonts w:cs="Arial"/>
          <w:szCs w:val="18"/>
        </w:rPr>
        <w:t xml:space="preserve"> (data not shown)</w:t>
      </w:r>
      <w:r w:rsidR="006858CE" w:rsidRPr="00BE2057">
        <w:rPr>
          <w:rFonts w:cs="Arial"/>
          <w:szCs w:val="18"/>
        </w:rPr>
        <w:t>.</w:t>
      </w:r>
      <w:r w:rsidRPr="00BE2057">
        <w:rPr>
          <w:rFonts w:cs="Arial"/>
          <w:szCs w:val="18"/>
        </w:rPr>
        <w:t xml:space="preserve"> Algae strains as well as cyanobacteria show specific requirement for B and for many of them the metabolic pathways involved in B uptake are not completely understood </w:t>
      </w:r>
      <w:r w:rsidR="000E18D0" w:rsidRPr="00BE2057">
        <w:rPr>
          <w:rFonts w:cs="Arial"/>
          <w:szCs w:val="18"/>
        </w:rPr>
        <w:fldChar w:fldCharType="begin" w:fldLock="1"/>
      </w:r>
      <w:r w:rsidRPr="00BE2057">
        <w:rPr>
          <w:rFonts w:cs="Arial"/>
          <w:szCs w:val="18"/>
        </w:rPr>
        <w:instrText>ADDIN CSL_CITATION {"citationItems":[{"id":"ITEM-1","itemData":{"DOI":"10.1104/pp.94.4.1554","ISSN":"00320889","abstract":"The effect of boron on heterocystous and nonheterocystous dinitrogen fixing Cyanobacteria was examined. The absence of boron in culture media inhibited growth and nitrogenase activity in Nodularia sp., Chlorogloeopsis sp., and Nostoc sp. cultures. Examinations of boron-deficient cultures showed changes in heterocyst morphology. However, cultures of nonheterocystous Cyanobacteria, Gloeothece sp. and Plectonema sp., grown in the absence of boron did not show any alteration in growth or nitrogenase activity. These results suggest a requirement of boron only by heterocystous Cyanobacteria. A possible role for this element in the early evolution of photosynthetic organisms is proposed.","author":[{"dropping-particle":"","family":"Bonilla","given":"Ildefonso","non-dropping-particle":"","parse-names":false,"suffix":""},{"dropping-particle":"","family":"Garcia-González","given":"Mercedes","non-dropping-particle":"","parse-names":false,"suffix":""},{"dropping-particle":"","family":"Mateo","given":"Pilar","non-dropping-particle":"","parse-names":false,"suffix":""}],"container-title":"Plant Physiology","id":"ITEM-1","issued":{"date-parts":[["1990"]]},"title":"Boron requirement in cyanobacteria: Its possible role in the early evolution of photosynthetic organisms","type":"article-journal"},"uris":["http://www.mendeley.com/documents/?uuid=b3891ef9-6b59-4f70-940f-460b28d6f3cf"]}],"mendeley":{"formattedCitation":"(Bonilla et al., 1990)","plainTextFormattedCitation":"(Bonilla et al., 1990)","previouslyFormattedCitation":"(Bonilla et al., 1990)"},"properties":{"noteIndex":0},"schema":"https://github.com/citation-style-language/schema/raw/master/csl-citation.json"}</w:instrText>
      </w:r>
      <w:r w:rsidR="000E18D0" w:rsidRPr="00BE2057">
        <w:rPr>
          <w:rFonts w:cs="Arial"/>
          <w:szCs w:val="18"/>
        </w:rPr>
        <w:fldChar w:fldCharType="separate"/>
      </w:r>
      <w:r w:rsidRPr="00BE2057">
        <w:rPr>
          <w:rFonts w:cs="Arial"/>
          <w:noProof/>
          <w:szCs w:val="18"/>
        </w:rPr>
        <w:t>(</w:t>
      </w:r>
      <w:r w:rsidR="004511FE" w:rsidRPr="00BE2057">
        <w:rPr>
          <w:rFonts w:cs="Arial"/>
          <w:szCs w:val="18"/>
        </w:rPr>
        <w:t>Brdar-Jakanović, M., 2020</w:t>
      </w:r>
      <w:r w:rsidRPr="00BE2057">
        <w:rPr>
          <w:rFonts w:cs="Arial"/>
          <w:noProof/>
          <w:szCs w:val="18"/>
        </w:rPr>
        <w:t>)</w:t>
      </w:r>
      <w:r w:rsidR="000E18D0" w:rsidRPr="00BE2057">
        <w:rPr>
          <w:rFonts w:cs="Arial"/>
          <w:szCs w:val="18"/>
        </w:rPr>
        <w:fldChar w:fldCharType="end"/>
      </w:r>
      <w:r w:rsidR="004511FE" w:rsidRPr="00BE2057">
        <w:rPr>
          <w:rFonts w:cs="Arial"/>
          <w:szCs w:val="18"/>
        </w:rPr>
        <w:t>.</w:t>
      </w:r>
      <w:r w:rsidR="007500F9">
        <w:rPr>
          <w:rFonts w:cs="Arial"/>
          <w:szCs w:val="18"/>
        </w:rPr>
        <w:t xml:space="preserve"> </w:t>
      </w:r>
      <w:r w:rsidR="007500F9" w:rsidRPr="007500F9">
        <w:rPr>
          <w:szCs w:val="18"/>
        </w:rPr>
        <w:t xml:space="preserve">Heavy metals </w:t>
      </w:r>
      <w:r w:rsidR="007500F9">
        <w:rPr>
          <w:szCs w:val="18"/>
        </w:rPr>
        <w:t xml:space="preserve">such as zinc, copper, manganese </w:t>
      </w:r>
      <w:r w:rsidR="007500F9" w:rsidRPr="007500F9">
        <w:rPr>
          <w:szCs w:val="18"/>
        </w:rPr>
        <w:t>were removed with eff</w:t>
      </w:r>
      <w:r w:rsidR="007500F9">
        <w:rPr>
          <w:szCs w:val="18"/>
        </w:rPr>
        <w:t>iciencies up to 75, 67, 99</w:t>
      </w:r>
      <w:r w:rsidR="007500F9" w:rsidRPr="007500F9">
        <w:rPr>
          <w:szCs w:val="18"/>
        </w:rPr>
        <w:t>%, respectively</w:t>
      </w:r>
      <w:r w:rsidR="007500F9">
        <w:rPr>
          <w:szCs w:val="18"/>
        </w:rPr>
        <w:t xml:space="preserve"> (data not shown).</w:t>
      </w:r>
      <w:r w:rsidR="00995207">
        <w:rPr>
          <w:szCs w:val="18"/>
        </w:rPr>
        <w:t xml:space="preserve"> The possibility </w:t>
      </w:r>
      <w:r w:rsidR="00995207" w:rsidRPr="00093235">
        <w:rPr>
          <w:szCs w:val="18"/>
        </w:rPr>
        <w:t xml:space="preserve">to find </w:t>
      </w:r>
      <w:r w:rsidR="00E226CB" w:rsidRPr="00093235">
        <w:t>new opportunities for</w:t>
      </w:r>
      <w:r w:rsidR="00995207" w:rsidRPr="00093235">
        <w:t xml:space="preserve"> </w:t>
      </w:r>
      <w:r w:rsidR="00E226CB" w:rsidRPr="00093235">
        <w:t xml:space="preserve">WW reuse </w:t>
      </w:r>
      <w:r w:rsidR="00995207" w:rsidRPr="00093235">
        <w:t xml:space="preserve">instead of their disposal is of great interest. In the U.S., Australia and Middle East examples of WW reuse in agriculture and for wetlands management have been documented </w:t>
      </w:r>
      <w:r w:rsidR="00995207" w:rsidRPr="00093235">
        <w:rPr>
          <w:szCs w:val="18"/>
        </w:rPr>
        <w:t>(</w:t>
      </w:r>
      <w:r w:rsidR="00995207" w:rsidRPr="00093235">
        <w:rPr>
          <w:noProof/>
          <w:szCs w:val="18"/>
        </w:rPr>
        <w:t>Sullivan Graham</w:t>
      </w:r>
      <w:r w:rsidR="00995207" w:rsidRPr="00093235">
        <w:rPr>
          <w:szCs w:val="18"/>
        </w:rPr>
        <w:t xml:space="preserve"> et al., 2017)</w:t>
      </w:r>
      <w:r w:rsidR="00995207" w:rsidRPr="00093235">
        <w:t>.</w:t>
      </w:r>
      <w:r w:rsidR="00995207">
        <w:rPr>
          <w:szCs w:val="18"/>
        </w:rPr>
        <w:t xml:space="preserve"> </w:t>
      </w:r>
      <w:r w:rsidRPr="00BE2057">
        <w:rPr>
          <w:szCs w:val="18"/>
        </w:rPr>
        <w:t>In summary, the contaminant removal efficiency varied with the strains grown in WW. The macronutrients composition of the growth medium and the amount of biomass present in the culture are the two key factors affecting contaminant uptake by microalgae. It is important to note that biochemical pathways involved in the absorption of contaminants from WW by green algae (</w:t>
      </w:r>
      <w:r w:rsidR="001A089B" w:rsidRPr="00BE2057">
        <w:rPr>
          <w:rFonts w:cs="Arial"/>
          <w:szCs w:val="18"/>
        </w:rPr>
        <w:t>CCMP2329</w:t>
      </w:r>
      <w:r w:rsidRPr="00BE2057">
        <w:rPr>
          <w:szCs w:val="18"/>
        </w:rPr>
        <w:t>) and cyanobacteria (</w:t>
      </w:r>
      <w:r w:rsidR="00BE2057" w:rsidRPr="00BE2057">
        <w:rPr>
          <w:rFonts w:cs="Arial"/>
          <w:szCs w:val="18"/>
        </w:rPr>
        <w:t>SP28, SP33 and SP46</w:t>
      </w:r>
      <w:r w:rsidRPr="00BE2057">
        <w:rPr>
          <w:szCs w:val="18"/>
        </w:rPr>
        <w:t xml:space="preserve">) may be quite different. Therefore, further research is needed to decipher the metabolism of these species. Efficiency of the proposed process of the WW treatment can be enhanced by supplementing N poor PW and FW with other WW sources rich in N, i.e. agricultural run offs and animal WW </w:t>
      </w:r>
      <w:r w:rsidR="000E18D0" w:rsidRPr="00BE2057">
        <w:rPr>
          <w:szCs w:val="18"/>
        </w:rPr>
        <w:fldChar w:fldCharType="begin" w:fldLock="1"/>
      </w:r>
      <w:r w:rsidRPr="00BE2057">
        <w:rPr>
          <w:szCs w:val="18"/>
        </w:rPr>
        <w:instrText>ADDIN CSL_CITATION {"citationItems":[{"id":"ITEM-1","itemData":{"DOI":"10.1007/s11270-020-04826-1","ISSN":"15732932","abstract":"Hydraulic fracturing is used to enhance oil and gas extraction from tight shale formations and generates millions of gallons of wastewater which needs to be cleaned up prior to disposal or reuse. The current technologies used for the management of this wastewater present technical, economic, and environmental challenges. Hence, the main objective of this study was to examine the potential of algal remediation of hydraulic fracturing wastewater (PW) as an alternative method. Considering that PW contains very low concentration of the nutrients needed for algae growth PW supplemented with animal wastewater (AW-PW) was also examined. Biomass production capacity, average biomass productivity, and specific growth rate of the microalgae strain used in the study, Picochlorum oklahomensis, were 1.87 g L−1, 268 mg L−1 day−1, and 0.35 day−1, respectively, when grown in PW. Complete nitrate, ammonia, and phosphate removal could be achieved by growing algae in PW. Supplementation of PW with animal wastewater enhanced biomass production (1.87–2.40 g L−1) and lipid content (15–25% wt) in the produced algal biomass. A mathematical model with a correlation coefficient of greater than 0.94 was developed to describe the growth kinetics of algae grown in AW-PW.","author":[{"dropping-particle":"","family":"Lutzu","given":"Giovanni Antonio","non-dropping-particle":"","parse-names":false,"suffix":""},{"dropping-particle":"","family":"Marin","given":"Maria Antonietta","non-dropping-particle":"","parse-names":false,"suffix":""},{"dropping-particle":"","family":"Concas","given":"Alessandro","non-dropping-particle":"","parse-names":false,"suffix":""},{"dropping-particle":"","family":"Dunford","given":"Nurhan Turgut","non-dropping-particle":"","parse-names":false,"suffix":""}],"container-title":"Water, Air, and Soil Pollution","id":"ITEM-1","issued":{"date-parts":[["2020"]]},"title":"Growing Picochlorum oklahomensis in Hydraulic Fracturing Wastewater Supplemented with Animal Wastewater","type":"article-journal"},"uris":["http://www.mendeley.com/documents/?uuid=eb3e243c-e8bf-4e79-93b5-c1fc37cf89f9"]}],"mendeley":{"formattedCitation":"(Lutzu et al., 2020b)","plainTextFormattedCitation":"(Lutzu et al., 2020b)","previouslyFormattedCitation":"(Lutzu et al., 2020)"},"properties":{"noteIndex":0},"schema":"https://github.com/citation-style-language/schema/raw/master/csl-citation.json"}</w:instrText>
      </w:r>
      <w:r w:rsidR="000E18D0" w:rsidRPr="00BE2057">
        <w:rPr>
          <w:szCs w:val="18"/>
        </w:rPr>
        <w:fldChar w:fldCharType="separate"/>
      </w:r>
      <w:r w:rsidRPr="00BE2057">
        <w:rPr>
          <w:noProof/>
          <w:szCs w:val="18"/>
        </w:rPr>
        <w:t>(Lutzu et al., 2020b)</w:t>
      </w:r>
      <w:r w:rsidR="000E18D0" w:rsidRPr="00BE2057">
        <w:rPr>
          <w:szCs w:val="18"/>
        </w:rPr>
        <w:fldChar w:fldCharType="end"/>
      </w:r>
      <w:r w:rsidRPr="00BE2057">
        <w:rPr>
          <w:szCs w:val="18"/>
        </w:rPr>
        <w:t>.</w:t>
      </w:r>
    </w:p>
    <w:p w14:paraId="0F574D71" w14:textId="2A67BFA1" w:rsidR="00732C41" w:rsidRDefault="008E0790" w:rsidP="00732C41">
      <w:pPr>
        <w:autoSpaceDE w:val="0"/>
        <w:autoSpaceDN w:val="0"/>
        <w:adjustRightInd w:val="0"/>
        <w:jc w:val="center"/>
      </w:pPr>
      <w:r>
        <w:object w:dxaOrig="7958" w:dyaOrig="6107" w14:anchorId="263456B1">
          <v:shape id="_x0000_i1028" type="#_x0000_t75" style="width:359.55pt;height:253.85pt" o:ole="">
            <v:imagedata r:id="rId18" o:title="" cropbottom="4867f"/>
          </v:shape>
          <o:OLEObject Type="Embed" ProgID="Origin95.Graph" ShapeID="_x0000_i1028" DrawAspect="Content" ObjectID="_1706608665" r:id="rId19"/>
        </w:object>
      </w:r>
    </w:p>
    <w:p w14:paraId="2342A69E" w14:textId="3845C0D4" w:rsidR="00732C41" w:rsidRPr="003520FF" w:rsidRDefault="00732C41" w:rsidP="00EF7AC6">
      <w:pPr>
        <w:autoSpaceDE w:val="0"/>
        <w:autoSpaceDN w:val="0"/>
        <w:adjustRightInd w:val="0"/>
        <w:spacing w:after="120"/>
        <w:jc w:val="center"/>
        <w:rPr>
          <w:rFonts w:cs="Arial"/>
          <w:i/>
          <w:iCs/>
          <w:szCs w:val="18"/>
        </w:rPr>
      </w:pPr>
      <w:r w:rsidRPr="003520FF">
        <w:rPr>
          <w:i/>
          <w:iCs/>
        </w:rPr>
        <w:t xml:space="preserve">Figure </w:t>
      </w:r>
      <w:r w:rsidR="008E0790">
        <w:rPr>
          <w:i/>
          <w:iCs/>
        </w:rPr>
        <w:t>3</w:t>
      </w:r>
      <w:r w:rsidRPr="003520FF">
        <w:rPr>
          <w:i/>
          <w:iCs/>
        </w:rPr>
        <w:t>. Effect of algae growth on the removal rate of relevant contaminants in the wastewaters</w:t>
      </w:r>
    </w:p>
    <w:p w14:paraId="4EFEC893" w14:textId="77777777" w:rsidR="00732C41" w:rsidRPr="008567FA" w:rsidRDefault="00732C41" w:rsidP="00732C41">
      <w:pPr>
        <w:tabs>
          <w:tab w:val="clear" w:pos="7100"/>
        </w:tabs>
        <w:autoSpaceDE w:val="0"/>
        <w:autoSpaceDN w:val="0"/>
        <w:adjustRightInd w:val="0"/>
        <w:spacing w:before="120" w:after="120"/>
        <w:rPr>
          <w:rFonts w:cs="Arial"/>
          <w:b/>
          <w:szCs w:val="18"/>
        </w:rPr>
      </w:pPr>
      <w:r w:rsidRPr="008567FA">
        <w:rPr>
          <w:rFonts w:cs="Arial"/>
          <w:b/>
          <w:szCs w:val="18"/>
        </w:rPr>
        <w:t>Conclusions</w:t>
      </w:r>
    </w:p>
    <w:p w14:paraId="1F618CB1" w14:textId="77777777" w:rsidR="00DF5504" w:rsidRPr="00D65992" w:rsidRDefault="00D65992" w:rsidP="00D65992">
      <w:pPr>
        <w:pStyle w:val="EndNoteBibliographyTitle"/>
        <w:spacing w:line="240" w:lineRule="auto"/>
        <w:jc w:val="both"/>
        <w:rPr>
          <w:rFonts w:ascii="Arial" w:hAnsi="Arial" w:cs="Arial"/>
          <w:noProof w:val="0"/>
          <w:sz w:val="18"/>
          <w:szCs w:val="18"/>
        </w:rPr>
      </w:pPr>
      <w:r w:rsidRPr="00BE2057">
        <w:rPr>
          <w:rFonts w:ascii="Arial" w:hAnsi="Arial" w:cs="Arial"/>
          <w:noProof w:val="0"/>
          <w:sz w:val="18"/>
          <w:szCs w:val="18"/>
        </w:rPr>
        <w:t xml:space="preserve">Four Oklahoma native microalgae strains were grown in two different types of WWs (PW and FW) generated during fracking process used for oil and gas production. The results demonstrated that all the four strains can grow in these harsh WWs. The concentration of contaminants in original WW was decreased by the proposed </w:t>
      </w:r>
      <w:r w:rsidRPr="00BE2057">
        <w:rPr>
          <w:rFonts w:ascii="Arial" w:hAnsi="Arial" w:cs="Arial"/>
          <w:noProof w:val="0"/>
          <w:sz w:val="18"/>
          <w:szCs w:val="18"/>
        </w:rPr>
        <w:lastRenderedPageBreak/>
        <w:t xml:space="preserve">pre-treatment to the point that microalgae can survive and grow in WW. Relatively low biomass productivities were mainly due to the low availability of N. However, such a drawback could be easily fixed by mixing PW and FW with other WW, such as the agricultural run offs and animal WW, characterized by high N content. Indeed, an earlier study demonstrated the viability of animal WW addition to PW and FW for increasing </w:t>
      </w:r>
      <w:r w:rsidR="00BE2057" w:rsidRPr="00BE2057">
        <w:rPr>
          <w:rFonts w:ascii="Arial" w:hAnsi="Arial" w:cs="Arial"/>
          <w:noProof w:val="0"/>
          <w:sz w:val="18"/>
          <w:szCs w:val="18"/>
        </w:rPr>
        <w:t>biomass productivity. H</w:t>
      </w:r>
      <w:r w:rsidRPr="00BE2057">
        <w:rPr>
          <w:rFonts w:ascii="Arial" w:hAnsi="Arial" w:cs="Arial"/>
          <w:noProof w:val="0"/>
          <w:sz w:val="18"/>
          <w:szCs w:val="18"/>
        </w:rPr>
        <w:t>igh ammonium, nitrates, P and Fe removal efficiencies of WWs were attained through the integrated process involving pre-</w:t>
      </w:r>
      <w:r w:rsidR="00BE2057" w:rsidRPr="00BE2057">
        <w:rPr>
          <w:rFonts w:ascii="Arial" w:hAnsi="Arial" w:cs="Arial"/>
          <w:noProof w:val="0"/>
          <w:sz w:val="18"/>
          <w:szCs w:val="18"/>
        </w:rPr>
        <w:t xml:space="preserve">treatment and algal cultivation. </w:t>
      </w:r>
      <w:r w:rsidRPr="00BE2057">
        <w:rPr>
          <w:rFonts w:ascii="Arial" w:hAnsi="Arial" w:cs="Arial"/>
          <w:noProof w:val="0"/>
          <w:sz w:val="18"/>
          <w:szCs w:val="18"/>
        </w:rPr>
        <w:t>This study generated the basic experimental data needed for optimization of an integrated process involving WW pre-treatment and subsequent algae growth, technical and economic evaluation and process scale up.</w:t>
      </w:r>
      <w:r w:rsidRPr="00D65992">
        <w:rPr>
          <w:rFonts w:ascii="Arial" w:hAnsi="Arial" w:cs="Arial"/>
          <w:noProof w:val="0"/>
          <w:sz w:val="18"/>
          <w:szCs w:val="18"/>
        </w:rPr>
        <w:t xml:space="preserve"> </w:t>
      </w:r>
    </w:p>
    <w:p w14:paraId="7C5F1B3E" w14:textId="77777777" w:rsidR="00732C41" w:rsidRPr="008567FA" w:rsidRDefault="00732C41" w:rsidP="00732C41">
      <w:pPr>
        <w:autoSpaceDE w:val="0"/>
        <w:autoSpaceDN w:val="0"/>
        <w:adjustRightInd w:val="0"/>
        <w:spacing w:before="120" w:after="120"/>
        <w:rPr>
          <w:rFonts w:cs="Arial"/>
          <w:b/>
          <w:szCs w:val="18"/>
        </w:rPr>
      </w:pPr>
      <w:r w:rsidRPr="008567FA">
        <w:rPr>
          <w:rFonts w:cs="Arial"/>
          <w:b/>
          <w:szCs w:val="18"/>
        </w:rPr>
        <w:t>Acknowledgements</w:t>
      </w:r>
    </w:p>
    <w:p w14:paraId="67A51B86" w14:textId="77777777" w:rsidR="00BE2057" w:rsidRPr="007500F9" w:rsidRDefault="00732C41" w:rsidP="007500F9">
      <w:pPr>
        <w:autoSpaceDE w:val="0"/>
        <w:autoSpaceDN w:val="0"/>
        <w:adjustRightInd w:val="0"/>
        <w:rPr>
          <w:rFonts w:cs="Arial"/>
          <w:szCs w:val="18"/>
        </w:rPr>
      </w:pPr>
      <w:r w:rsidRPr="008567FA">
        <w:rPr>
          <w:rFonts w:cs="Arial"/>
          <w:szCs w:val="18"/>
        </w:rPr>
        <w:t>This research was supported by the Oklahoma Center for the Advancement of Science and Technology, Basic Plant Science Program, Project # PS13-007 and Oklahoma Water Resources Center.</w:t>
      </w:r>
    </w:p>
    <w:p w14:paraId="441DC337" w14:textId="77777777" w:rsidR="00732C41" w:rsidRDefault="00732C41" w:rsidP="00732C41">
      <w:pPr>
        <w:autoSpaceDE w:val="0"/>
        <w:autoSpaceDN w:val="0"/>
        <w:adjustRightInd w:val="0"/>
        <w:spacing w:before="120" w:after="120"/>
        <w:rPr>
          <w:rFonts w:eastAsia="AdvGulliv-R" w:cs="Arial"/>
          <w:b/>
          <w:szCs w:val="18"/>
        </w:rPr>
      </w:pPr>
      <w:r w:rsidRPr="00923A8A">
        <w:rPr>
          <w:rFonts w:eastAsia="AdvGulliv-R" w:cs="Arial"/>
          <w:b/>
          <w:szCs w:val="18"/>
        </w:rPr>
        <w:t>References</w:t>
      </w:r>
    </w:p>
    <w:p w14:paraId="44D6DF29" w14:textId="77777777" w:rsidR="004511FE" w:rsidRPr="00093235" w:rsidRDefault="004511FE" w:rsidP="004511FE">
      <w:pPr>
        <w:widowControl w:val="0"/>
        <w:autoSpaceDE w:val="0"/>
        <w:autoSpaceDN w:val="0"/>
        <w:adjustRightInd w:val="0"/>
        <w:ind w:left="480" w:hanging="480"/>
        <w:rPr>
          <w:rFonts w:cs="Arial"/>
          <w:noProof/>
          <w:sz w:val="16"/>
          <w:szCs w:val="16"/>
        </w:rPr>
      </w:pPr>
      <w:r w:rsidRPr="00093235">
        <w:rPr>
          <w:rFonts w:cs="Arial"/>
          <w:noProof/>
          <w:sz w:val="16"/>
          <w:szCs w:val="16"/>
        </w:rPr>
        <w:t>Abou-Elela, S.I.,</w:t>
      </w:r>
      <w:r w:rsidR="00666FF4" w:rsidRPr="00093235">
        <w:rPr>
          <w:rFonts w:cs="Arial"/>
          <w:noProof/>
          <w:sz w:val="16"/>
          <w:szCs w:val="16"/>
        </w:rPr>
        <w:t xml:space="preserve"> Kamel, M.M., Fawzy, M.E., 2010,</w:t>
      </w:r>
      <w:r w:rsidRPr="00093235">
        <w:rPr>
          <w:rFonts w:cs="Arial"/>
          <w:noProof/>
          <w:sz w:val="16"/>
          <w:szCs w:val="16"/>
        </w:rPr>
        <w:t xml:space="preserve"> Biological treatment of saline wastewater using a salt-tolerant microorganism. Desalination</w:t>
      </w:r>
      <w:r w:rsidR="00914F8A" w:rsidRPr="00093235">
        <w:rPr>
          <w:rFonts w:cs="Arial"/>
          <w:noProof/>
          <w:sz w:val="16"/>
          <w:szCs w:val="16"/>
        </w:rPr>
        <w:t>, 250, 1-5.</w:t>
      </w:r>
      <w:r w:rsidR="00666FF4" w:rsidRPr="00093235">
        <w:rPr>
          <w:rFonts w:cs="Arial"/>
          <w:noProof/>
          <w:sz w:val="16"/>
          <w:szCs w:val="16"/>
        </w:rPr>
        <w:t xml:space="preserve"> </w:t>
      </w:r>
    </w:p>
    <w:p w14:paraId="023BFAFE" w14:textId="77777777" w:rsidR="00732C41" w:rsidRPr="00093235" w:rsidRDefault="00732C41" w:rsidP="004511FE">
      <w:pPr>
        <w:pStyle w:val="EndNoteBibliography"/>
        <w:spacing w:after="0" w:line="264" w:lineRule="auto"/>
        <w:jc w:val="both"/>
        <w:rPr>
          <w:rFonts w:ascii="Arial" w:hAnsi="Arial" w:cs="Arial"/>
          <w:sz w:val="16"/>
          <w:szCs w:val="16"/>
        </w:rPr>
      </w:pPr>
      <w:r w:rsidRPr="00093235">
        <w:rPr>
          <w:rFonts w:ascii="Arial" w:hAnsi="Arial" w:cs="Arial"/>
          <w:sz w:val="16"/>
          <w:szCs w:val="16"/>
        </w:rPr>
        <w:t>Brdar-Jakanović, M., 2020, Boron toxicity and deficiency in agricultural plants. International Journal of Molecular Sciences, 21, 1424.</w:t>
      </w:r>
    </w:p>
    <w:p w14:paraId="5218A69B"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Concas A., Pisu M., Cao G., 2016, A novel mathematical model to simulate the size-structured growth of microalgae strains dividing by multiple fission, Chemical Engineering Journal, 287, 252-268.</w:t>
      </w:r>
    </w:p>
    <w:p w14:paraId="16BC7B54" w14:textId="77777777" w:rsidR="004511FE" w:rsidRPr="00093235" w:rsidRDefault="00666FF4" w:rsidP="004511FE">
      <w:pPr>
        <w:widowControl w:val="0"/>
        <w:autoSpaceDE w:val="0"/>
        <w:autoSpaceDN w:val="0"/>
        <w:adjustRightInd w:val="0"/>
        <w:ind w:left="480" w:hanging="480"/>
        <w:rPr>
          <w:rFonts w:cs="Arial"/>
          <w:noProof/>
          <w:sz w:val="16"/>
          <w:szCs w:val="16"/>
        </w:rPr>
      </w:pPr>
      <w:r w:rsidRPr="00093235">
        <w:rPr>
          <w:rFonts w:cs="Arial"/>
          <w:noProof/>
          <w:sz w:val="16"/>
          <w:szCs w:val="16"/>
        </w:rPr>
        <w:t>Dinçer, A.R., Kargi, F., 1999,</w:t>
      </w:r>
      <w:r w:rsidR="004511FE" w:rsidRPr="00093235">
        <w:rPr>
          <w:rFonts w:cs="Arial"/>
          <w:noProof/>
          <w:sz w:val="16"/>
          <w:szCs w:val="16"/>
        </w:rPr>
        <w:t xml:space="preserve"> Salt inhibition of nitrification and denitrification in saline wastewater. Environ</w:t>
      </w:r>
      <w:r w:rsidRPr="00093235">
        <w:rPr>
          <w:rFonts w:cs="Arial"/>
          <w:noProof/>
          <w:sz w:val="16"/>
          <w:szCs w:val="16"/>
        </w:rPr>
        <w:t>mental</w:t>
      </w:r>
      <w:r w:rsidR="004511FE" w:rsidRPr="00093235">
        <w:rPr>
          <w:rFonts w:cs="Arial"/>
          <w:noProof/>
          <w:sz w:val="16"/>
          <w:szCs w:val="16"/>
        </w:rPr>
        <w:t xml:space="preserve"> Technol</w:t>
      </w:r>
      <w:r w:rsidRPr="00093235">
        <w:rPr>
          <w:rFonts w:cs="Arial"/>
          <w:noProof/>
          <w:sz w:val="16"/>
          <w:szCs w:val="16"/>
        </w:rPr>
        <w:t>ogy</w:t>
      </w:r>
      <w:r w:rsidR="00914F8A" w:rsidRPr="00093235">
        <w:rPr>
          <w:rFonts w:cs="Arial"/>
          <w:noProof/>
          <w:sz w:val="16"/>
          <w:szCs w:val="16"/>
        </w:rPr>
        <w:t>, 20, 1147-1153</w:t>
      </w:r>
      <w:r w:rsidR="004511FE" w:rsidRPr="00093235">
        <w:rPr>
          <w:rFonts w:cs="Arial"/>
          <w:noProof/>
          <w:sz w:val="16"/>
          <w:szCs w:val="16"/>
        </w:rPr>
        <w:t xml:space="preserve">. </w:t>
      </w:r>
    </w:p>
    <w:p w14:paraId="57D40906" w14:textId="77777777" w:rsidR="00BC6104" w:rsidRPr="00093235" w:rsidRDefault="00BC6104" w:rsidP="00BC6104">
      <w:pPr>
        <w:widowControl w:val="0"/>
        <w:autoSpaceDE w:val="0"/>
        <w:autoSpaceDN w:val="0"/>
        <w:adjustRightInd w:val="0"/>
        <w:ind w:left="480" w:hanging="480"/>
        <w:rPr>
          <w:rFonts w:cs="Arial"/>
          <w:noProof/>
          <w:sz w:val="16"/>
          <w:szCs w:val="16"/>
        </w:rPr>
      </w:pPr>
      <w:r w:rsidRPr="00093235">
        <w:rPr>
          <w:rFonts w:cs="Arial"/>
          <w:noProof/>
          <w:sz w:val="16"/>
          <w:szCs w:val="16"/>
        </w:rPr>
        <w:t>Eaton, A.D., Clesceri, L.S., Rice, E., Greenbae</w:t>
      </w:r>
      <w:r w:rsidR="00666FF4" w:rsidRPr="00093235">
        <w:rPr>
          <w:rFonts w:cs="Arial"/>
          <w:noProof/>
          <w:sz w:val="16"/>
          <w:szCs w:val="16"/>
        </w:rPr>
        <w:t>rg, A.E., Franson, M.A.H., 2005,</w:t>
      </w:r>
      <w:r w:rsidRPr="00093235">
        <w:rPr>
          <w:rFonts w:cs="Arial"/>
          <w:noProof/>
          <w:sz w:val="16"/>
          <w:szCs w:val="16"/>
        </w:rPr>
        <w:t xml:space="preserve"> Standard Methods for Examination of Water and Wastewater: Centennial Edition, American Public Health Association (APHA): Washington, DC, USA.</w:t>
      </w:r>
    </w:p>
    <w:p w14:paraId="7C6B1E44"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Ferrer, I., Thurman, E. M., 2015, Chemical constituents and analytical approaches for hydraulic fracturing waters, Trends in Environmental Analytical Chemistry, 5, 18-25.</w:t>
      </w:r>
    </w:p>
    <w:p w14:paraId="347516E8" w14:textId="77777777" w:rsidR="004511FE" w:rsidRPr="00093235" w:rsidRDefault="004511FE" w:rsidP="004511FE">
      <w:pPr>
        <w:widowControl w:val="0"/>
        <w:autoSpaceDE w:val="0"/>
        <w:autoSpaceDN w:val="0"/>
        <w:adjustRightInd w:val="0"/>
        <w:ind w:left="480" w:hanging="480"/>
        <w:rPr>
          <w:rFonts w:cs="Arial"/>
          <w:noProof/>
          <w:sz w:val="16"/>
          <w:szCs w:val="16"/>
        </w:rPr>
      </w:pPr>
      <w:r w:rsidRPr="00093235">
        <w:rPr>
          <w:rFonts w:cs="Arial"/>
          <w:noProof/>
          <w:sz w:val="16"/>
          <w:szCs w:val="16"/>
        </w:rPr>
        <w:t>Liu, J., Vyverman, W., 2015</w:t>
      </w:r>
      <w:r w:rsidR="00914F8A" w:rsidRPr="00093235">
        <w:rPr>
          <w:rFonts w:cs="Arial"/>
          <w:noProof/>
          <w:sz w:val="16"/>
          <w:szCs w:val="16"/>
        </w:rPr>
        <w:t>,</w:t>
      </w:r>
      <w:r w:rsidRPr="00093235">
        <w:rPr>
          <w:rFonts w:cs="Arial"/>
          <w:noProof/>
          <w:sz w:val="16"/>
          <w:szCs w:val="16"/>
        </w:rPr>
        <w:t xml:space="preserve"> Differences in nutrient uptake capacity of the benthic filamentous algae </w:t>
      </w:r>
      <w:r w:rsidRPr="00093235">
        <w:rPr>
          <w:rFonts w:cs="Arial"/>
          <w:i/>
          <w:noProof/>
          <w:sz w:val="16"/>
          <w:szCs w:val="16"/>
        </w:rPr>
        <w:t>Cladophora</w:t>
      </w:r>
      <w:r w:rsidRPr="00093235">
        <w:rPr>
          <w:rFonts w:cs="Arial"/>
          <w:noProof/>
          <w:sz w:val="16"/>
          <w:szCs w:val="16"/>
        </w:rPr>
        <w:t xml:space="preserve"> sp., </w:t>
      </w:r>
      <w:r w:rsidRPr="00093235">
        <w:rPr>
          <w:rFonts w:cs="Arial"/>
          <w:i/>
          <w:noProof/>
          <w:sz w:val="16"/>
          <w:szCs w:val="16"/>
        </w:rPr>
        <w:t>Klebsormidium</w:t>
      </w:r>
      <w:r w:rsidRPr="00093235">
        <w:rPr>
          <w:rFonts w:cs="Arial"/>
          <w:noProof/>
          <w:sz w:val="16"/>
          <w:szCs w:val="16"/>
        </w:rPr>
        <w:t xml:space="preserve"> sp. and </w:t>
      </w:r>
      <w:r w:rsidRPr="00093235">
        <w:rPr>
          <w:rFonts w:cs="Arial"/>
          <w:i/>
          <w:noProof/>
          <w:sz w:val="16"/>
          <w:szCs w:val="16"/>
        </w:rPr>
        <w:t>Pseudanabaena</w:t>
      </w:r>
      <w:r w:rsidRPr="00093235">
        <w:rPr>
          <w:rFonts w:cs="Arial"/>
          <w:noProof/>
          <w:sz w:val="16"/>
          <w:szCs w:val="16"/>
        </w:rPr>
        <w:t xml:space="preserve"> sp. under varying N/P conditions. Bioresour</w:t>
      </w:r>
      <w:r w:rsidR="00914F8A" w:rsidRPr="00093235">
        <w:rPr>
          <w:rFonts w:cs="Arial"/>
          <w:noProof/>
          <w:sz w:val="16"/>
          <w:szCs w:val="16"/>
        </w:rPr>
        <w:t>ce</w:t>
      </w:r>
      <w:r w:rsidRPr="00093235">
        <w:rPr>
          <w:rFonts w:cs="Arial"/>
          <w:noProof/>
          <w:sz w:val="16"/>
          <w:szCs w:val="16"/>
        </w:rPr>
        <w:t xml:space="preserve"> Technol</w:t>
      </w:r>
      <w:r w:rsidR="00914F8A" w:rsidRPr="00093235">
        <w:rPr>
          <w:rFonts w:cs="Arial"/>
          <w:noProof/>
          <w:sz w:val="16"/>
          <w:szCs w:val="16"/>
        </w:rPr>
        <w:t>ogy, 179, 234-242</w:t>
      </w:r>
      <w:r w:rsidRPr="00093235">
        <w:rPr>
          <w:rFonts w:cs="Arial"/>
          <w:noProof/>
          <w:sz w:val="16"/>
          <w:szCs w:val="16"/>
        </w:rPr>
        <w:t xml:space="preserve">. </w:t>
      </w:r>
    </w:p>
    <w:p w14:paraId="0AFC9408"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Lutzu, G.A., Dunford, N. T., 2019a, Algal treatment of wastewater generated during oil and gas production using hydraulic fracturing technology. Environmental Technology, 40(8), 1027-1034.</w:t>
      </w:r>
    </w:p>
    <w:p w14:paraId="16C7B0E7"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Lutzu, G.A., Dunford, N. T., 2019b, Growing algae in produced water generated during oil and gas production using hydraulic fracturing technique. Chemical Engineering Transactions, 74, 1261-1266.</w:t>
      </w:r>
    </w:p>
    <w:p w14:paraId="05DA5807"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 xml:space="preserve">Lutzu, G.A., Ciurli, A., Chiellini. C., Di Caprio, F., Concas, A., Dunford, N. T., 2020a, Latest developments in wastewater treatment and biopolymer production by microalgae, Journal of Environmental Chemical Engineering, </w:t>
      </w:r>
      <w:r w:rsidR="00914F8A" w:rsidRPr="00093235">
        <w:rPr>
          <w:rFonts w:ascii="Arial" w:hAnsi="Arial" w:cs="Arial"/>
          <w:sz w:val="16"/>
          <w:szCs w:val="16"/>
        </w:rPr>
        <w:t>9(1), 104926.</w:t>
      </w:r>
    </w:p>
    <w:p w14:paraId="246FAA4F"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Lutzu, G.A., Marin, M.A., Concas, A. Dunford, N. T., 2020b, Growing </w:t>
      </w:r>
      <w:r w:rsidRPr="00093235">
        <w:rPr>
          <w:rFonts w:ascii="Arial" w:hAnsi="Arial" w:cs="Arial"/>
          <w:i/>
          <w:sz w:val="16"/>
          <w:szCs w:val="16"/>
        </w:rPr>
        <w:t>Picochlorum oklahomensis</w:t>
      </w:r>
      <w:r w:rsidRPr="00093235">
        <w:rPr>
          <w:rFonts w:ascii="Arial" w:hAnsi="Arial" w:cs="Arial"/>
          <w:sz w:val="16"/>
          <w:szCs w:val="16"/>
        </w:rPr>
        <w:t> in hydraulic fracturing wastewater supplemented with animal wastewater. Water Air &amp; Soil Pollution, 231, 457.</w:t>
      </w:r>
    </w:p>
    <w:p w14:paraId="6AE56127"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Maguire-Boyle, S. J., Barron, A. R., 2014, Organic compounds in produced waters from shale gas wells. Environmental Science: Processes and Impacts, 16(10), 2237-2248.</w:t>
      </w:r>
    </w:p>
    <w:p w14:paraId="7CCD07CE" w14:textId="5602469F" w:rsidR="007816D9" w:rsidRPr="00093235" w:rsidRDefault="007816D9" w:rsidP="007816D9">
      <w:pPr>
        <w:widowControl w:val="0"/>
        <w:autoSpaceDE w:val="0"/>
        <w:autoSpaceDN w:val="0"/>
        <w:adjustRightInd w:val="0"/>
        <w:ind w:left="480" w:hanging="480"/>
        <w:rPr>
          <w:rFonts w:cs="Arial"/>
          <w:noProof/>
          <w:sz w:val="16"/>
          <w:szCs w:val="16"/>
        </w:rPr>
      </w:pPr>
      <w:r w:rsidRPr="00093235">
        <w:rPr>
          <w:rFonts w:cs="Arial"/>
          <w:noProof/>
          <w:sz w:val="16"/>
          <w:szCs w:val="16"/>
        </w:rPr>
        <w:t>Mauter, M.S., Alvarez, P.J.J., Burton, A., Cafaro</w:t>
      </w:r>
      <w:r w:rsidR="00093235" w:rsidRPr="00093235">
        <w:rPr>
          <w:rFonts w:cs="Arial"/>
          <w:noProof/>
          <w:sz w:val="16"/>
          <w:szCs w:val="16"/>
        </w:rPr>
        <w:t xml:space="preserve">, D.C. </w:t>
      </w:r>
      <w:r w:rsidR="00770F63" w:rsidRPr="00093235">
        <w:rPr>
          <w:rFonts w:cs="Arial"/>
          <w:noProof/>
          <w:sz w:val="16"/>
          <w:szCs w:val="16"/>
        </w:rPr>
        <w:t>et al</w:t>
      </w:r>
      <w:r w:rsidRPr="00093235">
        <w:rPr>
          <w:rFonts w:cs="Arial"/>
          <w:noProof/>
          <w:sz w:val="16"/>
          <w:szCs w:val="16"/>
        </w:rPr>
        <w:t>, 2014</w:t>
      </w:r>
      <w:r w:rsidR="00914F8A" w:rsidRPr="00093235">
        <w:rPr>
          <w:rFonts w:cs="Arial"/>
          <w:noProof/>
          <w:sz w:val="16"/>
          <w:szCs w:val="16"/>
        </w:rPr>
        <w:t>,</w:t>
      </w:r>
      <w:r w:rsidRPr="00093235">
        <w:rPr>
          <w:rFonts w:cs="Arial"/>
          <w:noProof/>
          <w:sz w:val="16"/>
          <w:szCs w:val="16"/>
        </w:rPr>
        <w:t xml:space="preserve"> Regional variation in water-related impacts of shale gas development and implications for emerging international plays. Environ</w:t>
      </w:r>
      <w:r w:rsidR="00914F8A" w:rsidRPr="00093235">
        <w:rPr>
          <w:rFonts w:cs="Arial"/>
          <w:noProof/>
          <w:sz w:val="16"/>
          <w:szCs w:val="16"/>
        </w:rPr>
        <w:t>mental</w:t>
      </w:r>
      <w:r w:rsidRPr="00093235">
        <w:rPr>
          <w:rFonts w:cs="Arial"/>
          <w:noProof/>
          <w:sz w:val="16"/>
          <w:szCs w:val="16"/>
        </w:rPr>
        <w:t xml:space="preserve"> Sci</w:t>
      </w:r>
      <w:r w:rsidR="00914F8A" w:rsidRPr="00093235">
        <w:rPr>
          <w:rFonts w:cs="Arial"/>
          <w:noProof/>
          <w:sz w:val="16"/>
          <w:szCs w:val="16"/>
        </w:rPr>
        <w:t>ence and</w:t>
      </w:r>
      <w:r w:rsidRPr="00093235">
        <w:rPr>
          <w:rFonts w:cs="Arial"/>
          <w:noProof/>
          <w:sz w:val="16"/>
          <w:szCs w:val="16"/>
        </w:rPr>
        <w:t xml:space="preserve"> Technol</w:t>
      </w:r>
      <w:r w:rsidR="00093235" w:rsidRPr="00093235">
        <w:rPr>
          <w:rFonts w:cs="Arial"/>
          <w:noProof/>
          <w:sz w:val="16"/>
          <w:szCs w:val="16"/>
        </w:rPr>
        <w:t>ogy, 48(15)</w:t>
      </w:r>
      <w:r w:rsidR="00914F8A" w:rsidRPr="00093235">
        <w:rPr>
          <w:rFonts w:cs="Arial"/>
          <w:noProof/>
          <w:sz w:val="16"/>
          <w:szCs w:val="16"/>
        </w:rPr>
        <w:t xml:space="preserve">, 8298-8306. </w:t>
      </w:r>
      <w:r w:rsidRPr="00093235">
        <w:rPr>
          <w:rFonts w:cs="Arial"/>
          <w:noProof/>
          <w:sz w:val="16"/>
          <w:szCs w:val="16"/>
        </w:rPr>
        <w:t xml:space="preserve"> </w:t>
      </w:r>
    </w:p>
    <w:p w14:paraId="60B166BD" w14:textId="77777777" w:rsidR="00732C41" w:rsidRPr="00093235" w:rsidRDefault="00914F8A"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Mayers, J.</w:t>
      </w:r>
      <w:r w:rsidR="00732C41" w:rsidRPr="00093235">
        <w:rPr>
          <w:rFonts w:ascii="Arial" w:hAnsi="Arial" w:cs="Arial"/>
          <w:sz w:val="16"/>
          <w:szCs w:val="16"/>
        </w:rPr>
        <w:t>J., Vaiciulyte, S., Malmhäll-Bah, E., Alcaide-S</w:t>
      </w:r>
      <w:r w:rsidR="00E226CB" w:rsidRPr="00093235">
        <w:rPr>
          <w:rFonts w:ascii="Arial" w:hAnsi="Arial" w:cs="Arial"/>
          <w:sz w:val="16"/>
          <w:szCs w:val="16"/>
        </w:rPr>
        <w:t xml:space="preserve">ancho, J., Ewald, S., </w:t>
      </w:r>
      <w:r w:rsidR="00732C41" w:rsidRPr="00093235">
        <w:rPr>
          <w:rFonts w:ascii="Arial" w:hAnsi="Arial" w:cs="Arial"/>
          <w:sz w:val="16"/>
          <w:szCs w:val="16"/>
        </w:rPr>
        <w:t>et al., 2018, Identifying a marine microalgae with high carbohydrate productivities under stress and potential for efficient flocculation. Algal Research, 31, 430-442.</w:t>
      </w:r>
    </w:p>
    <w:p w14:paraId="10BF5913" w14:textId="77777777" w:rsidR="004511FE" w:rsidRPr="00093235" w:rsidRDefault="004511FE" w:rsidP="004511FE">
      <w:pPr>
        <w:widowControl w:val="0"/>
        <w:autoSpaceDE w:val="0"/>
        <w:autoSpaceDN w:val="0"/>
        <w:adjustRightInd w:val="0"/>
        <w:ind w:left="480" w:hanging="480"/>
        <w:rPr>
          <w:rFonts w:cs="Arial"/>
          <w:noProof/>
          <w:sz w:val="16"/>
          <w:szCs w:val="16"/>
        </w:rPr>
      </w:pPr>
      <w:r w:rsidRPr="00093235">
        <w:rPr>
          <w:rFonts w:cs="Arial"/>
          <w:noProof/>
          <w:sz w:val="16"/>
          <w:szCs w:val="16"/>
        </w:rPr>
        <w:t>Miazek, K., Kratky, L., Sulc, R., Jirout, T., A</w:t>
      </w:r>
      <w:r w:rsidR="00E226CB" w:rsidRPr="00093235">
        <w:rPr>
          <w:rFonts w:cs="Arial"/>
          <w:noProof/>
          <w:sz w:val="16"/>
          <w:szCs w:val="16"/>
        </w:rPr>
        <w:t>guedo, M., Richel, A. et al</w:t>
      </w:r>
      <w:r w:rsidRPr="00093235">
        <w:rPr>
          <w:rFonts w:cs="Arial"/>
          <w:noProof/>
          <w:sz w:val="16"/>
          <w:szCs w:val="16"/>
        </w:rPr>
        <w:t>., 2017</w:t>
      </w:r>
      <w:r w:rsidR="00770F63" w:rsidRPr="00093235">
        <w:rPr>
          <w:rFonts w:cs="Arial"/>
          <w:noProof/>
          <w:sz w:val="16"/>
          <w:szCs w:val="16"/>
        </w:rPr>
        <w:t>,</w:t>
      </w:r>
      <w:r w:rsidRPr="00093235">
        <w:rPr>
          <w:rFonts w:cs="Arial"/>
          <w:noProof/>
          <w:sz w:val="16"/>
          <w:szCs w:val="16"/>
        </w:rPr>
        <w:t xml:space="preserve"> Effect of organic solvents on microalgae growth, metabolism and industrial bioproduct extraction: A review. Int</w:t>
      </w:r>
      <w:r w:rsidR="004B7C0C" w:rsidRPr="00093235">
        <w:rPr>
          <w:rFonts w:cs="Arial"/>
          <w:noProof/>
          <w:sz w:val="16"/>
          <w:szCs w:val="16"/>
        </w:rPr>
        <w:t>ernational</w:t>
      </w:r>
      <w:r w:rsidRPr="00093235">
        <w:rPr>
          <w:rFonts w:cs="Arial"/>
          <w:noProof/>
          <w:sz w:val="16"/>
          <w:szCs w:val="16"/>
        </w:rPr>
        <w:t xml:space="preserve"> J</w:t>
      </w:r>
      <w:r w:rsidR="004B7C0C" w:rsidRPr="00093235">
        <w:rPr>
          <w:rFonts w:cs="Arial"/>
          <w:noProof/>
          <w:sz w:val="16"/>
          <w:szCs w:val="16"/>
        </w:rPr>
        <w:t>ournal of</w:t>
      </w:r>
      <w:r w:rsidRPr="00093235">
        <w:rPr>
          <w:rFonts w:cs="Arial"/>
          <w:noProof/>
          <w:sz w:val="16"/>
          <w:szCs w:val="16"/>
        </w:rPr>
        <w:t xml:space="preserve"> Mol</w:t>
      </w:r>
      <w:r w:rsidR="004B7C0C" w:rsidRPr="00093235">
        <w:rPr>
          <w:rFonts w:cs="Arial"/>
          <w:noProof/>
          <w:sz w:val="16"/>
          <w:szCs w:val="16"/>
        </w:rPr>
        <w:t>ecular</w:t>
      </w:r>
      <w:r w:rsidRPr="00093235">
        <w:rPr>
          <w:rFonts w:cs="Arial"/>
          <w:noProof/>
          <w:sz w:val="16"/>
          <w:szCs w:val="16"/>
        </w:rPr>
        <w:t xml:space="preserve"> Sci</w:t>
      </w:r>
      <w:r w:rsidR="004B7C0C" w:rsidRPr="00093235">
        <w:rPr>
          <w:rFonts w:cs="Arial"/>
          <w:noProof/>
          <w:sz w:val="16"/>
          <w:szCs w:val="16"/>
        </w:rPr>
        <w:t xml:space="preserve">ence, </w:t>
      </w:r>
      <w:r w:rsidR="00770F63" w:rsidRPr="00093235">
        <w:rPr>
          <w:rFonts w:cs="Arial"/>
          <w:noProof/>
          <w:sz w:val="16"/>
          <w:szCs w:val="16"/>
        </w:rPr>
        <w:t>18(7), 1429,</w:t>
      </w:r>
    </w:p>
    <w:p w14:paraId="17C8DD69"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NCMA, The National Center for Marine Algae and Microbiota at Boothbay, Maine (NCMA),</w:t>
      </w:r>
    </w:p>
    <w:p w14:paraId="0FE2BEC5" w14:textId="77777777" w:rsidR="00732C41" w:rsidRPr="00093235" w:rsidRDefault="00A76461" w:rsidP="00732C41">
      <w:pPr>
        <w:pStyle w:val="EndNoteBibliography"/>
        <w:spacing w:after="0" w:line="264" w:lineRule="auto"/>
        <w:ind w:left="709" w:hanging="709"/>
        <w:jc w:val="both"/>
        <w:rPr>
          <w:rFonts w:ascii="Arial" w:hAnsi="Arial" w:cs="Arial"/>
          <w:sz w:val="16"/>
          <w:szCs w:val="16"/>
        </w:rPr>
      </w:pPr>
      <w:hyperlink r:id="rId20" w:history="1">
        <w:r w:rsidR="00BC6104" w:rsidRPr="00093235">
          <w:rPr>
            <w:rStyle w:val="Collegamentoipertestuale"/>
            <w:rFonts w:ascii="Arial" w:hAnsi="Arial" w:cs="Arial"/>
            <w:color w:val="auto"/>
            <w:sz w:val="16"/>
            <w:szCs w:val="16"/>
            <w:u w:val="none"/>
          </w:rPr>
          <w:t>https://ncma.bigelow.org/products/algae. Accessed 17.04.2019</w:t>
        </w:r>
      </w:hyperlink>
      <w:r w:rsidR="00732C41" w:rsidRPr="00093235">
        <w:rPr>
          <w:rFonts w:ascii="Arial" w:hAnsi="Arial" w:cs="Arial"/>
          <w:sz w:val="16"/>
          <w:szCs w:val="16"/>
        </w:rPr>
        <w:t>.</w:t>
      </w:r>
    </w:p>
    <w:p w14:paraId="08BD32D5" w14:textId="77777777" w:rsidR="00BC6104" w:rsidRPr="00093235" w:rsidRDefault="00BC6104" w:rsidP="00BC6104">
      <w:pPr>
        <w:widowControl w:val="0"/>
        <w:autoSpaceDE w:val="0"/>
        <w:autoSpaceDN w:val="0"/>
        <w:adjustRightInd w:val="0"/>
        <w:ind w:left="480" w:hanging="480"/>
        <w:rPr>
          <w:rFonts w:cs="Arial"/>
          <w:noProof/>
          <w:sz w:val="16"/>
          <w:szCs w:val="16"/>
        </w:rPr>
      </w:pPr>
      <w:r w:rsidRPr="00093235">
        <w:rPr>
          <w:rFonts w:cs="Arial"/>
          <w:noProof/>
          <w:sz w:val="16"/>
          <w:szCs w:val="16"/>
        </w:rPr>
        <w:t>Pillard, D.A., Tietge, J.E., Evans, J.M., 1996</w:t>
      </w:r>
      <w:r w:rsidR="004B7C0C" w:rsidRPr="00093235">
        <w:rPr>
          <w:rFonts w:cs="Arial"/>
          <w:noProof/>
          <w:sz w:val="16"/>
          <w:szCs w:val="16"/>
        </w:rPr>
        <w:t>, Estimating the acute toxicity of produced waters to m</w:t>
      </w:r>
      <w:r w:rsidRPr="00093235">
        <w:rPr>
          <w:rFonts w:cs="Arial"/>
          <w:noProof/>
          <w:sz w:val="16"/>
          <w:szCs w:val="16"/>
        </w:rPr>
        <w:t xml:space="preserve">arine </w:t>
      </w:r>
      <w:r w:rsidR="004B7C0C" w:rsidRPr="00093235">
        <w:rPr>
          <w:rFonts w:cs="Arial"/>
          <w:noProof/>
          <w:sz w:val="16"/>
          <w:szCs w:val="16"/>
        </w:rPr>
        <w:t>organisms using predictive toxicity m</w:t>
      </w:r>
      <w:r w:rsidRPr="00093235">
        <w:rPr>
          <w:rFonts w:cs="Arial"/>
          <w:noProof/>
          <w:sz w:val="16"/>
          <w:szCs w:val="16"/>
        </w:rPr>
        <w:t>odels,</w:t>
      </w:r>
      <w:r w:rsidR="004B7C0C" w:rsidRPr="00093235">
        <w:rPr>
          <w:rFonts w:cs="Arial"/>
          <w:noProof/>
          <w:sz w:val="16"/>
          <w:szCs w:val="16"/>
        </w:rPr>
        <w:t xml:space="preserve"> Ed.: Reed, M. And Johnsen, S.,</w:t>
      </w:r>
      <w:r w:rsidRPr="00093235">
        <w:rPr>
          <w:rFonts w:cs="Arial"/>
          <w:noProof/>
          <w:sz w:val="16"/>
          <w:szCs w:val="16"/>
        </w:rPr>
        <w:t xml:space="preserve"> in: Produced Water 2.</w:t>
      </w:r>
      <w:r w:rsidR="004B7C0C" w:rsidRPr="00093235">
        <w:rPr>
          <w:rFonts w:cs="Arial"/>
          <w:noProof/>
          <w:sz w:val="16"/>
          <w:szCs w:val="16"/>
        </w:rPr>
        <w:t xml:space="preserve"> Environmental Issues and Mitigation Technologies,</w:t>
      </w:r>
      <w:r w:rsidRPr="00093235">
        <w:rPr>
          <w:rFonts w:cs="Arial"/>
          <w:noProof/>
          <w:sz w:val="16"/>
          <w:szCs w:val="16"/>
        </w:rPr>
        <w:t xml:space="preserve"> </w:t>
      </w:r>
      <w:r w:rsidR="004B7C0C" w:rsidRPr="00093235">
        <w:rPr>
          <w:rFonts w:cs="Arial"/>
          <w:noProof/>
          <w:sz w:val="16"/>
          <w:szCs w:val="16"/>
        </w:rPr>
        <w:t xml:space="preserve">49-59. </w:t>
      </w:r>
    </w:p>
    <w:p w14:paraId="5D53CFBF" w14:textId="485CDB45" w:rsidR="00995207" w:rsidRPr="00093235" w:rsidRDefault="00995207" w:rsidP="00995207">
      <w:pPr>
        <w:widowControl w:val="0"/>
        <w:autoSpaceDE w:val="0"/>
        <w:autoSpaceDN w:val="0"/>
        <w:adjustRightInd w:val="0"/>
        <w:ind w:left="480" w:hanging="480"/>
        <w:rPr>
          <w:rFonts w:cs="Arial"/>
          <w:noProof/>
          <w:sz w:val="16"/>
          <w:szCs w:val="16"/>
        </w:rPr>
      </w:pPr>
      <w:r w:rsidRPr="00093235">
        <w:rPr>
          <w:rFonts w:cs="Arial"/>
          <w:noProof/>
          <w:sz w:val="16"/>
          <w:szCs w:val="16"/>
        </w:rPr>
        <w:t>Sullivan Graham, E.J., Dean, C.A., Yoshida, T.M., Twary, S.</w:t>
      </w:r>
      <w:r w:rsidR="00093235" w:rsidRPr="00093235">
        <w:rPr>
          <w:rFonts w:cs="Arial"/>
          <w:noProof/>
          <w:sz w:val="16"/>
          <w:szCs w:val="16"/>
        </w:rPr>
        <w:t xml:space="preserve">N., Teshima, M. </w:t>
      </w:r>
      <w:r w:rsidRPr="00093235">
        <w:rPr>
          <w:rFonts w:cs="Arial"/>
          <w:noProof/>
          <w:sz w:val="16"/>
          <w:szCs w:val="16"/>
        </w:rPr>
        <w:t>et al., 2017, Oil and gas produced water as a growth medium for microalgae cultivation: A review and feasibility analysis. Algal Res</w:t>
      </w:r>
      <w:r w:rsidR="00E226CB" w:rsidRPr="00093235">
        <w:rPr>
          <w:rFonts w:cs="Arial"/>
          <w:noProof/>
          <w:sz w:val="16"/>
          <w:szCs w:val="16"/>
        </w:rPr>
        <w:t xml:space="preserve">earch, </w:t>
      </w:r>
      <w:r w:rsidRPr="00093235">
        <w:rPr>
          <w:rFonts w:cs="Arial"/>
          <w:noProof/>
          <w:sz w:val="16"/>
          <w:szCs w:val="16"/>
        </w:rPr>
        <w:t>2</w:t>
      </w:r>
      <w:r w:rsidR="00E226CB" w:rsidRPr="00093235">
        <w:rPr>
          <w:rFonts w:cs="Arial"/>
          <w:noProof/>
          <w:sz w:val="16"/>
          <w:szCs w:val="16"/>
        </w:rPr>
        <w:t>4, Part B, 492-504.</w:t>
      </w:r>
    </w:p>
    <w:p w14:paraId="7355BF54" w14:textId="77777777" w:rsidR="007816D9" w:rsidRPr="00093235" w:rsidRDefault="007816D9" w:rsidP="007816D9">
      <w:pPr>
        <w:widowControl w:val="0"/>
        <w:autoSpaceDE w:val="0"/>
        <w:autoSpaceDN w:val="0"/>
        <w:adjustRightInd w:val="0"/>
        <w:ind w:left="480" w:hanging="480"/>
        <w:rPr>
          <w:rFonts w:cs="Arial"/>
          <w:noProof/>
          <w:sz w:val="16"/>
          <w:szCs w:val="16"/>
        </w:rPr>
      </w:pPr>
      <w:r w:rsidRPr="00093235">
        <w:rPr>
          <w:rFonts w:cs="Arial"/>
          <w:noProof/>
          <w:sz w:val="16"/>
          <w:szCs w:val="16"/>
        </w:rPr>
        <w:t>Sun, Y., Wang, D., Tsang, D.C.</w:t>
      </w:r>
      <w:r w:rsidR="00E226CB" w:rsidRPr="00093235">
        <w:rPr>
          <w:rFonts w:cs="Arial"/>
          <w:noProof/>
          <w:sz w:val="16"/>
          <w:szCs w:val="16"/>
        </w:rPr>
        <w:t>W., Wang, L., et al.</w:t>
      </w:r>
      <w:r w:rsidRPr="00093235">
        <w:rPr>
          <w:rFonts w:cs="Arial"/>
          <w:noProof/>
          <w:sz w:val="16"/>
          <w:szCs w:val="16"/>
        </w:rPr>
        <w:t>, 2019</w:t>
      </w:r>
      <w:r w:rsidR="004B7C0C" w:rsidRPr="00093235">
        <w:rPr>
          <w:rFonts w:cs="Arial"/>
          <w:noProof/>
          <w:sz w:val="16"/>
          <w:szCs w:val="16"/>
        </w:rPr>
        <w:t>,</w:t>
      </w:r>
      <w:r w:rsidRPr="00093235">
        <w:rPr>
          <w:rFonts w:cs="Arial"/>
          <w:noProof/>
          <w:sz w:val="16"/>
          <w:szCs w:val="16"/>
        </w:rPr>
        <w:t xml:space="preserve"> A critical review of risks, characteristics, and treatment strategies for potentially toxic elements in wastewater from shale gas extraction. Environ</w:t>
      </w:r>
      <w:r w:rsidR="004B7C0C" w:rsidRPr="00093235">
        <w:rPr>
          <w:rFonts w:cs="Arial"/>
          <w:noProof/>
          <w:sz w:val="16"/>
          <w:szCs w:val="16"/>
        </w:rPr>
        <w:t>ment</w:t>
      </w:r>
      <w:r w:rsidRPr="00093235">
        <w:rPr>
          <w:rFonts w:cs="Arial"/>
          <w:noProof/>
          <w:sz w:val="16"/>
          <w:szCs w:val="16"/>
        </w:rPr>
        <w:t xml:space="preserve"> Int</w:t>
      </w:r>
      <w:r w:rsidR="004B7C0C" w:rsidRPr="00093235">
        <w:rPr>
          <w:rFonts w:cs="Arial"/>
          <w:noProof/>
          <w:sz w:val="16"/>
          <w:szCs w:val="16"/>
        </w:rPr>
        <w:t>ernational,</w:t>
      </w:r>
      <w:r w:rsidRPr="00093235">
        <w:rPr>
          <w:rFonts w:cs="Arial"/>
          <w:noProof/>
          <w:sz w:val="16"/>
          <w:szCs w:val="16"/>
        </w:rPr>
        <w:t xml:space="preserve"> 125, 452–469. </w:t>
      </w:r>
    </w:p>
    <w:p w14:paraId="3B99FDC4" w14:textId="77777777" w:rsidR="00BC6104" w:rsidRPr="00093235" w:rsidRDefault="00DF5504" w:rsidP="00BC6104">
      <w:pPr>
        <w:widowControl w:val="0"/>
        <w:autoSpaceDE w:val="0"/>
        <w:autoSpaceDN w:val="0"/>
        <w:adjustRightInd w:val="0"/>
        <w:ind w:left="480" w:hanging="480"/>
        <w:rPr>
          <w:rFonts w:cs="Arial"/>
          <w:noProof/>
          <w:sz w:val="16"/>
          <w:szCs w:val="16"/>
        </w:rPr>
      </w:pPr>
      <w:r w:rsidRPr="00093235">
        <w:rPr>
          <w:rFonts w:cs="Arial"/>
          <w:color w:val="000000"/>
          <w:sz w:val="16"/>
          <w:szCs w:val="16"/>
          <w:shd w:val="clear" w:color="auto" w:fill="FFFFFF"/>
        </w:rPr>
        <w:t>Supriyono, S., Nurrohman, D.</w:t>
      </w:r>
      <w:r w:rsidR="00BC6104" w:rsidRPr="00093235">
        <w:rPr>
          <w:rFonts w:cs="Arial"/>
          <w:color w:val="000000"/>
          <w:sz w:val="16"/>
          <w:szCs w:val="16"/>
          <w:shd w:val="clear" w:color="auto" w:fill="FFFFFF"/>
        </w:rPr>
        <w:t>T., 2020</w:t>
      </w:r>
      <w:r w:rsidR="004B7C0C" w:rsidRPr="00093235">
        <w:rPr>
          <w:rFonts w:cs="Arial"/>
          <w:color w:val="000000"/>
          <w:sz w:val="16"/>
          <w:szCs w:val="16"/>
          <w:shd w:val="clear" w:color="auto" w:fill="FFFFFF"/>
        </w:rPr>
        <w:t>,</w:t>
      </w:r>
      <w:r w:rsidR="00BC6104" w:rsidRPr="00093235">
        <w:rPr>
          <w:rFonts w:cs="Arial"/>
          <w:color w:val="000000"/>
          <w:sz w:val="16"/>
          <w:szCs w:val="16"/>
          <w:shd w:val="clear" w:color="auto" w:fill="FFFFFF"/>
        </w:rPr>
        <w:t> </w:t>
      </w:r>
      <w:r w:rsidR="00BC6104" w:rsidRPr="00093235">
        <w:rPr>
          <w:rStyle w:val="ref-title"/>
          <w:rFonts w:cs="Arial"/>
          <w:color w:val="000000"/>
          <w:sz w:val="16"/>
          <w:szCs w:val="16"/>
          <w:shd w:val="clear" w:color="auto" w:fill="FFFFFF"/>
        </w:rPr>
        <w:t>Floating oil skimmer design using rotary disc method</w:t>
      </w:r>
      <w:r w:rsidR="00BC6104" w:rsidRPr="00093235">
        <w:rPr>
          <w:rFonts w:cs="Arial"/>
          <w:color w:val="000000"/>
          <w:sz w:val="16"/>
          <w:szCs w:val="16"/>
          <w:shd w:val="clear" w:color="auto" w:fill="FFFFFF"/>
        </w:rPr>
        <w:t>. </w:t>
      </w:r>
      <w:r w:rsidR="00BC6104" w:rsidRPr="00093235">
        <w:rPr>
          <w:rStyle w:val="ref-journal"/>
          <w:rFonts w:cs="Arial"/>
          <w:iCs/>
          <w:color w:val="000000"/>
          <w:sz w:val="16"/>
          <w:szCs w:val="16"/>
          <w:shd w:val="clear" w:color="auto" w:fill="FFFFFF"/>
        </w:rPr>
        <w:t>J</w:t>
      </w:r>
      <w:r w:rsidRPr="00093235">
        <w:rPr>
          <w:rStyle w:val="ref-journal"/>
          <w:rFonts w:cs="Arial"/>
          <w:iCs/>
          <w:color w:val="000000"/>
          <w:sz w:val="16"/>
          <w:szCs w:val="16"/>
          <w:shd w:val="clear" w:color="auto" w:fill="FFFFFF"/>
        </w:rPr>
        <w:t>ournal of</w:t>
      </w:r>
      <w:r w:rsidR="00BC6104" w:rsidRPr="00093235">
        <w:rPr>
          <w:rStyle w:val="ref-journal"/>
          <w:rFonts w:cs="Arial"/>
          <w:iCs/>
          <w:color w:val="000000"/>
          <w:sz w:val="16"/>
          <w:szCs w:val="16"/>
          <w:shd w:val="clear" w:color="auto" w:fill="FFFFFF"/>
        </w:rPr>
        <w:t xml:space="preserve"> Phys</w:t>
      </w:r>
      <w:r w:rsidRPr="00093235">
        <w:rPr>
          <w:rStyle w:val="ref-journal"/>
          <w:rFonts w:cs="Arial"/>
          <w:iCs/>
          <w:color w:val="000000"/>
          <w:sz w:val="16"/>
          <w:szCs w:val="16"/>
          <w:shd w:val="clear" w:color="auto" w:fill="FFFFFF"/>
        </w:rPr>
        <w:t>ic</w:t>
      </w:r>
      <w:r w:rsidR="00BC6104" w:rsidRPr="00093235">
        <w:rPr>
          <w:rStyle w:val="ref-journal"/>
          <w:rFonts w:cs="Arial"/>
          <w:iCs/>
          <w:color w:val="000000"/>
          <w:sz w:val="16"/>
          <w:szCs w:val="16"/>
          <w:shd w:val="clear" w:color="auto" w:fill="FFFFFF"/>
        </w:rPr>
        <w:t>: Conf</w:t>
      </w:r>
      <w:r w:rsidRPr="00093235">
        <w:rPr>
          <w:rStyle w:val="ref-journal"/>
          <w:rFonts w:cs="Arial"/>
          <w:iCs/>
          <w:color w:val="000000"/>
          <w:sz w:val="16"/>
          <w:szCs w:val="16"/>
          <w:shd w:val="clear" w:color="auto" w:fill="FFFFFF"/>
        </w:rPr>
        <w:t>erence</w:t>
      </w:r>
      <w:r w:rsidR="00BC6104" w:rsidRPr="00093235">
        <w:rPr>
          <w:rStyle w:val="ref-journal"/>
          <w:rFonts w:cs="Arial"/>
          <w:iCs/>
          <w:color w:val="000000"/>
          <w:sz w:val="16"/>
          <w:szCs w:val="16"/>
          <w:shd w:val="clear" w:color="auto" w:fill="FFFFFF"/>
        </w:rPr>
        <w:t xml:space="preserve"> Ser</w:t>
      </w:r>
      <w:r w:rsidRPr="00093235">
        <w:rPr>
          <w:rStyle w:val="ref-journal"/>
          <w:rFonts w:cs="Arial"/>
          <w:iCs/>
          <w:color w:val="000000"/>
          <w:sz w:val="16"/>
          <w:szCs w:val="16"/>
          <w:shd w:val="clear" w:color="auto" w:fill="FFFFFF"/>
        </w:rPr>
        <w:t>ies,</w:t>
      </w:r>
      <w:r w:rsidR="00BC6104" w:rsidRPr="00093235">
        <w:rPr>
          <w:rFonts w:cs="Arial"/>
          <w:color w:val="000000"/>
          <w:sz w:val="16"/>
          <w:szCs w:val="16"/>
          <w:shd w:val="clear" w:color="auto" w:fill="FFFFFF"/>
        </w:rPr>
        <w:t> </w:t>
      </w:r>
      <w:r w:rsidR="00BC6104" w:rsidRPr="00093235">
        <w:rPr>
          <w:rStyle w:val="ref-vol"/>
          <w:rFonts w:cs="Arial"/>
          <w:color w:val="000000"/>
          <w:sz w:val="16"/>
          <w:szCs w:val="16"/>
          <w:shd w:val="clear" w:color="auto" w:fill="FFFFFF"/>
        </w:rPr>
        <w:t>1450</w:t>
      </w:r>
      <w:r w:rsidR="00BC6104" w:rsidRPr="00093235">
        <w:rPr>
          <w:rFonts w:cs="Arial"/>
          <w:color w:val="000000"/>
          <w:sz w:val="16"/>
          <w:szCs w:val="16"/>
          <w:shd w:val="clear" w:color="auto" w:fill="FFFFFF"/>
        </w:rPr>
        <w:t xml:space="preserve">, 012046. </w:t>
      </w:r>
    </w:p>
    <w:p w14:paraId="1DA9129C" w14:textId="77777777" w:rsidR="00732C41" w:rsidRPr="00093235" w:rsidRDefault="00BC6104"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 xml:space="preserve">USEPA, </w:t>
      </w:r>
      <w:r w:rsidR="00732C41" w:rsidRPr="00093235">
        <w:rPr>
          <w:rFonts w:ascii="Arial" w:hAnsi="Arial" w:cs="Arial"/>
          <w:sz w:val="16"/>
          <w:szCs w:val="16"/>
        </w:rPr>
        <w:t>US Envir</w:t>
      </w:r>
      <w:r w:rsidRPr="00093235">
        <w:rPr>
          <w:rFonts w:ascii="Arial" w:hAnsi="Arial" w:cs="Arial"/>
          <w:sz w:val="16"/>
          <w:szCs w:val="16"/>
        </w:rPr>
        <w:t>onmental Protection Agency</w:t>
      </w:r>
      <w:r w:rsidR="00732C41" w:rsidRPr="00093235">
        <w:rPr>
          <w:rFonts w:ascii="Arial" w:hAnsi="Arial" w:cs="Arial"/>
          <w:sz w:val="16"/>
          <w:szCs w:val="16"/>
        </w:rPr>
        <w:t>, 1980, Standard Method 5220 D. Washington D.C., USA.</w:t>
      </w:r>
    </w:p>
    <w:p w14:paraId="7A3BAC4E"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 xml:space="preserve">UTEX, The Culture Collection of Algae at the University of Texas at Austin (UTEX), </w:t>
      </w:r>
      <w:hyperlink r:id="rId21" w:history="1">
        <w:r w:rsidRPr="00093235">
          <w:rPr>
            <w:rFonts w:ascii="Arial" w:hAnsi="Arial" w:cs="Arial"/>
            <w:sz w:val="16"/>
            <w:szCs w:val="16"/>
          </w:rPr>
          <w:t>http://web.biosci.utexas.edu/utex/media.aspx</w:t>
        </w:r>
      </w:hyperlink>
      <w:r w:rsidR="00BC6104" w:rsidRPr="00093235">
        <w:rPr>
          <w:rFonts w:ascii="Arial" w:hAnsi="Arial" w:cs="Arial"/>
          <w:sz w:val="16"/>
          <w:szCs w:val="16"/>
        </w:rPr>
        <w:t>. Accessed 04.04.2019</w:t>
      </w:r>
      <w:r w:rsidRPr="00093235">
        <w:rPr>
          <w:rFonts w:ascii="Arial" w:hAnsi="Arial" w:cs="Arial"/>
          <w:sz w:val="16"/>
          <w:szCs w:val="16"/>
        </w:rPr>
        <w:t>.</w:t>
      </w:r>
    </w:p>
    <w:p w14:paraId="5E4E3108"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Zhou, N., Dunford, N. T., 2017, Characterization of green microalgae and cyanobacteria isolated from Great Salt Plains. Transaction of the ASABE, 60(2), 283-290.</w:t>
      </w:r>
    </w:p>
    <w:p w14:paraId="78BBF41E" w14:textId="77777777" w:rsidR="00732C41" w:rsidRPr="00093235" w:rsidRDefault="00732C41" w:rsidP="00732C41">
      <w:pPr>
        <w:pStyle w:val="EndNoteBibliography"/>
        <w:spacing w:after="0" w:line="264" w:lineRule="auto"/>
        <w:ind w:left="709" w:hanging="709"/>
        <w:jc w:val="both"/>
        <w:rPr>
          <w:rFonts w:ascii="Arial" w:hAnsi="Arial" w:cs="Arial"/>
          <w:sz w:val="16"/>
          <w:szCs w:val="16"/>
        </w:rPr>
      </w:pPr>
      <w:r w:rsidRPr="00093235">
        <w:rPr>
          <w:rFonts w:ascii="Arial" w:hAnsi="Arial" w:cs="Arial"/>
          <w:sz w:val="16"/>
          <w:szCs w:val="16"/>
        </w:rPr>
        <w:t xml:space="preserve">Zhu, Y., Dunford, N. T., 2013, Growth and biomass characteristics of </w:t>
      </w:r>
      <w:r w:rsidRPr="00093235">
        <w:rPr>
          <w:rFonts w:ascii="Arial" w:hAnsi="Arial" w:cs="Arial"/>
          <w:i/>
          <w:sz w:val="16"/>
          <w:szCs w:val="16"/>
        </w:rPr>
        <w:t>Picochlorum oklahomensis</w:t>
      </w:r>
      <w:r w:rsidRPr="00093235">
        <w:rPr>
          <w:rFonts w:ascii="Arial" w:hAnsi="Arial" w:cs="Arial"/>
          <w:sz w:val="16"/>
          <w:szCs w:val="16"/>
        </w:rPr>
        <w:t xml:space="preserve"> and </w:t>
      </w:r>
      <w:r w:rsidRPr="00093235">
        <w:rPr>
          <w:rFonts w:ascii="Arial" w:hAnsi="Arial" w:cs="Arial"/>
          <w:i/>
          <w:sz w:val="16"/>
          <w:szCs w:val="16"/>
        </w:rPr>
        <w:t>Nannochloropsis oculata</w:t>
      </w:r>
      <w:r w:rsidRPr="00093235">
        <w:rPr>
          <w:rFonts w:ascii="Arial" w:hAnsi="Arial" w:cs="Arial"/>
          <w:sz w:val="16"/>
          <w:szCs w:val="16"/>
        </w:rPr>
        <w:t>. Journal of the American Oil Chemists’s Society, 90(6), 841-849.</w:t>
      </w:r>
    </w:p>
    <w:p w14:paraId="5D911889" w14:textId="77777777" w:rsidR="004628D2" w:rsidRPr="00093235" w:rsidRDefault="004511FE" w:rsidP="00BE2057">
      <w:pPr>
        <w:widowControl w:val="0"/>
        <w:autoSpaceDE w:val="0"/>
        <w:autoSpaceDN w:val="0"/>
        <w:adjustRightInd w:val="0"/>
        <w:ind w:left="480" w:hanging="480"/>
        <w:rPr>
          <w:rFonts w:cs="Arial"/>
          <w:noProof/>
          <w:sz w:val="16"/>
          <w:szCs w:val="16"/>
        </w:rPr>
      </w:pPr>
      <w:r w:rsidRPr="00093235">
        <w:rPr>
          <w:rFonts w:cs="Arial"/>
          <w:noProof/>
          <w:sz w:val="16"/>
          <w:szCs w:val="16"/>
          <w:lang w:val="en-US"/>
        </w:rPr>
        <w:t>Whitton, R., Le Mével, A., Pidou, M., Ometto, F., Villa, R., Jefferson, B., 2016</w:t>
      </w:r>
      <w:r w:rsidR="00DF5504" w:rsidRPr="00093235">
        <w:rPr>
          <w:rFonts w:cs="Arial"/>
          <w:noProof/>
          <w:sz w:val="16"/>
          <w:szCs w:val="16"/>
          <w:lang w:val="en-US"/>
        </w:rPr>
        <w:t>,</w:t>
      </w:r>
      <w:r w:rsidRPr="00093235">
        <w:rPr>
          <w:rFonts w:cs="Arial"/>
          <w:noProof/>
          <w:sz w:val="16"/>
          <w:szCs w:val="16"/>
          <w:lang w:val="en-US"/>
        </w:rPr>
        <w:t xml:space="preserve"> </w:t>
      </w:r>
      <w:r w:rsidRPr="00093235">
        <w:rPr>
          <w:rFonts w:cs="Arial"/>
          <w:noProof/>
          <w:sz w:val="16"/>
          <w:szCs w:val="16"/>
        </w:rPr>
        <w:t>Influence of microalgal N and P composition on wastewater nutrient remediation. Water Res</w:t>
      </w:r>
      <w:r w:rsidR="00DF5504" w:rsidRPr="00093235">
        <w:rPr>
          <w:rFonts w:cs="Arial"/>
          <w:noProof/>
          <w:sz w:val="16"/>
          <w:szCs w:val="16"/>
        </w:rPr>
        <w:t>ource, 91, 371-378</w:t>
      </w:r>
      <w:r w:rsidRPr="00093235">
        <w:rPr>
          <w:rFonts w:cs="Arial"/>
          <w:noProof/>
          <w:sz w:val="16"/>
          <w:szCs w:val="16"/>
        </w:rPr>
        <w:t xml:space="preserve">. </w:t>
      </w:r>
    </w:p>
    <w:sectPr w:rsidR="004628D2" w:rsidRPr="0009323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C77C" w14:textId="77777777" w:rsidR="00A76461" w:rsidRDefault="00A76461" w:rsidP="004F5E36">
      <w:r>
        <w:separator/>
      </w:r>
    </w:p>
  </w:endnote>
  <w:endnote w:type="continuationSeparator" w:id="0">
    <w:p w14:paraId="4AC00A29" w14:textId="77777777" w:rsidR="00A76461" w:rsidRDefault="00A764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dvGulliv-R">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913F" w14:textId="77777777" w:rsidR="00A76461" w:rsidRDefault="00A76461" w:rsidP="004F5E36">
      <w:r>
        <w:separator/>
      </w:r>
    </w:p>
  </w:footnote>
  <w:footnote w:type="continuationSeparator" w:id="0">
    <w:p w14:paraId="0A46131A" w14:textId="77777777" w:rsidR="00A76461" w:rsidRDefault="00A764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EE6"/>
    <w:rsid w:val="000117CB"/>
    <w:rsid w:val="0003148D"/>
    <w:rsid w:val="00031EEC"/>
    <w:rsid w:val="00047C35"/>
    <w:rsid w:val="00051566"/>
    <w:rsid w:val="000546CC"/>
    <w:rsid w:val="00062A9A"/>
    <w:rsid w:val="00065058"/>
    <w:rsid w:val="00086C39"/>
    <w:rsid w:val="00093235"/>
    <w:rsid w:val="000A03B2"/>
    <w:rsid w:val="000D0268"/>
    <w:rsid w:val="000D34BE"/>
    <w:rsid w:val="000D46B5"/>
    <w:rsid w:val="000E0632"/>
    <w:rsid w:val="000E102F"/>
    <w:rsid w:val="000E18D0"/>
    <w:rsid w:val="000E36F1"/>
    <w:rsid w:val="000E3A73"/>
    <w:rsid w:val="000E414A"/>
    <w:rsid w:val="000F093C"/>
    <w:rsid w:val="000F7796"/>
    <w:rsid w:val="000F787B"/>
    <w:rsid w:val="00110BF5"/>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089B"/>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662CD"/>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92148"/>
    <w:rsid w:val="003A1E30"/>
    <w:rsid w:val="003A2829"/>
    <w:rsid w:val="003A7D1C"/>
    <w:rsid w:val="003B304B"/>
    <w:rsid w:val="003B3146"/>
    <w:rsid w:val="003B4F52"/>
    <w:rsid w:val="003F015E"/>
    <w:rsid w:val="00400414"/>
    <w:rsid w:val="0041385B"/>
    <w:rsid w:val="0041446B"/>
    <w:rsid w:val="0044071E"/>
    <w:rsid w:val="0044329C"/>
    <w:rsid w:val="004511FE"/>
    <w:rsid w:val="00453E24"/>
    <w:rsid w:val="00457456"/>
    <w:rsid w:val="004577FE"/>
    <w:rsid w:val="00457B9C"/>
    <w:rsid w:val="0046164A"/>
    <w:rsid w:val="004628D2"/>
    <w:rsid w:val="00462DCD"/>
    <w:rsid w:val="004648AD"/>
    <w:rsid w:val="004703A9"/>
    <w:rsid w:val="004760DE"/>
    <w:rsid w:val="004763D7"/>
    <w:rsid w:val="004A004E"/>
    <w:rsid w:val="004A24CF"/>
    <w:rsid w:val="004B7C0C"/>
    <w:rsid w:val="004C3D1D"/>
    <w:rsid w:val="004C5AAC"/>
    <w:rsid w:val="004C7913"/>
    <w:rsid w:val="004E4DD6"/>
    <w:rsid w:val="004F5E36"/>
    <w:rsid w:val="005075ED"/>
    <w:rsid w:val="00507B47"/>
    <w:rsid w:val="00507BEF"/>
    <w:rsid w:val="00507CC9"/>
    <w:rsid w:val="005119A5"/>
    <w:rsid w:val="005278B7"/>
    <w:rsid w:val="00532016"/>
    <w:rsid w:val="005346C8"/>
    <w:rsid w:val="00543E7D"/>
    <w:rsid w:val="00547A68"/>
    <w:rsid w:val="005531C9"/>
    <w:rsid w:val="00556D54"/>
    <w:rsid w:val="00570C43"/>
    <w:rsid w:val="00591C1D"/>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66FF4"/>
    <w:rsid w:val="00680C23"/>
    <w:rsid w:val="006858CE"/>
    <w:rsid w:val="00693766"/>
    <w:rsid w:val="00694061"/>
    <w:rsid w:val="006A3281"/>
    <w:rsid w:val="006B4888"/>
    <w:rsid w:val="006C2E45"/>
    <w:rsid w:val="006C359C"/>
    <w:rsid w:val="006C5579"/>
    <w:rsid w:val="006D6199"/>
    <w:rsid w:val="006D6E8B"/>
    <w:rsid w:val="006E737D"/>
    <w:rsid w:val="00712C18"/>
    <w:rsid w:val="00713973"/>
    <w:rsid w:val="00720A24"/>
    <w:rsid w:val="00732386"/>
    <w:rsid w:val="00732C41"/>
    <w:rsid w:val="0073514D"/>
    <w:rsid w:val="00743280"/>
    <w:rsid w:val="007447F3"/>
    <w:rsid w:val="007500F9"/>
    <w:rsid w:val="0075499F"/>
    <w:rsid w:val="007661C8"/>
    <w:rsid w:val="0077098D"/>
    <w:rsid w:val="00770A6B"/>
    <w:rsid w:val="00770F63"/>
    <w:rsid w:val="007816D9"/>
    <w:rsid w:val="007931FA"/>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95487"/>
    <w:rsid w:val="008A1512"/>
    <w:rsid w:val="008C40CA"/>
    <w:rsid w:val="008D32B9"/>
    <w:rsid w:val="008D433B"/>
    <w:rsid w:val="008E0790"/>
    <w:rsid w:val="008E566E"/>
    <w:rsid w:val="0090161A"/>
    <w:rsid w:val="00901EB6"/>
    <w:rsid w:val="00904C62"/>
    <w:rsid w:val="00914F8A"/>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5207"/>
    <w:rsid w:val="00996483"/>
    <w:rsid w:val="00996F5A"/>
    <w:rsid w:val="009B041A"/>
    <w:rsid w:val="009C37C3"/>
    <w:rsid w:val="009C7C86"/>
    <w:rsid w:val="009D0379"/>
    <w:rsid w:val="009D2FF7"/>
    <w:rsid w:val="009D5395"/>
    <w:rsid w:val="009E7884"/>
    <w:rsid w:val="009E788A"/>
    <w:rsid w:val="009F0E08"/>
    <w:rsid w:val="00A07B1E"/>
    <w:rsid w:val="00A1763D"/>
    <w:rsid w:val="00A17CEC"/>
    <w:rsid w:val="00A27EF0"/>
    <w:rsid w:val="00A42361"/>
    <w:rsid w:val="00A50B20"/>
    <w:rsid w:val="00A51390"/>
    <w:rsid w:val="00A60D13"/>
    <w:rsid w:val="00A72745"/>
    <w:rsid w:val="00A76461"/>
    <w:rsid w:val="00A76EFC"/>
    <w:rsid w:val="00A91010"/>
    <w:rsid w:val="00A97F29"/>
    <w:rsid w:val="00AA702E"/>
    <w:rsid w:val="00AB0964"/>
    <w:rsid w:val="00AB5011"/>
    <w:rsid w:val="00AC7368"/>
    <w:rsid w:val="00AD16B9"/>
    <w:rsid w:val="00AE377D"/>
    <w:rsid w:val="00AF0EBA"/>
    <w:rsid w:val="00B02C8A"/>
    <w:rsid w:val="00B072F7"/>
    <w:rsid w:val="00B17FBD"/>
    <w:rsid w:val="00B21A37"/>
    <w:rsid w:val="00B315A6"/>
    <w:rsid w:val="00B31813"/>
    <w:rsid w:val="00B33365"/>
    <w:rsid w:val="00B57B36"/>
    <w:rsid w:val="00B57E6F"/>
    <w:rsid w:val="00B70503"/>
    <w:rsid w:val="00B8686D"/>
    <w:rsid w:val="00B93F69"/>
    <w:rsid w:val="00B96D79"/>
    <w:rsid w:val="00BB1DDC"/>
    <w:rsid w:val="00BC30C9"/>
    <w:rsid w:val="00BC6104"/>
    <w:rsid w:val="00BD077D"/>
    <w:rsid w:val="00BE2057"/>
    <w:rsid w:val="00BE3E58"/>
    <w:rsid w:val="00C01616"/>
    <w:rsid w:val="00C0162B"/>
    <w:rsid w:val="00C068ED"/>
    <w:rsid w:val="00C22E0C"/>
    <w:rsid w:val="00C345B1"/>
    <w:rsid w:val="00C40142"/>
    <w:rsid w:val="00C446E0"/>
    <w:rsid w:val="00C52C3C"/>
    <w:rsid w:val="00C57182"/>
    <w:rsid w:val="00C57863"/>
    <w:rsid w:val="00C655FD"/>
    <w:rsid w:val="00C75407"/>
    <w:rsid w:val="00C870A8"/>
    <w:rsid w:val="00C94434"/>
    <w:rsid w:val="00CA0D75"/>
    <w:rsid w:val="00CA1C95"/>
    <w:rsid w:val="00CA5A9C"/>
    <w:rsid w:val="00CC0EDD"/>
    <w:rsid w:val="00CC4C20"/>
    <w:rsid w:val="00CD3517"/>
    <w:rsid w:val="00CD5FE2"/>
    <w:rsid w:val="00CE21E9"/>
    <w:rsid w:val="00CE7C68"/>
    <w:rsid w:val="00D02B4C"/>
    <w:rsid w:val="00D040C4"/>
    <w:rsid w:val="00D1617E"/>
    <w:rsid w:val="00D35425"/>
    <w:rsid w:val="00D46B7E"/>
    <w:rsid w:val="00D57C84"/>
    <w:rsid w:val="00D6057D"/>
    <w:rsid w:val="00D65992"/>
    <w:rsid w:val="00D71640"/>
    <w:rsid w:val="00D836C5"/>
    <w:rsid w:val="00D84576"/>
    <w:rsid w:val="00DA1399"/>
    <w:rsid w:val="00DA24C6"/>
    <w:rsid w:val="00DA4D7B"/>
    <w:rsid w:val="00DE264A"/>
    <w:rsid w:val="00DE41B0"/>
    <w:rsid w:val="00DF5072"/>
    <w:rsid w:val="00DF5504"/>
    <w:rsid w:val="00E02D18"/>
    <w:rsid w:val="00E041E7"/>
    <w:rsid w:val="00E226CB"/>
    <w:rsid w:val="00E23CA1"/>
    <w:rsid w:val="00E409A8"/>
    <w:rsid w:val="00E50C12"/>
    <w:rsid w:val="00E65B91"/>
    <w:rsid w:val="00E7209D"/>
    <w:rsid w:val="00E72EAD"/>
    <w:rsid w:val="00E77223"/>
    <w:rsid w:val="00E8528B"/>
    <w:rsid w:val="00E85B94"/>
    <w:rsid w:val="00E93C28"/>
    <w:rsid w:val="00E9756B"/>
    <w:rsid w:val="00E978D0"/>
    <w:rsid w:val="00EA4613"/>
    <w:rsid w:val="00EA7F91"/>
    <w:rsid w:val="00EB1523"/>
    <w:rsid w:val="00EC0E49"/>
    <w:rsid w:val="00EC101F"/>
    <w:rsid w:val="00EC1D9F"/>
    <w:rsid w:val="00ED6E25"/>
    <w:rsid w:val="00EE0131"/>
    <w:rsid w:val="00EE17B0"/>
    <w:rsid w:val="00EF06D9"/>
    <w:rsid w:val="00EF514B"/>
    <w:rsid w:val="00EF7AC6"/>
    <w:rsid w:val="00F30C64"/>
    <w:rsid w:val="00F32BA2"/>
    <w:rsid w:val="00F32CDB"/>
    <w:rsid w:val="00F44AAE"/>
    <w:rsid w:val="00F565FE"/>
    <w:rsid w:val="00F63A70"/>
    <w:rsid w:val="00F7534E"/>
    <w:rsid w:val="00F93C5F"/>
    <w:rsid w:val="00FA0F4D"/>
    <w:rsid w:val="00FA1802"/>
    <w:rsid w:val="00FA21D0"/>
    <w:rsid w:val="00FA5F5F"/>
    <w:rsid w:val="00FB730C"/>
    <w:rsid w:val="00FC2695"/>
    <w:rsid w:val="00FC3E03"/>
    <w:rsid w:val="00FC3FC1"/>
    <w:rsid w:val="00FC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FA876"/>
  <w15:docId w15:val="{3EC5BBCD-5BA0-46CD-9B30-766779BF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Default">
    <w:name w:val="Default"/>
    <w:rsid w:val="00732C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ndNoteBibliography">
    <w:name w:val="EndNote Bibliography"/>
    <w:basedOn w:val="Normale"/>
    <w:link w:val="EndNoteBibliographyChar"/>
    <w:rsid w:val="00732C41"/>
    <w:pPr>
      <w:tabs>
        <w:tab w:val="clear" w:pos="7100"/>
      </w:tabs>
      <w:spacing w:after="160" w:line="480" w:lineRule="auto"/>
      <w:jc w:val="left"/>
    </w:pPr>
    <w:rPr>
      <w:rFonts w:ascii="Times New Roman" w:eastAsiaTheme="minorHAnsi" w:hAnsi="Times New Roman"/>
      <w:noProof/>
      <w:sz w:val="24"/>
      <w:szCs w:val="22"/>
      <w:lang w:val="en-US"/>
    </w:rPr>
  </w:style>
  <w:style w:type="character" w:customStyle="1" w:styleId="EndNoteBibliographyChar">
    <w:name w:val="EndNote Bibliography Char"/>
    <w:basedOn w:val="Carpredefinitoparagrafo"/>
    <w:link w:val="EndNoteBibliography"/>
    <w:rsid w:val="00732C41"/>
    <w:rPr>
      <w:rFonts w:ascii="Times New Roman" w:hAnsi="Times New Roman" w:cs="Times New Roman"/>
      <w:noProof/>
      <w:sz w:val="24"/>
      <w:lang w:val="en-US"/>
    </w:rPr>
  </w:style>
  <w:style w:type="paragraph" w:customStyle="1" w:styleId="EndNoteBibliographyTitle">
    <w:name w:val="EndNote Bibliography Title"/>
    <w:basedOn w:val="Normale"/>
    <w:link w:val="EndNoteBibliographyTitleChar"/>
    <w:rsid w:val="00770A6B"/>
    <w:pPr>
      <w:tabs>
        <w:tab w:val="clear" w:pos="7100"/>
      </w:tabs>
      <w:spacing w:before="120" w:line="480" w:lineRule="auto"/>
      <w:jc w:val="center"/>
    </w:pPr>
    <w:rPr>
      <w:rFonts w:ascii="Times New Roman" w:eastAsiaTheme="minorHAnsi" w:hAnsi="Times New Roman"/>
      <w:noProof/>
      <w:sz w:val="24"/>
      <w:szCs w:val="22"/>
      <w:lang w:val="en-US"/>
    </w:rPr>
  </w:style>
  <w:style w:type="character" w:customStyle="1" w:styleId="EndNoteBibliographyTitleChar">
    <w:name w:val="EndNote Bibliography Title Char"/>
    <w:basedOn w:val="Carpredefinitoparagrafo"/>
    <w:link w:val="EndNoteBibliographyTitle"/>
    <w:rsid w:val="00770A6B"/>
    <w:rPr>
      <w:rFonts w:ascii="Times New Roman" w:hAnsi="Times New Roman" w:cs="Times New Roman"/>
      <w:noProof/>
      <w:sz w:val="24"/>
      <w:lang w:val="en-US"/>
    </w:rPr>
  </w:style>
  <w:style w:type="character" w:customStyle="1" w:styleId="ref-title">
    <w:name w:val="ref-title"/>
    <w:basedOn w:val="Carpredefinitoparagrafo"/>
    <w:rsid w:val="00BC6104"/>
  </w:style>
  <w:style w:type="character" w:customStyle="1" w:styleId="ref-journal">
    <w:name w:val="ref-journal"/>
    <w:basedOn w:val="Carpredefinitoparagrafo"/>
    <w:rsid w:val="00BC6104"/>
  </w:style>
  <w:style w:type="character" w:customStyle="1" w:styleId="ref-vol">
    <w:name w:val="ref-vol"/>
    <w:basedOn w:val="Carpredefinitoparagrafo"/>
    <w:rsid w:val="00BC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web.biosci.utexas.edu/utex/media.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ncma.bigelow.org/products/algae.%20Accessed%2017.04.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121C-495B-47E2-868F-771D0E44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14681</Words>
  <Characters>83685</Characters>
  <Application>Microsoft Office Word</Application>
  <DocSecurity>0</DocSecurity>
  <Lines>697</Lines>
  <Paragraphs>196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ACER</cp:lastModifiedBy>
  <cp:revision>4</cp:revision>
  <cp:lastPrinted>2021-12-22T09:42:00Z</cp:lastPrinted>
  <dcterms:created xsi:type="dcterms:W3CDTF">2022-02-17T11:40:00Z</dcterms:created>
  <dcterms:modified xsi:type="dcterms:W3CDTF">2022-02-17T12:11:00Z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