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3576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3576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35768">
        <w:trPr>
          <w:trHeight w:val="68"/>
          <w:jc w:val="center"/>
        </w:trPr>
        <w:tc>
          <w:tcPr>
            <w:tcW w:w="8782"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526B4B6" w14:textId="77777777" w:rsidR="00635768" w:rsidRPr="00635768" w:rsidRDefault="00635768" w:rsidP="00635768">
      <w:pPr>
        <w:tabs>
          <w:tab w:val="clear" w:pos="7100"/>
        </w:tabs>
        <w:suppressAutoHyphens/>
        <w:spacing w:before="480" w:after="120"/>
        <w:jc w:val="center"/>
        <w:outlineLvl w:val="0"/>
        <w:rPr>
          <w:sz w:val="32"/>
        </w:rPr>
      </w:pPr>
      <w:bookmarkStart w:id="1" w:name="_Hlk99379835"/>
      <w:r w:rsidRPr="00635768">
        <w:rPr>
          <w:sz w:val="32"/>
        </w:rPr>
        <w:t>Laboratory-Scale Study of Nickel-Catalyst Pellets Performance for Tar Steam Reforming Obtained from Biomass Gasification</w:t>
      </w:r>
      <w:bookmarkEnd w:id="1"/>
    </w:p>
    <w:p w14:paraId="0488FED2" w14:textId="376F81A0" w:rsidR="00B57E6F" w:rsidRPr="00A37873" w:rsidRDefault="001A3CDF" w:rsidP="00B57E6F">
      <w:pPr>
        <w:pStyle w:val="CETAuthors"/>
        <w:rPr>
          <w:lang w:val="it-IT"/>
        </w:rPr>
      </w:pPr>
      <w:r w:rsidRPr="00A37873">
        <w:rPr>
          <w:lang w:val="it-IT"/>
        </w:rPr>
        <w:t>Alessandra Tacconi</w:t>
      </w:r>
      <w:r w:rsidR="00F5775B">
        <w:rPr>
          <w:lang w:val="it-IT"/>
        </w:rPr>
        <w:t>*</w:t>
      </w:r>
      <w:r w:rsidRPr="00A37873">
        <w:rPr>
          <w:lang w:val="it-IT"/>
        </w:rPr>
        <w:t xml:space="preserve">, Elisa Savuto, Andrea Di Giuliano, Andrea Di Carlo </w:t>
      </w:r>
    </w:p>
    <w:p w14:paraId="6B2D21B3" w14:textId="28FC45D4" w:rsidR="00B57E6F" w:rsidRPr="00B57B36" w:rsidRDefault="001A3CDF" w:rsidP="00B57E6F">
      <w:pPr>
        <w:pStyle w:val="CETAddress"/>
      </w:pPr>
      <w:r w:rsidRPr="001A3CDF">
        <w:t>Department of Industrial and Information Engineering and Economics</w:t>
      </w:r>
      <w:r>
        <w:t>-University of L’Aquila, Piazzale E. Pontieri 1, Monteluco di Roio, 67100 L’Aquila</w:t>
      </w:r>
      <w:r w:rsidR="00B57E6F" w:rsidRPr="00B57B36">
        <w:t xml:space="preserve"> </w:t>
      </w:r>
    </w:p>
    <w:p w14:paraId="73F1267A" w14:textId="7B678B98" w:rsidR="00B57E6F" w:rsidRPr="00B57B36" w:rsidRDefault="00084001" w:rsidP="00B57E6F">
      <w:pPr>
        <w:pStyle w:val="CETemail"/>
      </w:pPr>
      <w:hyperlink r:id="rId10" w:history="1">
        <w:r w:rsidR="001A3CDF" w:rsidRPr="00853F3D">
          <w:t>alessandra.tacconi@graduate.univaq.it</w:t>
        </w:r>
      </w:hyperlink>
      <w:r w:rsidR="001A3CDF">
        <w:t xml:space="preserve"> </w:t>
      </w:r>
    </w:p>
    <w:p w14:paraId="50EEEA71" w14:textId="7CAF80FA" w:rsidR="0018492B" w:rsidRDefault="00053987" w:rsidP="00053987">
      <w:pPr>
        <w:pStyle w:val="CETBodytext"/>
        <w:rPr>
          <w:iCs/>
        </w:rPr>
      </w:pPr>
      <w:r w:rsidRPr="00053987">
        <w:rPr>
          <w:iCs/>
        </w:rPr>
        <w:t>Biomass steam gasification is a promising solution to obtain a</w:t>
      </w:r>
      <w:r w:rsidR="00F31F09">
        <w:rPr>
          <w:iCs/>
        </w:rPr>
        <w:t>n H</w:t>
      </w:r>
      <w:r w:rsidR="00F31F09" w:rsidRPr="00F84C90">
        <w:rPr>
          <w:iCs/>
          <w:vertAlign w:val="subscript"/>
        </w:rPr>
        <w:t>2</w:t>
      </w:r>
      <w:r w:rsidR="00F31F09">
        <w:rPr>
          <w:iCs/>
        </w:rPr>
        <w:t>-</w:t>
      </w:r>
      <w:r w:rsidRPr="00053987">
        <w:rPr>
          <w:iCs/>
        </w:rPr>
        <w:t>rich syngas to be exploited in high temperature SOFC to produce electricity with high efficiency and a reduced environmental impact.</w:t>
      </w:r>
      <w:r w:rsidR="00966470">
        <w:rPr>
          <w:iCs/>
        </w:rPr>
        <w:t xml:space="preserve"> </w:t>
      </w:r>
      <w:r w:rsidRPr="00053987">
        <w:rPr>
          <w:iCs/>
        </w:rPr>
        <w:t>The aim of the H2020 BLAZE project is to integrate a dual fluidized bed biomass gasifier with a 25 kWe SOFC</w:t>
      </w:r>
      <w:r w:rsidR="00F44439">
        <w:rPr>
          <w:iCs/>
        </w:rPr>
        <w:t>.</w:t>
      </w:r>
    </w:p>
    <w:p w14:paraId="3EA7FDC5" w14:textId="3A0A8D1F" w:rsidR="0018492B" w:rsidRDefault="00053987" w:rsidP="00053987">
      <w:pPr>
        <w:pStyle w:val="CETBodytext"/>
        <w:rPr>
          <w:iCs/>
        </w:rPr>
      </w:pPr>
      <w:r w:rsidRPr="00053987">
        <w:rPr>
          <w:iCs/>
        </w:rPr>
        <w:t>Tars, in any case, have been identified as one of the major impurities in biomass gasification fuel gas, causing degradation of the anodes of the SOFC due to carbon deposition.</w:t>
      </w:r>
      <w:r w:rsidR="00966470">
        <w:rPr>
          <w:iCs/>
        </w:rPr>
        <w:t xml:space="preserve"> </w:t>
      </w:r>
      <w:r w:rsidRPr="00053987">
        <w:rPr>
          <w:iCs/>
        </w:rPr>
        <w:t>Hot gas cleaning and conditioning using ceramic filter candles, filled with an annular packed-bed of commercial nickel-based catalyst, has been identified as the best solution to convert tars and reduce them to few hundred</w:t>
      </w:r>
      <w:r w:rsidR="00F31F09">
        <w:rPr>
          <w:iCs/>
        </w:rPr>
        <w:t>s of</w:t>
      </w:r>
      <w:r w:rsidRPr="00053987">
        <w:rPr>
          <w:iCs/>
        </w:rPr>
        <w:t xml:space="preserve"> mg</w:t>
      </w:r>
      <w:r w:rsidR="0018492B">
        <w:rPr>
          <w:iCs/>
        </w:rPr>
        <w:t xml:space="preserve"> </w:t>
      </w:r>
      <w:r w:rsidRPr="00053987">
        <w:rPr>
          <w:iCs/>
        </w:rPr>
        <w:t>Nm</w:t>
      </w:r>
      <w:r w:rsidR="0018492B">
        <w:rPr>
          <w:iCs/>
          <w:vertAlign w:val="superscript"/>
        </w:rPr>
        <w:t>-3</w:t>
      </w:r>
      <w:r w:rsidRPr="00053987">
        <w:rPr>
          <w:iCs/>
        </w:rPr>
        <w:t xml:space="preserve">. </w:t>
      </w:r>
    </w:p>
    <w:p w14:paraId="6A819B8F" w14:textId="0CE6E059" w:rsidR="007C1F19" w:rsidRPr="00CD57A2" w:rsidRDefault="00053987" w:rsidP="00CD57A2">
      <w:pPr>
        <w:pStyle w:val="CETBodytext"/>
        <w:rPr>
          <w:iCs/>
        </w:rPr>
      </w:pPr>
      <w:r w:rsidRPr="00053987">
        <w:rPr>
          <w:iCs/>
        </w:rPr>
        <w:t>This work reports the results obtained in one task of the BLAZE project, in which two different commercial catalysts</w:t>
      </w:r>
      <w:r w:rsidR="00D63C3B">
        <w:rPr>
          <w:iCs/>
        </w:rPr>
        <w:t xml:space="preserve"> </w:t>
      </w:r>
      <w:r w:rsidR="00D63C3B" w:rsidRPr="00D962FF">
        <w:rPr>
          <w:iCs/>
        </w:rPr>
        <w:t>supplied by Johnson Matthey</w:t>
      </w:r>
      <w:r w:rsidR="00966470">
        <w:rPr>
          <w:iCs/>
        </w:rPr>
        <w:t xml:space="preserve"> (catalyst A and catalyst B)</w:t>
      </w:r>
      <w:r w:rsidRPr="00053987">
        <w:rPr>
          <w:iCs/>
        </w:rPr>
        <w:t xml:space="preserve"> have been tested at micro</w:t>
      </w:r>
      <w:r w:rsidR="00F31F09">
        <w:rPr>
          <w:iCs/>
        </w:rPr>
        <w:t>-</w:t>
      </w:r>
      <w:r w:rsidRPr="00053987">
        <w:rPr>
          <w:iCs/>
        </w:rPr>
        <w:t xml:space="preserve">reactor scale to evaluate their activity for the steam reforming of tar with the presence of </w:t>
      </w:r>
      <w:r w:rsidR="00E45787" w:rsidRPr="00053987">
        <w:rPr>
          <w:iCs/>
        </w:rPr>
        <w:t>sulfur</w:t>
      </w:r>
      <w:r w:rsidRPr="00053987">
        <w:rPr>
          <w:iCs/>
        </w:rPr>
        <w:t xml:space="preserve"> compounds</w:t>
      </w:r>
      <w:r w:rsidR="0018492B" w:rsidRPr="0018492B">
        <w:rPr>
          <w:iCs/>
        </w:rPr>
        <w:t xml:space="preserve">, which act as catalyst </w:t>
      </w:r>
      <w:r w:rsidR="0030456F" w:rsidRPr="0018492B">
        <w:rPr>
          <w:iCs/>
        </w:rPr>
        <w:t>deactivators</w:t>
      </w:r>
      <w:r w:rsidR="0018492B" w:rsidRPr="0018492B">
        <w:rPr>
          <w:iCs/>
        </w:rPr>
        <w:t>,</w:t>
      </w:r>
      <w:r w:rsidRPr="00053987">
        <w:rPr>
          <w:iCs/>
        </w:rPr>
        <w:t xml:space="preserve"> and at temperatures comparable with those obtainable in biomass steam gasification. The main objective of this work was to evaluate which catalyst could be used inside the filter candles in the BLAZE power plant and which are the best operating conditions to have a conversion of tar as required for the SOFC.</w:t>
      </w:r>
      <w:r w:rsidR="00966470">
        <w:rPr>
          <w:iCs/>
        </w:rPr>
        <w:t xml:space="preserve"> </w:t>
      </w:r>
      <w:r w:rsidR="00966470" w:rsidRPr="00966470">
        <w:rPr>
          <w:iCs/>
        </w:rPr>
        <w:t>Twelve tests were conducted, six for each catalyst, varying both the temperature (750, 800 and 850 °C) and the concentration of thiophene in the pseudo</w:t>
      </w:r>
      <w:r w:rsidR="00E45787">
        <w:rPr>
          <w:iCs/>
        </w:rPr>
        <w:t>-</w:t>
      </w:r>
      <w:r w:rsidR="00966470" w:rsidRPr="00966470">
        <w:rPr>
          <w:iCs/>
        </w:rPr>
        <w:t xml:space="preserve">tar solution fed, a compound used to simulate the </w:t>
      </w:r>
      <w:r w:rsidR="00F31F09">
        <w:rPr>
          <w:iCs/>
        </w:rPr>
        <w:t xml:space="preserve">sulfur compounds </w:t>
      </w:r>
      <w:r w:rsidR="00966470" w:rsidRPr="00966470">
        <w:rPr>
          <w:iCs/>
        </w:rPr>
        <w:t xml:space="preserve">deactivators of the catalyst (one with 50 ppm of thiophene, the other with 100 ppm). The results show that the </w:t>
      </w:r>
      <w:r w:rsidR="00D8468C" w:rsidRPr="00966470">
        <w:rPr>
          <w:iCs/>
        </w:rPr>
        <w:t xml:space="preserve">hydrocarbons </w:t>
      </w:r>
      <w:r w:rsidR="00966470" w:rsidRPr="00966470">
        <w:rPr>
          <w:iCs/>
        </w:rPr>
        <w:t>conversion increases (reaching 100%) with increasing temperature and decreasing thiophene concentration. Furthermore, catalyst A showed better performance than B.</w:t>
      </w:r>
      <w:r w:rsidRPr="00053987">
        <w:rPr>
          <w:iCs/>
        </w:rPr>
        <w:t xml:space="preserve"> </w:t>
      </w:r>
    </w:p>
    <w:p w14:paraId="06E6952C" w14:textId="787191FC" w:rsidR="007C1F19" w:rsidRPr="007C1F19" w:rsidRDefault="00F93DA0" w:rsidP="007C1F19">
      <w:pPr>
        <w:pStyle w:val="CETHeading1"/>
        <w:rPr>
          <w:lang w:val="en-GB"/>
        </w:rPr>
      </w:pPr>
      <w:r w:rsidRPr="00B57B36">
        <w:rPr>
          <w:lang w:val="en-GB"/>
        </w:rPr>
        <w:t>Introduction</w:t>
      </w:r>
    </w:p>
    <w:p w14:paraId="5D837CA9" w14:textId="4794161E" w:rsidR="00F93DA0" w:rsidRDefault="00F93DA0" w:rsidP="00F93DA0">
      <w:pPr>
        <w:pStyle w:val="CETBodytext"/>
        <w:rPr>
          <w:lang w:val="en-GB"/>
        </w:rPr>
      </w:pPr>
      <w:r w:rsidRPr="00F93DA0">
        <w:rPr>
          <w:lang w:val="en-GB"/>
        </w:rPr>
        <w:t>Gasification of biomass is a very promising process to produce energy from agricultural and woody waste materials, but the main pollutants produced during the process, tar</w:t>
      </w:r>
      <w:r w:rsidR="00D82A98">
        <w:rPr>
          <w:lang w:val="en-GB"/>
        </w:rPr>
        <w:t>,</w:t>
      </w:r>
      <w:r w:rsidRPr="00F93DA0">
        <w:rPr>
          <w:lang w:val="en-GB"/>
        </w:rPr>
        <w:t xml:space="preserve"> and particulate, have to be removed from the product syngas in order to make it exploitable.</w:t>
      </w:r>
      <w:r>
        <w:rPr>
          <w:lang w:val="en-GB"/>
        </w:rPr>
        <w:t xml:space="preserve"> </w:t>
      </w:r>
    </w:p>
    <w:p w14:paraId="3A8E6B7A" w14:textId="5A248D4F" w:rsidR="00F93DA0" w:rsidRPr="00F93DA0" w:rsidRDefault="00F93DA0" w:rsidP="00F93DA0">
      <w:pPr>
        <w:pStyle w:val="CETBodytext"/>
        <w:rPr>
          <w:lang w:val="en-GB"/>
        </w:rPr>
      </w:pPr>
      <w:r w:rsidRPr="00F93DA0">
        <w:rPr>
          <w:lang w:val="en-GB"/>
        </w:rPr>
        <w:t xml:space="preserve">The H2020 BLAZE project (https://cordis.europa.eu/project/id/815284) aims at feeding a SOFC with the syngas produced by biomass steam gasification in an innovative dual fluidized bed reactor </w:t>
      </w:r>
      <w:r w:rsidR="00BC3951">
        <w:rPr>
          <w:lang w:val="en-GB"/>
        </w:rPr>
        <w:fldChar w:fldCharType="begin" w:fldLock="1"/>
      </w:r>
      <w:r w:rsidR="00AD6611">
        <w:rPr>
          <w:lang w:val="en-GB"/>
        </w:rPr>
        <w:instrText>ADDIN CSL_CITATION {"citationItems":[{"id":"ITEM-1","itemData":{"DOI":"10.1016/j.cej.2018.08.075","ISSN":"13858947","abstract":"© 2018 Elsevier B.V. Biomass gasification by a dual fluidized bed reactor is a very promising process to produce a hydrogen rich syngas from biomass wastes. In this process, the bed material circulation must be enough to transport heat from the combustor to the steam gasifier, and at the same time siphons/loop-seals must be properly designed to avoid gas leakage between the two reactor chambers (such as N2 from the combustor to the gasifier). A cold model of an innovative pilot scale dual bubbling fluidized bed gasifier (100 kWth as biomass input) has been realized. The Hybrid Lagrangian Particle Tracking (HLPT) technique and tracer gas analysis, both applied to the cold model, have been used to evaluate the flow rate of bed material circulation and the gas leakage between the steam gasification and the combustion chambers. The results have shown that the bed material circulation is 2–3 times the minimum required to assure allothermal gasification, while gas leakage is negligible for every operating condition evaluated experimentally.","author":[{"dropping-particle":"","family":"Carlo","given":"A.","non-dropping-particle":"Di","parse-names":false,"suffix":""},{"dropping-particle":"","family":"Moroni","given":"M.","non-dropping-particle":"","parse-names":false,"suffix":""},{"dropping-particle":"","family":"Savuto","given":"E.","non-dropping-particle":"","parse-names":false,"suffix":""},{"dropping-particle":"","family":"Pallozzi","given":"V.","non-dropping-particle":"","parse-names":false,"suffix":""},{"dropping-particle":"","family":"Bocci","given":"E.","non-dropping-particle":"","parse-names":false,"suffix":""},{"dropping-particle":"","family":"Lillo","given":"P.","non-dropping-particle":"Di","parse-names":false,"suffix":""}],"container-title":"Chemical Engineering Journal","id":"ITEM-1","issued":{"date-parts":[["2019"]]},"title":"Cold model testing of an innovative dual bubbling fluidized bed steam gasifier","type":"article-journal","volume":"377"},"uris":["http://www.mendeley.com/documents/?uuid=4ed049be-484c-348e-ae1b-2e71a211655a","http://www.mendeley.com/documents/?uuid=3d192ef9-9fa4-41c2-9c20-7dc779f5c183"]}],"mendeley":{"formattedCitation":"(Di Carlo et al., 2019)","plainTextFormattedCitation":"(Di Carlo et al., 2019)","previouslyFormattedCitation":"(Di Carlo et al., 2019)"},"properties":{"noteIndex":0},"schema":"https://github.com/citation-style-language/schema/raw/master/csl-citation.json"}</w:instrText>
      </w:r>
      <w:r w:rsidR="00BC3951">
        <w:rPr>
          <w:lang w:val="en-GB"/>
        </w:rPr>
        <w:fldChar w:fldCharType="separate"/>
      </w:r>
      <w:r w:rsidR="0044023D" w:rsidRPr="0044023D">
        <w:rPr>
          <w:noProof/>
          <w:lang w:val="en-GB"/>
        </w:rPr>
        <w:t>(Di Carlo et al., 2019)</w:t>
      </w:r>
      <w:r w:rsidR="00BC3951">
        <w:rPr>
          <w:lang w:val="en-GB"/>
        </w:rPr>
        <w:fldChar w:fldCharType="end"/>
      </w:r>
      <w:r w:rsidRPr="00F93DA0">
        <w:rPr>
          <w:lang w:val="en-GB"/>
        </w:rPr>
        <w:t xml:space="preserve"> for this </w:t>
      </w:r>
      <w:r w:rsidR="00D86807" w:rsidRPr="00F93DA0">
        <w:rPr>
          <w:lang w:val="en-GB"/>
        </w:rPr>
        <w:t>reason,</w:t>
      </w:r>
      <w:r w:rsidRPr="00F93DA0">
        <w:rPr>
          <w:lang w:val="en-GB"/>
        </w:rPr>
        <w:t xml:space="preserve"> the syngas has to undergo several steps of cleaning and conditioning in order to remove the compounds that could damage the SOFC or compromise its operation</w:t>
      </w:r>
      <w:r w:rsidR="00BC3951">
        <w:rPr>
          <w:lang w:val="en-GB"/>
        </w:rPr>
        <w:t xml:space="preserve"> </w:t>
      </w:r>
      <w:r w:rsidR="00BC3951">
        <w:rPr>
          <w:lang w:val="en-GB"/>
        </w:rPr>
        <w:fldChar w:fldCharType="begin" w:fldLock="1"/>
      </w:r>
      <w:r w:rsidR="00AD6611">
        <w:rPr>
          <w:lang w:val="en-GB"/>
        </w:rPr>
        <w:instrText>ADDIN CSL_CITATION {"citationItems":[{"id":"ITEM-1","itemData":{"author":[{"dropping-particle":"","family":"Ouweltjes","given":"Jan Peter","non-dropping-particle":"","parse-names":false,"suffix":""}],"id":"ITEM-1","issued":{"date-parts":[["2019"]]},"title":"Deliverable D3.2-BLAZE Selection of Representative Syngas Compositions including Organic and Inorganic Contaminants","type":"report"},"uris":["http://www.mendeley.com/documents/?uuid=f7d92407-f49c-466b-8b63-ce5129e548fd","http://www.mendeley.com/documents/?uuid=4ef945c7-31fc-4cda-9a13-2d5acc90a8f2"]}],"mendeley":{"formattedCitation":"(Ouweltjes, 2019)","plainTextFormattedCitation":"(Ouweltjes, 2019)","previouslyFormattedCitation":"(Ouweltjes, 2019)"},"properties":{"noteIndex":0},"schema":"https://github.com/citation-style-language/schema/raw/master/csl-citation.json"}</w:instrText>
      </w:r>
      <w:r w:rsidR="00BC3951">
        <w:rPr>
          <w:lang w:val="en-GB"/>
        </w:rPr>
        <w:fldChar w:fldCharType="separate"/>
      </w:r>
      <w:r w:rsidR="0044023D" w:rsidRPr="0044023D">
        <w:rPr>
          <w:noProof/>
          <w:lang w:val="en-GB"/>
        </w:rPr>
        <w:t>(Ouweltjes, 2019)</w:t>
      </w:r>
      <w:r w:rsidR="00BC3951">
        <w:rPr>
          <w:lang w:val="en-GB"/>
        </w:rPr>
        <w:fldChar w:fldCharType="end"/>
      </w:r>
      <w:r w:rsidRPr="00F93DA0">
        <w:rPr>
          <w:lang w:val="en-GB"/>
        </w:rPr>
        <w:t xml:space="preserve">. Furthermore, the presence of tar among the products of gasification reduces gas yield and conversion efficiency. Therefore, the gas cleaning units play an important role, in order to reach the limits imposed by the downstream units. </w:t>
      </w:r>
    </w:p>
    <w:p w14:paraId="274BB2BF" w14:textId="11E96582" w:rsidR="0030456F" w:rsidRDefault="00F93DA0" w:rsidP="00F93DA0">
      <w:pPr>
        <w:pStyle w:val="CETBodytext"/>
        <w:rPr>
          <w:lang w:val="en-GB"/>
        </w:rPr>
      </w:pPr>
      <w:r w:rsidRPr="00F93DA0">
        <w:rPr>
          <w:lang w:val="en-GB"/>
        </w:rPr>
        <w:t xml:space="preserve">Catalytic filter candles inserted directly in the freeboard of the gasifier are an innovative solution for a first step of hot gas cleaning and conditioning. These components can remove the particulate thanks to their porous filtering structure, and then their internal cavity can be used to place commercial catalyst pellets in order to perform catalytic tar steam reforming directly in the freeboard of the gasifier </w:t>
      </w:r>
      <w:r w:rsidR="00BC3951">
        <w:rPr>
          <w:lang w:val="en-GB"/>
        </w:rPr>
        <w:fldChar w:fldCharType="begin" w:fldLock="1"/>
      </w:r>
      <w:r w:rsidR="00AD6611">
        <w:rPr>
          <w:lang w:val="en-GB"/>
        </w:rPr>
        <w:instrText>ADDIN CSL_CITATION {"citationItems":[{"id":"ITEM-1","itemData":{"DOI":"10.1016/J.PECS.2014.06.002","ISSN":"0360-1285","abstract":"Gasification is considered as a key technology for the use of biomass. In order to promote this technology in the future, advanced, cost-effective, and highly efficient gasification processes and systems are required. This paper provides a detailed review on new concepts in biomass gasification. Concepts for process integration and combination aim to enable higher process efficiencies, better gas quality and purity, and lower investment costs. The recently developed UNIQUE gasifier which integrates gasification, gas cleaning and conditioning in one reactor unit is an example for a promising process integration. Other interesting concepts combine pyrolysis and gasification or gasification and combustion in single controlled stages. An approach to improve the economic viability and sustainability of the utilization of biomass via gasification is the combined production of more than one product. Polygeneration strategies for the production of multiple energy products from biomass gasification syngas offer high efficiency and flexibility.","author":[{"dropping-particle":"","family":"Heidenreich","given":"Steffen","non-dropping-particle":"","parse-names":false,"suffix":""},{"dropping-particle":"","family":"Foscolo","given":"Pier Ugo","non-dropping-particle":"","parse-names":false,"suffix":""}],"container-title":"Progress in Energy and Combustion Science","id":"ITEM-1","issued":{"date-parts":[["2015","2"]]},"page":"72-95","publisher":"Pergamon","title":"New concepts in biomass gasification","type":"article-journal","volume":"46"},"uris":["http://www.mendeley.com/documents/?uuid=f8dc7a53-d434-3294-a2f7-253165b1bbd0","http://www.mendeley.com/documents/?uuid=a7a46e30-18a2-4a4e-ae86-edc899b11873"]}],"mendeley":{"formattedCitation":"(Heidenreich &amp; Foscolo, 2015)","manualFormatting":"(Heidenreich and Foscolo, 2015)","plainTextFormattedCitation":"(Heidenreich &amp; Foscolo, 2015)","previouslyFormattedCitation":"(Heidenreich &amp; Foscolo, 2015)"},"properties":{"noteIndex":0},"schema":"https://github.com/citation-style-language/schema/raw/master/csl-citation.json"}</w:instrText>
      </w:r>
      <w:r w:rsidR="00BC3951">
        <w:rPr>
          <w:lang w:val="en-GB"/>
        </w:rPr>
        <w:fldChar w:fldCharType="separate"/>
      </w:r>
      <w:r w:rsidR="0044023D" w:rsidRPr="0044023D">
        <w:rPr>
          <w:noProof/>
          <w:lang w:val="en-GB"/>
        </w:rPr>
        <w:t xml:space="preserve">(Heidenreich </w:t>
      </w:r>
      <w:r w:rsidR="00F84C90">
        <w:rPr>
          <w:noProof/>
          <w:lang w:val="en-GB"/>
        </w:rPr>
        <w:t>and</w:t>
      </w:r>
      <w:r w:rsidR="0044023D" w:rsidRPr="0044023D">
        <w:rPr>
          <w:noProof/>
          <w:lang w:val="en-GB"/>
        </w:rPr>
        <w:t xml:space="preserve"> Foscolo, 2015)</w:t>
      </w:r>
      <w:r w:rsidR="00BC3951">
        <w:rPr>
          <w:lang w:val="en-GB"/>
        </w:rPr>
        <w:fldChar w:fldCharType="end"/>
      </w:r>
      <w:r w:rsidRPr="00F93DA0">
        <w:rPr>
          <w:lang w:val="en-GB"/>
        </w:rPr>
        <w:t>.</w:t>
      </w:r>
      <w:r w:rsidR="0030456F">
        <w:rPr>
          <w:lang w:val="en-GB"/>
        </w:rPr>
        <w:t xml:space="preserve"> </w:t>
      </w:r>
    </w:p>
    <w:p w14:paraId="08C94D5D" w14:textId="0FB882D4" w:rsidR="00F93DA0" w:rsidRPr="00F93DA0" w:rsidRDefault="00F93DA0" w:rsidP="00F93DA0">
      <w:pPr>
        <w:pStyle w:val="CETBodytext"/>
        <w:rPr>
          <w:lang w:val="en-GB"/>
        </w:rPr>
      </w:pPr>
      <w:r w:rsidRPr="00F93DA0">
        <w:rPr>
          <w:lang w:val="en-GB"/>
        </w:rPr>
        <w:t xml:space="preserve">One of the aspects that must be considered during the catalytic steam reforming of tar is the presence of </w:t>
      </w:r>
      <w:r w:rsidR="00030A6C">
        <w:rPr>
          <w:lang w:val="en-GB"/>
        </w:rPr>
        <w:t>s</w:t>
      </w:r>
      <w:r w:rsidRPr="00F93DA0">
        <w:rPr>
          <w:lang w:val="en-GB"/>
        </w:rPr>
        <w:t>ul</w:t>
      </w:r>
      <w:r w:rsidR="00971DE0">
        <w:rPr>
          <w:lang w:val="en-GB"/>
        </w:rPr>
        <w:t>f</w:t>
      </w:r>
      <w:r w:rsidRPr="00F93DA0">
        <w:rPr>
          <w:lang w:val="en-GB"/>
        </w:rPr>
        <w:t>ur compounds in the gas (H</w:t>
      </w:r>
      <w:r w:rsidRPr="00D86807">
        <w:rPr>
          <w:vertAlign w:val="subscript"/>
          <w:lang w:val="en-GB"/>
        </w:rPr>
        <w:t>2</w:t>
      </w:r>
      <w:r w:rsidRPr="00F93DA0">
        <w:rPr>
          <w:lang w:val="en-GB"/>
        </w:rPr>
        <w:t>S, COS) that easily deactivate the catalyst.</w:t>
      </w:r>
      <w:r w:rsidR="005235F6">
        <w:rPr>
          <w:lang w:val="en-GB"/>
        </w:rPr>
        <w:t xml:space="preserve"> Ma et al.</w:t>
      </w:r>
      <w:r w:rsidRPr="00F93DA0">
        <w:rPr>
          <w:lang w:val="en-GB"/>
        </w:rPr>
        <w:t xml:space="preserve"> </w:t>
      </w:r>
      <w:r w:rsidR="005235F6">
        <w:rPr>
          <w:lang w:val="en-GB"/>
        </w:rPr>
        <w:fldChar w:fldCharType="begin" w:fldLock="1"/>
      </w:r>
      <w:r w:rsidR="00AD6611">
        <w:rPr>
          <w:lang w:val="en-GB"/>
        </w:rPr>
        <w:instrText>ADDIN CSL_CITATION {"citationItems":[{"id":"ITEM-1","itemData":{"DOI":"10.1016/J.CATTOD.2005.06.022","ISSN":"0920-5861","abstract":"A nickel-based catalytic filter material for the use in integrated high temperature removal of tars and particles from biomass gasification gas was tested in a broad range of parameters allowing the identification of the operational region of such a filter. Small-scale porous alumina filter discs, loaded with approximately 2.5wt% Al2O3, 1.0wt% Ni and 0.5wt% MgO were tested with a particle free synthetic gasification gas with 50vol% N2, 12vol% CO, 10vol% H2, 11vol% CO2, 12vol% H2O, 5vol% CH4 and 0–200ppm H2S, and the selected model tar compounds: naphthalene and benzene. At a typical face velocity of 2.5cm/s, in the presence of H2S and at 900°C, the conversion of naphthalene is almost complete and a 1000-fold reduction in tar content is obtained. Technically, it would be better to run the filter close to the exit temperature of the gasifier around 800–850°C. At 850°C, conversions of 99.0% could be achieved in typical conditions, but as expected, only 77% reduction in tars was achieved at 800°C. Conversion data can be reasonably well described with first order kinetics and a dominant adsorption inhibition of the Ni sites by H2S. The apparent activation energies obtained are similar to those reported by other investigators: 177kJ/mol for benzene and 92kJ/mol for naphthalene. The estimated heat of adsorption of H2S is 71kJ/mol in the benzene experiments and 182kJ/mol in the naphthalene experiments, which points at very strong adsorption of H2S. Good operation of the present material can hence only be guaranteed at temperatures above 830°C mainly due to the strong deactivation by H2S at lower temperatures.","author":[{"dropping-particle":"","family":"Ma","given":"L.","non-dropping-particle":"","parse-names":false,"suffix":""},{"dropping-particle":"","family":"Verelst","given":"H.","non-dropping-particle":"","parse-names":false,"suffix":""},{"dropping-particle":"","family":"Baron","given":"G.V.","non-dropping-particle":"","parse-names":false,"suffix":""}],"container-title":"Catalysis Today","id":"ITEM-1","issue":"3-4","issued":{"date-parts":[["2005","8"]]},"page":"729-734","publisher":"Elsevier","title":"Integrated high temperature gas cleaning: Tar removal in biomass gasification with a catalytic filter","type":"article-journal","volume":"105"},"uris":["http://www.mendeley.com/documents/?uuid=a2e93996-a1a4-4d69-818d-52c8fbf852da","http://www.mendeley.com/documents/?uuid=a5897b08-0fa1-416d-ae61-91d1b457f43c"]}],"mendeley":{"formattedCitation":"(Ma, Verelst, &amp; Baron, 2005)","manualFormatting":"(2005)","plainTextFormattedCitation":"(Ma, Verelst, &amp; Baron, 2005)","previouslyFormattedCitation":"(Ma, Verelst, &amp; Baron, 2005)"},"properties":{"noteIndex":0},"schema":"https://github.com/citation-style-language/schema/raw/master/csl-citation.json"}</w:instrText>
      </w:r>
      <w:r w:rsidR="005235F6">
        <w:rPr>
          <w:lang w:val="en-GB"/>
        </w:rPr>
        <w:fldChar w:fldCharType="separate"/>
      </w:r>
      <w:r w:rsidR="0044023D" w:rsidRPr="0044023D">
        <w:rPr>
          <w:noProof/>
          <w:lang w:val="en-GB"/>
        </w:rPr>
        <w:t>(2005)</w:t>
      </w:r>
      <w:r w:rsidR="005235F6">
        <w:rPr>
          <w:lang w:val="en-GB"/>
        </w:rPr>
        <w:fldChar w:fldCharType="end"/>
      </w:r>
      <w:r w:rsidR="005235F6">
        <w:rPr>
          <w:lang w:val="en-GB"/>
        </w:rPr>
        <w:t xml:space="preserve"> </w:t>
      </w:r>
      <w:r w:rsidRPr="00F93DA0">
        <w:rPr>
          <w:lang w:val="en-GB"/>
        </w:rPr>
        <w:t xml:space="preserve">found that the </w:t>
      </w:r>
      <w:r w:rsidR="00D86807" w:rsidRPr="00F93DA0">
        <w:rPr>
          <w:lang w:val="en-GB"/>
        </w:rPr>
        <w:t>sul</w:t>
      </w:r>
      <w:r w:rsidR="00971DE0">
        <w:rPr>
          <w:lang w:val="en-GB"/>
        </w:rPr>
        <w:t>f</w:t>
      </w:r>
      <w:r w:rsidR="00D86807" w:rsidRPr="00F93DA0">
        <w:rPr>
          <w:lang w:val="en-GB"/>
        </w:rPr>
        <w:t>ur</w:t>
      </w:r>
      <w:r w:rsidRPr="00F93DA0">
        <w:rPr>
          <w:lang w:val="en-GB"/>
        </w:rPr>
        <w:t xml:space="preserve"> deactivation of Ni is surely reversible up to H</w:t>
      </w:r>
      <w:r w:rsidRPr="00D86807">
        <w:rPr>
          <w:vertAlign w:val="subscript"/>
          <w:lang w:val="en-GB"/>
        </w:rPr>
        <w:t>2</w:t>
      </w:r>
      <w:r w:rsidRPr="00F93DA0">
        <w:rPr>
          <w:lang w:val="en-GB"/>
        </w:rPr>
        <w:t xml:space="preserve">S concentration of 200 ppmv at process conditions similar to those </w:t>
      </w:r>
      <w:r w:rsidRPr="00F93DA0">
        <w:rPr>
          <w:lang w:val="en-GB"/>
        </w:rPr>
        <w:lastRenderedPageBreak/>
        <w:t>expected in BLAZE project, as only physical adsorption of H</w:t>
      </w:r>
      <w:r w:rsidRPr="00D86807">
        <w:rPr>
          <w:vertAlign w:val="subscript"/>
          <w:lang w:val="en-GB"/>
        </w:rPr>
        <w:t>2</w:t>
      </w:r>
      <w:r w:rsidRPr="00F93DA0">
        <w:rPr>
          <w:lang w:val="en-GB"/>
        </w:rPr>
        <w:t>S on Ni catalytic sites occurs.</w:t>
      </w:r>
      <w:r w:rsidR="000B136E">
        <w:rPr>
          <w:lang w:val="en-GB"/>
        </w:rPr>
        <w:t xml:space="preserve"> Depner and Jess</w:t>
      </w:r>
      <w:r w:rsidRPr="00F93DA0">
        <w:rPr>
          <w:lang w:val="en-GB"/>
        </w:rPr>
        <w:t xml:space="preserve"> </w:t>
      </w:r>
      <w:r w:rsidR="005235F6">
        <w:rPr>
          <w:lang w:val="en-GB"/>
        </w:rPr>
        <w:fldChar w:fldCharType="begin" w:fldLock="1"/>
      </w:r>
      <w:r w:rsidR="00AD6611">
        <w:rPr>
          <w:lang w:val="en-GB"/>
        </w:rPr>
        <w:instrText>ADDIN CSL_CITATION {"citationItems":[{"id":"ITEM-1","itemData":{"DOI":"10.1016/S0016-2361(99)00067-8","ISSN":"0016-2361","abstract":"As a contribution to develop a process for the chemical upgrading of tarry fuel gases, the kinetics of the catalytic conversion of hydrocarbons on a commercial nickel-catalyst in the presence of H2 and H2O (Süd-Chemie, G 117) were studied. Besides single model hydrocarbons (naphthalene, benzene and methane) and their mixtures, a feed gas obtained by coal pyrolysis was catalytically converted. The experiments were performed in a tubular flow reactor at a total pressure of 160kPa, a residence time with respect to the empty reactor up to 0.1s and a particle diameter of 1.5 or 19mm, varying with the temperature (450–1150°C) and concentrations of H2, H2O and the hydrocarbons. The influence of H2S and NH3 on the activity of the catalyst was also studied. The results indicate that the Ni-catalyst used is suitable to convert tarry fuel gases into a clean fuel or reduction gas, even if H2S is present. Although the rate of chemical reaction of the hydrocarbons on the Ni-catalyst is substantially reduced by hydrogen sulphide, a rest activity still remains, and all higher hydrocarbons are completely converted to CO, H2 and CO2 at a temperature of about 1000°C (0.3vol% H2S; τ=0.1s). In contrast to H2S, NH3 has no influence on the conversion of hydrocarbons on the Ni-catalyst, and is just converted to N2 and H2. In a reactor of industrial scale, the overall reaction rate of hydrocarbon conversion is significantly affected by gas film diffusion (particle diameter: 19mm), and is therefore only slightly influenced by H2S.","author":[{"dropping-particle":"","family":"Depner","given":"H.","non-dropping-particle":"","parse-names":false,"suffix":""},{"dropping-particle":"","family":"Jess","given":"A.","non-dropping-particle":"","parse-names":false,"suffix":""}],"container-title":"Fuel","id":"ITEM-1","issue":"12","issued":{"date-parts":[["1999","10"]]},"page":"1369-1377","publisher":"Elsevier","title":"Kinetics of nickel-catalyzed purification of tarry fuel gases from gasification and pyrolysis of solid fuels","type":"article-journal","volume":"78"},"uris":["http://www.mendeley.com/documents/?uuid=6d1abe4b-74f5-3e82-9ae4-9d2baa73bff7","http://www.mendeley.com/documents/?uuid=bd8f7738-aa65-48a8-9623-1965cd026447"]}],"mendeley":{"formattedCitation":"(Depner &amp; Jess, 1999)","manualFormatting":"(1999)","plainTextFormattedCitation":"(Depner &amp; Jess, 1999)","previouslyFormattedCitation":"(Depner &amp; Jess, 1999)"},"properties":{"noteIndex":0},"schema":"https://github.com/citation-style-language/schema/raw/master/csl-citation.json"}</w:instrText>
      </w:r>
      <w:r w:rsidR="005235F6">
        <w:rPr>
          <w:lang w:val="en-GB"/>
        </w:rPr>
        <w:fldChar w:fldCharType="separate"/>
      </w:r>
      <w:r w:rsidR="0044023D" w:rsidRPr="0044023D">
        <w:rPr>
          <w:noProof/>
          <w:lang w:val="en-GB"/>
        </w:rPr>
        <w:t>(1999)</w:t>
      </w:r>
      <w:r w:rsidR="005235F6">
        <w:rPr>
          <w:lang w:val="en-GB"/>
        </w:rPr>
        <w:fldChar w:fldCharType="end"/>
      </w:r>
      <w:r w:rsidR="005235F6">
        <w:rPr>
          <w:lang w:val="en-GB"/>
        </w:rPr>
        <w:t xml:space="preserve"> </w:t>
      </w:r>
      <w:r w:rsidRPr="00F93DA0">
        <w:rPr>
          <w:lang w:val="en-GB"/>
        </w:rPr>
        <w:t>investigated the tar steam reforming on a commercial Ni-catalyst and determined the upper limit of reversible H</w:t>
      </w:r>
      <w:r w:rsidRPr="00D86807">
        <w:rPr>
          <w:vertAlign w:val="subscript"/>
          <w:lang w:val="en-GB"/>
        </w:rPr>
        <w:t>2</w:t>
      </w:r>
      <w:r w:rsidRPr="00F93DA0">
        <w:rPr>
          <w:lang w:val="en-GB"/>
        </w:rPr>
        <w:t>S deactivation at 0.1 vol% of H</w:t>
      </w:r>
      <w:r w:rsidRPr="00D86807">
        <w:rPr>
          <w:vertAlign w:val="subscript"/>
          <w:lang w:val="en-GB"/>
        </w:rPr>
        <w:t>2</w:t>
      </w:r>
      <w:r w:rsidRPr="00F93DA0">
        <w:rPr>
          <w:lang w:val="en-GB"/>
        </w:rPr>
        <w:t>S; for higher concentrations, Ni-</w:t>
      </w:r>
      <w:r w:rsidR="00030A6C" w:rsidRPr="00F93DA0">
        <w:rPr>
          <w:lang w:val="en-GB"/>
        </w:rPr>
        <w:t>sulphide</w:t>
      </w:r>
      <w:r w:rsidRPr="00F93DA0">
        <w:rPr>
          <w:lang w:val="en-GB"/>
        </w:rPr>
        <w:t xml:space="preserve"> formation was reported. Along the lines of these findings, in this work it is assumed to deal with a reversible deactivation of the commercial Ni-catalyst.</w:t>
      </w:r>
    </w:p>
    <w:p w14:paraId="305121AE" w14:textId="39F16EDF" w:rsidR="00D86807" w:rsidRDefault="00F93DA0" w:rsidP="00F93DA0">
      <w:pPr>
        <w:pStyle w:val="CETBodytext"/>
        <w:rPr>
          <w:lang w:val="en-GB"/>
        </w:rPr>
      </w:pPr>
      <w:r w:rsidRPr="00F93DA0">
        <w:rPr>
          <w:lang w:val="en-GB"/>
        </w:rPr>
        <w:t xml:space="preserve">The aim of the work was to investigate experimentally the best operating conditions (temperature, space velocity, </w:t>
      </w:r>
      <w:r w:rsidR="00D86807" w:rsidRPr="00F93DA0">
        <w:rPr>
          <w:lang w:val="en-GB"/>
        </w:rPr>
        <w:t>sul</w:t>
      </w:r>
      <w:r w:rsidR="00971DE0">
        <w:rPr>
          <w:lang w:val="en-GB"/>
        </w:rPr>
        <w:t>f</w:t>
      </w:r>
      <w:r w:rsidR="00D86807" w:rsidRPr="00F93DA0">
        <w:rPr>
          <w:lang w:val="en-GB"/>
        </w:rPr>
        <w:t>ur</w:t>
      </w:r>
      <w:r w:rsidRPr="00F93DA0">
        <w:rPr>
          <w:lang w:val="en-GB"/>
        </w:rPr>
        <w:t xml:space="preserve"> content) and the most suitable commercial catalyst, to obtain a tar concentration outcoming the gas cleaning and conditioning in line with the limits required for the safe operation of the SOFC; this threshold values, investigated in D3.2 (Ouweltjes, 2019), are toluene &lt; 250 mg</w:t>
      </w:r>
      <w:r w:rsidR="001451C5">
        <w:rPr>
          <w:lang w:val="en-GB"/>
        </w:rPr>
        <w:t xml:space="preserve"> </w:t>
      </w:r>
      <w:r w:rsidRPr="00F93DA0">
        <w:rPr>
          <w:lang w:val="en-GB"/>
        </w:rPr>
        <w:t>Nm</w:t>
      </w:r>
      <w:r w:rsidR="001451C5">
        <w:rPr>
          <w:vertAlign w:val="superscript"/>
          <w:lang w:val="en-GB"/>
        </w:rPr>
        <w:t>-3</w:t>
      </w:r>
      <w:r w:rsidRPr="00F93DA0">
        <w:rPr>
          <w:lang w:val="en-GB"/>
        </w:rPr>
        <w:t xml:space="preserve"> and naphthalene &lt; 25 mg</w:t>
      </w:r>
      <w:r w:rsidR="001451C5">
        <w:rPr>
          <w:lang w:val="en-GB"/>
        </w:rPr>
        <w:t xml:space="preserve"> </w:t>
      </w:r>
      <w:r w:rsidRPr="00F93DA0">
        <w:rPr>
          <w:lang w:val="en-GB"/>
        </w:rPr>
        <w:t>Nm</w:t>
      </w:r>
      <w:r w:rsidR="001451C5">
        <w:rPr>
          <w:vertAlign w:val="superscript"/>
          <w:lang w:val="en-GB"/>
        </w:rPr>
        <w:t>-3</w:t>
      </w:r>
      <w:r w:rsidRPr="00F93DA0">
        <w:rPr>
          <w:lang w:val="en-GB"/>
        </w:rPr>
        <w:t>.</w:t>
      </w:r>
    </w:p>
    <w:p w14:paraId="483F26B1" w14:textId="63A1CC1C" w:rsidR="00D86807" w:rsidRDefault="00D86807" w:rsidP="00D86807">
      <w:pPr>
        <w:pStyle w:val="CETHeading1"/>
      </w:pPr>
      <w:r>
        <w:rPr>
          <w:lang w:val="en-GB"/>
        </w:rPr>
        <w:t>Materials and Methods</w:t>
      </w:r>
    </w:p>
    <w:p w14:paraId="7F86E5CF" w14:textId="139C1143" w:rsidR="00156EF6" w:rsidRPr="00D25F0A" w:rsidRDefault="000717BE" w:rsidP="00D86807">
      <w:pPr>
        <w:pStyle w:val="CETBodytext"/>
      </w:pPr>
      <w:r w:rsidRPr="00D25F0A">
        <w:t>In this work two commercial catalysts</w:t>
      </w:r>
      <w:r w:rsidR="00D63C3B" w:rsidRPr="00D25F0A">
        <w:t xml:space="preserve"> </w:t>
      </w:r>
      <w:r w:rsidRPr="00D25F0A">
        <w:t>have been tested (catalyst A and catalyst B), using the</w:t>
      </w:r>
      <w:r w:rsidR="00F8756A" w:rsidRPr="00D25F0A">
        <w:t xml:space="preserve"> same</w:t>
      </w:r>
      <w:r w:rsidRPr="00D25F0A">
        <w:t xml:space="preserve"> micro-reactor test rig shown in </w:t>
      </w:r>
      <w:r w:rsidR="00F8756A" w:rsidRPr="00D25F0A">
        <w:t>the work of Di Giuliano et al. (2021)</w:t>
      </w:r>
      <w:r w:rsidRPr="00D25F0A">
        <w:t>. As shown by XRF analyses the catalysts have about 8% of Ni that is recognized as an efficient metal for the steam reforming of hydrocarbons at high temperature. The XRD analysis showed that the support of the two catalyst is a calcium aluminate compound. The use</w:t>
      </w:r>
      <w:r w:rsidR="005A465E" w:rsidRPr="00D25F0A">
        <w:t xml:space="preserve"> of a</w:t>
      </w:r>
      <w:r w:rsidRPr="00D25F0A">
        <w:t xml:space="preserve"> </w:t>
      </w:r>
      <w:r w:rsidR="005235F6" w:rsidRPr="00D25F0A">
        <w:t>similar</w:t>
      </w:r>
      <w:r w:rsidRPr="00D25F0A">
        <w:t xml:space="preserve"> support is chosen to reduce the effect of carbon deposition and </w:t>
      </w:r>
      <w:r w:rsidR="00E45787" w:rsidRPr="00D25F0A">
        <w:t>sulfur</w:t>
      </w:r>
      <w:r w:rsidRPr="00D25F0A">
        <w:t xml:space="preserve"> poisoning</w:t>
      </w:r>
      <w:r w:rsidR="000B136E" w:rsidRPr="00D25F0A">
        <w:t xml:space="preserve"> </w:t>
      </w:r>
      <w:r w:rsidR="005235F6" w:rsidRPr="00D25F0A">
        <w:fldChar w:fldCharType="begin" w:fldLock="1"/>
      </w:r>
      <w:r w:rsidR="00AD6611" w:rsidRPr="00D25F0A">
        <w:instrText>ADDIN CSL_CITATION {"citationItems":[{"id":"ITEM-1","itemData":{"DOI":"10.1016/J.APCATB.2008.11.004","ISSN":"09263373","abstract":"Newly synthesized nickel calcium aluminum catalysts (Ni/Ca12Al14O33) were tested in a fixed bed reactor for biomass tar steam reforming, toluene as tar destruction model compound. Four catalysts (Ni/Ca12Al14O33) were prepared with Ni loading amount from 1, 3, 5 to 7 wt%, even 1% loading catalyst also showed excellent performance. Catalysts aged experiments in the absence (60 h on stream) and presence of H2S were characterized by BET, X-ray diffraction (XRD), and Raman spectra. It was observed that Ni/Ca12Al14O33 showed excellent sustainability against coke formation due to the \"free oxygen\" in the catalysts. It also exhibited higher H2S-poisoning resistance property compared to the commercial catalysts Ni/Al2O3 (5%) and Ni/CaO0.5/MgO0.5. Raman spectra revealed that \"free oxygen O2- and O22-\" in the structure of the catalysts could be substituted by sulfur then protected Ni poisoning on some degree, but reactivation experiments by O2 flowing showed that the sulfide Ni/Ca12Al14O33 was difficult to completely restore, incorporation of sulfur in the structure only partly regain by O2. The kinetic model proposes, as generally accepted, a first-order reaction for toluene with activation energy of 82.06 kJ mol-1 was coincident with the literature data. The Ni/Ca12Al14O33 catalyst was effective and relative cheap, which may be lead to reduction in the cost of hot gas cleaning process. © 2008 Elsevier B.V. All rights reserved.","author":[{"dropping-particle":"","family":"Li","given":"Chunshan","non-dropping-particle":"","parse-names":false,"suffix":""},{"dropping-particle":"","family":"Hirabayashi","given":"Daisuke","non-dropping-particle":"","parse-names":false,"suffix":""},{"dropping-particle":"","family":"Suzuki","given":"Kenzi","non-dropping-particle":"","parse-names":false,"suffix":""}],"container-title":"Applied Catalysis B: Environmental","id":"ITEM-1","issue":"3-4","issued":{"date-parts":[["2009","5"]]},"page":"351-360","title":"A crucial role of O2- and O22- on mayenite structure for biomass tar steam reforming over Ni/Ca12Al14O33","type":"article-journal","volume":"88"},"uris":["http://www.mendeley.com/documents/?uuid=ac8e326b-2c75-3deb-be9a-990b877c32cc","http://www.mendeley.com/documents/?uuid=cc037387-a2d0-46cf-9ebe-000fa6c25ad8"]}],"mendeley":{"formattedCitation":"(Li, Hirabayashi, &amp; Suzuki, 2009)","plainTextFormattedCitation":"(Li, Hirabayashi, &amp; Suzuki, 2009)","previouslyFormattedCitation":"(Li, Hirabayashi, &amp; Suzuki, 2009)"},"properties":{"noteIndex":0},"schema":"https://github.com/citation-style-language/schema/raw/master/csl-citation.json"}</w:instrText>
      </w:r>
      <w:r w:rsidR="005235F6" w:rsidRPr="00D25F0A">
        <w:fldChar w:fldCharType="separate"/>
      </w:r>
      <w:r w:rsidR="00AD6611" w:rsidRPr="00D25F0A">
        <w:rPr>
          <w:noProof/>
        </w:rPr>
        <w:t>(Li, Hirabayashi, &amp; Suzuki, 2009)</w:t>
      </w:r>
      <w:r w:rsidR="005235F6" w:rsidRPr="00D25F0A">
        <w:fldChar w:fldCharType="end"/>
      </w:r>
      <w:r w:rsidRPr="00D25F0A">
        <w:t>.</w:t>
      </w:r>
      <w:r w:rsidR="00030A6C" w:rsidRPr="00D25F0A">
        <w:t xml:space="preserve"> The main difference between the two catalyst</w:t>
      </w:r>
      <w:r w:rsidR="00165BC7" w:rsidRPr="00D25F0A">
        <w:t>s</w:t>
      </w:r>
      <w:r w:rsidR="00030A6C" w:rsidRPr="00D25F0A">
        <w:t xml:space="preserve"> is the shape and the presence on the catalyst B of small amount of potassium that should further increase the resistance to carbon deposition.</w:t>
      </w:r>
      <w:r w:rsidR="00156EF6" w:rsidRPr="00D25F0A">
        <w:t xml:space="preserve"> </w:t>
      </w:r>
    </w:p>
    <w:p w14:paraId="620047B2" w14:textId="6EA5C5E2" w:rsidR="005631AB" w:rsidRPr="00D25F0A" w:rsidRDefault="00156EF6" w:rsidP="005178F8">
      <w:pPr>
        <w:pStyle w:val="CETBodytext"/>
      </w:pPr>
      <w:r w:rsidRPr="00D25F0A">
        <w:t xml:space="preserve">The </w:t>
      </w:r>
      <w:r w:rsidR="006B0350" w:rsidRPr="00D25F0A">
        <w:t>micro-reactor</w:t>
      </w:r>
      <w:r w:rsidRPr="00D25F0A">
        <w:t xml:space="preserve"> </w:t>
      </w:r>
      <w:r w:rsidR="006B0350" w:rsidRPr="00D25F0A">
        <w:t xml:space="preserve">is </w:t>
      </w:r>
      <w:r w:rsidRPr="00D25F0A">
        <w:t xml:space="preserve">a vertical stainless-steel pipe </w:t>
      </w:r>
      <w:r w:rsidR="006B0350" w:rsidRPr="00D25F0A">
        <w:t>with an</w:t>
      </w:r>
      <w:r w:rsidR="00171E8E" w:rsidRPr="00D25F0A">
        <w:t xml:space="preserve"> </w:t>
      </w:r>
      <w:r w:rsidRPr="00D25F0A">
        <w:t>internal diameter of 1.6 cm, 0.5 m long, heated by a cylindrical electrical furnace. The cataly</w:t>
      </w:r>
      <w:r w:rsidR="006B0350" w:rsidRPr="00D25F0A">
        <w:t>st</w:t>
      </w:r>
      <w:r w:rsidR="00171E8E" w:rsidRPr="00D25F0A">
        <w:t xml:space="preserve"> </w:t>
      </w:r>
      <w:r w:rsidRPr="00D25F0A">
        <w:t xml:space="preserve">bed (few grams of catalyst) </w:t>
      </w:r>
      <w:r w:rsidR="006B0350" w:rsidRPr="00D25F0A">
        <w:t xml:space="preserve">is </w:t>
      </w:r>
      <w:r w:rsidRPr="00D25F0A">
        <w:t>placed at middle height</w:t>
      </w:r>
      <w:r w:rsidR="006B0350" w:rsidRPr="00D25F0A">
        <w:t xml:space="preserve"> of the </w:t>
      </w:r>
      <w:r w:rsidR="00171E8E" w:rsidRPr="00D25F0A">
        <w:t>micro-reactor</w:t>
      </w:r>
      <w:r w:rsidRPr="00D25F0A">
        <w:t>, in the central part of the furnace</w:t>
      </w:r>
      <w:r w:rsidR="00D962FF" w:rsidRPr="00D25F0A">
        <w:t xml:space="preserve">. </w:t>
      </w:r>
      <w:r w:rsidRPr="00D25F0A">
        <w:t xml:space="preserve">The </w:t>
      </w:r>
      <w:r w:rsidR="006B0350" w:rsidRPr="00D25F0A">
        <w:t>temperature control is carried out using</w:t>
      </w:r>
      <w:r w:rsidR="00023830" w:rsidRPr="00D25F0A">
        <w:t xml:space="preserve"> a</w:t>
      </w:r>
      <w:r w:rsidR="006B0350" w:rsidRPr="00D25F0A">
        <w:t xml:space="preserve"> </w:t>
      </w:r>
      <w:r w:rsidRPr="00D25F0A">
        <w:t xml:space="preserve">thermocouple </w:t>
      </w:r>
      <w:r w:rsidR="006B0350" w:rsidRPr="00D25F0A">
        <w:t>with</w:t>
      </w:r>
      <w:r w:rsidRPr="00D25F0A">
        <w:t xml:space="preserve"> its tip located inside the catalyst bed. </w:t>
      </w:r>
      <w:r w:rsidR="00023830" w:rsidRPr="00D25F0A">
        <w:t>The operating t</w:t>
      </w:r>
      <w:r w:rsidRPr="00D25F0A">
        <w:t xml:space="preserve">emperature </w:t>
      </w:r>
      <w:r w:rsidR="00023830" w:rsidRPr="00D25F0A">
        <w:t>for the tests was varied between</w:t>
      </w:r>
      <w:r w:rsidR="002735D6" w:rsidRPr="00D25F0A">
        <w:t xml:space="preserve"> </w:t>
      </w:r>
      <w:r w:rsidRPr="00D25F0A">
        <w:t>750</w:t>
      </w:r>
      <w:r w:rsidR="001451C5" w:rsidRPr="00D25F0A">
        <w:t xml:space="preserve"> </w:t>
      </w:r>
      <w:r w:rsidRPr="00D25F0A">
        <w:t xml:space="preserve">°C </w:t>
      </w:r>
      <w:r w:rsidR="00023830" w:rsidRPr="00D25F0A">
        <w:t xml:space="preserve">and </w:t>
      </w:r>
      <w:r w:rsidRPr="00D25F0A">
        <w:t>850 °C</w:t>
      </w:r>
      <w:r w:rsidR="002735D6" w:rsidRPr="00D25F0A">
        <w:t>:</w:t>
      </w:r>
      <w:r w:rsidRPr="00D25F0A">
        <w:t xml:space="preserve"> </w:t>
      </w:r>
      <w:r w:rsidR="00023830" w:rsidRPr="00D25F0A">
        <w:t>this</w:t>
      </w:r>
      <w:r w:rsidRPr="00D25F0A">
        <w:t xml:space="preserve"> range</w:t>
      </w:r>
      <w:r w:rsidR="00023830" w:rsidRPr="00D25F0A">
        <w:t>, in fact, is</w:t>
      </w:r>
      <w:r w:rsidRPr="00D25F0A">
        <w:t xml:space="preserve"> of interest for the in-situ syngas cleaning by filtering-catalytic candles. Two stainless-steel pressure syringes, driven by electric engines KDS LEGATO 110, </w:t>
      </w:r>
      <w:r w:rsidR="00023830" w:rsidRPr="00D25F0A">
        <w:t xml:space="preserve">are used to </w:t>
      </w:r>
      <w:r w:rsidRPr="00D25F0A">
        <w:t>pump water and a synthetic solution of tar key-compounds into a vaporization chamber at 220</w:t>
      </w:r>
      <w:r w:rsidR="00171E8E" w:rsidRPr="00D25F0A">
        <w:t xml:space="preserve"> </w:t>
      </w:r>
      <w:r w:rsidRPr="00D25F0A">
        <w:t>°C. Th</w:t>
      </w:r>
      <w:r w:rsidR="00023830" w:rsidRPr="00D25F0A">
        <w:t>e</w:t>
      </w:r>
      <w:r w:rsidRPr="00D25F0A">
        <w:t>s</w:t>
      </w:r>
      <w:r w:rsidR="00023830" w:rsidRPr="00D25F0A">
        <w:t>e</w:t>
      </w:r>
      <w:r w:rsidRPr="00D25F0A">
        <w:t xml:space="preserve"> </w:t>
      </w:r>
      <w:r w:rsidR="00023830" w:rsidRPr="00D25F0A">
        <w:t>syringes</w:t>
      </w:r>
      <w:r w:rsidRPr="00D25F0A">
        <w:t xml:space="preserve"> control the volumetric flow</w:t>
      </w:r>
      <w:r w:rsidR="00023830" w:rsidRPr="00D25F0A">
        <w:t xml:space="preserve"> of water and of the synthetic</w:t>
      </w:r>
      <w:r w:rsidR="00EE7D16" w:rsidRPr="00D25F0A">
        <w:t xml:space="preserve"> tar compounds</w:t>
      </w:r>
      <w:r w:rsidR="00023830" w:rsidRPr="00D25F0A">
        <w:t xml:space="preserve"> solution</w:t>
      </w:r>
      <w:r w:rsidR="00CE015B" w:rsidRPr="00D25F0A">
        <w:t>. The density of the pumped synthetic tar solution has been determined by a pycnometer</w:t>
      </w:r>
      <w:r w:rsidR="00527B2B" w:rsidRPr="00D25F0A">
        <w:t xml:space="preserve"> in order</w:t>
      </w:r>
      <w:r w:rsidRPr="00D25F0A">
        <w:t xml:space="preserve"> </w:t>
      </w:r>
      <w:r w:rsidR="00592D3D" w:rsidRPr="00D25F0A">
        <w:t>to</w:t>
      </w:r>
      <w:r w:rsidRPr="00D25F0A">
        <w:t xml:space="preserve"> compile mass balances for each test</w:t>
      </w:r>
      <w:r w:rsidR="00592D3D" w:rsidRPr="00D25F0A">
        <w:t xml:space="preserve">. </w:t>
      </w:r>
      <w:r w:rsidRPr="00D25F0A">
        <w:t xml:space="preserve">This solution was made up by toluene and naphthalene. </w:t>
      </w:r>
      <w:r w:rsidR="00F8756A" w:rsidRPr="00D25F0A">
        <w:t xml:space="preserve">The toluene/naphthalene molar ratio was 3.7, that is close to the naphthalene solubility in toluene at ambient temperature; this ensured that the synthetic tar was fed liquid, without any solid precipitate that could clog the syringe pump. </w:t>
      </w:r>
      <w:r w:rsidR="00CE015B" w:rsidRPr="00D25F0A">
        <w:t>Small amount of t</w:t>
      </w:r>
      <w:r w:rsidRPr="00D25F0A">
        <w:t xml:space="preserve">hiophene </w:t>
      </w:r>
      <w:r w:rsidR="00CE015B" w:rsidRPr="00D25F0A">
        <w:t>(</w:t>
      </w:r>
      <w:r w:rsidRPr="00D25F0A">
        <w:t>0.02 or 0.04 molar fraction</w:t>
      </w:r>
      <w:r w:rsidR="00CE015B" w:rsidRPr="00D25F0A">
        <w:t>)</w:t>
      </w:r>
      <w:r w:rsidRPr="00D25F0A">
        <w:t xml:space="preserve"> was also added to simulate the presence of </w:t>
      </w:r>
      <w:r w:rsidR="00E45787" w:rsidRPr="00D25F0A">
        <w:t>sulfur</w:t>
      </w:r>
      <w:r w:rsidRPr="00D25F0A">
        <w:t xml:space="preserve"> compounds</w:t>
      </w:r>
      <w:r w:rsidR="005A465E" w:rsidRPr="00D25F0A">
        <w:t>.</w:t>
      </w:r>
    </w:p>
    <w:p w14:paraId="319C2681" w14:textId="207E91BC" w:rsidR="00ED51E4" w:rsidRPr="00D25F0A" w:rsidRDefault="005631AB" w:rsidP="005178F8">
      <w:pPr>
        <w:pStyle w:val="CETBodytext"/>
      </w:pPr>
      <w:r w:rsidRPr="00D25F0A">
        <w:t xml:space="preserve">More details about the test rig can be found in the work of Di Giuliano et. </w:t>
      </w:r>
      <w:r w:rsidR="00B23F48" w:rsidRPr="00D25F0A">
        <w:t>a</w:t>
      </w:r>
      <w:r w:rsidRPr="00D25F0A">
        <w:t>l</w:t>
      </w:r>
      <w:r w:rsidR="00B23F48" w:rsidRPr="00D25F0A">
        <w:t>.</w:t>
      </w:r>
      <w:r w:rsidRPr="00D25F0A">
        <w:t xml:space="preserve"> </w:t>
      </w:r>
      <w:r w:rsidRPr="00D25F0A">
        <w:fldChar w:fldCharType="begin" w:fldLock="1"/>
      </w:r>
      <w:r w:rsidR="00AD6611" w:rsidRPr="00D25F0A">
        <w:instrText>ADDIN CSL_CITATION {"citationItems":[{"id":"ITEM-1","itemData":{"DOI":"10.1021/acs.iecr.0c05131","ISSN":"15205045","abstract":"Filtering-catalytic candles, filled with an annular packed-bed of commercial Ni-catalyst pellets (~600 g), were successfully tested for in situ syngas cleaning in a fluidized-bed biomass steam gasifier [Fuel Process. Technol. 2019, 191, 44.53, DOI: 10.1016/j.fuproc.2019.03.018]. Those tests enabled the macroscopic evaluation of gasification and gas cleaning as a whole, requiring a more specific assessment of the catalyst performance inside the filter candle. To this end, steam reforming tests of tar key compounds (naphthalene and toluene; thiophene in traces to observe sulfur deactivation) were performed with a laboratoryscale packed-bed reactor containing the same catalyst pellets (&lt;7 g). A lumped kinetics was derived, referred to a pseudocomponent representing tars. This was then validated by simulation of the annular catalytic packed bed inside the filter candle, obtaining numerical results in fair agreement with gasifier outputs. As a result, the lab-scale investigation with a small amount of catalyst provides reliable predictions of tar catalytic reforming in industrial-scale filtering-catalytic candles.","author":[{"dropping-particle":"","family":"Giuliano","given":"Andrea","non-dropping-particle":"Di","parse-names":false,"suffix":""},{"dropping-particle":"","family":"Foscolo","given":"Pier Ugo","non-dropping-particle":"","parse-names":false,"suffix":""},{"dropping-particle":"","family":"Carlo","given":"Andrea","non-dropping-particle":"Di","parse-names":false,"suffix":""},{"dropping-particle":"","family":"Steele","given":"Andrew","non-dropping-particle":"","parse-names":false,"suffix":""},{"dropping-particle":"","family":"Gallucci","given":"Katia","non-dropping-particle":"","parse-names":false,"suffix":""}],"container-title":"Industrial and Engineering Chemistry Research","id":"ITEM-1","issue":"18","issued":{"date-parts":[["2021"]]},"page":"6421-6434","title":"Kinetic characterization of tar reforming on commercial Ni-Catalyst pellets used for in situ syngas cleaning in biomass gasification: Experiments and simulations under process conditions","type":"article-journal","volume":"60"},"uris":["http://www.mendeley.com/documents/?uuid=d15781a9-8104-4f34-8f1d-55ef5275e664"]}],"mendeley":{"formattedCitation":"(Di Giuliano, Foscolo, Di Carlo, Steele, &amp; Gallucci, 2021)","manualFormatting":"(2021)","plainTextFormattedCitation":"(Di Giuliano, Foscolo, Di Carlo, Steele, &amp; Gallucci, 2021)","previouslyFormattedCitation":"(Di Giuliano, Foscolo, Di Carlo, Steele, &amp; Gallucci, 2021)"},"properties":{"noteIndex":0},"schema":"https://github.com/citation-style-language/schema/raw/master/csl-citation.json"}</w:instrText>
      </w:r>
      <w:r w:rsidRPr="00D25F0A">
        <w:fldChar w:fldCharType="separate"/>
      </w:r>
      <w:r w:rsidR="0044023D" w:rsidRPr="00D25F0A">
        <w:rPr>
          <w:noProof/>
        </w:rPr>
        <w:t>(2021)</w:t>
      </w:r>
      <w:r w:rsidRPr="00D25F0A">
        <w:fldChar w:fldCharType="end"/>
      </w:r>
      <w:r w:rsidRPr="00D25F0A">
        <w:t>.</w:t>
      </w:r>
      <w:r w:rsidR="00156EF6" w:rsidRPr="00D25F0A">
        <w:t xml:space="preserve"> Thiophene was added to </w:t>
      </w:r>
      <w:r w:rsidR="00CE015B" w:rsidRPr="00D25F0A">
        <w:t xml:space="preserve">evaluate </w:t>
      </w:r>
      <w:r w:rsidR="00156EF6" w:rsidRPr="00D25F0A">
        <w:t xml:space="preserve">the deactivation of Ni-catalyst due to </w:t>
      </w:r>
      <w:r w:rsidR="00E45787" w:rsidRPr="00D25F0A">
        <w:t>sulfur</w:t>
      </w:r>
      <w:r w:rsidR="00156EF6" w:rsidRPr="00D25F0A">
        <w:t xml:space="preserve"> species </w:t>
      </w:r>
      <w:r w:rsidR="00EF74AB" w:rsidRPr="00D25F0A">
        <w:t xml:space="preserve">in </w:t>
      </w:r>
      <w:r w:rsidR="00156EF6" w:rsidRPr="00D25F0A">
        <w:t>concentration</w:t>
      </w:r>
      <w:r w:rsidR="00EF74AB" w:rsidRPr="00D25F0A">
        <w:t>s of 50 and 100 ppm</w:t>
      </w:r>
      <w:r w:rsidR="00156EF6" w:rsidRPr="00D25F0A">
        <w:t xml:space="preserve">. In addition, the toluene/naphthalene ratio utilized in </w:t>
      </w:r>
      <w:r w:rsidR="00EF74AB" w:rsidRPr="00D25F0A">
        <w:t>this work</w:t>
      </w:r>
      <w:r w:rsidR="00156EF6" w:rsidRPr="00D25F0A">
        <w:t xml:space="preserve"> </w:t>
      </w:r>
      <w:r w:rsidR="00EF74AB" w:rsidRPr="00D25F0A">
        <w:t>is close to</w:t>
      </w:r>
      <w:r w:rsidR="00156EF6" w:rsidRPr="00D25F0A">
        <w:t xml:space="preserve"> that found in the product gas of steam biomass gasification tests, before any catalytic treatment</w:t>
      </w:r>
      <w:r w:rsidR="005235F6" w:rsidRPr="00D25F0A">
        <w:t xml:space="preserve"> </w:t>
      </w:r>
      <w:r w:rsidR="005235F6" w:rsidRPr="00D25F0A">
        <w:fldChar w:fldCharType="begin" w:fldLock="1"/>
      </w:r>
      <w:r w:rsidR="00AD6611" w:rsidRPr="00D25F0A">
        <w:instrText>ADDIN CSL_CITATION {"citationItems":[{"id":"ITEM-1","itemData":{"DOI":"10.1016/j.wasman.2017.07.038","ISSN":"18792456","PMID":"28757219","abstract":"Heavy organic compounds produced during almond shells gasification in a steam and/or air atmosphere, usually called tar, are drastically reduced in the product gas by using simultaneously in one vessel a ceramic filter placed in the freeboard and a mixture of olivine and dolomite particles in the fluidized bed of the gasifier. The content of tar in the product gas during a reference gasification test with air, in presence of fresh olivine particles only, was 8600 mg/Nm3 of dry gas. By gasifying biomass with steam at the same temperature level of 820 °C in a bed of olivine and dolomite (20% by weight), and in the presence of a catalytic ceramic filter inserted in the freeboard of the fluidized bed gasifier, the level of tar was brought down to 57 mg/Nm3 of dry producct gas, with a decrease of more than two orders of magnitude.","author":[{"dropping-particle":"","family":"Rapagnà","given":"Sergio","non-dropping-particle":"","parse-names":false,"suffix":""},{"dropping-particle":"","family":"Gallucci","given":"Katia","non-dropping-particle":"","parse-names":false,"suffix":""},{"dropping-particle":"","family":"Foscolo","given":"Pier Ugo","non-dropping-particle":"","parse-names":false,"suffix":""}],"container-title":"Waste Management","id":"ITEM-1","issued":{"date-parts":[["2018"]]},"page":"792-800","title":"Olivine, dolomite and ceramic filters in one vessel to produce clean gas from biomass","type":"article-journal","volume":"71"},"uris":["http://www.mendeley.com/documents/?uuid=c8d0bc0c-a886-44d6-9fc9-43d301365c17"]}],"mendeley":{"formattedCitation":"(Rapagnà, Gallucci, &amp; Foscolo, 2018)","plainTextFormattedCitation":"(Rapagnà, Gallucci, &amp; Foscolo, 2018)","previouslyFormattedCitation":"(Rapagnà, Gallucci, &amp; Foscolo, 2018)"},"properties":{"noteIndex":0},"schema":"https://github.com/citation-style-language/schema/raw/master/csl-citation.json"}</w:instrText>
      </w:r>
      <w:r w:rsidR="005235F6" w:rsidRPr="00D25F0A">
        <w:fldChar w:fldCharType="separate"/>
      </w:r>
      <w:r w:rsidR="00AD6611" w:rsidRPr="00D25F0A">
        <w:rPr>
          <w:noProof/>
        </w:rPr>
        <w:t>(Rapagnà</w:t>
      </w:r>
      <w:r w:rsidR="00B23F48" w:rsidRPr="00D25F0A">
        <w:rPr>
          <w:noProof/>
        </w:rPr>
        <w:t xml:space="preserve"> et al.</w:t>
      </w:r>
      <w:r w:rsidR="00AD6611" w:rsidRPr="00D25F0A">
        <w:rPr>
          <w:noProof/>
        </w:rPr>
        <w:t>, 2018)</w:t>
      </w:r>
      <w:r w:rsidR="005235F6" w:rsidRPr="00D25F0A">
        <w:fldChar w:fldCharType="end"/>
      </w:r>
      <w:r w:rsidR="00156EF6" w:rsidRPr="00D25F0A">
        <w:t>.</w:t>
      </w:r>
      <w:r w:rsidR="005178F8" w:rsidRPr="00D25F0A">
        <w:t xml:space="preserve"> </w:t>
      </w:r>
    </w:p>
    <w:p w14:paraId="4D66776C" w14:textId="24E3124D" w:rsidR="005178F8" w:rsidRPr="00D25F0A" w:rsidRDefault="005178F8" w:rsidP="005178F8">
      <w:pPr>
        <w:pStyle w:val="CETBodytext"/>
      </w:pPr>
      <w:r w:rsidRPr="00D25F0A">
        <w:t>N</w:t>
      </w:r>
      <w:r w:rsidRPr="00D25F0A">
        <w:rPr>
          <w:vertAlign w:val="subscript"/>
        </w:rPr>
        <w:t>2</w:t>
      </w:r>
      <w:r w:rsidRPr="00D25F0A">
        <w:t xml:space="preserve"> was </w:t>
      </w:r>
      <w:r w:rsidR="00E51590" w:rsidRPr="00D25F0A">
        <w:t xml:space="preserve">used </w:t>
      </w:r>
      <w:r w:rsidRPr="00D25F0A">
        <w:t xml:space="preserve">as a carrier gas, in order to convey vaporized fluids to the reactor. </w:t>
      </w:r>
      <w:r w:rsidR="00E51590" w:rsidRPr="00D25F0A">
        <w:t>N</w:t>
      </w:r>
      <w:r w:rsidR="00E51590" w:rsidRPr="00D25F0A">
        <w:rPr>
          <w:vertAlign w:val="subscript"/>
        </w:rPr>
        <w:t>2</w:t>
      </w:r>
      <w:r w:rsidR="00E51590" w:rsidRPr="00D25F0A">
        <w:t xml:space="preserve"> was selected to</w:t>
      </w:r>
      <w:r w:rsidRPr="00D25F0A">
        <w:t xml:space="preserve"> simulate the flow rate of the actual syngas, in order to allow the specific quantification of tar conversion due to catalytic steam reforming by carbon balance</w:t>
      </w:r>
      <w:r w:rsidR="00E53CA6" w:rsidRPr="00D25F0A">
        <w:t>, being an inert gas</w:t>
      </w:r>
      <w:r w:rsidRPr="00D25F0A">
        <w:t xml:space="preserve">. </w:t>
      </w:r>
    </w:p>
    <w:p w14:paraId="12802D00" w14:textId="5FEA2B56" w:rsidR="005178F8" w:rsidRPr="00D25F0A" w:rsidRDefault="00E53CA6" w:rsidP="005178F8">
      <w:pPr>
        <w:pStyle w:val="CETBodytext"/>
      </w:pPr>
      <w:r w:rsidRPr="00D25F0A">
        <w:t xml:space="preserve">The </w:t>
      </w:r>
      <w:r w:rsidR="005178F8" w:rsidRPr="00D25F0A">
        <w:t xml:space="preserve">flow rates for liquids and gases, </w:t>
      </w:r>
      <w:r w:rsidRPr="00D25F0A">
        <w:t xml:space="preserve">were </w:t>
      </w:r>
      <w:r w:rsidR="009B073C" w:rsidRPr="00D25F0A">
        <w:t>chosen</w:t>
      </w:r>
      <w:r w:rsidRPr="00D25F0A">
        <w:t xml:space="preserve"> </w:t>
      </w:r>
      <w:r w:rsidR="005178F8" w:rsidRPr="00D25F0A">
        <w:t xml:space="preserve">to make the content of steam, heavy hydrocarbons and </w:t>
      </w:r>
      <w:r w:rsidR="00E45787" w:rsidRPr="00D25F0A">
        <w:t>sulfur</w:t>
      </w:r>
      <w:r w:rsidR="005178F8" w:rsidRPr="00D25F0A">
        <w:t xml:space="preserve"> species </w:t>
      </w:r>
      <w:r w:rsidRPr="00D25F0A">
        <w:t xml:space="preserve">comparable </w:t>
      </w:r>
      <w:r w:rsidR="005178F8" w:rsidRPr="00D25F0A">
        <w:t xml:space="preserve">with those of the raw syngas </w:t>
      </w:r>
      <w:r w:rsidRPr="00D25F0A">
        <w:t xml:space="preserve">obtained </w:t>
      </w:r>
      <w:r w:rsidR="009B073C" w:rsidRPr="00D25F0A">
        <w:t>in the</w:t>
      </w:r>
      <w:r w:rsidR="005178F8" w:rsidRPr="00D25F0A">
        <w:t xml:space="preserve"> biomass gasification tests of Savuto </w:t>
      </w:r>
      <w:r w:rsidR="005C1DF9" w:rsidRPr="00D25F0A">
        <w:t xml:space="preserve">et al. </w:t>
      </w:r>
      <w:r w:rsidR="00576D43" w:rsidRPr="00D25F0A">
        <w:fldChar w:fldCharType="begin" w:fldLock="1"/>
      </w:r>
      <w:r w:rsidR="00AD6611" w:rsidRPr="00D25F0A">
        <w:instrText>ADDIN CSL_CITATION {"citationItems":[{"id":"ITEM-1","itemData":{"DOI":"10.1016/j.fuproc.2019.03.018","ISSN":"03783820","abstract":"Gasification is a very advantageous conversion process to obtain a fuel gas from organic wastes, however it also generates by-products, such as particulate and tar. These should be removed from the syngas for its smooth utilization in power generation devices and/or biofuels production. In this work, biomass gasification tests were carried out in a bench-scale fluidized bed gasifier with a ceramic filter candle filled with commercial Ni-catalyst pellets integrated in its freeboard, for the abatement of particulate and tar. The activity of catalyst was studied at different operating conditions (temperature and catalyst bed layout) and the results were analysed in terms of residual tar content and composition of the product gas. The catalyst resulted very effective, particularly in tests at higher temperature and with the partially filled candle configuration. Tars were reduced to 250 mg/Nm3 in the best case. The Ni-catalyst did not show deactivation during tests lasting 4 h.","author":[{"dropping-particle":"","family":"Savuto","given":"Elisa","non-dropping-particle":"","parse-names":false,"suffix":""},{"dropping-particle":"","family":"Carlo","given":"Andrea","non-dropping-particle":"Di","parse-names":false,"suffix":""},{"dropping-particle":"","family":"Steele","given":"Andrew","non-dropping-particle":"","parse-names":false,"suffix":""},{"dropping-particle":"","family":"Heidenreich","given":"Steffen","non-dropping-particle":"","parse-names":false,"suffix":""},{"dropping-particle":"","family":"Gallucci","given":"Katia","non-dropping-particle":"","parse-names":false,"suffix":""},{"dropping-particle":"","family":"Rapagnà","given":"Sergio","non-dropping-particle":"","parse-names":false,"suffix":""}],"container-title":"Fuel Processing Technology","id":"ITEM-1","issue":"March","issued":{"date-parts":[["2019"]]},"page":"44-53","publisher":"Elsevier","title":"Syngas conditioning by ceramic filter candles filled with catalyst pellets and placed inside the freeboard of a fluidized bed steam gasifier","type":"article-journal","volume":"191"},"uris":["http://www.mendeley.com/documents/?uuid=864dc4a1-6567-4113-aa88-6603473d5f07"]}],"mendeley":{"formattedCitation":"(Savuto et al., 2019)","plainTextFormattedCitation":"(Savuto et al., 2019)","previouslyFormattedCitation":"(Savuto et al., 2019)"},"properties":{"noteIndex":0},"schema":"https://github.com/citation-style-language/schema/raw/master/csl-citation.json"}</w:instrText>
      </w:r>
      <w:r w:rsidR="00576D43" w:rsidRPr="00D25F0A">
        <w:fldChar w:fldCharType="separate"/>
      </w:r>
      <w:r w:rsidR="0044023D" w:rsidRPr="00D25F0A">
        <w:rPr>
          <w:noProof/>
        </w:rPr>
        <w:t>(2019)</w:t>
      </w:r>
      <w:r w:rsidR="00576D43" w:rsidRPr="00D25F0A">
        <w:fldChar w:fldCharType="end"/>
      </w:r>
      <w:r w:rsidR="005178F8" w:rsidRPr="00D25F0A">
        <w:t xml:space="preserve"> and to </w:t>
      </w:r>
      <w:r w:rsidR="009B073C" w:rsidRPr="00D25F0A">
        <w:t xml:space="preserve">have </w:t>
      </w:r>
      <w:r w:rsidR="005178F8" w:rsidRPr="00D25F0A">
        <w:t>contact times between inlet gas stream and catalytic bed</w:t>
      </w:r>
      <w:r w:rsidR="009B073C" w:rsidRPr="00D25F0A">
        <w:t xml:space="preserve"> as expected in the catalytic filter candles</w:t>
      </w:r>
      <w:r w:rsidR="005178F8" w:rsidRPr="00D25F0A">
        <w:t>. The concentration of tar key-compounds was equal to 13 g Nm</w:t>
      </w:r>
      <w:r w:rsidR="005178F8" w:rsidRPr="00D25F0A">
        <w:rPr>
          <w:vertAlign w:val="superscript"/>
        </w:rPr>
        <w:t>-3</w:t>
      </w:r>
      <w:r w:rsidR="005178F8" w:rsidRPr="00D25F0A">
        <w:rPr>
          <w:vertAlign w:val="subscript"/>
        </w:rPr>
        <w:t>dry</w:t>
      </w:r>
      <w:r w:rsidR="005178F8" w:rsidRPr="00D25F0A">
        <w:t xml:space="preserve">. The amount of water injected was that necessary to obtain a molar concentration of steam in the gas equal to 25%.  </w:t>
      </w:r>
    </w:p>
    <w:p w14:paraId="13CAC0EC" w14:textId="19366E1E" w:rsidR="005C1DF9" w:rsidRPr="00D25F0A" w:rsidRDefault="009B073C" w:rsidP="005C1DF9">
      <w:pPr>
        <w:pStyle w:val="CETBodytext"/>
      </w:pPr>
      <w:r w:rsidRPr="00D25F0A">
        <w:t>The chosen</w:t>
      </w:r>
      <w:r w:rsidR="005178F8" w:rsidRPr="00D25F0A">
        <w:t xml:space="preserve"> flow rates allowed</w:t>
      </w:r>
      <w:r w:rsidRPr="00D25F0A">
        <w:t xml:space="preserve"> to have</w:t>
      </w:r>
      <w:r w:rsidR="005178F8" w:rsidRPr="00D25F0A">
        <w:t xml:space="preserve"> </w:t>
      </w:r>
      <w:r w:rsidRPr="00D25F0A">
        <w:t xml:space="preserve">the necessary </w:t>
      </w:r>
      <w:r w:rsidR="005178F8" w:rsidRPr="00D25F0A">
        <w:t xml:space="preserve">thiophene in </w:t>
      </w:r>
      <w:r w:rsidR="00B128F8" w:rsidRPr="00D25F0A">
        <w:t xml:space="preserve">order </w:t>
      </w:r>
      <w:r w:rsidR="005178F8" w:rsidRPr="00D25F0A">
        <w:t>to develop 50 or 100 ppmv of equivalent H</w:t>
      </w:r>
      <w:r w:rsidR="005178F8" w:rsidRPr="00D25F0A">
        <w:rPr>
          <w:vertAlign w:val="subscript"/>
        </w:rPr>
        <w:t>2</w:t>
      </w:r>
      <w:r w:rsidR="005178F8" w:rsidRPr="00D25F0A">
        <w:t>S in the inlet stream</w:t>
      </w:r>
      <w:r w:rsidR="00D25F0A">
        <w:t xml:space="preserve">; </w:t>
      </w:r>
      <w:r w:rsidR="00B53572" w:rsidRPr="00D25F0A">
        <w:t>the complete conversion of t</w:t>
      </w:r>
      <w:r w:rsidR="003C311F" w:rsidRPr="00D25F0A">
        <w:t>h</w:t>
      </w:r>
      <w:r w:rsidR="00B53572" w:rsidRPr="00D25F0A">
        <w:t xml:space="preserve">iophene </w:t>
      </w:r>
      <w:r w:rsidR="00B128F8" w:rsidRPr="00D25F0A">
        <w:t>in</w:t>
      </w:r>
      <w:r w:rsidR="00B53572" w:rsidRPr="00D25F0A">
        <w:t>to H</w:t>
      </w:r>
      <w:r w:rsidR="00B53572" w:rsidRPr="00D25F0A">
        <w:rPr>
          <w:vertAlign w:val="subscript"/>
        </w:rPr>
        <w:t>2</w:t>
      </w:r>
      <w:r w:rsidR="00B53572" w:rsidRPr="00D25F0A">
        <w:t>S</w:t>
      </w:r>
      <w:r w:rsidRPr="00D25F0A">
        <w:t xml:space="preserve"> </w:t>
      </w:r>
      <w:r w:rsidR="00B128F8" w:rsidRPr="00D25F0A">
        <w:t xml:space="preserve">was assumed </w:t>
      </w:r>
      <w:r w:rsidR="00B53572" w:rsidRPr="00D25F0A">
        <w:t>(</w:t>
      </w:r>
      <w:r w:rsidR="005178F8" w:rsidRPr="00D25F0A">
        <w:t>1:1 atomic ratio of S between thiophene and H</w:t>
      </w:r>
      <w:r w:rsidR="005178F8" w:rsidRPr="00D25F0A">
        <w:rPr>
          <w:vertAlign w:val="subscript"/>
        </w:rPr>
        <w:t>2</w:t>
      </w:r>
      <w:r w:rsidR="005178F8" w:rsidRPr="00D25F0A">
        <w:t>S</w:t>
      </w:r>
      <w:r w:rsidR="00B53572" w:rsidRPr="00D25F0A">
        <w:t>). This is</w:t>
      </w:r>
      <w:r w:rsidR="005178F8" w:rsidRPr="00D25F0A">
        <w:t xml:space="preserve"> </w:t>
      </w:r>
      <w:r w:rsidR="00B128F8" w:rsidRPr="00D25F0A">
        <w:t xml:space="preserve">ensured </w:t>
      </w:r>
      <w:r w:rsidR="00B53572" w:rsidRPr="00D25F0A">
        <w:t xml:space="preserve">by </w:t>
      </w:r>
      <w:r w:rsidR="005178F8" w:rsidRPr="00D25F0A">
        <w:t>the high excess of steam and the reductive environment inside the packed-bed rig.</w:t>
      </w:r>
      <w:r w:rsidR="005C1DF9" w:rsidRPr="00D25F0A">
        <w:t xml:space="preserve"> </w:t>
      </w:r>
    </w:p>
    <w:p w14:paraId="6323AE21" w14:textId="62829603" w:rsidR="007F43FB" w:rsidRPr="00D25F0A" w:rsidRDefault="00B53572" w:rsidP="005C1DF9">
      <w:pPr>
        <w:pStyle w:val="CETBodytext"/>
      </w:pPr>
      <w:r w:rsidRPr="00D25F0A">
        <w:t>A</w:t>
      </w:r>
      <w:r w:rsidR="005C1DF9" w:rsidRPr="00D25F0A">
        <w:t xml:space="preserve"> glass double-pipe condenser</w:t>
      </w:r>
      <w:r w:rsidRPr="00D25F0A">
        <w:t xml:space="preserve"> is equipped downstream the microreactor to</w:t>
      </w:r>
      <w:r w:rsidR="005C1DF9" w:rsidRPr="00D25F0A">
        <w:t xml:space="preserve"> separate</w:t>
      </w:r>
      <w:r w:rsidRPr="00D25F0A">
        <w:t xml:space="preserve"> the </w:t>
      </w:r>
      <w:r w:rsidR="005C1DF9" w:rsidRPr="00D25F0A">
        <w:t xml:space="preserve">unreacted water and </w:t>
      </w:r>
      <w:r w:rsidRPr="00D25F0A">
        <w:t xml:space="preserve">the </w:t>
      </w:r>
      <w:r w:rsidR="005C1DF9" w:rsidRPr="00D25F0A">
        <w:t>condensable hydrocarbons from the product stream</w:t>
      </w:r>
      <w:r w:rsidRPr="00D25F0A">
        <w:t>.</w:t>
      </w:r>
      <w:r w:rsidR="005C1DF9" w:rsidRPr="00D25F0A">
        <w:t xml:space="preserve"> </w:t>
      </w:r>
      <w:r w:rsidRPr="00D25F0A">
        <w:t>E</w:t>
      </w:r>
      <w:r w:rsidR="005C1DF9" w:rsidRPr="00D25F0A">
        <w:t xml:space="preserve">thylene glycol at 0 °C </w:t>
      </w:r>
      <w:r w:rsidRPr="00D25F0A">
        <w:t xml:space="preserve">was used </w:t>
      </w:r>
      <w:r w:rsidR="005C1DF9" w:rsidRPr="00D25F0A">
        <w:t xml:space="preserve">as the cooling fluid. </w:t>
      </w:r>
      <w:r w:rsidRPr="00D25F0A">
        <w:t xml:space="preserve">A </w:t>
      </w:r>
      <w:r w:rsidR="005C1DF9" w:rsidRPr="00D25F0A">
        <w:t>BRONKHORST mass flow meter</w:t>
      </w:r>
      <w:r w:rsidRPr="00D25F0A">
        <w:t xml:space="preserve"> is used to measure </w:t>
      </w:r>
      <w:r w:rsidR="005C1DF9" w:rsidRPr="00D25F0A">
        <w:t>the overall molar flow rate (</w:t>
      </w:r>
      <w:r w:rsidR="005C1DF9" w:rsidRPr="00D25F0A">
        <w:rPr>
          <w:i/>
          <w:iCs/>
        </w:rPr>
        <w:t>F</w:t>
      </w:r>
      <w:r w:rsidR="005C1DF9" w:rsidRPr="00D25F0A">
        <w:rPr>
          <w:i/>
          <w:iCs/>
          <w:vertAlign w:val="subscript"/>
        </w:rPr>
        <w:t>tot,out</w:t>
      </w:r>
      <w:r w:rsidR="005C1DF9" w:rsidRPr="00D25F0A">
        <w:t>)</w:t>
      </w:r>
      <w:r w:rsidR="005B07FD" w:rsidRPr="00D25F0A">
        <w:t xml:space="preserve"> of the dried outlet stream</w:t>
      </w:r>
      <w:r w:rsidR="005C1DF9" w:rsidRPr="00D25F0A">
        <w:t xml:space="preserve">. </w:t>
      </w:r>
      <w:r w:rsidR="005B07FD" w:rsidRPr="00D25F0A">
        <w:t>Finally the gas volumetric percentage (</w:t>
      </w:r>
      <w:r w:rsidR="005B07FD" w:rsidRPr="00D25F0A">
        <w:rPr>
          <w:i/>
          <w:iCs/>
        </w:rPr>
        <w:t>y</w:t>
      </w:r>
      <w:r w:rsidR="005B07FD" w:rsidRPr="00D25F0A">
        <w:rPr>
          <w:i/>
          <w:iCs/>
          <w:vertAlign w:val="subscript"/>
        </w:rPr>
        <w:t>i,out</w:t>
      </w:r>
      <w:r w:rsidR="005B07FD" w:rsidRPr="00D25F0A">
        <w:t>) of CO, CO</w:t>
      </w:r>
      <w:r w:rsidR="005B07FD" w:rsidRPr="00D25F0A">
        <w:rPr>
          <w:vertAlign w:val="subscript"/>
        </w:rPr>
        <w:t>2</w:t>
      </w:r>
      <w:r w:rsidR="005B07FD" w:rsidRPr="00D25F0A">
        <w:t>, CH</w:t>
      </w:r>
      <w:r w:rsidR="005B07FD" w:rsidRPr="00D25F0A">
        <w:rPr>
          <w:vertAlign w:val="subscript"/>
        </w:rPr>
        <w:t>4</w:t>
      </w:r>
      <w:r w:rsidR="005B07FD" w:rsidRPr="00D25F0A">
        <w:t xml:space="preserve"> and H</w:t>
      </w:r>
      <w:r w:rsidR="005B07FD" w:rsidRPr="00D25F0A">
        <w:rPr>
          <w:vertAlign w:val="subscript"/>
        </w:rPr>
        <w:t xml:space="preserve">2 </w:t>
      </w:r>
      <w:r w:rsidR="005B07FD" w:rsidRPr="00D25F0A">
        <w:t>of</w:t>
      </w:r>
      <w:r w:rsidR="005C1DF9" w:rsidRPr="00D25F0A">
        <w:t xml:space="preserve"> this outlet stream was analyzed by an ABB online system. This</w:t>
      </w:r>
      <w:r w:rsidR="005B07FD" w:rsidRPr="00D25F0A">
        <w:t xml:space="preserve"> on-line analyser is</w:t>
      </w:r>
      <w:r w:rsidR="005C1DF9" w:rsidRPr="00D25F0A">
        <w:t xml:space="preserve"> equipped with an ADVANCE OPTIMA URAS 14 module for CO, CO</w:t>
      </w:r>
      <w:r w:rsidR="005C1DF9" w:rsidRPr="00D25F0A">
        <w:rPr>
          <w:vertAlign w:val="subscript"/>
        </w:rPr>
        <w:t>2</w:t>
      </w:r>
      <w:r w:rsidR="005C1DF9" w:rsidRPr="00D25F0A">
        <w:t>, CH</w:t>
      </w:r>
      <w:r w:rsidR="005C1DF9" w:rsidRPr="00D25F0A">
        <w:rPr>
          <w:vertAlign w:val="subscript"/>
        </w:rPr>
        <w:t>4</w:t>
      </w:r>
      <w:r w:rsidR="005C1DF9" w:rsidRPr="00D25F0A">
        <w:t xml:space="preserve"> (non-dispersive infrared detector) and an ADVANCE OPTIMA CALDOS 17 module for H</w:t>
      </w:r>
      <w:r w:rsidR="005C1DF9" w:rsidRPr="00D25F0A">
        <w:rPr>
          <w:vertAlign w:val="subscript"/>
        </w:rPr>
        <w:t>2</w:t>
      </w:r>
      <w:r w:rsidR="005C1DF9" w:rsidRPr="00D25F0A">
        <w:t xml:space="preserve"> (thermal conductibility detector). </w:t>
      </w:r>
      <w:r w:rsidR="005B07FD" w:rsidRPr="00D25F0A">
        <w:t>The v</w:t>
      </w:r>
      <w:r w:rsidR="005C1DF9" w:rsidRPr="00D25F0A">
        <w:t xml:space="preserve">alues of </w:t>
      </w:r>
      <w:r w:rsidR="005C1DF9" w:rsidRPr="00D25F0A">
        <w:rPr>
          <w:i/>
          <w:iCs/>
        </w:rPr>
        <w:t>F</w:t>
      </w:r>
      <w:r w:rsidR="005C1DF9" w:rsidRPr="00D25F0A">
        <w:rPr>
          <w:i/>
          <w:iCs/>
          <w:vertAlign w:val="subscript"/>
        </w:rPr>
        <w:t>tot,out</w:t>
      </w:r>
      <w:r w:rsidR="005C1DF9" w:rsidRPr="00D25F0A">
        <w:rPr>
          <w:i/>
          <w:iCs/>
        </w:rPr>
        <w:t xml:space="preserve"> </w:t>
      </w:r>
      <w:r w:rsidR="005C1DF9" w:rsidRPr="00D25F0A">
        <w:t xml:space="preserve">and </w:t>
      </w:r>
      <w:r w:rsidR="005C1DF9" w:rsidRPr="00D25F0A">
        <w:rPr>
          <w:i/>
          <w:iCs/>
        </w:rPr>
        <w:t>y</w:t>
      </w:r>
      <w:r w:rsidR="005C1DF9" w:rsidRPr="00D25F0A">
        <w:rPr>
          <w:i/>
          <w:iCs/>
          <w:vertAlign w:val="subscript"/>
        </w:rPr>
        <w:t>i,out</w:t>
      </w:r>
      <w:r w:rsidR="005C1DF9" w:rsidRPr="00D25F0A">
        <w:t xml:space="preserve"> were </w:t>
      </w:r>
      <w:r w:rsidR="005B07FD" w:rsidRPr="00D25F0A">
        <w:t>sampled with a</w:t>
      </w:r>
      <w:r w:rsidR="005C1DF9" w:rsidRPr="00D25F0A">
        <w:t xml:space="preserve"> period of 5 s</w:t>
      </w:r>
      <w:r w:rsidR="005B07FD" w:rsidRPr="00D25F0A">
        <w:t xml:space="preserve">. From the knowledge of </w:t>
      </w:r>
      <w:r w:rsidR="005B07FD" w:rsidRPr="00D25F0A">
        <w:rPr>
          <w:i/>
          <w:iCs/>
        </w:rPr>
        <w:t>F</w:t>
      </w:r>
      <w:r w:rsidR="005B07FD" w:rsidRPr="00D25F0A">
        <w:rPr>
          <w:i/>
          <w:iCs/>
          <w:vertAlign w:val="subscript"/>
        </w:rPr>
        <w:t>tot,out</w:t>
      </w:r>
      <w:r w:rsidR="005C1DF9" w:rsidRPr="00D25F0A">
        <w:t xml:space="preserve"> </w:t>
      </w:r>
      <w:r w:rsidR="005B07FD" w:rsidRPr="00D25F0A">
        <w:t xml:space="preserve">and </w:t>
      </w:r>
      <w:r w:rsidR="005B07FD" w:rsidRPr="00D25F0A">
        <w:rPr>
          <w:i/>
          <w:iCs/>
        </w:rPr>
        <w:t>y</w:t>
      </w:r>
      <w:r w:rsidR="005B07FD" w:rsidRPr="00D25F0A">
        <w:rPr>
          <w:i/>
          <w:iCs/>
          <w:vertAlign w:val="subscript"/>
        </w:rPr>
        <w:t>i,out</w:t>
      </w:r>
      <w:r w:rsidR="005B07FD" w:rsidRPr="00D25F0A">
        <w:t xml:space="preserve"> during time it was possible to calculate</w:t>
      </w:r>
      <w:r w:rsidR="005C1DF9" w:rsidRPr="00D25F0A">
        <w:t xml:space="preserve"> </w:t>
      </w:r>
      <w:r w:rsidR="005B07FD" w:rsidRPr="00D25F0A">
        <w:t>the</w:t>
      </w:r>
      <w:r w:rsidR="005C1DF9" w:rsidRPr="00D25F0A">
        <w:t xml:space="preserve"> outlet molar flow rates (</w:t>
      </w:r>
      <w:r w:rsidR="005C1DF9" w:rsidRPr="00D25F0A">
        <w:rPr>
          <w:i/>
          <w:iCs/>
        </w:rPr>
        <w:t>F</w:t>
      </w:r>
      <w:r w:rsidR="005C1DF9" w:rsidRPr="00D25F0A">
        <w:rPr>
          <w:i/>
          <w:iCs/>
          <w:vertAlign w:val="subscript"/>
        </w:rPr>
        <w:t>i,out</w:t>
      </w:r>
      <w:r w:rsidR="005C1DF9" w:rsidRPr="00D25F0A">
        <w:t xml:space="preserve">, </w:t>
      </w:r>
      <w:r w:rsidR="005C1DF9" w:rsidRPr="00D25F0A">
        <w:rPr>
          <w:lang w:val="en-GB"/>
        </w:rPr>
        <w:t>Eq. (1)</w:t>
      </w:r>
      <w:r w:rsidR="005C1DF9" w:rsidRPr="00D25F0A">
        <w:t>) and percentages on dry, dilution-free basis (</w:t>
      </w:r>
      <w:r w:rsidR="005C1DF9" w:rsidRPr="00D25F0A">
        <w:rPr>
          <w:i/>
          <w:iCs/>
        </w:rPr>
        <w:t>Y</w:t>
      </w:r>
      <w:r w:rsidR="005C1DF9" w:rsidRPr="00D25F0A">
        <w:rPr>
          <w:i/>
          <w:iCs/>
          <w:vertAlign w:val="subscript"/>
        </w:rPr>
        <w:t>i,out</w:t>
      </w:r>
      <w:r w:rsidR="005C1DF9" w:rsidRPr="00D25F0A">
        <w:t>,</w:t>
      </w:r>
      <w:r w:rsidR="005C1DF9" w:rsidRPr="00D25F0A">
        <w:rPr>
          <w:lang w:val="en-GB"/>
        </w:rPr>
        <w:t xml:space="preserve"> Eq. (2)</w:t>
      </w:r>
      <w:r w:rsidR="005C1DF9" w:rsidRPr="00D25F0A">
        <w:t>) of CO, CO</w:t>
      </w:r>
      <w:r w:rsidR="005C1DF9" w:rsidRPr="00D25F0A">
        <w:rPr>
          <w:vertAlign w:val="subscript"/>
        </w:rPr>
        <w:t>2</w:t>
      </w:r>
      <w:r w:rsidR="005C1DF9" w:rsidRPr="00D25F0A">
        <w:t>, CH</w:t>
      </w:r>
      <w:r w:rsidR="005C1DF9" w:rsidRPr="00D25F0A">
        <w:rPr>
          <w:vertAlign w:val="subscript"/>
        </w:rPr>
        <w:t>4</w:t>
      </w:r>
      <w:r w:rsidR="005C1DF9" w:rsidRPr="00D25F0A">
        <w:t xml:space="preserve"> and H</w:t>
      </w:r>
      <w:r w:rsidR="005C1DF9" w:rsidRPr="00D25F0A">
        <w:rPr>
          <w:vertAlign w:val="subscript"/>
        </w:rPr>
        <w:t>2</w:t>
      </w:r>
      <w:r w:rsidR="005C1DF9" w:rsidRPr="00D25F0A">
        <w:t>.</w:t>
      </w:r>
    </w:p>
    <w:p w14:paraId="5448B1A5" w14:textId="77777777" w:rsidR="007F43FB" w:rsidRPr="002D5C5C" w:rsidRDefault="007F43FB" w:rsidP="007F43FB">
      <w:pPr>
        <w:pStyle w:val="CETBodytext"/>
        <w:rPr>
          <w:highlight w:val="yellow"/>
        </w:rPr>
      </w:pPr>
    </w:p>
    <w:tbl>
      <w:tblPr>
        <w:tblW w:w="5000" w:type="pct"/>
        <w:tblLook w:val="04A0" w:firstRow="1" w:lastRow="0" w:firstColumn="1" w:lastColumn="0" w:noHBand="0" w:noVBand="1"/>
      </w:tblPr>
      <w:tblGrid>
        <w:gridCol w:w="7984"/>
        <w:gridCol w:w="803"/>
      </w:tblGrid>
      <w:tr w:rsidR="007F43FB" w:rsidRPr="00D25F0A" w14:paraId="0AC1C488" w14:textId="77777777" w:rsidTr="00605635">
        <w:tc>
          <w:tcPr>
            <w:tcW w:w="8188" w:type="dxa"/>
            <w:shd w:val="clear" w:color="auto" w:fill="auto"/>
            <w:vAlign w:val="center"/>
          </w:tcPr>
          <w:p w14:paraId="03D3DEFC" w14:textId="77777777" w:rsidR="007F43FB" w:rsidRPr="00D25F0A" w:rsidRDefault="00084001" w:rsidP="00605635">
            <w:pPr>
              <w:pStyle w:val="CETEquation"/>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i</m:t>
                    </m:r>
                    <m:r>
                      <m:rPr>
                        <m:sty m:val="p"/>
                      </m:rPr>
                      <w:rPr>
                        <w:rFonts w:ascii="Cambria Math" w:hAnsi="Cambria Math"/>
                      </w:rPr>
                      <m:t xml:space="preserve">, </m:t>
                    </m:r>
                    <m:r>
                      <w:rPr>
                        <w:rFonts w:ascii="Cambria Math" w:hAnsi="Cambria Math"/>
                      </w:rPr>
                      <m:t>out</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m:t>
                        </m:r>
                        <m:r>
                          <w:rPr>
                            <w:rFonts w:ascii="Cambria Math" w:hAnsi="Cambria Math"/>
                          </w:rPr>
                          <m:t>out</m:t>
                        </m:r>
                      </m:sub>
                    </m:sSub>
                  </m:num>
                  <m:den>
                    <m:r>
                      <m:rPr>
                        <m:sty m:val="p"/>
                      </m:rPr>
                      <w:rPr>
                        <w:rFonts w:ascii="Cambria Math" w:hAnsi="Cambria Math"/>
                      </w:rPr>
                      <m:t>100</m:t>
                    </m:r>
                  </m:den>
                </m:f>
                <m:sSub>
                  <m:sSubPr>
                    <m:ctrlPr>
                      <w:rPr>
                        <w:rFonts w:ascii="Cambria Math" w:hAnsi="Cambria Math"/>
                      </w:rPr>
                    </m:ctrlPr>
                  </m:sSubPr>
                  <m:e>
                    <m:r>
                      <w:rPr>
                        <w:rFonts w:ascii="Cambria Math" w:hAnsi="Cambria Math"/>
                      </w:rPr>
                      <m:t>F</m:t>
                    </m:r>
                  </m:e>
                  <m:sub>
                    <m:r>
                      <w:rPr>
                        <w:rFonts w:ascii="Cambria Math" w:hAnsi="Cambria Math"/>
                      </w:rPr>
                      <m:t>tot</m:t>
                    </m:r>
                    <m:r>
                      <m:rPr>
                        <m:sty m:val="p"/>
                      </m:rPr>
                      <w:rPr>
                        <w:rFonts w:ascii="Cambria Math" w:hAnsi="Cambria Math"/>
                      </w:rPr>
                      <m:t>,</m:t>
                    </m:r>
                    <m:r>
                      <w:rPr>
                        <w:rFonts w:ascii="Cambria Math" w:hAnsi="Cambria Math"/>
                      </w:rPr>
                      <m:t>out</m:t>
                    </m:r>
                  </m:sub>
                </m:sSub>
                <m:r>
                  <m:rPr>
                    <m:sty m:val="p"/>
                  </m:rPr>
                  <w:rPr>
                    <w:rFonts w:ascii="Cambria Math" w:hAnsi="Cambria Math"/>
                  </w:rPr>
                  <m:t xml:space="preserve">     ;     </m:t>
                </m:r>
                <m:r>
                  <w:rPr>
                    <w:rFonts w:ascii="Cambria Math" w:hAnsi="Cambria Math"/>
                  </w:rPr>
                  <m:t>i</m:t>
                </m:r>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H</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r>
                  <w:rPr>
                    <w:rFonts w:ascii="Cambria Math" w:hAnsi="Cambria Math"/>
                  </w:rPr>
                  <m:t>CO</m:t>
                </m:r>
                <m:r>
                  <m:rPr>
                    <m:sty m:val="p"/>
                  </m:rPr>
                  <w:rPr>
                    <w:rFonts w:ascii="Cambria Math" w:hAnsi="Cambria Math"/>
                  </w:rPr>
                  <m:t xml:space="preserve">, </m:t>
                </m:r>
                <m:r>
                  <w:rPr>
                    <w:rFonts w:ascii="Cambria Math" w:hAnsi="Cambria Math"/>
                  </w:rPr>
                  <m:t>C</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oMath>
            </m:oMathPara>
          </w:p>
        </w:tc>
        <w:tc>
          <w:tcPr>
            <w:tcW w:w="815" w:type="dxa"/>
            <w:shd w:val="clear" w:color="auto" w:fill="auto"/>
            <w:vAlign w:val="center"/>
          </w:tcPr>
          <w:p w14:paraId="721E2D6E" w14:textId="77777777" w:rsidR="007F43FB" w:rsidRPr="00D25F0A" w:rsidRDefault="007F43FB" w:rsidP="00605635">
            <w:pPr>
              <w:pStyle w:val="CETEquation"/>
              <w:jc w:val="right"/>
            </w:pPr>
            <w:r w:rsidRPr="00D25F0A">
              <w:t>(1)</w:t>
            </w:r>
          </w:p>
        </w:tc>
      </w:tr>
    </w:tbl>
    <w:p w14:paraId="469D5AB7" w14:textId="77777777" w:rsidR="007F43FB" w:rsidRPr="00D25F0A" w:rsidRDefault="007F43FB" w:rsidP="007F43FB">
      <w:pPr>
        <w:pStyle w:val="CETBodytext"/>
      </w:pPr>
    </w:p>
    <w:tbl>
      <w:tblPr>
        <w:tblW w:w="5000" w:type="pct"/>
        <w:tblLook w:val="04A0" w:firstRow="1" w:lastRow="0" w:firstColumn="1" w:lastColumn="0" w:noHBand="0" w:noVBand="1"/>
      </w:tblPr>
      <w:tblGrid>
        <w:gridCol w:w="7985"/>
        <w:gridCol w:w="802"/>
      </w:tblGrid>
      <w:tr w:rsidR="007F43FB" w:rsidRPr="00D25F0A" w14:paraId="5368C846" w14:textId="77777777" w:rsidTr="00605635">
        <w:tc>
          <w:tcPr>
            <w:tcW w:w="8188" w:type="dxa"/>
            <w:shd w:val="clear" w:color="auto" w:fill="auto"/>
            <w:vAlign w:val="center"/>
          </w:tcPr>
          <w:p w14:paraId="1DADF8FF" w14:textId="77777777" w:rsidR="007F43FB" w:rsidRPr="00D25F0A" w:rsidRDefault="00084001" w:rsidP="00605635">
            <w:pPr>
              <w:pStyle w:val="CETEquation"/>
            </w:pPr>
            <m:oMathPara>
              <m:oMathParaPr>
                <m:jc m:val="left"/>
              </m:oMathParaPr>
              <m:oMath>
                <m:sSub>
                  <m:sSubPr>
                    <m:ctrlPr>
                      <w:rPr>
                        <w:rFonts w:ascii="Cambria Math" w:hAnsi="Cambria Math"/>
                      </w:rPr>
                    </m:ctrlPr>
                  </m:sSubPr>
                  <m:e>
                    <m:r>
                      <w:rPr>
                        <w:rFonts w:ascii="Cambria Math" w:hAnsi="Cambria Math"/>
                      </w:rPr>
                      <m:t>Y</m:t>
                    </m:r>
                  </m:e>
                  <m:sub>
                    <m:r>
                      <w:rPr>
                        <w:rFonts w:ascii="Cambria Math" w:hAnsi="Cambria Math"/>
                      </w:rPr>
                      <m:t>i</m:t>
                    </m:r>
                    <m:r>
                      <m:rPr>
                        <m:sty m:val="p"/>
                      </m:rPr>
                      <w:rPr>
                        <w:rFonts w:ascii="Cambria Math" w:hAnsi="Cambria Math"/>
                      </w:rPr>
                      <m:t xml:space="preserve">, </m:t>
                    </m:r>
                    <m:r>
                      <w:rPr>
                        <w:rFonts w:ascii="Cambria Math" w:hAnsi="Cambria Math"/>
                      </w:rPr>
                      <m:t>out</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i</m:t>
                        </m:r>
                        <m:r>
                          <m:rPr>
                            <m:sty m:val="p"/>
                          </m:rPr>
                          <w:rPr>
                            <w:rFonts w:ascii="Cambria Math" w:hAnsi="Cambria Math"/>
                          </w:rPr>
                          <m:t>,</m:t>
                        </m:r>
                        <m:r>
                          <w:rPr>
                            <w:rFonts w:ascii="Cambria Math" w:hAnsi="Cambria Math"/>
                          </w:rPr>
                          <m:t>out</m:t>
                        </m:r>
                      </m:sub>
                    </m:sSub>
                  </m:num>
                  <m:den>
                    <m:nary>
                      <m:naryPr>
                        <m:chr m:val="∑"/>
                        <m:limLoc m:val="undOvr"/>
                        <m:supHide m:val="1"/>
                        <m:ctrlPr>
                          <w:rPr>
                            <w:rFonts w:ascii="Cambria Math" w:hAnsi="Cambria Math"/>
                          </w:rPr>
                        </m:ctrlPr>
                      </m:naryPr>
                      <m:sub>
                        <m:r>
                          <w:rPr>
                            <w:rFonts w:ascii="Cambria Math" w:hAnsi="Cambria Math"/>
                          </w:rPr>
                          <m:t>j</m:t>
                        </m:r>
                      </m:sub>
                      <m:sup/>
                      <m:e>
                        <m:sSub>
                          <m:sSubPr>
                            <m:ctrlPr>
                              <w:rPr>
                                <w:rFonts w:ascii="Cambria Math" w:hAnsi="Cambria Math"/>
                              </w:rPr>
                            </m:ctrlPr>
                          </m:sSubPr>
                          <m:e>
                            <m:r>
                              <w:rPr>
                                <w:rFonts w:ascii="Cambria Math" w:hAnsi="Cambria Math"/>
                              </w:rPr>
                              <m:t>F</m:t>
                            </m:r>
                          </m:e>
                          <m:sub>
                            <m:r>
                              <w:rPr>
                                <w:rFonts w:ascii="Cambria Math" w:hAnsi="Cambria Math"/>
                              </w:rPr>
                              <m:t>j</m:t>
                            </m:r>
                            <m:r>
                              <m:rPr>
                                <m:sty m:val="p"/>
                              </m:rPr>
                              <w:rPr>
                                <w:rFonts w:ascii="Cambria Math" w:hAnsi="Cambria Math"/>
                              </w:rPr>
                              <m:t>,</m:t>
                            </m:r>
                            <m:r>
                              <w:rPr>
                                <w:rFonts w:ascii="Cambria Math" w:hAnsi="Cambria Math"/>
                              </w:rPr>
                              <m:t>out</m:t>
                            </m:r>
                          </m:sub>
                        </m:sSub>
                      </m:e>
                    </m:nary>
                  </m:den>
                </m:f>
                <m:r>
                  <m:rPr>
                    <m:sty m:val="p"/>
                  </m:rPr>
                  <w:rPr>
                    <w:rFonts w:ascii="Cambria Math" w:hAnsi="Cambria Math"/>
                  </w:rPr>
                  <m:t xml:space="preserve">100     ;     </m:t>
                </m:r>
                <m:r>
                  <w:rPr>
                    <w:rFonts w:ascii="Cambria Math" w:hAnsi="Cambria Math"/>
                  </w:rPr>
                  <m:t>i</m:t>
                </m:r>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r>
                  <w:rPr>
                    <w:rFonts w:ascii="Cambria Math" w:hAnsi="Cambria Math"/>
                  </w:rPr>
                  <m:t>j</m:t>
                </m:r>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H</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r>
                  <w:rPr>
                    <w:rFonts w:ascii="Cambria Math" w:hAnsi="Cambria Math"/>
                  </w:rPr>
                  <m:t>CO</m:t>
                </m:r>
                <m:r>
                  <m:rPr>
                    <m:sty m:val="p"/>
                  </m:rPr>
                  <w:rPr>
                    <w:rFonts w:ascii="Cambria Math" w:hAnsi="Cambria Math"/>
                  </w:rPr>
                  <m:t xml:space="preserve">, </m:t>
                </m:r>
                <m:r>
                  <w:rPr>
                    <w:rFonts w:ascii="Cambria Math" w:hAnsi="Cambria Math"/>
                  </w:rPr>
                  <m:t>C</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oMath>
            </m:oMathPara>
          </w:p>
        </w:tc>
        <w:tc>
          <w:tcPr>
            <w:tcW w:w="815" w:type="dxa"/>
            <w:shd w:val="clear" w:color="auto" w:fill="auto"/>
            <w:vAlign w:val="center"/>
          </w:tcPr>
          <w:p w14:paraId="3636124C" w14:textId="77777777" w:rsidR="007F43FB" w:rsidRPr="00D25F0A" w:rsidRDefault="007F43FB" w:rsidP="00605635">
            <w:pPr>
              <w:pStyle w:val="CETEquation"/>
              <w:jc w:val="right"/>
            </w:pPr>
            <w:r w:rsidRPr="00D25F0A">
              <w:t>(2)</w:t>
            </w:r>
          </w:p>
        </w:tc>
      </w:tr>
    </w:tbl>
    <w:p w14:paraId="75D7F706" w14:textId="77777777" w:rsidR="007F43FB" w:rsidRPr="00D25F0A" w:rsidRDefault="007F43FB" w:rsidP="007F43FB">
      <w:pPr>
        <w:pStyle w:val="CETBodytext"/>
      </w:pPr>
    </w:p>
    <w:p w14:paraId="792C99F6" w14:textId="77777777" w:rsidR="007F43FB" w:rsidRPr="00D25F0A" w:rsidRDefault="007F43FB" w:rsidP="007F43FB">
      <w:pPr>
        <w:pStyle w:val="CETBodytext"/>
      </w:pPr>
      <w:r w:rsidRPr="00D25F0A">
        <w:t>From the knowledge of gas carbon species flowrate, the tar conversion was finally obtained using Eq. (3):</w:t>
      </w:r>
    </w:p>
    <w:p w14:paraId="3F1B6B14" w14:textId="77777777" w:rsidR="007F43FB" w:rsidRPr="00D25F0A" w:rsidRDefault="007F43FB" w:rsidP="007F43FB">
      <w:pPr>
        <w:pStyle w:val="CETBodytext"/>
      </w:pPr>
    </w:p>
    <w:tbl>
      <w:tblPr>
        <w:tblW w:w="5000" w:type="pct"/>
        <w:tblLook w:val="04A0" w:firstRow="1" w:lastRow="0" w:firstColumn="1" w:lastColumn="0" w:noHBand="0" w:noVBand="1"/>
      </w:tblPr>
      <w:tblGrid>
        <w:gridCol w:w="7985"/>
        <w:gridCol w:w="802"/>
      </w:tblGrid>
      <w:tr w:rsidR="007F43FB" w:rsidRPr="00D25F0A" w14:paraId="6E059E10" w14:textId="77777777" w:rsidTr="00605635">
        <w:tc>
          <w:tcPr>
            <w:tcW w:w="8188" w:type="dxa"/>
            <w:shd w:val="clear" w:color="auto" w:fill="auto"/>
            <w:vAlign w:val="center"/>
          </w:tcPr>
          <w:p w14:paraId="19E7A9B9" w14:textId="77777777" w:rsidR="007F43FB" w:rsidRPr="00D25F0A" w:rsidRDefault="00084001" w:rsidP="00605635">
            <w:pPr>
              <w:pStyle w:val="CETEquation"/>
            </w:pPr>
            <m:oMathPara>
              <m:oMathParaPr>
                <m:jc m:val="left"/>
              </m:oMathParaPr>
              <m:oMath>
                <m:sSub>
                  <m:sSubPr>
                    <m:ctrlPr>
                      <w:rPr>
                        <w:rFonts w:ascii="Cambria Math" w:hAnsi="Cambria Math"/>
                        <w:i/>
                      </w:rPr>
                    </m:ctrlPr>
                  </m:sSubPr>
                  <m:e>
                    <m:r>
                      <w:rPr>
                        <w:rFonts w:ascii="Cambria Math" w:hAnsi="Cambria Math"/>
                      </w:rPr>
                      <m:t>χ</m:t>
                    </m:r>
                  </m:e>
                  <m:sub>
                    <m:sSub>
                      <m:sSubPr>
                        <m:ctrlPr>
                          <w:rPr>
                            <w:rFonts w:ascii="Cambria Math" w:hAnsi="Cambria Math"/>
                            <w:i/>
                          </w:rPr>
                        </m:ctrlPr>
                      </m:sSubPr>
                      <m:e>
                        <m:r>
                          <w:rPr>
                            <w:rFonts w:ascii="Cambria Math" w:hAnsi="Cambria Math"/>
                          </w:rPr>
                          <m:t>C</m:t>
                        </m:r>
                      </m:e>
                      <m:sub>
                        <m:r>
                          <w:rPr>
                            <w:rFonts w:ascii="Cambria Math" w:hAnsi="Cambria Math"/>
                          </w:rPr>
                          <m:t>tar</m:t>
                        </m:r>
                      </m:sub>
                    </m:sSub>
                    <m:r>
                      <w:rPr>
                        <w:rFonts w:ascii="Cambria Math" w:hAnsi="Cambria Math"/>
                      </w:rPr>
                      <m:t>,out</m:t>
                    </m:r>
                  </m:sub>
                </m:sSub>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τ</m:t>
                        </m:r>
                      </m:sub>
                      <m:sup/>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CO,out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,out</m:t>
                                </m:r>
                              </m:sub>
                            </m:sSub>
                          </m:e>
                        </m:d>
                        <m:r>
                          <w:rPr>
                            <w:rFonts w:ascii="Cambria Math" w:hAnsi="Cambria Math"/>
                          </w:rPr>
                          <m:t xml:space="preserve"> dt</m:t>
                        </m:r>
                      </m:e>
                    </m:nary>
                  </m:num>
                  <m:den>
                    <m:nary>
                      <m:naryPr>
                        <m:limLoc m:val="subSup"/>
                        <m:ctrlPr>
                          <w:rPr>
                            <w:rFonts w:ascii="Cambria Math" w:hAnsi="Cambria Math"/>
                            <w:i/>
                          </w:rPr>
                        </m:ctrlPr>
                      </m:naryPr>
                      <m:sub>
                        <m:r>
                          <w:rPr>
                            <w:rFonts w:ascii="Cambria Math" w:hAnsi="Cambria Math"/>
                          </w:rPr>
                          <m:t>τ</m:t>
                        </m:r>
                      </m:sub>
                      <m:sup/>
                      <m:e>
                        <m:sSub>
                          <m:sSubPr>
                            <m:ctrlPr>
                              <w:rPr>
                                <w:rFonts w:ascii="Cambria Math" w:hAnsi="Cambria Math"/>
                                <w:i/>
                              </w:rPr>
                            </m:ctrlPr>
                          </m:sSubPr>
                          <m:e>
                            <m:r>
                              <w:rPr>
                                <w:rFonts w:ascii="Cambria Math" w:hAnsi="Cambria Math"/>
                              </w:rPr>
                              <m:t>F</m:t>
                            </m:r>
                          </m:e>
                          <m:sub>
                            <m:r>
                              <w:rPr>
                                <w:rFonts w:ascii="Cambria Math" w:hAnsi="Cambria Math"/>
                              </w:rPr>
                              <m:t>Ctar,in</m:t>
                            </m:r>
                          </m:sub>
                        </m:sSub>
                        <m:r>
                          <w:rPr>
                            <w:rFonts w:ascii="Cambria Math" w:hAnsi="Cambria Math"/>
                          </w:rPr>
                          <m:t xml:space="preserve"> dt</m:t>
                        </m:r>
                      </m:e>
                    </m:nary>
                  </m:den>
                </m:f>
              </m:oMath>
            </m:oMathPara>
          </w:p>
        </w:tc>
        <w:tc>
          <w:tcPr>
            <w:tcW w:w="815" w:type="dxa"/>
            <w:shd w:val="clear" w:color="auto" w:fill="auto"/>
            <w:vAlign w:val="center"/>
          </w:tcPr>
          <w:p w14:paraId="6766CE4F" w14:textId="77777777" w:rsidR="007F43FB" w:rsidRPr="00D25F0A" w:rsidRDefault="007F43FB" w:rsidP="00605635">
            <w:pPr>
              <w:pStyle w:val="CETEquation"/>
              <w:jc w:val="right"/>
            </w:pPr>
            <w:r w:rsidRPr="00D25F0A">
              <w:t>(3)</w:t>
            </w:r>
          </w:p>
        </w:tc>
      </w:tr>
    </w:tbl>
    <w:p w14:paraId="64CBAAF2" w14:textId="77777777" w:rsidR="005C1DF9" w:rsidRPr="00D25F0A" w:rsidRDefault="005C1DF9" w:rsidP="005C1DF9">
      <w:pPr>
        <w:pStyle w:val="CETBodytext"/>
        <w:rPr>
          <w:lang w:val="en-GB"/>
        </w:rPr>
      </w:pPr>
    </w:p>
    <w:p w14:paraId="7469DFFA" w14:textId="54B57BC9" w:rsidR="005C1DF9" w:rsidRPr="00D25F0A" w:rsidRDefault="005C1DF9" w:rsidP="005C1DF9">
      <w:pPr>
        <w:pStyle w:val="CETBodytext"/>
      </w:pPr>
      <w:r w:rsidRPr="00D25F0A">
        <w:t>Where</w:t>
      </w:r>
      <w:r w:rsidR="00A362EC" w:rsidRPr="00D25F0A">
        <w:t xml:space="preserve"> F</w:t>
      </w:r>
      <w:r w:rsidR="00A362EC" w:rsidRPr="00D25F0A">
        <w:rPr>
          <w:vertAlign w:val="subscript"/>
        </w:rPr>
        <w:t xml:space="preserve">Ctar,in </w:t>
      </w:r>
      <w:r w:rsidRPr="00D25F0A">
        <w:t>is the molar flowrate of the inlet carbons entering with tar.</w:t>
      </w:r>
      <w:r w:rsidR="00A362EC" w:rsidRPr="00D25F0A">
        <w:t xml:space="preserve"> </w:t>
      </w:r>
    </w:p>
    <w:p w14:paraId="074E3AC8" w14:textId="7911A5FB" w:rsidR="00A362EC" w:rsidRPr="00D25F0A" w:rsidRDefault="00BD22B1" w:rsidP="00A362EC">
      <w:pPr>
        <w:pStyle w:val="CETBodytext"/>
      </w:pPr>
      <w:r w:rsidRPr="00D25F0A">
        <w:t>T</w:t>
      </w:r>
      <w:r w:rsidR="00A362EC" w:rsidRPr="00D25F0A">
        <w:t>he catalytic pellets were pre-reduced</w:t>
      </w:r>
      <w:r w:rsidRPr="00D25F0A">
        <w:t xml:space="preserve"> before any experiment</w:t>
      </w:r>
      <w:r w:rsidR="00A362EC" w:rsidRPr="00D25F0A">
        <w:t>, in order to obtain Ni</w:t>
      </w:r>
      <w:r w:rsidR="00A362EC" w:rsidRPr="00D25F0A">
        <w:rPr>
          <w:vertAlign w:val="superscript"/>
        </w:rPr>
        <w:t>0</w:t>
      </w:r>
      <w:r w:rsidR="00A362EC" w:rsidRPr="00D25F0A">
        <w:t xml:space="preserve">, </w:t>
      </w:r>
      <w:r w:rsidRPr="00D25F0A">
        <w:t xml:space="preserve">that is </w:t>
      </w:r>
      <w:r w:rsidR="00A362EC" w:rsidRPr="00D25F0A">
        <w:t xml:space="preserve">the actual catalytic active phase for </w:t>
      </w:r>
      <w:r w:rsidR="00F84C90" w:rsidRPr="00D25F0A">
        <w:t>reforming</w:t>
      </w:r>
      <w:r w:rsidRPr="00D25F0A">
        <w:rPr>
          <w:lang w:val="en-GB"/>
        </w:rPr>
        <w:t>.</w:t>
      </w:r>
      <w:r w:rsidR="00A362EC" w:rsidRPr="00D25F0A">
        <w:t xml:space="preserve"> </w:t>
      </w:r>
      <w:r w:rsidRPr="00D25F0A">
        <w:t>A</w:t>
      </w:r>
      <w:r w:rsidR="00A362EC" w:rsidRPr="00D25F0A">
        <w:t xml:space="preserve"> heating ramp at 10</w:t>
      </w:r>
      <w:r w:rsidR="003957A7" w:rsidRPr="00D25F0A">
        <w:t xml:space="preserve"> </w:t>
      </w:r>
      <w:r w:rsidR="00A362EC" w:rsidRPr="00D25F0A">
        <w:t>°C min</w:t>
      </w:r>
      <w:r w:rsidR="00A362EC" w:rsidRPr="00D25F0A">
        <w:rPr>
          <w:vertAlign w:val="superscript"/>
        </w:rPr>
        <w:t>-1</w:t>
      </w:r>
      <w:r w:rsidR="00A362EC" w:rsidRPr="00D25F0A">
        <w:t xml:space="preserve"> was </w:t>
      </w:r>
      <w:r w:rsidRPr="00D25F0A">
        <w:t xml:space="preserve">set </w:t>
      </w:r>
      <w:r w:rsidR="00A362EC" w:rsidRPr="00D25F0A">
        <w:t>from room temperature up to 900</w:t>
      </w:r>
      <w:r w:rsidR="00A70412" w:rsidRPr="00D25F0A">
        <w:t xml:space="preserve"> </w:t>
      </w:r>
      <w:r w:rsidR="00A362EC" w:rsidRPr="00D25F0A">
        <w:t>°C, followed by a 30 min dwell at 900</w:t>
      </w:r>
      <w:r w:rsidR="00A70412" w:rsidRPr="00D25F0A">
        <w:t xml:space="preserve"> </w:t>
      </w:r>
      <w:r w:rsidR="00A362EC" w:rsidRPr="00D25F0A">
        <w:t>°C</w:t>
      </w:r>
      <w:r w:rsidRPr="00D25F0A">
        <w:t>;</w:t>
      </w:r>
      <w:r w:rsidR="00A362EC" w:rsidRPr="00D25F0A">
        <w:t>150 Nml min</w:t>
      </w:r>
      <w:r w:rsidR="00A362EC" w:rsidRPr="00D25F0A">
        <w:rPr>
          <w:vertAlign w:val="superscript"/>
        </w:rPr>
        <w:t>-1</w:t>
      </w:r>
      <w:r w:rsidR="00A362EC" w:rsidRPr="00D25F0A">
        <w:t xml:space="preserve"> of a</w:t>
      </w:r>
      <w:r w:rsidRPr="00D25F0A">
        <w:t xml:space="preserve"> mixture of H</w:t>
      </w:r>
      <w:r w:rsidRPr="00D25F0A">
        <w:rPr>
          <w:vertAlign w:val="subscript"/>
        </w:rPr>
        <w:t>2</w:t>
      </w:r>
      <w:r w:rsidRPr="00D25F0A">
        <w:t xml:space="preserve"> and N</w:t>
      </w:r>
      <w:r w:rsidRPr="00D25F0A">
        <w:rPr>
          <w:vertAlign w:val="subscript"/>
        </w:rPr>
        <w:t>2</w:t>
      </w:r>
      <w:r w:rsidR="00527B2B" w:rsidRPr="00D25F0A">
        <w:t xml:space="preserve"> </w:t>
      </w:r>
      <w:r w:rsidR="00A362EC" w:rsidRPr="00D25F0A">
        <w:t>(10 vol% of H</w:t>
      </w:r>
      <w:r w:rsidR="00A362EC" w:rsidRPr="00D25F0A">
        <w:rPr>
          <w:vertAlign w:val="subscript"/>
        </w:rPr>
        <w:t>2</w:t>
      </w:r>
      <w:r w:rsidR="00A362EC" w:rsidRPr="00D25F0A">
        <w:t xml:space="preserve"> in N</w:t>
      </w:r>
      <w:r w:rsidR="00A362EC" w:rsidRPr="00D25F0A">
        <w:rPr>
          <w:vertAlign w:val="subscript"/>
        </w:rPr>
        <w:t>2</w:t>
      </w:r>
      <w:r w:rsidR="00A362EC" w:rsidRPr="00D25F0A">
        <w:t xml:space="preserve">) </w:t>
      </w:r>
      <w:r w:rsidRPr="00D25F0A">
        <w:t xml:space="preserve">was used as reducing stream </w:t>
      </w:r>
      <w:r w:rsidR="00A362EC" w:rsidRPr="00D25F0A">
        <w:t xml:space="preserve">through the packed-bed. </w:t>
      </w:r>
    </w:p>
    <w:p w14:paraId="515AB977" w14:textId="582B3111" w:rsidR="00A362EC" w:rsidRDefault="00A362EC" w:rsidP="005C1DF9">
      <w:pPr>
        <w:pStyle w:val="CETBodytext"/>
      </w:pPr>
      <w:r w:rsidRPr="00D25F0A">
        <w:t xml:space="preserve">Each </w:t>
      </w:r>
      <w:r w:rsidR="00BD22B1" w:rsidRPr="00D25F0A">
        <w:t>experiment</w:t>
      </w:r>
      <w:r w:rsidRPr="00D25F0A">
        <w:t xml:space="preserve"> lasted long enough to observe the stabilization of products formation, in</w:t>
      </w:r>
      <w:r w:rsidR="00BD22B1" w:rsidRPr="00D25F0A">
        <w:t xml:space="preserve"> order</w:t>
      </w:r>
      <w:r w:rsidRPr="00D25F0A">
        <w:t xml:space="preserve"> to </w:t>
      </w:r>
      <w:r w:rsidR="00BD22B1" w:rsidRPr="00D25F0A">
        <w:t>have</w:t>
      </w:r>
      <w:r w:rsidRPr="00D25F0A">
        <w:t xml:space="preserve"> an adequate amount of data in steady-state conditions and be sure to observe the </w:t>
      </w:r>
      <w:r w:rsidR="00E45787" w:rsidRPr="00D25F0A">
        <w:t>sulfur</w:t>
      </w:r>
      <w:r w:rsidRPr="00D25F0A">
        <w:t xml:space="preserve"> deactivation. </w:t>
      </w:r>
      <w:r w:rsidR="009D3B38" w:rsidRPr="00D25F0A">
        <w:t xml:space="preserve">Test </w:t>
      </w:r>
      <w:r w:rsidRPr="00D25F0A">
        <w:t xml:space="preserve">durations were comparable to those of </w:t>
      </w:r>
      <w:r w:rsidR="009D3B38" w:rsidRPr="00D25F0A">
        <w:t xml:space="preserve">the </w:t>
      </w:r>
      <w:r w:rsidRPr="00D25F0A">
        <w:t xml:space="preserve">gasification tests with </w:t>
      </w:r>
      <w:r w:rsidR="009D3B38" w:rsidRPr="00D25F0A">
        <w:t xml:space="preserve">the </w:t>
      </w:r>
      <w:r w:rsidRPr="00D25F0A">
        <w:t xml:space="preserve">catalytic </w:t>
      </w:r>
      <w:r w:rsidR="009D3B38" w:rsidRPr="00D25F0A">
        <w:t xml:space="preserve">filter </w:t>
      </w:r>
      <w:r w:rsidRPr="00D25F0A">
        <w:t xml:space="preserve">candle carried out by Savuto et al. </w:t>
      </w:r>
      <w:r w:rsidR="00576D43" w:rsidRPr="00D25F0A">
        <w:fldChar w:fldCharType="begin" w:fldLock="1"/>
      </w:r>
      <w:r w:rsidR="00AD6611" w:rsidRPr="00D25F0A">
        <w:instrText>ADDIN CSL_CITATION {"citationItems":[{"id":"ITEM-1","itemData":{"DOI":"10.1016/j.fuproc.2019.03.018","ISSN":"03783820","abstract":"Gasification is a very advantageous conversion process to obtain a fuel gas from organic wastes, however it also generates by-products, such as particulate and tar. These should be removed from the syngas for its smooth utilization in power generation devices and/or biofuels production. In this work, biomass gasification tests were carried out in a bench-scale fluidized bed gasifier with a ceramic filter candle filled with commercial Ni-catalyst pellets integrated in its freeboard, for the abatement of particulate and tar. The activity of catalyst was studied at different operating conditions (temperature and catalyst bed layout) and the results were analysed in terms of residual tar content and composition of the product gas. The catalyst resulted very effective, particularly in tests at higher temperature and with the partially filled candle configuration. Tars were reduced to 250 mg/Nm3 in the best case. The Ni-catalyst did not show deactivation during tests lasting 4 h.","author":[{"dropping-particle":"","family":"Savuto","given":"Elisa","non-dropping-particle":"","parse-names":false,"suffix":""},{"dropping-particle":"","family":"Carlo","given":"Andrea","non-dropping-particle":"Di","parse-names":false,"suffix":""},{"dropping-particle":"","family":"Steele","given":"Andrew","non-dropping-particle":"","parse-names":false,"suffix":""},{"dropping-particle":"","family":"Heidenreich","given":"Steffen","non-dropping-particle":"","parse-names":false,"suffix":""},{"dropping-particle":"","family":"Gallucci","given":"Katia","non-dropping-particle":"","parse-names":false,"suffix":""},{"dropping-particle":"","family":"Rapagnà","given":"Sergio","non-dropping-particle":"","parse-names":false,"suffix":""}],"container-title":"Fuel Processing Technology","id":"ITEM-1","issue":"March","issued":{"date-parts":[["2019"]]},"page":"44-53","publisher":"Elsevier","title":"Syngas conditioning by ceramic filter candles filled with catalyst pellets and placed inside the freeboard of a fluidized bed steam gasifier","type":"article-journal","volume":"191"},"uris":["http://www.mendeley.com/documents/?uuid=864dc4a1-6567-4113-aa88-6603473d5f07"]}],"mendeley":{"formattedCitation":"(Savuto et al., 2019)","manualFormatting":"(2019)","plainTextFormattedCitation":"(Savuto et al., 2019)","previouslyFormattedCitation":"(Savuto et al., 2019)"},"properties":{"noteIndex":0},"schema":"https://github.com/citation-style-language/schema/raw/master/csl-citation.json"}</w:instrText>
      </w:r>
      <w:r w:rsidR="00576D43" w:rsidRPr="00D25F0A">
        <w:fldChar w:fldCharType="separate"/>
      </w:r>
      <w:r w:rsidR="0044023D" w:rsidRPr="00D25F0A">
        <w:rPr>
          <w:noProof/>
        </w:rPr>
        <w:t>(2019)</w:t>
      </w:r>
      <w:r w:rsidR="00576D43" w:rsidRPr="00D25F0A">
        <w:fldChar w:fldCharType="end"/>
      </w:r>
      <w:r w:rsidR="005C132A" w:rsidRPr="00D25F0A">
        <w:t>.</w:t>
      </w:r>
    </w:p>
    <w:p w14:paraId="25585A47" w14:textId="7F24643E" w:rsidR="00560755" w:rsidRPr="00A362EC" w:rsidRDefault="00A362EC" w:rsidP="00A362EC">
      <w:pPr>
        <w:pStyle w:val="CETHeading1"/>
        <w:tabs>
          <w:tab w:val="clear" w:pos="360"/>
          <w:tab w:val="right" w:pos="7100"/>
        </w:tabs>
        <w:jc w:val="both"/>
        <w:rPr>
          <w:lang w:val="en-GB"/>
        </w:rPr>
      </w:pPr>
      <w:r>
        <w:rPr>
          <w:lang w:val="en-GB"/>
        </w:rPr>
        <w:t xml:space="preserve">Results and </w:t>
      </w:r>
      <w:r w:rsidR="00643533">
        <w:rPr>
          <w:lang w:val="en-GB"/>
        </w:rPr>
        <w:t>D</w:t>
      </w:r>
      <w:r>
        <w:rPr>
          <w:lang w:val="en-GB"/>
        </w:rPr>
        <w:t>iscussion</w:t>
      </w:r>
    </w:p>
    <w:p w14:paraId="13167B1E" w14:textId="69D1A03D" w:rsidR="0050354C" w:rsidRPr="00A47583" w:rsidRDefault="00A37873" w:rsidP="00A47583">
      <w:pPr>
        <w:pStyle w:val="CETBodytext"/>
      </w:pPr>
      <w:bookmarkStart w:id="2" w:name="_Hlk92476957"/>
      <w:r w:rsidRPr="00A47583">
        <w:t>The following table summarizes the operating conditions and the conversions obtained in the tests of tar steam reforming performed with the bench scale packed bed rig.</w:t>
      </w:r>
      <w:r w:rsidR="00DA2E01" w:rsidRPr="00A47583">
        <w:t xml:space="preserve"> The tests conditions</w:t>
      </w:r>
      <w:r w:rsidR="00A47583">
        <w:t>, for both catalysts,</w:t>
      </w:r>
      <w:r w:rsidR="00DA2E01" w:rsidRPr="00A47583">
        <w:t xml:space="preserve"> are the same, only the temperatures and the concentration of thiophene change, since the goal is to study how much their variation can affect the tar conversion.</w:t>
      </w:r>
      <w:r w:rsidR="005139F2" w:rsidRPr="00A47583">
        <w:t xml:space="preserve"> </w:t>
      </w:r>
    </w:p>
    <w:bookmarkEnd w:id="2"/>
    <w:p w14:paraId="73AB8591" w14:textId="7D59CDA5" w:rsidR="00057DED" w:rsidRDefault="00057DED" w:rsidP="00057DED">
      <w:pPr>
        <w:pStyle w:val="CETTabletitle"/>
      </w:pPr>
      <w:r>
        <w:t xml:space="preserve">Table </w:t>
      </w:r>
      <w:r>
        <w:fldChar w:fldCharType="begin"/>
      </w:r>
      <w:r>
        <w:instrText xml:space="preserve"> SEQ Table \* ARABIC </w:instrText>
      </w:r>
      <w:r>
        <w:fldChar w:fldCharType="separate"/>
      </w:r>
      <w:r>
        <w:rPr>
          <w:noProof/>
        </w:rPr>
        <w:t>1</w:t>
      </w:r>
      <w:r>
        <w:fldChar w:fldCharType="end"/>
      </w:r>
      <w:r>
        <w:t>: O</w:t>
      </w:r>
      <w:r w:rsidRPr="00A87118">
        <w:t>perating conditions and test results for catalyst A</w:t>
      </w:r>
      <w: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846"/>
        <w:gridCol w:w="824"/>
        <w:gridCol w:w="824"/>
        <w:gridCol w:w="824"/>
        <w:gridCol w:w="824"/>
        <w:gridCol w:w="824"/>
        <w:gridCol w:w="821"/>
      </w:tblGrid>
      <w:tr w:rsidR="00057DED" w:rsidRPr="00B57B36" w14:paraId="328346DB" w14:textId="51561CE9" w:rsidTr="00057DED">
        <w:tc>
          <w:tcPr>
            <w:tcW w:w="2188" w:type="pct"/>
            <w:tcBorders>
              <w:top w:val="single" w:sz="12" w:space="0" w:color="008000"/>
              <w:bottom w:val="single" w:sz="6" w:space="0" w:color="008000"/>
            </w:tcBorders>
            <w:shd w:val="clear" w:color="auto" w:fill="FFFFFF"/>
          </w:tcPr>
          <w:p w14:paraId="3DA5CA50" w14:textId="57DDCD72" w:rsidR="00614DAB" w:rsidRPr="00EE0615" w:rsidRDefault="00614DAB" w:rsidP="00057DED">
            <w:pPr>
              <w:pStyle w:val="CETBodytext"/>
              <w:rPr>
                <w:rFonts w:cs="Arial"/>
                <w:szCs w:val="18"/>
              </w:rPr>
            </w:pPr>
            <w:r w:rsidRPr="00EE0615">
              <w:rPr>
                <w:rFonts w:cs="Arial"/>
                <w:szCs w:val="18"/>
              </w:rPr>
              <w:t>TEST Catalyst A</w:t>
            </w:r>
          </w:p>
        </w:tc>
        <w:tc>
          <w:tcPr>
            <w:tcW w:w="469" w:type="pct"/>
            <w:tcBorders>
              <w:top w:val="single" w:sz="12" w:space="0" w:color="008000"/>
              <w:bottom w:val="single" w:sz="6" w:space="0" w:color="008000"/>
            </w:tcBorders>
            <w:shd w:val="clear" w:color="auto" w:fill="FFFFFF"/>
          </w:tcPr>
          <w:p w14:paraId="1C4F3E4D" w14:textId="18EC2066" w:rsidR="00614DAB" w:rsidRPr="00EE0615" w:rsidRDefault="00614DAB" w:rsidP="00057DED">
            <w:pPr>
              <w:pStyle w:val="CETBodytext"/>
              <w:rPr>
                <w:rFonts w:cs="Arial"/>
                <w:szCs w:val="18"/>
                <w:lang w:val="en-GB"/>
              </w:rPr>
            </w:pPr>
            <w:r w:rsidRPr="00EE0615">
              <w:rPr>
                <w:rFonts w:cs="Arial"/>
                <w:szCs w:val="18"/>
              </w:rPr>
              <w:t>1</w:t>
            </w:r>
          </w:p>
        </w:tc>
        <w:tc>
          <w:tcPr>
            <w:tcW w:w="469" w:type="pct"/>
            <w:tcBorders>
              <w:top w:val="single" w:sz="12" w:space="0" w:color="008000"/>
              <w:bottom w:val="single" w:sz="6" w:space="0" w:color="008000"/>
            </w:tcBorders>
            <w:shd w:val="clear" w:color="auto" w:fill="FFFFFF"/>
          </w:tcPr>
          <w:p w14:paraId="2715BE48" w14:textId="609660A1" w:rsidR="00614DAB" w:rsidRPr="00EE0615" w:rsidRDefault="00614DAB" w:rsidP="00057DED">
            <w:pPr>
              <w:pStyle w:val="CETBodytext"/>
              <w:rPr>
                <w:rFonts w:cs="Arial"/>
                <w:szCs w:val="18"/>
                <w:lang w:val="en-GB"/>
              </w:rPr>
            </w:pPr>
            <w:r w:rsidRPr="00EE0615">
              <w:rPr>
                <w:rFonts w:cs="Arial"/>
                <w:szCs w:val="18"/>
              </w:rPr>
              <w:t>2</w:t>
            </w:r>
          </w:p>
        </w:tc>
        <w:tc>
          <w:tcPr>
            <w:tcW w:w="469" w:type="pct"/>
            <w:tcBorders>
              <w:top w:val="single" w:sz="12" w:space="0" w:color="008000"/>
              <w:bottom w:val="single" w:sz="6" w:space="0" w:color="008000"/>
            </w:tcBorders>
            <w:shd w:val="clear" w:color="auto" w:fill="FFFFFF"/>
          </w:tcPr>
          <w:p w14:paraId="08318D60" w14:textId="0405E4F9" w:rsidR="00614DAB" w:rsidRPr="00EE0615" w:rsidRDefault="00614DAB" w:rsidP="00057DED">
            <w:pPr>
              <w:pStyle w:val="CETBodytext"/>
              <w:rPr>
                <w:rFonts w:cs="Arial"/>
                <w:szCs w:val="18"/>
                <w:lang w:val="en-GB"/>
              </w:rPr>
            </w:pPr>
            <w:r w:rsidRPr="00EE0615">
              <w:rPr>
                <w:rFonts w:cs="Arial"/>
                <w:szCs w:val="18"/>
                <w:lang w:val="en-GB"/>
              </w:rPr>
              <w:t>3</w:t>
            </w:r>
          </w:p>
        </w:tc>
        <w:tc>
          <w:tcPr>
            <w:tcW w:w="469" w:type="pct"/>
            <w:tcBorders>
              <w:top w:val="single" w:sz="12" w:space="0" w:color="008000"/>
              <w:bottom w:val="single" w:sz="6" w:space="0" w:color="008000"/>
            </w:tcBorders>
            <w:shd w:val="clear" w:color="auto" w:fill="FFFFFF"/>
          </w:tcPr>
          <w:p w14:paraId="70095EB5" w14:textId="712DC7D2" w:rsidR="00614DAB" w:rsidRPr="00EE0615" w:rsidRDefault="00614DAB" w:rsidP="00057DED">
            <w:pPr>
              <w:pStyle w:val="CETBodytext"/>
              <w:rPr>
                <w:rFonts w:cs="Arial"/>
                <w:szCs w:val="18"/>
                <w:lang w:val="en-GB"/>
              </w:rPr>
            </w:pPr>
            <w:r w:rsidRPr="00EE0615">
              <w:rPr>
                <w:rFonts w:cs="Arial"/>
                <w:szCs w:val="18"/>
                <w:lang w:val="en-GB"/>
              </w:rPr>
              <w:t>4</w:t>
            </w:r>
          </w:p>
        </w:tc>
        <w:tc>
          <w:tcPr>
            <w:tcW w:w="469" w:type="pct"/>
            <w:tcBorders>
              <w:top w:val="single" w:sz="12" w:space="0" w:color="008000"/>
              <w:bottom w:val="single" w:sz="6" w:space="0" w:color="008000"/>
            </w:tcBorders>
            <w:shd w:val="clear" w:color="auto" w:fill="FFFFFF"/>
          </w:tcPr>
          <w:p w14:paraId="6F386E86" w14:textId="4873B2C3" w:rsidR="00614DAB" w:rsidRPr="00EE0615" w:rsidRDefault="00614DAB" w:rsidP="00057DED">
            <w:pPr>
              <w:pStyle w:val="CETBodytext"/>
              <w:rPr>
                <w:rFonts w:cs="Arial"/>
                <w:szCs w:val="18"/>
                <w:lang w:val="en-GB"/>
              </w:rPr>
            </w:pPr>
            <w:r w:rsidRPr="00EE0615">
              <w:rPr>
                <w:rFonts w:cs="Arial"/>
                <w:szCs w:val="18"/>
                <w:lang w:val="en-GB"/>
              </w:rPr>
              <w:t>5</w:t>
            </w:r>
          </w:p>
        </w:tc>
        <w:tc>
          <w:tcPr>
            <w:tcW w:w="467" w:type="pct"/>
            <w:tcBorders>
              <w:top w:val="single" w:sz="12" w:space="0" w:color="008000"/>
              <w:bottom w:val="single" w:sz="6" w:space="0" w:color="008000"/>
            </w:tcBorders>
            <w:shd w:val="clear" w:color="auto" w:fill="FFFFFF"/>
          </w:tcPr>
          <w:p w14:paraId="6F9FFC52" w14:textId="199DB08B" w:rsidR="00614DAB" w:rsidRPr="00EE0615" w:rsidRDefault="00614DAB" w:rsidP="00057DED">
            <w:pPr>
              <w:pStyle w:val="CETBodytext"/>
              <w:rPr>
                <w:rFonts w:cs="Arial"/>
                <w:szCs w:val="18"/>
                <w:lang w:val="en-GB"/>
              </w:rPr>
            </w:pPr>
            <w:r w:rsidRPr="00EE0615">
              <w:rPr>
                <w:rFonts w:cs="Arial"/>
                <w:szCs w:val="18"/>
                <w:lang w:val="en-GB"/>
              </w:rPr>
              <w:t>6</w:t>
            </w:r>
          </w:p>
        </w:tc>
      </w:tr>
      <w:tr w:rsidR="00614DAB" w:rsidRPr="00B57B36" w14:paraId="6BBCD256" w14:textId="679FC248" w:rsidTr="00057DED">
        <w:tc>
          <w:tcPr>
            <w:tcW w:w="2188" w:type="pct"/>
            <w:shd w:val="clear" w:color="auto" w:fill="FFFFFF"/>
            <w:vAlign w:val="center"/>
          </w:tcPr>
          <w:p w14:paraId="71421832" w14:textId="23C4DFFD" w:rsidR="00614DAB" w:rsidRPr="00EE0615" w:rsidRDefault="00614DAB" w:rsidP="00057DED">
            <w:pPr>
              <w:pStyle w:val="CETBodytext"/>
              <w:rPr>
                <w:rFonts w:cs="Arial"/>
                <w:szCs w:val="18"/>
                <w:lang w:val="en-GB"/>
              </w:rPr>
            </w:pPr>
            <w:r w:rsidRPr="00EE0615">
              <w:rPr>
                <w:rFonts w:cs="Arial"/>
                <w:szCs w:val="18"/>
              </w:rPr>
              <w:t xml:space="preserve">Pressure </w:t>
            </w:r>
            <w:r w:rsidRPr="00EE0615">
              <w:rPr>
                <w:rFonts w:eastAsia="Cambria Math" w:cs="Arial"/>
                <w:szCs w:val="18"/>
              </w:rPr>
              <w:t>P</w:t>
            </w:r>
            <w:r w:rsidRPr="00EE0615">
              <w:rPr>
                <w:rFonts w:cs="Arial"/>
                <w:szCs w:val="18"/>
              </w:rPr>
              <w:t xml:space="preserve"> [atm]</w:t>
            </w:r>
          </w:p>
        </w:tc>
        <w:tc>
          <w:tcPr>
            <w:tcW w:w="469" w:type="pct"/>
            <w:shd w:val="clear" w:color="auto" w:fill="FFFFFF"/>
            <w:vAlign w:val="center"/>
          </w:tcPr>
          <w:p w14:paraId="0FA731CD" w14:textId="52D1BF41" w:rsidR="00614DAB" w:rsidRPr="00EE0615" w:rsidRDefault="00614DAB" w:rsidP="00057DED">
            <w:pPr>
              <w:pStyle w:val="CETBodytext"/>
              <w:rPr>
                <w:rFonts w:cs="Arial"/>
                <w:szCs w:val="18"/>
                <w:lang w:val="en-GB"/>
              </w:rPr>
            </w:pPr>
            <w:r w:rsidRPr="00EE0615">
              <w:rPr>
                <w:rFonts w:cs="Arial"/>
                <w:szCs w:val="18"/>
              </w:rPr>
              <w:t>1</w:t>
            </w:r>
          </w:p>
        </w:tc>
        <w:tc>
          <w:tcPr>
            <w:tcW w:w="469" w:type="pct"/>
            <w:shd w:val="clear" w:color="auto" w:fill="FFFFFF"/>
            <w:vAlign w:val="center"/>
          </w:tcPr>
          <w:p w14:paraId="1C2E2DDD" w14:textId="53A3125B" w:rsidR="00614DAB" w:rsidRPr="00EE0615" w:rsidRDefault="00614DAB" w:rsidP="00057DED">
            <w:pPr>
              <w:pStyle w:val="CETBodytext"/>
              <w:rPr>
                <w:rFonts w:cs="Arial"/>
                <w:szCs w:val="18"/>
                <w:lang w:val="en-GB"/>
              </w:rPr>
            </w:pPr>
            <w:r w:rsidRPr="00EE0615">
              <w:rPr>
                <w:rFonts w:cs="Arial"/>
                <w:szCs w:val="18"/>
              </w:rPr>
              <w:t>1</w:t>
            </w:r>
          </w:p>
        </w:tc>
        <w:tc>
          <w:tcPr>
            <w:tcW w:w="469" w:type="pct"/>
            <w:shd w:val="clear" w:color="auto" w:fill="FFFFFF"/>
            <w:vAlign w:val="center"/>
          </w:tcPr>
          <w:p w14:paraId="32A22717" w14:textId="3203FC8F" w:rsidR="00614DAB" w:rsidRPr="00EE0615" w:rsidRDefault="00614DAB" w:rsidP="00057DED">
            <w:pPr>
              <w:pStyle w:val="CETBodytext"/>
              <w:rPr>
                <w:rFonts w:cs="Arial"/>
                <w:szCs w:val="18"/>
                <w:lang w:val="en-GB"/>
              </w:rPr>
            </w:pPr>
            <w:r w:rsidRPr="00EE0615">
              <w:rPr>
                <w:rFonts w:cs="Arial"/>
                <w:szCs w:val="18"/>
              </w:rPr>
              <w:t>1</w:t>
            </w:r>
          </w:p>
        </w:tc>
        <w:tc>
          <w:tcPr>
            <w:tcW w:w="469" w:type="pct"/>
            <w:shd w:val="clear" w:color="auto" w:fill="FFFFFF"/>
            <w:vAlign w:val="center"/>
          </w:tcPr>
          <w:p w14:paraId="11C272DA" w14:textId="5DFCC912" w:rsidR="00614DAB" w:rsidRPr="00EE0615" w:rsidRDefault="00614DAB" w:rsidP="00057DED">
            <w:pPr>
              <w:pStyle w:val="CETBodytext"/>
              <w:rPr>
                <w:rFonts w:cs="Arial"/>
                <w:szCs w:val="18"/>
                <w:lang w:val="en-GB"/>
              </w:rPr>
            </w:pPr>
            <w:r w:rsidRPr="00EE0615">
              <w:rPr>
                <w:rFonts w:cs="Arial"/>
                <w:szCs w:val="18"/>
              </w:rPr>
              <w:t>1</w:t>
            </w:r>
          </w:p>
        </w:tc>
        <w:tc>
          <w:tcPr>
            <w:tcW w:w="469" w:type="pct"/>
            <w:shd w:val="clear" w:color="auto" w:fill="FFFFFF"/>
            <w:vAlign w:val="center"/>
          </w:tcPr>
          <w:p w14:paraId="6AC113AD" w14:textId="45BAB08C" w:rsidR="00614DAB" w:rsidRPr="00EE0615" w:rsidRDefault="00614DAB" w:rsidP="00057DED">
            <w:pPr>
              <w:pStyle w:val="CETBodytext"/>
              <w:rPr>
                <w:rFonts w:cs="Arial"/>
                <w:szCs w:val="18"/>
                <w:lang w:val="en-GB"/>
              </w:rPr>
            </w:pPr>
            <w:r w:rsidRPr="00EE0615">
              <w:rPr>
                <w:rFonts w:cs="Arial"/>
                <w:szCs w:val="18"/>
              </w:rPr>
              <w:t>1</w:t>
            </w:r>
          </w:p>
        </w:tc>
        <w:tc>
          <w:tcPr>
            <w:tcW w:w="467" w:type="pct"/>
            <w:shd w:val="clear" w:color="auto" w:fill="FFFFFF"/>
            <w:vAlign w:val="center"/>
          </w:tcPr>
          <w:p w14:paraId="76ED44F4" w14:textId="2613D21D" w:rsidR="00614DAB" w:rsidRPr="00EE0615" w:rsidRDefault="00614DAB" w:rsidP="00057DED">
            <w:pPr>
              <w:pStyle w:val="CETBodytext"/>
              <w:rPr>
                <w:rFonts w:cs="Arial"/>
                <w:szCs w:val="18"/>
                <w:lang w:val="en-GB"/>
              </w:rPr>
            </w:pPr>
            <w:r w:rsidRPr="00EE0615">
              <w:rPr>
                <w:rFonts w:cs="Arial"/>
                <w:szCs w:val="18"/>
              </w:rPr>
              <w:t>1</w:t>
            </w:r>
          </w:p>
        </w:tc>
      </w:tr>
      <w:tr w:rsidR="00614DAB" w:rsidRPr="00B57B36" w14:paraId="588F0D4D" w14:textId="77777777" w:rsidTr="00057DED">
        <w:tc>
          <w:tcPr>
            <w:tcW w:w="2188" w:type="pct"/>
            <w:shd w:val="clear" w:color="auto" w:fill="FFFFFF"/>
            <w:vAlign w:val="center"/>
          </w:tcPr>
          <w:p w14:paraId="6125D29B" w14:textId="6170618C" w:rsidR="00614DAB" w:rsidRPr="00EE0615" w:rsidRDefault="00614DAB" w:rsidP="00057DED">
            <w:pPr>
              <w:pStyle w:val="CETBodytext"/>
              <w:rPr>
                <w:rFonts w:cs="Arial"/>
                <w:szCs w:val="18"/>
                <w:lang w:val="en-GB"/>
              </w:rPr>
            </w:pPr>
            <w:r w:rsidRPr="00EE0615">
              <w:rPr>
                <w:rFonts w:cs="Arial"/>
                <w:szCs w:val="18"/>
              </w:rPr>
              <w:t xml:space="preserve">Temperature </w:t>
            </w:r>
            <w:r w:rsidRPr="00EE0615">
              <w:rPr>
                <w:rFonts w:eastAsia="Cambria Math" w:cs="Arial"/>
                <w:szCs w:val="18"/>
              </w:rPr>
              <w:t>T</w:t>
            </w:r>
            <w:r w:rsidRPr="00EE0615">
              <w:rPr>
                <w:rFonts w:cs="Arial"/>
                <w:szCs w:val="18"/>
              </w:rPr>
              <w:t xml:space="preserve"> [°C]</w:t>
            </w:r>
          </w:p>
        </w:tc>
        <w:tc>
          <w:tcPr>
            <w:tcW w:w="469" w:type="pct"/>
            <w:shd w:val="clear" w:color="auto" w:fill="FFFFFF"/>
            <w:vAlign w:val="center"/>
          </w:tcPr>
          <w:p w14:paraId="030D60A0" w14:textId="2F5B2ED9" w:rsidR="00614DAB" w:rsidRPr="00EE0615" w:rsidRDefault="00614DAB" w:rsidP="00057DED">
            <w:pPr>
              <w:pStyle w:val="CETBodytext"/>
              <w:rPr>
                <w:rFonts w:cs="Arial"/>
                <w:szCs w:val="18"/>
                <w:lang w:val="en-GB"/>
              </w:rPr>
            </w:pPr>
            <w:r w:rsidRPr="00EE0615">
              <w:rPr>
                <w:rFonts w:cs="Arial"/>
                <w:szCs w:val="18"/>
              </w:rPr>
              <w:t>850</w:t>
            </w:r>
          </w:p>
        </w:tc>
        <w:tc>
          <w:tcPr>
            <w:tcW w:w="469" w:type="pct"/>
            <w:shd w:val="clear" w:color="auto" w:fill="FFFFFF"/>
            <w:vAlign w:val="center"/>
          </w:tcPr>
          <w:p w14:paraId="33408536" w14:textId="5820FF64" w:rsidR="00614DAB" w:rsidRPr="00EE0615" w:rsidRDefault="00614DAB" w:rsidP="00057DED">
            <w:pPr>
              <w:pStyle w:val="CETBodytext"/>
              <w:rPr>
                <w:rFonts w:cs="Arial"/>
                <w:szCs w:val="18"/>
                <w:lang w:val="en-GB"/>
              </w:rPr>
            </w:pPr>
            <w:r w:rsidRPr="00EE0615">
              <w:rPr>
                <w:rFonts w:cs="Arial"/>
                <w:szCs w:val="18"/>
              </w:rPr>
              <w:t>800</w:t>
            </w:r>
          </w:p>
        </w:tc>
        <w:tc>
          <w:tcPr>
            <w:tcW w:w="469" w:type="pct"/>
            <w:shd w:val="clear" w:color="auto" w:fill="FFFFFF"/>
            <w:vAlign w:val="center"/>
          </w:tcPr>
          <w:p w14:paraId="4D432D1A" w14:textId="04F280E4" w:rsidR="00614DAB" w:rsidRPr="00EE0615" w:rsidRDefault="00614DAB" w:rsidP="00057DED">
            <w:pPr>
              <w:pStyle w:val="CETBodytext"/>
              <w:rPr>
                <w:rFonts w:cs="Arial"/>
                <w:szCs w:val="18"/>
                <w:lang w:val="en-GB"/>
              </w:rPr>
            </w:pPr>
            <w:r w:rsidRPr="00EE0615">
              <w:rPr>
                <w:rFonts w:cs="Arial"/>
                <w:szCs w:val="18"/>
                <w:lang w:val="en-GB"/>
              </w:rPr>
              <w:t>750</w:t>
            </w:r>
          </w:p>
        </w:tc>
        <w:tc>
          <w:tcPr>
            <w:tcW w:w="469" w:type="pct"/>
            <w:shd w:val="clear" w:color="auto" w:fill="FFFFFF"/>
            <w:vAlign w:val="center"/>
          </w:tcPr>
          <w:p w14:paraId="2526300A" w14:textId="66474AF8" w:rsidR="00614DAB" w:rsidRPr="00EE0615" w:rsidRDefault="00614DAB" w:rsidP="00057DED">
            <w:pPr>
              <w:pStyle w:val="CETBodytext"/>
              <w:rPr>
                <w:rFonts w:cs="Arial"/>
                <w:szCs w:val="18"/>
                <w:lang w:val="en-GB"/>
              </w:rPr>
            </w:pPr>
            <w:r w:rsidRPr="00EE0615">
              <w:rPr>
                <w:rFonts w:cs="Arial"/>
                <w:szCs w:val="18"/>
              </w:rPr>
              <w:t>850</w:t>
            </w:r>
          </w:p>
        </w:tc>
        <w:tc>
          <w:tcPr>
            <w:tcW w:w="469" w:type="pct"/>
            <w:shd w:val="clear" w:color="auto" w:fill="FFFFFF"/>
            <w:vAlign w:val="center"/>
          </w:tcPr>
          <w:p w14:paraId="450DB132" w14:textId="5814095F" w:rsidR="00614DAB" w:rsidRPr="00EE0615" w:rsidRDefault="00614DAB" w:rsidP="00057DED">
            <w:pPr>
              <w:pStyle w:val="CETBodytext"/>
              <w:rPr>
                <w:rFonts w:cs="Arial"/>
                <w:szCs w:val="18"/>
                <w:lang w:val="en-GB"/>
              </w:rPr>
            </w:pPr>
            <w:r w:rsidRPr="00EE0615">
              <w:rPr>
                <w:rFonts w:cs="Arial"/>
                <w:szCs w:val="18"/>
              </w:rPr>
              <w:t>800</w:t>
            </w:r>
          </w:p>
        </w:tc>
        <w:tc>
          <w:tcPr>
            <w:tcW w:w="467" w:type="pct"/>
            <w:shd w:val="clear" w:color="auto" w:fill="FFFFFF"/>
            <w:vAlign w:val="center"/>
          </w:tcPr>
          <w:p w14:paraId="3953A288" w14:textId="13B87654" w:rsidR="00614DAB" w:rsidRPr="00EE0615" w:rsidRDefault="00614DAB" w:rsidP="00057DED">
            <w:pPr>
              <w:pStyle w:val="CETBodytext"/>
              <w:rPr>
                <w:rFonts w:cs="Arial"/>
                <w:szCs w:val="18"/>
                <w:lang w:val="en-GB"/>
              </w:rPr>
            </w:pPr>
            <w:r w:rsidRPr="00EE0615">
              <w:rPr>
                <w:rFonts w:cs="Arial"/>
                <w:szCs w:val="18"/>
                <w:lang w:val="en-GB"/>
              </w:rPr>
              <w:t>750</w:t>
            </w:r>
          </w:p>
        </w:tc>
      </w:tr>
      <w:tr w:rsidR="00614DAB" w:rsidRPr="00B57B36" w14:paraId="569A685C" w14:textId="77777777" w:rsidTr="00057DED">
        <w:tc>
          <w:tcPr>
            <w:tcW w:w="2188" w:type="pct"/>
            <w:shd w:val="clear" w:color="auto" w:fill="FFFFFF"/>
            <w:vAlign w:val="center"/>
          </w:tcPr>
          <w:p w14:paraId="3279FA39" w14:textId="26A02ED0" w:rsidR="00614DAB" w:rsidRPr="00EE0615" w:rsidRDefault="00614DAB" w:rsidP="00057DED">
            <w:pPr>
              <w:pStyle w:val="CETBodytext"/>
              <w:rPr>
                <w:rFonts w:cs="Arial"/>
                <w:szCs w:val="18"/>
                <w:lang w:val="en-GB"/>
              </w:rPr>
            </w:pPr>
            <w:r w:rsidRPr="00EE0615">
              <w:rPr>
                <w:rFonts w:cs="Arial"/>
                <w:szCs w:val="18"/>
              </w:rPr>
              <w:t>GHSV [h</w:t>
            </w:r>
            <w:r w:rsidRPr="00EE0615">
              <w:rPr>
                <w:rFonts w:cs="Arial"/>
                <w:szCs w:val="18"/>
                <w:vertAlign w:val="superscript"/>
              </w:rPr>
              <w:t>-1</w:t>
            </w:r>
            <w:r w:rsidRPr="00EE0615">
              <w:rPr>
                <w:rFonts w:cs="Arial"/>
                <w:szCs w:val="18"/>
              </w:rPr>
              <w:t>]</w:t>
            </w:r>
          </w:p>
        </w:tc>
        <w:tc>
          <w:tcPr>
            <w:tcW w:w="469" w:type="pct"/>
            <w:shd w:val="clear" w:color="auto" w:fill="FFFFFF"/>
            <w:vAlign w:val="center"/>
          </w:tcPr>
          <w:p w14:paraId="0C8118CE" w14:textId="6A30A12D" w:rsidR="00614DAB" w:rsidRPr="00EE0615" w:rsidRDefault="00614DAB" w:rsidP="00057DED">
            <w:pPr>
              <w:pStyle w:val="CETBodytext"/>
              <w:rPr>
                <w:rFonts w:cs="Arial"/>
                <w:szCs w:val="18"/>
                <w:lang w:val="en-GB"/>
              </w:rPr>
            </w:pPr>
            <w:r w:rsidRPr="00EE0615">
              <w:rPr>
                <w:rFonts w:cs="Arial"/>
                <w:szCs w:val="18"/>
              </w:rPr>
              <w:t>4500</w:t>
            </w:r>
          </w:p>
        </w:tc>
        <w:tc>
          <w:tcPr>
            <w:tcW w:w="469" w:type="pct"/>
            <w:shd w:val="clear" w:color="auto" w:fill="FFFFFF"/>
            <w:vAlign w:val="center"/>
          </w:tcPr>
          <w:p w14:paraId="4FA13DDF" w14:textId="66A41D5A" w:rsidR="00614DAB" w:rsidRPr="00EE0615" w:rsidRDefault="00614DAB" w:rsidP="00057DED">
            <w:pPr>
              <w:pStyle w:val="CETBodytext"/>
              <w:rPr>
                <w:rFonts w:cs="Arial"/>
                <w:szCs w:val="18"/>
                <w:lang w:val="en-GB"/>
              </w:rPr>
            </w:pPr>
            <w:r w:rsidRPr="00EE0615">
              <w:rPr>
                <w:rFonts w:cs="Arial"/>
                <w:szCs w:val="18"/>
              </w:rPr>
              <w:t>4500</w:t>
            </w:r>
          </w:p>
        </w:tc>
        <w:tc>
          <w:tcPr>
            <w:tcW w:w="469" w:type="pct"/>
            <w:shd w:val="clear" w:color="auto" w:fill="FFFFFF"/>
            <w:vAlign w:val="center"/>
          </w:tcPr>
          <w:p w14:paraId="77CF8633" w14:textId="4106F603" w:rsidR="00614DAB" w:rsidRPr="00EE0615" w:rsidRDefault="00614DAB" w:rsidP="00057DED">
            <w:pPr>
              <w:pStyle w:val="CETBodytext"/>
              <w:rPr>
                <w:rFonts w:cs="Arial"/>
                <w:szCs w:val="18"/>
                <w:lang w:val="en-GB"/>
              </w:rPr>
            </w:pPr>
            <w:r w:rsidRPr="00EE0615">
              <w:rPr>
                <w:rFonts w:cs="Arial"/>
                <w:szCs w:val="18"/>
              </w:rPr>
              <w:t>4500</w:t>
            </w:r>
          </w:p>
        </w:tc>
        <w:tc>
          <w:tcPr>
            <w:tcW w:w="469" w:type="pct"/>
            <w:shd w:val="clear" w:color="auto" w:fill="FFFFFF"/>
            <w:vAlign w:val="center"/>
          </w:tcPr>
          <w:p w14:paraId="6F5C4BD5" w14:textId="4318B5A5" w:rsidR="00614DAB" w:rsidRPr="00EE0615" w:rsidRDefault="00614DAB" w:rsidP="00057DED">
            <w:pPr>
              <w:pStyle w:val="CETBodytext"/>
              <w:rPr>
                <w:rFonts w:cs="Arial"/>
                <w:szCs w:val="18"/>
                <w:lang w:val="en-GB"/>
              </w:rPr>
            </w:pPr>
            <w:r w:rsidRPr="00EE0615">
              <w:rPr>
                <w:rFonts w:cs="Arial"/>
                <w:szCs w:val="18"/>
              </w:rPr>
              <w:t>4500</w:t>
            </w:r>
          </w:p>
        </w:tc>
        <w:tc>
          <w:tcPr>
            <w:tcW w:w="469" w:type="pct"/>
            <w:shd w:val="clear" w:color="auto" w:fill="FFFFFF"/>
            <w:vAlign w:val="center"/>
          </w:tcPr>
          <w:p w14:paraId="42D62D94" w14:textId="25FD4BA4" w:rsidR="00614DAB" w:rsidRPr="00EE0615" w:rsidRDefault="00614DAB" w:rsidP="00057DED">
            <w:pPr>
              <w:pStyle w:val="CETBodytext"/>
              <w:rPr>
                <w:rFonts w:cs="Arial"/>
                <w:szCs w:val="18"/>
                <w:lang w:val="en-GB"/>
              </w:rPr>
            </w:pPr>
            <w:r w:rsidRPr="00EE0615">
              <w:rPr>
                <w:rFonts w:cs="Arial"/>
                <w:szCs w:val="18"/>
              </w:rPr>
              <w:t>4500</w:t>
            </w:r>
          </w:p>
        </w:tc>
        <w:tc>
          <w:tcPr>
            <w:tcW w:w="467" w:type="pct"/>
            <w:shd w:val="clear" w:color="auto" w:fill="FFFFFF"/>
            <w:vAlign w:val="center"/>
          </w:tcPr>
          <w:p w14:paraId="2D9F62B4" w14:textId="014B9E1C" w:rsidR="00614DAB" w:rsidRPr="00EE0615" w:rsidRDefault="00614DAB" w:rsidP="00057DED">
            <w:pPr>
              <w:pStyle w:val="CETBodytext"/>
              <w:rPr>
                <w:rFonts w:cs="Arial"/>
                <w:szCs w:val="18"/>
                <w:lang w:val="en-GB"/>
              </w:rPr>
            </w:pPr>
            <w:r w:rsidRPr="00EE0615">
              <w:rPr>
                <w:rFonts w:cs="Arial"/>
                <w:szCs w:val="18"/>
              </w:rPr>
              <w:t>4500</w:t>
            </w:r>
          </w:p>
        </w:tc>
      </w:tr>
      <w:tr w:rsidR="00614DAB" w:rsidRPr="00B57B36" w14:paraId="4B7E507B" w14:textId="77777777" w:rsidTr="00057DED">
        <w:tc>
          <w:tcPr>
            <w:tcW w:w="2188" w:type="pct"/>
            <w:shd w:val="clear" w:color="auto" w:fill="FFFFFF"/>
            <w:vAlign w:val="center"/>
          </w:tcPr>
          <w:p w14:paraId="26E0BD0B" w14:textId="4CFD4F3E" w:rsidR="00614DAB" w:rsidRPr="00EE0615" w:rsidRDefault="00614DAB" w:rsidP="00057DED">
            <w:pPr>
              <w:pStyle w:val="CETBodytext"/>
              <w:rPr>
                <w:rFonts w:cs="Arial"/>
                <w:szCs w:val="18"/>
                <w:lang w:val="en-GB"/>
              </w:rPr>
            </w:pPr>
            <w:r w:rsidRPr="00EE0615">
              <w:rPr>
                <w:rFonts w:cs="Arial"/>
                <w:szCs w:val="18"/>
                <w:lang w:val="en-GB"/>
              </w:rPr>
              <w:t>Toluene/Naphthalene [g/g]</w:t>
            </w:r>
          </w:p>
        </w:tc>
        <w:tc>
          <w:tcPr>
            <w:tcW w:w="469" w:type="pct"/>
            <w:shd w:val="clear" w:color="auto" w:fill="FFFFFF"/>
            <w:vAlign w:val="center"/>
          </w:tcPr>
          <w:p w14:paraId="16C10A7E" w14:textId="2CD5EAC6" w:rsidR="00614DAB" w:rsidRPr="00EE0615" w:rsidRDefault="00614DAB" w:rsidP="00057DED">
            <w:pPr>
              <w:pStyle w:val="CETBodytext"/>
              <w:rPr>
                <w:rFonts w:cs="Arial"/>
                <w:szCs w:val="18"/>
                <w:lang w:val="en-GB"/>
              </w:rPr>
            </w:pPr>
            <w:r w:rsidRPr="00EE0615">
              <w:rPr>
                <w:rFonts w:cs="Arial"/>
                <w:szCs w:val="18"/>
              </w:rPr>
              <w:t>70/30</w:t>
            </w:r>
          </w:p>
        </w:tc>
        <w:tc>
          <w:tcPr>
            <w:tcW w:w="469" w:type="pct"/>
            <w:shd w:val="clear" w:color="auto" w:fill="FFFFFF"/>
            <w:vAlign w:val="center"/>
          </w:tcPr>
          <w:p w14:paraId="06BC3FCB" w14:textId="259C666D" w:rsidR="00614DAB" w:rsidRPr="00EE0615" w:rsidRDefault="00614DAB" w:rsidP="00057DED">
            <w:pPr>
              <w:pStyle w:val="CETBodytext"/>
              <w:rPr>
                <w:rFonts w:cs="Arial"/>
                <w:szCs w:val="18"/>
                <w:lang w:val="en-GB"/>
              </w:rPr>
            </w:pPr>
            <w:r w:rsidRPr="00EE0615">
              <w:rPr>
                <w:rFonts w:cs="Arial"/>
                <w:szCs w:val="18"/>
              </w:rPr>
              <w:t>70/30</w:t>
            </w:r>
          </w:p>
        </w:tc>
        <w:tc>
          <w:tcPr>
            <w:tcW w:w="469" w:type="pct"/>
            <w:shd w:val="clear" w:color="auto" w:fill="FFFFFF"/>
            <w:vAlign w:val="center"/>
          </w:tcPr>
          <w:p w14:paraId="7EE8152D" w14:textId="7C123BC9" w:rsidR="00614DAB" w:rsidRPr="00EE0615" w:rsidRDefault="00614DAB" w:rsidP="00057DED">
            <w:pPr>
              <w:pStyle w:val="CETBodytext"/>
              <w:rPr>
                <w:rFonts w:cs="Arial"/>
                <w:szCs w:val="18"/>
                <w:lang w:val="en-GB"/>
              </w:rPr>
            </w:pPr>
            <w:r w:rsidRPr="00EE0615">
              <w:rPr>
                <w:rFonts w:cs="Arial"/>
                <w:szCs w:val="18"/>
              </w:rPr>
              <w:t>70/30</w:t>
            </w:r>
          </w:p>
        </w:tc>
        <w:tc>
          <w:tcPr>
            <w:tcW w:w="469" w:type="pct"/>
            <w:shd w:val="clear" w:color="auto" w:fill="FFFFFF"/>
            <w:vAlign w:val="center"/>
          </w:tcPr>
          <w:p w14:paraId="288155A9" w14:textId="628C8634" w:rsidR="00614DAB" w:rsidRPr="00EE0615" w:rsidRDefault="00614DAB" w:rsidP="00057DED">
            <w:pPr>
              <w:pStyle w:val="CETBodytext"/>
              <w:rPr>
                <w:rFonts w:cs="Arial"/>
                <w:szCs w:val="18"/>
                <w:lang w:val="en-GB"/>
              </w:rPr>
            </w:pPr>
            <w:r w:rsidRPr="00EE0615">
              <w:rPr>
                <w:rFonts w:cs="Arial"/>
                <w:szCs w:val="18"/>
              </w:rPr>
              <w:t>70/30</w:t>
            </w:r>
          </w:p>
        </w:tc>
        <w:tc>
          <w:tcPr>
            <w:tcW w:w="469" w:type="pct"/>
            <w:shd w:val="clear" w:color="auto" w:fill="FFFFFF"/>
            <w:vAlign w:val="center"/>
          </w:tcPr>
          <w:p w14:paraId="04C0070B" w14:textId="44056038" w:rsidR="00614DAB" w:rsidRPr="00EE0615" w:rsidRDefault="00614DAB" w:rsidP="00057DED">
            <w:pPr>
              <w:pStyle w:val="CETBodytext"/>
              <w:rPr>
                <w:rFonts w:cs="Arial"/>
                <w:szCs w:val="18"/>
                <w:lang w:val="en-GB"/>
              </w:rPr>
            </w:pPr>
            <w:r w:rsidRPr="00EE0615">
              <w:rPr>
                <w:rFonts w:cs="Arial"/>
                <w:szCs w:val="18"/>
              </w:rPr>
              <w:t>70/30</w:t>
            </w:r>
          </w:p>
        </w:tc>
        <w:tc>
          <w:tcPr>
            <w:tcW w:w="467" w:type="pct"/>
            <w:shd w:val="clear" w:color="auto" w:fill="FFFFFF"/>
            <w:vAlign w:val="center"/>
          </w:tcPr>
          <w:p w14:paraId="55DAF1E2" w14:textId="1D490A54" w:rsidR="00614DAB" w:rsidRPr="00EE0615" w:rsidRDefault="00614DAB" w:rsidP="00057DED">
            <w:pPr>
              <w:pStyle w:val="CETBodytext"/>
              <w:rPr>
                <w:rFonts w:cs="Arial"/>
                <w:szCs w:val="18"/>
                <w:lang w:val="en-GB"/>
              </w:rPr>
            </w:pPr>
            <w:r w:rsidRPr="00EE0615">
              <w:rPr>
                <w:rFonts w:cs="Arial"/>
                <w:szCs w:val="18"/>
              </w:rPr>
              <w:t>70/30</w:t>
            </w:r>
          </w:p>
        </w:tc>
      </w:tr>
      <w:tr w:rsidR="00614DAB" w:rsidRPr="00B57B36" w14:paraId="19A4DA73" w14:textId="77777777" w:rsidTr="00057DED">
        <w:tc>
          <w:tcPr>
            <w:tcW w:w="2188" w:type="pct"/>
            <w:shd w:val="clear" w:color="auto" w:fill="FFFFFF"/>
            <w:vAlign w:val="center"/>
          </w:tcPr>
          <w:p w14:paraId="414AB4DB" w14:textId="7699E8B8" w:rsidR="00614DAB" w:rsidRPr="00EE0615" w:rsidRDefault="00614DAB" w:rsidP="00057DED">
            <w:pPr>
              <w:pStyle w:val="CETBodytext"/>
              <w:rPr>
                <w:rFonts w:cs="Arial"/>
                <w:szCs w:val="18"/>
                <w:lang w:val="en-GB"/>
              </w:rPr>
            </w:pPr>
            <w:r w:rsidRPr="00EE0615">
              <w:rPr>
                <w:rFonts w:cs="Arial"/>
                <w:szCs w:val="18"/>
                <w:lang w:val="en-GB"/>
              </w:rPr>
              <w:t>Thiophene (H</w:t>
            </w:r>
            <w:r w:rsidRPr="00EE0615">
              <w:rPr>
                <w:rFonts w:cs="Arial"/>
                <w:szCs w:val="18"/>
                <w:vertAlign w:val="subscript"/>
                <w:lang w:val="en-GB"/>
              </w:rPr>
              <w:t>2</w:t>
            </w:r>
            <w:r w:rsidRPr="00EE0615">
              <w:rPr>
                <w:rFonts w:cs="Arial"/>
                <w:szCs w:val="18"/>
                <w:lang w:val="en-GB"/>
              </w:rPr>
              <w:t>S equiv) [ppm]</w:t>
            </w:r>
          </w:p>
        </w:tc>
        <w:tc>
          <w:tcPr>
            <w:tcW w:w="469" w:type="pct"/>
            <w:shd w:val="clear" w:color="auto" w:fill="FFFFFF"/>
            <w:vAlign w:val="center"/>
          </w:tcPr>
          <w:p w14:paraId="6A091790" w14:textId="18B355C1" w:rsidR="00614DAB" w:rsidRPr="00EE0615" w:rsidRDefault="00614DAB" w:rsidP="00057DED">
            <w:pPr>
              <w:pStyle w:val="CETBodytext"/>
              <w:rPr>
                <w:rFonts w:cs="Arial"/>
                <w:szCs w:val="18"/>
                <w:lang w:val="en-GB"/>
              </w:rPr>
            </w:pPr>
            <w:r w:rsidRPr="00EE0615">
              <w:rPr>
                <w:rFonts w:cs="Arial"/>
                <w:szCs w:val="18"/>
              </w:rPr>
              <w:t>50</w:t>
            </w:r>
          </w:p>
        </w:tc>
        <w:tc>
          <w:tcPr>
            <w:tcW w:w="469" w:type="pct"/>
            <w:shd w:val="clear" w:color="auto" w:fill="FFFFFF"/>
            <w:vAlign w:val="center"/>
          </w:tcPr>
          <w:p w14:paraId="79D9DFA0" w14:textId="32ED84C9" w:rsidR="00614DAB" w:rsidRPr="00EE0615" w:rsidRDefault="00614DAB" w:rsidP="00057DED">
            <w:pPr>
              <w:pStyle w:val="CETBodytext"/>
              <w:rPr>
                <w:rFonts w:cs="Arial"/>
                <w:szCs w:val="18"/>
                <w:lang w:val="en-GB"/>
              </w:rPr>
            </w:pPr>
            <w:r w:rsidRPr="00EE0615">
              <w:rPr>
                <w:rFonts w:cs="Arial"/>
                <w:szCs w:val="18"/>
              </w:rPr>
              <w:t>50</w:t>
            </w:r>
          </w:p>
        </w:tc>
        <w:tc>
          <w:tcPr>
            <w:tcW w:w="469" w:type="pct"/>
            <w:shd w:val="clear" w:color="auto" w:fill="FFFFFF"/>
            <w:vAlign w:val="center"/>
          </w:tcPr>
          <w:p w14:paraId="3665080B" w14:textId="5D0BEB49" w:rsidR="00614DAB" w:rsidRPr="00EE0615" w:rsidRDefault="00614DAB" w:rsidP="00057DED">
            <w:pPr>
              <w:pStyle w:val="CETBodytext"/>
              <w:rPr>
                <w:rFonts w:cs="Arial"/>
                <w:szCs w:val="18"/>
                <w:lang w:val="en-GB"/>
              </w:rPr>
            </w:pPr>
            <w:r w:rsidRPr="00EE0615">
              <w:rPr>
                <w:rFonts w:cs="Arial"/>
                <w:szCs w:val="18"/>
              </w:rPr>
              <w:t>50</w:t>
            </w:r>
          </w:p>
        </w:tc>
        <w:tc>
          <w:tcPr>
            <w:tcW w:w="469" w:type="pct"/>
            <w:shd w:val="clear" w:color="auto" w:fill="FFFFFF"/>
            <w:vAlign w:val="center"/>
          </w:tcPr>
          <w:p w14:paraId="5CF25ED8" w14:textId="2D4E2850" w:rsidR="00614DAB" w:rsidRPr="00EE0615" w:rsidRDefault="00614DAB" w:rsidP="00057DED">
            <w:pPr>
              <w:pStyle w:val="CETBodytext"/>
              <w:rPr>
                <w:rFonts w:cs="Arial"/>
                <w:szCs w:val="18"/>
                <w:lang w:val="en-GB"/>
              </w:rPr>
            </w:pPr>
            <w:r w:rsidRPr="00EE0615">
              <w:rPr>
                <w:rFonts w:cs="Arial"/>
                <w:szCs w:val="18"/>
              </w:rPr>
              <w:t>100</w:t>
            </w:r>
          </w:p>
        </w:tc>
        <w:tc>
          <w:tcPr>
            <w:tcW w:w="469" w:type="pct"/>
            <w:shd w:val="clear" w:color="auto" w:fill="FFFFFF"/>
            <w:vAlign w:val="center"/>
          </w:tcPr>
          <w:p w14:paraId="592D5DEF" w14:textId="2A6D41E8" w:rsidR="00614DAB" w:rsidRPr="00EE0615" w:rsidRDefault="00614DAB" w:rsidP="00057DED">
            <w:pPr>
              <w:pStyle w:val="CETBodytext"/>
              <w:rPr>
                <w:rFonts w:cs="Arial"/>
                <w:szCs w:val="18"/>
                <w:lang w:val="en-GB"/>
              </w:rPr>
            </w:pPr>
            <w:r w:rsidRPr="00EE0615">
              <w:rPr>
                <w:rFonts w:cs="Arial"/>
                <w:szCs w:val="18"/>
              </w:rPr>
              <w:t>100</w:t>
            </w:r>
          </w:p>
        </w:tc>
        <w:tc>
          <w:tcPr>
            <w:tcW w:w="467" w:type="pct"/>
            <w:shd w:val="clear" w:color="auto" w:fill="FFFFFF"/>
            <w:vAlign w:val="center"/>
          </w:tcPr>
          <w:p w14:paraId="3C796F05" w14:textId="3C8627A4" w:rsidR="00614DAB" w:rsidRPr="00EE0615" w:rsidRDefault="00614DAB" w:rsidP="00057DED">
            <w:pPr>
              <w:pStyle w:val="CETBodytext"/>
              <w:rPr>
                <w:rFonts w:cs="Arial"/>
                <w:szCs w:val="18"/>
                <w:lang w:val="en-GB"/>
              </w:rPr>
            </w:pPr>
            <w:r w:rsidRPr="00EE0615">
              <w:rPr>
                <w:rFonts w:cs="Arial"/>
                <w:szCs w:val="18"/>
              </w:rPr>
              <w:t>100</w:t>
            </w:r>
          </w:p>
        </w:tc>
      </w:tr>
      <w:tr w:rsidR="00614DAB" w:rsidRPr="00B57B36" w14:paraId="1C0DCA9B" w14:textId="77777777" w:rsidTr="00057DED">
        <w:tc>
          <w:tcPr>
            <w:tcW w:w="2188" w:type="pct"/>
            <w:shd w:val="clear" w:color="auto" w:fill="FFFFFF"/>
            <w:vAlign w:val="center"/>
          </w:tcPr>
          <w:p w14:paraId="34AB5036" w14:textId="5D5C258D" w:rsidR="00614DAB" w:rsidRPr="00EE0615" w:rsidRDefault="00614DAB" w:rsidP="00057DED">
            <w:pPr>
              <w:pStyle w:val="CETBodytext"/>
              <w:rPr>
                <w:rFonts w:cs="Arial"/>
                <w:szCs w:val="18"/>
                <w:lang w:val="en-GB"/>
              </w:rPr>
            </w:pPr>
            <w:r w:rsidRPr="00EE0615">
              <w:rPr>
                <w:rFonts w:cs="Arial"/>
                <w:szCs w:val="18"/>
                <w:lang w:val="en-GB"/>
              </w:rPr>
              <w:t xml:space="preserve">Inlet tar concentration </w:t>
            </w:r>
            <w:r w:rsidRPr="00EE0615">
              <w:rPr>
                <w:rFonts w:eastAsia="Cambria Math" w:cs="Arial"/>
                <w:szCs w:val="18"/>
                <w:lang w:val="en-GB"/>
              </w:rPr>
              <w:t>C</w:t>
            </w:r>
            <w:r w:rsidR="00FA0BE8" w:rsidRPr="00FA0BE8">
              <w:rPr>
                <w:rFonts w:eastAsia="Cambria Math" w:cs="Arial"/>
                <w:szCs w:val="18"/>
                <w:vertAlign w:val="subscript"/>
                <w:lang w:val="en-GB"/>
              </w:rPr>
              <w:t>tar</w:t>
            </w:r>
            <w:r w:rsidRPr="00EE0615">
              <w:rPr>
                <w:rFonts w:cs="Arial"/>
                <w:szCs w:val="18"/>
                <w:lang w:val="en-GB"/>
              </w:rPr>
              <w:t xml:space="preserve"> [g Nm</w:t>
            </w:r>
            <w:r w:rsidRPr="00EE0615">
              <w:rPr>
                <w:rFonts w:cs="Arial"/>
                <w:szCs w:val="18"/>
                <w:vertAlign w:val="superscript"/>
                <w:lang w:val="en-GB"/>
              </w:rPr>
              <w:t>-3</w:t>
            </w:r>
            <w:r w:rsidRPr="00EE0615">
              <w:rPr>
                <w:rFonts w:cs="Arial"/>
                <w:szCs w:val="18"/>
                <w:vertAlign w:val="subscript"/>
                <w:lang w:val="en-GB"/>
              </w:rPr>
              <w:t>dry</w:t>
            </w:r>
            <w:r w:rsidRPr="00EE0615">
              <w:rPr>
                <w:rFonts w:cs="Arial"/>
                <w:szCs w:val="18"/>
                <w:lang w:val="en-GB"/>
              </w:rPr>
              <w:t>]</w:t>
            </w:r>
          </w:p>
        </w:tc>
        <w:tc>
          <w:tcPr>
            <w:tcW w:w="469" w:type="pct"/>
            <w:shd w:val="clear" w:color="auto" w:fill="FFFFFF"/>
            <w:vAlign w:val="center"/>
          </w:tcPr>
          <w:p w14:paraId="2B31037B" w14:textId="2C7C4FA5" w:rsidR="00614DAB" w:rsidRPr="00EE0615" w:rsidRDefault="00614DAB" w:rsidP="00057DED">
            <w:pPr>
              <w:pStyle w:val="CETBodytext"/>
              <w:rPr>
                <w:rFonts w:cs="Arial"/>
                <w:szCs w:val="18"/>
                <w:lang w:val="en-GB"/>
              </w:rPr>
            </w:pPr>
            <w:r w:rsidRPr="00EE0615">
              <w:rPr>
                <w:rFonts w:cs="Arial"/>
                <w:szCs w:val="18"/>
                <w:lang w:val="en-GB"/>
              </w:rPr>
              <w:t>13</w:t>
            </w:r>
          </w:p>
        </w:tc>
        <w:tc>
          <w:tcPr>
            <w:tcW w:w="469" w:type="pct"/>
            <w:shd w:val="clear" w:color="auto" w:fill="FFFFFF"/>
            <w:vAlign w:val="center"/>
          </w:tcPr>
          <w:p w14:paraId="125F53B0" w14:textId="3808267D" w:rsidR="00614DAB" w:rsidRPr="00EE0615" w:rsidRDefault="00614DAB" w:rsidP="00057DED">
            <w:pPr>
              <w:pStyle w:val="CETBodytext"/>
              <w:rPr>
                <w:rFonts w:cs="Arial"/>
                <w:szCs w:val="18"/>
                <w:lang w:val="en-GB"/>
              </w:rPr>
            </w:pPr>
            <w:r w:rsidRPr="00EE0615">
              <w:rPr>
                <w:rFonts w:cs="Arial"/>
                <w:szCs w:val="18"/>
                <w:lang w:val="en-GB"/>
              </w:rPr>
              <w:t>13</w:t>
            </w:r>
          </w:p>
        </w:tc>
        <w:tc>
          <w:tcPr>
            <w:tcW w:w="469" w:type="pct"/>
            <w:shd w:val="clear" w:color="auto" w:fill="FFFFFF"/>
            <w:vAlign w:val="center"/>
          </w:tcPr>
          <w:p w14:paraId="6E1A3DC8" w14:textId="2BB96712" w:rsidR="00614DAB" w:rsidRPr="00EE0615" w:rsidRDefault="00614DAB" w:rsidP="00057DED">
            <w:pPr>
              <w:pStyle w:val="CETBodytext"/>
              <w:rPr>
                <w:rFonts w:cs="Arial"/>
                <w:szCs w:val="18"/>
                <w:lang w:val="en-GB"/>
              </w:rPr>
            </w:pPr>
            <w:r w:rsidRPr="00EE0615">
              <w:rPr>
                <w:rFonts w:cs="Arial"/>
                <w:szCs w:val="18"/>
                <w:lang w:val="en-GB"/>
              </w:rPr>
              <w:t>13</w:t>
            </w:r>
          </w:p>
        </w:tc>
        <w:tc>
          <w:tcPr>
            <w:tcW w:w="469" w:type="pct"/>
            <w:shd w:val="clear" w:color="auto" w:fill="FFFFFF"/>
            <w:vAlign w:val="center"/>
          </w:tcPr>
          <w:p w14:paraId="7FC1205B" w14:textId="02B3F955" w:rsidR="00614DAB" w:rsidRPr="00EE0615" w:rsidRDefault="00614DAB" w:rsidP="00057DED">
            <w:pPr>
              <w:pStyle w:val="CETBodytext"/>
              <w:rPr>
                <w:rFonts w:cs="Arial"/>
                <w:szCs w:val="18"/>
                <w:lang w:val="en-GB"/>
              </w:rPr>
            </w:pPr>
            <w:r w:rsidRPr="00EE0615">
              <w:rPr>
                <w:rFonts w:cs="Arial"/>
                <w:szCs w:val="18"/>
                <w:lang w:val="en-GB"/>
              </w:rPr>
              <w:t>13</w:t>
            </w:r>
          </w:p>
        </w:tc>
        <w:tc>
          <w:tcPr>
            <w:tcW w:w="469" w:type="pct"/>
            <w:shd w:val="clear" w:color="auto" w:fill="FFFFFF"/>
            <w:vAlign w:val="center"/>
          </w:tcPr>
          <w:p w14:paraId="2F034942" w14:textId="4D70D28C" w:rsidR="00614DAB" w:rsidRPr="00EE0615" w:rsidRDefault="00614DAB" w:rsidP="00057DED">
            <w:pPr>
              <w:pStyle w:val="CETBodytext"/>
              <w:rPr>
                <w:rFonts w:cs="Arial"/>
                <w:szCs w:val="18"/>
                <w:lang w:val="en-GB"/>
              </w:rPr>
            </w:pPr>
            <w:r w:rsidRPr="00EE0615">
              <w:rPr>
                <w:rFonts w:cs="Arial"/>
                <w:szCs w:val="18"/>
                <w:lang w:val="en-GB"/>
              </w:rPr>
              <w:t>13</w:t>
            </w:r>
          </w:p>
        </w:tc>
        <w:tc>
          <w:tcPr>
            <w:tcW w:w="467" w:type="pct"/>
            <w:shd w:val="clear" w:color="auto" w:fill="FFFFFF"/>
            <w:vAlign w:val="center"/>
          </w:tcPr>
          <w:p w14:paraId="2C1E28BE" w14:textId="7C4A2631" w:rsidR="00614DAB" w:rsidRPr="00EE0615" w:rsidRDefault="00614DAB" w:rsidP="00057DED">
            <w:pPr>
              <w:pStyle w:val="CETBodytext"/>
              <w:rPr>
                <w:rFonts w:cs="Arial"/>
                <w:szCs w:val="18"/>
                <w:lang w:val="en-GB"/>
              </w:rPr>
            </w:pPr>
            <w:r w:rsidRPr="00EE0615">
              <w:rPr>
                <w:rFonts w:cs="Arial"/>
                <w:szCs w:val="18"/>
                <w:lang w:val="en-GB"/>
              </w:rPr>
              <w:t>13</w:t>
            </w:r>
          </w:p>
        </w:tc>
      </w:tr>
      <w:tr w:rsidR="00614DAB" w:rsidRPr="00B57B36" w14:paraId="35FCEDA5" w14:textId="77777777" w:rsidTr="00057DED">
        <w:tc>
          <w:tcPr>
            <w:tcW w:w="2188" w:type="pct"/>
            <w:shd w:val="clear" w:color="auto" w:fill="FFFFFF"/>
            <w:vAlign w:val="center"/>
          </w:tcPr>
          <w:p w14:paraId="64C8812C" w14:textId="43A814C5" w:rsidR="00614DAB" w:rsidRPr="00EE0615" w:rsidRDefault="00614DAB" w:rsidP="00057DED">
            <w:pPr>
              <w:pStyle w:val="CETBodytext"/>
              <w:rPr>
                <w:rFonts w:cs="Arial"/>
                <w:szCs w:val="18"/>
                <w:lang w:val="en-GB"/>
              </w:rPr>
            </w:pPr>
            <w:r w:rsidRPr="00EE0615">
              <w:rPr>
                <w:rFonts w:cs="Arial"/>
                <w:szCs w:val="18"/>
              </w:rPr>
              <w:t xml:space="preserve">Inlet steam/carbon ratio </w:t>
            </w:r>
            <w:r w:rsidRPr="00EE0615">
              <w:rPr>
                <w:rFonts w:eastAsia="Cambria Math" w:cs="Arial"/>
                <w:szCs w:val="18"/>
              </w:rPr>
              <w:t>α</w:t>
            </w:r>
            <w:r w:rsidRPr="00EE0615">
              <w:rPr>
                <w:rFonts w:eastAsia="Cambria Math" w:cs="Arial"/>
                <w:szCs w:val="18"/>
                <w:vertAlign w:val="subscript"/>
              </w:rPr>
              <w:t>in</w:t>
            </w:r>
            <w:r w:rsidRPr="00EE0615">
              <w:rPr>
                <w:rFonts w:cs="Arial"/>
                <w:szCs w:val="18"/>
              </w:rPr>
              <w:t xml:space="preserve"> [mol/mol]</w:t>
            </w:r>
          </w:p>
        </w:tc>
        <w:tc>
          <w:tcPr>
            <w:tcW w:w="469" w:type="pct"/>
            <w:shd w:val="clear" w:color="auto" w:fill="FFFFFF"/>
            <w:vAlign w:val="center"/>
          </w:tcPr>
          <w:p w14:paraId="7B10679F" w14:textId="2231A3DB" w:rsidR="00614DAB" w:rsidRPr="00EE0615" w:rsidRDefault="00614DAB" w:rsidP="00057DED">
            <w:pPr>
              <w:pStyle w:val="CETBodytext"/>
              <w:rPr>
                <w:rFonts w:cs="Arial"/>
                <w:szCs w:val="18"/>
                <w:lang w:val="en-GB"/>
              </w:rPr>
            </w:pPr>
            <w:r w:rsidRPr="00EE0615">
              <w:rPr>
                <w:rFonts w:cs="Arial"/>
                <w:szCs w:val="18"/>
                <w:lang w:val="en-GB"/>
              </w:rPr>
              <w:t>19.3</w:t>
            </w:r>
          </w:p>
        </w:tc>
        <w:tc>
          <w:tcPr>
            <w:tcW w:w="469" w:type="pct"/>
            <w:shd w:val="clear" w:color="auto" w:fill="FFFFFF"/>
            <w:vAlign w:val="center"/>
          </w:tcPr>
          <w:p w14:paraId="3F643B85" w14:textId="6567DDAD" w:rsidR="00614DAB" w:rsidRPr="00EE0615" w:rsidRDefault="00614DAB" w:rsidP="00057DED">
            <w:pPr>
              <w:pStyle w:val="CETBodytext"/>
              <w:rPr>
                <w:rFonts w:cs="Arial"/>
                <w:szCs w:val="18"/>
                <w:lang w:val="en-GB"/>
              </w:rPr>
            </w:pPr>
            <w:r w:rsidRPr="00EE0615">
              <w:rPr>
                <w:rFonts w:cs="Arial"/>
                <w:szCs w:val="18"/>
                <w:lang w:val="en-GB"/>
              </w:rPr>
              <w:t>19.3</w:t>
            </w:r>
          </w:p>
        </w:tc>
        <w:tc>
          <w:tcPr>
            <w:tcW w:w="469" w:type="pct"/>
            <w:shd w:val="clear" w:color="auto" w:fill="FFFFFF"/>
            <w:vAlign w:val="center"/>
          </w:tcPr>
          <w:p w14:paraId="034C216E" w14:textId="5CB01CDF" w:rsidR="00614DAB" w:rsidRPr="00EE0615" w:rsidRDefault="00614DAB" w:rsidP="00057DED">
            <w:pPr>
              <w:pStyle w:val="CETBodytext"/>
              <w:rPr>
                <w:rFonts w:cs="Arial"/>
                <w:szCs w:val="18"/>
                <w:lang w:val="en-GB"/>
              </w:rPr>
            </w:pPr>
            <w:r w:rsidRPr="00EE0615">
              <w:rPr>
                <w:rFonts w:cs="Arial"/>
                <w:szCs w:val="18"/>
                <w:lang w:val="en-GB"/>
              </w:rPr>
              <w:t>19.3</w:t>
            </w:r>
          </w:p>
        </w:tc>
        <w:tc>
          <w:tcPr>
            <w:tcW w:w="469" w:type="pct"/>
            <w:shd w:val="clear" w:color="auto" w:fill="FFFFFF"/>
            <w:vAlign w:val="center"/>
          </w:tcPr>
          <w:p w14:paraId="1AAB30B6" w14:textId="6B508DD8" w:rsidR="00614DAB" w:rsidRPr="00EE0615" w:rsidRDefault="00614DAB" w:rsidP="00057DED">
            <w:pPr>
              <w:pStyle w:val="CETBodytext"/>
              <w:rPr>
                <w:rFonts w:cs="Arial"/>
                <w:szCs w:val="18"/>
                <w:lang w:val="en-GB"/>
              </w:rPr>
            </w:pPr>
            <w:r w:rsidRPr="00EE0615">
              <w:rPr>
                <w:rFonts w:cs="Arial"/>
                <w:szCs w:val="18"/>
                <w:lang w:val="en-GB"/>
              </w:rPr>
              <w:t>19.3</w:t>
            </w:r>
          </w:p>
        </w:tc>
        <w:tc>
          <w:tcPr>
            <w:tcW w:w="469" w:type="pct"/>
            <w:shd w:val="clear" w:color="auto" w:fill="FFFFFF"/>
            <w:vAlign w:val="center"/>
          </w:tcPr>
          <w:p w14:paraId="34786EFE" w14:textId="0C5E9AD2" w:rsidR="00614DAB" w:rsidRPr="00EE0615" w:rsidRDefault="00614DAB" w:rsidP="00057DED">
            <w:pPr>
              <w:pStyle w:val="CETBodytext"/>
              <w:rPr>
                <w:rFonts w:cs="Arial"/>
                <w:szCs w:val="18"/>
                <w:lang w:val="en-GB"/>
              </w:rPr>
            </w:pPr>
            <w:r w:rsidRPr="00EE0615">
              <w:rPr>
                <w:rFonts w:cs="Arial"/>
                <w:szCs w:val="18"/>
                <w:lang w:val="en-GB"/>
              </w:rPr>
              <w:t>19.3</w:t>
            </w:r>
          </w:p>
        </w:tc>
        <w:tc>
          <w:tcPr>
            <w:tcW w:w="467" w:type="pct"/>
            <w:shd w:val="clear" w:color="auto" w:fill="FFFFFF"/>
            <w:vAlign w:val="center"/>
          </w:tcPr>
          <w:p w14:paraId="0B46CB96" w14:textId="24662DCD" w:rsidR="00614DAB" w:rsidRPr="00EE0615" w:rsidRDefault="00614DAB" w:rsidP="00057DED">
            <w:pPr>
              <w:pStyle w:val="CETBodytext"/>
              <w:rPr>
                <w:rFonts w:cs="Arial"/>
                <w:szCs w:val="18"/>
                <w:lang w:val="en-GB"/>
              </w:rPr>
            </w:pPr>
            <w:r w:rsidRPr="00EE0615">
              <w:rPr>
                <w:rFonts w:cs="Arial"/>
                <w:szCs w:val="18"/>
                <w:lang w:val="en-GB"/>
              </w:rPr>
              <w:t>19.3</w:t>
            </w:r>
          </w:p>
        </w:tc>
      </w:tr>
      <w:tr w:rsidR="00614DAB" w:rsidRPr="00B57B36" w14:paraId="67112D78" w14:textId="77777777" w:rsidTr="00057DED">
        <w:tc>
          <w:tcPr>
            <w:tcW w:w="2188" w:type="pct"/>
            <w:shd w:val="clear" w:color="auto" w:fill="FFFFFF"/>
            <w:vAlign w:val="center"/>
          </w:tcPr>
          <w:p w14:paraId="1629F818" w14:textId="7E7F03AA" w:rsidR="00614DAB" w:rsidRPr="00EE0615" w:rsidRDefault="00614DAB" w:rsidP="00057DED">
            <w:pPr>
              <w:pStyle w:val="CETBodytext"/>
              <w:rPr>
                <w:rFonts w:cs="Arial"/>
                <w:szCs w:val="18"/>
                <w:lang w:val="en-GB"/>
              </w:rPr>
            </w:pPr>
            <w:r w:rsidRPr="00EE0615">
              <w:rPr>
                <w:rFonts w:cs="Arial"/>
                <w:szCs w:val="18"/>
              </w:rPr>
              <w:t>CH to CO</w:t>
            </w:r>
            <w:r w:rsidRPr="00EE0615">
              <w:rPr>
                <w:rFonts w:cs="Arial"/>
                <w:szCs w:val="18"/>
                <w:vertAlign w:val="subscript"/>
              </w:rPr>
              <w:t>x</w:t>
            </w:r>
            <w:r w:rsidRPr="00EE0615">
              <w:rPr>
                <w:rFonts w:cs="Arial"/>
                <w:szCs w:val="18"/>
              </w:rPr>
              <w:t xml:space="preserve"> conversion </w:t>
            </w:r>
            <w:r w:rsidRPr="00EE0615">
              <w:rPr>
                <w:rFonts w:eastAsia="Cambria Math" w:cs="Arial"/>
                <w:szCs w:val="18"/>
              </w:rPr>
              <w:t>χ</w:t>
            </w:r>
            <w:r w:rsidRPr="00EE0615">
              <w:rPr>
                <w:rFonts w:eastAsia="Cambria Math" w:cs="Arial"/>
                <w:szCs w:val="18"/>
                <w:vertAlign w:val="subscript"/>
              </w:rPr>
              <w:t>C</w:t>
            </w:r>
            <w:r w:rsidR="00E3466B">
              <w:rPr>
                <w:rFonts w:eastAsia="Cambria Math" w:cs="Arial"/>
                <w:szCs w:val="18"/>
                <w:vertAlign w:val="subscript"/>
              </w:rPr>
              <w:t>tar</w:t>
            </w:r>
            <w:r w:rsidR="00057DED" w:rsidRPr="00EE0615">
              <w:rPr>
                <w:rFonts w:eastAsia="Cambria Math" w:cs="Arial"/>
                <w:szCs w:val="18"/>
                <w:vertAlign w:val="subscript"/>
              </w:rPr>
              <w:t>, out</w:t>
            </w:r>
            <w:r w:rsidRPr="00EE0615">
              <w:rPr>
                <w:rFonts w:cs="Arial"/>
                <w:szCs w:val="18"/>
              </w:rPr>
              <w:t xml:space="preserve"> [%]</w:t>
            </w:r>
          </w:p>
        </w:tc>
        <w:tc>
          <w:tcPr>
            <w:tcW w:w="469" w:type="pct"/>
            <w:shd w:val="clear" w:color="auto" w:fill="FFFFFF"/>
            <w:vAlign w:val="center"/>
          </w:tcPr>
          <w:p w14:paraId="631F7CB2" w14:textId="0614245F" w:rsidR="00614DAB" w:rsidRPr="00EE0615" w:rsidRDefault="00614DAB" w:rsidP="00057DED">
            <w:pPr>
              <w:pStyle w:val="CETBodytext"/>
              <w:rPr>
                <w:rFonts w:cs="Arial"/>
                <w:szCs w:val="18"/>
                <w:lang w:val="en-GB"/>
              </w:rPr>
            </w:pPr>
            <w:r w:rsidRPr="00EE0615">
              <w:rPr>
                <w:rFonts w:ascii="Cambria Math" w:eastAsiaTheme="minorEastAsia" w:hAnsi="Cambria Math" w:cs="Cambria Math"/>
                <w:szCs w:val="18"/>
                <w:lang w:val="it-IT"/>
              </w:rPr>
              <w:t>∼</w:t>
            </w:r>
            <w:r w:rsidRPr="00EE0615">
              <w:rPr>
                <w:rFonts w:eastAsiaTheme="minorEastAsia" w:cs="Arial"/>
                <w:szCs w:val="18"/>
                <w:lang w:val="it-IT"/>
              </w:rPr>
              <w:t>100</w:t>
            </w:r>
          </w:p>
        </w:tc>
        <w:tc>
          <w:tcPr>
            <w:tcW w:w="469" w:type="pct"/>
            <w:shd w:val="clear" w:color="auto" w:fill="FFFFFF"/>
            <w:vAlign w:val="center"/>
          </w:tcPr>
          <w:p w14:paraId="49FF998C" w14:textId="4DC3FBE5" w:rsidR="00614DAB" w:rsidRPr="00EE0615" w:rsidRDefault="00614DAB" w:rsidP="00057DED">
            <w:pPr>
              <w:pStyle w:val="CETBodytext"/>
              <w:rPr>
                <w:rFonts w:cs="Arial"/>
                <w:szCs w:val="18"/>
                <w:lang w:val="en-GB"/>
              </w:rPr>
            </w:pPr>
            <w:r w:rsidRPr="00EE0615">
              <w:rPr>
                <w:rFonts w:cs="Arial"/>
                <w:szCs w:val="18"/>
                <w:lang w:val="en-GB"/>
              </w:rPr>
              <w:t>92.5</w:t>
            </w:r>
          </w:p>
        </w:tc>
        <w:tc>
          <w:tcPr>
            <w:tcW w:w="469" w:type="pct"/>
            <w:shd w:val="clear" w:color="auto" w:fill="FFFFFF"/>
            <w:vAlign w:val="center"/>
          </w:tcPr>
          <w:p w14:paraId="6DB26460" w14:textId="72A3608C" w:rsidR="00614DAB" w:rsidRPr="00EE0615" w:rsidRDefault="00614DAB" w:rsidP="00057DED">
            <w:pPr>
              <w:pStyle w:val="CETBodytext"/>
              <w:rPr>
                <w:rFonts w:cs="Arial"/>
                <w:szCs w:val="18"/>
                <w:lang w:val="en-GB"/>
              </w:rPr>
            </w:pPr>
            <w:r w:rsidRPr="00EE0615">
              <w:rPr>
                <w:rFonts w:cs="Arial"/>
                <w:szCs w:val="18"/>
                <w:lang w:val="en-GB"/>
              </w:rPr>
              <w:t>79.1</w:t>
            </w:r>
          </w:p>
        </w:tc>
        <w:tc>
          <w:tcPr>
            <w:tcW w:w="469" w:type="pct"/>
            <w:shd w:val="clear" w:color="auto" w:fill="FFFFFF"/>
            <w:vAlign w:val="center"/>
          </w:tcPr>
          <w:p w14:paraId="6FC1B2E1" w14:textId="00BBCB55" w:rsidR="00614DAB" w:rsidRPr="00EE0615" w:rsidRDefault="00614DAB" w:rsidP="00057DED">
            <w:pPr>
              <w:pStyle w:val="CETBodytext"/>
              <w:rPr>
                <w:rFonts w:cs="Arial"/>
                <w:szCs w:val="18"/>
                <w:lang w:val="en-GB"/>
              </w:rPr>
            </w:pPr>
            <w:r w:rsidRPr="00EE0615">
              <w:rPr>
                <w:rFonts w:ascii="Cambria Math" w:hAnsi="Cambria Math" w:cs="Cambria Math"/>
                <w:szCs w:val="18"/>
              </w:rPr>
              <w:t>∼</w:t>
            </w:r>
            <w:r w:rsidRPr="00EE0615">
              <w:rPr>
                <w:rFonts w:cs="Arial"/>
                <w:szCs w:val="18"/>
                <w:lang w:val="en-GB"/>
              </w:rPr>
              <w:t>100</w:t>
            </w:r>
          </w:p>
        </w:tc>
        <w:tc>
          <w:tcPr>
            <w:tcW w:w="469" w:type="pct"/>
            <w:shd w:val="clear" w:color="auto" w:fill="FFFFFF"/>
            <w:vAlign w:val="center"/>
          </w:tcPr>
          <w:p w14:paraId="74F85340" w14:textId="3F7421B8" w:rsidR="00614DAB" w:rsidRPr="00EE0615" w:rsidRDefault="00614DAB" w:rsidP="00057DED">
            <w:pPr>
              <w:pStyle w:val="CETBodytext"/>
              <w:rPr>
                <w:rFonts w:cs="Arial"/>
                <w:szCs w:val="18"/>
                <w:lang w:val="en-GB"/>
              </w:rPr>
            </w:pPr>
            <w:r w:rsidRPr="00EE0615">
              <w:rPr>
                <w:rFonts w:cs="Arial"/>
                <w:szCs w:val="18"/>
                <w:lang w:val="en-GB"/>
              </w:rPr>
              <w:t>60.2</w:t>
            </w:r>
          </w:p>
        </w:tc>
        <w:tc>
          <w:tcPr>
            <w:tcW w:w="467" w:type="pct"/>
            <w:shd w:val="clear" w:color="auto" w:fill="FFFFFF"/>
            <w:vAlign w:val="center"/>
          </w:tcPr>
          <w:p w14:paraId="759EC5A4" w14:textId="653E5F44" w:rsidR="00614DAB" w:rsidRPr="00EE0615" w:rsidRDefault="00614DAB" w:rsidP="00057DED">
            <w:pPr>
              <w:pStyle w:val="CETBodytext"/>
              <w:rPr>
                <w:rFonts w:cs="Arial"/>
                <w:szCs w:val="18"/>
                <w:lang w:val="en-GB"/>
              </w:rPr>
            </w:pPr>
            <w:r w:rsidRPr="00EE0615">
              <w:rPr>
                <w:rFonts w:cs="Arial"/>
                <w:szCs w:val="18"/>
                <w:lang w:val="en-GB"/>
              </w:rPr>
              <w:t>52.9</w:t>
            </w:r>
          </w:p>
        </w:tc>
      </w:tr>
    </w:tbl>
    <w:p w14:paraId="256C24CA" w14:textId="0E2EFA4E" w:rsidR="00057DED" w:rsidRDefault="00057DED" w:rsidP="00A37873">
      <w:pPr>
        <w:pStyle w:val="CETBodytext"/>
        <w:rPr>
          <w:lang w:val="en-GB"/>
        </w:rPr>
      </w:pPr>
    </w:p>
    <w:p w14:paraId="15FE609A" w14:textId="17ECDF3B" w:rsidR="00057DED" w:rsidRDefault="00057DED" w:rsidP="00EE0615">
      <w:pPr>
        <w:pStyle w:val="CETTabletitle"/>
      </w:pPr>
      <w:r>
        <w:t xml:space="preserve">Table </w:t>
      </w:r>
      <w:r>
        <w:fldChar w:fldCharType="begin"/>
      </w:r>
      <w:r>
        <w:instrText xml:space="preserve"> SEQ Table \* ARABIC </w:instrText>
      </w:r>
      <w:r>
        <w:fldChar w:fldCharType="separate"/>
      </w:r>
      <w:r>
        <w:rPr>
          <w:noProof/>
        </w:rPr>
        <w:t>2</w:t>
      </w:r>
      <w:r>
        <w:fldChar w:fldCharType="end"/>
      </w:r>
      <w:r>
        <w:t>: O</w:t>
      </w:r>
      <w:r w:rsidRPr="00A87118">
        <w:t xml:space="preserve">perating conditions and test results for catalyst </w:t>
      </w:r>
      <w:r w:rsidR="00EE0615">
        <w:t>B</w:t>
      </w:r>
      <w: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846"/>
        <w:gridCol w:w="824"/>
        <w:gridCol w:w="824"/>
        <w:gridCol w:w="824"/>
        <w:gridCol w:w="824"/>
        <w:gridCol w:w="824"/>
        <w:gridCol w:w="821"/>
      </w:tblGrid>
      <w:tr w:rsidR="00057DED" w:rsidRPr="00B57B36" w14:paraId="507313C0" w14:textId="77777777" w:rsidTr="00605635">
        <w:tc>
          <w:tcPr>
            <w:tcW w:w="2188" w:type="pct"/>
            <w:tcBorders>
              <w:top w:val="single" w:sz="12" w:space="0" w:color="008000"/>
              <w:bottom w:val="single" w:sz="6" w:space="0" w:color="008000"/>
            </w:tcBorders>
            <w:shd w:val="clear" w:color="auto" w:fill="FFFFFF"/>
          </w:tcPr>
          <w:p w14:paraId="64245C11" w14:textId="5C4D6875" w:rsidR="00057DED" w:rsidRPr="00EE0615" w:rsidRDefault="00057DED" w:rsidP="009F0BC3">
            <w:pPr>
              <w:pStyle w:val="CETBodytext"/>
              <w:rPr>
                <w:rFonts w:cs="Arial"/>
                <w:szCs w:val="18"/>
              </w:rPr>
            </w:pPr>
            <w:r w:rsidRPr="00EE0615">
              <w:rPr>
                <w:rFonts w:cs="Arial"/>
                <w:szCs w:val="18"/>
              </w:rPr>
              <w:t xml:space="preserve">TEST Catalyst </w:t>
            </w:r>
            <w:r w:rsidR="009F0BC3">
              <w:rPr>
                <w:rFonts w:cs="Arial"/>
                <w:szCs w:val="18"/>
              </w:rPr>
              <w:t>B</w:t>
            </w:r>
          </w:p>
        </w:tc>
        <w:tc>
          <w:tcPr>
            <w:tcW w:w="469" w:type="pct"/>
            <w:tcBorders>
              <w:top w:val="single" w:sz="12" w:space="0" w:color="008000"/>
              <w:bottom w:val="single" w:sz="6" w:space="0" w:color="008000"/>
            </w:tcBorders>
            <w:shd w:val="clear" w:color="auto" w:fill="FFFFFF"/>
          </w:tcPr>
          <w:p w14:paraId="61ECD66F" w14:textId="690D084E" w:rsidR="00057DED" w:rsidRPr="00EE0615" w:rsidRDefault="00057DED" w:rsidP="00605635">
            <w:pPr>
              <w:pStyle w:val="CETBodytext"/>
              <w:rPr>
                <w:rFonts w:cs="Arial"/>
                <w:szCs w:val="18"/>
                <w:lang w:val="en-GB"/>
              </w:rPr>
            </w:pPr>
            <w:r w:rsidRPr="00EE0615">
              <w:rPr>
                <w:rFonts w:cs="Arial"/>
                <w:szCs w:val="18"/>
              </w:rPr>
              <w:t>7</w:t>
            </w:r>
          </w:p>
        </w:tc>
        <w:tc>
          <w:tcPr>
            <w:tcW w:w="469" w:type="pct"/>
            <w:tcBorders>
              <w:top w:val="single" w:sz="12" w:space="0" w:color="008000"/>
              <w:bottom w:val="single" w:sz="6" w:space="0" w:color="008000"/>
            </w:tcBorders>
            <w:shd w:val="clear" w:color="auto" w:fill="FFFFFF"/>
          </w:tcPr>
          <w:p w14:paraId="55EB4D7E" w14:textId="2D6B6E2E" w:rsidR="00057DED" w:rsidRPr="00EE0615" w:rsidRDefault="00057DED" w:rsidP="00605635">
            <w:pPr>
              <w:pStyle w:val="CETBodytext"/>
              <w:rPr>
                <w:rFonts w:cs="Arial"/>
                <w:szCs w:val="18"/>
                <w:lang w:val="en-GB"/>
              </w:rPr>
            </w:pPr>
            <w:r w:rsidRPr="00EE0615">
              <w:rPr>
                <w:rFonts w:cs="Arial"/>
                <w:szCs w:val="18"/>
              </w:rPr>
              <w:t>8</w:t>
            </w:r>
          </w:p>
        </w:tc>
        <w:tc>
          <w:tcPr>
            <w:tcW w:w="469" w:type="pct"/>
            <w:tcBorders>
              <w:top w:val="single" w:sz="12" w:space="0" w:color="008000"/>
              <w:bottom w:val="single" w:sz="6" w:space="0" w:color="008000"/>
            </w:tcBorders>
            <w:shd w:val="clear" w:color="auto" w:fill="FFFFFF"/>
          </w:tcPr>
          <w:p w14:paraId="3F08CD90" w14:textId="689BD337" w:rsidR="00057DED" w:rsidRPr="00EE0615" w:rsidRDefault="00057DED" w:rsidP="00605635">
            <w:pPr>
              <w:pStyle w:val="CETBodytext"/>
              <w:rPr>
                <w:rFonts w:cs="Arial"/>
                <w:szCs w:val="18"/>
                <w:lang w:val="en-GB"/>
              </w:rPr>
            </w:pPr>
            <w:r w:rsidRPr="00EE0615">
              <w:rPr>
                <w:rFonts w:cs="Arial"/>
                <w:szCs w:val="18"/>
                <w:lang w:val="en-GB"/>
              </w:rPr>
              <w:t>9</w:t>
            </w:r>
          </w:p>
        </w:tc>
        <w:tc>
          <w:tcPr>
            <w:tcW w:w="469" w:type="pct"/>
            <w:tcBorders>
              <w:top w:val="single" w:sz="12" w:space="0" w:color="008000"/>
              <w:bottom w:val="single" w:sz="6" w:space="0" w:color="008000"/>
            </w:tcBorders>
            <w:shd w:val="clear" w:color="auto" w:fill="FFFFFF"/>
          </w:tcPr>
          <w:p w14:paraId="4FC2F1A4" w14:textId="06E23301" w:rsidR="00057DED" w:rsidRPr="00EE0615" w:rsidRDefault="00057DED" w:rsidP="00605635">
            <w:pPr>
              <w:pStyle w:val="CETBodytext"/>
              <w:rPr>
                <w:rFonts w:cs="Arial"/>
                <w:szCs w:val="18"/>
                <w:lang w:val="en-GB"/>
              </w:rPr>
            </w:pPr>
            <w:r w:rsidRPr="00EE0615">
              <w:rPr>
                <w:rFonts w:cs="Arial"/>
                <w:szCs w:val="18"/>
                <w:lang w:val="en-GB"/>
              </w:rPr>
              <w:t>10</w:t>
            </w:r>
          </w:p>
        </w:tc>
        <w:tc>
          <w:tcPr>
            <w:tcW w:w="469" w:type="pct"/>
            <w:tcBorders>
              <w:top w:val="single" w:sz="12" w:space="0" w:color="008000"/>
              <w:bottom w:val="single" w:sz="6" w:space="0" w:color="008000"/>
            </w:tcBorders>
            <w:shd w:val="clear" w:color="auto" w:fill="FFFFFF"/>
          </w:tcPr>
          <w:p w14:paraId="04BD02BD" w14:textId="42D391D0" w:rsidR="00057DED" w:rsidRPr="00EE0615" w:rsidRDefault="00057DED" w:rsidP="00605635">
            <w:pPr>
              <w:pStyle w:val="CETBodytext"/>
              <w:rPr>
                <w:rFonts w:cs="Arial"/>
                <w:szCs w:val="18"/>
                <w:lang w:val="en-GB"/>
              </w:rPr>
            </w:pPr>
            <w:r w:rsidRPr="00EE0615">
              <w:rPr>
                <w:rFonts w:cs="Arial"/>
                <w:szCs w:val="18"/>
                <w:lang w:val="en-GB"/>
              </w:rPr>
              <w:t>11</w:t>
            </w:r>
          </w:p>
        </w:tc>
        <w:tc>
          <w:tcPr>
            <w:tcW w:w="467" w:type="pct"/>
            <w:tcBorders>
              <w:top w:val="single" w:sz="12" w:space="0" w:color="008000"/>
              <w:bottom w:val="single" w:sz="6" w:space="0" w:color="008000"/>
            </w:tcBorders>
            <w:shd w:val="clear" w:color="auto" w:fill="FFFFFF"/>
          </w:tcPr>
          <w:p w14:paraId="621EBE30" w14:textId="6A380B52" w:rsidR="00057DED" w:rsidRPr="00EE0615" w:rsidRDefault="00057DED" w:rsidP="00605635">
            <w:pPr>
              <w:pStyle w:val="CETBodytext"/>
              <w:rPr>
                <w:rFonts w:cs="Arial"/>
                <w:szCs w:val="18"/>
                <w:lang w:val="en-GB"/>
              </w:rPr>
            </w:pPr>
            <w:r w:rsidRPr="00EE0615">
              <w:rPr>
                <w:rFonts w:cs="Arial"/>
                <w:szCs w:val="18"/>
                <w:lang w:val="en-GB"/>
              </w:rPr>
              <w:t>12</w:t>
            </w:r>
          </w:p>
        </w:tc>
      </w:tr>
      <w:tr w:rsidR="00057DED" w:rsidRPr="00B57B36" w14:paraId="6248E0A5" w14:textId="77777777" w:rsidTr="00605635">
        <w:tc>
          <w:tcPr>
            <w:tcW w:w="2188" w:type="pct"/>
            <w:shd w:val="clear" w:color="auto" w:fill="FFFFFF"/>
            <w:vAlign w:val="center"/>
          </w:tcPr>
          <w:p w14:paraId="69C97E32" w14:textId="77777777" w:rsidR="00057DED" w:rsidRPr="00EE0615" w:rsidRDefault="00057DED" w:rsidP="00605635">
            <w:pPr>
              <w:pStyle w:val="CETBodytext"/>
              <w:rPr>
                <w:rFonts w:cs="Arial"/>
                <w:szCs w:val="18"/>
                <w:lang w:val="en-GB"/>
              </w:rPr>
            </w:pPr>
            <w:r w:rsidRPr="00EE0615">
              <w:rPr>
                <w:rFonts w:cs="Arial"/>
                <w:szCs w:val="18"/>
              </w:rPr>
              <w:t xml:space="preserve">Pressure </w:t>
            </w:r>
            <w:r w:rsidRPr="00EE0615">
              <w:rPr>
                <w:rFonts w:eastAsia="Cambria Math" w:cs="Arial"/>
                <w:szCs w:val="18"/>
              </w:rPr>
              <w:t>P</w:t>
            </w:r>
            <w:r w:rsidRPr="00EE0615">
              <w:rPr>
                <w:rFonts w:cs="Arial"/>
                <w:szCs w:val="18"/>
              </w:rPr>
              <w:t xml:space="preserve"> [atm]</w:t>
            </w:r>
          </w:p>
        </w:tc>
        <w:tc>
          <w:tcPr>
            <w:tcW w:w="469" w:type="pct"/>
            <w:shd w:val="clear" w:color="auto" w:fill="FFFFFF"/>
            <w:vAlign w:val="center"/>
          </w:tcPr>
          <w:p w14:paraId="71FB2F02" w14:textId="77777777" w:rsidR="00057DED" w:rsidRPr="00EE0615" w:rsidRDefault="00057DED" w:rsidP="00605635">
            <w:pPr>
              <w:pStyle w:val="CETBodytext"/>
              <w:rPr>
                <w:rFonts w:cs="Arial"/>
                <w:szCs w:val="18"/>
                <w:lang w:val="en-GB"/>
              </w:rPr>
            </w:pPr>
            <w:r w:rsidRPr="00EE0615">
              <w:rPr>
                <w:rFonts w:cs="Arial"/>
                <w:szCs w:val="18"/>
              </w:rPr>
              <w:t>1</w:t>
            </w:r>
          </w:p>
        </w:tc>
        <w:tc>
          <w:tcPr>
            <w:tcW w:w="469" w:type="pct"/>
            <w:shd w:val="clear" w:color="auto" w:fill="FFFFFF"/>
            <w:vAlign w:val="center"/>
          </w:tcPr>
          <w:p w14:paraId="4C4760AD" w14:textId="77777777" w:rsidR="00057DED" w:rsidRPr="00EE0615" w:rsidRDefault="00057DED" w:rsidP="00605635">
            <w:pPr>
              <w:pStyle w:val="CETBodytext"/>
              <w:rPr>
                <w:rFonts w:cs="Arial"/>
                <w:szCs w:val="18"/>
                <w:lang w:val="en-GB"/>
              </w:rPr>
            </w:pPr>
            <w:r w:rsidRPr="00EE0615">
              <w:rPr>
                <w:rFonts w:cs="Arial"/>
                <w:szCs w:val="18"/>
              </w:rPr>
              <w:t>1</w:t>
            </w:r>
          </w:p>
        </w:tc>
        <w:tc>
          <w:tcPr>
            <w:tcW w:w="469" w:type="pct"/>
            <w:shd w:val="clear" w:color="auto" w:fill="FFFFFF"/>
            <w:vAlign w:val="center"/>
          </w:tcPr>
          <w:p w14:paraId="6954BDEA" w14:textId="77777777" w:rsidR="00057DED" w:rsidRPr="00EE0615" w:rsidRDefault="00057DED" w:rsidP="00605635">
            <w:pPr>
              <w:pStyle w:val="CETBodytext"/>
              <w:rPr>
                <w:rFonts w:cs="Arial"/>
                <w:szCs w:val="18"/>
                <w:lang w:val="en-GB"/>
              </w:rPr>
            </w:pPr>
            <w:r w:rsidRPr="00EE0615">
              <w:rPr>
                <w:rFonts w:cs="Arial"/>
                <w:szCs w:val="18"/>
              </w:rPr>
              <w:t>1</w:t>
            </w:r>
          </w:p>
        </w:tc>
        <w:tc>
          <w:tcPr>
            <w:tcW w:w="469" w:type="pct"/>
            <w:shd w:val="clear" w:color="auto" w:fill="FFFFFF"/>
            <w:vAlign w:val="center"/>
          </w:tcPr>
          <w:p w14:paraId="73069784" w14:textId="77777777" w:rsidR="00057DED" w:rsidRPr="00EE0615" w:rsidRDefault="00057DED" w:rsidP="00605635">
            <w:pPr>
              <w:pStyle w:val="CETBodytext"/>
              <w:rPr>
                <w:rFonts w:cs="Arial"/>
                <w:szCs w:val="18"/>
                <w:lang w:val="en-GB"/>
              </w:rPr>
            </w:pPr>
            <w:r w:rsidRPr="00EE0615">
              <w:rPr>
                <w:rFonts w:cs="Arial"/>
                <w:szCs w:val="18"/>
              </w:rPr>
              <w:t>1</w:t>
            </w:r>
          </w:p>
        </w:tc>
        <w:tc>
          <w:tcPr>
            <w:tcW w:w="469" w:type="pct"/>
            <w:shd w:val="clear" w:color="auto" w:fill="FFFFFF"/>
            <w:vAlign w:val="center"/>
          </w:tcPr>
          <w:p w14:paraId="5EEF972A" w14:textId="77777777" w:rsidR="00057DED" w:rsidRPr="00EE0615" w:rsidRDefault="00057DED" w:rsidP="00605635">
            <w:pPr>
              <w:pStyle w:val="CETBodytext"/>
              <w:rPr>
                <w:rFonts w:cs="Arial"/>
                <w:szCs w:val="18"/>
                <w:lang w:val="en-GB"/>
              </w:rPr>
            </w:pPr>
            <w:r w:rsidRPr="00EE0615">
              <w:rPr>
                <w:rFonts w:cs="Arial"/>
                <w:szCs w:val="18"/>
              </w:rPr>
              <w:t>1</w:t>
            </w:r>
          </w:p>
        </w:tc>
        <w:tc>
          <w:tcPr>
            <w:tcW w:w="467" w:type="pct"/>
            <w:shd w:val="clear" w:color="auto" w:fill="FFFFFF"/>
            <w:vAlign w:val="center"/>
          </w:tcPr>
          <w:p w14:paraId="28871BF9" w14:textId="77777777" w:rsidR="00057DED" w:rsidRPr="00EE0615" w:rsidRDefault="00057DED" w:rsidP="00605635">
            <w:pPr>
              <w:pStyle w:val="CETBodytext"/>
              <w:rPr>
                <w:rFonts w:cs="Arial"/>
                <w:szCs w:val="18"/>
                <w:lang w:val="en-GB"/>
              </w:rPr>
            </w:pPr>
            <w:r w:rsidRPr="00EE0615">
              <w:rPr>
                <w:rFonts w:cs="Arial"/>
                <w:szCs w:val="18"/>
              </w:rPr>
              <w:t>1</w:t>
            </w:r>
          </w:p>
        </w:tc>
      </w:tr>
      <w:tr w:rsidR="00057DED" w:rsidRPr="00B57B36" w14:paraId="605059CF" w14:textId="77777777" w:rsidTr="00605635">
        <w:tc>
          <w:tcPr>
            <w:tcW w:w="2188" w:type="pct"/>
            <w:shd w:val="clear" w:color="auto" w:fill="FFFFFF"/>
            <w:vAlign w:val="center"/>
          </w:tcPr>
          <w:p w14:paraId="20DEF4D5" w14:textId="77777777" w:rsidR="00057DED" w:rsidRPr="00EE0615" w:rsidRDefault="00057DED" w:rsidP="00605635">
            <w:pPr>
              <w:pStyle w:val="CETBodytext"/>
              <w:rPr>
                <w:rFonts w:cs="Arial"/>
                <w:szCs w:val="18"/>
                <w:lang w:val="en-GB"/>
              </w:rPr>
            </w:pPr>
            <w:r w:rsidRPr="00EE0615">
              <w:rPr>
                <w:rFonts w:cs="Arial"/>
                <w:szCs w:val="18"/>
              </w:rPr>
              <w:t xml:space="preserve">Temperature </w:t>
            </w:r>
            <w:r w:rsidRPr="00EE0615">
              <w:rPr>
                <w:rFonts w:eastAsia="Cambria Math" w:cs="Arial"/>
                <w:szCs w:val="18"/>
              </w:rPr>
              <w:t>T</w:t>
            </w:r>
            <w:r w:rsidRPr="00EE0615">
              <w:rPr>
                <w:rFonts w:cs="Arial"/>
                <w:szCs w:val="18"/>
              </w:rPr>
              <w:t xml:space="preserve"> [°C]</w:t>
            </w:r>
          </w:p>
        </w:tc>
        <w:tc>
          <w:tcPr>
            <w:tcW w:w="469" w:type="pct"/>
            <w:shd w:val="clear" w:color="auto" w:fill="FFFFFF"/>
            <w:vAlign w:val="center"/>
          </w:tcPr>
          <w:p w14:paraId="24634F85" w14:textId="77777777" w:rsidR="00057DED" w:rsidRPr="00EE0615" w:rsidRDefault="00057DED" w:rsidP="00605635">
            <w:pPr>
              <w:pStyle w:val="CETBodytext"/>
              <w:rPr>
                <w:rFonts w:cs="Arial"/>
                <w:szCs w:val="18"/>
                <w:lang w:val="en-GB"/>
              </w:rPr>
            </w:pPr>
            <w:r w:rsidRPr="00EE0615">
              <w:rPr>
                <w:rFonts w:cs="Arial"/>
                <w:szCs w:val="18"/>
              </w:rPr>
              <w:t>850</w:t>
            </w:r>
          </w:p>
        </w:tc>
        <w:tc>
          <w:tcPr>
            <w:tcW w:w="469" w:type="pct"/>
            <w:shd w:val="clear" w:color="auto" w:fill="FFFFFF"/>
            <w:vAlign w:val="center"/>
          </w:tcPr>
          <w:p w14:paraId="10EE6761" w14:textId="77777777" w:rsidR="00057DED" w:rsidRPr="00EE0615" w:rsidRDefault="00057DED" w:rsidP="00605635">
            <w:pPr>
              <w:pStyle w:val="CETBodytext"/>
              <w:rPr>
                <w:rFonts w:cs="Arial"/>
                <w:szCs w:val="18"/>
                <w:lang w:val="en-GB"/>
              </w:rPr>
            </w:pPr>
            <w:r w:rsidRPr="00EE0615">
              <w:rPr>
                <w:rFonts w:cs="Arial"/>
                <w:szCs w:val="18"/>
              </w:rPr>
              <w:t>800</w:t>
            </w:r>
          </w:p>
        </w:tc>
        <w:tc>
          <w:tcPr>
            <w:tcW w:w="469" w:type="pct"/>
            <w:shd w:val="clear" w:color="auto" w:fill="FFFFFF"/>
            <w:vAlign w:val="center"/>
          </w:tcPr>
          <w:p w14:paraId="2500A159" w14:textId="77777777" w:rsidR="00057DED" w:rsidRPr="00EE0615" w:rsidRDefault="00057DED" w:rsidP="00605635">
            <w:pPr>
              <w:pStyle w:val="CETBodytext"/>
              <w:rPr>
                <w:rFonts w:cs="Arial"/>
                <w:szCs w:val="18"/>
                <w:lang w:val="en-GB"/>
              </w:rPr>
            </w:pPr>
            <w:r w:rsidRPr="00EE0615">
              <w:rPr>
                <w:rFonts w:cs="Arial"/>
                <w:szCs w:val="18"/>
                <w:lang w:val="en-GB"/>
              </w:rPr>
              <w:t>750</w:t>
            </w:r>
          </w:p>
        </w:tc>
        <w:tc>
          <w:tcPr>
            <w:tcW w:w="469" w:type="pct"/>
            <w:shd w:val="clear" w:color="auto" w:fill="FFFFFF"/>
            <w:vAlign w:val="center"/>
          </w:tcPr>
          <w:p w14:paraId="243A9426" w14:textId="77777777" w:rsidR="00057DED" w:rsidRPr="00EE0615" w:rsidRDefault="00057DED" w:rsidP="00605635">
            <w:pPr>
              <w:pStyle w:val="CETBodytext"/>
              <w:rPr>
                <w:rFonts w:cs="Arial"/>
                <w:szCs w:val="18"/>
                <w:lang w:val="en-GB"/>
              </w:rPr>
            </w:pPr>
            <w:r w:rsidRPr="00EE0615">
              <w:rPr>
                <w:rFonts w:cs="Arial"/>
                <w:szCs w:val="18"/>
              </w:rPr>
              <w:t>850</w:t>
            </w:r>
          </w:p>
        </w:tc>
        <w:tc>
          <w:tcPr>
            <w:tcW w:w="469" w:type="pct"/>
            <w:shd w:val="clear" w:color="auto" w:fill="FFFFFF"/>
            <w:vAlign w:val="center"/>
          </w:tcPr>
          <w:p w14:paraId="76522DD9" w14:textId="77777777" w:rsidR="00057DED" w:rsidRPr="00EE0615" w:rsidRDefault="00057DED" w:rsidP="00605635">
            <w:pPr>
              <w:pStyle w:val="CETBodytext"/>
              <w:rPr>
                <w:rFonts w:cs="Arial"/>
                <w:szCs w:val="18"/>
                <w:lang w:val="en-GB"/>
              </w:rPr>
            </w:pPr>
            <w:r w:rsidRPr="00EE0615">
              <w:rPr>
                <w:rFonts w:cs="Arial"/>
                <w:szCs w:val="18"/>
              </w:rPr>
              <w:t>800</w:t>
            </w:r>
          </w:p>
        </w:tc>
        <w:tc>
          <w:tcPr>
            <w:tcW w:w="467" w:type="pct"/>
            <w:shd w:val="clear" w:color="auto" w:fill="FFFFFF"/>
            <w:vAlign w:val="center"/>
          </w:tcPr>
          <w:p w14:paraId="49B5D8F0" w14:textId="77777777" w:rsidR="00057DED" w:rsidRPr="00EE0615" w:rsidRDefault="00057DED" w:rsidP="00605635">
            <w:pPr>
              <w:pStyle w:val="CETBodytext"/>
              <w:rPr>
                <w:rFonts w:cs="Arial"/>
                <w:szCs w:val="18"/>
                <w:lang w:val="en-GB"/>
              </w:rPr>
            </w:pPr>
            <w:r w:rsidRPr="00EE0615">
              <w:rPr>
                <w:rFonts w:cs="Arial"/>
                <w:szCs w:val="18"/>
                <w:lang w:val="en-GB"/>
              </w:rPr>
              <w:t>750</w:t>
            </w:r>
          </w:p>
        </w:tc>
      </w:tr>
      <w:tr w:rsidR="00057DED" w:rsidRPr="00B57B36" w14:paraId="4BDEAC8A" w14:textId="77777777" w:rsidTr="00605635">
        <w:tc>
          <w:tcPr>
            <w:tcW w:w="2188" w:type="pct"/>
            <w:shd w:val="clear" w:color="auto" w:fill="FFFFFF"/>
            <w:vAlign w:val="center"/>
          </w:tcPr>
          <w:p w14:paraId="05924640" w14:textId="77777777" w:rsidR="00057DED" w:rsidRPr="00EE0615" w:rsidRDefault="00057DED" w:rsidP="00605635">
            <w:pPr>
              <w:pStyle w:val="CETBodytext"/>
              <w:rPr>
                <w:rFonts w:cs="Arial"/>
                <w:szCs w:val="18"/>
                <w:lang w:val="en-GB"/>
              </w:rPr>
            </w:pPr>
            <w:r w:rsidRPr="00EE0615">
              <w:rPr>
                <w:rFonts w:cs="Arial"/>
                <w:szCs w:val="18"/>
              </w:rPr>
              <w:t>GHSV [h</w:t>
            </w:r>
            <w:r w:rsidRPr="00EE0615">
              <w:rPr>
                <w:rFonts w:cs="Arial"/>
                <w:szCs w:val="18"/>
                <w:vertAlign w:val="superscript"/>
              </w:rPr>
              <w:t>-1</w:t>
            </w:r>
            <w:r w:rsidRPr="00EE0615">
              <w:rPr>
                <w:rFonts w:cs="Arial"/>
                <w:szCs w:val="18"/>
              </w:rPr>
              <w:t>]</w:t>
            </w:r>
          </w:p>
        </w:tc>
        <w:tc>
          <w:tcPr>
            <w:tcW w:w="469" w:type="pct"/>
            <w:shd w:val="clear" w:color="auto" w:fill="FFFFFF"/>
            <w:vAlign w:val="center"/>
          </w:tcPr>
          <w:p w14:paraId="579DB5E1" w14:textId="77777777" w:rsidR="00057DED" w:rsidRPr="00EE0615" w:rsidRDefault="00057DED" w:rsidP="00605635">
            <w:pPr>
              <w:pStyle w:val="CETBodytext"/>
              <w:rPr>
                <w:rFonts w:cs="Arial"/>
                <w:szCs w:val="18"/>
                <w:lang w:val="en-GB"/>
              </w:rPr>
            </w:pPr>
            <w:r w:rsidRPr="00EE0615">
              <w:rPr>
                <w:rFonts w:cs="Arial"/>
                <w:szCs w:val="18"/>
              </w:rPr>
              <w:t>4500</w:t>
            </w:r>
          </w:p>
        </w:tc>
        <w:tc>
          <w:tcPr>
            <w:tcW w:w="469" w:type="pct"/>
            <w:shd w:val="clear" w:color="auto" w:fill="FFFFFF"/>
            <w:vAlign w:val="center"/>
          </w:tcPr>
          <w:p w14:paraId="58574E28" w14:textId="77777777" w:rsidR="00057DED" w:rsidRPr="00EE0615" w:rsidRDefault="00057DED" w:rsidP="00605635">
            <w:pPr>
              <w:pStyle w:val="CETBodytext"/>
              <w:rPr>
                <w:rFonts w:cs="Arial"/>
                <w:szCs w:val="18"/>
                <w:lang w:val="en-GB"/>
              </w:rPr>
            </w:pPr>
            <w:r w:rsidRPr="00EE0615">
              <w:rPr>
                <w:rFonts w:cs="Arial"/>
                <w:szCs w:val="18"/>
              </w:rPr>
              <w:t>4500</w:t>
            </w:r>
          </w:p>
        </w:tc>
        <w:tc>
          <w:tcPr>
            <w:tcW w:w="469" w:type="pct"/>
            <w:shd w:val="clear" w:color="auto" w:fill="FFFFFF"/>
            <w:vAlign w:val="center"/>
          </w:tcPr>
          <w:p w14:paraId="285E3112" w14:textId="77777777" w:rsidR="00057DED" w:rsidRPr="00EE0615" w:rsidRDefault="00057DED" w:rsidP="00605635">
            <w:pPr>
              <w:pStyle w:val="CETBodytext"/>
              <w:rPr>
                <w:rFonts w:cs="Arial"/>
                <w:szCs w:val="18"/>
                <w:lang w:val="en-GB"/>
              </w:rPr>
            </w:pPr>
            <w:r w:rsidRPr="00EE0615">
              <w:rPr>
                <w:rFonts w:cs="Arial"/>
                <w:szCs w:val="18"/>
              </w:rPr>
              <w:t>4500</w:t>
            </w:r>
          </w:p>
        </w:tc>
        <w:tc>
          <w:tcPr>
            <w:tcW w:w="469" w:type="pct"/>
            <w:shd w:val="clear" w:color="auto" w:fill="FFFFFF"/>
            <w:vAlign w:val="center"/>
          </w:tcPr>
          <w:p w14:paraId="408D3F87" w14:textId="77777777" w:rsidR="00057DED" w:rsidRPr="00EE0615" w:rsidRDefault="00057DED" w:rsidP="00605635">
            <w:pPr>
              <w:pStyle w:val="CETBodytext"/>
              <w:rPr>
                <w:rFonts w:cs="Arial"/>
                <w:szCs w:val="18"/>
                <w:lang w:val="en-GB"/>
              </w:rPr>
            </w:pPr>
            <w:r w:rsidRPr="00EE0615">
              <w:rPr>
                <w:rFonts w:cs="Arial"/>
                <w:szCs w:val="18"/>
              </w:rPr>
              <w:t>4500</w:t>
            </w:r>
          </w:p>
        </w:tc>
        <w:tc>
          <w:tcPr>
            <w:tcW w:w="469" w:type="pct"/>
            <w:shd w:val="clear" w:color="auto" w:fill="FFFFFF"/>
            <w:vAlign w:val="center"/>
          </w:tcPr>
          <w:p w14:paraId="05CAFC88" w14:textId="77777777" w:rsidR="00057DED" w:rsidRPr="00EE0615" w:rsidRDefault="00057DED" w:rsidP="00605635">
            <w:pPr>
              <w:pStyle w:val="CETBodytext"/>
              <w:rPr>
                <w:rFonts w:cs="Arial"/>
                <w:szCs w:val="18"/>
                <w:lang w:val="en-GB"/>
              </w:rPr>
            </w:pPr>
            <w:r w:rsidRPr="00EE0615">
              <w:rPr>
                <w:rFonts w:cs="Arial"/>
                <w:szCs w:val="18"/>
              </w:rPr>
              <w:t>4500</w:t>
            </w:r>
          </w:p>
        </w:tc>
        <w:tc>
          <w:tcPr>
            <w:tcW w:w="467" w:type="pct"/>
            <w:shd w:val="clear" w:color="auto" w:fill="FFFFFF"/>
            <w:vAlign w:val="center"/>
          </w:tcPr>
          <w:p w14:paraId="5746A2C1" w14:textId="77777777" w:rsidR="00057DED" w:rsidRPr="00EE0615" w:rsidRDefault="00057DED" w:rsidP="00605635">
            <w:pPr>
              <w:pStyle w:val="CETBodytext"/>
              <w:rPr>
                <w:rFonts w:cs="Arial"/>
                <w:szCs w:val="18"/>
                <w:lang w:val="en-GB"/>
              </w:rPr>
            </w:pPr>
            <w:r w:rsidRPr="00EE0615">
              <w:rPr>
                <w:rFonts w:cs="Arial"/>
                <w:szCs w:val="18"/>
              </w:rPr>
              <w:t>4500</w:t>
            </w:r>
          </w:p>
        </w:tc>
      </w:tr>
      <w:tr w:rsidR="00057DED" w:rsidRPr="00B57B36" w14:paraId="20CE0AEA" w14:textId="77777777" w:rsidTr="00605635">
        <w:tc>
          <w:tcPr>
            <w:tcW w:w="2188" w:type="pct"/>
            <w:shd w:val="clear" w:color="auto" w:fill="FFFFFF"/>
            <w:vAlign w:val="center"/>
          </w:tcPr>
          <w:p w14:paraId="388E0F96" w14:textId="77777777" w:rsidR="00057DED" w:rsidRPr="00EE0615" w:rsidRDefault="00057DED" w:rsidP="00605635">
            <w:pPr>
              <w:pStyle w:val="CETBodytext"/>
              <w:rPr>
                <w:rFonts w:cs="Arial"/>
                <w:szCs w:val="18"/>
                <w:lang w:val="en-GB"/>
              </w:rPr>
            </w:pPr>
            <w:r w:rsidRPr="00EE0615">
              <w:rPr>
                <w:rFonts w:cs="Arial"/>
                <w:szCs w:val="18"/>
                <w:lang w:val="en-GB"/>
              </w:rPr>
              <w:t>Toluene/Naphthalene [g/g]</w:t>
            </w:r>
          </w:p>
        </w:tc>
        <w:tc>
          <w:tcPr>
            <w:tcW w:w="469" w:type="pct"/>
            <w:shd w:val="clear" w:color="auto" w:fill="FFFFFF"/>
            <w:vAlign w:val="center"/>
          </w:tcPr>
          <w:p w14:paraId="3CF8C515" w14:textId="77777777" w:rsidR="00057DED" w:rsidRPr="00EE0615" w:rsidRDefault="00057DED" w:rsidP="00605635">
            <w:pPr>
              <w:pStyle w:val="CETBodytext"/>
              <w:rPr>
                <w:rFonts w:cs="Arial"/>
                <w:szCs w:val="18"/>
                <w:lang w:val="en-GB"/>
              </w:rPr>
            </w:pPr>
            <w:r w:rsidRPr="00EE0615">
              <w:rPr>
                <w:rFonts w:cs="Arial"/>
                <w:szCs w:val="18"/>
              </w:rPr>
              <w:t>70/30</w:t>
            </w:r>
          </w:p>
        </w:tc>
        <w:tc>
          <w:tcPr>
            <w:tcW w:w="469" w:type="pct"/>
            <w:shd w:val="clear" w:color="auto" w:fill="FFFFFF"/>
            <w:vAlign w:val="center"/>
          </w:tcPr>
          <w:p w14:paraId="2EAD9D6F" w14:textId="77777777" w:rsidR="00057DED" w:rsidRPr="00EE0615" w:rsidRDefault="00057DED" w:rsidP="00605635">
            <w:pPr>
              <w:pStyle w:val="CETBodytext"/>
              <w:rPr>
                <w:rFonts w:cs="Arial"/>
                <w:szCs w:val="18"/>
                <w:lang w:val="en-GB"/>
              </w:rPr>
            </w:pPr>
            <w:r w:rsidRPr="00EE0615">
              <w:rPr>
                <w:rFonts w:cs="Arial"/>
                <w:szCs w:val="18"/>
              </w:rPr>
              <w:t>70/30</w:t>
            </w:r>
          </w:p>
        </w:tc>
        <w:tc>
          <w:tcPr>
            <w:tcW w:w="469" w:type="pct"/>
            <w:shd w:val="clear" w:color="auto" w:fill="FFFFFF"/>
            <w:vAlign w:val="center"/>
          </w:tcPr>
          <w:p w14:paraId="557D66E4" w14:textId="77777777" w:rsidR="00057DED" w:rsidRPr="00EE0615" w:rsidRDefault="00057DED" w:rsidP="00605635">
            <w:pPr>
              <w:pStyle w:val="CETBodytext"/>
              <w:rPr>
                <w:rFonts w:cs="Arial"/>
                <w:szCs w:val="18"/>
                <w:lang w:val="en-GB"/>
              </w:rPr>
            </w:pPr>
            <w:r w:rsidRPr="00EE0615">
              <w:rPr>
                <w:rFonts w:cs="Arial"/>
                <w:szCs w:val="18"/>
              </w:rPr>
              <w:t>70/30</w:t>
            </w:r>
          </w:p>
        </w:tc>
        <w:tc>
          <w:tcPr>
            <w:tcW w:w="469" w:type="pct"/>
            <w:shd w:val="clear" w:color="auto" w:fill="FFFFFF"/>
            <w:vAlign w:val="center"/>
          </w:tcPr>
          <w:p w14:paraId="46E1222D" w14:textId="77777777" w:rsidR="00057DED" w:rsidRPr="00EE0615" w:rsidRDefault="00057DED" w:rsidP="00605635">
            <w:pPr>
              <w:pStyle w:val="CETBodytext"/>
              <w:rPr>
                <w:rFonts w:cs="Arial"/>
                <w:szCs w:val="18"/>
                <w:lang w:val="en-GB"/>
              </w:rPr>
            </w:pPr>
            <w:r w:rsidRPr="00EE0615">
              <w:rPr>
                <w:rFonts w:cs="Arial"/>
                <w:szCs w:val="18"/>
              </w:rPr>
              <w:t>70/30</w:t>
            </w:r>
          </w:p>
        </w:tc>
        <w:tc>
          <w:tcPr>
            <w:tcW w:w="469" w:type="pct"/>
            <w:shd w:val="clear" w:color="auto" w:fill="FFFFFF"/>
            <w:vAlign w:val="center"/>
          </w:tcPr>
          <w:p w14:paraId="45E90106" w14:textId="77777777" w:rsidR="00057DED" w:rsidRPr="00EE0615" w:rsidRDefault="00057DED" w:rsidP="00605635">
            <w:pPr>
              <w:pStyle w:val="CETBodytext"/>
              <w:rPr>
                <w:rFonts w:cs="Arial"/>
                <w:szCs w:val="18"/>
                <w:lang w:val="en-GB"/>
              </w:rPr>
            </w:pPr>
            <w:r w:rsidRPr="00EE0615">
              <w:rPr>
                <w:rFonts w:cs="Arial"/>
                <w:szCs w:val="18"/>
              </w:rPr>
              <w:t>70/30</w:t>
            </w:r>
          </w:p>
        </w:tc>
        <w:tc>
          <w:tcPr>
            <w:tcW w:w="467" w:type="pct"/>
            <w:shd w:val="clear" w:color="auto" w:fill="FFFFFF"/>
            <w:vAlign w:val="center"/>
          </w:tcPr>
          <w:p w14:paraId="16D91381" w14:textId="77777777" w:rsidR="00057DED" w:rsidRPr="00EE0615" w:rsidRDefault="00057DED" w:rsidP="00605635">
            <w:pPr>
              <w:pStyle w:val="CETBodytext"/>
              <w:rPr>
                <w:rFonts w:cs="Arial"/>
                <w:szCs w:val="18"/>
                <w:lang w:val="en-GB"/>
              </w:rPr>
            </w:pPr>
            <w:r w:rsidRPr="00EE0615">
              <w:rPr>
                <w:rFonts w:cs="Arial"/>
                <w:szCs w:val="18"/>
              </w:rPr>
              <w:t>70/30</w:t>
            </w:r>
          </w:p>
        </w:tc>
      </w:tr>
      <w:tr w:rsidR="00057DED" w:rsidRPr="00B57B36" w14:paraId="189557F2" w14:textId="77777777" w:rsidTr="00605635">
        <w:tc>
          <w:tcPr>
            <w:tcW w:w="2188" w:type="pct"/>
            <w:shd w:val="clear" w:color="auto" w:fill="FFFFFF"/>
            <w:vAlign w:val="center"/>
          </w:tcPr>
          <w:p w14:paraId="1B857EB0" w14:textId="77777777" w:rsidR="00057DED" w:rsidRPr="00EE0615" w:rsidRDefault="00057DED" w:rsidP="00605635">
            <w:pPr>
              <w:pStyle w:val="CETBodytext"/>
              <w:rPr>
                <w:rFonts w:cs="Arial"/>
                <w:szCs w:val="18"/>
                <w:lang w:val="en-GB"/>
              </w:rPr>
            </w:pPr>
            <w:r w:rsidRPr="00EE0615">
              <w:rPr>
                <w:rFonts w:cs="Arial"/>
                <w:szCs w:val="18"/>
                <w:lang w:val="en-GB"/>
              </w:rPr>
              <w:t>Thiophene (H</w:t>
            </w:r>
            <w:r w:rsidRPr="00EE0615">
              <w:rPr>
                <w:rFonts w:cs="Arial"/>
                <w:szCs w:val="18"/>
                <w:vertAlign w:val="subscript"/>
                <w:lang w:val="en-GB"/>
              </w:rPr>
              <w:t>2</w:t>
            </w:r>
            <w:r w:rsidRPr="00EE0615">
              <w:rPr>
                <w:rFonts w:cs="Arial"/>
                <w:szCs w:val="18"/>
                <w:lang w:val="en-GB"/>
              </w:rPr>
              <w:t>S equiv) [ppm]</w:t>
            </w:r>
          </w:p>
        </w:tc>
        <w:tc>
          <w:tcPr>
            <w:tcW w:w="469" w:type="pct"/>
            <w:shd w:val="clear" w:color="auto" w:fill="FFFFFF"/>
            <w:vAlign w:val="center"/>
          </w:tcPr>
          <w:p w14:paraId="6B59EAF2" w14:textId="77777777" w:rsidR="00057DED" w:rsidRPr="00EE0615" w:rsidRDefault="00057DED" w:rsidP="00605635">
            <w:pPr>
              <w:pStyle w:val="CETBodytext"/>
              <w:rPr>
                <w:rFonts w:cs="Arial"/>
                <w:szCs w:val="18"/>
                <w:lang w:val="en-GB"/>
              </w:rPr>
            </w:pPr>
            <w:r w:rsidRPr="00EE0615">
              <w:rPr>
                <w:rFonts w:cs="Arial"/>
                <w:szCs w:val="18"/>
              </w:rPr>
              <w:t>50</w:t>
            </w:r>
          </w:p>
        </w:tc>
        <w:tc>
          <w:tcPr>
            <w:tcW w:w="469" w:type="pct"/>
            <w:shd w:val="clear" w:color="auto" w:fill="FFFFFF"/>
            <w:vAlign w:val="center"/>
          </w:tcPr>
          <w:p w14:paraId="73972AEA" w14:textId="77777777" w:rsidR="00057DED" w:rsidRPr="00EE0615" w:rsidRDefault="00057DED" w:rsidP="00605635">
            <w:pPr>
              <w:pStyle w:val="CETBodytext"/>
              <w:rPr>
                <w:rFonts w:cs="Arial"/>
                <w:szCs w:val="18"/>
                <w:lang w:val="en-GB"/>
              </w:rPr>
            </w:pPr>
            <w:r w:rsidRPr="00EE0615">
              <w:rPr>
                <w:rFonts w:cs="Arial"/>
                <w:szCs w:val="18"/>
              </w:rPr>
              <w:t>50</w:t>
            </w:r>
          </w:p>
        </w:tc>
        <w:tc>
          <w:tcPr>
            <w:tcW w:w="469" w:type="pct"/>
            <w:shd w:val="clear" w:color="auto" w:fill="FFFFFF"/>
            <w:vAlign w:val="center"/>
          </w:tcPr>
          <w:p w14:paraId="09564D85" w14:textId="77777777" w:rsidR="00057DED" w:rsidRPr="00EE0615" w:rsidRDefault="00057DED" w:rsidP="00605635">
            <w:pPr>
              <w:pStyle w:val="CETBodytext"/>
              <w:rPr>
                <w:rFonts w:cs="Arial"/>
                <w:szCs w:val="18"/>
                <w:lang w:val="en-GB"/>
              </w:rPr>
            </w:pPr>
            <w:r w:rsidRPr="00EE0615">
              <w:rPr>
                <w:rFonts w:cs="Arial"/>
                <w:szCs w:val="18"/>
              </w:rPr>
              <w:t>50</w:t>
            </w:r>
          </w:p>
        </w:tc>
        <w:tc>
          <w:tcPr>
            <w:tcW w:w="469" w:type="pct"/>
            <w:shd w:val="clear" w:color="auto" w:fill="FFFFFF"/>
            <w:vAlign w:val="center"/>
          </w:tcPr>
          <w:p w14:paraId="4EE89A31" w14:textId="77777777" w:rsidR="00057DED" w:rsidRPr="00EE0615" w:rsidRDefault="00057DED" w:rsidP="00605635">
            <w:pPr>
              <w:pStyle w:val="CETBodytext"/>
              <w:rPr>
                <w:rFonts w:cs="Arial"/>
                <w:szCs w:val="18"/>
                <w:lang w:val="en-GB"/>
              </w:rPr>
            </w:pPr>
            <w:r w:rsidRPr="00EE0615">
              <w:rPr>
                <w:rFonts w:cs="Arial"/>
                <w:szCs w:val="18"/>
              </w:rPr>
              <w:t>100</w:t>
            </w:r>
          </w:p>
        </w:tc>
        <w:tc>
          <w:tcPr>
            <w:tcW w:w="469" w:type="pct"/>
            <w:shd w:val="clear" w:color="auto" w:fill="FFFFFF"/>
            <w:vAlign w:val="center"/>
          </w:tcPr>
          <w:p w14:paraId="4C703074" w14:textId="77777777" w:rsidR="00057DED" w:rsidRPr="00EE0615" w:rsidRDefault="00057DED" w:rsidP="00605635">
            <w:pPr>
              <w:pStyle w:val="CETBodytext"/>
              <w:rPr>
                <w:rFonts w:cs="Arial"/>
                <w:szCs w:val="18"/>
                <w:lang w:val="en-GB"/>
              </w:rPr>
            </w:pPr>
            <w:r w:rsidRPr="00EE0615">
              <w:rPr>
                <w:rFonts w:cs="Arial"/>
                <w:szCs w:val="18"/>
              </w:rPr>
              <w:t>100</w:t>
            </w:r>
          </w:p>
        </w:tc>
        <w:tc>
          <w:tcPr>
            <w:tcW w:w="467" w:type="pct"/>
            <w:shd w:val="clear" w:color="auto" w:fill="FFFFFF"/>
            <w:vAlign w:val="center"/>
          </w:tcPr>
          <w:p w14:paraId="06FFA624" w14:textId="77777777" w:rsidR="00057DED" w:rsidRPr="00EE0615" w:rsidRDefault="00057DED" w:rsidP="00605635">
            <w:pPr>
              <w:pStyle w:val="CETBodytext"/>
              <w:rPr>
                <w:rFonts w:cs="Arial"/>
                <w:szCs w:val="18"/>
                <w:lang w:val="en-GB"/>
              </w:rPr>
            </w:pPr>
            <w:r w:rsidRPr="00EE0615">
              <w:rPr>
                <w:rFonts w:cs="Arial"/>
                <w:szCs w:val="18"/>
              </w:rPr>
              <w:t>100</w:t>
            </w:r>
          </w:p>
        </w:tc>
      </w:tr>
      <w:tr w:rsidR="00057DED" w:rsidRPr="00B57B36" w14:paraId="3D28C8E5" w14:textId="77777777" w:rsidTr="00605635">
        <w:tc>
          <w:tcPr>
            <w:tcW w:w="2188" w:type="pct"/>
            <w:shd w:val="clear" w:color="auto" w:fill="FFFFFF"/>
            <w:vAlign w:val="center"/>
          </w:tcPr>
          <w:p w14:paraId="345BA07A" w14:textId="1AA4E3F3" w:rsidR="00057DED" w:rsidRPr="00EE0615" w:rsidRDefault="00057DED" w:rsidP="00605635">
            <w:pPr>
              <w:pStyle w:val="CETBodytext"/>
              <w:rPr>
                <w:rFonts w:cs="Arial"/>
                <w:szCs w:val="18"/>
                <w:lang w:val="en-GB"/>
              </w:rPr>
            </w:pPr>
            <w:r w:rsidRPr="00EE0615">
              <w:rPr>
                <w:rFonts w:cs="Arial"/>
                <w:szCs w:val="18"/>
                <w:lang w:val="en-GB"/>
              </w:rPr>
              <w:t xml:space="preserve">Inlet tar concentration </w:t>
            </w:r>
            <w:r w:rsidRPr="00EE0615">
              <w:rPr>
                <w:rFonts w:eastAsia="Cambria Math" w:cs="Arial"/>
                <w:szCs w:val="18"/>
                <w:lang w:val="en-GB"/>
              </w:rPr>
              <w:t>C</w:t>
            </w:r>
            <w:r w:rsidR="00FA0BE8">
              <w:rPr>
                <w:rFonts w:eastAsia="Cambria Math" w:cs="Arial"/>
                <w:szCs w:val="18"/>
                <w:vertAlign w:val="subscript"/>
                <w:lang w:val="en-GB"/>
              </w:rPr>
              <w:t>tar</w:t>
            </w:r>
            <w:r w:rsidRPr="00EE0615">
              <w:rPr>
                <w:rFonts w:cs="Arial"/>
                <w:szCs w:val="18"/>
                <w:lang w:val="en-GB"/>
              </w:rPr>
              <w:t xml:space="preserve"> [g Nm</w:t>
            </w:r>
            <w:r w:rsidRPr="00EE0615">
              <w:rPr>
                <w:rFonts w:cs="Arial"/>
                <w:szCs w:val="18"/>
                <w:vertAlign w:val="superscript"/>
                <w:lang w:val="en-GB"/>
              </w:rPr>
              <w:t>-3</w:t>
            </w:r>
            <w:r w:rsidRPr="00EE0615">
              <w:rPr>
                <w:rFonts w:cs="Arial"/>
                <w:szCs w:val="18"/>
                <w:vertAlign w:val="subscript"/>
                <w:lang w:val="en-GB"/>
              </w:rPr>
              <w:t>dry</w:t>
            </w:r>
            <w:r w:rsidRPr="00EE0615">
              <w:rPr>
                <w:rFonts w:cs="Arial"/>
                <w:szCs w:val="18"/>
                <w:lang w:val="en-GB"/>
              </w:rPr>
              <w:t>]</w:t>
            </w:r>
          </w:p>
        </w:tc>
        <w:tc>
          <w:tcPr>
            <w:tcW w:w="469" w:type="pct"/>
            <w:shd w:val="clear" w:color="auto" w:fill="FFFFFF"/>
            <w:vAlign w:val="center"/>
          </w:tcPr>
          <w:p w14:paraId="3A283FB0" w14:textId="77777777" w:rsidR="00057DED" w:rsidRPr="00EE0615" w:rsidRDefault="00057DED" w:rsidP="00605635">
            <w:pPr>
              <w:pStyle w:val="CETBodytext"/>
              <w:rPr>
                <w:rFonts w:cs="Arial"/>
                <w:szCs w:val="18"/>
                <w:lang w:val="en-GB"/>
              </w:rPr>
            </w:pPr>
            <w:r w:rsidRPr="00EE0615">
              <w:rPr>
                <w:rFonts w:cs="Arial"/>
                <w:szCs w:val="18"/>
                <w:lang w:val="en-GB"/>
              </w:rPr>
              <w:t>13</w:t>
            </w:r>
          </w:p>
        </w:tc>
        <w:tc>
          <w:tcPr>
            <w:tcW w:w="469" w:type="pct"/>
            <w:shd w:val="clear" w:color="auto" w:fill="FFFFFF"/>
            <w:vAlign w:val="center"/>
          </w:tcPr>
          <w:p w14:paraId="352014D6" w14:textId="77777777" w:rsidR="00057DED" w:rsidRPr="00EE0615" w:rsidRDefault="00057DED" w:rsidP="00605635">
            <w:pPr>
              <w:pStyle w:val="CETBodytext"/>
              <w:rPr>
                <w:rFonts w:cs="Arial"/>
                <w:szCs w:val="18"/>
                <w:lang w:val="en-GB"/>
              </w:rPr>
            </w:pPr>
            <w:r w:rsidRPr="00EE0615">
              <w:rPr>
                <w:rFonts w:cs="Arial"/>
                <w:szCs w:val="18"/>
                <w:lang w:val="en-GB"/>
              </w:rPr>
              <w:t>13</w:t>
            </w:r>
          </w:p>
        </w:tc>
        <w:tc>
          <w:tcPr>
            <w:tcW w:w="469" w:type="pct"/>
            <w:shd w:val="clear" w:color="auto" w:fill="FFFFFF"/>
            <w:vAlign w:val="center"/>
          </w:tcPr>
          <w:p w14:paraId="2ACC1DAD" w14:textId="77777777" w:rsidR="00057DED" w:rsidRPr="00EE0615" w:rsidRDefault="00057DED" w:rsidP="00605635">
            <w:pPr>
              <w:pStyle w:val="CETBodytext"/>
              <w:rPr>
                <w:rFonts w:cs="Arial"/>
                <w:szCs w:val="18"/>
                <w:lang w:val="en-GB"/>
              </w:rPr>
            </w:pPr>
            <w:r w:rsidRPr="00EE0615">
              <w:rPr>
                <w:rFonts w:cs="Arial"/>
                <w:szCs w:val="18"/>
                <w:lang w:val="en-GB"/>
              </w:rPr>
              <w:t>13</w:t>
            </w:r>
          </w:p>
        </w:tc>
        <w:tc>
          <w:tcPr>
            <w:tcW w:w="469" w:type="pct"/>
            <w:shd w:val="clear" w:color="auto" w:fill="FFFFFF"/>
            <w:vAlign w:val="center"/>
          </w:tcPr>
          <w:p w14:paraId="739B37B5" w14:textId="77777777" w:rsidR="00057DED" w:rsidRPr="00EE0615" w:rsidRDefault="00057DED" w:rsidP="00605635">
            <w:pPr>
              <w:pStyle w:val="CETBodytext"/>
              <w:rPr>
                <w:rFonts w:cs="Arial"/>
                <w:szCs w:val="18"/>
                <w:lang w:val="en-GB"/>
              </w:rPr>
            </w:pPr>
            <w:r w:rsidRPr="00EE0615">
              <w:rPr>
                <w:rFonts w:cs="Arial"/>
                <w:szCs w:val="18"/>
                <w:lang w:val="en-GB"/>
              </w:rPr>
              <w:t>13</w:t>
            </w:r>
          </w:p>
        </w:tc>
        <w:tc>
          <w:tcPr>
            <w:tcW w:w="469" w:type="pct"/>
            <w:shd w:val="clear" w:color="auto" w:fill="FFFFFF"/>
            <w:vAlign w:val="center"/>
          </w:tcPr>
          <w:p w14:paraId="24B50DFF" w14:textId="77777777" w:rsidR="00057DED" w:rsidRPr="00EE0615" w:rsidRDefault="00057DED" w:rsidP="00605635">
            <w:pPr>
              <w:pStyle w:val="CETBodytext"/>
              <w:rPr>
                <w:rFonts w:cs="Arial"/>
                <w:szCs w:val="18"/>
                <w:lang w:val="en-GB"/>
              </w:rPr>
            </w:pPr>
            <w:r w:rsidRPr="00EE0615">
              <w:rPr>
                <w:rFonts w:cs="Arial"/>
                <w:szCs w:val="18"/>
                <w:lang w:val="en-GB"/>
              </w:rPr>
              <w:t>13</w:t>
            </w:r>
          </w:p>
        </w:tc>
        <w:tc>
          <w:tcPr>
            <w:tcW w:w="467" w:type="pct"/>
            <w:shd w:val="clear" w:color="auto" w:fill="FFFFFF"/>
            <w:vAlign w:val="center"/>
          </w:tcPr>
          <w:p w14:paraId="50E6B133" w14:textId="77777777" w:rsidR="00057DED" w:rsidRPr="00EE0615" w:rsidRDefault="00057DED" w:rsidP="00605635">
            <w:pPr>
              <w:pStyle w:val="CETBodytext"/>
              <w:rPr>
                <w:rFonts w:cs="Arial"/>
                <w:szCs w:val="18"/>
                <w:lang w:val="en-GB"/>
              </w:rPr>
            </w:pPr>
            <w:r w:rsidRPr="00EE0615">
              <w:rPr>
                <w:rFonts w:cs="Arial"/>
                <w:szCs w:val="18"/>
                <w:lang w:val="en-GB"/>
              </w:rPr>
              <w:t>13</w:t>
            </w:r>
          </w:p>
        </w:tc>
      </w:tr>
      <w:tr w:rsidR="00057DED" w:rsidRPr="00B57B36" w14:paraId="6136D98A" w14:textId="77777777" w:rsidTr="00605635">
        <w:tc>
          <w:tcPr>
            <w:tcW w:w="2188" w:type="pct"/>
            <w:shd w:val="clear" w:color="auto" w:fill="FFFFFF"/>
            <w:vAlign w:val="center"/>
          </w:tcPr>
          <w:p w14:paraId="60AFCB16" w14:textId="77777777" w:rsidR="00057DED" w:rsidRPr="00EE0615" w:rsidRDefault="00057DED" w:rsidP="00605635">
            <w:pPr>
              <w:pStyle w:val="CETBodytext"/>
              <w:rPr>
                <w:rFonts w:cs="Arial"/>
                <w:szCs w:val="18"/>
                <w:lang w:val="en-GB"/>
              </w:rPr>
            </w:pPr>
            <w:r w:rsidRPr="00EE0615">
              <w:rPr>
                <w:rFonts w:cs="Arial"/>
                <w:szCs w:val="18"/>
              </w:rPr>
              <w:t xml:space="preserve">Inlet steam/carbon ratio </w:t>
            </w:r>
            <w:r w:rsidRPr="00EE0615">
              <w:rPr>
                <w:rFonts w:eastAsia="Cambria Math" w:cs="Arial"/>
                <w:szCs w:val="18"/>
              </w:rPr>
              <w:t>α</w:t>
            </w:r>
            <w:r w:rsidRPr="00EE0615">
              <w:rPr>
                <w:rFonts w:eastAsia="Cambria Math" w:cs="Arial"/>
                <w:szCs w:val="18"/>
                <w:vertAlign w:val="subscript"/>
              </w:rPr>
              <w:t>in</w:t>
            </w:r>
            <w:r w:rsidRPr="00EE0615">
              <w:rPr>
                <w:rFonts w:cs="Arial"/>
                <w:szCs w:val="18"/>
              </w:rPr>
              <w:t xml:space="preserve"> [mol/mol]</w:t>
            </w:r>
          </w:p>
        </w:tc>
        <w:tc>
          <w:tcPr>
            <w:tcW w:w="469" w:type="pct"/>
            <w:shd w:val="clear" w:color="auto" w:fill="FFFFFF"/>
            <w:vAlign w:val="center"/>
          </w:tcPr>
          <w:p w14:paraId="530EF949" w14:textId="77777777" w:rsidR="00057DED" w:rsidRPr="00EE0615" w:rsidRDefault="00057DED" w:rsidP="00605635">
            <w:pPr>
              <w:pStyle w:val="CETBodytext"/>
              <w:rPr>
                <w:rFonts w:cs="Arial"/>
                <w:szCs w:val="18"/>
                <w:lang w:val="en-GB"/>
              </w:rPr>
            </w:pPr>
            <w:r w:rsidRPr="00EE0615">
              <w:rPr>
                <w:rFonts w:cs="Arial"/>
                <w:szCs w:val="18"/>
                <w:lang w:val="en-GB"/>
              </w:rPr>
              <w:t>19.3</w:t>
            </w:r>
          </w:p>
        </w:tc>
        <w:tc>
          <w:tcPr>
            <w:tcW w:w="469" w:type="pct"/>
            <w:shd w:val="clear" w:color="auto" w:fill="FFFFFF"/>
            <w:vAlign w:val="center"/>
          </w:tcPr>
          <w:p w14:paraId="007E4DC0" w14:textId="77777777" w:rsidR="00057DED" w:rsidRPr="00EE0615" w:rsidRDefault="00057DED" w:rsidP="00605635">
            <w:pPr>
              <w:pStyle w:val="CETBodytext"/>
              <w:rPr>
                <w:rFonts w:cs="Arial"/>
                <w:szCs w:val="18"/>
                <w:lang w:val="en-GB"/>
              </w:rPr>
            </w:pPr>
            <w:r w:rsidRPr="00EE0615">
              <w:rPr>
                <w:rFonts w:cs="Arial"/>
                <w:szCs w:val="18"/>
                <w:lang w:val="en-GB"/>
              </w:rPr>
              <w:t>19.3</w:t>
            </w:r>
          </w:p>
        </w:tc>
        <w:tc>
          <w:tcPr>
            <w:tcW w:w="469" w:type="pct"/>
            <w:shd w:val="clear" w:color="auto" w:fill="FFFFFF"/>
            <w:vAlign w:val="center"/>
          </w:tcPr>
          <w:p w14:paraId="08796544" w14:textId="77777777" w:rsidR="00057DED" w:rsidRPr="00EE0615" w:rsidRDefault="00057DED" w:rsidP="00605635">
            <w:pPr>
              <w:pStyle w:val="CETBodytext"/>
              <w:rPr>
                <w:rFonts w:cs="Arial"/>
                <w:szCs w:val="18"/>
                <w:lang w:val="en-GB"/>
              </w:rPr>
            </w:pPr>
            <w:r w:rsidRPr="00EE0615">
              <w:rPr>
                <w:rFonts w:cs="Arial"/>
                <w:szCs w:val="18"/>
                <w:lang w:val="en-GB"/>
              </w:rPr>
              <w:t>19.3</w:t>
            </w:r>
          </w:p>
        </w:tc>
        <w:tc>
          <w:tcPr>
            <w:tcW w:w="469" w:type="pct"/>
            <w:shd w:val="clear" w:color="auto" w:fill="FFFFFF"/>
            <w:vAlign w:val="center"/>
          </w:tcPr>
          <w:p w14:paraId="342EA31E" w14:textId="77777777" w:rsidR="00057DED" w:rsidRPr="00EE0615" w:rsidRDefault="00057DED" w:rsidP="00605635">
            <w:pPr>
              <w:pStyle w:val="CETBodytext"/>
              <w:rPr>
                <w:rFonts w:cs="Arial"/>
                <w:szCs w:val="18"/>
                <w:lang w:val="en-GB"/>
              </w:rPr>
            </w:pPr>
            <w:r w:rsidRPr="00EE0615">
              <w:rPr>
                <w:rFonts w:cs="Arial"/>
                <w:szCs w:val="18"/>
                <w:lang w:val="en-GB"/>
              </w:rPr>
              <w:t>19.3</w:t>
            </w:r>
          </w:p>
        </w:tc>
        <w:tc>
          <w:tcPr>
            <w:tcW w:w="469" w:type="pct"/>
            <w:shd w:val="clear" w:color="auto" w:fill="FFFFFF"/>
            <w:vAlign w:val="center"/>
          </w:tcPr>
          <w:p w14:paraId="7C348AD4" w14:textId="77777777" w:rsidR="00057DED" w:rsidRPr="00EE0615" w:rsidRDefault="00057DED" w:rsidP="00605635">
            <w:pPr>
              <w:pStyle w:val="CETBodytext"/>
              <w:rPr>
                <w:rFonts w:cs="Arial"/>
                <w:szCs w:val="18"/>
                <w:lang w:val="en-GB"/>
              </w:rPr>
            </w:pPr>
            <w:r w:rsidRPr="00EE0615">
              <w:rPr>
                <w:rFonts w:cs="Arial"/>
                <w:szCs w:val="18"/>
                <w:lang w:val="en-GB"/>
              </w:rPr>
              <w:t>19.3</w:t>
            </w:r>
          </w:p>
        </w:tc>
        <w:tc>
          <w:tcPr>
            <w:tcW w:w="467" w:type="pct"/>
            <w:shd w:val="clear" w:color="auto" w:fill="FFFFFF"/>
            <w:vAlign w:val="center"/>
          </w:tcPr>
          <w:p w14:paraId="06BECFCF" w14:textId="77777777" w:rsidR="00057DED" w:rsidRPr="00EE0615" w:rsidRDefault="00057DED" w:rsidP="00605635">
            <w:pPr>
              <w:pStyle w:val="CETBodytext"/>
              <w:rPr>
                <w:rFonts w:cs="Arial"/>
                <w:szCs w:val="18"/>
                <w:lang w:val="en-GB"/>
              </w:rPr>
            </w:pPr>
            <w:r w:rsidRPr="00EE0615">
              <w:rPr>
                <w:rFonts w:cs="Arial"/>
                <w:szCs w:val="18"/>
                <w:lang w:val="en-GB"/>
              </w:rPr>
              <w:t>19.3</w:t>
            </w:r>
          </w:p>
        </w:tc>
      </w:tr>
      <w:tr w:rsidR="00057DED" w:rsidRPr="00B57B36" w14:paraId="42C2B927" w14:textId="77777777" w:rsidTr="00605635">
        <w:tc>
          <w:tcPr>
            <w:tcW w:w="2188" w:type="pct"/>
            <w:shd w:val="clear" w:color="auto" w:fill="FFFFFF"/>
            <w:vAlign w:val="center"/>
          </w:tcPr>
          <w:p w14:paraId="10447CD2" w14:textId="4CCB32F8" w:rsidR="00057DED" w:rsidRPr="00EE0615" w:rsidRDefault="00057DED" w:rsidP="00057DED">
            <w:pPr>
              <w:pStyle w:val="CETBodytext"/>
              <w:rPr>
                <w:rFonts w:cs="Arial"/>
                <w:szCs w:val="18"/>
                <w:lang w:val="en-GB"/>
              </w:rPr>
            </w:pPr>
            <w:r w:rsidRPr="00EE0615">
              <w:rPr>
                <w:rFonts w:cs="Arial"/>
                <w:szCs w:val="18"/>
              </w:rPr>
              <w:t>CH to CO</w:t>
            </w:r>
            <w:r w:rsidRPr="00EE0615">
              <w:rPr>
                <w:rFonts w:cs="Arial"/>
                <w:szCs w:val="18"/>
                <w:vertAlign w:val="subscript"/>
              </w:rPr>
              <w:t>x</w:t>
            </w:r>
            <w:r w:rsidRPr="00EE0615">
              <w:rPr>
                <w:rFonts w:cs="Arial"/>
                <w:szCs w:val="18"/>
              </w:rPr>
              <w:t xml:space="preserve"> conversion </w:t>
            </w:r>
            <w:r w:rsidRPr="00EE0615">
              <w:rPr>
                <w:rFonts w:eastAsia="Cambria Math" w:cs="Arial"/>
                <w:szCs w:val="18"/>
              </w:rPr>
              <w:t>χ</w:t>
            </w:r>
            <w:r w:rsidRPr="00EE0615">
              <w:rPr>
                <w:rFonts w:eastAsia="Cambria Math" w:cs="Arial"/>
                <w:szCs w:val="18"/>
                <w:vertAlign w:val="subscript"/>
              </w:rPr>
              <w:t>C</w:t>
            </w:r>
            <w:r w:rsidR="00E3466B">
              <w:rPr>
                <w:rFonts w:eastAsia="Cambria Math" w:cs="Arial"/>
                <w:szCs w:val="18"/>
                <w:vertAlign w:val="subscript"/>
              </w:rPr>
              <w:t>tar</w:t>
            </w:r>
            <w:r w:rsidRPr="00EE0615">
              <w:rPr>
                <w:rFonts w:eastAsia="Cambria Math" w:cs="Arial"/>
                <w:szCs w:val="18"/>
                <w:vertAlign w:val="subscript"/>
              </w:rPr>
              <w:t>, out</w:t>
            </w:r>
            <w:r w:rsidRPr="00EE0615">
              <w:rPr>
                <w:rFonts w:cs="Arial"/>
                <w:szCs w:val="18"/>
              </w:rPr>
              <w:t xml:space="preserve"> [%]</w:t>
            </w:r>
          </w:p>
        </w:tc>
        <w:tc>
          <w:tcPr>
            <w:tcW w:w="469" w:type="pct"/>
            <w:shd w:val="clear" w:color="auto" w:fill="FFFFFF"/>
          </w:tcPr>
          <w:p w14:paraId="2E75372B" w14:textId="1AEE3077" w:rsidR="00057DED" w:rsidRPr="00EE0615" w:rsidRDefault="00057DED" w:rsidP="00057DED">
            <w:pPr>
              <w:pStyle w:val="CETBodytext"/>
              <w:rPr>
                <w:rFonts w:cs="Arial"/>
                <w:szCs w:val="18"/>
                <w:lang w:val="en-GB"/>
              </w:rPr>
            </w:pPr>
            <w:r w:rsidRPr="000A2597">
              <w:rPr>
                <w:rFonts w:cs="Arial"/>
                <w:szCs w:val="18"/>
                <w:lang w:val="en-GB"/>
              </w:rPr>
              <w:t>96.</w:t>
            </w:r>
            <w:r w:rsidRPr="00EE0615">
              <w:rPr>
                <w:rFonts w:cs="Arial"/>
                <w:szCs w:val="18"/>
                <w:lang w:val="en-GB"/>
              </w:rPr>
              <w:t>0</w:t>
            </w:r>
          </w:p>
        </w:tc>
        <w:tc>
          <w:tcPr>
            <w:tcW w:w="469" w:type="pct"/>
            <w:shd w:val="clear" w:color="auto" w:fill="FFFFFF"/>
          </w:tcPr>
          <w:p w14:paraId="61D22CE8" w14:textId="4F893F65" w:rsidR="00057DED" w:rsidRPr="00EE0615" w:rsidRDefault="00057DED" w:rsidP="00057DED">
            <w:pPr>
              <w:pStyle w:val="CETBodytext"/>
              <w:rPr>
                <w:rFonts w:cs="Arial"/>
                <w:szCs w:val="18"/>
                <w:lang w:val="en-GB"/>
              </w:rPr>
            </w:pPr>
            <w:r w:rsidRPr="000A2597">
              <w:rPr>
                <w:rFonts w:cs="Arial"/>
                <w:szCs w:val="18"/>
                <w:lang w:val="en-GB"/>
              </w:rPr>
              <w:t>64.</w:t>
            </w:r>
            <w:r w:rsidRPr="00EE0615">
              <w:rPr>
                <w:rFonts w:cs="Arial"/>
                <w:szCs w:val="18"/>
                <w:lang w:val="en-GB"/>
              </w:rPr>
              <w:t>6</w:t>
            </w:r>
          </w:p>
        </w:tc>
        <w:tc>
          <w:tcPr>
            <w:tcW w:w="469" w:type="pct"/>
            <w:shd w:val="clear" w:color="auto" w:fill="FFFFFF"/>
          </w:tcPr>
          <w:p w14:paraId="5711BAA3" w14:textId="63695108" w:rsidR="00057DED" w:rsidRPr="00EE0615" w:rsidRDefault="00057DED" w:rsidP="00057DED">
            <w:pPr>
              <w:pStyle w:val="CETBodytext"/>
              <w:rPr>
                <w:rFonts w:cs="Arial"/>
                <w:szCs w:val="18"/>
                <w:lang w:val="en-GB"/>
              </w:rPr>
            </w:pPr>
            <w:r w:rsidRPr="000A2597">
              <w:rPr>
                <w:rFonts w:cs="Arial"/>
                <w:szCs w:val="18"/>
                <w:lang w:val="en-GB"/>
              </w:rPr>
              <w:t>36.</w:t>
            </w:r>
            <w:r w:rsidRPr="00EE0615">
              <w:rPr>
                <w:rFonts w:cs="Arial"/>
                <w:szCs w:val="18"/>
                <w:lang w:val="en-GB"/>
              </w:rPr>
              <w:t>2</w:t>
            </w:r>
          </w:p>
        </w:tc>
        <w:tc>
          <w:tcPr>
            <w:tcW w:w="469" w:type="pct"/>
            <w:shd w:val="clear" w:color="auto" w:fill="FFFFFF"/>
          </w:tcPr>
          <w:p w14:paraId="5E31F0CE" w14:textId="4721112A" w:rsidR="00057DED" w:rsidRPr="00EE0615" w:rsidRDefault="00057DED" w:rsidP="00057DED">
            <w:pPr>
              <w:pStyle w:val="CETBodytext"/>
              <w:rPr>
                <w:rFonts w:cs="Arial"/>
                <w:szCs w:val="18"/>
                <w:lang w:val="en-GB"/>
              </w:rPr>
            </w:pPr>
            <w:r w:rsidRPr="000A2597">
              <w:rPr>
                <w:rFonts w:cs="Arial"/>
                <w:szCs w:val="18"/>
                <w:lang w:val="en-GB"/>
              </w:rPr>
              <w:t>86.</w:t>
            </w:r>
            <w:r w:rsidRPr="00EE0615">
              <w:rPr>
                <w:rFonts w:cs="Arial"/>
                <w:szCs w:val="18"/>
                <w:lang w:val="en-GB"/>
              </w:rPr>
              <w:t>4</w:t>
            </w:r>
          </w:p>
        </w:tc>
        <w:tc>
          <w:tcPr>
            <w:tcW w:w="469" w:type="pct"/>
            <w:shd w:val="clear" w:color="auto" w:fill="FFFFFF"/>
          </w:tcPr>
          <w:p w14:paraId="3CEFF6C3" w14:textId="3A53F743" w:rsidR="00057DED" w:rsidRPr="00EE0615" w:rsidRDefault="00057DED" w:rsidP="00057DED">
            <w:pPr>
              <w:pStyle w:val="CETBodytext"/>
              <w:rPr>
                <w:rFonts w:cs="Arial"/>
                <w:szCs w:val="18"/>
                <w:lang w:val="en-GB"/>
              </w:rPr>
            </w:pPr>
            <w:r w:rsidRPr="000A2597">
              <w:rPr>
                <w:rFonts w:cs="Arial"/>
                <w:szCs w:val="18"/>
                <w:lang w:val="en-GB"/>
              </w:rPr>
              <w:t>57.3</w:t>
            </w:r>
          </w:p>
        </w:tc>
        <w:tc>
          <w:tcPr>
            <w:tcW w:w="467" w:type="pct"/>
            <w:shd w:val="clear" w:color="auto" w:fill="FFFFFF"/>
          </w:tcPr>
          <w:p w14:paraId="5CDA6E34" w14:textId="6B05D390" w:rsidR="00057DED" w:rsidRPr="00EE0615" w:rsidRDefault="00057DED" w:rsidP="00057DED">
            <w:pPr>
              <w:pStyle w:val="CETBodytext"/>
              <w:rPr>
                <w:rFonts w:cs="Arial"/>
                <w:szCs w:val="18"/>
                <w:lang w:val="en-GB"/>
              </w:rPr>
            </w:pPr>
            <w:r w:rsidRPr="000A2597">
              <w:rPr>
                <w:rFonts w:cs="Arial"/>
                <w:szCs w:val="18"/>
                <w:lang w:val="en-GB"/>
              </w:rPr>
              <w:t>32.0</w:t>
            </w:r>
          </w:p>
        </w:tc>
      </w:tr>
    </w:tbl>
    <w:p w14:paraId="3B45385C" w14:textId="698FF9D6" w:rsidR="00057DED" w:rsidRDefault="00057DED" w:rsidP="00A37873">
      <w:pPr>
        <w:pStyle w:val="CETBodytext"/>
        <w:rPr>
          <w:lang w:val="en-GB"/>
        </w:rPr>
      </w:pPr>
    </w:p>
    <w:p w14:paraId="640FD2B7" w14:textId="5FA3FA77" w:rsidR="00A70412" w:rsidRDefault="006775CF" w:rsidP="006775CF">
      <w:pPr>
        <w:pStyle w:val="CETListbullets"/>
        <w:ind w:left="0" w:firstLine="0"/>
        <w:rPr>
          <w:lang w:val="en-US"/>
        </w:rPr>
      </w:pPr>
      <w:r w:rsidRPr="00170963">
        <w:t xml:space="preserve">As the following graphs show, </w:t>
      </w:r>
      <w:r w:rsidRPr="00170963">
        <w:rPr>
          <w:lang w:val="en-US"/>
        </w:rPr>
        <w:t>it is evident that catalyst A</w:t>
      </w:r>
      <w:r w:rsidR="00966470" w:rsidRPr="00170963">
        <w:rPr>
          <w:lang w:val="en-US"/>
        </w:rPr>
        <w:t xml:space="preserve"> </w:t>
      </w:r>
      <w:r w:rsidRPr="00170963">
        <w:rPr>
          <w:lang w:val="en-US"/>
        </w:rPr>
        <w:t>is more efficient than catalyst B.</w:t>
      </w:r>
      <w:r w:rsidR="002A486C" w:rsidRPr="00170963">
        <w:rPr>
          <w:lang w:val="en-US"/>
        </w:rPr>
        <w:t xml:space="preserve"> The conversions reported are those relating to the final and stable part of the tests.</w:t>
      </w:r>
    </w:p>
    <w:p w14:paraId="37BB1BF3" w14:textId="7BD24239" w:rsidR="005E58AA" w:rsidRDefault="005E58AA" w:rsidP="006775CF">
      <w:pPr>
        <w:pStyle w:val="CETListbullets"/>
        <w:ind w:left="0" w:firstLine="0"/>
        <w:rPr>
          <w:lang w:val="en-US"/>
        </w:rPr>
      </w:pPr>
    </w:p>
    <w:p w14:paraId="64D47BE0" w14:textId="77777777" w:rsidR="007C1F19" w:rsidRDefault="007C1F19" w:rsidP="007C1F19">
      <w:pPr>
        <w:pStyle w:val="CETListbullets"/>
        <w:keepNext/>
        <w:ind w:left="0" w:firstLine="0"/>
      </w:pPr>
      <w:r>
        <w:rPr>
          <w:noProof/>
          <w:lang w:val="it-IT" w:eastAsia="it-IT"/>
        </w:rPr>
        <w:drawing>
          <wp:inline distT="0" distB="0" distL="0" distR="0" wp14:anchorId="6D164CCA" wp14:editId="4C98F706">
            <wp:extent cx="5093349" cy="28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3349" cy="2880000"/>
                    </a:xfrm>
                    <a:prstGeom prst="rect">
                      <a:avLst/>
                    </a:prstGeom>
                    <a:noFill/>
                  </pic:spPr>
                </pic:pic>
              </a:graphicData>
            </a:graphic>
          </wp:inline>
        </w:drawing>
      </w:r>
    </w:p>
    <w:p w14:paraId="52BF2F8F" w14:textId="6833F821" w:rsidR="007C1F19" w:rsidRPr="007C1F19" w:rsidRDefault="007C1F19" w:rsidP="007C1F19">
      <w:pPr>
        <w:pStyle w:val="CETCaption"/>
      </w:pPr>
      <w:r w:rsidRPr="007C1F19">
        <w:t xml:space="preserve">Figure </w:t>
      </w:r>
      <w:r w:rsidRPr="007C1F19">
        <w:fldChar w:fldCharType="begin"/>
      </w:r>
      <w:r w:rsidRPr="007C1F19">
        <w:instrText xml:space="preserve"> SEQ Figure \* ARABIC </w:instrText>
      </w:r>
      <w:r w:rsidRPr="007C1F19">
        <w:fldChar w:fldCharType="separate"/>
      </w:r>
      <w:r w:rsidR="005B1835">
        <w:rPr>
          <w:noProof/>
        </w:rPr>
        <w:t>1</w:t>
      </w:r>
      <w:r w:rsidRPr="007C1F19">
        <w:fldChar w:fldCharType="end"/>
      </w:r>
      <w:r w:rsidRPr="007C1F19">
        <w:t>: Inlet carbon conversion as a function of temperature for two different thiophene concentrations using catalyst A.</w:t>
      </w:r>
    </w:p>
    <w:p w14:paraId="32D13CBB" w14:textId="77777777" w:rsidR="007C1F19" w:rsidRDefault="007C1F19" w:rsidP="007C1F19">
      <w:pPr>
        <w:pStyle w:val="Didascalia"/>
        <w:keepNext/>
      </w:pPr>
      <w:r>
        <w:rPr>
          <w:noProof/>
          <w:lang w:val="it-IT" w:eastAsia="it-IT"/>
        </w:rPr>
        <w:drawing>
          <wp:inline distT="0" distB="0" distL="0" distR="0" wp14:anchorId="437C951C" wp14:editId="507007A6">
            <wp:extent cx="5086459" cy="2880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459" cy="2880000"/>
                    </a:xfrm>
                    <a:prstGeom prst="rect">
                      <a:avLst/>
                    </a:prstGeom>
                    <a:noFill/>
                  </pic:spPr>
                </pic:pic>
              </a:graphicData>
            </a:graphic>
          </wp:inline>
        </w:drawing>
      </w:r>
    </w:p>
    <w:p w14:paraId="26E8B6A0" w14:textId="1346ECBC" w:rsidR="007C1F19" w:rsidRPr="007C1F19" w:rsidRDefault="007C1F19" w:rsidP="007C1F19">
      <w:pPr>
        <w:pStyle w:val="CETCaption"/>
      </w:pPr>
      <w:r w:rsidRPr="007C1F19">
        <w:t xml:space="preserve">Figure </w:t>
      </w:r>
      <w:r w:rsidRPr="007C1F19">
        <w:fldChar w:fldCharType="begin"/>
      </w:r>
      <w:r w:rsidRPr="007C1F19">
        <w:instrText xml:space="preserve"> SEQ Figure \* ARABIC </w:instrText>
      </w:r>
      <w:r w:rsidRPr="007C1F19">
        <w:fldChar w:fldCharType="separate"/>
      </w:r>
      <w:r w:rsidR="005B1835">
        <w:rPr>
          <w:noProof/>
        </w:rPr>
        <w:t>2</w:t>
      </w:r>
      <w:r w:rsidRPr="007C1F19">
        <w:fldChar w:fldCharType="end"/>
      </w:r>
      <w:r w:rsidRPr="007C1F19">
        <w:t xml:space="preserve">: Inlet carbon conversion as a function of temperature for two different thiophene concentrations using catalyst </w:t>
      </w:r>
      <w:r w:rsidR="00853F3D">
        <w:t>B</w:t>
      </w:r>
      <w:r w:rsidRPr="007C1F19">
        <w:t>.</w:t>
      </w:r>
    </w:p>
    <w:p w14:paraId="3C319A19" w14:textId="5CE81D23" w:rsidR="001B2BE4" w:rsidRPr="00170963" w:rsidRDefault="005E58AA" w:rsidP="006775CF">
      <w:pPr>
        <w:pStyle w:val="CETListbullets"/>
        <w:ind w:left="0" w:firstLine="0"/>
        <w:rPr>
          <w:lang w:val="en-US"/>
        </w:rPr>
      </w:pPr>
      <w:r w:rsidRPr="00170963">
        <w:rPr>
          <w:lang w:val="en-US"/>
        </w:rPr>
        <w:t xml:space="preserve">Furthermore, higher temperatures and lower amounts of thiophene </w:t>
      </w:r>
      <w:r w:rsidR="00971DE0" w:rsidRPr="00170963">
        <w:rPr>
          <w:lang w:val="en-US"/>
        </w:rPr>
        <w:t>favor</w:t>
      </w:r>
      <w:r w:rsidRPr="00170963">
        <w:rPr>
          <w:lang w:val="en-US"/>
        </w:rPr>
        <w:t xml:space="preserve"> the tar conversion process. </w:t>
      </w:r>
      <w:r w:rsidR="00F75441" w:rsidRPr="00170963">
        <w:rPr>
          <w:lang w:val="en-US"/>
        </w:rPr>
        <w:t>As a matter of fact</w:t>
      </w:r>
      <w:r w:rsidR="006775CF" w:rsidRPr="00170963">
        <w:rPr>
          <w:lang w:val="en-US"/>
        </w:rPr>
        <w:t xml:space="preserve">, a greater quantity of </w:t>
      </w:r>
      <w:r w:rsidR="00971DE0" w:rsidRPr="00170963">
        <w:rPr>
          <w:lang w:val="en-US"/>
        </w:rPr>
        <w:t>sulfur</w:t>
      </w:r>
      <w:r w:rsidR="006775CF" w:rsidRPr="00170963">
        <w:rPr>
          <w:lang w:val="en-US"/>
        </w:rPr>
        <w:t xml:space="preserve"> inhibits in any case the conversion of the inlet hydrocarbons, sooner deactivating the catalyst</w:t>
      </w:r>
      <w:r w:rsidRPr="00170963">
        <w:rPr>
          <w:lang w:val="en-US"/>
        </w:rPr>
        <w:t xml:space="preserve">: </w:t>
      </w:r>
      <w:r w:rsidR="006775CF" w:rsidRPr="00170963">
        <w:rPr>
          <w:lang w:val="en-US"/>
        </w:rPr>
        <w:t xml:space="preserve">in the worst condition studied, namely at 750 °C (the decrease in temperature </w:t>
      </w:r>
      <w:r w:rsidR="00CC42F9" w:rsidRPr="00170963">
        <w:rPr>
          <w:lang w:val="en-US"/>
        </w:rPr>
        <w:t xml:space="preserve">thermodynamically </w:t>
      </w:r>
      <w:r w:rsidR="00055911" w:rsidRPr="00170963">
        <w:rPr>
          <w:lang w:val="en-US"/>
        </w:rPr>
        <w:t xml:space="preserve">and kinetically </w:t>
      </w:r>
      <w:r w:rsidR="00971DE0" w:rsidRPr="00170963">
        <w:rPr>
          <w:lang w:val="en-US"/>
        </w:rPr>
        <w:t>disfavors</w:t>
      </w:r>
      <w:r w:rsidR="006775CF" w:rsidRPr="00170963">
        <w:rPr>
          <w:lang w:val="en-US"/>
        </w:rPr>
        <w:t xml:space="preserve"> reforming), conversions of 79% and 53% were obtained with catalyst A, respectively with 50 ppm and 100 ppm of t</w:t>
      </w:r>
      <w:r w:rsidRPr="00170963">
        <w:rPr>
          <w:lang w:val="en-US"/>
        </w:rPr>
        <w:t>h</w:t>
      </w:r>
      <w:r w:rsidR="006775CF" w:rsidRPr="00170963">
        <w:rPr>
          <w:lang w:val="en-US"/>
        </w:rPr>
        <w:t>iophene in the feed solution. On the other hand, 36% and 32% are obtained with catalyst B.</w:t>
      </w:r>
      <w:r w:rsidR="001B2BE4" w:rsidRPr="00170963">
        <w:rPr>
          <w:lang w:val="en-US"/>
        </w:rPr>
        <w:t xml:space="preserve"> </w:t>
      </w:r>
      <w:r w:rsidR="00653AD8" w:rsidRPr="00170963">
        <w:rPr>
          <w:lang w:val="en-US"/>
        </w:rPr>
        <w:t>To have a tar conversion close to 100%, the operating temperature must be close to 850 °C, but only for catalyst A in the presence of both equivalent H</w:t>
      </w:r>
      <w:r w:rsidR="00653AD8" w:rsidRPr="00170963">
        <w:rPr>
          <w:vertAlign w:val="subscript"/>
          <w:lang w:val="en-US"/>
        </w:rPr>
        <w:t>2</w:t>
      </w:r>
      <w:r w:rsidR="00653AD8" w:rsidRPr="00170963">
        <w:rPr>
          <w:lang w:val="en-US"/>
        </w:rPr>
        <w:t>S concentrations.</w:t>
      </w:r>
      <w:r w:rsidR="001B2BE4" w:rsidRPr="00170963">
        <w:rPr>
          <w:lang w:val="en-US"/>
        </w:rPr>
        <w:t xml:space="preserve"> In the previous work by Di Giuliano et al. (2021), the behavior of the same catalyst A was evaluated at different operating conditions varying the temperature between 700 and 800 °C, with a GHSV between (10000-12000 h</w:t>
      </w:r>
      <w:r w:rsidR="001B2BE4" w:rsidRPr="00170963">
        <w:rPr>
          <w:vertAlign w:val="superscript"/>
          <w:lang w:val="en-US"/>
        </w:rPr>
        <w:t>-1</w:t>
      </w:r>
      <w:r w:rsidR="001B2BE4" w:rsidRPr="00170963">
        <w:rPr>
          <w:lang w:val="en-US"/>
        </w:rPr>
        <w:t xml:space="preserve">) and with </w:t>
      </w:r>
      <w:r w:rsidR="001B2BE4" w:rsidRPr="00170963">
        <w:rPr>
          <w:lang w:val="en-US"/>
        </w:rPr>
        <w:lastRenderedPageBreak/>
        <w:t>an equivalent concentration of H</w:t>
      </w:r>
      <w:r w:rsidR="001B2BE4" w:rsidRPr="00170963">
        <w:rPr>
          <w:vertAlign w:val="subscript"/>
          <w:lang w:val="en-US"/>
        </w:rPr>
        <w:t>2</w:t>
      </w:r>
      <w:r w:rsidR="001B2BE4" w:rsidRPr="00170963">
        <w:rPr>
          <w:lang w:val="en-US"/>
        </w:rPr>
        <w:t>S between 40 and 100 ppm. In that case the space velocity was 2-3 times higher than in this work (4500 h</w:t>
      </w:r>
      <w:r w:rsidR="001B2BE4" w:rsidRPr="00170963">
        <w:rPr>
          <w:vertAlign w:val="superscript"/>
          <w:lang w:val="en-US"/>
        </w:rPr>
        <w:t>-1</w:t>
      </w:r>
      <w:r w:rsidR="001B2BE4" w:rsidRPr="00170963">
        <w:rPr>
          <w:lang w:val="en-US"/>
        </w:rPr>
        <w:t>) and the tar conversion was for this reason lower. Such higher space velocities were chosen because the main purpose was to derive a lumped kinetics, referred to a pseudo-component representing tar.</w:t>
      </w:r>
      <w:r w:rsidR="00653AD8" w:rsidRPr="00170963">
        <w:rPr>
          <w:lang w:val="en-US"/>
        </w:rPr>
        <w:t xml:space="preserve"> </w:t>
      </w:r>
      <w:r w:rsidR="001B2BE4" w:rsidRPr="00170963">
        <w:rPr>
          <w:lang w:val="en-US"/>
        </w:rPr>
        <w:t>In this work the goal was instead to evaluate the best operating conditions to have a tar conversion close to 100% for two different catalysts (the same catalyst A and another catalyst B</w:t>
      </w:r>
      <w:r w:rsidR="00653AD8" w:rsidRPr="00170963">
        <w:rPr>
          <w:lang w:val="en-US"/>
        </w:rPr>
        <w:t>,</w:t>
      </w:r>
      <w:r w:rsidR="001B2BE4" w:rsidRPr="00170963">
        <w:rPr>
          <w:lang w:val="en-US"/>
        </w:rPr>
        <w:t xml:space="preserve"> always supplied by Johnson Matthey) with a GHSV equal to 4500 h</w:t>
      </w:r>
      <w:r w:rsidR="001B2BE4" w:rsidRPr="00170963">
        <w:rPr>
          <w:vertAlign w:val="superscript"/>
          <w:lang w:val="en-US"/>
        </w:rPr>
        <w:t>-1</w:t>
      </w:r>
      <w:r w:rsidR="001B2BE4" w:rsidRPr="00170963">
        <w:rPr>
          <w:lang w:val="en-US"/>
        </w:rPr>
        <w:t xml:space="preserve">: such lower space velocity is </w:t>
      </w:r>
      <w:r w:rsidR="003A7428" w:rsidRPr="00170963">
        <w:rPr>
          <w:lang w:val="en-US"/>
        </w:rPr>
        <w:t xml:space="preserve">that </w:t>
      </w:r>
      <w:r w:rsidR="001B2BE4" w:rsidRPr="00170963">
        <w:rPr>
          <w:lang w:val="en-US"/>
        </w:rPr>
        <w:t>expected in a filter candle as shown in the work of Savuto et. al. (</w:t>
      </w:r>
      <w:r w:rsidR="00064896" w:rsidRPr="00170963">
        <w:rPr>
          <w:lang w:val="en-US"/>
        </w:rPr>
        <w:t>2019</w:t>
      </w:r>
      <w:r w:rsidR="001B2BE4" w:rsidRPr="00170963">
        <w:rPr>
          <w:lang w:val="en-US"/>
        </w:rPr>
        <w:t>). The results obtained in this work are in line with those obtained in the work of Rapagnà et al. (2018) where catalytic and no</w:t>
      </w:r>
      <w:r w:rsidR="00653AD8" w:rsidRPr="00170963">
        <w:rPr>
          <w:lang w:val="en-US"/>
        </w:rPr>
        <w:t>n</w:t>
      </w:r>
      <w:r w:rsidR="001B2BE4" w:rsidRPr="00170963">
        <w:rPr>
          <w:lang w:val="en-US"/>
        </w:rPr>
        <w:t xml:space="preserve">-catalytic filter candles were tested in a bench scale biomass fluidized bed gasifier for different bed </w:t>
      </w:r>
      <w:r w:rsidR="002D2C46" w:rsidRPr="00170963">
        <w:rPr>
          <w:lang w:val="en-US"/>
        </w:rPr>
        <w:t xml:space="preserve">inventories </w:t>
      </w:r>
      <w:r w:rsidR="001B2BE4" w:rsidRPr="00170963">
        <w:rPr>
          <w:lang w:val="en-US"/>
        </w:rPr>
        <w:t xml:space="preserve">(olivine or olivine/dolomite) with air and/or steam as </w:t>
      </w:r>
      <w:r w:rsidR="002D2C46" w:rsidRPr="00170963">
        <w:rPr>
          <w:lang w:val="en-US"/>
        </w:rPr>
        <w:t xml:space="preserve">the </w:t>
      </w:r>
      <w:r w:rsidR="001B2BE4" w:rsidRPr="00170963">
        <w:rPr>
          <w:lang w:val="en-US"/>
        </w:rPr>
        <w:t xml:space="preserve">gasification media. The comparison of the gasification results with non-catalytic and catalytic filter candles, using steam as gasification media, demonstrated that at temperatures higher than 800 °C the conversion of tar varied between 91 to 96 %. These results are comparable with the results obtained in this work with catalyst A, even </w:t>
      </w:r>
      <w:r w:rsidR="000F355B" w:rsidRPr="00170963">
        <w:rPr>
          <w:lang w:val="en-US"/>
        </w:rPr>
        <w:t xml:space="preserve">though </w:t>
      </w:r>
      <w:r w:rsidR="001B2BE4" w:rsidRPr="00170963">
        <w:rPr>
          <w:lang w:val="en-US"/>
        </w:rPr>
        <w:t>the concentration of H</w:t>
      </w:r>
      <w:r w:rsidR="001B2BE4" w:rsidRPr="00170963">
        <w:rPr>
          <w:vertAlign w:val="subscript"/>
          <w:lang w:val="en-US"/>
        </w:rPr>
        <w:t>2</w:t>
      </w:r>
      <w:r w:rsidR="001B2BE4" w:rsidRPr="00170963">
        <w:rPr>
          <w:lang w:val="en-US"/>
        </w:rPr>
        <w:t>S in the raw syngas obtained by Rapagnà et al.</w:t>
      </w:r>
      <w:r w:rsidR="00521787" w:rsidRPr="00170963">
        <w:rPr>
          <w:lang w:val="en-US"/>
        </w:rPr>
        <w:t xml:space="preserve"> (2018) </w:t>
      </w:r>
      <w:r w:rsidR="001B2BE4" w:rsidRPr="00170963">
        <w:rPr>
          <w:lang w:val="en-US"/>
        </w:rPr>
        <w:t>was not measured.</w:t>
      </w:r>
    </w:p>
    <w:p w14:paraId="14C77FA1" w14:textId="50C6CA4F" w:rsidR="00653AD8" w:rsidRPr="00170963" w:rsidRDefault="00A22BEA" w:rsidP="006775CF">
      <w:pPr>
        <w:pStyle w:val="CETListbullets"/>
        <w:ind w:left="0" w:firstLine="0"/>
        <w:rPr>
          <w:lang w:val="en-US"/>
        </w:rPr>
      </w:pPr>
      <w:r w:rsidRPr="00170963">
        <w:rPr>
          <w:lang w:val="en-US"/>
        </w:rPr>
        <w:t>To further highlight the deactivating effect of sulfur, the following graph of the conversion as a function of time is shown.</w:t>
      </w:r>
    </w:p>
    <w:p w14:paraId="754C28DD" w14:textId="05C8A345" w:rsidR="00A22BEA" w:rsidRPr="002A486C" w:rsidRDefault="00A22BEA" w:rsidP="006775CF">
      <w:pPr>
        <w:pStyle w:val="CETListbullets"/>
        <w:ind w:left="0" w:firstLine="0"/>
        <w:rPr>
          <w:highlight w:val="yellow"/>
          <w:lang w:val="en-US"/>
        </w:rPr>
      </w:pPr>
    </w:p>
    <w:p w14:paraId="2144A668" w14:textId="77777777" w:rsidR="00A22BEA" w:rsidRPr="002A486C" w:rsidRDefault="00A22BEA" w:rsidP="00A22BEA">
      <w:pPr>
        <w:pStyle w:val="CETListbullets"/>
        <w:keepNext/>
        <w:ind w:left="0" w:firstLine="0"/>
        <w:rPr>
          <w:highlight w:val="yellow"/>
        </w:rPr>
      </w:pPr>
      <w:r w:rsidRPr="002A486C">
        <w:rPr>
          <w:noProof/>
          <w:highlight w:val="yellow"/>
          <w:lang w:val="it-IT" w:eastAsia="it-IT"/>
        </w:rPr>
        <w:drawing>
          <wp:inline distT="0" distB="0" distL="0" distR="0" wp14:anchorId="5C8FF95E" wp14:editId="51D4A069">
            <wp:extent cx="5279047" cy="2520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9047" cy="2520000"/>
                    </a:xfrm>
                    <a:prstGeom prst="rect">
                      <a:avLst/>
                    </a:prstGeom>
                    <a:noFill/>
                  </pic:spPr>
                </pic:pic>
              </a:graphicData>
            </a:graphic>
          </wp:inline>
        </w:drawing>
      </w:r>
    </w:p>
    <w:p w14:paraId="7D2C40A4" w14:textId="4374E57E" w:rsidR="00A22BEA" w:rsidRPr="00170963" w:rsidRDefault="00A22BEA" w:rsidP="00A22BEA">
      <w:pPr>
        <w:pStyle w:val="CETCaption"/>
        <w:rPr>
          <w:lang w:val="en-US"/>
        </w:rPr>
      </w:pPr>
      <w:r w:rsidRPr="00170963">
        <w:t xml:space="preserve">Figure </w:t>
      </w:r>
      <w:r w:rsidRPr="00170963">
        <w:fldChar w:fldCharType="begin"/>
      </w:r>
      <w:r w:rsidRPr="00170963">
        <w:instrText xml:space="preserve"> SEQ Figure \* ARABIC </w:instrText>
      </w:r>
      <w:r w:rsidRPr="00170963">
        <w:fldChar w:fldCharType="separate"/>
      </w:r>
      <w:r w:rsidR="005B1835" w:rsidRPr="00170963">
        <w:rPr>
          <w:noProof/>
        </w:rPr>
        <w:t>3</w:t>
      </w:r>
      <w:r w:rsidRPr="00170963">
        <w:fldChar w:fldCharType="end"/>
      </w:r>
      <w:r w:rsidRPr="00170963">
        <w:t xml:space="preserve">: Inlet carbon conversion as a function of </w:t>
      </w:r>
      <w:r w:rsidR="009074E5" w:rsidRPr="00170963">
        <w:t xml:space="preserve">time </w:t>
      </w:r>
      <w:r w:rsidRPr="00170963">
        <w:t>using catalyst A at 800°C in presence of 100 ppm of H</w:t>
      </w:r>
      <w:r w:rsidRPr="00170963">
        <w:rPr>
          <w:vertAlign w:val="subscript"/>
        </w:rPr>
        <w:t>2</w:t>
      </w:r>
      <w:r w:rsidRPr="00170963">
        <w:t>S.</w:t>
      </w:r>
    </w:p>
    <w:p w14:paraId="4C491F0E" w14:textId="3F77E91F" w:rsidR="00A22BEA" w:rsidRDefault="00A22BEA" w:rsidP="0096792F">
      <w:pPr>
        <w:pStyle w:val="CETBodytext"/>
      </w:pPr>
      <w:r w:rsidRPr="00170963">
        <w:t>This is the</w:t>
      </w:r>
      <w:r w:rsidR="009074E5" w:rsidRPr="00170963">
        <w:t xml:space="preserve"> tar</w:t>
      </w:r>
      <w:r w:rsidRPr="00170963">
        <w:t xml:space="preserve"> conversion of the test at 800 °C with 100 ppm of sulfur</w:t>
      </w:r>
      <w:r w:rsidR="009074E5" w:rsidRPr="00170963">
        <w:t xml:space="preserve"> using catalyst A</w:t>
      </w:r>
      <w:r w:rsidRPr="00170963">
        <w:t xml:space="preserve">. </w:t>
      </w:r>
      <w:r w:rsidR="002A486C" w:rsidRPr="00170963">
        <w:t>As is evident, the conversion at the beginning is equal to approximately 96%, during the test it decreases until it reaches a plateau of about 60%.</w:t>
      </w:r>
    </w:p>
    <w:p w14:paraId="76ACE903" w14:textId="7F38FA35" w:rsidR="00D95AC1" w:rsidRDefault="00D95AC1" w:rsidP="0096792F">
      <w:pPr>
        <w:pStyle w:val="CETBodytext"/>
      </w:pPr>
      <w:r w:rsidRPr="00D95AC1">
        <w:t>BET and XRF analyses were carried out on the two catalysts before and after tests. The BET analyses showed that the surface area of the two catalysts were for both around 15 m</w:t>
      </w:r>
      <w:r w:rsidRPr="00D95AC1">
        <w:rPr>
          <w:vertAlign w:val="superscript"/>
        </w:rPr>
        <w:t>2</w:t>
      </w:r>
      <w:r w:rsidRPr="00D95AC1">
        <w:t xml:space="preserve">/g. The same analysis carried out for the spent catalysts showed that the surface area of </w:t>
      </w:r>
      <w:r w:rsidR="00E45787">
        <w:t>catalyst A</w:t>
      </w:r>
      <w:r w:rsidRPr="00D95AC1">
        <w:t xml:space="preserve"> was around 11 m</w:t>
      </w:r>
      <w:r w:rsidRPr="00D95AC1">
        <w:rPr>
          <w:vertAlign w:val="superscript"/>
        </w:rPr>
        <w:t>2</w:t>
      </w:r>
      <w:r w:rsidRPr="00D95AC1">
        <w:t xml:space="preserve">/g, while that for </w:t>
      </w:r>
      <w:r w:rsidR="00E45787">
        <w:t>catalyst B</w:t>
      </w:r>
      <w:r w:rsidRPr="00D95AC1">
        <w:t xml:space="preserve"> was around 8 m</w:t>
      </w:r>
      <w:r w:rsidRPr="00D95AC1">
        <w:rPr>
          <w:vertAlign w:val="superscript"/>
        </w:rPr>
        <w:t>2</w:t>
      </w:r>
      <w:r w:rsidRPr="00D95AC1">
        <w:t xml:space="preserve">/g, showing a greater sintering effect for this last catalyst. This could explain the worst performance of </w:t>
      </w:r>
      <w:r w:rsidR="00E45787">
        <w:t>catalyst B</w:t>
      </w:r>
      <w:r w:rsidRPr="00D95AC1">
        <w:t>. XRF confirmed for both catalysts the presence of S that was evidently absorbed on Ni sites.</w:t>
      </w:r>
      <w:r w:rsidR="0096792F">
        <w:t xml:space="preserve"> </w:t>
      </w:r>
    </w:p>
    <w:p w14:paraId="3862C504" w14:textId="684D8035" w:rsidR="00796BE9" w:rsidRDefault="00A47583" w:rsidP="00A47583">
      <w:pPr>
        <w:pStyle w:val="CETHeading1"/>
      </w:pPr>
      <w:r>
        <w:t>Conclusion</w:t>
      </w:r>
      <w:r w:rsidR="0038510D">
        <w:t>s</w:t>
      </w:r>
    </w:p>
    <w:p w14:paraId="01A61424" w14:textId="57350689" w:rsidR="00D76748" w:rsidRDefault="00D76748" w:rsidP="00D76748">
      <w:pPr>
        <w:pStyle w:val="CETBodytext"/>
      </w:pPr>
      <w:r>
        <w:t xml:space="preserve">This work was dealt with studying of tar steam reforming process, in order to obtain, more generally, a syngas with a higher added value. To do this it is necessary to use catalysts. In this case, two different commercial </w:t>
      </w:r>
      <w:r w:rsidR="00F75441">
        <w:t>n</w:t>
      </w:r>
      <w:r>
        <w:t>ickel-based catalysts were studied and compared, using a laboratory micro</w:t>
      </w:r>
      <w:r w:rsidR="00F75441">
        <w:t>-</w:t>
      </w:r>
      <w:r>
        <w:t xml:space="preserve">reactor. The main aim of the experiments was to assess their </w:t>
      </w:r>
      <w:r w:rsidR="00971DE0">
        <w:t>behavior</w:t>
      </w:r>
      <w:r>
        <w:t xml:space="preserve"> with varying temperature and </w:t>
      </w:r>
      <w:r w:rsidR="00971DE0">
        <w:t>sulfur</w:t>
      </w:r>
      <w:r>
        <w:t xml:space="preserve"> content, which acts as a catalyst deactivator. Specifically, this research, carried out as part of the European project BLAZE, has as its final objective the insertion of this catalyst inside the filter candles in the gasification plant on a pilot scale. Particular attention must be paid to identifying the best operating conditions to have a high tar conversion to make the syngas usable in its subsequent processing, in this specific case for SOFC. </w:t>
      </w:r>
    </w:p>
    <w:p w14:paraId="7AD85642" w14:textId="60D8DF16" w:rsidR="00AD6611" w:rsidRPr="00821CBA" w:rsidRDefault="00D76748" w:rsidP="009E1EF0">
      <w:pPr>
        <w:pStyle w:val="CETBodytext"/>
      </w:pPr>
      <w:r>
        <w:t>Twelve different tests were performed, at three different temperatures (750, 800, 850 °C) and with two different pseudo</w:t>
      </w:r>
      <w:r w:rsidR="00260619">
        <w:t>-</w:t>
      </w:r>
      <w:r>
        <w:t>tar solution</w:t>
      </w:r>
      <w:r w:rsidR="00A13573">
        <w:t>s</w:t>
      </w:r>
      <w:r>
        <w:t xml:space="preserve">, containing the same amounts of toluene and naphthalene, but different concentrations of the </w:t>
      </w:r>
      <w:r w:rsidR="00A13573">
        <w:t xml:space="preserve">sulfur </w:t>
      </w:r>
      <w:r>
        <w:t xml:space="preserve">deactivating element. The results showed that the tar conversion process is </w:t>
      </w:r>
      <w:r w:rsidR="00971DE0">
        <w:t>favored</w:t>
      </w:r>
      <w:r>
        <w:t xml:space="preserve"> at higher </w:t>
      </w:r>
      <w:r>
        <w:lastRenderedPageBreak/>
        <w:t>temperatures and in the presence of lower thiophene quantities. In addition, catalyst A</w:t>
      </w:r>
      <w:r w:rsidR="00E45787">
        <w:t xml:space="preserve"> </w:t>
      </w:r>
      <w:r>
        <w:t xml:space="preserve">was found to </w:t>
      </w:r>
      <w:r w:rsidR="00A13573">
        <w:t xml:space="preserve">perform </w:t>
      </w:r>
      <w:r>
        <w:t>better than catalyst B.</w:t>
      </w:r>
    </w:p>
    <w:p w14:paraId="6917F4CD" w14:textId="77777777" w:rsidR="009E1EF0" w:rsidRPr="00280FAF" w:rsidRDefault="009E1EF0" w:rsidP="009E1EF0">
      <w:pPr>
        <w:pStyle w:val="CETHeadingxx"/>
        <w:rPr>
          <w:lang w:val="en-GB"/>
        </w:rPr>
        <w:sectPr w:rsidR="009E1EF0" w:rsidRPr="00280FAF" w:rsidSect="00B57E6F">
          <w:type w:val="continuous"/>
          <w:pgSz w:w="11906" w:h="16838" w:code="9"/>
          <w:pgMar w:top="1701" w:right="1418" w:bottom="1701" w:left="1701" w:header="1701" w:footer="0" w:gutter="0"/>
          <w:cols w:space="708"/>
          <w:formProt w:val="0"/>
          <w:titlePg/>
          <w:docGrid w:linePitch="360"/>
        </w:sectPr>
      </w:pPr>
      <w:r>
        <w:t>Nomenclature</w:t>
      </w:r>
    </w:p>
    <w:p w14:paraId="7A8E1704" w14:textId="320D3D00" w:rsidR="0063331A" w:rsidRDefault="0063331A" w:rsidP="00114A32">
      <w:pPr>
        <w:pStyle w:val="CETBodytext"/>
        <w:jc w:val="left"/>
        <w:rPr>
          <w:rFonts w:eastAsia="SimSun"/>
        </w:rPr>
      </w:pPr>
      <w:r>
        <w:rPr>
          <w:rFonts w:eastAsia="SimSun"/>
        </w:rPr>
        <w:t xml:space="preserve">BLAZE </w:t>
      </w:r>
      <w:r w:rsidRPr="00280FAF">
        <w:rPr>
          <w:rFonts w:eastAsia="SimSun"/>
        </w:rPr>
        <w:t>–</w:t>
      </w:r>
      <w:r w:rsidR="0040242D">
        <w:rPr>
          <w:rFonts w:eastAsia="SimSun"/>
        </w:rPr>
        <w:t xml:space="preserve"> </w:t>
      </w:r>
      <w:r w:rsidR="0040242D" w:rsidRPr="0040242D">
        <w:rPr>
          <w:rFonts w:eastAsia="SimSun"/>
        </w:rPr>
        <w:t>Biomass Low cost Advanced Zero Emission</w:t>
      </w:r>
    </w:p>
    <w:p w14:paraId="190CA718" w14:textId="798DEE0E" w:rsidR="00114A32" w:rsidRPr="009835CF" w:rsidRDefault="0063331A" w:rsidP="00114A32">
      <w:pPr>
        <w:pStyle w:val="CETBodytext"/>
        <w:jc w:val="left"/>
        <w:rPr>
          <w:rFonts w:eastAsia="SimSun"/>
        </w:rPr>
      </w:pPr>
      <w:r>
        <w:rPr>
          <w:rFonts w:eastAsia="SimSun"/>
        </w:rPr>
        <w:t>BET</w:t>
      </w:r>
      <w:r w:rsidRPr="00280FAF">
        <w:rPr>
          <w:rFonts w:eastAsia="SimSun"/>
        </w:rPr>
        <w:t xml:space="preserve"> –</w:t>
      </w:r>
      <w:r w:rsidR="00114A32" w:rsidRPr="00280FAF">
        <w:rPr>
          <w:rFonts w:eastAsia="SimSun"/>
        </w:rPr>
        <w:t xml:space="preserve"> </w:t>
      </w:r>
      <w:r w:rsidR="0040242D" w:rsidRPr="0040242D">
        <w:rPr>
          <w:rFonts w:eastAsia="SimSun"/>
        </w:rPr>
        <w:t>Brunauer-Emmett-Teller surface area analysis</w:t>
      </w:r>
    </w:p>
    <w:p w14:paraId="2E49486C" w14:textId="2F5C2225" w:rsidR="009E1EF0" w:rsidRDefault="00114A32" w:rsidP="009E1EF0">
      <w:pPr>
        <w:pStyle w:val="CETBodytext"/>
        <w:jc w:val="left"/>
        <w:rPr>
          <w:rFonts w:eastAsia="SimSun"/>
        </w:rPr>
      </w:pPr>
      <w:r>
        <w:rPr>
          <w:rFonts w:eastAsia="SimSun"/>
        </w:rPr>
        <w:t>XRF</w:t>
      </w:r>
      <w:r w:rsidR="009E1EF0" w:rsidRPr="00280FAF">
        <w:rPr>
          <w:rFonts w:eastAsia="SimSun"/>
        </w:rPr>
        <w:t xml:space="preserve"> – </w:t>
      </w:r>
      <w:r w:rsidR="0040242D" w:rsidRPr="0040242D">
        <w:rPr>
          <w:rFonts w:eastAsia="SimSun"/>
        </w:rPr>
        <w:t>X-ray fluorescence</w:t>
      </w:r>
    </w:p>
    <w:p w14:paraId="2547116B" w14:textId="3818E0E9" w:rsidR="008307ED" w:rsidRDefault="008307ED" w:rsidP="009E1EF0">
      <w:pPr>
        <w:pStyle w:val="CETBodytext"/>
        <w:jc w:val="left"/>
        <w:rPr>
          <w:rFonts w:eastAsia="SimSun"/>
        </w:rPr>
      </w:pPr>
      <w:r>
        <w:rPr>
          <w:rFonts w:eastAsia="SimSun"/>
        </w:rPr>
        <w:t xml:space="preserve">SOFC </w:t>
      </w:r>
      <w:r w:rsidRPr="00280FAF">
        <w:rPr>
          <w:rFonts w:eastAsia="SimSun"/>
        </w:rPr>
        <w:t>–</w:t>
      </w:r>
      <w:r>
        <w:rPr>
          <w:rFonts w:eastAsia="SimSun"/>
        </w:rPr>
        <w:t xml:space="preserve"> </w:t>
      </w:r>
      <w:r w:rsidR="0040242D">
        <w:rPr>
          <w:rFonts w:eastAsia="SimSun"/>
        </w:rPr>
        <w:t>S</w:t>
      </w:r>
      <w:r w:rsidR="0040242D" w:rsidRPr="0040242D">
        <w:rPr>
          <w:rFonts w:eastAsia="SimSun"/>
        </w:rPr>
        <w:t xml:space="preserve">olid </w:t>
      </w:r>
      <w:r w:rsidR="0040242D">
        <w:rPr>
          <w:rFonts w:eastAsia="SimSun"/>
        </w:rPr>
        <w:t>O</w:t>
      </w:r>
      <w:r w:rsidR="0040242D" w:rsidRPr="0040242D">
        <w:rPr>
          <w:rFonts w:eastAsia="SimSun"/>
        </w:rPr>
        <w:t xml:space="preserve">xide </w:t>
      </w:r>
      <w:r w:rsidR="0040242D">
        <w:rPr>
          <w:rFonts w:eastAsia="SimSun"/>
        </w:rPr>
        <w:t>F</w:t>
      </w:r>
      <w:r w:rsidR="0040242D" w:rsidRPr="0040242D">
        <w:rPr>
          <w:rFonts w:eastAsia="SimSun"/>
        </w:rPr>
        <w:t xml:space="preserve">uel </w:t>
      </w:r>
      <w:r w:rsidR="0040242D">
        <w:rPr>
          <w:rFonts w:eastAsia="SimSun"/>
        </w:rPr>
        <w:t>C</w:t>
      </w:r>
      <w:r w:rsidR="0040242D" w:rsidRPr="0040242D">
        <w:rPr>
          <w:rFonts w:eastAsia="SimSun"/>
        </w:rPr>
        <w:t>ell</w:t>
      </w:r>
    </w:p>
    <w:p w14:paraId="494BFB7F" w14:textId="15E5037A" w:rsidR="00114A32" w:rsidRPr="00280FAF" w:rsidRDefault="00114A32" w:rsidP="009E1EF0">
      <w:pPr>
        <w:pStyle w:val="CETBodytext"/>
        <w:jc w:val="left"/>
        <w:rPr>
          <w:rFonts w:eastAsia="SimSun"/>
        </w:rPr>
      </w:pPr>
      <w:r>
        <w:rPr>
          <w:rFonts w:eastAsia="SimSun"/>
        </w:rPr>
        <w:t>GHSV</w:t>
      </w:r>
      <w:r w:rsidRPr="00380A64">
        <w:rPr>
          <w:rFonts w:eastAsia="SimSun"/>
          <w:vertAlign w:val="subscript"/>
        </w:rPr>
        <w:t xml:space="preserve"> </w:t>
      </w:r>
      <w:r w:rsidRPr="00280FAF">
        <w:rPr>
          <w:rFonts w:eastAsia="SimSun"/>
        </w:rPr>
        <w:t xml:space="preserve">– </w:t>
      </w:r>
      <w:r>
        <w:rPr>
          <w:rFonts w:eastAsia="SimSun"/>
        </w:rPr>
        <w:t>Gas Hourly Space Velocity, h</w:t>
      </w:r>
      <w:r w:rsidRPr="00114A32">
        <w:rPr>
          <w:rFonts w:eastAsia="SimSun"/>
          <w:vertAlign w:val="superscript"/>
        </w:rPr>
        <w:t>-1</w:t>
      </w:r>
    </w:p>
    <w:p w14:paraId="118B4205" w14:textId="6C73F46A" w:rsidR="00114A32" w:rsidRPr="00280FAF" w:rsidRDefault="00114A32" w:rsidP="00114A32">
      <w:pPr>
        <w:pStyle w:val="CETBodytext"/>
        <w:jc w:val="left"/>
        <w:rPr>
          <w:rFonts w:eastAsia="SimSun"/>
        </w:rPr>
      </w:pPr>
      <w:r>
        <w:rPr>
          <w:rFonts w:eastAsia="SimSun"/>
        </w:rPr>
        <w:t>C</w:t>
      </w:r>
      <w:r w:rsidRPr="00380A64">
        <w:rPr>
          <w:rFonts w:eastAsia="SimSun"/>
          <w:vertAlign w:val="subscript"/>
        </w:rPr>
        <w:t xml:space="preserve">i </w:t>
      </w:r>
      <w:r w:rsidRPr="00280FAF">
        <w:rPr>
          <w:rFonts w:eastAsia="SimSun"/>
        </w:rPr>
        <w:t>– m</w:t>
      </w:r>
      <w:r>
        <w:rPr>
          <w:rFonts w:eastAsia="SimSun"/>
        </w:rPr>
        <w:t>olar concentration of gas species i</w:t>
      </w:r>
      <w:r w:rsidRPr="00280FAF">
        <w:rPr>
          <w:rFonts w:eastAsia="SimSun"/>
        </w:rPr>
        <w:t>, m</w:t>
      </w:r>
      <w:r>
        <w:rPr>
          <w:rFonts w:eastAsia="SimSun"/>
        </w:rPr>
        <w:t>ol m</w:t>
      </w:r>
      <w:r w:rsidRPr="009835CF">
        <w:rPr>
          <w:rFonts w:eastAsia="SimSun"/>
          <w:vertAlign w:val="superscript"/>
        </w:rPr>
        <w:t>-3</w:t>
      </w:r>
    </w:p>
    <w:p w14:paraId="267080ED" w14:textId="77777777" w:rsidR="00114A32" w:rsidRPr="009835CF" w:rsidRDefault="00114A32" w:rsidP="00114A32">
      <w:pPr>
        <w:pStyle w:val="CETBodytext"/>
        <w:jc w:val="left"/>
        <w:rPr>
          <w:rFonts w:eastAsia="SimSun"/>
        </w:rPr>
      </w:pPr>
      <w:r>
        <w:rPr>
          <w:rFonts w:eastAsia="SimSun"/>
        </w:rPr>
        <w:t>F</w:t>
      </w:r>
      <w:r w:rsidRPr="00280FAF">
        <w:rPr>
          <w:rFonts w:eastAsia="SimSun"/>
        </w:rPr>
        <w:t xml:space="preserve"> – </w:t>
      </w:r>
      <w:r>
        <w:rPr>
          <w:rFonts w:eastAsia="SimSun"/>
        </w:rPr>
        <w:t>molar flowrate of species i</w:t>
      </w:r>
      <w:r w:rsidRPr="00280FAF">
        <w:rPr>
          <w:rFonts w:eastAsia="SimSun"/>
        </w:rPr>
        <w:t>, m</w:t>
      </w:r>
      <w:r>
        <w:rPr>
          <w:rFonts w:eastAsia="SimSun"/>
        </w:rPr>
        <w:t>ol h</w:t>
      </w:r>
      <w:r w:rsidRPr="009835CF">
        <w:rPr>
          <w:rFonts w:eastAsia="SimSun"/>
          <w:vertAlign w:val="superscript"/>
        </w:rPr>
        <w:t>-1</w:t>
      </w:r>
    </w:p>
    <w:p w14:paraId="55761296" w14:textId="1EFD2827" w:rsidR="009E1EF0" w:rsidRPr="00114A32" w:rsidRDefault="009E1EF0" w:rsidP="009E1EF0">
      <w:pPr>
        <w:pStyle w:val="CETBodytext"/>
        <w:jc w:val="left"/>
        <w:rPr>
          <w:rFonts w:eastAsia="SimSun"/>
          <w:lang w:val="en-GB"/>
        </w:rPr>
      </w:pPr>
      <w:r w:rsidRPr="00114A32">
        <w:rPr>
          <w:rFonts w:eastAsia="SimSun"/>
          <w:lang w:val="en-GB"/>
        </w:rPr>
        <w:t xml:space="preserve">P – </w:t>
      </w:r>
      <w:r w:rsidR="00114A32" w:rsidRPr="00114A32">
        <w:rPr>
          <w:rFonts w:eastAsia="SimSun"/>
          <w:lang w:val="en-GB"/>
        </w:rPr>
        <w:t>pressure</w:t>
      </w:r>
      <w:r w:rsidRPr="00114A32">
        <w:rPr>
          <w:rFonts w:eastAsia="SimSun"/>
          <w:lang w:val="en-GB"/>
        </w:rPr>
        <w:t xml:space="preserve">, </w:t>
      </w:r>
      <w:r w:rsidR="00114A32" w:rsidRPr="00114A32">
        <w:rPr>
          <w:rFonts w:eastAsia="SimSun"/>
          <w:lang w:val="en-GB"/>
        </w:rPr>
        <w:t>atm</w:t>
      </w:r>
    </w:p>
    <w:p w14:paraId="2DB3F230" w14:textId="02ECF93D" w:rsidR="009E1EF0" w:rsidRPr="00280FAF" w:rsidRDefault="00114A32" w:rsidP="009E1EF0">
      <w:pPr>
        <w:pStyle w:val="CETBodytext"/>
        <w:jc w:val="left"/>
        <w:rPr>
          <w:rFonts w:eastAsia="SimSun"/>
        </w:rPr>
      </w:pPr>
      <w:r>
        <w:rPr>
          <w:rFonts w:eastAsia="SimSun"/>
        </w:rPr>
        <w:t>T</w:t>
      </w:r>
      <w:r w:rsidR="009E1EF0" w:rsidRPr="00280FAF">
        <w:rPr>
          <w:rFonts w:eastAsia="SimSun"/>
        </w:rPr>
        <w:t xml:space="preserve"> – </w:t>
      </w:r>
      <w:r>
        <w:rPr>
          <w:rFonts w:eastAsia="SimSun"/>
        </w:rPr>
        <w:t>temperature</w:t>
      </w:r>
      <w:r w:rsidR="009E1EF0" w:rsidRPr="00280FAF">
        <w:rPr>
          <w:rFonts w:eastAsia="SimSun"/>
        </w:rPr>
        <w:t xml:space="preserve">, </w:t>
      </w:r>
      <w:r>
        <w:rPr>
          <w:rFonts w:eastAsia="SimSun"/>
        </w:rPr>
        <w:t>°C</w:t>
      </w:r>
    </w:p>
    <w:p w14:paraId="6B5EF247" w14:textId="78970200" w:rsidR="009E1EF0" w:rsidRPr="00280FAF" w:rsidRDefault="00114A32" w:rsidP="009E1EF0">
      <w:pPr>
        <w:pStyle w:val="CETBodytext"/>
        <w:jc w:val="left"/>
        <w:rPr>
          <w:rFonts w:eastAsia="SimSun"/>
        </w:rPr>
      </w:pPr>
      <w:r>
        <w:rPr>
          <w:rFonts w:eastAsia="SimSun"/>
        </w:rPr>
        <w:t>y</w:t>
      </w:r>
      <w:r w:rsidR="008307ED" w:rsidRPr="008307ED">
        <w:rPr>
          <w:rFonts w:eastAsia="SimSun"/>
          <w:vertAlign w:val="subscript"/>
        </w:rPr>
        <w:t>i</w:t>
      </w:r>
      <w:r w:rsidR="008307ED">
        <w:rPr>
          <w:rFonts w:eastAsia="SimSun"/>
        </w:rPr>
        <w:t xml:space="preserve"> </w:t>
      </w:r>
      <w:r w:rsidR="009E1EF0" w:rsidRPr="00280FAF">
        <w:rPr>
          <w:rFonts w:eastAsia="SimSun"/>
        </w:rPr>
        <w:t xml:space="preserve">– </w:t>
      </w:r>
      <w:r w:rsidR="008307ED">
        <w:rPr>
          <w:rFonts w:eastAsia="SimSun"/>
        </w:rPr>
        <w:t>molar fraction of species i, mol mol</w:t>
      </w:r>
      <w:r w:rsidR="008307ED" w:rsidRPr="008307ED">
        <w:rPr>
          <w:rFonts w:eastAsia="SimSun"/>
          <w:vertAlign w:val="superscript"/>
        </w:rPr>
        <w:t>-1</w:t>
      </w:r>
    </w:p>
    <w:p w14:paraId="34817BA4" w14:textId="616F4F0C" w:rsidR="009E1EF0" w:rsidRPr="008307ED" w:rsidRDefault="008307ED" w:rsidP="009E1EF0">
      <w:pPr>
        <w:pStyle w:val="CETBodytext"/>
        <w:jc w:val="left"/>
        <w:rPr>
          <w:rFonts w:eastAsia="SimSun"/>
          <w:lang w:val="en-GB"/>
        </w:rPr>
      </w:pPr>
      <w:r w:rsidRPr="008307ED">
        <w:rPr>
          <w:rFonts w:eastAsia="SimSun"/>
          <w:lang w:val="en-GB"/>
        </w:rPr>
        <w:t>Y</w:t>
      </w:r>
      <w:r w:rsidRPr="008307ED">
        <w:rPr>
          <w:rFonts w:eastAsia="SimSun"/>
          <w:vertAlign w:val="subscript"/>
          <w:lang w:val="en-GB"/>
        </w:rPr>
        <w:t>i</w:t>
      </w:r>
      <w:r w:rsidR="009E1EF0" w:rsidRPr="008307ED">
        <w:rPr>
          <w:rFonts w:eastAsia="SimSun"/>
          <w:lang w:val="en-GB"/>
        </w:rPr>
        <w:t xml:space="preserve"> – </w:t>
      </w:r>
      <w:r w:rsidRPr="008307ED">
        <w:rPr>
          <w:rFonts w:eastAsia="SimSun"/>
          <w:lang w:val="en-GB"/>
        </w:rPr>
        <w:t>molar percentage dry, dil</w:t>
      </w:r>
      <w:r>
        <w:rPr>
          <w:rFonts w:eastAsia="SimSun"/>
          <w:lang w:val="en-GB"/>
        </w:rPr>
        <w:t xml:space="preserve">ution-free of gaseous species I, vol% </w:t>
      </w:r>
    </w:p>
    <w:p w14:paraId="3DD449CE" w14:textId="29D318BB" w:rsidR="00FA0BE8" w:rsidRPr="00280FAF" w:rsidRDefault="00FA0BE8" w:rsidP="00FA0BE8">
      <w:pPr>
        <w:pStyle w:val="CETBodytext"/>
        <w:jc w:val="left"/>
        <w:rPr>
          <w:rFonts w:eastAsia="SimSun"/>
        </w:rPr>
      </w:pPr>
      <w:r w:rsidRPr="00280FAF">
        <w:rPr>
          <w:rFonts w:eastAsia="SimSun"/>
          <w:lang w:val="el-GR"/>
        </w:rPr>
        <w:t xml:space="preserve">α </w:t>
      </w:r>
      <w:r>
        <w:rPr>
          <w:rFonts w:eastAsia="SimSun"/>
          <w:lang w:val="el-GR"/>
        </w:rPr>
        <w:t>–</w:t>
      </w:r>
      <w:r w:rsidRPr="00280FAF">
        <w:rPr>
          <w:rFonts w:eastAsia="SimSun"/>
          <w:lang w:val="el-GR"/>
        </w:rPr>
        <w:t xml:space="preserve"> </w:t>
      </w:r>
      <w:r>
        <w:rPr>
          <w:rFonts w:eastAsia="SimSun"/>
        </w:rPr>
        <w:t>molar steam to carbon ratio</w:t>
      </w:r>
      <w:r w:rsidRPr="00280FAF">
        <w:rPr>
          <w:rFonts w:eastAsia="SimSun"/>
        </w:rPr>
        <w:t xml:space="preserve">, </w:t>
      </w:r>
      <w:r>
        <w:rPr>
          <w:rFonts w:eastAsia="SimSun"/>
        </w:rPr>
        <w:t>mol mol</w:t>
      </w:r>
      <w:r w:rsidRPr="00FA0BE8">
        <w:rPr>
          <w:rFonts w:eastAsia="SimSun"/>
          <w:vertAlign w:val="superscript"/>
        </w:rPr>
        <w:t>-1</w:t>
      </w:r>
    </w:p>
    <w:p w14:paraId="1C624F31" w14:textId="77777777" w:rsidR="00FA0BE8" w:rsidRPr="008307ED" w:rsidRDefault="00FA0BE8" w:rsidP="00FA0BE8">
      <w:pPr>
        <w:pStyle w:val="CETBodytext"/>
        <w:jc w:val="left"/>
        <w:rPr>
          <w:rFonts w:eastAsia="SimSun"/>
          <w:lang w:val="en-GB"/>
        </w:rPr>
      </w:pPr>
      <w:r>
        <w:rPr>
          <w:rFonts w:eastAsia="SimSun" w:cs="Arial"/>
          <w:lang w:val="en-GB"/>
        </w:rPr>
        <w:t>χ</w:t>
      </w:r>
      <w:r>
        <w:rPr>
          <w:rFonts w:eastAsia="SimSun"/>
          <w:vertAlign w:val="subscript"/>
          <w:lang w:val="en-GB"/>
        </w:rPr>
        <w:t>i</w:t>
      </w:r>
      <w:r w:rsidRPr="008307ED">
        <w:rPr>
          <w:rFonts w:eastAsia="SimSun"/>
          <w:lang w:val="en-GB"/>
        </w:rPr>
        <w:t xml:space="preserve"> – </w:t>
      </w:r>
      <w:r>
        <w:rPr>
          <w:rFonts w:eastAsia="SimSun"/>
          <w:lang w:val="en-GB"/>
        </w:rPr>
        <w:t>conversion of species i</w:t>
      </w:r>
    </w:p>
    <w:p w14:paraId="45554BAF" w14:textId="779731B0" w:rsidR="009E1EF0" w:rsidRPr="00280FAF" w:rsidRDefault="00FA0BE8" w:rsidP="009E1EF0">
      <w:pPr>
        <w:pStyle w:val="CETBodytext"/>
        <w:jc w:val="left"/>
        <w:rPr>
          <w:rFonts w:eastAsia="SimSun"/>
        </w:rPr>
      </w:pPr>
      <w:r>
        <w:rPr>
          <w:rFonts w:eastAsia="SimSun"/>
        </w:rPr>
        <w:t>in</w:t>
      </w:r>
      <w:r w:rsidR="009E1EF0" w:rsidRPr="00280FAF">
        <w:rPr>
          <w:rFonts w:eastAsia="SimSun"/>
        </w:rPr>
        <w:t xml:space="preserve"> – </w:t>
      </w:r>
      <w:r>
        <w:rPr>
          <w:rFonts w:eastAsia="SimSun"/>
        </w:rPr>
        <w:t>inlet</w:t>
      </w:r>
    </w:p>
    <w:p w14:paraId="1A0E6659" w14:textId="35DC91DE" w:rsidR="009E1EF0" w:rsidRPr="00E377D0" w:rsidRDefault="0063331A" w:rsidP="009E1EF0">
      <w:pPr>
        <w:pStyle w:val="CETBodytext"/>
        <w:jc w:val="left"/>
        <w:rPr>
          <w:rFonts w:eastAsia="SimSun"/>
        </w:rPr>
        <w:sectPr w:rsidR="009E1EF0" w:rsidRPr="00E377D0" w:rsidSect="00605635">
          <w:type w:val="continuous"/>
          <w:pgSz w:w="11906" w:h="16838" w:code="9"/>
          <w:pgMar w:top="1701" w:right="1418" w:bottom="1701" w:left="1701" w:header="1701" w:footer="0" w:gutter="0"/>
          <w:cols w:num="2" w:space="708"/>
          <w:formProt w:val="0"/>
          <w:titlePg/>
          <w:docGrid w:linePitch="360"/>
        </w:sectPr>
      </w:pPr>
      <w:r w:rsidRPr="0063331A">
        <w:rPr>
          <w:rFonts w:eastAsia="SimSun" w:cs="Arial"/>
          <w:lang w:val="en-GB"/>
        </w:rPr>
        <w:t xml:space="preserve">out </w:t>
      </w:r>
      <w:r w:rsidR="009E1EF0" w:rsidRPr="00280FAF">
        <w:rPr>
          <w:rFonts w:eastAsia="SimSun"/>
          <w:lang w:val="el-GR"/>
        </w:rPr>
        <w:t xml:space="preserve">– </w:t>
      </w:r>
      <w:r>
        <w:rPr>
          <w:rFonts w:eastAsia="SimSun"/>
        </w:rPr>
        <w:t>outlet</w:t>
      </w:r>
    </w:p>
    <w:p w14:paraId="00907D84" w14:textId="77777777" w:rsidR="009E1EF0" w:rsidRPr="00B57B36" w:rsidRDefault="009E1EF0" w:rsidP="009E1EF0">
      <w:pPr>
        <w:pStyle w:val="CETAcknowledgementstitle"/>
      </w:pPr>
      <w:r w:rsidRPr="00B57B36">
        <w:t>Acknowledgments</w:t>
      </w:r>
    </w:p>
    <w:p w14:paraId="26ED3866" w14:textId="55AB46DA" w:rsidR="009E1EF0" w:rsidRPr="00A70412" w:rsidRDefault="009E1EF0" w:rsidP="00A70412">
      <w:pPr>
        <w:pStyle w:val="CETBodytext"/>
      </w:pPr>
      <w:r w:rsidRPr="00A70412">
        <w:t>The authors would like to acknowledge Johnson Matthey to have supplied the catalysts for the tests.</w:t>
      </w:r>
    </w:p>
    <w:p w14:paraId="75995BF2" w14:textId="77777777" w:rsidR="009E1EF0" w:rsidRPr="00A70412" w:rsidRDefault="009E1EF0" w:rsidP="00A70412">
      <w:pPr>
        <w:pStyle w:val="CETBodytext"/>
      </w:pPr>
      <w:r w:rsidRPr="00A70412">
        <w:t>The authors also kindly acknowledge the financial support of R&amp;D Project BLAZE G.A. 815284 funded by the European Union’s Horizon 2020 research and innovation program.</w:t>
      </w:r>
    </w:p>
    <w:p w14:paraId="21484C27" w14:textId="77777777" w:rsidR="00560755" w:rsidRPr="00F84C90" w:rsidRDefault="00560755" w:rsidP="00560755">
      <w:pPr>
        <w:pStyle w:val="CETReference"/>
      </w:pPr>
      <w:r w:rsidRPr="00F84C90">
        <w:t>References</w:t>
      </w:r>
    </w:p>
    <w:p w14:paraId="1C43D837" w14:textId="0B41C7B5" w:rsidR="00AD6611" w:rsidRPr="00F8756A" w:rsidRDefault="00576D43" w:rsidP="009E28F8">
      <w:pPr>
        <w:pStyle w:val="CETReferencetext"/>
      </w:pPr>
      <w:r w:rsidRPr="009E28F8">
        <w:fldChar w:fldCharType="begin" w:fldLock="1"/>
      </w:r>
      <w:r w:rsidRPr="009E28F8">
        <w:instrText xml:space="preserve">ADDIN Mendeley Bibliography CSL_BIBLIOGRAPHY </w:instrText>
      </w:r>
      <w:r w:rsidRPr="009E28F8">
        <w:fldChar w:fldCharType="separate"/>
      </w:r>
      <w:r w:rsidR="00AD6611" w:rsidRPr="009E28F8">
        <w:t>Depner H., Jess A.</w:t>
      </w:r>
      <w:r w:rsidR="005C132A">
        <w:t xml:space="preserve">, </w:t>
      </w:r>
      <w:r w:rsidR="00AD6611" w:rsidRPr="009E28F8">
        <w:t>1999</w:t>
      </w:r>
      <w:r w:rsidR="005C132A">
        <w:t>,</w:t>
      </w:r>
      <w:r w:rsidR="00AD6611" w:rsidRPr="009E28F8">
        <w:t xml:space="preserve"> Kinetics of nickel-catalyzed purification of tarry fuel gases from gasification and pyrolysis of solid fuels. </w:t>
      </w:r>
      <w:r w:rsidR="00AD6611" w:rsidRPr="00F8756A">
        <w:t>Fuel, 78(12), 1369–1377. https://doi.org/10.1016/S0016-2361(99)00067-8</w:t>
      </w:r>
    </w:p>
    <w:p w14:paraId="71CA6AF4" w14:textId="7B143008" w:rsidR="00AD6611" w:rsidRPr="00F8756A" w:rsidRDefault="00AD6611" w:rsidP="009E28F8">
      <w:pPr>
        <w:pStyle w:val="CETReferencetext"/>
      </w:pPr>
      <w:r w:rsidRPr="00F8756A">
        <w:t>Di Carlo A., Moroni M., Savuto E., Pallozzi V., Bocci E., Di Lillo P.</w:t>
      </w:r>
      <w:r w:rsidR="005C132A" w:rsidRPr="00F8756A">
        <w:t xml:space="preserve">, </w:t>
      </w:r>
      <w:r w:rsidRPr="00F8756A">
        <w:t>2019</w:t>
      </w:r>
      <w:r w:rsidR="005C132A" w:rsidRPr="00F8756A">
        <w:t>,</w:t>
      </w:r>
      <w:r w:rsidRPr="00F8756A">
        <w:t xml:space="preserve"> Cold model testing of an innovative dual bubbling fluidized bed steam gasifier. Chemical Engineering Journal, 377. https://doi.org/10.1016/j.cej.2018.08.075</w:t>
      </w:r>
    </w:p>
    <w:p w14:paraId="7D75FC96" w14:textId="05306982" w:rsidR="00AD6611" w:rsidRPr="009E28F8" w:rsidRDefault="00AD6611" w:rsidP="009E28F8">
      <w:pPr>
        <w:pStyle w:val="CETReferencetext"/>
      </w:pPr>
      <w:r w:rsidRPr="005C132A">
        <w:t>Di Giuliano A., Foscolo P. U., Di Carlo A., Steele A., Gallucci, K.</w:t>
      </w:r>
      <w:r w:rsidR="005C132A" w:rsidRPr="005C132A">
        <w:t xml:space="preserve">, </w:t>
      </w:r>
      <w:r w:rsidRPr="005C132A">
        <w:t>2021</w:t>
      </w:r>
      <w:r w:rsidR="005C132A">
        <w:t>,</w:t>
      </w:r>
      <w:r w:rsidRPr="005C132A">
        <w:t xml:space="preserve"> </w:t>
      </w:r>
      <w:r w:rsidRPr="009E28F8">
        <w:t>Kinetic characterization of tar reforming on commercial Ni-Catalyst pellets used for in situ syngas cleaning in biomass gasification: Experiments and simulations under process conditions. Industrial and Engineering Chemistry Research, 60(18), 6421–6434. https://doi.org/10.1021/acs.iecr.0c05131</w:t>
      </w:r>
    </w:p>
    <w:p w14:paraId="326800B4" w14:textId="7B93EE5D" w:rsidR="00AD6611" w:rsidRPr="009E28F8" w:rsidRDefault="00AD6611" w:rsidP="009E28F8">
      <w:pPr>
        <w:pStyle w:val="CETReferencetext"/>
      </w:pPr>
      <w:r w:rsidRPr="009E28F8">
        <w:t>Heidenreich S., Foscolo P. U.</w:t>
      </w:r>
      <w:r w:rsidR="005C132A">
        <w:t xml:space="preserve">, </w:t>
      </w:r>
      <w:r w:rsidRPr="009E28F8">
        <w:t>2015</w:t>
      </w:r>
      <w:r w:rsidR="005C132A">
        <w:t>,</w:t>
      </w:r>
      <w:r w:rsidRPr="009E28F8">
        <w:t xml:space="preserve"> New concepts in biomass gasification. Progress in Energy and Combustion Science, 46, 72–95. https://doi.org/10.1016/J.PECS.2014.06.002</w:t>
      </w:r>
    </w:p>
    <w:p w14:paraId="5AEFB6C1" w14:textId="03B624FC" w:rsidR="00AD6611" w:rsidRPr="009E28F8" w:rsidRDefault="00AD6611" w:rsidP="009E28F8">
      <w:pPr>
        <w:pStyle w:val="CETReferencetext"/>
      </w:pPr>
      <w:r w:rsidRPr="005C132A">
        <w:t>Li C., Hirabayashi D., Suzuki, K.</w:t>
      </w:r>
      <w:r w:rsidR="005C132A" w:rsidRPr="005C132A">
        <w:t xml:space="preserve">, </w:t>
      </w:r>
      <w:r w:rsidRPr="005C132A">
        <w:t>2009</w:t>
      </w:r>
      <w:r w:rsidR="005C132A">
        <w:t>,</w:t>
      </w:r>
      <w:r w:rsidRPr="005C132A">
        <w:t xml:space="preserve"> </w:t>
      </w:r>
      <w:r w:rsidRPr="009E28F8">
        <w:t>A crucial role of O2- and O22- on mayenite structure for biomass tar steam reforming over Ni/Ca12Al14O33. Applied Catalysis B: Environmental, 88(3–4), 351–360.</w:t>
      </w:r>
      <w:r w:rsidR="009E28F8" w:rsidRPr="009E28F8">
        <w:t xml:space="preserve"> </w:t>
      </w:r>
      <w:r w:rsidRPr="009E28F8">
        <w:t>https://doi.org/10.1016/J.APCATB.2008.11.004</w:t>
      </w:r>
    </w:p>
    <w:p w14:paraId="39430140" w14:textId="1E5D8639" w:rsidR="00AD6611" w:rsidRPr="009E28F8" w:rsidRDefault="00AD6611" w:rsidP="009E28F8">
      <w:pPr>
        <w:pStyle w:val="CETReferencetext"/>
      </w:pPr>
      <w:r w:rsidRPr="009E28F8">
        <w:t>Ma L., Verelst H., Baron G. V.</w:t>
      </w:r>
      <w:r w:rsidR="005C132A">
        <w:t xml:space="preserve">, </w:t>
      </w:r>
      <w:r w:rsidRPr="009E28F8">
        <w:t>2005</w:t>
      </w:r>
      <w:r w:rsidR="005C132A">
        <w:t>,</w:t>
      </w:r>
      <w:r w:rsidRPr="009E28F8">
        <w:t xml:space="preserve"> Integrated high temperature gas cleaning: Tar removal in biomass gasification with a catalytic filter. Catalysis Today, 105(3–4), 729–734.</w:t>
      </w:r>
      <w:r w:rsidR="009E28F8" w:rsidRPr="009E28F8">
        <w:t xml:space="preserve"> </w:t>
      </w:r>
      <w:r w:rsidRPr="009E28F8">
        <w:t>https://doi.org/10.1016/J.CATTOD.2005.06.022</w:t>
      </w:r>
    </w:p>
    <w:p w14:paraId="5A93C6BF" w14:textId="49F6C049" w:rsidR="00AD6611" w:rsidRPr="009E28F8" w:rsidRDefault="00AD6611" w:rsidP="009E28F8">
      <w:pPr>
        <w:pStyle w:val="CETReferencetext"/>
      </w:pPr>
      <w:r w:rsidRPr="009E28F8">
        <w:t>Ouweltjes J. P.</w:t>
      </w:r>
      <w:r w:rsidR="005C132A">
        <w:t xml:space="preserve">, </w:t>
      </w:r>
      <w:r w:rsidRPr="009E28F8">
        <w:t>2019</w:t>
      </w:r>
      <w:r w:rsidR="005C132A">
        <w:t>,</w:t>
      </w:r>
      <w:r w:rsidRPr="009E28F8">
        <w:t xml:space="preserve"> Deliverable D3.2-BLAZE Selection of Representative Syngas Compositions including Organic and Inorganic Contaminants.</w:t>
      </w:r>
    </w:p>
    <w:p w14:paraId="723C66B3" w14:textId="78B7A23A" w:rsidR="00AD6611" w:rsidRPr="00F8756A" w:rsidRDefault="00AD6611" w:rsidP="009E28F8">
      <w:pPr>
        <w:pStyle w:val="CETReferencetext"/>
      </w:pPr>
      <w:r w:rsidRPr="005C132A">
        <w:t>Rapagnà S., Gallucci K., Foscolo, P. U.</w:t>
      </w:r>
      <w:r w:rsidR="005C132A" w:rsidRPr="005C132A">
        <w:t xml:space="preserve">, </w:t>
      </w:r>
      <w:r w:rsidRPr="005C132A">
        <w:t>2018</w:t>
      </w:r>
      <w:r w:rsidR="005C132A">
        <w:t>,</w:t>
      </w:r>
      <w:r w:rsidRPr="005C132A">
        <w:t xml:space="preserve"> </w:t>
      </w:r>
      <w:r w:rsidRPr="009E28F8">
        <w:t>Olivine, dolomite and ceramic filters in one vessel to produce clean gas from biomass.</w:t>
      </w:r>
      <w:r w:rsidR="009E28F8" w:rsidRPr="009E28F8">
        <w:t xml:space="preserve"> </w:t>
      </w:r>
      <w:r w:rsidRPr="00F8756A">
        <w:t>Waste Management, 71, 792–800.</w:t>
      </w:r>
      <w:r w:rsidR="009E28F8" w:rsidRPr="00F8756A">
        <w:t xml:space="preserve"> </w:t>
      </w:r>
      <w:r w:rsidRPr="00F8756A">
        <w:t>https://doi.org/10.1016/j.wasman.2017.07.038</w:t>
      </w:r>
    </w:p>
    <w:p w14:paraId="123CCEA7" w14:textId="5D212351" w:rsidR="00AD6611" w:rsidRPr="009E28F8" w:rsidRDefault="00AD6611" w:rsidP="009E28F8">
      <w:pPr>
        <w:pStyle w:val="CETReferencetext"/>
      </w:pPr>
      <w:r w:rsidRPr="005C132A">
        <w:t>Savuto E., Di Carlo A., Steele A., Heidenreich S., Gallucci K., Rapagnà S.</w:t>
      </w:r>
      <w:r w:rsidR="005C132A" w:rsidRPr="005C132A">
        <w:t xml:space="preserve">, </w:t>
      </w:r>
      <w:r w:rsidRPr="005C132A">
        <w:t>2019</w:t>
      </w:r>
      <w:r w:rsidR="005C132A">
        <w:t>,</w:t>
      </w:r>
      <w:r w:rsidRPr="005C132A">
        <w:t xml:space="preserve"> </w:t>
      </w:r>
      <w:r w:rsidRPr="009E28F8">
        <w:t>Syngas conditioning by ceramic filter candles filled with catalyst pellets and placed inside the freeboard of a fluidized bed steam gasifier. Fuel Processing Technology, 191(March), 44–53. https://doi.org/10.1016/j.fuproc.2019.03.018</w:t>
      </w:r>
    </w:p>
    <w:p w14:paraId="28EC2207" w14:textId="481F9DD1" w:rsidR="00985EDB" w:rsidRDefault="00576D43" w:rsidP="009E28F8">
      <w:pPr>
        <w:pStyle w:val="CETReferencetext"/>
      </w:pPr>
      <w:r w:rsidRPr="009E28F8">
        <w:fldChar w:fldCharType="end"/>
      </w:r>
    </w:p>
    <w:sectPr w:rsidR="00985ED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467F6" w14:textId="77777777" w:rsidR="00084001" w:rsidRDefault="00084001" w:rsidP="004F5E36">
      <w:r>
        <w:separator/>
      </w:r>
    </w:p>
  </w:endnote>
  <w:endnote w:type="continuationSeparator" w:id="0">
    <w:p w14:paraId="2FAF607A" w14:textId="77777777" w:rsidR="00084001" w:rsidRDefault="0008400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6C3E0" w14:textId="77777777" w:rsidR="00084001" w:rsidRDefault="00084001" w:rsidP="004F5E36">
      <w:r>
        <w:separator/>
      </w:r>
    </w:p>
  </w:footnote>
  <w:footnote w:type="continuationSeparator" w:id="0">
    <w:p w14:paraId="31B81823" w14:textId="77777777" w:rsidR="00084001" w:rsidRDefault="0008400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6D2374A"/>
    <w:multiLevelType w:val="hybridMultilevel"/>
    <w:tmpl w:val="A08465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FE39C8"/>
    <w:multiLevelType w:val="hybridMultilevel"/>
    <w:tmpl w:val="A1A26280"/>
    <w:lvl w:ilvl="0" w:tplc="54A47188">
      <w:start w:val="1"/>
      <w:numFmt w:val="decimal"/>
      <w:lvlText w:val="(%1)"/>
      <w:lvlJc w:val="right"/>
      <w:pPr>
        <w:ind w:left="1440" w:hanging="360"/>
      </w:pPr>
      <w:rPr>
        <w:rFonts w:hint="default"/>
      </w:rPr>
    </w:lvl>
    <w:lvl w:ilvl="1" w:tplc="54A47188">
      <w:start w:val="1"/>
      <w:numFmt w:val="decimal"/>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1852CF"/>
    <w:multiLevelType w:val="hybridMultilevel"/>
    <w:tmpl w:val="2266EF4E"/>
    <w:lvl w:ilvl="0" w:tplc="54A47188">
      <w:start w:val="1"/>
      <w:numFmt w:val="decimal"/>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5"/>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D65"/>
    <w:rsid w:val="000052FB"/>
    <w:rsid w:val="000117CB"/>
    <w:rsid w:val="00023830"/>
    <w:rsid w:val="00030A6C"/>
    <w:rsid w:val="0003148D"/>
    <w:rsid w:val="00031EEC"/>
    <w:rsid w:val="00044E15"/>
    <w:rsid w:val="00051566"/>
    <w:rsid w:val="00053987"/>
    <w:rsid w:val="000551D6"/>
    <w:rsid w:val="00055911"/>
    <w:rsid w:val="00057DED"/>
    <w:rsid w:val="00062A9A"/>
    <w:rsid w:val="00064896"/>
    <w:rsid w:val="00065058"/>
    <w:rsid w:val="00067798"/>
    <w:rsid w:val="000717BE"/>
    <w:rsid w:val="00084001"/>
    <w:rsid w:val="00085665"/>
    <w:rsid w:val="00086C39"/>
    <w:rsid w:val="0009171F"/>
    <w:rsid w:val="00096FF1"/>
    <w:rsid w:val="000A03B2"/>
    <w:rsid w:val="000B136E"/>
    <w:rsid w:val="000D0268"/>
    <w:rsid w:val="000D34BE"/>
    <w:rsid w:val="000D4E8F"/>
    <w:rsid w:val="000D7B1C"/>
    <w:rsid w:val="000E102F"/>
    <w:rsid w:val="000E36F1"/>
    <w:rsid w:val="000E3A73"/>
    <w:rsid w:val="000E414A"/>
    <w:rsid w:val="000F093C"/>
    <w:rsid w:val="000F355B"/>
    <w:rsid w:val="000F787B"/>
    <w:rsid w:val="00114A32"/>
    <w:rsid w:val="0012091F"/>
    <w:rsid w:val="00126BC2"/>
    <w:rsid w:val="001308B6"/>
    <w:rsid w:val="0013121F"/>
    <w:rsid w:val="00131FE6"/>
    <w:rsid w:val="0013263F"/>
    <w:rsid w:val="001331DF"/>
    <w:rsid w:val="00134DE4"/>
    <w:rsid w:val="0014034D"/>
    <w:rsid w:val="00144D16"/>
    <w:rsid w:val="001451C5"/>
    <w:rsid w:val="00150E59"/>
    <w:rsid w:val="00152DE3"/>
    <w:rsid w:val="00156EF6"/>
    <w:rsid w:val="001640FC"/>
    <w:rsid w:val="00164CF9"/>
    <w:rsid w:val="00165BC7"/>
    <w:rsid w:val="001667A6"/>
    <w:rsid w:val="00170963"/>
    <w:rsid w:val="00171E8E"/>
    <w:rsid w:val="0018492B"/>
    <w:rsid w:val="00184AD6"/>
    <w:rsid w:val="001A3CDF"/>
    <w:rsid w:val="001A4AF7"/>
    <w:rsid w:val="001B0349"/>
    <w:rsid w:val="001B1E93"/>
    <w:rsid w:val="001B2BE4"/>
    <w:rsid w:val="001B65C1"/>
    <w:rsid w:val="001C684B"/>
    <w:rsid w:val="001D0CFB"/>
    <w:rsid w:val="001D21AF"/>
    <w:rsid w:val="001D53FC"/>
    <w:rsid w:val="001E5A6E"/>
    <w:rsid w:val="001E6EC9"/>
    <w:rsid w:val="001F42A5"/>
    <w:rsid w:val="001F7B9D"/>
    <w:rsid w:val="00201C93"/>
    <w:rsid w:val="002166DB"/>
    <w:rsid w:val="002224B4"/>
    <w:rsid w:val="002429AB"/>
    <w:rsid w:val="002447EF"/>
    <w:rsid w:val="00251550"/>
    <w:rsid w:val="00260619"/>
    <w:rsid w:val="00263B05"/>
    <w:rsid w:val="0027221A"/>
    <w:rsid w:val="002735D6"/>
    <w:rsid w:val="00275B61"/>
    <w:rsid w:val="00275DEA"/>
    <w:rsid w:val="00280FAF"/>
    <w:rsid w:val="00282656"/>
    <w:rsid w:val="00296B83"/>
    <w:rsid w:val="002A3CC1"/>
    <w:rsid w:val="002A486C"/>
    <w:rsid w:val="002B4015"/>
    <w:rsid w:val="002B7856"/>
    <w:rsid w:val="002B78CE"/>
    <w:rsid w:val="002C184B"/>
    <w:rsid w:val="002C1F0A"/>
    <w:rsid w:val="002C2FB6"/>
    <w:rsid w:val="002C5C40"/>
    <w:rsid w:val="002D2B70"/>
    <w:rsid w:val="002D2C46"/>
    <w:rsid w:val="002D5C5C"/>
    <w:rsid w:val="002E5FA7"/>
    <w:rsid w:val="002F3309"/>
    <w:rsid w:val="003008CE"/>
    <w:rsid w:val="003009B7"/>
    <w:rsid w:val="00300E56"/>
    <w:rsid w:val="0030456F"/>
    <w:rsid w:val="0030469C"/>
    <w:rsid w:val="00321CA6"/>
    <w:rsid w:val="00323763"/>
    <w:rsid w:val="00331817"/>
    <w:rsid w:val="00334C09"/>
    <w:rsid w:val="003723D4"/>
    <w:rsid w:val="00380A64"/>
    <w:rsid w:val="00381905"/>
    <w:rsid w:val="00384CC8"/>
    <w:rsid w:val="0038510D"/>
    <w:rsid w:val="003871FD"/>
    <w:rsid w:val="003957A7"/>
    <w:rsid w:val="003A1E30"/>
    <w:rsid w:val="003A2829"/>
    <w:rsid w:val="003A7428"/>
    <w:rsid w:val="003A7D1C"/>
    <w:rsid w:val="003B304B"/>
    <w:rsid w:val="003B3146"/>
    <w:rsid w:val="003C311F"/>
    <w:rsid w:val="003F015E"/>
    <w:rsid w:val="00400414"/>
    <w:rsid w:val="0040242D"/>
    <w:rsid w:val="0041446B"/>
    <w:rsid w:val="0044023D"/>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354C"/>
    <w:rsid w:val="00507B47"/>
    <w:rsid w:val="00507BEF"/>
    <w:rsid w:val="00507CC9"/>
    <w:rsid w:val="005119A5"/>
    <w:rsid w:val="005139F2"/>
    <w:rsid w:val="00516409"/>
    <w:rsid w:val="005178F8"/>
    <w:rsid w:val="00521787"/>
    <w:rsid w:val="005235F6"/>
    <w:rsid w:val="005278B7"/>
    <w:rsid w:val="00527B2B"/>
    <w:rsid w:val="00532016"/>
    <w:rsid w:val="005346C8"/>
    <w:rsid w:val="00543E7D"/>
    <w:rsid w:val="00547905"/>
    <w:rsid w:val="00547A68"/>
    <w:rsid w:val="005531C9"/>
    <w:rsid w:val="00560755"/>
    <w:rsid w:val="005631AB"/>
    <w:rsid w:val="00570C43"/>
    <w:rsid w:val="00576D43"/>
    <w:rsid w:val="0058409D"/>
    <w:rsid w:val="00592371"/>
    <w:rsid w:val="00592D3D"/>
    <w:rsid w:val="005A465E"/>
    <w:rsid w:val="005A7DB1"/>
    <w:rsid w:val="005B07FD"/>
    <w:rsid w:val="005B1835"/>
    <w:rsid w:val="005B2110"/>
    <w:rsid w:val="005B61E6"/>
    <w:rsid w:val="005C132A"/>
    <w:rsid w:val="005C1DF9"/>
    <w:rsid w:val="005C77E1"/>
    <w:rsid w:val="005D668A"/>
    <w:rsid w:val="005D6A2F"/>
    <w:rsid w:val="005E1A82"/>
    <w:rsid w:val="005E58AA"/>
    <w:rsid w:val="005E794C"/>
    <w:rsid w:val="005F0A28"/>
    <w:rsid w:val="005F0E5E"/>
    <w:rsid w:val="00600535"/>
    <w:rsid w:val="00605635"/>
    <w:rsid w:val="00610CD6"/>
    <w:rsid w:val="00614DAB"/>
    <w:rsid w:val="00620DEE"/>
    <w:rsid w:val="00621F92"/>
    <w:rsid w:val="0062280A"/>
    <w:rsid w:val="00624DAD"/>
    <w:rsid w:val="00625639"/>
    <w:rsid w:val="00631B33"/>
    <w:rsid w:val="0063331A"/>
    <w:rsid w:val="00634CF9"/>
    <w:rsid w:val="00635768"/>
    <w:rsid w:val="0064184D"/>
    <w:rsid w:val="006422CC"/>
    <w:rsid w:val="00643533"/>
    <w:rsid w:val="00653AD8"/>
    <w:rsid w:val="00660E3E"/>
    <w:rsid w:val="00662E74"/>
    <w:rsid w:val="006775CF"/>
    <w:rsid w:val="00680C23"/>
    <w:rsid w:val="00681641"/>
    <w:rsid w:val="00693766"/>
    <w:rsid w:val="006A3281"/>
    <w:rsid w:val="006B0350"/>
    <w:rsid w:val="006B4888"/>
    <w:rsid w:val="006C2E45"/>
    <w:rsid w:val="006C359C"/>
    <w:rsid w:val="006C5579"/>
    <w:rsid w:val="006D6E8B"/>
    <w:rsid w:val="006E3C6A"/>
    <w:rsid w:val="006E6273"/>
    <w:rsid w:val="006E737D"/>
    <w:rsid w:val="00713973"/>
    <w:rsid w:val="00720A24"/>
    <w:rsid w:val="00732386"/>
    <w:rsid w:val="0073514D"/>
    <w:rsid w:val="007447F3"/>
    <w:rsid w:val="0075499F"/>
    <w:rsid w:val="0076412C"/>
    <w:rsid w:val="007661C8"/>
    <w:rsid w:val="0077098D"/>
    <w:rsid w:val="007812E0"/>
    <w:rsid w:val="007931FA"/>
    <w:rsid w:val="00796BE9"/>
    <w:rsid w:val="007A4861"/>
    <w:rsid w:val="007A7BBA"/>
    <w:rsid w:val="007B0C50"/>
    <w:rsid w:val="007B1BA9"/>
    <w:rsid w:val="007B48F9"/>
    <w:rsid w:val="007C1A43"/>
    <w:rsid w:val="007C1F19"/>
    <w:rsid w:val="007F43FB"/>
    <w:rsid w:val="0080013E"/>
    <w:rsid w:val="00813288"/>
    <w:rsid w:val="00815967"/>
    <w:rsid w:val="008168FC"/>
    <w:rsid w:val="008307ED"/>
    <w:rsid w:val="00830996"/>
    <w:rsid w:val="00832721"/>
    <w:rsid w:val="008345F1"/>
    <w:rsid w:val="00853F3D"/>
    <w:rsid w:val="00865B07"/>
    <w:rsid w:val="008667EA"/>
    <w:rsid w:val="0087637F"/>
    <w:rsid w:val="00892AD5"/>
    <w:rsid w:val="008A1512"/>
    <w:rsid w:val="008A1E19"/>
    <w:rsid w:val="008B3CB1"/>
    <w:rsid w:val="008D32B9"/>
    <w:rsid w:val="008D433B"/>
    <w:rsid w:val="008E389B"/>
    <w:rsid w:val="008E4015"/>
    <w:rsid w:val="008E566E"/>
    <w:rsid w:val="008E6879"/>
    <w:rsid w:val="008E70AE"/>
    <w:rsid w:val="008E799B"/>
    <w:rsid w:val="0090161A"/>
    <w:rsid w:val="00901EB6"/>
    <w:rsid w:val="00904C62"/>
    <w:rsid w:val="009074E5"/>
    <w:rsid w:val="00907E22"/>
    <w:rsid w:val="009101FC"/>
    <w:rsid w:val="00922BA8"/>
    <w:rsid w:val="00924DAC"/>
    <w:rsid w:val="00927058"/>
    <w:rsid w:val="00942750"/>
    <w:rsid w:val="009450CE"/>
    <w:rsid w:val="00947179"/>
    <w:rsid w:val="0095164B"/>
    <w:rsid w:val="00954090"/>
    <w:rsid w:val="009573E7"/>
    <w:rsid w:val="00963E05"/>
    <w:rsid w:val="00964A45"/>
    <w:rsid w:val="00966470"/>
    <w:rsid w:val="00967843"/>
    <w:rsid w:val="0096792F"/>
    <w:rsid w:val="00967D54"/>
    <w:rsid w:val="00971028"/>
    <w:rsid w:val="00971DE0"/>
    <w:rsid w:val="009835CF"/>
    <w:rsid w:val="00985EDB"/>
    <w:rsid w:val="00993B84"/>
    <w:rsid w:val="00994957"/>
    <w:rsid w:val="00996483"/>
    <w:rsid w:val="00996F5A"/>
    <w:rsid w:val="009B041A"/>
    <w:rsid w:val="009B073C"/>
    <w:rsid w:val="009C37C3"/>
    <w:rsid w:val="009C7C86"/>
    <w:rsid w:val="009D2A23"/>
    <w:rsid w:val="009D2FF7"/>
    <w:rsid w:val="009D3B38"/>
    <w:rsid w:val="009E1EF0"/>
    <w:rsid w:val="009E28F8"/>
    <w:rsid w:val="009E7884"/>
    <w:rsid w:val="009E788A"/>
    <w:rsid w:val="009F0BC3"/>
    <w:rsid w:val="009F0E08"/>
    <w:rsid w:val="00A13573"/>
    <w:rsid w:val="00A1763D"/>
    <w:rsid w:val="00A17CEC"/>
    <w:rsid w:val="00A22BEA"/>
    <w:rsid w:val="00A27EF0"/>
    <w:rsid w:val="00A362EC"/>
    <w:rsid w:val="00A37873"/>
    <w:rsid w:val="00A42361"/>
    <w:rsid w:val="00A47583"/>
    <w:rsid w:val="00A50B20"/>
    <w:rsid w:val="00A51390"/>
    <w:rsid w:val="00A56DA4"/>
    <w:rsid w:val="00A60D13"/>
    <w:rsid w:val="00A70412"/>
    <w:rsid w:val="00A72745"/>
    <w:rsid w:val="00A76EFC"/>
    <w:rsid w:val="00A87118"/>
    <w:rsid w:val="00A91010"/>
    <w:rsid w:val="00A96A94"/>
    <w:rsid w:val="00A97F29"/>
    <w:rsid w:val="00AA702E"/>
    <w:rsid w:val="00AB0964"/>
    <w:rsid w:val="00AB5011"/>
    <w:rsid w:val="00AC7368"/>
    <w:rsid w:val="00AD16B9"/>
    <w:rsid w:val="00AD6611"/>
    <w:rsid w:val="00AE377D"/>
    <w:rsid w:val="00AE7543"/>
    <w:rsid w:val="00AF0EBA"/>
    <w:rsid w:val="00B02C8A"/>
    <w:rsid w:val="00B128F8"/>
    <w:rsid w:val="00B137A5"/>
    <w:rsid w:val="00B17FBD"/>
    <w:rsid w:val="00B23F48"/>
    <w:rsid w:val="00B315A6"/>
    <w:rsid w:val="00B31813"/>
    <w:rsid w:val="00B33365"/>
    <w:rsid w:val="00B53572"/>
    <w:rsid w:val="00B57B36"/>
    <w:rsid w:val="00B57E6F"/>
    <w:rsid w:val="00B801F6"/>
    <w:rsid w:val="00B8686D"/>
    <w:rsid w:val="00B93F69"/>
    <w:rsid w:val="00B94A17"/>
    <w:rsid w:val="00BB1DDC"/>
    <w:rsid w:val="00BC30C9"/>
    <w:rsid w:val="00BC3951"/>
    <w:rsid w:val="00BD077D"/>
    <w:rsid w:val="00BD22B1"/>
    <w:rsid w:val="00BD5FFA"/>
    <w:rsid w:val="00BE3E58"/>
    <w:rsid w:val="00BF7286"/>
    <w:rsid w:val="00C01616"/>
    <w:rsid w:val="00C0162B"/>
    <w:rsid w:val="00C068ED"/>
    <w:rsid w:val="00C22E0C"/>
    <w:rsid w:val="00C345B1"/>
    <w:rsid w:val="00C40142"/>
    <w:rsid w:val="00C41C01"/>
    <w:rsid w:val="00C52C3C"/>
    <w:rsid w:val="00C57182"/>
    <w:rsid w:val="00C57863"/>
    <w:rsid w:val="00C655FD"/>
    <w:rsid w:val="00C67F75"/>
    <w:rsid w:val="00C75407"/>
    <w:rsid w:val="00C870A8"/>
    <w:rsid w:val="00C94434"/>
    <w:rsid w:val="00CA0D75"/>
    <w:rsid w:val="00CA1C95"/>
    <w:rsid w:val="00CA5A9C"/>
    <w:rsid w:val="00CC42F9"/>
    <w:rsid w:val="00CC4C20"/>
    <w:rsid w:val="00CC56F2"/>
    <w:rsid w:val="00CC63DD"/>
    <w:rsid w:val="00CD3517"/>
    <w:rsid w:val="00CD57A2"/>
    <w:rsid w:val="00CD5FE2"/>
    <w:rsid w:val="00CE015B"/>
    <w:rsid w:val="00CE7C68"/>
    <w:rsid w:val="00D02B4C"/>
    <w:rsid w:val="00D040C4"/>
    <w:rsid w:val="00D07D97"/>
    <w:rsid w:val="00D25F0A"/>
    <w:rsid w:val="00D46B7E"/>
    <w:rsid w:val="00D57C84"/>
    <w:rsid w:val="00D6057D"/>
    <w:rsid w:val="00D63C3B"/>
    <w:rsid w:val="00D71640"/>
    <w:rsid w:val="00D76748"/>
    <w:rsid w:val="00D82A98"/>
    <w:rsid w:val="00D836C5"/>
    <w:rsid w:val="00D84576"/>
    <w:rsid w:val="00D8468C"/>
    <w:rsid w:val="00D86807"/>
    <w:rsid w:val="00D91E67"/>
    <w:rsid w:val="00D95AC1"/>
    <w:rsid w:val="00D962FF"/>
    <w:rsid w:val="00DA1399"/>
    <w:rsid w:val="00DA24C6"/>
    <w:rsid w:val="00DA2E01"/>
    <w:rsid w:val="00DA4D7B"/>
    <w:rsid w:val="00DE264A"/>
    <w:rsid w:val="00DF5072"/>
    <w:rsid w:val="00E02D18"/>
    <w:rsid w:val="00E041E7"/>
    <w:rsid w:val="00E23CA1"/>
    <w:rsid w:val="00E3466B"/>
    <w:rsid w:val="00E37706"/>
    <w:rsid w:val="00E409A8"/>
    <w:rsid w:val="00E45787"/>
    <w:rsid w:val="00E50C12"/>
    <w:rsid w:val="00E51590"/>
    <w:rsid w:val="00E53CA6"/>
    <w:rsid w:val="00E65B91"/>
    <w:rsid w:val="00E7209D"/>
    <w:rsid w:val="00E72EAD"/>
    <w:rsid w:val="00E77223"/>
    <w:rsid w:val="00E8528B"/>
    <w:rsid w:val="00E85B94"/>
    <w:rsid w:val="00E978D0"/>
    <w:rsid w:val="00EA4613"/>
    <w:rsid w:val="00EA7F91"/>
    <w:rsid w:val="00EB1523"/>
    <w:rsid w:val="00EC0E49"/>
    <w:rsid w:val="00EC101F"/>
    <w:rsid w:val="00EC1D9F"/>
    <w:rsid w:val="00EC7A9A"/>
    <w:rsid w:val="00ED51E4"/>
    <w:rsid w:val="00EE0131"/>
    <w:rsid w:val="00EE0615"/>
    <w:rsid w:val="00EE17B0"/>
    <w:rsid w:val="00EE7D16"/>
    <w:rsid w:val="00EF06D9"/>
    <w:rsid w:val="00EF4427"/>
    <w:rsid w:val="00EF74AB"/>
    <w:rsid w:val="00F009B7"/>
    <w:rsid w:val="00F30C64"/>
    <w:rsid w:val="00F31F09"/>
    <w:rsid w:val="00F32BA2"/>
    <w:rsid w:val="00F32CDB"/>
    <w:rsid w:val="00F33C5F"/>
    <w:rsid w:val="00F44439"/>
    <w:rsid w:val="00F565FE"/>
    <w:rsid w:val="00F5775B"/>
    <w:rsid w:val="00F63A70"/>
    <w:rsid w:val="00F7534E"/>
    <w:rsid w:val="00F75441"/>
    <w:rsid w:val="00F84C90"/>
    <w:rsid w:val="00F85451"/>
    <w:rsid w:val="00F8756A"/>
    <w:rsid w:val="00F93DA0"/>
    <w:rsid w:val="00FA0BE8"/>
    <w:rsid w:val="00FA1802"/>
    <w:rsid w:val="00FA21D0"/>
    <w:rsid w:val="00FA5F5F"/>
    <w:rsid w:val="00FB730C"/>
    <w:rsid w:val="00FC2695"/>
    <w:rsid w:val="00FC3E03"/>
    <w:rsid w:val="00FC3FC1"/>
    <w:rsid w:val="00FE08AE"/>
    <w:rsid w:val="00FE657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5:docId w15:val="{4DB84485-D082-4162-AA1E-B601487D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aliases w:val="DidascaliaFigura"/>
    <w:basedOn w:val="Normale"/>
    <w:next w:val="Normale"/>
    <w:link w:val="DidascaliaCaratter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Menzionenonrisolta1">
    <w:name w:val="Menzione non risolta1"/>
    <w:basedOn w:val="Carpredefinitoparagrafo"/>
    <w:uiPriority w:val="99"/>
    <w:semiHidden/>
    <w:unhideWhenUsed/>
    <w:rsid w:val="00FE08AE"/>
    <w:rPr>
      <w:color w:val="605E5C"/>
      <w:shd w:val="clear" w:color="auto" w:fill="E1DFDD"/>
    </w:rPr>
  </w:style>
  <w:style w:type="character" w:customStyle="1" w:styleId="DidascaliaCarattere">
    <w:name w:val="Didascalia Carattere"/>
    <w:aliases w:val="DidascaliaFigura Carattere"/>
    <w:basedOn w:val="Carpredefinitoparagrafo"/>
    <w:link w:val="Didascalia"/>
    <w:uiPriority w:val="35"/>
    <w:rsid w:val="00985EDB"/>
    <w:rPr>
      <w:rFonts w:ascii="Arial" w:eastAsia="Times New Roman" w:hAnsi="Arial" w:cs="Times New Roman"/>
      <w:b/>
      <w:bCs/>
      <w:color w:val="4F81BD" w:themeColor="accent1"/>
      <w:sz w:val="18"/>
      <w:szCs w:val="18"/>
      <w:lang w:val="en-GB"/>
    </w:rPr>
  </w:style>
  <w:style w:type="paragraph" w:styleId="Nessunaspaziatura">
    <w:name w:val="No Spacing"/>
    <w:link w:val="NessunaspaziaturaCarattere"/>
    <w:uiPriority w:val="1"/>
    <w:qFormat/>
    <w:rsid w:val="00985EDB"/>
    <w:pPr>
      <w:spacing w:after="0" w:line="240" w:lineRule="auto"/>
      <w:jc w:val="both"/>
    </w:pPr>
    <w:rPr>
      <w:rFonts w:ascii="Times New Roman" w:hAnsi="Times New Roman"/>
      <w:sz w:val="24"/>
    </w:rPr>
  </w:style>
  <w:style w:type="character" w:customStyle="1" w:styleId="NessunaspaziaturaCarattere">
    <w:name w:val="Nessuna spaziatura Carattere"/>
    <w:basedOn w:val="Carpredefinitoparagrafo"/>
    <w:link w:val="Nessunaspaziatura"/>
    <w:uiPriority w:val="1"/>
    <w:rsid w:val="00985EDB"/>
    <w:rPr>
      <w:rFonts w:ascii="Times New Roman" w:hAnsi="Times New Roman"/>
      <w:sz w:val="24"/>
    </w:rPr>
  </w:style>
  <w:style w:type="paragraph" w:styleId="Revisione">
    <w:name w:val="Revision"/>
    <w:hidden/>
    <w:uiPriority w:val="99"/>
    <w:semiHidden/>
    <w:rsid w:val="00BC395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090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4867">
      <w:bodyDiv w:val="1"/>
      <w:marLeft w:val="0"/>
      <w:marRight w:val="0"/>
      <w:marTop w:val="0"/>
      <w:marBottom w:val="0"/>
      <w:divBdr>
        <w:top w:val="none" w:sz="0" w:space="0" w:color="auto"/>
        <w:left w:val="none" w:sz="0" w:space="0" w:color="auto"/>
        <w:bottom w:val="none" w:sz="0" w:space="0" w:color="auto"/>
        <w:right w:val="none" w:sz="0" w:space="0" w:color="auto"/>
      </w:divBdr>
    </w:div>
    <w:div w:id="124842114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52909700">
      <w:bodyDiv w:val="1"/>
      <w:marLeft w:val="0"/>
      <w:marRight w:val="0"/>
      <w:marTop w:val="0"/>
      <w:marBottom w:val="0"/>
      <w:divBdr>
        <w:top w:val="none" w:sz="0" w:space="0" w:color="auto"/>
        <w:left w:val="none" w:sz="0" w:space="0" w:color="auto"/>
        <w:bottom w:val="none" w:sz="0" w:space="0" w:color="auto"/>
        <w:right w:val="none" w:sz="0" w:space="0" w:color="auto"/>
      </w:divBdr>
    </w:div>
    <w:div w:id="165630072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ssandra.tacconi@graduate.univaq.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E62B-4054-4FC0-97FF-3E2E5BB4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6689</Words>
  <Characters>38131</Characters>
  <Application>Microsoft Office Word</Application>
  <DocSecurity>0</DocSecurity>
  <Lines>317</Lines>
  <Paragraphs>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dc:creator>
  <cp:keywords/>
  <dc:description/>
  <cp:lastModifiedBy>manuela</cp:lastModifiedBy>
  <cp:revision>2</cp:revision>
  <cp:lastPrinted>2015-05-12T18:31:00Z</cp:lastPrinted>
  <dcterms:created xsi:type="dcterms:W3CDTF">2022-04-11T11:57:00Z</dcterms:created>
  <dcterms:modified xsi:type="dcterms:W3CDTF">2022-04-11T11:57:00Z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Mendeley Document_1">
    <vt:lpwstr>True</vt:lpwstr>
  </property>
  <property fmtid="{D5CDD505-2E9C-101B-9397-08002B2CF9AE}" pid="26" name="Mendeley Unique User Id_1">
    <vt:lpwstr>238a315e-b5a4-3b52-8ae7-7c6cc2d67ecf</vt:lpwstr>
  </property>
</Properties>
</file>