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w:t>
            </w:r>
            <w:proofErr w:type="spellStart"/>
            <w:r w:rsidR="001D21AF" w:rsidRPr="0044071E">
              <w:rPr>
                <w:rFonts w:ascii="Tahoma" w:hAnsi="Tahoma" w:cs="Tahoma"/>
                <w:color w:val="000000"/>
                <w:sz w:val="14"/>
                <w:szCs w:val="14"/>
                <w:shd w:val="clear" w:color="auto" w:fill="FFFFFF"/>
                <w:lang w:val="it-IT"/>
              </w:rPr>
              <w:t>Filho</w:t>
            </w:r>
            <w:proofErr w:type="spellEnd"/>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xml:space="preserve">, Leonardo </w:t>
            </w:r>
            <w:proofErr w:type="spellStart"/>
            <w:r w:rsidR="00964A45">
              <w:rPr>
                <w:rFonts w:ascii="Tahoma" w:hAnsi="Tahoma" w:cs="Tahoma"/>
                <w:color w:val="000000"/>
                <w:sz w:val="14"/>
                <w:szCs w:val="14"/>
                <w:shd w:val="clear" w:color="auto" w:fill="FFFFFF"/>
                <w:lang w:val="it-IT"/>
              </w:rPr>
              <w:t>Tognotti</w:t>
            </w:r>
            <w:proofErr w:type="spellEnd"/>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08046E1" w:rsidR="00E978D0" w:rsidRPr="00B57B36" w:rsidRDefault="00EB4943" w:rsidP="00E978D0">
      <w:pPr>
        <w:pStyle w:val="CETTitle"/>
      </w:pPr>
      <w:r>
        <w:t xml:space="preserve">Conversion of lignin to chemical intermediates: </w:t>
      </w:r>
      <w:r w:rsidR="00C4574F">
        <w:t xml:space="preserve">                      </w:t>
      </w:r>
      <w:r>
        <w:t>a study of pyrolysis of Kraft lignin.</w:t>
      </w:r>
    </w:p>
    <w:p w14:paraId="6B2D21B3" w14:textId="4E05AABA" w:rsidR="00B57E6F" w:rsidRPr="00EB4943" w:rsidRDefault="00EB4943" w:rsidP="00EB4943">
      <w:pPr>
        <w:pStyle w:val="CETAuthors"/>
        <w:rPr>
          <w:lang w:val="it-IT"/>
        </w:rPr>
      </w:pPr>
      <w:r w:rsidRPr="00EB4943">
        <w:rPr>
          <w:lang w:val="it-IT"/>
        </w:rPr>
        <w:t>Matteo Borella</w:t>
      </w:r>
      <w:r w:rsidR="00B57E6F" w:rsidRPr="00EB4943">
        <w:rPr>
          <w:vertAlign w:val="superscript"/>
          <w:lang w:val="it-IT"/>
        </w:rPr>
        <w:t>a</w:t>
      </w:r>
      <w:r w:rsidR="00B57E6F" w:rsidRPr="00EB4943">
        <w:rPr>
          <w:lang w:val="it-IT"/>
        </w:rPr>
        <w:t xml:space="preserve">, </w:t>
      </w:r>
      <w:r w:rsidRPr="00EB4943">
        <w:rPr>
          <w:lang w:val="it-IT"/>
        </w:rPr>
        <w:t>Alessandro A. Casazza</w:t>
      </w:r>
      <w:r w:rsidRPr="00EB4943">
        <w:rPr>
          <w:vertAlign w:val="superscript"/>
          <w:lang w:val="it-IT"/>
        </w:rPr>
        <w:t>a</w:t>
      </w:r>
      <w:r w:rsidRPr="00EB4943">
        <w:rPr>
          <w:lang w:val="it-IT"/>
        </w:rPr>
        <w:t>, Gabriella Garbarino</w:t>
      </w:r>
      <w:r w:rsidRPr="00EB4943">
        <w:rPr>
          <w:vertAlign w:val="superscript"/>
          <w:lang w:val="it-IT"/>
        </w:rPr>
        <w:t>a</w:t>
      </w:r>
      <w:r w:rsidRPr="00EB4943">
        <w:rPr>
          <w:lang w:val="it-IT"/>
        </w:rPr>
        <w:t>, Paola Riani</w:t>
      </w:r>
      <w:r w:rsidRPr="00EB4943">
        <w:rPr>
          <w:vertAlign w:val="superscript"/>
          <w:lang w:val="it-IT"/>
        </w:rPr>
        <w:t>b</w:t>
      </w:r>
      <w:r w:rsidRPr="00EB4943">
        <w:rPr>
          <w:lang w:val="it-IT"/>
        </w:rPr>
        <w:t xml:space="preserve"> and Guido Busca</w:t>
      </w:r>
      <w:r w:rsidRPr="00EB4943">
        <w:rPr>
          <w:vertAlign w:val="superscript"/>
          <w:lang w:val="it-IT"/>
        </w:rPr>
        <w:t>a</w:t>
      </w:r>
      <w:r w:rsidR="001E2684">
        <w:rPr>
          <w:lang w:val="it-IT"/>
        </w:rPr>
        <w:t>*</w:t>
      </w:r>
    </w:p>
    <w:p w14:paraId="3D72B0B0" w14:textId="1CE93B03" w:rsidR="00B57E6F" w:rsidRPr="00B57B36" w:rsidRDefault="00AA39DB" w:rsidP="00B57E6F">
      <w:pPr>
        <w:pStyle w:val="CETAddress"/>
      </w:pPr>
      <w:r w:rsidRPr="00AA39DB">
        <w:rPr>
          <w:vertAlign w:val="superscript"/>
          <w:lang w:val="en-US"/>
        </w:rPr>
        <w:t xml:space="preserve">a </w:t>
      </w:r>
      <w:r w:rsidR="00EB4943" w:rsidRPr="00EB4943">
        <w:t>Department of Civil, Chemical and Environmental Engineering, University of Genoa</w:t>
      </w:r>
      <w:r w:rsidR="00EB4943">
        <w:t xml:space="preserve">, </w:t>
      </w:r>
      <w:r w:rsidR="00061E08">
        <w:t>V</w:t>
      </w:r>
      <w:r w:rsidR="00944DCE">
        <w:t>i</w:t>
      </w:r>
      <w:r w:rsidR="00EB4943">
        <w:t>a Opera Pia 15, 16145 Genoa (Italy)</w:t>
      </w:r>
      <w:r w:rsidR="00B57E6F" w:rsidRPr="00B57B36">
        <w:t xml:space="preserve"> </w:t>
      </w:r>
    </w:p>
    <w:p w14:paraId="325F677D" w14:textId="7D1D44FE" w:rsidR="00AA39DB" w:rsidRPr="00B57B36" w:rsidRDefault="00AA39DB" w:rsidP="00AA39DB">
      <w:pPr>
        <w:pStyle w:val="CETAddress"/>
      </w:pPr>
      <w:r>
        <w:rPr>
          <w:vertAlign w:val="superscript"/>
        </w:rPr>
        <w:t>b</w:t>
      </w:r>
      <w:r w:rsidR="00B57E6F">
        <w:t xml:space="preserve"> </w:t>
      </w:r>
      <w:r w:rsidRPr="00AA39DB">
        <w:rPr>
          <w:lang w:val="en-US"/>
        </w:rPr>
        <w:t>Department of Chemistry and Industrial Chemistry, University of Genoa</w:t>
      </w:r>
      <w:r>
        <w:rPr>
          <w:lang w:val="en-US"/>
        </w:rPr>
        <w:t>, via Dodecaneso 3</w:t>
      </w:r>
      <w:r w:rsidR="00061E8E">
        <w:rPr>
          <w:lang w:val="en-US"/>
        </w:rPr>
        <w:t>1</w:t>
      </w:r>
      <w:r>
        <w:rPr>
          <w:lang w:val="en-US"/>
        </w:rPr>
        <w:t>, 16</w:t>
      </w:r>
      <w:r w:rsidR="00061E8E">
        <w:rPr>
          <w:lang w:val="en-US"/>
        </w:rPr>
        <w:t>146</w:t>
      </w:r>
      <w:r w:rsidRPr="00AA39DB">
        <w:t xml:space="preserve"> </w:t>
      </w:r>
      <w:r>
        <w:t>Genoa (Italy)</w:t>
      </w:r>
      <w:r w:rsidRPr="00B57B36">
        <w:t xml:space="preserve"> </w:t>
      </w:r>
      <w:r w:rsidR="00C80B81">
        <w:t>Guido.Busca@unige.it</w:t>
      </w:r>
    </w:p>
    <w:p w14:paraId="1F14D63A" w14:textId="77777777" w:rsidR="00C80B81" w:rsidRPr="00C80B81" w:rsidRDefault="00C80B81" w:rsidP="00C80B81">
      <w:pPr>
        <w:pStyle w:val="CETBodytext"/>
        <w:rPr>
          <w:lang w:val="en-GB"/>
        </w:rPr>
      </w:pPr>
    </w:p>
    <w:p w14:paraId="5DDC8A6C" w14:textId="26A81D31" w:rsidR="008E4DD7" w:rsidRPr="008E4DD7" w:rsidRDefault="0017524F" w:rsidP="00600535">
      <w:pPr>
        <w:pStyle w:val="CETBodytext"/>
        <w:rPr>
          <w:lang w:val="en-GB"/>
        </w:rPr>
      </w:pPr>
      <w:r w:rsidRPr="008E4DD7">
        <w:rPr>
          <w:lang w:val="en-GB"/>
        </w:rPr>
        <w:t xml:space="preserve">Experiments of pyrolysis of </w:t>
      </w:r>
      <w:r w:rsidR="008E4DD7" w:rsidRPr="008E4DD7">
        <w:rPr>
          <w:lang w:val="en-GB"/>
        </w:rPr>
        <w:t xml:space="preserve">commercial Kraft lignin have been realized </w:t>
      </w:r>
      <w:r w:rsidR="00221CFE">
        <w:rPr>
          <w:lang w:val="en-GB"/>
        </w:rPr>
        <w:t>in the</w:t>
      </w:r>
      <w:r w:rsidR="008E4DD7" w:rsidRPr="008E4DD7">
        <w:rPr>
          <w:lang w:val="en-GB"/>
        </w:rPr>
        <w:t xml:space="preserve"> 250-550</w:t>
      </w:r>
      <w:r w:rsidR="001028E8">
        <w:rPr>
          <w:lang w:val="en-GB"/>
        </w:rPr>
        <w:t xml:space="preserve"> </w:t>
      </w:r>
      <w:r w:rsidR="008E4DD7" w:rsidRPr="008E4DD7">
        <w:rPr>
          <w:lang w:val="en-GB"/>
        </w:rPr>
        <w:t>°C</w:t>
      </w:r>
      <w:r w:rsidR="00221CFE">
        <w:rPr>
          <w:lang w:val="en-GB"/>
        </w:rPr>
        <w:t xml:space="preserve"> range.</w:t>
      </w:r>
      <w:r w:rsidR="008E4DD7" w:rsidRPr="008E4DD7">
        <w:rPr>
          <w:lang w:val="en-GB"/>
        </w:rPr>
        <w:t xml:space="preserve"> Product analyses have been performed by FTIR, GC-MS, EDX analyses. </w:t>
      </w:r>
      <w:r w:rsidR="001028E8">
        <w:rPr>
          <w:lang w:val="en-GB"/>
        </w:rPr>
        <w:t>T</w:t>
      </w:r>
      <w:r w:rsidR="005042DA">
        <w:rPr>
          <w:lang w:val="en-GB"/>
        </w:rPr>
        <w:t>h</w:t>
      </w:r>
      <w:r w:rsidR="008E4DD7" w:rsidRPr="008E4DD7">
        <w:rPr>
          <w:lang w:val="en-GB"/>
        </w:rPr>
        <w:t xml:space="preserve">e </w:t>
      </w:r>
      <w:r w:rsidR="00072096">
        <w:rPr>
          <w:lang w:val="en-GB"/>
        </w:rPr>
        <w:t>main goal</w:t>
      </w:r>
      <w:r w:rsidR="008E4DD7" w:rsidRPr="008E4DD7">
        <w:rPr>
          <w:lang w:val="en-GB"/>
        </w:rPr>
        <w:t xml:space="preserve"> of the work is to optim</w:t>
      </w:r>
      <w:r w:rsidR="005042DA">
        <w:rPr>
          <w:lang w:val="en-GB"/>
        </w:rPr>
        <w:t>i</w:t>
      </w:r>
      <w:r w:rsidR="008E4DD7" w:rsidRPr="008E4DD7">
        <w:rPr>
          <w:lang w:val="en-GB"/>
        </w:rPr>
        <w:t>ze the experiments in terms of liquid yield, reduction of oxygen content in the resulting biochar</w:t>
      </w:r>
      <w:r w:rsidR="00061E08">
        <w:rPr>
          <w:lang w:val="en-GB"/>
        </w:rPr>
        <w:t>,</w:t>
      </w:r>
      <w:r w:rsidR="008E4DD7" w:rsidRPr="008E4DD7">
        <w:rPr>
          <w:lang w:val="en-GB"/>
        </w:rPr>
        <w:t xml:space="preserve"> and removal of </w:t>
      </w:r>
      <w:proofErr w:type="spellStart"/>
      <w:r w:rsidR="00B66D7F">
        <w:rPr>
          <w:lang w:val="en-GB"/>
        </w:rPr>
        <w:t>sulfur</w:t>
      </w:r>
      <w:proofErr w:type="spellEnd"/>
      <w:r w:rsidR="001028E8">
        <w:rPr>
          <w:lang w:val="en-GB"/>
        </w:rPr>
        <w:t>, found</w:t>
      </w:r>
      <w:r w:rsidR="008E4DD7" w:rsidRPr="008E4DD7">
        <w:rPr>
          <w:lang w:val="en-GB"/>
        </w:rPr>
        <w:t xml:space="preserve"> mainly in the gas phase.</w:t>
      </w:r>
      <w:r w:rsidR="008E4DD7">
        <w:rPr>
          <w:lang w:val="en-GB"/>
        </w:rPr>
        <w:t xml:space="preserve"> It has been concluded that the amount of the starting lignin charged in the reactor must be limited to </w:t>
      </w:r>
      <w:r w:rsidR="00EE2738">
        <w:rPr>
          <w:lang w:val="en-GB"/>
        </w:rPr>
        <w:t>be fully</w:t>
      </w:r>
      <w:r w:rsidR="008E4DD7">
        <w:rPr>
          <w:lang w:val="en-GB"/>
        </w:rPr>
        <w:t xml:space="preserve"> </w:t>
      </w:r>
      <w:r w:rsidR="00EE2738">
        <w:rPr>
          <w:lang w:val="en-GB"/>
        </w:rPr>
        <w:t xml:space="preserve">positioned in the heating chamber also during high temperature treatment. </w:t>
      </w:r>
      <w:proofErr w:type="spellStart"/>
      <w:r w:rsidR="00B66D7F">
        <w:rPr>
          <w:lang w:val="en-GB"/>
        </w:rPr>
        <w:t>Sulfur</w:t>
      </w:r>
      <w:proofErr w:type="spellEnd"/>
      <w:r w:rsidR="00EE2738">
        <w:rPr>
          <w:lang w:val="en-GB"/>
        </w:rPr>
        <w:t xml:space="preserve"> may be part</w:t>
      </w:r>
      <w:r w:rsidR="00061E08">
        <w:rPr>
          <w:lang w:val="en-GB"/>
        </w:rPr>
        <w:t>ial</w:t>
      </w:r>
      <w:r w:rsidR="00EE2738">
        <w:rPr>
          <w:lang w:val="en-GB"/>
        </w:rPr>
        <w:t>ly removed in the gas phase as H</w:t>
      </w:r>
      <w:r w:rsidR="00EE2738" w:rsidRPr="00EE2738">
        <w:rPr>
          <w:vertAlign w:val="subscript"/>
          <w:lang w:val="en-GB"/>
        </w:rPr>
        <w:t>2</w:t>
      </w:r>
      <w:r w:rsidR="00EE2738">
        <w:rPr>
          <w:lang w:val="en-GB"/>
        </w:rPr>
        <w:t>S and CH</w:t>
      </w:r>
      <w:r w:rsidR="00EE2738" w:rsidRPr="00EE2738">
        <w:rPr>
          <w:vertAlign w:val="subscript"/>
          <w:lang w:val="en-GB"/>
        </w:rPr>
        <w:t>3</w:t>
      </w:r>
      <w:r w:rsidR="00EE2738">
        <w:rPr>
          <w:lang w:val="en-GB"/>
        </w:rPr>
        <w:t xml:space="preserve">SH mainly, by a </w:t>
      </w:r>
      <w:r w:rsidR="005042DA">
        <w:rPr>
          <w:lang w:val="en-GB"/>
        </w:rPr>
        <w:t>pre-treatment</w:t>
      </w:r>
      <w:r w:rsidR="00EE2738">
        <w:rPr>
          <w:lang w:val="en-GB"/>
        </w:rPr>
        <w:t xml:space="preserve"> at 250 °C. The maximum amount of liquid product, mainly constituted by methoxy- and alkyl-methoxy-phenols, and the maximum solid deoxygenation are both obtained at 550 °C.</w:t>
      </w:r>
    </w:p>
    <w:p w14:paraId="476B2F2E" w14:textId="027C9940" w:rsidR="00600535" w:rsidRDefault="00600535" w:rsidP="00BC0918">
      <w:pPr>
        <w:pStyle w:val="CETHeading1"/>
      </w:pPr>
      <w:r w:rsidRPr="00B57B36">
        <w:t>Introduction</w:t>
      </w:r>
    </w:p>
    <w:p w14:paraId="44CD9239" w14:textId="6C6F3348" w:rsidR="005A6554" w:rsidRDefault="001028E8" w:rsidP="00B019D6">
      <w:pPr>
        <w:pStyle w:val="CETBodytext"/>
        <w:rPr>
          <w:lang w:val="en-GB"/>
        </w:rPr>
      </w:pPr>
      <w:r>
        <w:t xml:space="preserve">Nowadays, </w:t>
      </w:r>
      <w:r>
        <w:rPr>
          <w:lang w:val="en-GB"/>
        </w:rPr>
        <w:t>i</w:t>
      </w:r>
      <w:r w:rsidR="00F25196">
        <w:rPr>
          <w:lang w:val="en-GB"/>
        </w:rPr>
        <w:t>t is well established</w:t>
      </w:r>
      <w:r>
        <w:rPr>
          <w:lang w:val="en-GB"/>
        </w:rPr>
        <w:t xml:space="preserve"> </w:t>
      </w:r>
      <w:r w:rsidR="00F25196">
        <w:rPr>
          <w:lang w:val="en-GB"/>
        </w:rPr>
        <w:t>that the</w:t>
      </w:r>
      <w:r w:rsidR="005055BB">
        <w:rPr>
          <w:lang w:val="en-GB"/>
        </w:rPr>
        <w:t xml:space="preserve"> employment of </w:t>
      </w:r>
      <w:r w:rsidR="008A1025">
        <w:rPr>
          <w:lang w:val="en-GB"/>
        </w:rPr>
        <w:t>fossil</w:t>
      </w:r>
      <w:r w:rsidR="005055BB">
        <w:rPr>
          <w:lang w:val="en-GB"/>
        </w:rPr>
        <w:t xml:space="preserve"> resources </w:t>
      </w:r>
      <w:r w:rsidR="00F25196">
        <w:rPr>
          <w:lang w:val="en-GB"/>
        </w:rPr>
        <w:t xml:space="preserve">must be strongly reduced and that renewable raw materials will be largely employed in the near future to produce chemical products. It is also clear that </w:t>
      </w:r>
      <w:r w:rsidR="005A6554">
        <w:rPr>
          <w:lang w:val="en-GB"/>
        </w:rPr>
        <w:t xml:space="preserve">industrial chemistry </w:t>
      </w:r>
      <w:r w:rsidR="007C32D3">
        <w:rPr>
          <w:lang w:val="en-GB"/>
        </w:rPr>
        <w:t xml:space="preserve">based on renewables must not compete with the </w:t>
      </w:r>
      <w:r>
        <w:rPr>
          <w:lang w:val="en-GB"/>
        </w:rPr>
        <w:t>food chain</w:t>
      </w:r>
      <w:r w:rsidR="007C32D3">
        <w:rPr>
          <w:lang w:val="en-GB"/>
        </w:rPr>
        <w:t xml:space="preserve">. For these reasons, lignin wastes, such as those produced by the papermaking industry </w:t>
      </w:r>
      <w:r w:rsidR="00E54002">
        <w:rPr>
          <w:lang w:val="en-GB"/>
        </w:rPr>
        <w:t>(</w:t>
      </w:r>
      <w:proofErr w:type="spellStart"/>
      <w:r w:rsidR="00E54002">
        <w:rPr>
          <w:lang w:val="en-GB"/>
        </w:rPr>
        <w:t>Haq</w:t>
      </w:r>
      <w:proofErr w:type="spellEnd"/>
      <w:r w:rsidR="00E54002">
        <w:rPr>
          <w:lang w:val="en-GB"/>
        </w:rPr>
        <w:t xml:space="preserve"> et al. 2020) </w:t>
      </w:r>
      <w:r w:rsidR="007C32D3">
        <w:rPr>
          <w:lang w:val="en-GB"/>
        </w:rPr>
        <w:t>and those coming from bioethanol manufacture</w:t>
      </w:r>
      <w:r w:rsidR="007831E8">
        <w:rPr>
          <w:lang w:val="en-GB"/>
        </w:rPr>
        <w:t xml:space="preserve"> (Liu et al., 2021)</w:t>
      </w:r>
      <w:r w:rsidR="007C32D3">
        <w:rPr>
          <w:lang w:val="en-GB"/>
        </w:rPr>
        <w:t xml:space="preserve">, </w:t>
      </w:r>
      <w:r w:rsidR="005905D9">
        <w:rPr>
          <w:lang w:val="en-GB"/>
        </w:rPr>
        <w:t>are considered</w:t>
      </w:r>
      <w:r w:rsidR="007C32D3">
        <w:rPr>
          <w:lang w:val="en-GB"/>
        </w:rPr>
        <w:t xml:space="preserve"> to be best suited for the production of chemicals</w:t>
      </w:r>
      <w:r w:rsidR="00E70082">
        <w:rPr>
          <w:lang w:val="en-GB"/>
        </w:rPr>
        <w:t xml:space="preserve"> (Li et al., 2015)</w:t>
      </w:r>
      <w:r w:rsidR="007C32D3">
        <w:rPr>
          <w:lang w:val="en-GB"/>
        </w:rPr>
        <w:t xml:space="preserve">. In particular, due to their aromatic character, </w:t>
      </w:r>
      <w:proofErr w:type="spellStart"/>
      <w:r w:rsidR="007C32D3">
        <w:rPr>
          <w:lang w:val="en-GB"/>
        </w:rPr>
        <w:t>lignin</w:t>
      </w:r>
      <w:r w:rsidR="005042DA">
        <w:rPr>
          <w:lang w:val="en-GB"/>
        </w:rPr>
        <w:t>s</w:t>
      </w:r>
      <w:proofErr w:type="spellEnd"/>
      <w:r w:rsidR="007C32D3">
        <w:rPr>
          <w:lang w:val="en-GB"/>
        </w:rPr>
        <w:t xml:space="preserve"> are </w:t>
      </w:r>
      <w:r w:rsidR="005905D9">
        <w:rPr>
          <w:lang w:val="en-GB"/>
        </w:rPr>
        <w:t xml:space="preserve">reported to be </w:t>
      </w:r>
      <w:r w:rsidR="007C32D3">
        <w:rPr>
          <w:lang w:val="en-GB"/>
        </w:rPr>
        <w:t xml:space="preserve">promising sources of aromatic compounds, i.e. phenol </w:t>
      </w:r>
      <w:r w:rsidR="007C32D3" w:rsidRPr="004475D1">
        <w:rPr>
          <w:lang w:val="en-GB"/>
        </w:rPr>
        <w:t xml:space="preserve">compounds </w:t>
      </w:r>
      <w:r w:rsidR="00CC0FA2" w:rsidRPr="004475D1">
        <w:rPr>
          <w:lang w:val="en-GB"/>
        </w:rPr>
        <w:t>(</w:t>
      </w:r>
      <w:r w:rsidR="00CC0FA2" w:rsidRPr="004475D1">
        <w:t>Kleinert and</w:t>
      </w:r>
      <w:r w:rsidR="00CC0FA2" w:rsidRPr="00B11FA5">
        <w:t xml:space="preserve"> Barth, 2008</w:t>
      </w:r>
      <w:r w:rsidR="00CC0FA2">
        <w:t xml:space="preserve">) </w:t>
      </w:r>
      <w:r w:rsidR="007C32D3">
        <w:rPr>
          <w:lang w:val="en-GB"/>
        </w:rPr>
        <w:t>and aromatic hydrocarbons as well (</w:t>
      </w:r>
      <w:proofErr w:type="spellStart"/>
      <w:r w:rsidR="007C32D3">
        <w:rPr>
          <w:lang w:val="en-GB"/>
        </w:rPr>
        <w:t>Busca</w:t>
      </w:r>
      <w:proofErr w:type="spellEnd"/>
      <w:r w:rsidR="007C32D3">
        <w:rPr>
          <w:lang w:val="en-GB"/>
        </w:rPr>
        <w:t xml:space="preserve">, 2021). </w:t>
      </w:r>
    </w:p>
    <w:p w14:paraId="79C91F5E" w14:textId="642F8C9D" w:rsidR="002B13C9" w:rsidRPr="002D10F2" w:rsidRDefault="00CC0FA2" w:rsidP="006A65D6">
      <w:pPr>
        <w:pStyle w:val="CETBodytext"/>
      </w:pPr>
      <w:r>
        <w:rPr>
          <w:lang w:val="en-GB"/>
        </w:rPr>
        <w:t xml:space="preserve">As it is well-known, </w:t>
      </w:r>
      <w:r w:rsidR="002B13C9">
        <w:rPr>
          <w:lang w:val="en-GB"/>
        </w:rPr>
        <w:t xml:space="preserve">lignin is one of the three main components of lignocellulosic </w:t>
      </w:r>
      <w:r w:rsidR="00AF03EC">
        <w:rPr>
          <w:lang w:val="en-GB"/>
        </w:rPr>
        <w:t>biomass,</w:t>
      </w:r>
      <w:r w:rsidR="0007593B">
        <w:rPr>
          <w:lang w:val="en-GB"/>
        </w:rPr>
        <w:t xml:space="preserve"> </w:t>
      </w:r>
      <w:r>
        <w:rPr>
          <w:lang w:val="en-GB"/>
        </w:rPr>
        <w:t>together with cellulose and hemicellulose,</w:t>
      </w:r>
      <w:r w:rsidR="005905D9">
        <w:rPr>
          <w:lang w:val="en-GB"/>
        </w:rPr>
        <w:t xml:space="preserve"> </w:t>
      </w:r>
      <w:r w:rsidR="00596445">
        <w:rPr>
          <w:lang w:val="en-GB"/>
        </w:rPr>
        <w:t>whose</w:t>
      </w:r>
      <w:r w:rsidR="00C6367A">
        <w:rPr>
          <w:lang w:val="en-GB"/>
        </w:rPr>
        <w:t xml:space="preserve"> content </w:t>
      </w:r>
      <w:r w:rsidR="00596445">
        <w:rPr>
          <w:lang w:val="en-GB"/>
        </w:rPr>
        <w:t xml:space="preserve">can </w:t>
      </w:r>
      <w:r w:rsidR="00C6367A">
        <w:rPr>
          <w:lang w:val="en-GB"/>
        </w:rPr>
        <w:t>span</w:t>
      </w:r>
      <w:r w:rsidR="0007593B">
        <w:rPr>
          <w:lang w:val="en-GB"/>
        </w:rPr>
        <w:t xml:space="preserve"> from 10 to 40 wt.% depending on the feedstock</w:t>
      </w:r>
      <w:r w:rsidR="0037142B">
        <w:rPr>
          <w:lang w:val="en-GB"/>
        </w:rPr>
        <w:t xml:space="preserve"> (</w:t>
      </w:r>
      <w:proofErr w:type="spellStart"/>
      <w:r w:rsidR="0037142B">
        <w:rPr>
          <w:lang w:val="en-GB"/>
        </w:rPr>
        <w:t>Giudicianni</w:t>
      </w:r>
      <w:proofErr w:type="spellEnd"/>
      <w:r w:rsidR="0037142B">
        <w:rPr>
          <w:lang w:val="en-GB"/>
        </w:rPr>
        <w:t xml:space="preserve"> et al. 2020)</w:t>
      </w:r>
      <w:r w:rsidR="0007593B">
        <w:rPr>
          <w:lang w:val="en-GB"/>
        </w:rPr>
        <w:t>.</w:t>
      </w:r>
      <w:r w:rsidR="006A65D6">
        <w:rPr>
          <w:lang w:val="en-GB"/>
        </w:rPr>
        <w:t xml:space="preserve"> </w:t>
      </w:r>
      <w:r w:rsidR="002B13C9">
        <w:rPr>
          <w:lang w:val="en-GB"/>
        </w:rPr>
        <w:t xml:space="preserve">These compounds </w:t>
      </w:r>
      <w:r w:rsidR="004015B6">
        <w:rPr>
          <w:lang w:val="en-GB"/>
        </w:rPr>
        <w:t xml:space="preserve">consist in the structural frame of </w:t>
      </w:r>
      <w:r w:rsidR="002B13C9">
        <w:rPr>
          <w:lang w:val="en-GB"/>
        </w:rPr>
        <w:t>the plant cell wall</w:t>
      </w:r>
      <w:r w:rsidR="004015B6">
        <w:rPr>
          <w:lang w:val="en-GB"/>
        </w:rPr>
        <w:t>s,</w:t>
      </w:r>
      <w:r w:rsidR="002B13C9">
        <w:rPr>
          <w:lang w:val="en-GB"/>
        </w:rPr>
        <w:t xml:space="preserve"> where lignin role</w:t>
      </w:r>
      <w:r w:rsidR="004015B6">
        <w:rPr>
          <w:lang w:val="en-GB"/>
        </w:rPr>
        <w:t xml:space="preserve"> is to increase the strength and </w:t>
      </w:r>
      <w:r w:rsidR="00E733AF">
        <w:rPr>
          <w:lang w:val="en-GB"/>
        </w:rPr>
        <w:t xml:space="preserve">the </w:t>
      </w:r>
      <w:r w:rsidR="004015B6">
        <w:rPr>
          <w:lang w:val="en-GB"/>
        </w:rPr>
        <w:t>resistance of the cell.</w:t>
      </w:r>
      <w:r w:rsidR="002D10F2">
        <w:rPr>
          <w:lang w:val="en-GB"/>
        </w:rPr>
        <w:t xml:space="preserve"> However, despite its potential from a scientific and industrial point of view, lignin utilization has been always limited</w:t>
      </w:r>
      <w:r>
        <w:rPr>
          <w:lang w:val="en-GB"/>
        </w:rPr>
        <w:t>, also because of</w:t>
      </w:r>
      <w:r w:rsidR="002D10F2">
        <w:rPr>
          <w:lang w:val="en-GB"/>
        </w:rPr>
        <w:t xml:space="preserve"> its chemical recalcitrance</w:t>
      </w:r>
      <w:r w:rsidR="00E733AF">
        <w:rPr>
          <w:lang w:val="en-GB"/>
        </w:rPr>
        <w:t xml:space="preserve"> mainly due to its complex structure</w:t>
      </w:r>
      <w:r w:rsidR="002D10F2">
        <w:rPr>
          <w:lang w:val="en-GB"/>
        </w:rPr>
        <w:t xml:space="preserve">. </w:t>
      </w:r>
    </w:p>
    <w:p w14:paraId="6D0F6D48" w14:textId="1F186B55" w:rsidR="005D2858" w:rsidRDefault="006A65D6" w:rsidP="00B019D6">
      <w:pPr>
        <w:pStyle w:val="CETBodytext"/>
      </w:pPr>
      <w:r>
        <w:rPr>
          <w:lang w:val="en-GB"/>
        </w:rPr>
        <w:t xml:space="preserve">The isolation and </w:t>
      </w:r>
      <w:r w:rsidR="002D10F2">
        <w:rPr>
          <w:lang w:val="en-GB"/>
        </w:rPr>
        <w:t xml:space="preserve">the </w:t>
      </w:r>
      <w:r>
        <w:rPr>
          <w:lang w:val="en-GB"/>
        </w:rPr>
        <w:t>separation of lignin</w:t>
      </w:r>
      <w:r w:rsidR="002D10F2">
        <w:rPr>
          <w:lang w:val="en-GB"/>
        </w:rPr>
        <w:t xml:space="preserve"> from cellulose and hemicellulose</w:t>
      </w:r>
      <w:r>
        <w:rPr>
          <w:lang w:val="en-GB"/>
        </w:rPr>
        <w:t xml:space="preserve"> </w:t>
      </w:r>
      <w:r w:rsidR="00335424">
        <w:rPr>
          <w:lang w:val="en-GB"/>
        </w:rPr>
        <w:t>is</w:t>
      </w:r>
      <w:r>
        <w:rPr>
          <w:lang w:val="en-GB"/>
        </w:rPr>
        <w:t xml:space="preserve"> performed with different techniques, </w:t>
      </w:r>
      <w:r w:rsidR="002D10F2">
        <w:rPr>
          <w:lang w:val="en-GB"/>
        </w:rPr>
        <w:t>even if</w:t>
      </w:r>
      <w:r>
        <w:rPr>
          <w:lang w:val="en-GB"/>
        </w:rPr>
        <w:t xml:space="preserve"> almost 90% of </w:t>
      </w:r>
      <w:r w:rsidR="00E54002">
        <w:rPr>
          <w:lang w:val="en-GB"/>
        </w:rPr>
        <w:t xml:space="preserve">the available </w:t>
      </w:r>
      <w:r>
        <w:rPr>
          <w:lang w:val="en-GB"/>
        </w:rPr>
        <w:t>commercial lignin is obtained from Kraft pulping process</w:t>
      </w:r>
      <w:r w:rsidR="002D10F2">
        <w:rPr>
          <w:lang w:val="en-GB"/>
        </w:rPr>
        <w:t>, where it is</w:t>
      </w:r>
      <w:r>
        <w:rPr>
          <w:lang w:val="en-GB"/>
        </w:rPr>
        <w:t xml:space="preserve"> mainly produced as by-product and then it is burned </w:t>
      </w:r>
      <w:r w:rsidR="00B05E0F">
        <w:rPr>
          <w:lang w:val="en-GB"/>
        </w:rPr>
        <w:t>for heat recovery</w:t>
      </w:r>
      <w:r>
        <w:rPr>
          <w:lang w:val="en-GB"/>
        </w:rPr>
        <w:t xml:space="preserve"> </w:t>
      </w:r>
      <w:r w:rsidR="002D139E">
        <w:rPr>
          <w:lang w:val="en-GB"/>
        </w:rPr>
        <w:t>(Lai, 2017)</w:t>
      </w:r>
      <w:r>
        <w:rPr>
          <w:lang w:val="en-GB"/>
        </w:rPr>
        <w:t xml:space="preserve">. </w:t>
      </w:r>
      <w:r w:rsidR="0066301B">
        <w:rPr>
          <w:lang w:val="en-GB"/>
        </w:rPr>
        <w:t>T</w:t>
      </w:r>
      <w:r w:rsidR="00B05E0F">
        <w:rPr>
          <w:lang w:val="en-GB"/>
        </w:rPr>
        <w:t xml:space="preserve">he isolation in Kraft process is obtained </w:t>
      </w:r>
      <w:r w:rsidR="008B1262">
        <w:rPr>
          <w:lang w:val="en-GB"/>
        </w:rPr>
        <w:t>using</w:t>
      </w:r>
      <w:r w:rsidR="00B05E0F">
        <w:rPr>
          <w:lang w:val="en-GB"/>
        </w:rPr>
        <w:t xml:space="preserve"> </w:t>
      </w:r>
      <w:r w:rsidR="0066301B">
        <w:rPr>
          <w:lang w:val="en-GB"/>
        </w:rPr>
        <w:t xml:space="preserve">a soda-sodium </w:t>
      </w:r>
      <w:proofErr w:type="spellStart"/>
      <w:r w:rsidR="00061E08">
        <w:rPr>
          <w:lang w:val="en-GB"/>
        </w:rPr>
        <w:t>sulfide</w:t>
      </w:r>
      <w:proofErr w:type="spellEnd"/>
      <w:r w:rsidR="0066301B">
        <w:rPr>
          <w:lang w:val="en-GB"/>
        </w:rPr>
        <w:t xml:space="preserve"> solution which allow better recovery yields but results in a lignin with a high content in </w:t>
      </w:r>
      <w:proofErr w:type="spellStart"/>
      <w:r w:rsidR="00B66D7F">
        <w:rPr>
          <w:lang w:val="en-GB"/>
        </w:rPr>
        <w:t>sulfur</w:t>
      </w:r>
      <w:proofErr w:type="spellEnd"/>
      <w:r w:rsidR="0066301B">
        <w:rPr>
          <w:lang w:val="en-GB"/>
        </w:rPr>
        <w:t xml:space="preserve"> (2-4 wt.%)</w:t>
      </w:r>
      <w:r w:rsidR="008C6D13">
        <w:rPr>
          <w:lang w:val="en-GB"/>
        </w:rPr>
        <w:t xml:space="preserve"> </w:t>
      </w:r>
      <w:r w:rsidR="00C92F38">
        <w:rPr>
          <w:lang w:val="en-GB"/>
        </w:rPr>
        <w:t>(</w:t>
      </w:r>
      <w:proofErr w:type="spellStart"/>
      <w:r w:rsidR="00C92F38" w:rsidRPr="005179AA">
        <w:t>Ház</w:t>
      </w:r>
      <w:proofErr w:type="spellEnd"/>
      <w:r w:rsidR="00C92F38">
        <w:t xml:space="preserve"> et al. 2019)</w:t>
      </w:r>
      <w:r w:rsidR="00BF021A">
        <w:t xml:space="preserve">. </w:t>
      </w:r>
    </w:p>
    <w:p w14:paraId="6B555540" w14:textId="134A7730" w:rsidR="00BF021A" w:rsidRDefault="00BF021A" w:rsidP="00B019D6">
      <w:pPr>
        <w:pStyle w:val="CETBodytext"/>
      </w:pPr>
      <w:r>
        <w:t>Pyrolysis is a useful technique to depolymerize</w:t>
      </w:r>
      <w:r w:rsidR="00326E30">
        <w:t>, at least partially,</w:t>
      </w:r>
      <w:r>
        <w:t xml:space="preserve"> complex organic materials, such as biomasses and plastic wastes </w:t>
      </w:r>
      <w:r w:rsidR="00094C44">
        <w:t>(</w:t>
      </w:r>
      <w:proofErr w:type="spellStart"/>
      <w:r w:rsidR="00094C44">
        <w:t>Sannita</w:t>
      </w:r>
      <w:proofErr w:type="spellEnd"/>
      <w:r w:rsidR="00094C44">
        <w:t xml:space="preserve"> et al., 2012</w:t>
      </w:r>
      <w:r w:rsidR="00326E30">
        <w:t>; Kim and Choi, 2018</w:t>
      </w:r>
      <w:r w:rsidR="00094C44">
        <w:t>)</w:t>
      </w:r>
      <w:r w:rsidR="00326E30">
        <w:t>.</w:t>
      </w:r>
      <w:r w:rsidR="004F476A">
        <w:t xml:space="preserve"> </w:t>
      </w:r>
      <w:r w:rsidR="002960A0">
        <w:t>A</w:t>
      </w:r>
      <w:r>
        <w:t xml:space="preserve"> systematic study of the conversion of </w:t>
      </w:r>
      <w:r w:rsidR="004F476A">
        <w:t xml:space="preserve">Kraft </w:t>
      </w:r>
      <w:r>
        <w:t>lignin by pyrolysis</w:t>
      </w:r>
      <w:r w:rsidR="00EE19C1">
        <w:t xml:space="preserve"> </w:t>
      </w:r>
      <w:r w:rsidR="00C64A2F">
        <w:t>was recently undertaken</w:t>
      </w:r>
      <w:r w:rsidR="002960A0">
        <w:t xml:space="preserve"> </w:t>
      </w:r>
      <w:r w:rsidR="00EE19C1">
        <w:t>(Borella et al</w:t>
      </w:r>
      <w:r w:rsidR="00DA76FF">
        <w:t>.</w:t>
      </w:r>
      <w:r w:rsidR="00EE19C1">
        <w:t>, 2022).</w:t>
      </w:r>
      <w:r w:rsidR="00DA76FF">
        <w:t xml:space="preserve"> Pyrolysis of lignin produces, depending on reaction conditions, liquid molecules together with a gas and a solid biochar residue. One of the open points on which we would like to go deeper is the </w:t>
      </w:r>
      <w:r w:rsidR="005042DA">
        <w:t>behavior</w:t>
      </w:r>
      <w:r w:rsidR="00DA76FF">
        <w:t xml:space="preserve"> of </w:t>
      </w:r>
      <w:r w:rsidR="00B66D7F">
        <w:t>sulfur</w:t>
      </w:r>
      <w:r w:rsidR="00DA76FF">
        <w:t xml:space="preserve"> impurities upon the pyrolysis of Kraft lignin.</w:t>
      </w:r>
      <w:r w:rsidR="0093751C">
        <w:t xml:space="preserve"> In this paper</w:t>
      </w:r>
      <w:r w:rsidR="001028E8">
        <w:t>,</w:t>
      </w:r>
      <w:r w:rsidR="0093751C">
        <w:t xml:space="preserve"> </w:t>
      </w:r>
      <w:r w:rsidR="00596445">
        <w:t>it is</w:t>
      </w:r>
      <w:r w:rsidR="0093751C">
        <w:t xml:space="preserve"> also report</w:t>
      </w:r>
      <w:r w:rsidR="00596445">
        <w:t>ed</w:t>
      </w:r>
      <w:r w:rsidR="0093751C">
        <w:t xml:space="preserve"> </w:t>
      </w:r>
      <w:r w:rsidR="00596445">
        <w:t>the</w:t>
      </w:r>
      <w:r w:rsidR="0093751C">
        <w:t xml:space="preserve"> investigation to optimize reaction conditions in</w:t>
      </w:r>
      <w:r w:rsidR="00596445">
        <w:t xml:space="preserve"> our</w:t>
      </w:r>
      <w:r w:rsidR="0093751C">
        <w:t xml:space="preserve"> experimental setup.</w:t>
      </w:r>
    </w:p>
    <w:p w14:paraId="30CC86AC" w14:textId="77777777" w:rsidR="00BC0918" w:rsidRDefault="00BC0918" w:rsidP="00BC0918">
      <w:pPr>
        <w:pStyle w:val="CETHeading1"/>
        <w:rPr>
          <w:lang w:val="en-GB"/>
        </w:rPr>
      </w:pPr>
      <w:r>
        <w:rPr>
          <w:lang w:val="en-GB"/>
        </w:rPr>
        <w:lastRenderedPageBreak/>
        <w:t xml:space="preserve">Materials and methods </w:t>
      </w:r>
    </w:p>
    <w:p w14:paraId="70B80C04" w14:textId="3D6184D5" w:rsidR="00BC0918" w:rsidRDefault="00BC0918" w:rsidP="00BC0918">
      <w:pPr>
        <w:pStyle w:val="CETheadingx"/>
      </w:pPr>
      <w:r>
        <w:t>Materials</w:t>
      </w:r>
    </w:p>
    <w:p w14:paraId="35F13B90" w14:textId="6BBB46A7" w:rsidR="00D31FAA" w:rsidRPr="000B576D" w:rsidRDefault="00BC0918" w:rsidP="00BC0918">
      <w:pPr>
        <w:pStyle w:val="CETBodytext"/>
        <w:rPr>
          <w:color w:val="FF0000"/>
        </w:rPr>
      </w:pPr>
      <w:r>
        <w:t>In this study</w:t>
      </w:r>
      <w:r w:rsidR="001028E8">
        <w:t>,</w:t>
      </w:r>
      <w:r>
        <w:t xml:space="preserve"> a commercial Kraft lignin </w:t>
      </w:r>
      <w:r w:rsidR="001E5BEF">
        <w:t>received</w:t>
      </w:r>
      <w:r>
        <w:t xml:space="preserve"> from </w:t>
      </w:r>
      <w:proofErr w:type="spellStart"/>
      <w:r w:rsidRPr="00ED5606">
        <w:t>StoraEnso</w:t>
      </w:r>
      <w:proofErr w:type="spellEnd"/>
      <w:r w:rsidRPr="00ED5606">
        <w:t>®</w:t>
      </w:r>
      <w:r>
        <w:t xml:space="preserve"> (</w:t>
      </w:r>
      <w:proofErr w:type="spellStart"/>
      <w:r w:rsidRPr="00ED5606">
        <w:t>Lineo</w:t>
      </w:r>
      <w:r w:rsidRPr="00ED5606">
        <w:rPr>
          <w:vertAlign w:val="superscript"/>
        </w:rPr>
        <w:t>TM</w:t>
      </w:r>
      <w:proofErr w:type="spellEnd"/>
      <w:r w:rsidRPr="00ED5606">
        <w:t xml:space="preserve"> Classic Lignin, </w:t>
      </w:r>
      <w:proofErr w:type="spellStart"/>
      <w:r w:rsidRPr="00ED5606">
        <w:t>Kotka</w:t>
      </w:r>
      <w:proofErr w:type="spellEnd"/>
      <w:r w:rsidRPr="00ED5606">
        <w:t>, Finland</w:t>
      </w:r>
      <w:r>
        <w:t xml:space="preserve">) </w:t>
      </w:r>
      <w:r w:rsidR="001028E8">
        <w:t xml:space="preserve">has </w:t>
      </w:r>
      <w:r>
        <w:t>been adopted</w:t>
      </w:r>
      <w:r w:rsidR="005042DA">
        <w:t>.</w:t>
      </w:r>
      <w:r w:rsidR="006C6736">
        <w:t xml:space="preserve"> Fresh lignin has been characterized</w:t>
      </w:r>
      <w:r w:rsidR="001E5BEF">
        <w:t xml:space="preserve"> </w:t>
      </w:r>
      <w:r w:rsidR="00C64A2F">
        <w:t xml:space="preserve">by </w:t>
      </w:r>
      <w:r w:rsidR="001E5BEF" w:rsidRPr="00161D64">
        <w:t>quantifying its</w:t>
      </w:r>
      <w:r w:rsidR="006C6736" w:rsidRPr="00161D64">
        <w:t xml:space="preserve"> ash and moisture content. The produced bio</w:t>
      </w:r>
      <w:r w:rsidR="001028E8" w:rsidRPr="00161D64">
        <w:t>(</w:t>
      </w:r>
      <w:r w:rsidR="006C6736" w:rsidRPr="00161D64">
        <w:t>oil</w:t>
      </w:r>
      <w:r w:rsidR="001028E8" w:rsidRPr="00161D64">
        <w:t>)</w:t>
      </w:r>
      <w:r w:rsidR="006C6736" w:rsidRPr="00161D64">
        <w:t xml:space="preserve"> </w:t>
      </w:r>
      <w:r w:rsidR="001028E8" w:rsidRPr="00161D64">
        <w:t xml:space="preserve">has </w:t>
      </w:r>
      <w:r w:rsidR="006C6736" w:rsidRPr="00161D64">
        <w:t xml:space="preserve">been diluted in chloroform (assay 99.9 %, Carlo </w:t>
      </w:r>
      <w:proofErr w:type="spellStart"/>
      <w:r w:rsidR="006C6736" w:rsidRPr="00161D64">
        <w:t>Erba</w:t>
      </w:r>
      <w:proofErr w:type="spellEnd"/>
      <w:r w:rsidR="006C6736" w:rsidRPr="00161D64">
        <w:t xml:space="preserve"> reagents, France) in order to be characterized </w:t>
      </w:r>
      <w:r w:rsidR="00D31FAA" w:rsidRPr="00161D64">
        <w:t xml:space="preserve">in GC-MS. KBr disks have been used as support to perform FT-IR </w:t>
      </w:r>
      <w:r w:rsidR="00161D64" w:rsidRPr="00161D64">
        <w:t xml:space="preserve">liquids and solids </w:t>
      </w:r>
      <w:r w:rsidR="00D31FAA" w:rsidRPr="00161D64">
        <w:t>analys</w:t>
      </w:r>
      <w:r w:rsidR="00161D64" w:rsidRPr="00161D64">
        <w:t>e</w:t>
      </w:r>
      <w:r w:rsidR="00D31FAA" w:rsidRPr="00161D64">
        <w:t>s</w:t>
      </w:r>
      <w:r w:rsidR="00161D64" w:rsidRPr="00161D64">
        <w:t>.</w:t>
      </w:r>
      <w:r w:rsidR="00D31FAA" w:rsidRPr="00161D64">
        <w:t xml:space="preserve"> </w:t>
      </w:r>
      <w:r w:rsidR="00161D64" w:rsidRPr="00161D64">
        <w:t>SEM analyses</w:t>
      </w:r>
      <w:r w:rsidR="00C64A2F">
        <w:t xml:space="preserve"> </w:t>
      </w:r>
      <w:r w:rsidR="00161D64" w:rsidRPr="00161D64">
        <w:t>were realized with</w:t>
      </w:r>
      <w:r w:rsidR="00D31FAA" w:rsidRPr="00161D64">
        <w:t xml:space="preserve"> a Zeiss Evo 40 equipped with a </w:t>
      </w:r>
      <w:proofErr w:type="spellStart"/>
      <w:r w:rsidR="00D31FAA" w:rsidRPr="00161D64">
        <w:t>Pentafet</w:t>
      </w:r>
      <w:proofErr w:type="spellEnd"/>
      <w:r w:rsidR="00D31FAA" w:rsidRPr="00161D64">
        <w:t xml:space="preserve"> Link Energy Dispersive X-ray Spectroscopy system managed by the INCA Energy software (Oxford Instruments, Analytical 95 Ltd., Bucks, U.K.).</w:t>
      </w:r>
    </w:p>
    <w:p w14:paraId="02F1A4FC" w14:textId="0BF14D0B" w:rsidR="00D31FAA" w:rsidRDefault="00D31FAA" w:rsidP="00D31FAA">
      <w:pPr>
        <w:pStyle w:val="CETheadingx"/>
      </w:pPr>
      <w:r>
        <w:t>Lignin characterization</w:t>
      </w:r>
    </w:p>
    <w:p w14:paraId="07FF13F3" w14:textId="699D6FED" w:rsidR="00D31FAA" w:rsidRDefault="00D31FAA" w:rsidP="00BC0918">
      <w:pPr>
        <w:pStyle w:val="CETBodytext"/>
      </w:pPr>
      <w:r w:rsidRPr="00161D64">
        <w:t>Fresh Kraft lignin</w:t>
      </w:r>
      <w:r w:rsidR="001028E8" w:rsidRPr="00161D64">
        <w:t xml:space="preserve"> (KL)</w:t>
      </w:r>
      <w:r w:rsidRPr="00161D64">
        <w:t xml:space="preserve"> characterization has been </w:t>
      </w:r>
      <w:r w:rsidR="009A73BA" w:rsidRPr="00161D64">
        <w:t>carried out with a particular focus on the</w:t>
      </w:r>
      <w:r w:rsidRPr="00161D64">
        <w:t xml:space="preserve"> morphology, elemental composition</w:t>
      </w:r>
      <w:r w:rsidR="00C64A2F">
        <w:t>,</w:t>
      </w:r>
      <w:r w:rsidRPr="00161D64">
        <w:t xml:space="preserve"> ash</w:t>
      </w:r>
      <w:r w:rsidR="00C64A2F">
        <w:t>,</w:t>
      </w:r>
      <w:r w:rsidRPr="00161D64">
        <w:t xml:space="preserve"> and moisture content</w:t>
      </w:r>
      <w:r w:rsidR="00161D64" w:rsidRPr="00161D64">
        <w:t>. The latter</w:t>
      </w:r>
      <w:r w:rsidRPr="00161D64">
        <w:t xml:space="preserve"> </w:t>
      </w:r>
      <w:r w:rsidR="00C64A2F">
        <w:t>has</w:t>
      </w:r>
      <w:r w:rsidRPr="00161D64">
        <w:t xml:space="preserve"> been measured according to</w:t>
      </w:r>
      <w:r w:rsidR="005042DA" w:rsidRPr="00161D64">
        <w:t xml:space="preserve"> </w:t>
      </w:r>
      <w:proofErr w:type="spellStart"/>
      <w:r w:rsidR="005042DA" w:rsidRPr="00161D64">
        <w:t>Spennati</w:t>
      </w:r>
      <w:proofErr w:type="spellEnd"/>
      <w:r w:rsidR="005042DA" w:rsidRPr="00161D64">
        <w:t xml:space="preserve"> et al.</w:t>
      </w:r>
      <w:r w:rsidR="001028E8" w:rsidRPr="00161D64">
        <w:t xml:space="preserve"> </w:t>
      </w:r>
      <w:r w:rsidR="005042DA" w:rsidRPr="00161D64">
        <w:t>(2020)</w:t>
      </w:r>
      <w:r w:rsidRPr="00161D64">
        <w:t xml:space="preserve">. </w:t>
      </w:r>
      <w:r w:rsidR="00161D64" w:rsidRPr="00161D64">
        <w:t xml:space="preserve">KL </w:t>
      </w:r>
      <w:r w:rsidRPr="00161D64">
        <w:t>morpholog</w:t>
      </w:r>
      <w:r w:rsidR="00161D64" w:rsidRPr="00161D64">
        <w:t>ies</w:t>
      </w:r>
      <w:r w:rsidRPr="00161D64">
        <w:t xml:space="preserve"> have been </w:t>
      </w:r>
      <w:r w:rsidR="001E5BEF" w:rsidRPr="00161D64">
        <w:t xml:space="preserve">studied with </w:t>
      </w:r>
      <w:r w:rsidRPr="00161D64">
        <w:t xml:space="preserve">scanning electron microscopy (SEM) whereas </w:t>
      </w:r>
      <w:r w:rsidR="001E5BEF" w:rsidRPr="00161D64">
        <w:t xml:space="preserve">energy-dispersive </w:t>
      </w:r>
      <w:r w:rsidR="00C64A2F">
        <w:t>X-ray</w:t>
      </w:r>
      <w:r w:rsidR="001E5BEF" w:rsidRPr="00161D64">
        <w:t xml:space="preserve"> spectroscopy (EDX) analysis was performed to assess the chemical </w:t>
      </w:r>
      <w:r w:rsidRPr="00161D64">
        <w:t>elemental composition. To better understand the influence of the temperature on SR composition and morphological properties</w:t>
      </w:r>
      <w:r w:rsidR="00596445">
        <w:t>,</w:t>
      </w:r>
      <w:r w:rsidRPr="00161D64">
        <w:t xml:space="preserve"> EDX analyses have been performed both on fresh lignin and pyrolytic residues</w:t>
      </w:r>
      <w:r>
        <w:t>, focusing on the content of C, Na, S</w:t>
      </w:r>
      <w:r w:rsidR="00C64A2F">
        <w:t>,</w:t>
      </w:r>
      <w:r>
        <w:t xml:space="preserve"> and O in the samples.</w:t>
      </w:r>
    </w:p>
    <w:p w14:paraId="0AC2540F" w14:textId="395CB278" w:rsidR="00D31FAA" w:rsidRDefault="00D31FAA" w:rsidP="00D31FAA">
      <w:pPr>
        <w:pStyle w:val="CETheadingx"/>
      </w:pPr>
      <w:r>
        <w:t>Pyrolysis setup</w:t>
      </w:r>
    </w:p>
    <w:p w14:paraId="343784D4" w14:textId="734FD341" w:rsidR="00B97015" w:rsidRPr="00B97015" w:rsidRDefault="00B97015" w:rsidP="00B97015">
      <w:pPr>
        <w:pStyle w:val="CETBodytext"/>
      </w:pPr>
      <w:r>
        <w:t xml:space="preserve">In Figure 1 the pyrolysis setup adopted in this work </w:t>
      </w:r>
      <w:r w:rsidR="004133BE">
        <w:t>has been</w:t>
      </w:r>
      <w:r>
        <w:t xml:space="preserve"> presented. The quartz tubular reactor </w:t>
      </w:r>
      <w:r w:rsidR="00952EED">
        <w:t>charged with the sample is collocated inside a furnace (</w:t>
      </w:r>
      <w:proofErr w:type="spellStart"/>
      <w:r w:rsidR="00952EED" w:rsidRPr="00D31FAA">
        <w:t>Carbolite</w:t>
      </w:r>
      <w:proofErr w:type="spellEnd"/>
      <w:r w:rsidR="00952EED" w:rsidRPr="00D31FAA">
        <w:t>, MTF 10/25/130, Pocklington, UK)</w:t>
      </w:r>
      <w:r w:rsidR="00952EED">
        <w:t>.</w:t>
      </w:r>
    </w:p>
    <w:p w14:paraId="505EB6DF" w14:textId="015A2741" w:rsidR="00952EED" w:rsidRPr="00161D64" w:rsidRDefault="00D31FAA" w:rsidP="00BC0918">
      <w:pPr>
        <w:pStyle w:val="CETBodytext"/>
      </w:pPr>
      <w:r>
        <w:t>Test</w:t>
      </w:r>
      <w:r w:rsidR="00596445">
        <w:t>s</w:t>
      </w:r>
      <w:r>
        <w:t xml:space="preserve"> have been performed using different lignin </w:t>
      </w:r>
      <w:r w:rsidR="001028E8">
        <w:t xml:space="preserve">masses </w:t>
      </w:r>
      <w:r>
        <w:t xml:space="preserve">in order to establish the influence of the starting mass of sample on the product yields. Two different </w:t>
      </w:r>
      <w:r w:rsidR="00C64A2F">
        <w:t>sets</w:t>
      </w:r>
      <w:r>
        <w:t xml:space="preserve"> of tests have been carried out using 5</w:t>
      </w:r>
      <w:r w:rsidR="00B63433">
        <w:t>.0</w:t>
      </w:r>
      <w:r>
        <w:t xml:space="preserve"> g and 10</w:t>
      </w:r>
      <w:r w:rsidR="00B63433">
        <w:t>.0</w:t>
      </w:r>
      <w:r>
        <w:t xml:space="preserve"> g of fresh lignin respectively. </w:t>
      </w:r>
      <w:r w:rsidR="004133BE">
        <w:t>In order t</w:t>
      </w:r>
      <w:r>
        <w:t xml:space="preserve">o avoid combustion </w:t>
      </w:r>
      <w:r w:rsidRPr="00A937B2">
        <w:t xml:space="preserve">reactions and guarantee </w:t>
      </w:r>
      <w:r w:rsidR="009A73BA" w:rsidRPr="00A937B2">
        <w:t>an inert atmosphere</w:t>
      </w:r>
      <w:r w:rsidRPr="00A937B2">
        <w:t xml:space="preserve">, the setup has been purged </w:t>
      </w:r>
      <w:r w:rsidRPr="00161D64">
        <w:t xml:space="preserve">with nitrogen for 10 minutes before each test. The tubular reactor was connected to a Liebig condenser </w:t>
      </w:r>
      <w:r w:rsidR="00952EED" w:rsidRPr="00161D64">
        <w:t>where</w:t>
      </w:r>
      <w:r w:rsidRPr="00161D64">
        <w:t xml:space="preserve"> the condensation</w:t>
      </w:r>
      <w:r w:rsidR="00F833B7" w:rsidRPr="00161D64">
        <w:t xml:space="preserve"> and the separation</w:t>
      </w:r>
      <w:r w:rsidRPr="00161D64">
        <w:t xml:space="preserve"> of cracked compounds </w:t>
      </w:r>
      <w:r w:rsidR="00952EED" w:rsidRPr="00161D64">
        <w:t>occurred</w:t>
      </w:r>
      <w:r w:rsidRPr="00161D64">
        <w:t xml:space="preserve">. Condensed liquid has been collected in a flask while non-condensable gases have been collected in a latex balloon. </w:t>
      </w:r>
      <w:r w:rsidR="00952EED" w:rsidRPr="00161D64">
        <w:t>Once the reaction is over, the remaining solid residues have been collected from the bottom of the reactor. These carbonaceous solids will be referred to as biochar.</w:t>
      </w:r>
    </w:p>
    <w:p w14:paraId="242717A1" w14:textId="0AE3B5EA" w:rsidR="00D31FAA" w:rsidRDefault="00540E58" w:rsidP="00BC0918">
      <w:pPr>
        <w:pStyle w:val="CETBodytext"/>
        <w:rPr>
          <w:noProof/>
        </w:rPr>
      </w:pPr>
      <w:r w:rsidRPr="00161D64">
        <w:rPr>
          <w:noProof/>
        </w:rPr>
        <w:t xml:space="preserve"> </w:t>
      </w:r>
      <w:r w:rsidRPr="00161D64">
        <w:rPr>
          <w:noProof/>
        </w:rPr>
        <w:drawing>
          <wp:inline distT="0" distB="0" distL="0" distR="0" wp14:anchorId="3C74523A" wp14:editId="5583617F">
            <wp:extent cx="1948069" cy="1753262"/>
            <wp:effectExtent l="0" t="0" r="0" b="0"/>
            <wp:docPr id="65" name="Immagine 64">
              <a:extLst xmlns:a="http://schemas.openxmlformats.org/drawingml/2006/main">
                <a:ext uri="{FF2B5EF4-FFF2-40B4-BE49-F238E27FC236}">
                  <a16:creationId xmlns:a16="http://schemas.microsoft.com/office/drawing/2014/main" id="{C22B39A5-BD6D-9744-A918-DDA22A7018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magine 64">
                      <a:extLst>
                        <a:ext uri="{FF2B5EF4-FFF2-40B4-BE49-F238E27FC236}">
                          <a16:creationId xmlns:a16="http://schemas.microsoft.com/office/drawing/2014/main" id="{C22B39A5-BD6D-9744-A918-DDA22A7018CB}"/>
                        </a:ext>
                      </a:extLst>
                    </pic:cNvPr>
                    <pic:cNvPicPr>
                      <a:picLocks noChangeAspect="1"/>
                    </pic:cNvPicPr>
                  </pic:nvPicPr>
                  <pic:blipFill>
                    <a:blip r:embed="rId10"/>
                    <a:stretch>
                      <a:fillRect/>
                    </a:stretch>
                  </pic:blipFill>
                  <pic:spPr>
                    <a:xfrm>
                      <a:off x="0" y="0"/>
                      <a:ext cx="1965483" cy="1768934"/>
                    </a:xfrm>
                    <a:prstGeom prst="rect">
                      <a:avLst/>
                    </a:prstGeom>
                  </pic:spPr>
                </pic:pic>
              </a:graphicData>
            </a:graphic>
          </wp:inline>
        </w:drawing>
      </w:r>
    </w:p>
    <w:p w14:paraId="5CC694FE" w14:textId="494EBCF3" w:rsidR="00540E58" w:rsidRDefault="00540E58" w:rsidP="00BC0918">
      <w:pPr>
        <w:pStyle w:val="CETBodytext"/>
        <w:rPr>
          <w:noProof/>
        </w:rPr>
      </w:pPr>
    </w:p>
    <w:p w14:paraId="6CB38699" w14:textId="15587864" w:rsidR="00540E58" w:rsidRPr="00540E58" w:rsidRDefault="00540E58" w:rsidP="00BC0918">
      <w:pPr>
        <w:pStyle w:val="CETBodytext"/>
        <w:rPr>
          <w:i/>
          <w:iCs/>
        </w:rPr>
      </w:pPr>
      <w:r w:rsidRPr="00540E58">
        <w:rPr>
          <w:i/>
          <w:iCs/>
          <w:noProof/>
        </w:rPr>
        <w:t>Figure 1. Reactor setup for Kraft lignin pyrolysis</w:t>
      </w:r>
    </w:p>
    <w:p w14:paraId="73A5F2C8" w14:textId="09CF72DA" w:rsidR="00D31FAA" w:rsidRDefault="00D31FAA" w:rsidP="00D31FAA">
      <w:pPr>
        <w:pStyle w:val="CETheadingx"/>
      </w:pPr>
      <w:r>
        <w:t>Test procedures</w:t>
      </w:r>
    </w:p>
    <w:p w14:paraId="65BE4BCD" w14:textId="0BE0CD5D" w:rsidR="00D31FAA" w:rsidRDefault="00D31FAA" w:rsidP="00D31FAA">
      <w:pPr>
        <w:pStyle w:val="CETBodytext"/>
      </w:pPr>
      <w:r>
        <w:t xml:space="preserve">In this work, tests have been performed experimenting different temperature ranges in order to understand which is the influence of process conditions on the reaction products. In particular, the first series of </w:t>
      </w:r>
      <w:r w:rsidR="007D170D">
        <w:t>tests</w:t>
      </w:r>
      <w:r>
        <w:t xml:space="preserve"> have been carried out comparing the behavior of KL at isothermal </w:t>
      </w:r>
      <w:r w:rsidR="007D170D">
        <w:t>conditions</w:t>
      </w:r>
      <w:r>
        <w:t xml:space="preserve"> in </w:t>
      </w:r>
      <w:r w:rsidR="001508ED">
        <w:t>the same reactor configuration</w:t>
      </w:r>
      <w:r>
        <w:t xml:space="preserve"> charged with 10 and 5 grams of KL, respectively. This </w:t>
      </w:r>
      <w:r w:rsidR="00FD0B5E">
        <w:t>parameter</w:t>
      </w:r>
      <w:r>
        <w:t xml:space="preserve"> may have a </w:t>
      </w:r>
      <w:r w:rsidR="007D170D">
        <w:t>remarkable</w:t>
      </w:r>
      <w:r>
        <w:t xml:space="preserve"> impact on product yields due to the variation of the encumbrance </w:t>
      </w:r>
      <w:r w:rsidRPr="00E733AF">
        <w:t>of</w:t>
      </w:r>
      <w:r>
        <w:t xml:space="preserve"> the reacted lignin inside the reactor</w:t>
      </w:r>
      <w:r w:rsidR="00FD0B5E">
        <w:t xml:space="preserve"> and possibly </w:t>
      </w:r>
      <w:r w:rsidR="00FD0B5E" w:rsidRPr="007D170D">
        <w:t xml:space="preserve">different </w:t>
      </w:r>
      <w:r w:rsidR="00FB632D" w:rsidRPr="007D170D">
        <w:t>fluid dynamic</w:t>
      </w:r>
      <w:r w:rsidR="00FD0B5E" w:rsidRPr="007D170D">
        <w:t xml:space="preserve"> condition</w:t>
      </w:r>
      <w:r w:rsidR="007D170D" w:rsidRPr="007D170D">
        <w:t>s</w:t>
      </w:r>
      <w:r w:rsidR="00FD0B5E" w:rsidRPr="007D170D">
        <w:t xml:space="preserve"> in terms of contact in between the gas, liquid</w:t>
      </w:r>
      <w:r w:rsidR="007D170D">
        <w:t>,</w:t>
      </w:r>
      <w:r w:rsidR="00FD0B5E" w:rsidRPr="007D170D">
        <w:t xml:space="preserve"> and solid phase</w:t>
      </w:r>
      <w:r w:rsidRPr="007D170D">
        <w:t xml:space="preserve">. These tests have been </w:t>
      </w:r>
      <w:r>
        <w:t>performed at 350, 450</w:t>
      </w:r>
      <w:r w:rsidR="007D170D">
        <w:t>,</w:t>
      </w:r>
      <w:r>
        <w:t xml:space="preserve"> and 550°C and maintained at the set temperature for 3 hours. </w:t>
      </w:r>
    </w:p>
    <w:p w14:paraId="769229AE" w14:textId="6F980E58" w:rsidR="00D31FAA" w:rsidRDefault="00D31FAA" w:rsidP="00D31FAA">
      <w:pPr>
        <w:pStyle w:val="CETBodytext"/>
      </w:pPr>
      <w:r>
        <w:t>Then, a wider range of temperature ha</w:t>
      </w:r>
      <w:r w:rsidR="007D170D">
        <w:t>s</w:t>
      </w:r>
      <w:r>
        <w:t xml:space="preserve"> been investigated in test</w:t>
      </w:r>
      <w:r w:rsidR="001508ED">
        <w:t>s</w:t>
      </w:r>
      <w:r>
        <w:t xml:space="preserve"> carried out starting from 250</w:t>
      </w:r>
      <w:r w:rsidR="00FD0B5E">
        <w:t xml:space="preserve"> °C</w:t>
      </w:r>
      <w:r>
        <w:t xml:space="preserve"> with a progressive increase of temperature up to 550 °C</w:t>
      </w:r>
      <w:r w:rsidR="001508ED">
        <w:t>. The temperatures that have been investigated are 250,</w:t>
      </w:r>
      <w:r w:rsidR="00E733AF">
        <w:t xml:space="preserve"> </w:t>
      </w:r>
      <w:r w:rsidR="001508ED">
        <w:t>300,</w:t>
      </w:r>
      <w:r w:rsidR="00E733AF">
        <w:t xml:space="preserve"> </w:t>
      </w:r>
      <w:r w:rsidR="001508ED">
        <w:t>350,</w:t>
      </w:r>
      <w:r w:rsidR="00E733AF">
        <w:t xml:space="preserve"> </w:t>
      </w:r>
      <w:r w:rsidR="001508ED">
        <w:t>400,</w:t>
      </w:r>
      <w:r w:rsidR="00E733AF">
        <w:t xml:space="preserve"> </w:t>
      </w:r>
      <w:r w:rsidR="001508ED">
        <w:t>450</w:t>
      </w:r>
      <w:r w:rsidR="007D170D">
        <w:t>,</w:t>
      </w:r>
      <w:r w:rsidR="001508ED">
        <w:t xml:space="preserve"> and 550°C. During each step</w:t>
      </w:r>
      <w:r w:rsidR="007D170D">
        <w:t>,</w:t>
      </w:r>
      <w:r w:rsidR="001508ED">
        <w:t xml:space="preserve"> the reaction takes place for 90 minutes allowing two measurements of the gas phase with GC-MS, one every 45 minutes. After the second GC-MS measure, a nitrogen </w:t>
      </w:r>
      <w:r w:rsidR="00FD0B5E">
        <w:t xml:space="preserve">purging </w:t>
      </w:r>
      <w:r w:rsidR="001508ED">
        <w:t xml:space="preserve">has been performed in order to remove all the gas produced. </w:t>
      </w:r>
      <w:r w:rsidR="00FD0B5E">
        <w:t>After gas purging</w:t>
      </w:r>
      <w:r w:rsidR="001508ED">
        <w:t xml:space="preserve">, the temperature has been increased </w:t>
      </w:r>
      <w:r w:rsidR="001508ED">
        <w:lastRenderedPageBreak/>
        <w:t xml:space="preserve">up to the next reaction step. This procedure allowed to perform GC-MS analysis only on the gas produced at the set temperature and to separate its contribution from the gas produced at lower temperatures. </w:t>
      </w:r>
    </w:p>
    <w:p w14:paraId="52B77815" w14:textId="0AB05B22" w:rsidR="001508ED" w:rsidRDefault="001508ED" w:rsidP="00222026">
      <w:pPr>
        <w:pStyle w:val="CETheadingx"/>
      </w:pPr>
      <w:r>
        <w:t>Equipment and characterization procedures</w:t>
      </w:r>
    </w:p>
    <w:p w14:paraId="2AA4CBB2" w14:textId="74A7E5D0" w:rsidR="001508ED" w:rsidRPr="00F52DAF" w:rsidRDefault="003C5E6A" w:rsidP="001508ED">
      <w:pPr>
        <w:pStyle w:val="CETBodytext"/>
      </w:pPr>
      <w:r w:rsidRPr="00F52DAF">
        <w:t>Both</w:t>
      </w:r>
      <w:r w:rsidR="00F52DAF" w:rsidRPr="00F52DAF">
        <w:t xml:space="preserve"> </w:t>
      </w:r>
      <w:r w:rsidRPr="00F52DAF">
        <w:t>reaction products</w:t>
      </w:r>
      <w:r w:rsidR="001508ED" w:rsidRPr="00F52DAF">
        <w:t xml:space="preserve"> (SR, G, L) and fresh lignin have been characterized using Fourier transform infrared spectroscopy (FT-IR) </w:t>
      </w:r>
      <w:r w:rsidRPr="00F52DAF">
        <w:t>using</w:t>
      </w:r>
      <w:r w:rsidR="001508ED" w:rsidRPr="00F52DAF">
        <w:t xml:space="preserve"> a Nicolet 380 instrument (</w:t>
      </w:r>
      <w:proofErr w:type="spellStart"/>
      <w:r w:rsidR="001508ED" w:rsidRPr="00F52DAF">
        <w:t>Thermo</w:t>
      </w:r>
      <w:proofErr w:type="spellEnd"/>
      <w:r w:rsidR="001508ED" w:rsidRPr="00F52DAF">
        <w:t xml:space="preserve"> Scientific, Madison, WA, USA). KBr pressed disks (disk weight 1.000g) have been prepared for the FT-IR analysis of liquid and solid products. Liquids have been </w:t>
      </w:r>
      <w:r w:rsidRPr="00F52DAF">
        <w:t xml:space="preserve">analyzed </w:t>
      </w:r>
      <w:r w:rsidR="001508ED" w:rsidRPr="00F52DAF">
        <w:t>spread</w:t>
      </w:r>
      <w:r w:rsidRPr="00F52DAF">
        <w:t>ing</w:t>
      </w:r>
      <w:r w:rsidR="001508ED" w:rsidRPr="00F52DAF">
        <w:t xml:space="preserve"> on the KBr disk surface while solids have been analyzed using a pressed disk made of samples mixed with the KBr powder (1:100, w/w). </w:t>
      </w:r>
      <w:r w:rsidR="00F52DAF" w:rsidRPr="00F52DAF">
        <w:t>G</w:t>
      </w:r>
      <w:r w:rsidR="001508ED" w:rsidRPr="00F52DAF">
        <w:t xml:space="preserve">aseous products were </w:t>
      </w:r>
      <w:r w:rsidR="00F52DAF" w:rsidRPr="00F52DAF">
        <w:t xml:space="preserve">analyzed by </w:t>
      </w:r>
      <w:r w:rsidR="001508ED" w:rsidRPr="00F52DAF">
        <w:t>forc</w:t>
      </w:r>
      <w:r w:rsidR="00F52DAF" w:rsidRPr="00F52DAF">
        <w:t>ing them</w:t>
      </w:r>
      <w:r w:rsidR="001508ED" w:rsidRPr="00F52DAF">
        <w:t xml:space="preserve"> to </w:t>
      </w:r>
      <w:r w:rsidR="00B719D8" w:rsidRPr="00F52DAF">
        <w:t>flow</w:t>
      </w:r>
      <w:r w:rsidR="001508ED" w:rsidRPr="00F52DAF">
        <w:t xml:space="preserve"> in a </w:t>
      </w:r>
      <w:r w:rsidR="00B719D8" w:rsidRPr="00F52DAF">
        <w:t xml:space="preserve">glass </w:t>
      </w:r>
      <w:r w:rsidR="001508ED" w:rsidRPr="00F52DAF">
        <w:t>IR cell equipped with KBr windows.</w:t>
      </w:r>
    </w:p>
    <w:p w14:paraId="3037DD38" w14:textId="550206F0" w:rsidR="001508ED" w:rsidRPr="001508ED" w:rsidRDefault="001508ED" w:rsidP="001508ED">
      <w:pPr>
        <w:pStyle w:val="CETBodytext"/>
      </w:pPr>
      <w:r w:rsidRPr="00F52DAF">
        <w:t xml:space="preserve">Gas chromatography-mass spectrometer (GC-MS) analysis </w:t>
      </w:r>
      <w:r w:rsidR="007D170D">
        <w:t>was</w:t>
      </w:r>
      <w:r w:rsidRPr="00F52DAF">
        <w:t xml:space="preserve"> performed on liquid and gaseous products using a Focus-ISQ instrument (</w:t>
      </w:r>
      <w:proofErr w:type="spellStart"/>
      <w:r w:rsidRPr="00F52DAF">
        <w:t>Thermo</w:t>
      </w:r>
      <w:proofErr w:type="spellEnd"/>
      <w:r w:rsidRPr="00F52DAF">
        <w:t xml:space="preserve"> Scientific, Milan, Italy). 10</w:t>
      </w:r>
      <w:r w:rsidRPr="00F52DAF">
        <w:rPr>
          <w:vertAlign w:val="superscript"/>
        </w:rPr>
        <w:t>-4</w:t>
      </w:r>
      <w:r w:rsidRPr="00F52DAF">
        <w:t xml:space="preserve"> </w:t>
      </w:r>
      <w:r w:rsidR="00FD0B5E" w:rsidRPr="00F52DAF">
        <w:t>L</w:t>
      </w:r>
      <w:r w:rsidRPr="00F52DAF">
        <w:t xml:space="preserve"> </w:t>
      </w:r>
      <w:r w:rsidR="007D170D">
        <w:t>injections</w:t>
      </w:r>
      <w:r w:rsidRPr="00F52DAF">
        <w:t xml:space="preserve"> have been performed every 45 minutes of the reaction time for the GC-MS quantitative analysis</w:t>
      </w:r>
      <w:r>
        <w:t xml:space="preserve"> of pyrolytic gas. Areas beneath peaks in the chromatogram have been normalized with the </w:t>
      </w:r>
      <w:r w:rsidR="00B719D8">
        <w:t xml:space="preserve">total </w:t>
      </w:r>
      <w:r>
        <w:t xml:space="preserve">area, in order to </w:t>
      </w:r>
      <w:r w:rsidR="005042DA">
        <w:t>obtain a relative abundance parameter (R) showing</w:t>
      </w:r>
      <w:r>
        <w:t xml:space="preserve"> a quantitative measure of the relative amount of the species detected in the sample</w:t>
      </w:r>
      <w:r w:rsidR="005042DA">
        <w:t>.</w:t>
      </w:r>
    </w:p>
    <w:p w14:paraId="39107A0A" w14:textId="7AB3CAD2" w:rsidR="001508ED" w:rsidRDefault="001508ED" w:rsidP="00D31FAA">
      <w:pPr>
        <w:pStyle w:val="CETBodytext"/>
      </w:pPr>
      <w:r>
        <w:t>Using a similar procedure, liquid products have been analyzed diluting the sample in CHCl</w:t>
      </w:r>
      <w:r>
        <w:rPr>
          <w:vertAlign w:val="subscript"/>
        </w:rPr>
        <w:t xml:space="preserve">3 </w:t>
      </w:r>
      <w:r>
        <w:t>(1:10, v/v) and performing a 10</w:t>
      </w:r>
      <w:r>
        <w:rPr>
          <w:vertAlign w:val="superscript"/>
        </w:rPr>
        <w:t>-6</w:t>
      </w:r>
      <w:r>
        <w:t xml:space="preserve"> </w:t>
      </w:r>
      <w:r w:rsidR="00FD0B5E">
        <w:t xml:space="preserve">L </w:t>
      </w:r>
      <w:r>
        <w:t>injection</w:t>
      </w:r>
      <w:r w:rsidRPr="001508ED">
        <w:t xml:space="preserve"> </w:t>
      </w:r>
      <w:r>
        <w:t>in the GC-MS.</w:t>
      </w:r>
    </w:p>
    <w:p w14:paraId="557CD403" w14:textId="30DE6815" w:rsidR="001508ED" w:rsidRDefault="001508ED" w:rsidP="00D31FAA">
      <w:pPr>
        <w:pStyle w:val="CETBodytext"/>
      </w:pPr>
    </w:p>
    <w:p w14:paraId="5D481818" w14:textId="155791FA" w:rsidR="001508ED" w:rsidRDefault="001508ED" w:rsidP="001508ED">
      <w:pPr>
        <w:pStyle w:val="CETHeading1"/>
        <w:rPr>
          <w:lang w:val="en-GB"/>
        </w:rPr>
      </w:pPr>
      <w:r>
        <w:rPr>
          <w:lang w:val="en-GB"/>
        </w:rPr>
        <w:t>Results and discussions</w:t>
      </w:r>
    </w:p>
    <w:p w14:paraId="6370295B" w14:textId="311B9A91" w:rsidR="0058104B" w:rsidRDefault="0058104B" w:rsidP="00540E58">
      <w:pPr>
        <w:pStyle w:val="Paragrafoelenco"/>
        <w:keepNext/>
        <w:tabs>
          <w:tab w:val="clear" w:pos="7100"/>
        </w:tabs>
        <w:spacing w:after="200" w:line="240" w:lineRule="auto"/>
        <w:ind w:left="0"/>
        <w:jc w:val="left"/>
        <w:rPr>
          <w:rFonts w:ascii="Calibri" w:eastAsia="Calibri" w:hAnsi="Calibri"/>
          <w:i/>
          <w:iCs/>
          <w:color w:val="44546A"/>
          <w:szCs w:val="18"/>
          <w:lang w:val="en-US"/>
        </w:rPr>
      </w:pPr>
      <w:r w:rsidRPr="0058104B">
        <w:rPr>
          <w:rFonts w:ascii="Calibri" w:eastAsia="Calibri" w:hAnsi="Calibri"/>
          <w:i/>
          <w:iCs/>
          <w:color w:val="44546A"/>
          <w:szCs w:val="18"/>
          <w:lang w:val="en-US"/>
        </w:rPr>
        <w:t xml:space="preserve">Table </w:t>
      </w:r>
      <w:r w:rsidRPr="0058104B">
        <w:rPr>
          <w:rFonts w:ascii="Calibri" w:eastAsia="Calibri" w:hAnsi="Calibri"/>
          <w:i/>
          <w:iCs/>
          <w:color w:val="44546A"/>
          <w:szCs w:val="18"/>
          <w:lang w:val="it-IT"/>
        </w:rPr>
        <w:fldChar w:fldCharType="begin"/>
      </w:r>
      <w:r w:rsidRPr="0058104B">
        <w:rPr>
          <w:rFonts w:ascii="Calibri" w:eastAsia="Calibri" w:hAnsi="Calibri"/>
          <w:i/>
          <w:iCs/>
          <w:color w:val="44546A"/>
          <w:szCs w:val="18"/>
          <w:lang w:val="en-US"/>
        </w:rPr>
        <w:instrText xml:space="preserve"> SEQ Table \* ARABIC </w:instrText>
      </w:r>
      <w:r w:rsidRPr="0058104B">
        <w:rPr>
          <w:rFonts w:ascii="Calibri" w:eastAsia="Calibri" w:hAnsi="Calibri"/>
          <w:i/>
          <w:iCs/>
          <w:color w:val="44546A"/>
          <w:szCs w:val="18"/>
          <w:lang w:val="it-IT"/>
        </w:rPr>
        <w:fldChar w:fldCharType="separate"/>
      </w:r>
      <w:r w:rsidR="007878F8">
        <w:rPr>
          <w:rFonts w:ascii="Calibri" w:eastAsia="Calibri" w:hAnsi="Calibri"/>
          <w:i/>
          <w:iCs/>
          <w:noProof/>
          <w:color w:val="44546A"/>
          <w:szCs w:val="18"/>
          <w:lang w:val="en-US"/>
        </w:rPr>
        <w:t>1</w:t>
      </w:r>
      <w:r w:rsidRPr="0058104B">
        <w:rPr>
          <w:rFonts w:ascii="Calibri" w:eastAsia="Calibri" w:hAnsi="Calibri"/>
          <w:i/>
          <w:iCs/>
          <w:color w:val="44546A"/>
          <w:szCs w:val="18"/>
          <w:lang w:val="it-IT"/>
        </w:rPr>
        <w:fldChar w:fldCharType="end"/>
      </w:r>
      <w:r w:rsidRPr="0058104B">
        <w:rPr>
          <w:rFonts w:ascii="Calibri" w:eastAsia="Calibri" w:hAnsi="Calibri"/>
          <w:i/>
          <w:iCs/>
          <w:color w:val="44546A"/>
          <w:szCs w:val="18"/>
          <w:lang w:val="en-US"/>
        </w:rPr>
        <w:t>: EDX analysis on Biochar materials.</w:t>
      </w:r>
    </w:p>
    <w:tbl>
      <w:tblPr>
        <w:tblW w:w="699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18"/>
        <w:gridCol w:w="971"/>
        <w:gridCol w:w="2097"/>
        <w:gridCol w:w="826"/>
        <w:gridCol w:w="826"/>
        <w:gridCol w:w="826"/>
        <w:gridCol w:w="826"/>
      </w:tblGrid>
      <w:tr w:rsidR="00B11CFA" w:rsidRPr="00171050" w14:paraId="5AD7ECB7" w14:textId="77777777" w:rsidTr="0085043D">
        <w:trPr>
          <w:trHeight w:val="164"/>
        </w:trPr>
        <w:tc>
          <w:tcPr>
            <w:tcW w:w="618" w:type="dxa"/>
            <w:tcBorders>
              <w:top w:val="single" w:sz="12" w:space="0" w:color="008000"/>
              <w:bottom w:val="single" w:sz="6" w:space="0" w:color="008000"/>
            </w:tcBorders>
            <w:shd w:val="clear" w:color="auto" w:fill="FFFFFF"/>
          </w:tcPr>
          <w:p w14:paraId="7B0148D8" w14:textId="77777777" w:rsidR="00B11CFA" w:rsidRPr="00171050" w:rsidRDefault="00B11CFA" w:rsidP="0085043D">
            <w:pPr>
              <w:rPr>
                <w:lang w:val="it-IT"/>
              </w:rPr>
            </w:pPr>
            <w:r w:rsidRPr="00171050">
              <w:rPr>
                <w:lang w:val="it-IT"/>
              </w:rPr>
              <w:t xml:space="preserve">Name </w:t>
            </w:r>
          </w:p>
        </w:tc>
        <w:tc>
          <w:tcPr>
            <w:tcW w:w="971" w:type="dxa"/>
            <w:tcBorders>
              <w:top w:val="single" w:sz="12" w:space="0" w:color="008000"/>
              <w:bottom w:val="single" w:sz="6" w:space="0" w:color="008000"/>
            </w:tcBorders>
            <w:shd w:val="clear" w:color="auto" w:fill="FFFFFF"/>
          </w:tcPr>
          <w:p w14:paraId="7B5479C8" w14:textId="77777777" w:rsidR="00B11CFA" w:rsidRPr="00171050" w:rsidRDefault="00B11CFA" w:rsidP="0085043D">
            <w:proofErr w:type="spellStart"/>
            <w:r w:rsidRPr="00171050">
              <w:rPr>
                <w:lang w:val="it-IT"/>
              </w:rPr>
              <w:t>Lignin</w:t>
            </w:r>
            <w:proofErr w:type="spellEnd"/>
            <w:r w:rsidRPr="00171050">
              <w:rPr>
                <w:lang w:val="it-IT"/>
              </w:rPr>
              <w:t xml:space="preserve"> </w:t>
            </w:r>
            <w:proofErr w:type="spellStart"/>
            <w:r w:rsidRPr="00171050">
              <w:rPr>
                <w:lang w:val="it-IT"/>
              </w:rPr>
              <w:t>Charge</w:t>
            </w:r>
            <w:proofErr w:type="spellEnd"/>
            <w:r w:rsidRPr="00171050">
              <w:rPr>
                <w:lang w:val="it-IT"/>
              </w:rPr>
              <w:t xml:space="preserve"> [g]</w:t>
            </w:r>
          </w:p>
        </w:tc>
        <w:tc>
          <w:tcPr>
            <w:tcW w:w="2097" w:type="dxa"/>
            <w:tcBorders>
              <w:top w:val="single" w:sz="12" w:space="0" w:color="008000"/>
              <w:bottom w:val="single" w:sz="6" w:space="0" w:color="008000"/>
            </w:tcBorders>
            <w:shd w:val="clear" w:color="auto" w:fill="FFFFFF"/>
          </w:tcPr>
          <w:p w14:paraId="72D0DC79" w14:textId="77777777" w:rsidR="00B11CFA" w:rsidRPr="00171050" w:rsidRDefault="00B11CFA" w:rsidP="0085043D">
            <w:pPr>
              <w:rPr>
                <w:lang w:val="it-IT"/>
              </w:rPr>
            </w:pPr>
            <w:proofErr w:type="spellStart"/>
            <w:r w:rsidRPr="00171050">
              <w:rPr>
                <w:lang w:val="it-IT"/>
              </w:rPr>
              <w:t>Pyrolysis</w:t>
            </w:r>
            <w:proofErr w:type="spellEnd"/>
            <w:r w:rsidRPr="00171050">
              <w:rPr>
                <w:lang w:val="it-IT"/>
              </w:rPr>
              <w:t xml:space="preserve"> temperature </w:t>
            </w:r>
          </w:p>
          <w:p w14:paraId="51A700AC" w14:textId="77777777" w:rsidR="00B11CFA" w:rsidRPr="00171050" w:rsidRDefault="00B11CFA" w:rsidP="0085043D">
            <w:r w:rsidRPr="00171050">
              <w:rPr>
                <w:lang w:val="it-IT"/>
              </w:rPr>
              <w:t>[°C]</w:t>
            </w:r>
          </w:p>
        </w:tc>
        <w:tc>
          <w:tcPr>
            <w:tcW w:w="826" w:type="dxa"/>
            <w:tcBorders>
              <w:top w:val="single" w:sz="12" w:space="0" w:color="008000"/>
              <w:bottom w:val="single" w:sz="6" w:space="0" w:color="008000"/>
            </w:tcBorders>
            <w:shd w:val="clear" w:color="auto" w:fill="FFFFFF"/>
          </w:tcPr>
          <w:p w14:paraId="0ED1A3EC" w14:textId="77777777" w:rsidR="00B11CFA" w:rsidRPr="00171050" w:rsidRDefault="00B11CFA" w:rsidP="0085043D">
            <w:pPr>
              <w:ind w:right="-1"/>
              <w:rPr>
                <w:rFonts w:cs="Arial"/>
                <w:szCs w:val="18"/>
              </w:rPr>
            </w:pPr>
            <w:r w:rsidRPr="00171050">
              <w:rPr>
                <w:lang w:val="it-IT"/>
              </w:rPr>
              <w:t>C</w:t>
            </w:r>
            <w:r>
              <w:rPr>
                <w:lang w:val="it-IT"/>
              </w:rPr>
              <w:t xml:space="preserve"> (</w:t>
            </w:r>
            <w:proofErr w:type="spellStart"/>
            <w:r>
              <w:rPr>
                <w:lang w:val="it-IT"/>
              </w:rPr>
              <w:t>wt</w:t>
            </w:r>
            <w:proofErr w:type="spellEnd"/>
            <w:r>
              <w:rPr>
                <w:lang w:val="it-IT"/>
              </w:rPr>
              <w:t>.%)</w:t>
            </w:r>
          </w:p>
        </w:tc>
        <w:tc>
          <w:tcPr>
            <w:tcW w:w="826" w:type="dxa"/>
            <w:tcBorders>
              <w:top w:val="single" w:sz="12" w:space="0" w:color="008000"/>
              <w:bottom w:val="single" w:sz="6" w:space="0" w:color="008000"/>
            </w:tcBorders>
            <w:shd w:val="clear" w:color="auto" w:fill="FFFFFF"/>
          </w:tcPr>
          <w:p w14:paraId="1B8A5B9E" w14:textId="77777777" w:rsidR="00B11CFA" w:rsidRPr="00171050" w:rsidRDefault="00B11CFA" w:rsidP="0085043D">
            <w:pPr>
              <w:ind w:right="-1"/>
              <w:rPr>
                <w:rFonts w:cs="Arial"/>
                <w:szCs w:val="18"/>
              </w:rPr>
            </w:pPr>
            <w:r w:rsidRPr="00171050">
              <w:rPr>
                <w:lang w:val="it-IT"/>
              </w:rPr>
              <w:t>O</w:t>
            </w:r>
            <w:r>
              <w:rPr>
                <w:lang w:val="it-IT"/>
              </w:rPr>
              <w:t xml:space="preserve"> (</w:t>
            </w:r>
            <w:proofErr w:type="spellStart"/>
            <w:r>
              <w:rPr>
                <w:lang w:val="it-IT"/>
              </w:rPr>
              <w:t>wt</w:t>
            </w:r>
            <w:proofErr w:type="spellEnd"/>
            <w:r>
              <w:rPr>
                <w:lang w:val="it-IT"/>
              </w:rPr>
              <w:t>.%)</w:t>
            </w:r>
          </w:p>
        </w:tc>
        <w:tc>
          <w:tcPr>
            <w:tcW w:w="826" w:type="dxa"/>
            <w:tcBorders>
              <w:top w:val="single" w:sz="12" w:space="0" w:color="008000"/>
              <w:bottom w:val="single" w:sz="6" w:space="0" w:color="008000"/>
            </w:tcBorders>
            <w:shd w:val="clear" w:color="auto" w:fill="FFFFFF"/>
          </w:tcPr>
          <w:p w14:paraId="25E98FCC" w14:textId="77777777" w:rsidR="00B11CFA" w:rsidRPr="00171050" w:rsidRDefault="00B11CFA" w:rsidP="0085043D">
            <w:pPr>
              <w:ind w:right="-1"/>
              <w:rPr>
                <w:rFonts w:cs="Arial"/>
                <w:szCs w:val="18"/>
              </w:rPr>
            </w:pPr>
            <w:r w:rsidRPr="00171050">
              <w:rPr>
                <w:lang w:val="it-IT"/>
              </w:rPr>
              <w:t>Na</w:t>
            </w:r>
            <w:r>
              <w:rPr>
                <w:lang w:val="it-IT"/>
              </w:rPr>
              <w:t xml:space="preserve"> (</w:t>
            </w:r>
            <w:proofErr w:type="spellStart"/>
            <w:r>
              <w:rPr>
                <w:lang w:val="it-IT"/>
              </w:rPr>
              <w:t>wt</w:t>
            </w:r>
            <w:proofErr w:type="spellEnd"/>
            <w:r>
              <w:rPr>
                <w:lang w:val="it-IT"/>
              </w:rPr>
              <w:t>.%)</w:t>
            </w:r>
          </w:p>
        </w:tc>
        <w:tc>
          <w:tcPr>
            <w:tcW w:w="826" w:type="dxa"/>
            <w:tcBorders>
              <w:top w:val="single" w:sz="12" w:space="0" w:color="008000"/>
              <w:bottom w:val="single" w:sz="6" w:space="0" w:color="008000"/>
            </w:tcBorders>
            <w:shd w:val="clear" w:color="auto" w:fill="FFFFFF"/>
          </w:tcPr>
          <w:p w14:paraId="0C3E3EF5" w14:textId="77777777" w:rsidR="00B11CFA" w:rsidRPr="00171050" w:rsidRDefault="00B11CFA" w:rsidP="0085043D">
            <w:pPr>
              <w:ind w:right="-1"/>
              <w:rPr>
                <w:rFonts w:cs="Arial"/>
                <w:szCs w:val="18"/>
              </w:rPr>
            </w:pPr>
            <w:r w:rsidRPr="00171050">
              <w:rPr>
                <w:lang w:val="it-IT"/>
              </w:rPr>
              <w:t>S</w:t>
            </w:r>
            <w:r>
              <w:rPr>
                <w:lang w:val="it-IT"/>
              </w:rPr>
              <w:t xml:space="preserve"> (</w:t>
            </w:r>
            <w:proofErr w:type="spellStart"/>
            <w:r>
              <w:rPr>
                <w:lang w:val="it-IT"/>
              </w:rPr>
              <w:t>wt</w:t>
            </w:r>
            <w:proofErr w:type="spellEnd"/>
            <w:r>
              <w:rPr>
                <w:lang w:val="it-IT"/>
              </w:rPr>
              <w:t>.%)</w:t>
            </w:r>
          </w:p>
        </w:tc>
      </w:tr>
      <w:tr w:rsidR="00B11CFA" w:rsidRPr="00FD0B5E" w14:paraId="6B4B14FD" w14:textId="77777777" w:rsidTr="0085043D">
        <w:trPr>
          <w:trHeight w:val="285"/>
        </w:trPr>
        <w:tc>
          <w:tcPr>
            <w:tcW w:w="618" w:type="dxa"/>
            <w:shd w:val="clear" w:color="auto" w:fill="FFFFFF"/>
          </w:tcPr>
          <w:p w14:paraId="25C0E15B" w14:textId="77777777" w:rsidR="00B11CFA" w:rsidRPr="00FD0B5E" w:rsidRDefault="00B11CFA" w:rsidP="0085043D">
            <w:pPr>
              <w:rPr>
                <w:rFonts w:cs="Arial"/>
                <w:lang w:val="it-IT"/>
              </w:rPr>
            </w:pPr>
            <w:r w:rsidRPr="00FD0B5E">
              <w:rPr>
                <w:rFonts w:cs="Arial"/>
                <w:lang w:val="it-IT"/>
              </w:rPr>
              <w:t>-----</w:t>
            </w:r>
          </w:p>
        </w:tc>
        <w:tc>
          <w:tcPr>
            <w:tcW w:w="971" w:type="dxa"/>
            <w:shd w:val="clear" w:color="auto" w:fill="FFFFFF"/>
          </w:tcPr>
          <w:p w14:paraId="739227C3" w14:textId="77777777" w:rsidR="00B11CFA" w:rsidRPr="006E1F56" w:rsidRDefault="00B11CFA" w:rsidP="0085043D">
            <w:pPr>
              <w:rPr>
                <w:rFonts w:cs="Arial"/>
                <w:lang w:val="it-IT"/>
              </w:rPr>
            </w:pPr>
            <w:r w:rsidRPr="006E1F56">
              <w:rPr>
                <w:rFonts w:cs="Arial"/>
                <w:lang w:val="it-IT"/>
              </w:rPr>
              <w:t>---------</w:t>
            </w:r>
          </w:p>
        </w:tc>
        <w:tc>
          <w:tcPr>
            <w:tcW w:w="2097" w:type="dxa"/>
            <w:shd w:val="clear" w:color="auto" w:fill="FFFFFF"/>
          </w:tcPr>
          <w:p w14:paraId="490C5D86" w14:textId="77777777" w:rsidR="00B11CFA" w:rsidRPr="00FD0B5E" w:rsidRDefault="00B11CFA" w:rsidP="0085043D">
            <w:pPr>
              <w:rPr>
                <w:rFonts w:cs="Arial"/>
                <w:lang w:val="it-IT"/>
              </w:rPr>
            </w:pPr>
            <w:r w:rsidRPr="00B11CFA">
              <w:rPr>
                <w:rFonts w:cs="Arial"/>
                <w:color w:val="000000"/>
                <w:lang w:val="en-US" w:eastAsia="it-IT"/>
              </w:rPr>
              <w:t>Lignin as received</w:t>
            </w:r>
          </w:p>
        </w:tc>
        <w:tc>
          <w:tcPr>
            <w:tcW w:w="826" w:type="dxa"/>
            <w:shd w:val="clear" w:color="auto" w:fill="FFFFFF"/>
            <w:vAlign w:val="center"/>
          </w:tcPr>
          <w:p w14:paraId="7A6CB6EB" w14:textId="5D7D3BD1" w:rsidR="00B11CFA" w:rsidRPr="00FD0B5E" w:rsidRDefault="00B11CFA" w:rsidP="0085043D">
            <w:pPr>
              <w:ind w:right="-1"/>
              <w:jc w:val="center"/>
              <w:rPr>
                <w:rFonts w:cs="Arial"/>
                <w:lang w:val="it-IT"/>
              </w:rPr>
            </w:pPr>
            <w:r w:rsidRPr="00B11CFA">
              <w:rPr>
                <w:rFonts w:cs="Arial"/>
                <w:color w:val="000000"/>
                <w:lang w:val="en-US" w:eastAsia="it-IT"/>
              </w:rPr>
              <w:t>67.</w:t>
            </w:r>
            <w:r>
              <w:rPr>
                <w:rFonts w:cs="Arial"/>
                <w:color w:val="000000"/>
                <w:lang w:val="en-US" w:eastAsia="it-IT"/>
              </w:rPr>
              <w:t>1</w:t>
            </w:r>
          </w:p>
        </w:tc>
        <w:tc>
          <w:tcPr>
            <w:tcW w:w="826" w:type="dxa"/>
            <w:shd w:val="clear" w:color="auto" w:fill="FFFFFF"/>
            <w:vAlign w:val="center"/>
          </w:tcPr>
          <w:p w14:paraId="37B23C06" w14:textId="286CAF4C" w:rsidR="00B11CFA" w:rsidRPr="00FD0B5E" w:rsidRDefault="00B11CFA" w:rsidP="0085043D">
            <w:pPr>
              <w:ind w:right="-1"/>
              <w:jc w:val="center"/>
              <w:rPr>
                <w:rFonts w:cs="Arial"/>
                <w:lang w:val="it-IT"/>
              </w:rPr>
            </w:pPr>
            <w:r w:rsidRPr="00B11CFA">
              <w:rPr>
                <w:rFonts w:cs="Arial"/>
                <w:color w:val="000000"/>
                <w:lang w:val="en-US" w:eastAsia="it-IT"/>
              </w:rPr>
              <w:t>31.6</w:t>
            </w:r>
          </w:p>
        </w:tc>
        <w:tc>
          <w:tcPr>
            <w:tcW w:w="826" w:type="dxa"/>
            <w:shd w:val="clear" w:color="auto" w:fill="FFFFFF"/>
            <w:vAlign w:val="center"/>
          </w:tcPr>
          <w:p w14:paraId="4BB58653" w14:textId="77777777" w:rsidR="00B11CFA" w:rsidRPr="00FD0B5E" w:rsidRDefault="00B11CFA" w:rsidP="0085043D">
            <w:pPr>
              <w:ind w:right="-1"/>
              <w:jc w:val="center"/>
              <w:rPr>
                <w:rFonts w:cs="Arial"/>
                <w:lang w:val="it-IT"/>
              </w:rPr>
            </w:pPr>
            <w:r w:rsidRPr="00B11CFA">
              <w:rPr>
                <w:rFonts w:cs="Arial"/>
                <w:color w:val="000000"/>
                <w:lang w:val="en-US" w:eastAsia="it-IT"/>
              </w:rPr>
              <w:t>0.2</w:t>
            </w:r>
          </w:p>
        </w:tc>
        <w:tc>
          <w:tcPr>
            <w:tcW w:w="826" w:type="dxa"/>
            <w:shd w:val="clear" w:color="auto" w:fill="FFFFFF"/>
            <w:vAlign w:val="center"/>
          </w:tcPr>
          <w:p w14:paraId="0DEEF752" w14:textId="6C8DBF70" w:rsidR="00B11CFA" w:rsidRPr="00FD0B5E" w:rsidRDefault="00B11CFA" w:rsidP="0085043D">
            <w:pPr>
              <w:ind w:right="-1"/>
              <w:jc w:val="center"/>
              <w:rPr>
                <w:rFonts w:cs="Arial"/>
                <w:lang w:val="it-IT"/>
              </w:rPr>
            </w:pPr>
            <w:r w:rsidRPr="00B11CFA">
              <w:rPr>
                <w:rFonts w:cs="Arial"/>
                <w:color w:val="000000"/>
                <w:lang w:val="en-US" w:eastAsia="it-IT"/>
              </w:rPr>
              <w:t>1.1</w:t>
            </w:r>
          </w:p>
        </w:tc>
      </w:tr>
      <w:tr w:rsidR="00B11CFA" w:rsidRPr="00171050" w14:paraId="5F3C3050" w14:textId="77777777" w:rsidTr="0085043D">
        <w:trPr>
          <w:trHeight w:val="285"/>
        </w:trPr>
        <w:tc>
          <w:tcPr>
            <w:tcW w:w="618" w:type="dxa"/>
            <w:shd w:val="clear" w:color="auto" w:fill="FFFFFF"/>
          </w:tcPr>
          <w:p w14:paraId="4F941049" w14:textId="77777777" w:rsidR="00B11CFA" w:rsidRPr="00171050" w:rsidRDefault="00B11CFA" w:rsidP="0085043D">
            <w:pPr>
              <w:rPr>
                <w:lang w:val="it-IT"/>
              </w:rPr>
            </w:pPr>
            <w:r w:rsidRPr="00171050">
              <w:t>A</w:t>
            </w:r>
          </w:p>
        </w:tc>
        <w:tc>
          <w:tcPr>
            <w:tcW w:w="971" w:type="dxa"/>
            <w:shd w:val="clear" w:color="auto" w:fill="FFFFFF"/>
          </w:tcPr>
          <w:p w14:paraId="7E41B1BC" w14:textId="77777777" w:rsidR="00B11CFA" w:rsidRPr="00171050" w:rsidRDefault="00B11CFA" w:rsidP="0085043D">
            <w:r w:rsidRPr="00171050">
              <w:rPr>
                <w:lang w:val="it-IT"/>
              </w:rPr>
              <w:t>10 g</w:t>
            </w:r>
          </w:p>
        </w:tc>
        <w:tc>
          <w:tcPr>
            <w:tcW w:w="2097" w:type="dxa"/>
            <w:shd w:val="clear" w:color="auto" w:fill="FFFFFF"/>
          </w:tcPr>
          <w:p w14:paraId="394C64BF" w14:textId="77777777" w:rsidR="00B11CFA" w:rsidRPr="00171050" w:rsidRDefault="00B11CFA" w:rsidP="0085043D">
            <w:r w:rsidRPr="00171050">
              <w:rPr>
                <w:lang w:val="it-IT"/>
              </w:rPr>
              <w:t>350</w:t>
            </w:r>
          </w:p>
        </w:tc>
        <w:tc>
          <w:tcPr>
            <w:tcW w:w="826" w:type="dxa"/>
            <w:shd w:val="clear" w:color="auto" w:fill="FFFFFF"/>
            <w:vAlign w:val="center"/>
          </w:tcPr>
          <w:p w14:paraId="42C1B925" w14:textId="14F61ACF" w:rsidR="00B11CFA" w:rsidRPr="00721EBC" w:rsidRDefault="00B11CFA" w:rsidP="0085043D">
            <w:pPr>
              <w:ind w:right="-1"/>
              <w:jc w:val="center"/>
              <w:rPr>
                <w:rFonts w:cs="Arial"/>
                <w:szCs w:val="18"/>
              </w:rPr>
            </w:pPr>
            <w:r w:rsidRPr="00721EBC">
              <w:rPr>
                <w:lang w:val="it-IT"/>
              </w:rPr>
              <w:t>74.0</w:t>
            </w:r>
          </w:p>
        </w:tc>
        <w:tc>
          <w:tcPr>
            <w:tcW w:w="826" w:type="dxa"/>
            <w:shd w:val="clear" w:color="auto" w:fill="FFFFFF"/>
            <w:vAlign w:val="center"/>
          </w:tcPr>
          <w:p w14:paraId="1CE89E67" w14:textId="05ECE7B1" w:rsidR="00B11CFA" w:rsidRPr="00721EBC" w:rsidRDefault="00B11CFA" w:rsidP="0085043D">
            <w:pPr>
              <w:ind w:right="-1"/>
              <w:jc w:val="center"/>
              <w:rPr>
                <w:rFonts w:cs="Arial"/>
                <w:szCs w:val="18"/>
              </w:rPr>
            </w:pPr>
            <w:r w:rsidRPr="00721EBC">
              <w:rPr>
                <w:lang w:val="it-IT"/>
              </w:rPr>
              <w:t>24.7</w:t>
            </w:r>
          </w:p>
        </w:tc>
        <w:tc>
          <w:tcPr>
            <w:tcW w:w="826" w:type="dxa"/>
            <w:shd w:val="clear" w:color="auto" w:fill="FFFFFF"/>
            <w:vAlign w:val="center"/>
          </w:tcPr>
          <w:p w14:paraId="2311A6B8" w14:textId="77777777" w:rsidR="00B11CFA" w:rsidRPr="00721EBC" w:rsidRDefault="00B11CFA" w:rsidP="0085043D">
            <w:pPr>
              <w:ind w:right="-1"/>
              <w:jc w:val="center"/>
              <w:rPr>
                <w:rFonts w:cs="Arial"/>
                <w:szCs w:val="18"/>
              </w:rPr>
            </w:pPr>
            <w:r w:rsidRPr="00721EBC">
              <w:rPr>
                <w:lang w:val="it-IT"/>
              </w:rPr>
              <w:t>0.3</w:t>
            </w:r>
          </w:p>
        </w:tc>
        <w:tc>
          <w:tcPr>
            <w:tcW w:w="826" w:type="dxa"/>
            <w:shd w:val="clear" w:color="auto" w:fill="FFFFFF"/>
            <w:vAlign w:val="center"/>
          </w:tcPr>
          <w:p w14:paraId="77359763" w14:textId="6C8132B6" w:rsidR="00B11CFA" w:rsidRPr="00721EBC" w:rsidRDefault="00B11CFA" w:rsidP="0085043D">
            <w:pPr>
              <w:ind w:right="-1"/>
              <w:jc w:val="center"/>
              <w:rPr>
                <w:rFonts w:cs="Arial"/>
                <w:szCs w:val="18"/>
              </w:rPr>
            </w:pPr>
            <w:r w:rsidRPr="00721EBC">
              <w:rPr>
                <w:lang w:val="it-IT"/>
              </w:rPr>
              <w:t>1.0</w:t>
            </w:r>
          </w:p>
        </w:tc>
      </w:tr>
      <w:tr w:rsidR="00B11CFA" w:rsidRPr="00171050" w14:paraId="7779C28D" w14:textId="77777777" w:rsidTr="0085043D">
        <w:trPr>
          <w:trHeight w:val="285"/>
        </w:trPr>
        <w:tc>
          <w:tcPr>
            <w:tcW w:w="618" w:type="dxa"/>
            <w:shd w:val="clear" w:color="auto" w:fill="FFFFFF"/>
          </w:tcPr>
          <w:p w14:paraId="69DB80D9" w14:textId="77777777" w:rsidR="00B11CFA" w:rsidRPr="00171050" w:rsidRDefault="00B11CFA" w:rsidP="0085043D">
            <w:r w:rsidRPr="00171050">
              <w:t>B</w:t>
            </w:r>
          </w:p>
        </w:tc>
        <w:tc>
          <w:tcPr>
            <w:tcW w:w="971" w:type="dxa"/>
            <w:shd w:val="clear" w:color="auto" w:fill="FFFFFF"/>
          </w:tcPr>
          <w:p w14:paraId="24EAE963" w14:textId="77777777" w:rsidR="00B11CFA" w:rsidRPr="00171050" w:rsidRDefault="00B11CFA" w:rsidP="0085043D"/>
        </w:tc>
        <w:tc>
          <w:tcPr>
            <w:tcW w:w="2097" w:type="dxa"/>
            <w:shd w:val="clear" w:color="auto" w:fill="FFFFFF"/>
          </w:tcPr>
          <w:p w14:paraId="63084BA9" w14:textId="77777777" w:rsidR="00B11CFA" w:rsidRPr="00171050" w:rsidRDefault="00B11CFA" w:rsidP="0085043D">
            <w:r w:rsidRPr="00171050">
              <w:rPr>
                <w:lang w:val="it-IT"/>
              </w:rPr>
              <w:t>450</w:t>
            </w:r>
          </w:p>
        </w:tc>
        <w:tc>
          <w:tcPr>
            <w:tcW w:w="826" w:type="dxa"/>
            <w:shd w:val="clear" w:color="auto" w:fill="FFFFFF"/>
            <w:vAlign w:val="center"/>
          </w:tcPr>
          <w:p w14:paraId="504B8449" w14:textId="520347C8" w:rsidR="00B11CFA" w:rsidRPr="00171050" w:rsidRDefault="00B11CFA" w:rsidP="0085043D">
            <w:pPr>
              <w:ind w:right="-1"/>
              <w:jc w:val="center"/>
              <w:rPr>
                <w:rFonts w:cs="Arial"/>
                <w:szCs w:val="18"/>
              </w:rPr>
            </w:pPr>
            <w:r w:rsidRPr="00171050">
              <w:rPr>
                <w:lang w:val="it-IT"/>
              </w:rPr>
              <w:t>76.</w:t>
            </w:r>
            <w:r>
              <w:rPr>
                <w:lang w:val="it-IT"/>
              </w:rPr>
              <w:t>3</w:t>
            </w:r>
          </w:p>
        </w:tc>
        <w:tc>
          <w:tcPr>
            <w:tcW w:w="826" w:type="dxa"/>
            <w:shd w:val="clear" w:color="auto" w:fill="FFFFFF"/>
            <w:vAlign w:val="center"/>
          </w:tcPr>
          <w:p w14:paraId="7C1EC1F4" w14:textId="62E5B133" w:rsidR="00B11CFA" w:rsidRPr="00171050" w:rsidRDefault="00B11CFA" w:rsidP="0085043D">
            <w:pPr>
              <w:ind w:right="-1"/>
              <w:jc w:val="center"/>
              <w:rPr>
                <w:rFonts w:cs="Arial"/>
                <w:szCs w:val="18"/>
              </w:rPr>
            </w:pPr>
            <w:r w:rsidRPr="00171050">
              <w:rPr>
                <w:lang w:val="it-IT"/>
              </w:rPr>
              <w:t>22.0</w:t>
            </w:r>
          </w:p>
        </w:tc>
        <w:tc>
          <w:tcPr>
            <w:tcW w:w="826" w:type="dxa"/>
            <w:shd w:val="clear" w:color="auto" w:fill="FFFFFF"/>
            <w:vAlign w:val="center"/>
          </w:tcPr>
          <w:p w14:paraId="43039AE3" w14:textId="77777777" w:rsidR="00B11CFA" w:rsidRPr="00171050" w:rsidRDefault="00B11CFA" w:rsidP="0085043D">
            <w:pPr>
              <w:ind w:right="-1"/>
              <w:jc w:val="center"/>
              <w:rPr>
                <w:rFonts w:cs="Arial"/>
                <w:szCs w:val="18"/>
              </w:rPr>
            </w:pPr>
            <w:r w:rsidRPr="00171050">
              <w:rPr>
                <w:lang w:val="it-IT"/>
              </w:rPr>
              <w:t>0.5</w:t>
            </w:r>
          </w:p>
        </w:tc>
        <w:tc>
          <w:tcPr>
            <w:tcW w:w="826" w:type="dxa"/>
            <w:shd w:val="clear" w:color="auto" w:fill="FFFFFF"/>
            <w:vAlign w:val="center"/>
          </w:tcPr>
          <w:p w14:paraId="7C59CA02" w14:textId="20CBE0CC" w:rsidR="00B11CFA" w:rsidRPr="00171050" w:rsidRDefault="00B11CFA" w:rsidP="0085043D">
            <w:pPr>
              <w:ind w:right="-1"/>
              <w:jc w:val="center"/>
              <w:rPr>
                <w:rFonts w:cs="Arial"/>
                <w:szCs w:val="18"/>
              </w:rPr>
            </w:pPr>
            <w:r w:rsidRPr="00171050">
              <w:rPr>
                <w:lang w:val="it-IT"/>
              </w:rPr>
              <w:t>1.</w:t>
            </w:r>
            <w:r>
              <w:rPr>
                <w:lang w:val="it-IT"/>
              </w:rPr>
              <w:t>2</w:t>
            </w:r>
          </w:p>
        </w:tc>
      </w:tr>
      <w:tr w:rsidR="00B11CFA" w:rsidRPr="00171050" w14:paraId="3D8EF77B" w14:textId="77777777" w:rsidTr="0085043D">
        <w:trPr>
          <w:trHeight w:val="285"/>
        </w:trPr>
        <w:tc>
          <w:tcPr>
            <w:tcW w:w="618" w:type="dxa"/>
            <w:shd w:val="clear" w:color="auto" w:fill="FFFFFF"/>
          </w:tcPr>
          <w:p w14:paraId="0839F174" w14:textId="77777777" w:rsidR="00B11CFA" w:rsidRPr="00171050" w:rsidRDefault="00B11CFA" w:rsidP="0085043D">
            <w:r w:rsidRPr="00171050">
              <w:t>C</w:t>
            </w:r>
          </w:p>
        </w:tc>
        <w:tc>
          <w:tcPr>
            <w:tcW w:w="971" w:type="dxa"/>
            <w:shd w:val="clear" w:color="auto" w:fill="FFFFFF"/>
          </w:tcPr>
          <w:p w14:paraId="31F0ABD5" w14:textId="77777777" w:rsidR="00B11CFA" w:rsidRPr="00171050" w:rsidRDefault="00B11CFA" w:rsidP="0085043D"/>
        </w:tc>
        <w:tc>
          <w:tcPr>
            <w:tcW w:w="2097" w:type="dxa"/>
            <w:shd w:val="clear" w:color="auto" w:fill="FFFFFF"/>
          </w:tcPr>
          <w:p w14:paraId="78FCE929" w14:textId="77777777" w:rsidR="00B11CFA" w:rsidRPr="00171050" w:rsidRDefault="00B11CFA" w:rsidP="0085043D">
            <w:r w:rsidRPr="00171050">
              <w:rPr>
                <w:lang w:val="it-IT"/>
              </w:rPr>
              <w:t>550</w:t>
            </w:r>
          </w:p>
        </w:tc>
        <w:tc>
          <w:tcPr>
            <w:tcW w:w="826" w:type="dxa"/>
            <w:shd w:val="clear" w:color="auto" w:fill="FFFFFF"/>
            <w:vAlign w:val="center"/>
          </w:tcPr>
          <w:p w14:paraId="1989C17C" w14:textId="487BC1D5" w:rsidR="00B11CFA" w:rsidRPr="00721EBC" w:rsidRDefault="00B11CFA" w:rsidP="0085043D">
            <w:pPr>
              <w:ind w:right="-1"/>
              <w:jc w:val="center"/>
              <w:rPr>
                <w:rFonts w:cs="Arial"/>
                <w:szCs w:val="18"/>
              </w:rPr>
            </w:pPr>
            <w:r w:rsidRPr="00721EBC">
              <w:rPr>
                <w:lang w:val="it-IT"/>
              </w:rPr>
              <w:t>79.0</w:t>
            </w:r>
          </w:p>
        </w:tc>
        <w:tc>
          <w:tcPr>
            <w:tcW w:w="826" w:type="dxa"/>
            <w:shd w:val="clear" w:color="auto" w:fill="FFFFFF"/>
            <w:vAlign w:val="center"/>
          </w:tcPr>
          <w:p w14:paraId="54D061A0" w14:textId="4EC7EC68" w:rsidR="00B11CFA" w:rsidRPr="00721EBC" w:rsidRDefault="00B11CFA" w:rsidP="0085043D">
            <w:pPr>
              <w:ind w:right="-1"/>
              <w:jc w:val="center"/>
              <w:rPr>
                <w:rFonts w:cs="Arial"/>
                <w:szCs w:val="18"/>
              </w:rPr>
            </w:pPr>
            <w:r w:rsidRPr="00721EBC">
              <w:rPr>
                <w:lang w:val="it-IT"/>
              </w:rPr>
              <w:t>19.5</w:t>
            </w:r>
          </w:p>
        </w:tc>
        <w:tc>
          <w:tcPr>
            <w:tcW w:w="826" w:type="dxa"/>
            <w:shd w:val="clear" w:color="auto" w:fill="FFFFFF"/>
            <w:vAlign w:val="center"/>
          </w:tcPr>
          <w:p w14:paraId="593E1E13" w14:textId="66C53E6D" w:rsidR="00B11CFA" w:rsidRPr="00721EBC" w:rsidRDefault="00B11CFA" w:rsidP="0085043D">
            <w:pPr>
              <w:ind w:right="-1"/>
              <w:jc w:val="center"/>
              <w:rPr>
                <w:rFonts w:cs="Arial"/>
                <w:szCs w:val="18"/>
              </w:rPr>
            </w:pPr>
            <w:r w:rsidRPr="00721EBC">
              <w:t>0.5</w:t>
            </w:r>
          </w:p>
        </w:tc>
        <w:tc>
          <w:tcPr>
            <w:tcW w:w="826" w:type="dxa"/>
            <w:shd w:val="clear" w:color="auto" w:fill="FFFFFF"/>
            <w:vAlign w:val="center"/>
          </w:tcPr>
          <w:p w14:paraId="3F14AEC5" w14:textId="5D830245" w:rsidR="00B11CFA" w:rsidRPr="00721EBC" w:rsidRDefault="00B11CFA" w:rsidP="0085043D">
            <w:pPr>
              <w:ind w:right="-1"/>
              <w:jc w:val="center"/>
              <w:rPr>
                <w:rFonts w:cs="Arial"/>
                <w:szCs w:val="18"/>
              </w:rPr>
            </w:pPr>
            <w:r w:rsidRPr="00721EBC">
              <w:rPr>
                <w:lang w:val="it-IT"/>
              </w:rPr>
              <w:t>1.0</w:t>
            </w:r>
          </w:p>
        </w:tc>
      </w:tr>
      <w:tr w:rsidR="00B11CFA" w:rsidRPr="00171050" w14:paraId="4C1F25B5" w14:textId="77777777" w:rsidTr="0085043D">
        <w:trPr>
          <w:trHeight w:val="285"/>
        </w:trPr>
        <w:tc>
          <w:tcPr>
            <w:tcW w:w="618" w:type="dxa"/>
            <w:shd w:val="clear" w:color="auto" w:fill="FFFFFF"/>
          </w:tcPr>
          <w:p w14:paraId="62645BE8" w14:textId="77777777" w:rsidR="00B11CFA" w:rsidRPr="00171050" w:rsidRDefault="00B11CFA" w:rsidP="0085043D">
            <w:pPr>
              <w:rPr>
                <w:lang w:val="it-IT"/>
              </w:rPr>
            </w:pPr>
            <w:r w:rsidRPr="00171050">
              <w:t>D</w:t>
            </w:r>
          </w:p>
        </w:tc>
        <w:tc>
          <w:tcPr>
            <w:tcW w:w="971" w:type="dxa"/>
            <w:shd w:val="clear" w:color="auto" w:fill="FFFFFF"/>
          </w:tcPr>
          <w:p w14:paraId="3F26C2ED" w14:textId="77777777" w:rsidR="00B11CFA" w:rsidRPr="00171050" w:rsidRDefault="00B11CFA" w:rsidP="0085043D">
            <w:r w:rsidRPr="00171050">
              <w:rPr>
                <w:lang w:val="it-IT"/>
              </w:rPr>
              <w:t>5 g</w:t>
            </w:r>
          </w:p>
        </w:tc>
        <w:tc>
          <w:tcPr>
            <w:tcW w:w="2097" w:type="dxa"/>
            <w:shd w:val="clear" w:color="auto" w:fill="FFFFFF"/>
          </w:tcPr>
          <w:p w14:paraId="4D10CA4D" w14:textId="77777777" w:rsidR="00B11CFA" w:rsidRPr="00171050" w:rsidRDefault="00B11CFA" w:rsidP="0085043D">
            <w:r w:rsidRPr="00171050">
              <w:rPr>
                <w:lang w:val="it-IT"/>
              </w:rPr>
              <w:t>350</w:t>
            </w:r>
          </w:p>
        </w:tc>
        <w:tc>
          <w:tcPr>
            <w:tcW w:w="826" w:type="dxa"/>
            <w:shd w:val="clear" w:color="auto" w:fill="FFFFFF"/>
            <w:vAlign w:val="center"/>
          </w:tcPr>
          <w:p w14:paraId="182DBB66" w14:textId="06ED0E21" w:rsidR="00B11CFA" w:rsidRPr="00171050" w:rsidRDefault="00B11CFA" w:rsidP="0085043D">
            <w:pPr>
              <w:ind w:right="-1"/>
              <w:jc w:val="center"/>
              <w:rPr>
                <w:rFonts w:cs="Arial"/>
                <w:szCs w:val="18"/>
              </w:rPr>
            </w:pPr>
            <w:r w:rsidRPr="00171050">
              <w:rPr>
                <w:lang w:val="it-IT"/>
              </w:rPr>
              <w:t>72.</w:t>
            </w:r>
            <w:r>
              <w:rPr>
                <w:lang w:val="it-IT"/>
              </w:rPr>
              <w:t>6</w:t>
            </w:r>
          </w:p>
        </w:tc>
        <w:tc>
          <w:tcPr>
            <w:tcW w:w="826" w:type="dxa"/>
            <w:shd w:val="clear" w:color="auto" w:fill="FFFFFF"/>
            <w:vAlign w:val="center"/>
          </w:tcPr>
          <w:p w14:paraId="2D7B0036" w14:textId="4F43B4B8" w:rsidR="00B11CFA" w:rsidRPr="00171050" w:rsidRDefault="00B11CFA" w:rsidP="0085043D">
            <w:pPr>
              <w:ind w:right="-1"/>
              <w:jc w:val="center"/>
              <w:rPr>
                <w:rFonts w:cs="Arial"/>
                <w:szCs w:val="18"/>
              </w:rPr>
            </w:pPr>
            <w:r w:rsidRPr="00171050">
              <w:rPr>
                <w:lang w:val="it-IT"/>
              </w:rPr>
              <w:t>26.6</w:t>
            </w:r>
          </w:p>
        </w:tc>
        <w:tc>
          <w:tcPr>
            <w:tcW w:w="826" w:type="dxa"/>
            <w:shd w:val="clear" w:color="auto" w:fill="FFFFFF"/>
            <w:vAlign w:val="center"/>
          </w:tcPr>
          <w:p w14:paraId="62C3EE62" w14:textId="77777777" w:rsidR="00B11CFA" w:rsidRPr="00171050" w:rsidRDefault="00B11CFA" w:rsidP="0085043D">
            <w:pPr>
              <w:ind w:right="-1"/>
              <w:jc w:val="center"/>
              <w:rPr>
                <w:rFonts w:cs="Arial"/>
                <w:szCs w:val="18"/>
              </w:rPr>
            </w:pPr>
            <w:r w:rsidRPr="00171050">
              <w:t>0.3</w:t>
            </w:r>
          </w:p>
        </w:tc>
        <w:tc>
          <w:tcPr>
            <w:tcW w:w="826" w:type="dxa"/>
            <w:shd w:val="clear" w:color="auto" w:fill="FFFFFF"/>
            <w:vAlign w:val="center"/>
          </w:tcPr>
          <w:p w14:paraId="119D0C7B" w14:textId="7378E18A" w:rsidR="00B11CFA" w:rsidRPr="00171050" w:rsidRDefault="00B11CFA" w:rsidP="0085043D">
            <w:pPr>
              <w:ind w:right="-1"/>
              <w:jc w:val="center"/>
              <w:rPr>
                <w:rFonts w:cs="Arial"/>
                <w:szCs w:val="18"/>
              </w:rPr>
            </w:pPr>
            <w:r w:rsidRPr="00171050">
              <w:rPr>
                <w:lang w:val="it-IT"/>
              </w:rPr>
              <w:t>0.</w:t>
            </w:r>
            <w:r>
              <w:rPr>
                <w:lang w:val="it-IT"/>
              </w:rPr>
              <w:t>5</w:t>
            </w:r>
          </w:p>
        </w:tc>
      </w:tr>
      <w:tr w:rsidR="00B11CFA" w:rsidRPr="00171050" w14:paraId="32556857" w14:textId="77777777" w:rsidTr="0085043D">
        <w:trPr>
          <w:trHeight w:val="307"/>
        </w:trPr>
        <w:tc>
          <w:tcPr>
            <w:tcW w:w="618" w:type="dxa"/>
            <w:shd w:val="clear" w:color="auto" w:fill="FFFFFF"/>
          </w:tcPr>
          <w:p w14:paraId="50DA8292" w14:textId="77777777" w:rsidR="00B11CFA" w:rsidRPr="00171050" w:rsidRDefault="00B11CFA" w:rsidP="0085043D">
            <w:r w:rsidRPr="00171050">
              <w:t>E</w:t>
            </w:r>
          </w:p>
        </w:tc>
        <w:tc>
          <w:tcPr>
            <w:tcW w:w="971" w:type="dxa"/>
            <w:shd w:val="clear" w:color="auto" w:fill="FFFFFF"/>
          </w:tcPr>
          <w:p w14:paraId="69D00416" w14:textId="77777777" w:rsidR="00B11CFA" w:rsidRPr="00171050" w:rsidRDefault="00B11CFA" w:rsidP="0085043D"/>
        </w:tc>
        <w:tc>
          <w:tcPr>
            <w:tcW w:w="2097" w:type="dxa"/>
            <w:shd w:val="clear" w:color="auto" w:fill="FFFFFF"/>
          </w:tcPr>
          <w:p w14:paraId="6C39B328" w14:textId="77777777" w:rsidR="00B11CFA" w:rsidRPr="00171050" w:rsidRDefault="00B11CFA" w:rsidP="0085043D">
            <w:r w:rsidRPr="00171050">
              <w:rPr>
                <w:lang w:val="it-IT"/>
              </w:rPr>
              <w:t>450</w:t>
            </w:r>
          </w:p>
        </w:tc>
        <w:tc>
          <w:tcPr>
            <w:tcW w:w="826" w:type="dxa"/>
            <w:shd w:val="clear" w:color="auto" w:fill="FFFFFF"/>
            <w:vAlign w:val="center"/>
          </w:tcPr>
          <w:p w14:paraId="7C9AE656" w14:textId="7F715E25" w:rsidR="00B11CFA" w:rsidRPr="00171050" w:rsidRDefault="00B11CFA" w:rsidP="0085043D">
            <w:pPr>
              <w:ind w:right="-1"/>
              <w:jc w:val="center"/>
              <w:rPr>
                <w:rFonts w:cs="Arial"/>
                <w:szCs w:val="18"/>
              </w:rPr>
            </w:pPr>
            <w:r w:rsidRPr="00171050">
              <w:rPr>
                <w:lang w:val="it-IT"/>
              </w:rPr>
              <w:t>81.</w:t>
            </w:r>
            <w:r>
              <w:rPr>
                <w:lang w:val="it-IT"/>
              </w:rPr>
              <w:t>5</w:t>
            </w:r>
          </w:p>
        </w:tc>
        <w:tc>
          <w:tcPr>
            <w:tcW w:w="826" w:type="dxa"/>
            <w:shd w:val="clear" w:color="auto" w:fill="FFFFFF"/>
            <w:vAlign w:val="center"/>
          </w:tcPr>
          <w:p w14:paraId="5D836528" w14:textId="3B35AAC0" w:rsidR="00B11CFA" w:rsidRPr="00171050" w:rsidRDefault="00B11CFA" w:rsidP="0085043D">
            <w:pPr>
              <w:ind w:right="-1"/>
              <w:jc w:val="center"/>
              <w:rPr>
                <w:rFonts w:cs="Arial"/>
                <w:szCs w:val="18"/>
              </w:rPr>
            </w:pPr>
            <w:r w:rsidRPr="00171050">
              <w:rPr>
                <w:lang w:val="it-IT"/>
              </w:rPr>
              <w:t>17,0</w:t>
            </w:r>
          </w:p>
        </w:tc>
        <w:tc>
          <w:tcPr>
            <w:tcW w:w="826" w:type="dxa"/>
            <w:shd w:val="clear" w:color="auto" w:fill="FFFFFF"/>
            <w:vAlign w:val="center"/>
          </w:tcPr>
          <w:p w14:paraId="14CC8960" w14:textId="14E46497" w:rsidR="00B11CFA" w:rsidRPr="00171050" w:rsidRDefault="00B11CFA" w:rsidP="0085043D">
            <w:pPr>
              <w:ind w:right="-1"/>
              <w:jc w:val="center"/>
              <w:rPr>
                <w:rFonts w:cs="Arial"/>
                <w:szCs w:val="18"/>
              </w:rPr>
            </w:pPr>
            <w:r w:rsidRPr="00171050">
              <w:rPr>
                <w:lang w:val="it-IT"/>
              </w:rPr>
              <w:t>0.</w:t>
            </w:r>
            <w:r>
              <w:rPr>
                <w:lang w:val="it-IT"/>
              </w:rPr>
              <w:t>5</w:t>
            </w:r>
          </w:p>
        </w:tc>
        <w:tc>
          <w:tcPr>
            <w:tcW w:w="826" w:type="dxa"/>
            <w:shd w:val="clear" w:color="auto" w:fill="FFFFFF"/>
            <w:vAlign w:val="center"/>
          </w:tcPr>
          <w:p w14:paraId="05BED330" w14:textId="3242A3A9" w:rsidR="00B11CFA" w:rsidRPr="00171050" w:rsidRDefault="00B11CFA" w:rsidP="0085043D">
            <w:pPr>
              <w:ind w:right="-1"/>
              <w:jc w:val="center"/>
              <w:rPr>
                <w:rFonts w:cs="Arial"/>
                <w:szCs w:val="18"/>
              </w:rPr>
            </w:pPr>
            <w:r>
              <w:rPr>
                <w:lang w:val="it-IT"/>
              </w:rPr>
              <w:t>1.0</w:t>
            </w:r>
          </w:p>
        </w:tc>
      </w:tr>
      <w:tr w:rsidR="00B11CFA" w:rsidRPr="00171050" w14:paraId="4047F29C" w14:textId="77777777" w:rsidTr="0085043D">
        <w:trPr>
          <w:trHeight w:val="285"/>
        </w:trPr>
        <w:tc>
          <w:tcPr>
            <w:tcW w:w="618" w:type="dxa"/>
            <w:shd w:val="clear" w:color="auto" w:fill="FFFFFF"/>
          </w:tcPr>
          <w:p w14:paraId="36CB2275" w14:textId="77777777" w:rsidR="00B11CFA" w:rsidRPr="00171050" w:rsidRDefault="00B11CFA" w:rsidP="0085043D">
            <w:r w:rsidRPr="00171050">
              <w:t>F</w:t>
            </w:r>
          </w:p>
        </w:tc>
        <w:tc>
          <w:tcPr>
            <w:tcW w:w="971" w:type="dxa"/>
            <w:shd w:val="clear" w:color="auto" w:fill="FFFFFF"/>
          </w:tcPr>
          <w:p w14:paraId="29F5AE42" w14:textId="77777777" w:rsidR="00B11CFA" w:rsidRPr="00171050" w:rsidRDefault="00B11CFA" w:rsidP="0085043D"/>
        </w:tc>
        <w:tc>
          <w:tcPr>
            <w:tcW w:w="2097" w:type="dxa"/>
            <w:shd w:val="clear" w:color="auto" w:fill="FFFFFF"/>
          </w:tcPr>
          <w:p w14:paraId="512AE5F4" w14:textId="77777777" w:rsidR="00B11CFA" w:rsidRPr="00171050" w:rsidRDefault="00B11CFA" w:rsidP="0085043D">
            <w:r w:rsidRPr="00171050">
              <w:rPr>
                <w:lang w:val="it-IT"/>
              </w:rPr>
              <w:t>550</w:t>
            </w:r>
          </w:p>
        </w:tc>
        <w:tc>
          <w:tcPr>
            <w:tcW w:w="826" w:type="dxa"/>
            <w:shd w:val="clear" w:color="auto" w:fill="FFFFFF"/>
            <w:vAlign w:val="center"/>
          </w:tcPr>
          <w:p w14:paraId="75C4A285" w14:textId="418D62BC" w:rsidR="00B11CFA" w:rsidRPr="00171050" w:rsidRDefault="00B11CFA" w:rsidP="0085043D">
            <w:pPr>
              <w:ind w:right="-1"/>
              <w:jc w:val="center"/>
              <w:rPr>
                <w:rFonts w:cs="Arial"/>
                <w:szCs w:val="18"/>
              </w:rPr>
            </w:pPr>
            <w:r w:rsidRPr="00171050">
              <w:rPr>
                <w:lang w:val="it-IT"/>
              </w:rPr>
              <w:t>89.7</w:t>
            </w:r>
          </w:p>
        </w:tc>
        <w:tc>
          <w:tcPr>
            <w:tcW w:w="826" w:type="dxa"/>
            <w:shd w:val="clear" w:color="auto" w:fill="FFFFFF"/>
            <w:vAlign w:val="center"/>
          </w:tcPr>
          <w:p w14:paraId="139BC334" w14:textId="6811A60E" w:rsidR="00B11CFA" w:rsidRPr="00171050" w:rsidRDefault="00B11CFA" w:rsidP="0085043D">
            <w:pPr>
              <w:ind w:right="-1"/>
              <w:jc w:val="center"/>
              <w:rPr>
                <w:rFonts w:cs="Arial"/>
                <w:szCs w:val="18"/>
              </w:rPr>
            </w:pPr>
            <w:r w:rsidRPr="00171050">
              <w:rPr>
                <w:lang w:val="it-IT"/>
              </w:rPr>
              <w:t>7.</w:t>
            </w:r>
            <w:r>
              <w:rPr>
                <w:lang w:val="it-IT"/>
              </w:rPr>
              <w:t>7</w:t>
            </w:r>
          </w:p>
        </w:tc>
        <w:tc>
          <w:tcPr>
            <w:tcW w:w="826" w:type="dxa"/>
            <w:shd w:val="clear" w:color="auto" w:fill="FFFFFF"/>
            <w:vAlign w:val="center"/>
          </w:tcPr>
          <w:p w14:paraId="599C512B" w14:textId="77777777" w:rsidR="00B11CFA" w:rsidRPr="00171050" w:rsidRDefault="00B11CFA" w:rsidP="0085043D">
            <w:pPr>
              <w:ind w:right="-1"/>
              <w:jc w:val="center"/>
              <w:rPr>
                <w:rFonts w:cs="Arial"/>
                <w:szCs w:val="18"/>
              </w:rPr>
            </w:pPr>
            <w:r w:rsidRPr="00171050">
              <w:rPr>
                <w:lang w:val="it-IT"/>
              </w:rPr>
              <w:t>0.7</w:t>
            </w:r>
          </w:p>
        </w:tc>
        <w:tc>
          <w:tcPr>
            <w:tcW w:w="826" w:type="dxa"/>
            <w:shd w:val="clear" w:color="auto" w:fill="FFFFFF"/>
            <w:vAlign w:val="center"/>
          </w:tcPr>
          <w:p w14:paraId="5CE2D010" w14:textId="081C462C" w:rsidR="00B11CFA" w:rsidRPr="00171050" w:rsidRDefault="00B11CFA" w:rsidP="0085043D">
            <w:pPr>
              <w:ind w:right="-1"/>
              <w:jc w:val="center"/>
              <w:rPr>
                <w:rFonts w:cs="Arial"/>
                <w:szCs w:val="18"/>
              </w:rPr>
            </w:pPr>
            <w:r w:rsidRPr="00171050">
              <w:rPr>
                <w:lang w:val="it-IT"/>
              </w:rPr>
              <w:t>1.9</w:t>
            </w:r>
          </w:p>
        </w:tc>
      </w:tr>
    </w:tbl>
    <w:p w14:paraId="5F4BC42B" w14:textId="77777777" w:rsidR="001508ED" w:rsidRPr="001508ED" w:rsidRDefault="001508ED" w:rsidP="00D31FAA">
      <w:pPr>
        <w:pStyle w:val="CETBodytext"/>
      </w:pPr>
    </w:p>
    <w:p w14:paraId="67B940C2" w14:textId="6B437492" w:rsidR="004A61A5" w:rsidRDefault="005042DA" w:rsidP="00BC0918">
      <w:pPr>
        <w:pStyle w:val="CETBodytext"/>
      </w:pPr>
      <w:r>
        <w:rPr>
          <w:noProof/>
        </w:rPr>
        <w:drawing>
          <wp:inline distT="0" distB="0" distL="0" distR="0" wp14:anchorId="550B81F4" wp14:editId="15DBE733">
            <wp:extent cx="4102728" cy="26319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59650" cy="2668481"/>
                    </a:xfrm>
                    <a:prstGeom prst="rect">
                      <a:avLst/>
                    </a:prstGeom>
                  </pic:spPr>
                </pic:pic>
              </a:graphicData>
            </a:graphic>
          </wp:inline>
        </w:drawing>
      </w:r>
    </w:p>
    <w:p w14:paraId="6928AEF5" w14:textId="0B1F0F30" w:rsidR="0058104B" w:rsidRDefault="0058104B" w:rsidP="0058104B">
      <w:pPr>
        <w:pStyle w:val="CETCaption"/>
        <w:rPr>
          <w:rStyle w:val="CETCaptionCarattere"/>
          <w:i/>
        </w:rPr>
      </w:pPr>
      <w:r w:rsidRPr="00BD077D">
        <w:rPr>
          <w:rStyle w:val="CETCaptionCarattere"/>
          <w:i/>
        </w:rPr>
        <w:t xml:space="preserve">Figure </w:t>
      </w:r>
      <w:r w:rsidR="00221CFE">
        <w:rPr>
          <w:rStyle w:val="CETCaptionCarattere"/>
          <w:i/>
        </w:rPr>
        <w:t>2</w:t>
      </w:r>
      <w:r w:rsidRPr="00BD077D">
        <w:rPr>
          <w:rStyle w:val="CETCaptionCarattere"/>
          <w:i/>
        </w:rPr>
        <w:t>:</w:t>
      </w:r>
      <w:r>
        <w:rPr>
          <w:rStyle w:val="CETCaptionCarattere"/>
          <w:i/>
        </w:rPr>
        <w:t xml:space="preserve"> </w:t>
      </w:r>
      <w:r w:rsidR="00221CFE">
        <w:rPr>
          <w:rStyle w:val="CETCaptionCarattere"/>
          <w:i/>
        </w:rPr>
        <w:t>Pr</w:t>
      </w:r>
      <w:r>
        <w:rPr>
          <w:rStyle w:val="CETCaptionCarattere"/>
          <w:i/>
        </w:rPr>
        <w:t>oduct y</w:t>
      </w:r>
      <w:r w:rsidR="00221CFE">
        <w:rPr>
          <w:rStyle w:val="CETCaptionCarattere"/>
          <w:i/>
        </w:rPr>
        <w:t>i</w:t>
      </w:r>
      <w:r>
        <w:rPr>
          <w:rStyle w:val="CETCaptionCarattere"/>
          <w:i/>
        </w:rPr>
        <w:t>e</w:t>
      </w:r>
      <w:r w:rsidR="00221CFE">
        <w:rPr>
          <w:rStyle w:val="CETCaptionCarattere"/>
          <w:i/>
        </w:rPr>
        <w:t>l</w:t>
      </w:r>
      <w:r>
        <w:rPr>
          <w:rStyle w:val="CETCaptionCarattere"/>
          <w:i/>
        </w:rPr>
        <w:t xml:space="preserve">ds in pyrolysis experiments </w:t>
      </w:r>
    </w:p>
    <w:p w14:paraId="37B962EE" w14:textId="5009D7F7" w:rsidR="00171050" w:rsidRPr="00F52DAF" w:rsidRDefault="0058104B" w:rsidP="0058104B">
      <w:pPr>
        <w:tabs>
          <w:tab w:val="clear" w:pos="7100"/>
        </w:tabs>
        <w:spacing w:line="240" w:lineRule="auto"/>
      </w:pPr>
      <w:r w:rsidRPr="00B63433">
        <w:t xml:space="preserve">In Figure </w:t>
      </w:r>
      <w:r w:rsidR="00B63433" w:rsidRPr="00B63433">
        <w:t>2</w:t>
      </w:r>
      <w:r w:rsidRPr="00B63433">
        <w:t xml:space="preserve"> the</w:t>
      </w:r>
      <w:r>
        <w:t xml:space="preserve"> yields in gas, liquid</w:t>
      </w:r>
      <w:r w:rsidR="007D170D">
        <w:t>,</w:t>
      </w:r>
      <w:r>
        <w:t xml:space="preserve"> and solid products obtained by heating K</w:t>
      </w:r>
      <w:r w:rsidR="005042DA">
        <w:t>L</w:t>
      </w:r>
      <w:r>
        <w:t xml:space="preserve">, as a function of reaction temperature and amount of lignin charged to the reactor, are reported. The amount of liquid and gas products </w:t>
      </w:r>
      <w:r w:rsidR="007D170D">
        <w:t>increases</w:t>
      </w:r>
      <w:r>
        <w:t xml:space="preserve"> significantly both by increasing the reaction temperature, and by decreasing the reactant amount </w:t>
      </w:r>
      <w:r>
        <w:lastRenderedPageBreak/>
        <w:t>charged</w:t>
      </w:r>
      <w:r w:rsidRPr="00F52DAF">
        <w:t xml:space="preserve">. Obviously, the amount of the produced biochar is reduced at higher temperature and when less lignin is treated. In </w:t>
      </w:r>
      <w:r w:rsidR="00FD0B5E" w:rsidRPr="00F52DAF">
        <w:t>T</w:t>
      </w:r>
      <w:r w:rsidRPr="00F52DAF">
        <w:t>able 1</w:t>
      </w:r>
      <w:r w:rsidR="00FD0B5E" w:rsidRPr="00F52DAF">
        <w:t>,</w:t>
      </w:r>
      <w:r w:rsidRPr="00F52DAF">
        <w:t xml:space="preserve"> the carbon and oxygen content in the resulting biochar is reported, as </w:t>
      </w:r>
      <w:proofErr w:type="spellStart"/>
      <w:r w:rsidR="00C605EE">
        <w:t>analyzed</w:t>
      </w:r>
      <w:proofErr w:type="spellEnd"/>
      <w:r w:rsidRPr="00F52DAF">
        <w:t xml:space="preserve"> by EDX for the same experiments. It is evident that pyrolysis results in solid deoxygenation. However, such deoxygenation is definitely more abundant at higher temperatures and with smaller lignin charged on the reactor.</w:t>
      </w:r>
    </w:p>
    <w:p w14:paraId="5E8C7243" w14:textId="7D51A257" w:rsidR="00CC484C" w:rsidRDefault="00CC484C" w:rsidP="00BC0918">
      <w:pPr>
        <w:pStyle w:val="CETBodytext"/>
      </w:pPr>
      <w:r w:rsidRPr="00F52DAF">
        <w:t xml:space="preserve">EDX analysis </w:t>
      </w:r>
      <w:r w:rsidR="00F52DAF" w:rsidRPr="00F52DAF">
        <w:t>can</w:t>
      </w:r>
      <w:r w:rsidRPr="00F52DAF">
        <w:t>not reveal hydrogen</w:t>
      </w:r>
      <w:r w:rsidR="00F52DAF" w:rsidRPr="00F52DAF">
        <w:t xml:space="preserve">: it </w:t>
      </w:r>
      <w:r w:rsidRPr="00F52DAF">
        <w:t xml:space="preserve">shows the presence of small amounts of </w:t>
      </w:r>
      <w:r w:rsidR="00CC6E87" w:rsidRPr="00F52DAF">
        <w:t>sulfur</w:t>
      </w:r>
      <w:r w:rsidRPr="00F52DAF">
        <w:t xml:space="preserve"> and sodium impurities</w:t>
      </w:r>
      <w:r w:rsidR="00CC6E87" w:rsidRPr="00F52DAF">
        <w:t xml:space="preserve"> in the biochar</w:t>
      </w:r>
      <w:r w:rsidRPr="00F52DAF">
        <w:t xml:space="preserve">. The </w:t>
      </w:r>
      <w:r w:rsidR="00FD0B5E" w:rsidRPr="00F52DAF">
        <w:t>wt.</w:t>
      </w:r>
      <w:r w:rsidR="00061C2A" w:rsidRPr="00F52DAF">
        <w:t xml:space="preserve">% </w:t>
      </w:r>
      <w:r w:rsidRPr="00F52DAF">
        <w:t xml:space="preserve">amount of </w:t>
      </w:r>
      <w:r w:rsidR="009C5207" w:rsidRPr="00F52DAF">
        <w:t xml:space="preserve">sodium as expected tends to increase with lignin conversion, due to the likely non-volatility or poor volatility of sodium compounds in this temperature range. The </w:t>
      </w:r>
      <w:r w:rsidR="00FD0B5E" w:rsidRPr="00F52DAF">
        <w:t>wt.</w:t>
      </w:r>
      <w:r w:rsidR="009C5207" w:rsidRPr="00F52DAF">
        <w:t xml:space="preserve">% amount of </w:t>
      </w:r>
      <w:r w:rsidR="00CC6E87" w:rsidRPr="00F52DAF">
        <w:t>sulfur</w:t>
      </w:r>
      <w:r w:rsidRPr="00F52DAF">
        <w:t xml:space="preserve"> in the resulting biochar </w:t>
      </w:r>
      <w:r w:rsidR="009C5207">
        <w:t xml:space="preserve">has a more complex behavior. This suggests that part of </w:t>
      </w:r>
      <w:r w:rsidR="00CC6E87">
        <w:t>sulfur</w:t>
      </w:r>
      <w:r w:rsidR="009C5207">
        <w:t xml:space="preserve"> is released in the liquid and gaseous phases, in particular upon experiments </w:t>
      </w:r>
      <w:r w:rsidR="006F7A37">
        <w:t>D and E, i.e. at 350-450 °C using 5 g of lignin in the reactor.</w:t>
      </w:r>
      <w:r>
        <w:t xml:space="preserve"> </w:t>
      </w:r>
      <w:r w:rsidR="006F7A37">
        <w:t xml:space="preserve">However, part of </w:t>
      </w:r>
      <w:r w:rsidR="00CC6E87">
        <w:t>sulfur</w:t>
      </w:r>
      <w:r w:rsidR="006F7A37">
        <w:t xml:space="preserve"> is certainly strongly retained in the biochar, even after pyrolysis at 550°C.</w:t>
      </w:r>
    </w:p>
    <w:p w14:paraId="0C784B8A" w14:textId="7DF69D29" w:rsidR="001365B5" w:rsidRDefault="001365B5" w:rsidP="00BC0918">
      <w:pPr>
        <w:pStyle w:val="CETBodytext"/>
      </w:pPr>
    </w:p>
    <w:p w14:paraId="78F8184A" w14:textId="60C8CC63" w:rsidR="001365B5" w:rsidRDefault="001365B5" w:rsidP="00BC0918">
      <w:pPr>
        <w:pStyle w:val="CETBodytext"/>
      </w:pPr>
    </w:p>
    <w:p w14:paraId="4A8F999F" w14:textId="19A3AD8A" w:rsidR="001365B5" w:rsidRDefault="008459B7" w:rsidP="00BC0918">
      <w:pPr>
        <w:pStyle w:val="CETBodytext"/>
      </w:pPr>
      <w:r>
        <w:rPr>
          <w:noProof/>
        </w:rPr>
        <w:drawing>
          <wp:inline distT="0" distB="0" distL="0" distR="0" wp14:anchorId="25835279" wp14:editId="689FBCE3">
            <wp:extent cx="4767218" cy="28199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200" cy="2839460"/>
                    </a:xfrm>
                    <a:prstGeom prst="rect">
                      <a:avLst/>
                    </a:prstGeom>
                    <a:noFill/>
                  </pic:spPr>
                </pic:pic>
              </a:graphicData>
            </a:graphic>
          </wp:inline>
        </w:drawing>
      </w:r>
    </w:p>
    <w:p w14:paraId="50ED1DC8" w14:textId="405B564F" w:rsidR="00285290" w:rsidRPr="00BD077D" w:rsidRDefault="00285290" w:rsidP="00285290">
      <w:pPr>
        <w:pStyle w:val="CETCaption"/>
      </w:pPr>
      <w:bookmarkStart w:id="0" w:name="_Hlk93047412"/>
      <w:r w:rsidRPr="00BD077D">
        <w:rPr>
          <w:rStyle w:val="CETCaptionCarattere"/>
          <w:i/>
        </w:rPr>
        <w:t xml:space="preserve">Figure </w:t>
      </w:r>
      <w:r w:rsidR="00221CFE">
        <w:rPr>
          <w:rStyle w:val="CETCaptionCarattere"/>
          <w:i/>
        </w:rPr>
        <w:t>3</w:t>
      </w:r>
      <w:r w:rsidRPr="00BD077D">
        <w:rPr>
          <w:rStyle w:val="CETCaptionCarattere"/>
          <w:i/>
        </w:rPr>
        <w:t>:</w:t>
      </w:r>
      <w:r>
        <w:rPr>
          <w:rStyle w:val="CETCaptionCarattere"/>
          <w:i/>
        </w:rPr>
        <w:t xml:space="preserve"> FT-IR spectra of as-received Kraft lignin and pyrolysis residues (</w:t>
      </w:r>
      <w:proofErr w:type="spellStart"/>
      <w:r>
        <w:rPr>
          <w:rStyle w:val="CETCaptionCarattere"/>
          <w:i/>
        </w:rPr>
        <w:t>biochars</w:t>
      </w:r>
      <w:proofErr w:type="spellEnd"/>
      <w:r>
        <w:rPr>
          <w:rStyle w:val="CETCaptionCarattere"/>
          <w:i/>
        </w:rPr>
        <w:t>).</w:t>
      </w:r>
      <w:r w:rsidRPr="00BD077D">
        <w:t xml:space="preserve"> </w:t>
      </w:r>
    </w:p>
    <w:bookmarkEnd w:id="0"/>
    <w:p w14:paraId="1E8B5A1D" w14:textId="42CF38D3" w:rsidR="001365B5" w:rsidRPr="00285290" w:rsidRDefault="00285290" w:rsidP="00BC0918">
      <w:pPr>
        <w:pStyle w:val="CETBodytext"/>
        <w:rPr>
          <w:lang w:val="en-GB"/>
        </w:rPr>
      </w:pPr>
      <w:r>
        <w:rPr>
          <w:lang w:val="en-GB"/>
        </w:rPr>
        <w:t xml:space="preserve">The FT-IR spectra of the obtained biochar samples are reported in Fig. </w:t>
      </w:r>
      <w:r w:rsidR="00221CFE">
        <w:rPr>
          <w:lang w:val="en-GB"/>
        </w:rPr>
        <w:t>3</w:t>
      </w:r>
      <w:r>
        <w:rPr>
          <w:lang w:val="en-GB"/>
        </w:rPr>
        <w:t>, where they are compared with the spectrum of the as-received Kraft lignin sample. The spectrum of Kraft lignin closely corresponds to that reported in the literature</w:t>
      </w:r>
      <w:r w:rsidR="00554DF7">
        <w:rPr>
          <w:lang w:val="en-GB"/>
        </w:rPr>
        <w:t xml:space="preserve"> (Amit et al., 2021)</w:t>
      </w:r>
      <w:r>
        <w:rPr>
          <w:lang w:val="en-GB"/>
        </w:rPr>
        <w:t>. The absorption bands are those typical of aromatic rings, methoxy groups</w:t>
      </w:r>
      <w:r w:rsidR="00C605EE">
        <w:rPr>
          <w:lang w:val="en-GB"/>
        </w:rPr>
        <w:t>,</w:t>
      </w:r>
      <w:r>
        <w:rPr>
          <w:lang w:val="en-GB"/>
        </w:rPr>
        <w:t xml:space="preserve"> and phenolic compounds</w:t>
      </w:r>
      <w:r w:rsidR="002A70E2">
        <w:rPr>
          <w:lang w:val="en-GB"/>
        </w:rPr>
        <w:t>, as discussed elsewhere (Borella et al., 2022). The spectra of the residues from experiments A to C are essentially the same, although the intensities of the bands are decreased in intensity.</w:t>
      </w:r>
      <w:r w:rsidR="00B71E80">
        <w:rPr>
          <w:lang w:val="en-GB"/>
        </w:rPr>
        <w:t xml:space="preserve"> This is in agreement with the </w:t>
      </w:r>
      <w:r w:rsidR="00FD0B5E">
        <w:rPr>
          <w:lang w:val="en-GB"/>
        </w:rPr>
        <w:t xml:space="preserve">occurred </w:t>
      </w:r>
      <w:r w:rsidR="00B71E80">
        <w:rPr>
          <w:lang w:val="en-GB"/>
        </w:rPr>
        <w:t xml:space="preserve">limited conversion </w:t>
      </w:r>
      <w:r w:rsidR="00FD0B5E">
        <w:rPr>
          <w:lang w:val="en-GB"/>
        </w:rPr>
        <w:t>during</w:t>
      </w:r>
      <w:r w:rsidR="00B71E80">
        <w:rPr>
          <w:lang w:val="en-GB"/>
        </w:rPr>
        <w:t xml:space="preserve"> these experiments.</w:t>
      </w:r>
      <w:r w:rsidR="002A70E2">
        <w:rPr>
          <w:lang w:val="en-GB"/>
        </w:rPr>
        <w:t xml:space="preserve"> In contrast, the spectra of the samples resulting from experiments D to F are much different, showing the quite complete disappearance of the bands. This agrees with the likely formation of carbon-rich matter and the loss of oxygen-containing functional </w:t>
      </w:r>
      <w:r w:rsidR="00C605EE">
        <w:rPr>
          <w:lang w:val="en-GB"/>
        </w:rPr>
        <w:t>groups</w:t>
      </w:r>
      <w:r w:rsidR="002A70E2">
        <w:rPr>
          <w:lang w:val="en-GB"/>
        </w:rPr>
        <w:t>.</w:t>
      </w:r>
    </w:p>
    <w:p w14:paraId="7EA27691" w14:textId="1660E36B" w:rsidR="001365B5" w:rsidRDefault="00394F80" w:rsidP="00BC0918">
      <w:pPr>
        <w:pStyle w:val="CETBodytext"/>
      </w:pPr>
      <w:r>
        <w:t xml:space="preserve">The analysis of liquid products, realized by GC-MS, shows that the most abundant components are those reported in Fig. </w:t>
      </w:r>
      <w:r w:rsidR="00221CFE">
        <w:t>4</w:t>
      </w:r>
      <w:r w:rsidRPr="00394F80">
        <w:t>. In particular, the main peak corresponds to 3 methoxy - 5-methyl-phenol, while strong peaks are also those corresponding to the two isomeric compounds 2-methoxy-phenol (guaiacol) and 4-methoxy-phenol and to 4-ethyl-2-methoxy-phenol. The peaks of these four compounds correspond to more than 65% of all GC spectrum in the liquid obtained by pyrolysis at 450°C</w:t>
      </w:r>
      <w:r>
        <w:t xml:space="preserve"> and 550°C, 5 g (experiments E and F)</w:t>
      </w:r>
      <w:r w:rsidRPr="00394F80">
        <w:t>.</w:t>
      </w:r>
      <w:r w:rsidR="00595440">
        <w:t xml:space="preserve"> In any case, several </w:t>
      </w:r>
      <w:r w:rsidR="00C605EE">
        <w:t>sulfur</w:t>
      </w:r>
      <w:r w:rsidR="00595440">
        <w:t xml:space="preserve"> compounds have been observed in the liquid products, in particular thiols, </w:t>
      </w:r>
      <w:r w:rsidR="00C605EE">
        <w:t>sulfides</w:t>
      </w:r>
      <w:r w:rsidR="00595440">
        <w:t xml:space="preserve"> and </w:t>
      </w:r>
      <w:r w:rsidR="00C605EE">
        <w:t>polysulfides</w:t>
      </w:r>
      <w:r w:rsidR="00595440">
        <w:t>.</w:t>
      </w:r>
    </w:p>
    <w:p w14:paraId="134BE829" w14:textId="77777777" w:rsidR="00595440" w:rsidRDefault="00394F80" w:rsidP="00595440">
      <w:pPr>
        <w:pStyle w:val="CETBodytext"/>
        <w:rPr>
          <w:rStyle w:val="CETCaptionCarattere"/>
        </w:rPr>
      </w:pPr>
      <w:r w:rsidRPr="00427188">
        <w:rPr>
          <w:noProof/>
        </w:rPr>
        <w:drawing>
          <wp:inline distT="0" distB="0" distL="0" distR="0" wp14:anchorId="2D268043" wp14:editId="59A0C244">
            <wp:extent cx="2859706" cy="82873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3785" cy="838606"/>
                    </a:xfrm>
                    <a:prstGeom prst="rect">
                      <a:avLst/>
                    </a:prstGeom>
                  </pic:spPr>
                </pic:pic>
              </a:graphicData>
            </a:graphic>
          </wp:inline>
        </w:drawing>
      </w:r>
    </w:p>
    <w:p w14:paraId="4840B721" w14:textId="746CF7F2" w:rsidR="00394F80" w:rsidRDefault="00394F80" w:rsidP="00595440">
      <w:pPr>
        <w:pStyle w:val="CETBodytext"/>
      </w:pPr>
      <w:r w:rsidRPr="00BD077D">
        <w:rPr>
          <w:rStyle w:val="CETCaptionCarattere"/>
        </w:rPr>
        <w:t xml:space="preserve">Figure </w:t>
      </w:r>
      <w:r w:rsidR="00221CFE">
        <w:rPr>
          <w:rStyle w:val="CETCaptionCarattere"/>
          <w:i w:val="0"/>
        </w:rPr>
        <w:t>4</w:t>
      </w:r>
      <w:r w:rsidRPr="00595440">
        <w:rPr>
          <w:rStyle w:val="CETCaptionCarattere"/>
        </w:rPr>
        <w:t>:</w:t>
      </w:r>
      <w:r w:rsidR="00595440" w:rsidRPr="00595440">
        <w:rPr>
          <w:rStyle w:val="CETCaptionCarattere"/>
        </w:rPr>
        <w:t xml:space="preserve"> </w:t>
      </w:r>
      <w:r w:rsidR="0035642A">
        <w:rPr>
          <w:rStyle w:val="CETCaptionCarattere"/>
        </w:rPr>
        <w:t>Structure</w:t>
      </w:r>
      <w:r w:rsidR="00595440" w:rsidRPr="00595440">
        <w:rPr>
          <w:rStyle w:val="CETCaptionCarattere"/>
        </w:rPr>
        <w:t xml:space="preserve"> of the main components of liquid products.</w:t>
      </w:r>
      <w:r w:rsidR="00595440">
        <w:rPr>
          <w:rStyle w:val="CETCaptionCarattere"/>
          <w:i w:val="0"/>
        </w:rPr>
        <w:t xml:space="preserve"> </w:t>
      </w:r>
      <w:r w:rsidRPr="00BD077D">
        <w:t xml:space="preserve"> </w:t>
      </w:r>
    </w:p>
    <w:p w14:paraId="7C1696B5" w14:textId="77777777" w:rsidR="00677B21" w:rsidRPr="00BD077D" w:rsidRDefault="00677B21" w:rsidP="00595440">
      <w:pPr>
        <w:pStyle w:val="CETBodytext"/>
      </w:pPr>
    </w:p>
    <w:p w14:paraId="69DFBF51" w14:textId="24E7CCE5" w:rsidR="001365B5" w:rsidRPr="00394F80" w:rsidRDefault="007C62D3" w:rsidP="00BC0918">
      <w:pPr>
        <w:pStyle w:val="CETBodytext"/>
        <w:rPr>
          <w:lang w:val="en-GB"/>
        </w:rPr>
      </w:pPr>
      <w:r>
        <w:rPr>
          <w:lang w:val="en-GB"/>
        </w:rPr>
        <w:lastRenderedPageBreak/>
        <w:t xml:space="preserve">The produced gases have been </w:t>
      </w:r>
      <w:proofErr w:type="spellStart"/>
      <w:r w:rsidR="00C605EE">
        <w:rPr>
          <w:lang w:val="en-GB"/>
        </w:rPr>
        <w:t>analyzed</w:t>
      </w:r>
      <w:proofErr w:type="spellEnd"/>
      <w:r>
        <w:rPr>
          <w:lang w:val="en-GB"/>
        </w:rPr>
        <w:t xml:space="preserve"> using </w:t>
      </w:r>
      <w:r w:rsidR="005042DA">
        <w:rPr>
          <w:lang w:val="en-GB"/>
        </w:rPr>
        <w:t>FT-</w:t>
      </w:r>
      <w:r>
        <w:rPr>
          <w:lang w:val="en-GB"/>
        </w:rPr>
        <w:t>IR and GCMS techniques. The main observed products are CO</w:t>
      </w:r>
      <w:r w:rsidRPr="00FC4AEE">
        <w:rPr>
          <w:vertAlign w:val="subscript"/>
          <w:lang w:val="en-GB"/>
        </w:rPr>
        <w:t>2</w:t>
      </w:r>
      <w:r>
        <w:rPr>
          <w:lang w:val="en-GB"/>
        </w:rPr>
        <w:t xml:space="preserve">, CO, methane, ethylene, propylene, and several </w:t>
      </w:r>
      <w:proofErr w:type="spellStart"/>
      <w:r w:rsidR="00C605EE">
        <w:rPr>
          <w:lang w:val="en-GB"/>
        </w:rPr>
        <w:t>sulfur</w:t>
      </w:r>
      <w:proofErr w:type="spellEnd"/>
      <w:r>
        <w:rPr>
          <w:lang w:val="en-GB"/>
        </w:rPr>
        <w:t xml:space="preserve"> compounds, in particular hydrogen </w:t>
      </w:r>
      <w:proofErr w:type="spellStart"/>
      <w:r w:rsidR="00C605EE">
        <w:rPr>
          <w:lang w:val="en-GB"/>
        </w:rPr>
        <w:t>sulfide</w:t>
      </w:r>
      <w:proofErr w:type="spellEnd"/>
      <w:r>
        <w:rPr>
          <w:lang w:val="en-GB"/>
        </w:rPr>
        <w:t xml:space="preserve">, </w:t>
      </w:r>
      <w:r w:rsidR="00FC4AEE">
        <w:rPr>
          <w:lang w:val="en-GB"/>
        </w:rPr>
        <w:t>H</w:t>
      </w:r>
      <w:r w:rsidR="00FC4AEE" w:rsidRPr="00FC4AEE">
        <w:rPr>
          <w:vertAlign w:val="subscript"/>
          <w:lang w:val="en-GB"/>
        </w:rPr>
        <w:t>2</w:t>
      </w:r>
      <w:r w:rsidR="00FC4AEE">
        <w:rPr>
          <w:lang w:val="en-GB"/>
        </w:rPr>
        <w:t xml:space="preserve">S, </w:t>
      </w:r>
      <w:r w:rsidR="005042DA">
        <w:rPr>
          <w:lang w:val="en-GB"/>
        </w:rPr>
        <w:t>methanethiol</w:t>
      </w:r>
      <w:r>
        <w:rPr>
          <w:lang w:val="en-GB"/>
        </w:rPr>
        <w:t xml:space="preserve">, </w:t>
      </w:r>
      <w:r w:rsidR="00FC4AEE">
        <w:rPr>
          <w:lang w:val="en-GB"/>
        </w:rPr>
        <w:t>CH</w:t>
      </w:r>
      <w:r w:rsidR="00FC4AEE" w:rsidRPr="00FC4AEE">
        <w:rPr>
          <w:vertAlign w:val="subscript"/>
          <w:lang w:val="en-GB"/>
        </w:rPr>
        <w:t>3</w:t>
      </w:r>
      <w:r w:rsidR="00FC4AEE">
        <w:rPr>
          <w:lang w:val="en-GB"/>
        </w:rPr>
        <w:t xml:space="preserve">SH, </w:t>
      </w:r>
      <w:r w:rsidR="005042DA">
        <w:rPr>
          <w:lang w:val="en-GB"/>
        </w:rPr>
        <w:t xml:space="preserve">dimethyl </w:t>
      </w:r>
      <w:proofErr w:type="spellStart"/>
      <w:r w:rsidR="00C605EE">
        <w:rPr>
          <w:lang w:val="en-GB"/>
        </w:rPr>
        <w:t>sulfide</w:t>
      </w:r>
      <w:proofErr w:type="spellEnd"/>
      <w:r>
        <w:rPr>
          <w:lang w:val="en-GB"/>
        </w:rPr>
        <w:t xml:space="preserve"> </w:t>
      </w:r>
      <w:r w:rsidR="00FC4AEE">
        <w:rPr>
          <w:lang w:val="en-GB"/>
        </w:rPr>
        <w:t>(CH</w:t>
      </w:r>
      <w:r w:rsidR="00FC4AEE" w:rsidRPr="00FC4AEE">
        <w:rPr>
          <w:vertAlign w:val="subscript"/>
          <w:lang w:val="en-GB"/>
        </w:rPr>
        <w:t>3</w:t>
      </w:r>
      <w:r w:rsidR="00FC4AEE">
        <w:rPr>
          <w:lang w:val="en-GB"/>
        </w:rPr>
        <w:t>)</w:t>
      </w:r>
      <w:r w:rsidR="00FC4AEE" w:rsidRPr="00FC4AEE">
        <w:rPr>
          <w:vertAlign w:val="subscript"/>
          <w:lang w:val="en-GB"/>
        </w:rPr>
        <w:t>2</w:t>
      </w:r>
      <w:r w:rsidR="00FC4AEE">
        <w:rPr>
          <w:lang w:val="en-GB"/>
        </w:rPr>
        <w:t>S</w:t>
      </w:r>
      <w:r w:rsidR="00C605EE">
        <w:rPr>
          <w:lang w:val="en-GB"/>
        </w:rPr>
        <w:t>,</w:t>
      </w:r>
      <w:r w:rsidR="00FC4AEE">
        <w:rPr>
          <w:lang w:val="en-GB"/>
        </w:rPr>
        <w:t xml:space="preserve"> </w:t>
      </w:r>
      <w:r>
        <w:rPr>
          <w:lang w:val="en-GB"/>
        </w:rPr>
        <w:t xml:space="preserve">and carbonyl </w:t>
      </w:r>
      <w:proofErr w:type="spellStart"/>
      <w:r w:rsidR="00C605EE">
        <w:rPr>
          <w:lang w:val="en-GB"/>
        </w:rPr>
        <w:t>sulfide</w:t>
      </w:r>
      <w:proofErr w:type="spellEnd"/>
      <w:r w:rsidR="00FC4AEE">
        <w:rPr>
          <w:lang w:val="en-GB"/>
        </w:rPr>
        <w:t>, COS</w:t>
      </w:r>
      <w:r>
        <w:rPr>
          <w:lang w:val="en-GB"/>
        </w:rPr>
        <w:t xml:space="preserve">. To go deeper </w:t>
      </w:r>
      <w:r w:rsidR="00C605EE">
        <w:rPr>
          <w:lang w:val="en-GB"/>
        </w:rPr>
        <w:t>into</w:t>
      </w:r>
      <w:r>
        <w:rPr>
          <w:lang w:val="en-GB"/>
        </w:rPr>
        <w:t xml:space="preserve"> the </w:t>
      </w:r>
      <w:proofErr w:type="spellStart"/>
      <w:r w:rsidR="0035642A">
        <w:rPr>
          <w:lang w:val="en-GB"/>
        </w:rPr>
        <w:t>behavior</w:t>
      </w:r>
      <w:proofErr w:type="spellEnd"/>
      <w:r>
        <w:rPr>
          <w:lang w:val="en-GB"/>
        </w:rPr>
        <w:t xml:space="preserve"> of </w:t>
      </w:r>
      <w:proofErr w:type="spellStart"/>
      <w:r w:rsidR="00C605EE">
        <w:rPr>
          <w:lang w:val="en-GB"/>
        </w:rPr>
        <w:t>sulfur</w:t>
      </w:r>
      <w:proofErr w:type="spellEnd"/>
      <w:r>
        <w:rPr>
          <w:lang w:val="en-GB"/>
        </w:rPr>
        <w:t xml:space="preserve"> impurities in Kraft lignin,</w:t>
      </w:r>
      <w:r w:rsidR="00C164D4">
        <w:rPr>
          <w:lang w:val="en-GB"/>
        </w:rPr>
        <w:t xml:space="preserve"> sequential pyrolysis experiments have been performed at </w:t>
      </w:r>
      <w:r w:rsidR="00C164D4" w:rsidRPr="00C164D4">
        <w:rPr>
          <w:lang w:val="en-GB"/>
        </w:rPr>
        <w:t>250, 300, 350, 400, 450</w:t>
      </w:r>
      <w:r w:rsidR="00C605EE">
        <w:rPr>
          <w:lang w:val="en-GB"/>
        </w:rPr>
        <w:t>,</w:t>
      </w:r>
      <w:r w:rsidR="00C164D4" w:rsidRPr="00C164D4">
        <w:rPr>
          <w:lang w:val="en-GB"/>
        </w:rPr>
        <w:t xml:space="preserve"> and 550°C</w:t>
      </w:r>
      <w:r w:rsidR="00C164D4">
        <w:rPr>
          <w:lang w:val="en-GB"/>
        </w:rPr>
        <w:t xml:space="preserve">, </w:t>
      </w:r>
      <w:proofErr w:type="spellStart"/>
      <w:r w:rsidR="00C605EE">
        <w:rPr>
          <w:lang w:val="en-GB"/>
        </w:rPr>
        <w:t>analyzing</w:t>
      </w:r>
      <w:proofErr w:type="spellEnd"/>
      <w:r w:rsidR="00C164D4">
        <w:rPr>
          <w:lang w:val="en-GB"/>
        </w:rPr>
        <w:t xml:space="preserve"> the evolved gas in each single step, as reported in the methods section.</w:t>
      </w:r>
    </w:p>
    <w:p w14:paraId="7F904703" w14:textId="5D013214" w:rsidR="001365B5" w:rsidRDefault="001365B5" w:rsidP="00BC0918">
      <w:pPr>
        <w:pStyle w:val="CETBodytext"/>
      </w:pPr>
    </w:p>
    <w:p w14:paraId="11EB0A00" w14:textId="7DAE93BE" w:rsidR="001365B5" w:rsidRDefault="00FC4AEE" w:rsidP="00BC0918">
      <w:pPr>
        <w:pStyle w:val="CETBodytext"/>
      </w:pPr>
      <w:r>
        <w:rPr>
          <w:noProof/>
        </w:rPr>
        <w:drawing>
          <wp:inline distT="0" distB="0" distL="0" distR="0" wp14:anchorId="67FBAECE" wp14:editId="6C75C90B">
            <wp:extent cx="4791370" cy="353176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9955" cy="3538093"/>
                    </a:xfrm>
                    <a:prstGeom prst="rect">
                      <a:avLst/>
                    </a:prstGeom>
                    <a:noFill/>
                  </pic:spPr>
                </pic:pic>
              </a:graphicData>
            </a:graphic>
          </wp:inline>
        </w:drawing>
      </w:r>
    </w:p>
    <w:p w14:paraId="2D66DDD4" w14:textId="480A2589" w:rsidR="00C164D4" w:rsidRDefault="00C164D4" w:rsidP="00BC0918">
      <w:pPr>
        <w:pStyle w:val="CETBodytext"/>
        <w:rPr>
          <w:i/>
          <w:iCs/>
        </w:rPr>
      </w:pPr>
      <w:r w:rsidRPr="00C164D4">
        <w:rPr>
          <w:i/>
          <w:iCs/>
        </w:rPr>
        <w:t xml:space="preserve">Figure </w:t>
      </w:r>
      <w:r w:rsidR="00221CFE">
        <w:rPr>
          <w:i/>
          <w:iCs/>
        </w:rPr>
        <w:t>5</w:t>
      </w:r>
      <w:r w:rsidRPr="00C164D4">
        <w:rPr>
          <w:i/>
          <w:iCs/>
        </w:rPr>
        <w:t xml:space="preserve">. Relative </w:t>
      </w:r>
      <w:r>
        <w:rPr>
          <w:i/>
          <w:iCs/>
        </w:rPr>
        <w:t>abundance</w:t>
      </w:r>
      <w:r w:rsidRPr="00C164D4">
        <w:rPr>
          <w:i/>
          <w:iCs/>
        </w:rPr>
        <w:t xml:space="preserve"> (% of GC area) of </w:t>
      </w:r>
      <w:r w:rsidR="00B66D7F">
        <w:rPr>
          <w:i/>
          <w:iCs/>
        </w:rPr>
        <w:t>sulfur</w:t>
      </w:r>
      <w:r w:rsidRPr="00C164D4">
        <w:rPr>
          <w:i/>
          <w:iCs/>
        </w:rPr>
        <w:t xml:space="preserve"> compounds </w:t>
      </w:r>
      <w:r>
        <w:rPr>
          <w:i/>
          <w:iCs/>
        </w:rPr>
        <w:t>in the gases evolved in seque</w:t>
      </w:r>
      <w:r w:rsidR="00BA5E8A">
        <w:rPr>
          <w:i/>
          <w:iCs/>
        </w:rPr>
        <w:t>nt</w:t>
      </w:r>
      <w:r>
        <w:rPr>
          <w:i/>
          <w:iCs/>
        </w:rPr>
        <w:t>ial pyrolysis experiments.</w:t>
      </w:r>
      <w:r w:rsidR="00BA5E8A">
        <w:rPr>
          <w:i/>
          <w:iCs/>
        </w:rPr>
        <w:t xml:space="preserve"> Deep colors: 5 g. Light colors: 10 g of starting lignin.</w:t>
      </w:r>
    </w:p>
    <w:p w14:paraId="48CF93FC" w14:textId="5E6CFDF1" w:rsidR="00BA5E8A" w:rsidRDefault="00BA5E8A" w:rsidP="00BC0918">
      <w:pPr>
        <w:pStyle w:val="CETBodytext"/>
      </w:pPr>
    </w:p>
    <w:p w14:paraId="1656E6C3" w14:textId="2B897D0C" w:rsidR="00BA5E8A" w:rsidRPr="00BA5E8A" w:rsidRDefault="00BA5E8A" w:rsidP="00BC0836">
      <w:pPr>
        <w:pStyle w:val="CETBodytext"/>
      </w:pPr>
      <w:r>
        <w:t xml:space="preserve">From the data reported in Fig. </w:t>
      </w:r>
      <w:r w:rsidR="00221CFE">
        <w:t>5,</w:t>
      </w:r>
      <w:r>
        <w:t xml:space="preserve"> it results that the different </w:t>
      </w:r>
      <w:r w:rsidR="00B66D7F">
        <w:t>sulfur</w:t>
      </w:r>
      <w:r>
        <w:t xml:space="preserve"> compounds behave in a partially different way. </w:t>
      </w:r>
      <w:r w:rsidR="009B3283">
        <w:t xml:space="preserve">Taking into account the experiments realized with 5 g of starting lignin (deep colors), which correspond to higher lignin conversion, gaseous </w:t>
      </w:r>
      <w:r w:rsidR="00B66D7F">
        <w:t>sulfur</w:t>
      </w:r>
      <w:r w:rsidR="009B3283">
        <w:t xml:space="preserve"> compounds, in particular H</w:t>
      </w:r>
      <w:r w:rsidR="009B3283" w:rsidRPr="009B3283">
        <w:rPr>
          <w:vertAlign w:val="subscript"/>
        </w:rPr>
        <w:t>2</w:t>
      </w:r>
      <w:r w:rsidR="009B3283">
        <w:t>S and CH</w:t>
      </w:r>
      <w:r w:rsidR="009B3283" w:rsidRPr="009B3283">
        <w:rPr>
          <w:vertAlign w:val="subscript"/>
        </w:rPr>
        <w:t>3</w:t>
      </w:r>
      <w:r w:rsidR="009B3283">
        <w:t xml:space="preserve">SH which are the most abundant, are predominantly emitted at the lower temperatures, starting already at 250 °C. Instead, with experiments performed with 10 g of starting lignin, where lignin conversion is lower, </w:t>
      </w:r>
      <w:r>
        <w:t xml:space="preserve">the maximum emission of the </w:t>
      </w:r>
      <w:r w:rsidR="00B66D7F">
        <w:t>sulfur</w:t>
      </w:r>
      <w:r>
        <w:t xml:space="preserve"> compounds is slightly shifted to a higher temperature (mainly 300-350 °C).</w:t>
      </w:r>
      <w:r w:rsidR="00FD0B5E">
        <w:t xml:space="preserve"> This might be related to the fact that upon pyrolysis the expansion of the reaction medium for the evolution of gas and liquids produces a different temperature gradient in the reactor itself, suggesting</w:t>
      </w:r>
      <w:r w:rsidR="00681421">
        <w:t xml:space="preserve"> that pyrolysis reaction might </w:t>
      </w:r>
      <w:r w:rsidR="00C605EE">
        <w:t>occur</w:t>
      </w:r>
      <w:r w:rsidR="00681421">
        <w:t xml:space="preserve"> with a more complex situation far </w:t>
      </w:r>
      <w:r w:rsidR="00C605EE">
        <w:t>from</w:t>
      </w:r>
      <w:r w:rsidR="00681421">
        <w:t xml:space="preserve"> full </w:t>
      </w:r>
      <w:proofErr w:type="spellStart"/>
      <w:r w:rsidR="00681421">
        <w:t>isothermicity</w:t>
      </w:r>
      <w:proofErr w:type="spellEnd"/>
      <w:r w:rsidR="00681421">
        <w:t>.</w:t>
      </w:r>
    </w:p>
    <w:p w14:paraId="0E1D143A" w14:textId="77777777" w:rsidR="00BC0918" w:rsidRDefault="00BC0918" w:rsidP="00600535">
      <w:pPr>
        <w:pStyle w:val="CETBodytext"/>
        <w:rPr>
          <w:lang w:val="en-GB"/>
        </w:rPr>
      </w:pPr>
    </w:p>
    <w:p w14:paraId="68D26B83" w14:textId="77777777" w:rsidR="00600535" w:rsidRPr="00B57B36" w:rsidRDefault="00600535" w:rsidP="00600535">
      <w:pPr>
        <w:pStyle w:val="CETHeading1"/>
        <w:rPr>
          <w:lang w:val="en-GB"/>
        </w:rPr>
      </w:pPr>
      <w:r w:rsidRPr="00B57B36">
        <w:rPr>
          <w:lang w:val="en-GB"/>
        </w:rPr>
        <w:t>Conclusions</w:t>
      </w:r>
    </w:p>
    <w:p w14:paraId="52DAFDE0" w14:textId="6BAC2E14" w:rsidR="001D0CFB" w:rsidRDefault="004475D1" w:rsidP="00600535">
      <w:pPr>
        <w:pStyle w:val="CETBodytext"/>
        <w:rPr>
          <w:lang w:val="en-GB"/>
        </w:rPr>
      </w:pPr>
      <w:r>
        <w:rPr>
          <w:lang w:val="en-GB"/>
        </w:rPr>
        <w:t xml:space="preserve">From the present work, we concluded that experiments realized with 5g starting lignin in our reactor allow higher conversion, probably because the solid matter is better positioned in the heating region of the reactor. The pyrolysis allows </w:t>
      </w:r>
      <w:r w:rsidR="007922AB">
        <w:rPr>
          <w:lang w:val="en-GB"/>
        </w:rPr>
        <w:t xml:space="preserve">very large solid deoxygenation if treated at 550 °C for 3 h. The maximum liquid product yield obtained in our experiments is 28.7 %, with methoxy-, methoxy-methyl- and methoxy-ethyl phenols as the main liquid components. The obtained char in </w:t>
      </w:r>
      <w:r w:rsidR="00EA768B">
        <w:rPr>
          <w:lang w:val="en-GB"/>
        </w:rPr>
        <w:t>these conditions</w:t>
      </w:r>
      <w:r w:rsidR="007922AB">
        <w:rPr>
          <w:lang w:val="en-GB"/>
        </w:rPr>
        <w:t xml:space="preserve"> still retains a limited oxygen content (7.6 %</w:t>
      </w:r>
      <w:r w:rsidR="00EA768B">
        <w:rPr>
          <w:lang w:val="en-GB"/>
        </w:rPr>
        <w:t>) and</w:t>
      </w:r>
      <w:r w:rsidR="007922AB">
        <w:rPr>
          <w:lang w:val="en-GB"/>
        </w:rPr>
        <w:t xml:space="preserve"> appears to be largely carbonized. The </w:t>
      </w:r>
      <w:proofErr w:type="spellStart"/>
      <w:r w:rsidR="00B66D7F">
        <w:rPr>
          <w:lang w:val="en-GB"/>
        </w:rPr>
        <w:t>sulfur</w:t>
      </w:r>
      <w:proofErr w:type="spellEnd"/>
      <w:r w:rsidR="007922AB">
        <w:rPr>
          <w:lang w:val="en-GB"/>
        </w:rPr>
        <w:t xml:space="preserve"> impurities typical of Kraft lignin distribute between gaseous, liquid</w:t>
      </w:r>
      <w:r w:rsidR="0035642A">
        <w:rPr>
          <w:lang w:val="en-GB"/>
        </w:rPr>
        <w:t>,</w:t>
      </w:r>
      <w:r w:rsidR="007922AB">
        <w:rPr>
          <w:lang w:val="en-GB"/>
        </w:rPr>
        <w:t xml:space="preserve"> and solid products. However, it seems that a previous step of treating at </w:t>
      </w:r>
      <w:r w:rsidR="0017524F">
        <w:rPr>
          <w:lang w:val="en-GB"/>
        </w:rPr>
        <w:t xml:space="preserve">250 °C could allow the release in the gas phase of a large part of </w:t>
      </w:r>
      <w:proofErr w:type="spellStart"/>
      <w:r w:rsidR="00B66D7F">
        <w:rPr>
          <w:lang w:val="en-GB"/>
        </w:rPr>
        <w:t>sulfur</w:t>
      </w:r>
      <w:proofErr w:type="spellEnd"/>
      <w:r w:rsidR="0017524F">
        <w:rPr>
          <w:lang w:val="en-GB"/>
        </w:rPr>
        <w:t xml:space="preserve"> as H</w:t>
      </w:r>
      <w:r w:rsidR="0017524F" w:rsidRPr="0017524F">
        <w:rPr>
          <w:vertAlign w:val="subscript"/>
          <w:lang w:val="en-GB"/>
        </w:rPr>
        <w:t>2</w:t>
      </w:r>
      <w:r w:rsidR="0017524F">
        <w:rPr>
          <w:lang w:val="en-GB"/>
        </w:rPr>
        <w:t>S and CH</w:t>
      </w:r>
      <w:r w:rsidR="0017524F" w:rsidRPr="0017524F">
        <w:rPr>
          <w:vertAlign w:val="subscript"/>
          <w:lang w:val="en-GB"/>
        </w:rPr>
        <w:t>3</w:t>
      </w:r>
      <w:r w:rsidR="0017524F">
        <w:rPr>
          <w:lang w:val="en-GB"/>
        </w:rPr>
        <w:t xml:space="preserve">SH. Further experiments are programmed to release </w:t>
      </w:r>
      <w:proofErr w:type="spellStart"/>
      <w:r w:rsidR="00B66D7F">
        <w:rPr>
          <w:lang w:val="en-GB"/>
        </w:rPr>
        <w:t>sulfur</w:t>
      </w:r>
      <w:proofErr w:type="spellEnd"/>
      <w:r w:rsidR="0017524F">
        <w:rPr>
          <w:lang w:val="en-GB"/>
        </w:rPr>
        <w:t xml:space="preserve"> in the gas phase as much as possible in a previous pyrolysis </w:t>
      </w:r>
      <w:r w:rsidR="00EA768B">
        <w:rPr>
          <w:lang w:val="en-GB"/>
        </w:rPr>
        <w:t>pre-treatment</w:t>
      </w:r>
      <w:r w:rsidR="0017524F">
        <w:rPr>
          <w:lang w:val="en-GB"/>
        </w:rPr>
        <w:t xml:space="preserve"> step, and to later increase the liquid yields by a second higher temperature pyrolysis step. </w:t>
      </w:r>
    </w:p>
    <w:p w14:paraId="2F6CBFC3" w14:textId="09DD97B4" w:rsidR="00EA768B" w:rsidRDefault="00EA768B" w:rsidP="00600535">
      <w:pPr>
        <w:pStyle w:val="CETAcknowledgementstitle"/>
      </w:pPr>
    </w:p>
    <w:p w14:paraId="15118B51" w14:textId="2EF78F54" w:rsidR="00B63433" w:rsidRDefault="00B63433" w:rsidP="00B63433">
      <w:pPr>
        <w:pStyle w:val="CETBodytext"/>
        <w:rPr>
          <w:lang w:val="en-GB"/>
        </w:rPr>
      </w:pPr>
    </w:p>
    <w:p w14:paraId="6A424921" w14:textId="77777777" w:rsidR="00B63433" w:rsidRPr="00B63433" w:rsidRDefault="00B63433" w:rsidP="00B63433">
      <w:pPr>
        <w:pStyle w:val="CETBodytext"/>
        <w:rPr>
          <w:lang w:val="en-GB"/>
        </w:rPr>
      </w:pPr>
    </w:p>
    <w:p w14:paraId="1438C797" w14:textId="77777777" w:rsidR="005042DA" w:rsidRPr="00280FAF" w:rsidRDefault="005042DA" w:rsidP="005042DA">
      <w:pPr>
        <w:pStyle w:val="CETHeadingxx"/>
        <w:rPr>
          <w:lang w:val="en-GB"/>
        </w:rPr>
        <w:sectPr w:rsidR="005042DA" w:rsidRPr="00280FAF" w:rsidSect="00B57E6F">
          <w:type w:val="continuous"/>
          <w:pgSz w:w="11906" w:h="16838" w:code="9"/>
          <w:pgMar w:top="1701" w:right="1418" w:bottom="1701" w:left="1701" w:header="1701" w:footer="0" w:gutter="0"/>
          <w:cols w:space="708"/>
          <w:formProt w:val="0"/>
          <w:titlePg/>
          <w:docGrid w:linePitch="360"/>
        </w:sectPr>
      </w:pPr>
      <w:r>
        <w:t>Nomenclature</w:t>
      </w:r>
    </w:p>
    <w:p w14:paraId="614DBA4E" w14:textId="3320ED54" w:rsidR="005042DA" w:rsidRPr="00280FAF" w:rsidRDefault="005042DA" w:rsidP="005042DA">
      <w:pPr>
        <w:pStyle w:val="CETBodytext"/>
        <w:jc w:val="left"/>
        <w:rPr>
          <w:rFonts w:eastAsia="SimSun"/>
        </w:rPr>
      </w:pPr>
      <w:r>
        <w:rPr>
          <w:rFonts w:eastAsia="SimSun"/>
        </w:rPr>
        <w:t>KL</w:t>
      </w:r>
      <w:r w:rsidRPr="00280FAF">
        <w:rPr>
          <w:rFonts w:eastAsia="SimSun"/>
        </w:rPr>
        <w:t>–</w:t>
      </w:r>
      <w:r>
        <w:rPr>
          <w:rFonts w:eastAsia="SimSun"/>
        </w:rPr>
        <w:t xml:space="preserve"> Kraft Lignin</w:t>
      </w:r>
    </w:p>
    <w:p w14:paraId="7DF122FD" w14:textId="77777777" w:rsidR="005042DA" w:rsidRPr="00280FAF" w:rsidRDefault="005042DA" w:rsidP="005042DA">
      <w:pPr>
        <w:pStyle w:val="CETBodytext"/>
        <w:jc w:val="left"/>
        <w:rPr>
          <w:rFonts w:eastAsia="SimSun"/>
        </w:rPr>
        <w:sectPr w:rsidR="005042DA" w:rsidRPr="00280FAF" w:rsidSect="0077098D">
          <w:type w:val="continuous"/>
          <w:pgSz w:w="11906" w:h="16838" w:code="9"/>
          <w:pgMar w:top="1701" w:right="1418" w:bottom="1701" w:left="1701" w:header="1701" w:footer="0" w:gutter="0"/>
          <w:cols w:space="708"/>
          <w:formProt w:val="0"/>
          <w:titlePg/>
          <w:docGrid w:linePitch="360"/>
        </w:sectPr>
      </w:pPr>
    </w:p>
    <w:p w14:paraId="3340A20E" w14:textId="4DB6FE04" w:rsidR="005042DA" w:rsidRDefault="005042DA" w:rsidP="005042DA">
      <w:pPr>
        <w:pStyle w:val="CETBodytext"/>
        <w:jc w:val="left"/>
        <w:rPr>
          <w:rFonts w:eastAsia="SimSun"/>
        </w:rPr>
      </w:pPr>
      <w:r>
        <w:rPr>
          <w:rFonts w:eastAsia="SimSun"/>
        </w:rPr>
        <w:t>G</w:t>
      </w:r>
      <w:r w:rsidRPr="00280FAF">
        <w:rPr>
          <w:rFonts w:eastAsia="SimSun"/>
        </w:rPr>
        <w:t xml:space="preserve"> – </w:t>
      </w:r>
      <w:r>
        <w:rPr>
          <w:rFonts w:eastAsia="SimSun"/>
        </w:rPr>
        <w:t>Pyrolytic gas product</w:t>
      </w:r>
    </w:p>
    <w:p w14:paraId="538B8955" w14:textId="04650046" w:rsidR="005042DA" w:rsidRPr="00280FAF" w:rsidRDefault="005042DA" w:rsidP="005042DA">
      <w:pPr>
        <w:pStyle w:val="CETBodytext"/>
        <w:jc w:val="left"/>
        <w:rPr>
          <w:rFonts w:eastAsia="SimSun"/>
        </w:rPr>
      </w:pPr>
      <w:r>
        <w:rPr>
          <w:rFonts w:eastAsia="SimSun"/>
        </w:rPr>
        <w:t>L</w:t>
      </w:r>
      <w:r w:rsidRPr="00280FAF">
        <w:rPr>
          <w:rFonts w:eastAsia="SimSun"/>
        </w:rPr>
        <w:t xml:space="preserve"> – </w:t>
      </w:r>
      <w:r>
        <w:rPr>
          <w:rFonts w:eastAsia="SimSun"/>
        </w:rPr>
        <w:t>Pyrolytic liquid product</w:t>
      </w:r>
    </w:p>
    <w:p w14:paraId="2B2052CE" w14:textId="0F170369" w:rsidR="005042DA" w:rsidRDefault="005042DA" w:rsidP="005042DA">
      <w:pPr>
        <w:pStyle w:val="CETBodytext"/>
        <w:jc w:val="left"/>
        <w:rPr>
          <w:rFonts w:eastAsia="SimSun"/>
        </w:rPr>
      </w:pPr>
      <w:r>
        <w:rPr>
          <w:rFonts w:eastAsia="SimSun"/>
        </w:rPr>
        <w:t>SR- Solid residue product</w:t>
      </w:r>
    </w:p>
    <w:p w14:paraId="00EA8114" w14:textId="2C667BD1" w:rsidR="005042DA" w:rsidRPr="00280FAF" w:rsidRDefault="005042DA" w:rsidP="005042DA">
      <w:pPr>
        <w:pStyle w:val="CETBodytext"/>
        <w:jc w:val="left"/>
        <w:rPr>
          <w:rFonts w:eastAsia="SimSun"/>
        </w:rPr>
      </w:pPr>
      <w:r>
        <w:rPr>
          <w:rFonts w:eastAsia="SimSun"/>
        </w:rPr>
        <w:t xml:space="preserve">GC-MS- </w:t>
      </w:r>
      <w:r>
        <w:t>G</w:t>
      </w:r>
      <w:r w:rsidRPr="000650D1">
        <w:t>as chromatography–mass spectrometer</w:t>
      </w:r>
    </w:p>
    <w:p w14:paraId="121562E9" w14:textId="2DC8E572" w:rsidR="005042DA" w:rsidRPr="00280FAF" w:rsidRDefault="005042DA" w:rsidP="005042DA">
      <w:pPr>
        <w:pStyle w:val="CETBodytext"/>
        <w:jc w:val="left"/>
        <w:rPr>
          <w:rFonts w:eastAsia="SimSun"/>
        </w:rPr>
      </w:pPr>
      <w:r>
        <w:rPr>
          <w:rFonts w:eastAsia="SimSun"/>
        </w:rPr>
        <w:t>FT-IR</w:t>
      </w:r>
      <w:r w:rsidRPr="00280FAF">
        <w:rPr>
          <w:rFonts w:eastAsia="SimSun"/>
        </w:rPr>
        <w:t xml:space="preserve"> – </w:t>
      </w:r>
      <w:r w:rsidRPr="001508ED">
        <w:t>Fourier transform infrared spectroscopy</w:t>
      </w:r>
    </w:p>
    <w:p w14:paraId="59802F5A" w14:textId="59475910" w:rsidR="005042DA" w:rsidRPr="00280FAF" w:rsidRDefault="005042DA" w:rsidP="005042DA">
      <w:pPr>
        <w:pStyle w:val="CETBodytext"/>
        <w:jc w:val="left"/>
        <w:rPr>
          <w:rFonts w:eastAsia="SimSun"/>
        </w:rPr>
      </w:pPr>
      <w:r>
        <w:rPr>
          <w:rFonts w:eastAsia="SimSun"/>
        </w:rPr>
        <w:t>SEM</w:t>
      </w:r>
      <w:r w:rsidRPr="00280FAF">
        <w:rPr>
          <w:rFonts w:eastAsia="SimSun"/>
        </w:rPr>
        <w:t xml:space="preserve">– </w:t>
      </w:r>
      <w:r>
        <w:rPr>
          <w:rFonts w:eastAsia="SimSun"/>
        </w:rPr>
        <w:t>Scanning electron microscopy</w:t>
      </w:r>
    </w:p>
    <w:p w14:paraId="25A57E11" w14:textId="060B07A1" w:rsidR="005042DA" w:rsidRPr="00280FAF" w:rsidRDefault="005042DA" w:rsidP="005042DA">
      <w:pPr>
        <w:pStyle w:val="CETBodytext"/>
        <w:jc w:val="left"/>
        <w:rPr>
          <w:rFonts w:eastAsia="SimSun"/>
        </w:rPr>
      </w:pPr>
      <w:r>
        <w:rPr>
          <w:rFonts w:eastAsia="SimSun"/>
        </w:rPr>
        <w:t>EDX</w:t>
      </w:r>
      <w:r w:rsidRPr="00280FAF">
        <w:rPr>
          <w:rFonts w:eastAsia="SimSun"/>
        </w:rPr>
        <w:t xml:space="preserve"> – </w:t>
      </w:r>
      <w:r>
        <w:t>Energy-dispersive X ray spectroscopy</w:t>
      </w:r>
    </w:p>
    <w:p w14:paraId="58E21B01" w14:textId="30728EBF" w:rsidR="005042DA" w:rsidRPr="00B63433" w:rsidRDefault="005042DA" w:rsidP="005042DA">
      <w:pPr>
        <w:pStyle w:val="CETBodytext"/>
        <w:jc w:val="left"/>
        <w:rPr>
          <w:rFonts w:eastAsia="SimSun"/>
        </w:rPr>
      </w:pPr>
      <w:r>
        <w:rPr>
          <w:rFonts w:eastAsia="SimSun"/>
        </w:rPr>
        <w:t xml:space="preserve">R </w:t>
      </w:r>
      <w:r w:rsidRPr="00280FAF">
        <w:rPr>
          <w:rFonts w:eastAsia="SimSun"/>
        </w:rPr>
        <w:t xml:space="preserve">– </w:t>
      </w:r>
      <w:r>
        <w:rPr>
          <w:rFonts w:eastAsia="SimSun"/>
        </w:rPr>
        <w:t>Relative abundance</w:t>
      </w:r>
      <w:r w:rsidRPr="00B63433">
        <w:rPr>
          <w:rFonts w:eastAsia="SimSun"/>
        </w:rPr>
        <w:t xml:space="preserve"> parameter</w:t>
      </w:r>
    </w:p>
    <w:p w14:paraId="459D05E6" w14:textId="05C304FB" w:rsidR="00600535" w:rsidRPr="00B57B36" w:rsidRDefault="00600535" w:rsidP="00600535">
      <w:pPr>
        <w:pStyle w:val="CETAcknowledgementstitle"/>
      </w:pPr>
      <w:r w:rsidRPr="00B57B36">
        <w:t>Acknowledgments</w:t>
      </w:r>
    </w:p>
    <w:p w14:paraId="33F8138F" w14:textId="412EA9CE" w:rsidR="00600535" w:rsidRPr="00B57B36" w:rsidRDefault="00706AEB" w:rsidP="00600535">
      <w:pPr>
        <w:pStyle w:val="CETBodytext"/>
        <w:rPr>
          <w:lang w:val="en-GB"/>
        </w:rPr>
      </w:pPr>
      <w:r>
        <w:rPr>
          <w:lang w:val="en-GB"/>
        </w:rPr>
        <w:t xml:space="preserve">The </w:t>
      </w:r>
      <w:proofErr w:type="spellStart"/>
      <w:r w:rsidR="004475D1">
        <w:rPr>
          <w:lang w:val="en-GB"/>
        </w:rPr>
        <w:t>S</w:t>
      </w:r>
      <w:r>
        <w:rPr>
          <w:lang w:val="en-GB"/>
        </w:rPr>
        <w:t>toraEnso</w:t>
      </w:r>
      <w:proofErr w:type="spellEnd"/>
      <w:r>
        <w:rPr>
          <w:lang w:val="en-GB"/>
        </w:rPr>
        <w:t xml:space="preserve"> company is acknowledged f</w:t>
      </w:r>
      <w:r w:rsidR="004475D1">
        <w:rPr>
          <w:lang w:val="en-GB"/>
        </w:rPr>
        <w:t>or</w:t>
      </w:r>
      <w:r>
        <w:rPr>
          <w:lang w:val="en-GB"/>
        </w:rPr>
        <w:t xml:space="preserve"> supplying lignin samples</w:t>
      </w:r>
      <w:r w:rsidR="00600535" w:rsidRPr="00B57B36">
        <w:rPr>
          <w:lang w:val="en-GB"/>
        </w:rPr>
        <w:t>.</w:t>
      </w:r>
    </w:p>
    <w:p w14:paraId="4F1327F8" w14:textId="77777777" w:rsidR="00600535" w:rsidRPr="00B57B36" w:rsidRDefault="00600535" w:rsidP="00600535">
      <w:pPr>
        <w:pStyle w:val="CETReference"/>
      </w:pPr>
      <w:r w:rsidRPr="00B57B36">
        <w:t>References</w:t>
      </w:r>
    </w:p>
    <w:p w14:paraId="1B7FF298" w14:textId="1EC577DD" w:rsidR="002960A0" w:rsidRDefault="00BE7603" w:rsidP="00600535">
      <w:pPr>
        <w:pStyle w:val="CETReferencetext"/>
      </w:pPr>
      <w:r w:rsidRPr="00BE7603">
        <w:t xml:space="preserve">Amit T.A., Roy R., </w:t>
      </w:r>
      <w:proofErr w:type="spellStart"/>
      <w:r w:rsidRPr="00BE7603">
        <w:t>Raynie</w:t>
      </w:r>
      <w:proofErr w:type="spellEnd"/>
      <w:r w:rsidRPr="00BE7603">
        <w:t xml:space="preserve"> D.E., 2021</w:t>
      </w:r>
      <w:r>
        <w:t xml:space="preserve">, </w:t>
      </w:r>
      <w:r w:rsidRPr="00BE7603">
        <w:t xml:space="preserve">Thermal and structural characterization of two commercially available technical </w:t>
      </w:r>
      <w:proofErr w:type="spellStart"/>
      <w:r w:rsidRPr="00BE7603">
        <w:t>lignins</w:t>
      </w:r>
      <w:proofErr w:type="spellEnd"/>
      <w:r w:rsidRPr="00BE7603">
        <w:t xml:space="preserve"> for potential depolymerization via hydrothermal liquefaction, </w:t>
      </w:r>
      <w:proofErr w:type="spellStart"/>
      <w:r w:rsidRPr="00BE7603">
        <w:t>Curr</w:t>
      </w:r>
      <w:proofErr w:type="spellEnd"/>
      <w:r w:rsidRPr="00BE7603">
        <w:t>. Res. Green Sust. Chem. 4, 100106</w:t>
      </w:r>
      <w:r>
        <w:t>.</w:t>
      </w:r>
    </w:p>
    <w:p w14:paraId="18041015" w14:textId="50DCE5AB" w:rsidR="002960A0" w:rsidRPr="002960A0" w:rsidRDefault="002960A0" w:rsidP="002960A0">
      <w:pPr>
        <w:pStyle w:val="CETReferencetext"/>
      </w:pPr>
      <w:r w:rsidRPr="002960A0">
        <w:t xml:space="preserve">Borella M., Casazza A.A., </w:t>
      </w:r>
      <w:proofErr w:type="spellStart"/>
      <w:r w:rsidRPr="002960A0">
        <w:t>Garbarino</w:t>
      </w:r>
      <w:proofErr w:type="spellEnd"/>
      <w:r>
        <w:t xml:space="preserve"> G.</w:t>
      </w:r>
      <w:r w:rsidRPr="002960A0">
        <w:t xml:space="preserve">, </w:t>
      </w:r>
      <w:proofErr w:type="spellStart"/>
      <w:r w:rsidRPr="002960A0">
        <w:t>Riani</w:t>
      </w:r>
      <w:proofErr w:type="spellEnd"/>
      <w:r>
        <w:t xml:space="preserve"> P., </w:t>
      </w:r>
      <w:proofErr w:type="spellStart"/>
      <w:r w:rsidRPr="002960A0">
        <w:t>Busca</w:t>
      </w:r>
      <w:proofErr w:type="spellEnd"/>
      <w:r>
        <w:t xml:space="preserve"> G., 2022,</w:t>
      </w:r>
      <w:r w:rsidRPr="002960A0">
        <w:t xml:space="preserve"> A study of pyrolysis products of Kraft lignin</w:t>
      </w:r>
      <w:r>
        <w:t>, Energies, in press</w:t>
      </w:r>
    </w:p>
    <w:p w14:paraId="14DAAAAE" w14:textId="0833A2DD" w:rsidR="00B11FA5" w:rsidRDefault="00B11FA5" w:rsidP="00B11FA5">
      <w:pPr>
        <w:pStyle w:val="CETReferencetext"/>
        <w:rPr>
          <w:lang w:val="en-US"/>
        </w:rPr>
      </w:pPr>
      <w:proofErr w:type="spellStart"/>
      <w:r>
        <w:rPr>
          <w:lang w:val="en-US"/>
        </w:rPr>
        <w:t>Busca</w:t>
      </w:r>
      <w:proofErr w:type="spellEnd"/>
      <w:r>
        <w:rPr>
          <w:lang w:val="en-US"/>
        </w:rPr>
        <w:t xml:space="preserve"> G., 2021, </w:t>
      </w:r>
      <w:r w:rsidRPr="00B11FA5">
        <w:rPr>
          <w:lang w:val="en-US"/>
        </w:rPr>
        <w:t>Production of Gasolines and Monocyclic Aromatic</w:t>
      </w:r>
      <w:r>
        <w:rPr>
          <w:lang w:val="en-US"/>
        </w:rPr>
        <w:t xml:space="preserve"> </w:t>
      </w:r>
      <w:r w:rsidRPr="00B11FA5">
        <w:rPr>
          <w:lang w:val="en-US"/>
        </w:rPr>
        <w:t>Hydrocarbons: From Fossil Raw Materials to Green Processes</w:t>
      </w:r>
      <w:r>
        <w:rPr>
          <w:lang w:val="en-US"/>
        </w:rPr>
        <w:t>,</w:t>
      </w:r>
      <w:r w:rsidRPr="00B11FA5">
        <w:t xml:space="preserve"> </w:t>
      </w:r>
      <w:r w:rsidRPr="00B11FA5">
        <w:rPr>
          <w:lang w:val="en-US"/>
        </w:rPr>
        <w:t>Energies</w:t>
      </w:r>
      <w:r>
        <w:rPr>
          <w:lang w:val="en-US"/>
        </w:rPr>
        <w:t xml:space="preserve">, </w:t>
      </w:r>
      <w:r w:rsidRPr="00B11FA5">
        <w:rPr>
          <w:lang w:val="en-US"/>
        </w:rPr>
        <w:t xml:space="preserve">14, 4061. </w:t>
      </w:r>
    </w:p>
    <w:p w14:paraId="3FFBBF9E" w14:textId="2CE12781" w:rsidR="0037142B" w:rsidRPr="0037142B" w:rsidRDefault="0037142B" w:rsidP="0037142B">
      <w:pPr>
        <w:pStyle w:val="CETReferencetext"/>
      </w:pPr>
      <w:proofErr w:type="spellStart"/>
      <w:r w:rsidRPr="0037142B">
        <w:t>Giudicianni</w:t>
      </w:r>
      <w:proofErr w:type="spellEnd"/>
      <w:r w:rsidRPr="0037142B">
        <w:t xml:space="preserve">, P.; </w:t>
      </w:r>
      <w:proofErr w:type="spellStart"/>
      <w:r w:rsidRPr="0037142B">
        <w:t>Ferreiro</w:t>
      </w:r>
      <w:proofErr w:type="spellEnd"/>
      <w:r w:rsidRPr="0037142B">
        <w:t xml:space="preserve">, A.I.; Gargiulo, V.; </w:t>
      </w:r>
      <w:proofErr w:type="spellStart"/>
      <w:r w:rsidRPr="0037142B">
        <w:t>Alfè</w:t>
      </w:r>
      <w:proofErr w:type="spellEnd"/>
      <w:r w:rsidRPr="0037142B">
        <w:t xml:space="preserve">, M.; Costa, M.; </w:t>
      </w:r>
      <w:proofErr w:type="spellStart"/>
      <w:r w:rsidRPr="0037142B">
        <w:t>Rabaçal</w:t>
      </w:r>
      <w:proofErr w:type="spellEnd"/>
      <w:r w:rsidRPr="0037142B">
        <w:t xml:space="preserve">, M.; </w:t>
      </w:r>
      <w:proofErr w:type="spellStart"/>
      <w:r w:rsidRPr="0037142B">
        <w:t>Ragucci</w:t>
      </w:r>
      <w:proofErr w:type="spellEnd"/>
      <w:r w:rsidRPr="0037142B">
        <w:t>, R.,</w:t>
      </w:r>
      <w:r w:rsidRPr="0037142B">
        <w:rPr>
          <w:b/>
          <w:bCs/>
        </w:rPr>
        <w:t xml:space="preserve"> 2020</w:t>
      </w:r>
      <w:r w:rsidRPr="0037142B">
        <w:t xml:space="preserve">,  Effect of </w:t>
      </w:r>
      <w:proofErr w:type="spellStart"/>
      <w:r w:rsidRPr="0037142B">
        <w:t>KCl</w:t>
      </w:r>
      <w:proofErr w:type="spellEnd"/>
      <w:r w:rsidRPr="0037142B">
        <w:t xml:space="preserve"> Doping on the Slow Pyrolysis of Lignin. Chemical Engineering Transactions, </w:t>
      </w:r>
      <w:r w:rsidRPr="0037142B">
        <w:rPr>
          <w:i/>
          <w:iCs/>
        </w:rPr>
        <w:t>80</w:t>
      </w:r>
      <w:r w:rsidRPr="0037142B">
        <w:t>, 109–114.</w:t>
      </w:r>
    </w:p>
    <w:p w14:paraId="7344D2BF" w14:textId="43B0DCFC" w:rsidR="00E54002" w:rsidRDefault="00E54002" w:rsidP="00E54002">
      <w:pPr>
        <w:pStyle w:val="CETReferencetext"/>
        <w:rPr>
          <w:lang w:val="en-US"/>
        </w:rPr>
      </w:pPr>
      <w:proofErr w:type="spellStart"/>
      <w:r>
        <w:rPr>
          <w:lang w:val="en-US"/>
        </w:rPr>
        <w:t>Haq</w:t>
      </w:r>
      <w:proofErr w:type="spellEnd"/>
      <w:r>
        <w:rPr>
          <w:lang w:val="en-US"/>
        </w:rPr>
        <w:t xml:space="preserve"> I., </w:t>
      </w:r>
      <w:proofErr w:type="spellStart"/>
      <w:r>
        <w:rPr>
          <w:lang w:val="en-US"/>
        </w:rPr>
        <w:t>Mazumder</w:t>
      </w:r>
      <w:proofErr w:type="spellEnd"/>
      <w:r>
        <w:rPr>
          <w:lang w:val="en-US"/>
        </w:rPr>
        <w:t xml:space="preserve"> P., </w:t>
      </w:r>
      <w:proofErr w:type="spellStart"/>
      <w:r w:rsidRPr="00E54002">
        <w:rPr>
          <w:lang w:val="en-US"/>
        </w:rPr>
        <w:t>Kalamdhada</w:t>
      </w:r>
      <w:proofErr w:type="spellEnd"/>
      <w:r>
        <w:rPr>
          <w:lang w:val="en-US"/>
        </w:rPr>
        <w:t xml:space="preserve"> A.S., </w:t>
      </w:r>
      <w:r w:rsidRPr="00E54002">
        <w:rPr>
          <w:lang w:val="en-US"/>
        </w:rPr>
        <w:t>2020</w:t>
      </w:r>
      <w:r>
        <w:rPr>
          <w:lang w:val="en-US"/>
        </w:rPr>
        <w:t xml:space="preserve">, </w:t>
      </w:r>
      <w:r w:rsidRPr="00E54002">
        <w:rPr>
          <w:lang w:val="en-US"/>
        </w:rPr>
        <w:t xml:space="preserve">Recent advances in removal of lignin </w:t>
      </w:r>
      <w:r>
        <w:rPr>
          <w:lang w:val="en-US"/>
        </w:rPr>
        <w:t xml:space="preserve">from </w:t>
      </w:r>
      <w:r w:rsidRPr="00E54002">
        <w:rPr>
          <w:lang w:val="en-US"/>
        </w:rPr>
        <w:t>paper industry wastewater and its industrial applications – A review</w:t>
      </w:r>
      <w:r>
        <w:rPr>
          <w:lang w:val="en-US"/>
        </w:rPr>
        <w:t xml:space="preserve">, </w:t>
      </w:r>
      <w:r w:rsidRPr="00E54002">
        <w:rPr>
          <w:lang w:val="en-US"/>
        </w:rPr>
        <w:t>Bioresource Technology</w:t>
      </w:r>
      <w:r>
        <w:rPr>
          <w:lang w:val="en-US"/>
        </w:rPr>
        <w:t xml:space="preserve">, </w:t>
      </w:r>
      <w:r w:rsidRPr="00E54002">
        <w:rPr>
          <w:lang w:val="en-US"/>
        </w:rPr>
        <w:t xml:space="preserve">312, 123636 </w:t>
      </w:r>
    </w:p>
    <w:p w14:paraId="65CB28C0" w14:textId="266C4EBF" w:rsidR="005179AA" w:rsidRDefault="005179AA" w:rsidP="005179AA">
      <w:pPr>
        <w:pStyle w:val="CETReferencetext"/>
        <w:rPr>
          <w:lang w:val="en-US"/>
        </w:rPr>
      </w:pPr>
      <w:bookmarkStart w:id="1" w:name="_Hlk92987057"/>
      <w:proofErr w:type="spellStart"/>
      <w:r w:rsidRPr="005179AA">
        <w:rPr>
          <w:lang w:val="en-US"/>
        </w:rPr>
        <w:t>Ház</w:t>
      </w:r>
      <w:bookmarkEnd w:id="1"/>
      <w:proofErr w:type="spellEnd"/>
      <w:r w:rsidRPr="005179AA">
        <w:rPr>
          <w:lang w:val="en-US"/>
        </w:rPr>
        <w:t xml:space="preserve"> </w:t>
      </w:r>
      <w:r>
        <w:rPr>
          <w:lang w:val="en-US"/>
        </w:rPr>
        <w:t xml:space="preserve">A., </w:t>
      </w:r>
      <w:proofErr w:type="spellStart"/>
      <w:r w:rsidRPr="005179AA">
        <w:rPr>
          <w:lang w:val="en-US"/>
        </w:rPr>
        <w:t>Jablonský</w:t>
      </w:r>
      <w:proofErr w:type="spellEnd"/>
      <w:r w:rsidRPr="005179AA">
        <w:rPr>
          <w:lang w:val="en-US"/>
        </w:rPr>
        <w:t xml:space="preserve"> </w:t>
      </w:r>
      <w:r>
        <w:rPr>
          <w:lang w:val="en-US"/>
        </w:rPr>
        <w:t xml:space="preserve">M., </w:t>
      </w:r>
      <w:r w:rsidRPr="005179AA">
        <w:rPr>
          <w:lang w:val="en-US"/>
        </w:rPr>
        <w:t xml:space="preserve"> </w:t>
      </w:r>
      <w:proofErr w:type="spellStart"/>
      <w:r w:rsidRPr="005179AA">
        <w:rPr>
          <w:lang w:val="en-US"/>
        </w:rPr>
        <w:t>Šurina</w:t>
      </w:r>
      <w:proofErr w:type="spellEnd"/>
      <w:r w:rsidRPr="005179AA">
        <w:rPr>
          <w:lang w:val="en-US"/>
        </w:rPr>
        <w:t xml:space="preserve"> </w:t>
      </w:r>
      <w:r>
        <w:rPr>
          <w:lang w:val="en-US"/>
        </w:rPr>
        <w:t xml:space="preserve">I., </w:t>
      </w:r>
      <w:proofErr w:type="spellStart"/>
      <w:r w:rsidRPr="005179AA">
        <w:rPr>
          <w:lang w:val="en-US"/>
        </w:rPr>
        <w:t>Kačík</w:t>
      </w:r>
      <w:proofErr w:type="spellEnd"/>
      <w:r w:rsidRPr="005179AA">
        <w:rPr>
          <w:lang w:val="en-US"/>
        </w:rPr>
        <w:t xml:space="preserve"> </w:t>
      </w:r>
      <w:r>
        <w:rPr>
          <w:lang w:val="en-US"/>
        </w:rPr>
        <w:t>F.,</w:t>
      </w:r>
      <w:r w:rsidRPr="005179AA">
        <w:rPr>
          <w:lang w:val="en-US"/>
        </w:rPr>
        <w:t xml:space="preserve"> </w:t>
      </w:r>
      <w:proofErr w:type="spellStart"/>
      <w:r w:rsidRPr="005179AA">
        <w:rPr>
          <w:lang w:val="en-US"/>
        </w:rPr>
        <w:t>Bubeníková</w:t>
      </w:r>
      <w:proofErr w:type="spellEnd"/>
      <w:r w:rsidRPr="005179AA">
        <w:rPr>
          <w:lang w:val="en-US"/>
        </w:rPr>
        <w:t xml:space="preserve"> </w:t>
      </w:r>
      <w:r>
        <w:rPr>
          <w:lang w:val="en-US"/>
        </w:rPr>
        <w:t xml:space="preserve">T., </w:t>
      </w:r>
      <w:r w:rsidRPr="005179AA">
        <w:rPr>
          <w:lang w:val="en-US"/>
        </w:rPr>
        <w:t xml:space="preserve">Jaroslav </w:t>
      </w:r>
      <w:proofErr w:type="spellStart"/>
      <w:r w:rsidRPr="005179AA">
        <w:rPr>
          <w:lang w:val="en-US"/>
        </w:rPr>
        <w:t>Ďurkovič</w:t>
      </w:r>
      <w:proofErr w:type="spellEnd"/>
      <w:r>
        <w:rPr>
          <w:lang w:val="en-US"/>
        </w:rPr>
        <w:t xml:space="preserve"> J.,</w:t>
      </w:r>
      <w:r w:rsidRPr="005179AA">
        <w:rPr>
          <w:lang w:val="en-US"/>
        </w:rPr>
        <w:t xml:space="preserve"> </w:t>
      </w:r>
      <w:r w:rsidR="00C92F38">
        <w:rPr>
          <w:lang w:val="en-US"/>
        </w:rPr>
        <w:t xml:space="preserve">20219, </w:t>
      </w:r>
      <w:r w:rsidRPr="005179AA">
        <w:rPr>
          <w:lang w:val="en-US"/>
        </w:rPr>
        <w:t xml:space="preserve">Chemical Composition and Thermal Behavior of Kraft </w:t>
      </w:r>
      <w:proofErr w:type="spellStart"/>
      <w:r w:rsidRPr="005179AA">
        <w:rPr>
          <w:lang w:val="en-US"/>
        </w:rPr>
        <w:t>Lignins</w:t>
      </w:r>
      <w:proofErr w:type="spellEnd"/>
      <w:r>
        <w:rPr>
          <w:lang w:val="en-US"/>
        </w:rPr>
        <w:t xml:space="preserve">, Forests, </w:t>
      </w:r>
      <w:r w:rsidR="00C92F38" w:rsidRPr="00C92F38">
        <w:rPr>
          <w:lang w:val="en-US"/>
        </w:rPr>
        <w:t>10, 483</w:t>
      </w:r>
    </w:p>
    <w:p w14:paraId="2415AF3C" w14:textId="181CBBAF" w:rsidR="004F476A" w:rsidRPr="005179AA" w:rsidRDefault="004F476A" w:rsidP="002B2872">
      <w:pPr>
        <w:pStyle w:val="CETReferencetext"/>
        <w:rPr>
          <w:lang w:val="en-US"/>
        </w:rPr>
      </w:pPr>
      <w:r>
        <w:rPr>
          <w:lang w:val="en-US"/>
        </w:rPr>
        <w:t xml:space="preserve">Kim J.-S., Choi G.-G., </w:t>
      </w:r>
      <w:r w:rsidR="002B2872">
        <w:rPr>
          <w:lang w:val="en-US"/>
        </w:rPr>
        <w:t xml:space="preserve">2018, </w:t>
      </w:r>
      <w:r w:rsidRPr="004F476A">
        <w:rPr>
          <w:lang w:val="en-US"/>
        </w:rPr>
        <w:t xml:space="preserve">Pyrolysis of Lignocellulosic Biomass for Biochemical Production, in </w:t>
      </w:r>
      <w:r w:rsidR="00744DB3" w:rsidRPr="00744DB3">
        <w:rPr>
          <w:lang w:val="en-US"/>
        </w:rPr>
        <w:t>Bhaskar</w:t>
      </w:r>
      <w:r w:rsidR="00744DB3">
        <w:rPr>
          <w:lang w:val="en-US"/>
        </w:rPr>
        <w:t xml:space="preserve"> T.</w:t>
      </w:r>
      <w:r w:rsidR="00744DB3" w:rsidRPr="00744DB3">
        <w:rPr>
          <w:lang w:val="en-US"/>
        </w:rPr>
        <w:t>, Pandey</w:t>
      </w:r>
      <w:r w:rsidR="00744DB3">
        <w:rPr>
          <w:lang w:val="en-US"/>
        </w:rPr>
        <w:t xml:space="preserve"> A.</w:t>
      </w:r>
      <w:r w:rsidR="00744DB3" w:rsidRPr="00744DB3">
        <w:rPr>
          <w:lang w:val="en-US"/>
        </w:rPr>
        <w:t>, Mohan</w:t>
      </w:r>
      <w:r w:rsidR="00744DB3">
        <w:rPr>
          <w:lang w:val="en-US"/>
        </w:rPr>
        <w:t xml:space="preserve"> S.V.</w:t>
      </w:r>
      <w:r w:rsidR="00744DB3" w:rsidRPr="00744DB3">
        <w:rPr>
          <w:lang w:val="en-US"/>
        </w:rPr>
        <w:t>, Lee</w:t>
      </w:r>
      <w:r w:rsidR="00744DB3">
        <w:rPr>
          <w:lang w:val="en-US"/>
        </w:rPr>
        <w:t xml:space="preserve"> D.-J-</w:t>
      </w:r>
      <w:r w:rsidR="00744DB3" w:rsidRPr="00744DB3">
        <w:rPr>
          <w:lang w:val="en-US"/>
        </w:rPr>
        <w:t xml:space="preserve">, </w:t>
      </w:r>
      <w:proofErr w:type="spellStart"/>
      <w:r w:rsidR="00744DB3" w:rsidRPr="00744DB3">
        <w:rPr>
          <w:lang w:val="en-US"/>
        </w:rPr>
        <w:t>Khanal</w:t>
      </w:r>
      <w:proofErr w:type="spellEnd"/>
      <w:r w:rsidR="00744DB3">
        <w:rPr>
          <w:lang w:val="en-US"/>
        </w:rPr>
        <w:t xml:space="preserve"> S.K.</w:t>
      </w:r>
      <w:r w:rsidR="00744DB3" w:rsidRPr="00744DB3">
        <w:rPr>
          <w:lang w:val="en-US"/>
        </w:rPr>
        <w:t>,</w:t>
      </w:r>
      <w:r w:rsidR="00744DB3">
        <w:rPr>
          <w:lang w:val="en-US"/>
        </w:rPr>
        <w:t xml:space="preserve"> (eds).</w:t>
      </w:r>
      <w:r w:rsidR="00744DB3" w:rsidRPr="00744DB3">
        <w:rPr>
          <w:lang w:val="en-US"/>
        </w:rPr>
        <w:t xml:space="preserve"> </w:t>
      </w:r>
      <w:r w:rsidRPr="004F476A">
        <w:rPr>
          <w:lang w:val="en-US"/>
        </w:rPr>
        <w:t xml:space="preserve">Waste Biorefinery, </w:t>
      </w:r>
      <w:r w:rsidR="00B47E0F">
        <w:rPr>
          <w:lang w:val="en-US"/>
        </w:rPr>
        <w:t xml:space="preserve">Elsevier, Amsterdam, pp. </w:t>
      </w:r>
      <w:r w:rsidR="00744DB3" w:rsidRPr="00744DB3">
        <w:rPr>
          <w:lang w:val="en-US"/>
        </w:rPr>
        <w:t>323-348</w:t>
      </w:r>
      <w:r w:rsidR="00744DB3">
        <w:rPr>
          <w:lang w:val="en-US"/>
        </w:rPr>
        <w:t>.</w:t>
      </w:r>
    </w:p>
    <w:p w14:paraId="48644138" w14:textId="2F42F22E" w:rsidR="00B11FA5" w:rsidRDefault="00B11FA5" w:rsidP="00B11FA5">
      <w:pPr>
        <w:pStyle w:val="CETReferencetext"/>
        <w:rPr>
          <w:lang w:val="en-US"/>
        </w:rPr>
      </w:pPr>
      <w:r w:rsidRPr="00B11FA5">
        <w:rPr>
          <w:lang w:val="en-US"/>
        </w:rPr>
        <w:t>Kleinert M., Barth T., 2008, Phenols from Lignin, Chem. Eng. Technol. 31, 736–745</w:t>
      </w:r>
      <w:r>
        <w:rPr>
          <w:lang w:val="en-US"/>
        </w:rPr>
        <w:t>.</w:t>
      </w:r>
    </w:p>
    <w:p w14:paraId="3651A388" w14:textId="36DE7315" w:rsidR="002D139E" w:rsidRDefault="002D139E" w:rsidP="00B11FA5">
      <w:pPr>
        <w:pStyle w:val="CETReferencetext"/>
        <w:rPr>
          <w:lang w:val="en-US"/>
        </w:rPr>
      </w:pPr>
      <w:r>
        <w:rPr>
          <w:lang w:val="en-US"/>
        </w:rPr>
        <w:t xml:space="preserve">Lai Y-Z., 20217, Wood and wood products, in: </w:t>
      </w:r>
      <w:r w:rsidRPr="002D139E">
        <w:rPr>
          <w:lang w:val="en-US"/>
        </w:rPr>
        <w:t>Kent</w:t>
      </w:r>
      <w:r>
        <w:rPr>
          <w:lang w:val="en-US"/>
        </w:rPr>
        <w:t xml:space="preserve"> J.A., </w:t>
      </w:r>
      <w:proofErr w:type="spellStart"/>
      <w:r w:rsidRPr="002D139E">
        <w:rPr>
          <w:lang w:val="en-US"/>
        </w:rPr>
        <w:t>Bommaraju</w:t>
      </w:r>
      <w:proofErr w:type="spellEnd"/>
      <w:r>
        <w:rPr>
          <w:lang w:val="en-US"/>
        </w:rPr>
        <w:t xml:space="preserve"> T.V., </w:t>
      </w:r>
      <w:proofErr w:type="spellStart"/>
      <w:r w:rsidRPr="002D139E">
        <w:rPr>
          <w:lang w:val="en-US"/>
        </w:rPr>
        <w:t>Barnicki</w:t>
      </w:r>
      <w:proofErr w:type="spellEnd"/>
      <w:r>
        <w:rPr>
          <w:lang w:val="en-US"/>
        </w:rPr>
        <w:t xml:space="preserve"> S.D, (eds.) </w:t>
      </w:r>
      <w:r w:rsidRPr="002D139E">
        <w:rPr>
          <w:lang w:val="en-US"/>
        </w:rPr>
        <w:t>Handbook of Industrial Chemistry and Biotechnology</w:t>
      </w:r>
      <w:r>
        <w:rPr>
          <w:lang w:val="en-US"/>
        </w:rPr>
        <w:t xml:space="preserve">, Springer, </w:t>
      </w:r>
      <w:r w:rsidRPr="002D139E">
        <w:rPr>
          <w:lang w:val="en-US"/>
        </w:rPr>
        <w:t>pp 215-283</w:t>
      </w:r>
    </w:p>
    <w:p w14:paraId="042C932A" w14:textId="1174FE0F" w:rsidR="00B11FA5" w:rsidRDefault="00E70082" w:rsidP="00E70082">
      <w:pPr>
        <w:pStyle w:val="CETReferencetext"/>
        <w:rPr>
          <w:lang w:val="en-US"/>
        </w:rPr>
      </w:pPr>
      <w:r w:rsidRPr="00047C9A">
        <w:rPr>
          <w:lang w:val="en-US"/>
        </w:rPr>
        <w:t>Li C., Zhao X., Wang A., Huber G.W., Zhang T.</w:t>
      </w:r>
      <w:r w:rsidR="00047C9A">
        <w:rPr>
          <w:lang w:val="en-US"/>
        </w:rPr>
        <w:t xml:space="preserve">, </w:t>
      </w:r>
      <w:r w:rsidR="00047C9A" w:rsidRPr="00E70082">
        <w:rPr>
          <w:lang w:val="en-US"/>
        </w:rPr>
        <w:t>2015</w:t>
      </w:r>
      <w:r w:rsidR="00047C9A">
        <w:rPr>
          <w:lang w:val="en-US"/>
        </w:rPr>
        <w:t xml:space="preserve">, </w:t>
      </w:r>
      <w:r w:rsidRPr="00E70082">
        <w:rPr>
          <w:lang w:val="en-US"/>
        </w:rPr>
        <w:t>Catalytic transformation of lignin for the production of chemicals and fuels</w:t>
      </w:r>
      <w:r w:rsidR="00047C9A">
        <w:rPr>
          <w:lang w:val="en-US"/>
        </w:rPr>
        <w:t xml:space="preserve">, </w:t>
      </w:r>
      <w:r w:rsidRPr="00E70082">
        <w:rPr>
          <w:lang w:val="en-US"/>
        </w:rPr>
        <w:t>Chem. Rev., 115</w:t>
      </w:r>
      <w:r w:rsidR="00047C9A">
        <w:rPr>
          <w:lang w:val="en-US"/>
        </w:rPr>
        <w:t xml:space="preserve">, </w:t>
      </w:r>
      <w:r w:rsidRPr="00E70082">
        <w:rPr>
          <w:lang w:val="en-US"/>
        </w:rPr>
        <w:t>11559-11624</w:t>
      </w:r>
      <w:r w:rsidR="00047C9A">
        <w:rPr>
          <w:lang w:val="en-US"/>
        </w:rPr>
        <w:t>.</w:t>
      </w:r>
    </w:p>
    <w:p w14:paraId="597BD37F" w14:textId="5219106F" w:rsidR="00047C9A" w:rsidRDefault="000A4468" w:rsidP="007831E8">
      <w:pPr>
        <w:pStyle w:val="CETReferencetext"/>
        <w:rPr>
          <w:lang w:val="en-US"/>
        </w:rPr>
      </w:pPr>
      <w:r w:rsidRPr="000A4468">
        <w:rPr>
          <w:lang w:val="en-US"/>
        </w:rPr>
        <w:t>Liu</w:t>
      </w:r>
      <w:r>
        <w:rPr>
          <w:lang w:val="en-US"/>
        </w:rPr>
        <w:t xml:space="preserve"> Y., </w:t>
      </w:r>
      <w:r w:rsidRPr="000A4468">
        <w:rPr>
          <w:lang w:val="en-US"/>
        </w:rPr>
        <w:t>Cao</w:t>
      </w:r>
      <w:r>
        <w:rPr>
          <w:lang w:val="en-US"/>
        </w:rPr>
        <w:t xml:space="preserve"> C., </w:t>
      </w:r>
      <w:r w:rsidRPr="000A4468">
        <w:rPr>
          <w:lang w:val="en-US"/>
        </w:rPr>
        <w:t>Wang</w:t>
      </w:r>
      <w:r>
        <w:rPr>
          <w:lang w:val="en-US"/>
        </w:rPr>
        <w:t xml:space="preserve"> Q., </w:t>
      </w:r>
      <w:r w:rsidRPr="000A4468">
        <w:rPr>
          <w:lang w:val="en-US"/>
        </w:rPr>
        <w:t>Zheng</w:t>
      </w:r>
      <w:r>
        <w:rPr>
          <w:lang w:val="en-US"/>
        </w:rPr>
        <w:t xml:space="preserve"> W, </w:t>
      </w:r>
      <w:r w:rsidRPr="000A4468">
        <w:rPr>
          <w:lang w:val="en-US"/>
        </w:rPr>
        <w:t>Shen</w:t>
      </w:r>
      <w:r>
        <w:rPr>
          <w:lang w:val="en-US"/>
        </w:rPr>
        <w:t xml:space="preserve"> J., </w:t>
      </w:r>
      <w:r w:rsidRPr="000A4468">
        <w:rPr>
          <w:lang w:val="en-US"/>
        </w:rPr>
        <w:t>Chen</w:t>
      </w:r>
      <w:r>
        <w:rPr>
          <w:lang w:val="en-US"/>
        </w:rPr>
        <w:t xml:space="preserve"> Y., </w:t>
      </w:r>
      <w:r w:rsidRPr="000A4468">
        <w:rPr>
          <w:lang w:val="en-US"/>
        </w:rPr>
        <w:t>Gua</w:t>
      </w:r>
      <w:r>
        <w:rPr>
          <w:lang w:val="en-US"/>
        </w:rPr>
        <w:t xml:space="preserve"> F., </w:t>
      </w:r>
      <w:r w:rsidRPr="000A4468">
        <w:rPr>
          <w:lang w:val="en-US"/>
        </w:rPr>
        <w:t>Han</w:t>
      </w:r>
      <w:r>
        <w:rPr>
          <w:lang w:val="en-US"/>
        </w:rPr>
        <w:t xml:space="preserve"> M., </w:t>
      </w:r>
      <w:proofErr w:type="spellStart"/>
      <w:r w:rsidRPr="000A4468">
        <w:rPr>
          <w:lang w:val="en-US"/>
        </w:rPr>
        <w:t>Rocchi</w:t>
      </w:r>
      <w:proofErr w:type="spellEnd"/>
      <w:r>
        <w:rPr>
          <w:lang w:val="en-US"/>
        </w:rPr>
        <w:t xml:space="preserve"> I., 2021, </w:t>
      </w:r>
      <w:r w:rsidR="007831E8" w:rsidRPr="007831E8">
        <w:rPr>
          <w:lang w:val="en-US"/>
        </w:rPr>
        <w:t>Utilization of bioethanol industry recycled waste for sustainable soil</w:t>
      </w:r>
      <w:r w:rsidR="007831E8">
        <w:rPr>
          <w:lang w:val="en-US"/>
        </w:rPr>
        <w:t xml:space="preserve"> </w:t>
      </w:r>
      <w:r w:rsidR="007831E8" w:rsidRPr="007831E8">
        <w:rPr>
          <w:lang w:val="en-US"/>
        </w:rPr>
        <w:t>improvement: A win-win application</w:t>
      </w:r>
      <w:r w:rsidR="007831E8">
        <w:rPr>
          <w:lang w:val="en-US"/>
        </w:rPr>
        <w:t xml:space="preserve">, </w:t>
      </w:r>
      <w:r w:rsidR="007831E8" w:rsidRPr="007831E8">
        <w:rPr>
          <w:lang w:val="en-US"/>
        </w:rPr>
        <w:t>Engineering Geology</w:t>
      </w:r>
      <w:r>
        <w:rPr>
          <w:lang w:val="en-US"/>
        </w:rPr>
        <w:t>,</w:t>
      </w:r>
      <w:r w:rsidR="007831E8" w:rsidRPr="007831E8">
        <w:rPr>
          <w:lang w:val="en-US"/>
        </w:rPr>
        <w:t xml:space="preserve"> 289</w:t>
      </w:r>
      <w:r>
        <w:rPr>
          <w:lang w:val="en-US"/>
        </w:rPr>
        <w:t xml:space="preserve">, </w:t>
      </w:r>
      <w:r w:rsidR="007831E8" w:rsidRPr="007831E8">
        <w:rPr>
          <w:lang w:val="en-US"/>
        </w:rPr>
        <w:t>106192</w:t>
      </w:r>
      <w:r>
        <w:rPr>
          <w:lang w:val="en-US"/>
        </w:rPr>
        <w:t>.</w:t>
      </w:r>
    </w:p>
    <w:p w14:paraId="4B382FF9" w14:textId="44BC7A43" w:rsidR="00047C9A" w:rsidRDefault="00094C44" w:rsidP="00094C44">
      <w:pPr>
        <w:pStyle w:val="CETReferencetext"/>
        <w:rPr>
          <w:lang w:val="en-US"/>
        </w:rPr>
      </w:pPr>
      <w:proofErr w:type="spellStart"/>
      <w:r w:rsidRPr="00094C44">
        <w:rPr>
          <w:lang w:val="en-US"/>
        </w:rPr>
        <w:t>Sannita</w:t>
      </w:r>
      <w:proofErr w:type="spellEnd"/>
      <w:r w:rsidRPr="00094C44">
        <w:rPr>
          <w:lang w:val="en-US"/>
        </w:rPr>
        <w:t xml:space="preserve"> E., </w:t>
      </w:r>
      <w:proofErr w:type="spellStart"/>
      <w:r w:rsidRPr="00094C44">
        <w:rPr>
          <w:lang w:val="en-US"/>
        </w:rPr>
        <w:t>Aliakbarian</w:t>
      </w:r>
      <w:proofErr w:type="spellEnd"/>
      <w:r w:rsidRPr="00094C44">
        <w:rPr>
          <w:lang w:val="en-US"/>
        </w:rPr>
        <w:t xml:space="preserve"> B., Casazza A. A., </w:t>
      </w:r>
      <w:proofErr w:type="spellStart"/>
      <w:r w:rsidRPr="00094C44">
        <w:rPr>
          <w:lang w:val="en-US"/>
        </w:rPr>
        <w:t>Perego</w:t>
      </w:r>
      <w:proofErr w:type="spellEnd"/>
      <w:r w:rsidRPr="00094C44">
        <w:rPr>
          <w:lang w:val="en-US"/>
        </w:rPr>
        <w:t xml:space="preserve"> P., </w:t>
      </w:r>
      <w:proofErr w:type="spellStart"/>
      <w:r w:rsidRPr="00094C44">
        <w:rPr>
          <w:lang w:val="en-US"/>
        </w:rPr>
        <w:t>Busca</w:t>
      </w:r>
      <w:proofErr w:type="spellEnd"/>
      <w:r w:rsidRPr="00094C44">
        <w:rPr>
          <w:lang w:val="en-US"/>
        </w:rPr>
        <w:t xml:space="preserve"> G., 2012</w:t>
      </w:r>
      <w:r>
        <w:rPr>
          <w:lang w:val="en-US"/>
        </w:rPr>
        <w:t>,</w:t>
      </w:r>
      <w:r w:rsidRPr="00094C44">
        <w:rPr>
          <w:lang w:val="en-US"/>
        </w:rPr>
        <w:t xml:space="preserve"> Medium-temperature conversion of biomass and wastes into liquid products. A review</w:t>
      </w:r>
      <w:r>
        <w:rPr>
          <w:lang w:val="en-US"/>
        </w:rPr>
        <w:t xml:space="preserve">, </w:t>
      </w:r>
      <w:r w:rsidRPr="00094C44">
        <w:rPr>
          <w:lang w:val="en-US"/>
        </w:rPr>
        <w:t>Renewable and Sustainable Energy Reviews, 16</w:t>
      </w:r>
      <w:r>
        <w:rPr>
          <w:lang w:val="en-US"/>
        </w:rPr>
        <w:t xml:space="preserve">, </w:t>
      </w:r>
      <w:r w:rsidRPr="00094C44">
        <w:rPr>
          <w:lang w:val="en-US"/>
        </w:rPr>
        <w:t>6455-6475.</w:t>
      </w:r>
    </w:p>
    <w:p w14:paraId="0C99390A" w14:textId="45C69C16" w:rsidR="00047C9A" w:rsidRDefault="005042DA" w:rsidP="00E70082">
      <w:pPr>
        <w:pStyle w:val="CETReferencetext"/>
        <w:rPr>
          <w:lang w:val="en-US"/>
        </w:rPr>
      </w:pPr>
      <w:proofErr w:type="spellStart"/>
      <w:r w:rsidRPr="005042DA">
        <w:rPr>
          <w:lang w:val="en-US"/>
        </w:rPr>
        <w:t>Spennati</w:t>
      </w:r>
      <w:proofErr w:type="spellEnd"/>
      <w:r w:rsidRPr="005042DA">
        <w:rPr>
          <w:lang w:val="en-US"/>
        </w:rPr>
        <w:t xml:space="preserve">, E.; Casazza, A.A.; </w:t>
      </w:r>
      <w:proofErr w:type="spellStart"/>
      <w:r w:rsidRPr="005042DA">
        <w:rPr>
          <w:lang w:val="en-US"/>
        </w:rPr>
        <w:t>Converti</w:t>
      </w:r>
      <w:proofErr w:type="spellEnd"/>
      <w:r w:rsidRPr="005042DA">
        <w:rPr>
          <w:lang w:val="en-US"/>
        </w:rPr>
        <w:t xml:space="preserve">, A.; </w:t>
      </w:r>
      <w:proofErr w:type="spellStart"/>
      <w:r w:rsidRPr="005042DA">
        <w:rPr>
          <w:lang w:val="en-US"/>
        </w:rPr>
        <w:t>Busca</w:t>
      </w:r>
      <w:proofErr w:type="spellEnd"/>
      <w:r w:rsidRPr="005042DA">
        <w:rPr>
          <w:lang w:val="en-US"/>
        </w:rPr>
        <w:t>, G.</w:t>
      </w:r>
      <w:r>
        <w:rPr>
          <w:lang w:val="en-US"/>
        </w:rPr>
        <w:t>,</w:t>
      </w:r>
      <w:r w:rsidRPr="005042DA">
        <w:rPr>
          <w:lang w:val="en-US"/>
        </w:rPr>
        <w:t xml:space="preserve"> 2020</w:t>
      </w:r>
      <w:r>
        <w:rPr>
          <w:lang w:val="en-US"/>
        </w:rPr>
        <w:t>,</w:t>
      </w:r>
      <w:r w:rsidRPr="005042DA">
        <w:rPr>
          <w:lang w:val="en-US"/>
        </w:rPr>
        <w:t xml:space="preserve"> </w:t>
      </w:r>
      <w:proofErr w:type="spellStart"/>
      <w:r w:rsidRPr="005042DA">
        <w:rPr>
          <w:lang w:val="en-US"/>
        </w:rPr>
        <w:t>Thermocatalytic</w:t>
      </w:r>
      <w:proofErr w:type="spellEnd"/>
      <w:r w:rsidRPr="005042DA">
        <w:rPr>
          <w:lang w:val="en-US"/>
        </w:rPr>
        <w:t xml:space="preserve"> Pyrolysis of Exhausted </w:t>
      </w:r>
      <w:proofErr w:type="spellStart"/>
      <w:r w:rsidRPr="005042DA">
        <w:rPr>
          <w:lang w:val="en-US"/>
        </w:rPr>
        <w:t>Arthrospira</w:t>
      </w:r>
      <w:proofErr w:type="spellEnd"/>
      <w:r w:rsidRPr="005042DA">
        <w:rPr>
          <w:lang w:val="en-US"/>
        </w:rPr>
        <w:t xml:space="preserve"> Platensis Biomass after Protein or Lipid Recovery. Energies</w:t>
      </w:r>
      <w:r>
        <w:rPr>
          <w:lang w:val="en-US"/>
        </w:rPr>
        <w:t>,13</w:t>
      </w:r>
      <w:r w:rsidR="00DD4D92">
        <w:rPr>
          <w:lang w:val="en-US"/>
        </w:rPr>
        <w:t>,</w:t>
      </w:r>
      <w:r w:rsidR="00513911">
        <w:rPr>
          <w:lang w:val="en-US"/>
        </w:rPr>
        <w:t xml:space="preserve"> 5246</w:t>
      </w:r>
      <w:r>
        <w:rPr>
          <w:lang w:val="en-US"/>
        </w:rPr>
        <w:t>.</w:t>
      </w:r>
    </w:p>
    <w:p w14:paraId="10D81A02" w14:textId="6241F9E5" w:rsidR="00B02338" w:rsidRPr="00B11FA5" w:rsidRDefault="00B02338" w:rsidP="0037142B">
      <w:pPr>
        <w:pStyle w:val="CETReferencetext"/>
        <w:ind w:left="0" w:firstLine="0"/>
        <w:rPr>
          <w:lang w:val="en-US"/>
        </w:rPr>
      </w:pPr>
    </w:p>
    <w:sectPr w:rsidR="00B02338" w:rsidRPr="00B11FA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3593" w14:textId="77777777" w:rsidR="00C14395" w:rsidRDefault="00C14395" w:rsidP="004F5E36">
      <w:r>
        <w:separator/>
      </w:r>
    </w:p>
  </w:endnote>
  <w:endnote w:type="continuationSeparator" w:id="0">
    <w:p w14:paraId="48F10E9F" w14:textId="77777777" w:rsidR="00C14395" w:rsidRDefault="00C1439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BF3C" w14:textId="77777777" w:rsidR="00C14395" w:rsidRDefault="00C14395" w:rsidP="004F5E36">
      <w:r>
        <w:separator/>
      </w:r>
    </w:p>
  </w:footnote>
  <w:footnote w:type="continuationSeparator" w:id="0">
    <w:p w14:paraId="617A7E85" w14:textId="77777777" w:rsidR="00C14395" w:rsidRDefault="00C1439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DDD6532"/>
    <w:multiLevelType w:val="multilevel"/>
    <w:tmpl w:val="F17228D6"/>
    <w:styleLink w:val="Elencocorrente1"/>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7C9A"/>
    <w:rsid w:val="00051566"/>
    <w:rsid w:val="00061C2A"/>
    <w:rsid w:val="00061E08"/>
    <w:rsid w:val="00061E8E"/>
    <w:rsid w:val="00062A9A"/>
    <w:rsid w:val="00065058"/>
    <w:rsid w:val="00072096"/>
    <w:rsid w:val="0007593B"/>
    <w:rsid w:val="00086C39"/>
    <w:rsid w:val="00094C44"/>
    <w:rsid w:val="000A03B2"/>
    <w:rsid w:val="000A2D84"/>
    <w:rsid w:val="000A4468"/>
    <w:rsid w:val="000B576D"/>
    <w:rsid w:val="000D0268"/>
    <w:rsid w:val="000D307A"/>
    <w:rsid w:val="000D34BE"/>
    <w:rsid w:val="000E102F"/>
    <w:rsid w:val="000E36F1"/>
    <w:rsid w:val="000E3A73"/>
    <w:rsid w:val="000E414A"/>
    <w:rsid w:val="000F093C"/>
    <w:rsid w:val="000F787B"/>
    <w:rsid w:val="001028E8"/>
    <w:rsid w:val="0012091F"/>
    <w:rsid w:val="00126BC2"/>
    <w:rsid w:val="00127A35"/>
    <w:rsid w:val="001308B6"/>
    <w:rsid w:val="0013121F"/>
    <w:rsid w:val="00131FE6"/>
    <w:rsid w:val="0013263F"/>
    <w:rsid w:val="001331DF"/>
    <w:rsid w:val="00134DE4"/>
    <w:rsid w:val="001365B5"/>
    <w:rsid w:val="0014034D"/>
    <w:rsid w:val="00144D16"/>
    <w:rsid w:val="001508ED"/>
    <w:rsid w:val="00150E59"/>
    <w:rsid w:val="00152DE3"/>
    <w:rsid w:val="00153B57"/>
    <w:rsid w:val="00161D64"/>
    <w:rsid w:val="00164CF9"/>
    <w:rsid w:val="001667A6"/>
    <w:rsid w:val="00171050"/>
    <w:rsid w:val="00172709"/>
    <w:rsid w:val="0017524F"/>
    <w:rsid w:val="00184AD6"/>
    <w:rsid w:val="001A4AF7"/>
    <w:rsid w:val="001A6068"/>
    <w:rsid w:val="001B0349"/>
    <w:rsid w:val="001B1E93"/>
    <w:rsid w:val="001B65C1"/>
    <w:rsid w:val="001C684B"/>
    <w:rsid w:val="001D0CFB"/>
    <w:rsid w:val="001D21AF"/>
    <w:rsid w:val="001D53FC"/>
    <w:rsid w:val="001E2684"/>
    <w:rsid w:val="001E5BEF"/>
    <w:rsid w:val="001E66A1"/>
    <w:rsid w:val="001F2E60"/>
    <w:rsid w:val="001F42A5"/>
    <w:rsid w:val="001F635E"/>
    <w:rsid w:val="001F7B9D"/>
    <w:rsid w:val="00201C93"/>
    <w:rsid w:val="00206D87"/>
    <w:rsid w:val="00214C95"/>
    <w:rsid w:val="002208E9"/>
    <w:rsid w:val="00221CFE"/>
    <w:rsid w:val="002224B4"/>
    <w:rsid w:val="0024156E"/>
    <w:rsid w:val="002447EF"/>
    <w:rsid w:val="00251550"/>
    <w:rsid w:val="00263B05"/>
    <w:rsid w:val="0027221A"/>
    <w:rsid w:val="00275B61"/>
    <w:rsid w:val="00280FAF"/>
    <w:rsid w:val="00282656"/>
    <w:rsid w:val="00285290"/>
    <w:rsid w:val="002960A0"/>
    <w:rsid w:val="00296B83"/>
    <w:rsid w:val="002A0422"/>
    <w:rsid w:val="002A70E2"/>
    <w:rsid w:val="002B13C9"/>
    <w:rsid w:val="002B2872"/>
    <w:rsid w:val="002B30F1"/>
    <w:rsid w:val="002B4015"/>
    <w:rsid w:val="002B78CE"/>
    <w:rsid w:val="002C2FB6"/>
    <w:rsid w:val="002D10F2"/>
    <w:rsid w:val="002D139E"/>
    <w:rsid w:val="002E4D51"/>
    <w:rsid w:val="002E5FA7"/>
    <w:rsid w:val="002F11F6"/>
    <w:rsid w:val="002F3309"/>
    <w:rsid w:val="003008CE"/>
    <w:rsid w:val="003009B7"/>
    <w:rsid w:val="00300B34"/>
    <w:rsid w:val="00300E56"/>
    <w:rsid w:val="0030469C"/>
    <w:rsid w:val="0032130E"/>
    <w:rsid w:val="00321CA6"/>
    <w:rsid w:val="00323763"/>
    <w:rsid w:val="00326E30"/>
    <w:rsid w:val="00334C09"/>
    <w:rsid w:val="00335424"/>
    <w:rsid w:val="0035642A"/>
    <w:rsid w:val="0037142B"/>
    <w:rsid w:val="003723D4"/>
    <w:rsid w:val="00381905"/>
    <w:rsid w:val="00384CC8"/>
    <w:rsid w:val="003871FD"/>
    <w:rsid w:val="00394F80"/>
    <w:rsid w:val="003A1E30"/>
    <w:rsid w:val="003A2829"/>
    <w:rsid w:val="003A5E75"/>
    <w:rsid w:val="003A7D1C"/>
    <w:rsid w:val="003B304B"/>
    <w:rsid w:val="003B3146"/>
    <w:rsid w:val="003C5E6A"/>
    <w:rsid w:val="003D2A23"/>
    <w:rsid w:val="003F015E"/>
    <w:rsid w:val="00400414"/>
    <w:rsid w:val="004015B6"/>
    <w:rsid w:val="004133BE"/>
    <w:rsid w:val="0041446B"/>
    <w:rsid w:val="0044071E"/>
    <w:rsid w:val="0044329C"/>
    <w:rsid w:val="004475D1"/>
    <w:rsid w:val="00453E24"/>
    <w:rsid w:val="00457456"/>
    <w:rsid w:val="004577FE"/>
    <w:rsid w:val="00457B9C"/>
    <w:rsid w:val="0046164A"/>
    <w:rsid w:val="004628D2"/>
    <w:rsid w:val="00462DCD"/>
    <w:rsid w:val="004648AD"/>
    <w:rsid w:val="004703A9"/>
    <w:rsid w:val="004760DE"/>
    <w:rsid w:val="004763D7"/>
    <w:rsid w:val="004A004E"/>
    <w:rsid w:val="004A24CF"/>
    <w:rsid w:val="004A61A5"/>
    <w:rsid w:val="004C3D1D"/>
    <w:rsid w:val="004C73DF"/>
    <w:rsid w:val="004C7913"/>
    <w:rsid w:val="004D4DA2"/>
    <w:rsid w:val="004E4DD6"/>
    <w:rsid w:val="004F476A"/>
    <w:rsid w:val="004F5E36"/>
    <w:rsid w:val="005042DA"/>
    <w:rsid w:val="005055BB"/>
    <w:rsid w:val="00507B47"/>
    <w:rsid w:val="00507BEF"/>
    <w:rsid w:val="00507CC9"/>
    <w:rsid w:val="005119A5"/>
    <w:rsid w:val="00513911"/>
    <w:rsid w:val="005179AA"/>
    <w:rsid w:val="005278B7"/>
    <w:rsid w:val="00532016"/>
    <w:rsid w:val="005346C8"/>
    <w:rsid w:val="00540E58"/>
    <w:rsid w:val="00543E7D"/>
    <w:rsid w:val="00547A68"/>
    <w:rsid w:val="005531C9"/>
    <w:rsid w:val="005538DD"/>
    <w:rsid w:val="00554DF7"/>
    <w:rsid w:val="00565632"/>
    <w:rsid w:val="00570C43"/>
    <w:rsid w:val="0058104B"/>
    <w:rsid w:val="00586B8B"/>
    <w:rsid w:val="005905D9"/>
    <w:rsid w:val="00595440"/>
    <w:rsid w:val="00596445"/>
    <w:rsid w:val="005A2B92"/>
    <w:rsid w:val="005A6554"/>
    <w:rsid w:val="005B2110"/>
    <w:rsid w:val="005B61E6"/>
    <w:rsid w:val="005C77E1"/>
    <w:rsid w:val="005D1F1D"/>
    <w:rsid w:val="005D2858"/>
    <w:rsid w:val="005D668A"/>
    <w:rsid w:val="005D6A2F"/>
    <w:rsid w:val="005E1A82"/>
    <w:rsid w:val="005E794C"/>
    <w:rsid w:val="005F0A28"/>
    <w:rsid w:val="005F0E5E"/>
    <w:rsid w:val="00600535"/>
    <w:rsid w:val="00610CD6"/>
    <w:rsid w:val="00620DEE"/>
    <w:rsid w:val="00621F92"/>
    <w:rsid w:val="0062280A"/>
    <w:rsid w:val="00625639"/>
    <w:rsid w:val="00631B33"/>
    <w:rsid w:val="0063764F"/>
    <w:rsid w:val="0064184D"/>
    <w:rsid w:val="006422CC"/>
    <w:rsid w:val="00660E3E"/>
    <w:rsid w:val="00662E74"/>
    <w:rsid w:val="0066301B"/>
    <w:rsid w:val="0066659F"/>
    <w:rsid w:val="00674FF4"/>
    <w:rsid w:val="00677B21"/>
    <w:rsid w:val="00680C23"/>
    <w:rsid w:val="00681421"/>
    <w:rsid w:val="00687F78"/>
    <w:rsid w:val="00693766"/>
    <w:rsid w:val="006A3281"/>
    <w:rsid w:val="006A65D6"/>
    <w:rsid w:val="006B3729"/>
    <w:rsid w:val="006B4888"/>
    <w:rsid w:val="006C2E45"/>
    <w:rsid w:val="006C359C"/>
    <w:rsid w:val="006C5579"/>
    <w:rsid w:val="006C6736"/>
    <w:rsid w:val="006D6E8B"/>
    <w:rsid w:val="006E2C81"/>
    <w:rsid w:val="006E737D"/>
    <w:rsid w:val="006F7A37"/>
    <w:rsid w:val="00706AEB"/>
    <w:rsid w:val="00713973"/>
    <w:rsid w:val="00720A24"/>
    <w:rsid w:val="00732386"/>
    <w:rsid w:val="0073514D"/>
    <w:rsid w:val="007447F3"/>
    <w:rsid w:val="00744DB3"/>
    <w:rsid w:val="00750D72"/>
    <w:rsid w:val="0075169D"/>
    <w:rsid w:val="0075499F"/>
    <w:rsid w:val="007661C8"/>
    <w:rsid w:val="0077098D"/>
    <w:rsid w:val="007831E8"/>
    <w:rsid w:val="007876D8"/>
    <w:rsid w:val="007878F8"/>
    <w:rsid w:val="00790395"/>
    <w:rsid w:val="007922AB"/>
    <w:rsid w:val="007931FA"/>
    <w:rsid w:val="007A4861"/>
    <w:rsid w:val="007A7BBA"/>
    <w:rsid w:val="007B0C50"/>
    <w:rsid w:val="007B48F9"/>
    <w:rsid w:val="007C1A43"/>
    <w:rsid w:val="007C32D3"/>
    <w:rsid w:val="007C62D3"/>
    <w:rsid w:val="007D170D"/>
    <w:rsid w:val="007D640B"/>
    <w:rsid w:val="0080013E"/>
    <w:rsid w:val="00813288"/>
    <w:rsid w:val="008168FC"/>
    <w:rsid w:val="00820FDA"/>
    <w:rsid w:val="00830996"/>
    <w:rsid w:val="008345F1"/>
    <w:rsid w:val="008459B7"/>
    <w:rsid w:val="00865B07"/>
    <w:rsid w:val="008667EA"/>
    <w:rsid w:val="00873787"/>
    <w:rsid w:val="0087637F"/>
    <w:rsid w:val="00892AD5"/>
    <w:rsid w:val="008A1025"/>
    <w:rsid w:val="008A1512"/>
    <w:rsid w:val="008B1262"/>
    <w:rsid w:val="008C200D"/>
    <w:rsid w:val="008C418B"/>
    <w:rsid w:val="008C6D13"/>
    <w:rsid w:val="008D030A"/>
    <w:rsid w:val="008D32B9"/>
    <w:rsid w:val="008D433B"/>
    <w:rsid w:val="008D4B6F"/>
    <w:rsid w:val="008E4DD7"/>
    <w:rsid w:val="008E566E"/>
    <w:rsid w:val="008E7614"/>
    <w:rsid w:val="008F68C2"/>
    <w:rsid w:val="0090161A"/>
    <w:rsid w:val="00901EB6"/>
    <w:rsid w:val="00904C62"/>
    <w:rsid w:val="00906D3F"/>
    <w:rsid w:val="00922BA8"/>
    <w:rsid w:val="00924DAC"/>
    <w:rsid w:val="00927058"/>
    <w:rsid w:val="0093751C"/>
    <w:rsid w:val="00942750"/>
    <w:rsid w:val="00944DCE"/>
    <w:rsid w:val="009450CE"/>
    <w:rsid w:val="00947179"/>
    <w:rsid w:val="00950C0B"/>
    <w:rsid w:val="0095164B"/>
    <w:rsid w:val="00952EED"/>
    <w:rsid w:val="00954090"/>
    <w:rsid w:val="009573E7"/>
    <w:rsid w:val="00963E05"/>
    <w:rsid w:val="00964A45"/>
    <w:rsid w:val="00967843"/>
    <w:rsid w:val="00967D54"/>
    <w:rsid w:val="00971028"/>
    <w:rsid w:val="00993B84"/>
    <w:rsid w:val="00996483"/>
    <w:rsid w:val="00996F5A"/>
    <w:rsid w:val="009A73BA"/>
    <w:rsid w:val="009B041A"/>
    <w:rsid w:val="009B3283"/>
    <w:rsid w:val="009C12E8"/>
    <w:rsid w:val="009C37C3"/>
    <w:rsid w:val="009C5207"/>
    <w:rsid w:val="009C7C86"/>
    <w:rsid w:val="009D2FF7"/>
    <w:rsid w:val="009D6F00"/>
    <w:rsid w:val="009E2E85"/>
    <w:rsid w:val="009E7884"/>
    <w:rsid w:val="009E788A"/>
    <w:rsid w:val="009E7C69"/>
    <w:rsid w:val="009F0E08"/>
    <w:rsid w:val="00A0479E"/>
    <w:rsid w:val="00A1763D"/>
    <w:rsid w:val="00A17CEC"/>
    <w:rsid w:val="00A27EF0"/>
    <w:rsid w:val="00A42361"/>
    <w:rsid w:val="00A44778"/>
    <w:rsid w:val="00A50B20"/>
    <w:rsid w:val="00A51390"/>
    <w:rsid w:val="00A60D13"/>
    <w:rsid w:val="00A702AA"/>
    <w:rsid w:val="00A72745"/>
    <w:rsid w:val="00A76EFC"/>
    <w:rsid w:val="00A91010"/>
    <w:rsid w:val="00A937B2"/>
    <w:rsid w:val="00A96DCB"/>
    <w:rsid w:val="00A97F29"/>
    <w:rsid w:val="00AA39DB"/>
    <w:rsid w:val="00AA702E"/>
    <w:rsid w:val="00AB0964"/>
    <w:rsid w:val="00AB5011"/>
    <w:rsid w:val="00AC7368"/>
    <w:rsid w:val="00AD16B9"/>
    <w:rsid w:val="00AE377D"/>
    <w:rsid w:val="00AF03EC"/>
    <w:rsid w:val="00AF0EBA"/>
    <w:rsid w:val="00B019D6"/>
    <w:rsid w:val="00B02338"/>
    <w:rsid w:val="00B02C8A"/>
    <w:rsid w:val="00B05E0F"/>
    <w:rsid w:val="00B11CFA"/>
    <w:rsid w:val="00B11FA5"/>
    <w:rsid w:val="00B1372F"/>
    <w:rsid w:val="00B17FBD"/>
    <w:rsid w:val="00B315A6"/>
    <w:rsid w:val="00B31813"/>
    <w:rsid w:val="00B33365"/>
    <w:rsid w:val="00B47E0F"/>
    <w:rsid w:val="00B57B36"/>
    <w:rsid w:val="00B57E6F"/>
    <w:rsid w:val="00B63433"/>
    <w:rsid w:val="00B6365D"/>
    <w:rsid w:val="00B66D7F"/>
    <w:rsid w:val="00B719D8"/>
    <w:rsid w:val="00B71E80"/>
    <w:rsid w:val="00B8686D"/>
    <w:rsid w:val="00B93F69"/>
    <w:rsid w:val="00B94775"/>
    <w:rsid w:val="00B97015"/>
    <w:rsid w:val="00BA5E8A"/>
    <w:rsid w:val="00BB1DDC"/>
    <w:rsid w:val="00BC0836"/>
    <w:rsid w:val="00BC0918"/>
    <w:rsid w:val="00BC30C9"/>
    <w:rsid w:val="00BD077D"/>
    <w:rsid w:val="00BD5D0A"/>
    <w:rsid w:val="00BE3E58"/>
    <w:rsid w:val="00BE4F16"/>
    <w:rsid w:val="00BE7603"/>
    <w:rsid w:val="00BF021A"/>
    <w:rsid w:val="00C01616"/>
    <w:rsid w:val="00C0162B"/>
    <w:rsid w:val="00C05DCE"/>
    <w:rsid w:val="00C068ED"/>
    <w:rsid w:val="00C14395"/>
    <w:rsid w:val="00C164D4"/>
    <w:rsid w:val="00C22E0C"/>
    <w:rsid w:val="00C25AFD"/>
    <w:rsid w:val="00C32A1F"/>
    <w:rsid w:val="00C345B1"/>
    <w:rsid w:val="00C40142"/>
    <w:rsid w:val="00C410DA"/>
    <w:rsid w:val="00C4574F"/>
    <w:rsid w:val="00C4618F"/>
    <w:rsid w:val="00C52C3C"/>
    <w:rsid w:val="00C57182"/>
    <w:rsid w:val="00C57863"/>
    <w:rsid w:val="00C605EE"/>
    <w:rsid w:val="00C6367A"/>
    <w:rsid w:val="00C64A2F"/>
    <w:rsid w:val="00C655FD"/>
    <w:rsid w:val="00C72D97"/>
    <w:rsid w:val="00C75407"/>
    <w:rsid w:val="00C76CCE"/>
    <w:rsid w:val="00C80B81"/>
    <w:rsid w:val="00C870A8"/>
    <w:rsid w:val="00C92F38"/>
    <w:rsid w:val="00C94434"/>
    <w:rsid w:val="00CA0D75"/>
    <w:rsid w:val="00CA1C95"/>
    <w:rsid w:val="00CA3699"/>
    <w:rsid w:val="00CA5A9C"/>
    <w:rsid w:val="00CC0CB9"/>
    <w:rsid w:val="00CC0FA2"/>
    <w:rsid w:val="00CC484C"/>
    <w:rsid w:val="00CC4C20"/>
    <w:rsid w:val="00CC6E87"/>
    <w:rsid w:val="00CD3517"/>
    <w:rsid w:val="00CD5FE2"/>
    <w:rsid w:val="00CE627C"/>
    <w:rsid w:val="00CE7C68"/>
    <w:rsid w:val="00CF318F"/>
    <w:rsid w:val="00D02B4C"/>
    <w:rsid w:val="00D040C4"/>
    <w:rsid w:val="00D11F98"/>
    <w:rsid w:val="00D25BAF"/>
    <w:rsid w:val="00D31FAA"/>
    <w:rsid w:val="00D340C8"/>
    <w:rsid w:val="00D46B7E"/>
    <w:rsid w:val="00D57C84"/>
    <w:rsid w:val="00D6057D"/>
    <w:rsid w:val="00D639C1"/>
    <w:rsid w:val="00D71640"/>
    <w:rsid w:val="00D83282"/>
    <w:rsid w:val="00D836C5"/>
    <w:rsid w:val="00D84576"/>
    <w:rsid w:val="00DA1399"/>
    <w:rsid w:val="00DA24C6"/>
    <w:rsid w:val="00DA4D7B"/>
    <w:rsid w:val="00DA76FF"/>
    <w:rsid w:val="00DD4D92"/>
    <w:rsid w:val="00DE264A"/>
    <w:rsid w:val="00DF5072"/>
    <w:rsid w:val="00E02D18"/>
    <w:rsid w:val="00E041E7"/>
    <w:rsid w:val="00E23CA1"/>
    <w:rsid w:val="00E409A8"/>
    <w:rsid w:val="00E50C12"/>
    <w:rsid w:val="00E54002"/>
    <w:rsid w:val="00E65B91"/>
    <w:rsid w:val="00E70082"/>
    <w:rsid w:val="00E7209D"/>
    <w:rsid w:val="00E72EAD"/>
    <w:rsid w:val="00E733AF"/>
    <w:rsid w:val="00E73B7D"/>
    <w:rsid w:val="00E77223"/>
    <w:rsid w:val="00E8528B"/>
    <w:rsid w:val="00E85B94"/>
    <w:rsid w:val="00E978D0"/>
    <w:rsid w:val="00EA3B82"/>
    <w:rsid w:val="00EA4613"/>
    <w:rsid w:val="00EA768B"/>
    <w:rsid w:val="00EA7F91"/>
    <w:rsid w:val="00EB1523"/>
    <w:rsid w:val="00EB4943"/>
    <w:rsid w:val="00EC0E49"/>
    <w:rsid w:val="00EC101F"/>
    <w:rsid w:val="00EC1D9F"/>
    <w:rsid w:val="00EE0131"/>
    <w:rsid w:val="00EE17B0"/>
    <w:rsid w:val="00EE1872"/>
    <w:rsid w:val="00EE19C1"/>
    <w:rsid w:val="00EE2738"/>
    <w:rsid w:val="00EF06D9"/>
    <w:rsid w:val="00F21FC7"/>
    <w:rsid w:val="00F25196"/>
    <w:rsid w:val="00F30C64"/>
    <w:rsid w:val="00F32BA2"/>
    <w:rsid w:val="00F32CDB"/>
    <w:rsid w:val="00F366A9"/>
    <w:rsid w:val="00F52DAF"/>
    <w:rsid w:val="00F565FE"/>
    <w:rsid w:val="00F57649"/>
    <w:rsid w:val="00F63A70"/>
    <w:rsid w:val="00F70B22"/>
    <w:rsid w:val="00F7534E"/>
    <w:rsid w:val="00F833B7"/>
    <w:rsid w:val="00F925E7"/>
    <w:rsid w:val="00FA1802"/>
    <w:rsid w:val="00FA21D0"/>
    <w:rsid w:val="00FA5F5F"/>
    <w:rsid w:val="00FB632D"/>
    <w:rsid w:val="00FB730C"/>
    <w:rsid w:val="00FC2695"/>
    <w:rsid w:val="00FC3E03"/>
    <w:rsid w:val="00FC3FC1"/>
    <w:rsid w:val="00FC4AEE"/>
    <w:rsid w:val="00FD0B5E"/>
    <w:rsid w:val="00FF5AE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numbering" w:customStyle="1" w:styleId="Elencocorrente1">
    <w:name w:val="Elenco corrente1"/>
    <w:uiPriority w:val="99"/>
    <w:rsid w:val="00BC0918"/>
    <w:pPr>
      <w:numPr>
        <w:numId w:val="23"/>
      </w:numPr>
    </w:pPr>
  </w:style>
  <w:style w:type="character" w:styleId="Testosegnaposto">
    <w:name w:val="Placeholder Text"/>
    <w:basedOn w:val="Carpredefinitoparagrafo"/>
    <w:uiPriority w:val="99"/>
    <w:semiHidden/>
    <w:rsid w:val="00E733AF"/>
    <w:rPr>
      <w:color w:val="808080"/>
    </w:rPr>
  </w:style>
  <w:style w:type="character" w:styleId="Collegamentovisitato">
    <w:name w:val="FollowedHyperlink"/>
    <w:basedOn w:val="Carpredefinitoparagrafo"/>
    <w:uiPriority w:val="99"/>
    <w:semiHidden/>
    <w:unhideWhenUsed/>
    <w:rsid w:val="00E733AF"/>
    <w:rPr>
      <w:color w:val="800080" w:themeColor="followedHyperlink"/>
      <w:u w:val="single"/>
    </w:rPr>
  </w:style>
  <w:style w:type="paragraph" w:styleId="Revisione">
    <w:name w:val="Revision"/>
    <w:hidden/>
    <w:uiPriority w:val="99"/>
    <w:semiHidden/>
    <w:rsid w:val="00B6343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262">
      <w:bodyDiv w:val="1"/>
      <w:marLeft w:val="0"/>
      <w:marRight w:val="0"/>
      <w:marTop w:val="0"/>
      <w:marBottom w:val="0"/>
      <w:divBdr>
        <w:top w:val="none" w:sz="0" w:space="0" w:color="auto"/>
        <w:left w:val="none" w:sz="0" w:space="0" w:color="auto"/>
        <w:bottom w:val="none" w:sz="0" w:space="0" w:color="auto"/>
        <w:right w:val="none" w:sz="0" w:space="0" w:color="auto"/>
      </w:divBdr>
      <w:divsChild>
        <w:div w:id="525367104">
          <w:marLeft w:val="0"/>
          <w:marRight w:val="0"/>
          <w:marTop w:val="0"/>
          <w:marBottom w:val="0"/>
          <w:divBdr>
            <w:top w:val="none" w:sz="0" w:space="0" w:color="auto"/>
            <w:left w:val="none" w:sz="0" w:space="0" w:color="auto"/>
            <w:bottom w:val="none" w:sz="0" w:space="0" w:color="auto"/>
            <w:right w:val="none" w:sz="0" w:space="0" w:color="auto"/>
          </w:divBdr>
          <w:divsChild>
            <w:div w:id="724256840">
              <w:marLeft w:val="0"/>
              <w:marRight w:val="0"/>
              <w:marTop w:val="0"/>
              <w:marBottom w:val="0"/>
              <w:divBdr>
                <w:top w:val="none" w:sz="0" w:space="0" w:color="auto"/>
                <w:left w:val="none" w:sz="0" w:space="0" w:color="auto"/>
                <w:bottom w:val="none" w:sz="0" w:space="0" w:color="auto"/>
                <w:right w:val="none" w:sz="0" w:space="0" w:color="auto"/>
              </w:divBdr>
              <w:divsChild>
                <w:div w:id="345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109">
      <w:bodyDiv w:val="1"/>
      <w:marLeft w:val="0"/>
      <w:marRight w:val="0"/>
      <w:marTop w:val="0"/>
      <w:marBottom w:val="0"/>
      <w:divBdr>
        <w:top w:val="none" w:sz="0" w:space="0" w:color="auto"/>
        <w:left w:val="none" w:sz="0" w:space="0" w:color="auto"/>
        <w:bottom w:val="none" w:sz="0" w:space="0" w:color="auto"/>
        <w:right w:val="none" w:sz="0" w:space="0" w:color="auto"/>
      </w:divBdr>
      <w:divsChild>
        <w:div w:id="1369988326">
          <w:marLeft w:val="0"/>
          <w:marRight w:val="0"/>
          <w:marTop w:val="0"/>
          <w:marBottom w:val="0"/>
          <w:divBdr>
            <w:top w:val="none" w:sz="0" w:space="0" w:color="auto"/>
            <w:left w:val="none" w:sz="0" w:space="0" w:color="auto"/>
            <w:bottom w:val="none" w:sz="0" w:space="0" w:color="auto"/>
            <w:right w:val="none" w:sz="0" w:space="0" w:color="auto"/>
          </w:divBdr>
          <w:divsChild>
            <w:div w:id="2066950466">
              <w:marLeft w:val="0"/>
              <w:marRight w:val="0"/>
              <w:marTop w:val="0"/>
              <w:marBottom w:val="0"/>
              <w:divBdr>
                <w:top w:val="none" w:sz="0" w:space="0" w:color="auto"/>
                <w:left w:val="none" w:sz="0" w:space="0" w:color="auto"/>
                <w:bottom w:val="none" w:sz="0" w:space="0" w:color="auto"/>
                <w:right w:val="none" w:sz="0" w:space="0" w:color="auto"/>
              </w:divBdr>
              <w:divsChild>
                <w:div w:id="1331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836">
      <w:bodyDiv w:val="1"/>
      <w:marLeft w:val="0"/>
      <w:marRight w:val="0"/>
      <w:marTop w:val="0"/>
      <w:marBottom w:val="0"/>
      <w:divBdr>
        <w:top w:val="none" w:sz="0" w:space="0" w:color="auto"/>
        <w:left w:val="none" w:sz="0" w:space="0" w:color="auto"/>
        <w:bottom w:val="none" w:sz="0" w:space="0" w:color="auto"/>
        <w:right w:val="none" w:sz="0" w:space="0" w:color="auto"/>
      </w:divBdr>
      <w:divsChild>
        <w:div w:id="2026856615">
          <w:marLeft w:val="0"/>
          <w:marRight w:val="0"/>
          <w:marTop w:val="0"/>
          <w:marBottom w:val="0"/>
          <w:divBdr>
            <w:top w:val="none" w:sz="0" w:space="0" w:color="auto"/>
            <w:left w:val="none" w:sz="0" w:space="0" w:color="auto"/>
            <w:bottom w:val="none" w:sz="0" w:space="0" w:color="auto"/>
            <w:right w:val="none" w:sz="0" w:space="0" w:color="auto"/>
          </w:divBdr>
          <w:divsChild>
            <w:div w:id="1232496627">
              <w:marLeft w:val="0"/>
              <w:marRight w:val="0"/>
              <w:marTop w:val="0"/>
              <w:marBottom w:val="0"/>
              <w:divBdr>
                <w:top w:val="none" w:sz="0" w:space="0" w:color="auto"/>
                <w:left w:val="none" w:sz="0" w:space="0" w:color="auto"/>
                <w:bottom w:val="none" w:sz="0" w:space="0" w:color="auto"/>
                <w:right w:val="none" w:sz="0" w:space="0" w:color="auto"/>
              </w:divBdr>
              <w:divsChild>
                <w:div w:id="12106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22811">
      <w:bodyDiv w:val="1"/>
      <w:marLeft w:val="0"/>
      <w:marRight w:val="0"/>
      <w:marTop w:val="0"/>
      <w:marBottom w:val="0"/>
      <w:divBdr>
        <w:top w:val="none" w:sz="0" w:space="0" w:color="auto"/>
        <w:left w:val="none" w:sz="0" w:space="0" w:color="auto"/>
        <w:bottom w:val="none" w:sz="0" w:space="0" w:color="auto"/>
        <w:right w:val="none" w:sz="0" w:space="0" w:color="auto"/>
      </w:divBdr>
      <w:divsChild>
        <w:div w:id="1652522273">
          <w:marLeft w:val="64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8406">
      <w:bodyDiv w:val="1"/>
      <w:marLeft w:val="0"/>
      <w:marRight w:val="0"/>
      <w:marTop w:val="0"/>
      <w:marBottom w:val="0"/>
      <w:divBdr>
        <w:top w:val="none" w:sz="0" w:space="0" w:color="auto"/>
        <w:left w:val="none" w:sz="0" w:space="0" w:color="auto"/>
        <w:bottom w:val="none" w:sz="0" w:space="0" w:color="auto"/>
        <w:right w:val="none" w:sz="0" w:space="0" w:color="auto"/>
      </w:divBdr>
      <w:divsChild>
        <w:div w:id="1756632204">
          <w:marLeft w:val="0"/>
          <w:marRight w:val="0"/>
          <w:marTop w:val="0"/>
          <w:marBottom w:val="0"/>
          <w:divBdr>
            <w:top w:val="none" w:sz="0" w:space="0" w:color="auto"/>
            <w:left w:val="none" w:sz="0" w:space="0" w:color="auto"/>
            <w:bottom w:val="none" w:sz="0" w:space="0" w:color="auto"/>
            <w:right w:val="none" w:sz="0" w:space="0" w:color="auto"/>
          </w:divBdr>
          <w:divsChild>
            <w:div w:id="126553532">
              <w:marLeft w:val="0"/>
              <w:marRight w:val="0"/>
              <w:marTop w:val="0"/>
              <w:marBottom w:val="0"/>
              <w:divBdr>
                <w:top w:val="none" w:sz="0" w:space="0" w:color="auto"/>
                <w:left w:val="none" w:sz="0" w:space="0" w:color="auto"/>
                <w:bottom w:val="none" w:sz="0" w:space="0" w:color="auto"/>
                <w:right w:val="none" w:sz="0" w:space="0" w:color="auto"/>
              </w:divBdr>
              <w:divsChild>
                <w:div w:id="8300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5013">
      <w:bodyDiv w:val="1"/>
      <w:marLeft w:val="0"/>
      <w:marRight w:val="0"/>
      <w:marTop w:val="0"/>
      <w:marBottom w:val="0"/>
      <w:divBdr>
        <w:top w:val="none" w:sz="0" w:space="0" w:color="auto"/>
        <w:left w:val="none" w:sz="0" w:space="0" w:color="auto"/>
        <w:bottom w:val="none" w:sz="0" w:space="0" w:color="auto"/>
        <w:right w:val="none" w:sz="0" w:space="0" w:color="auto"/>
      </w:divBdr>
      <w:divsChild>
        <w:div w:id="1910921324">
          <w:marLeft w:val="0"/>
          <w:marRight w:val="0"/>
          <w:marTop w:val="0"/>
          <w:marBottom w:val="0"/>
          <w:divBdr>
            <w:top w:val="none" w:sz="0" w:space="0" w:color="auto"/>
            <w:left w:val="none" w:sz="0" w:space="0" w:color="auto"/>
            <w:bottom w:val="none" w:sz="0" w:space="0" w:color="auto"/>
            <w:right w:val="none" w:sz="0" w:space="0" w:color="auto"/>
          </w:divBdr>
          <w:divsChild>
            <w:div w:id="356809760">
              <w:marLeft w:val="0"/>
              <w:marRight w:val="0"/>
              <w:marTop w:val="0"/>
              <w:marBottom w:val="0"/>
              <w:divBdr>
                <w:top w:val="none" w:sz="0" w:space="0" w:color="auto"/>
                <w:left w:val="none" w:sz="0" w:space="0" w:color="auto"/>
                <w:bottom w:val="none" w:sz="0" w:space="0" w:color="auto"/>
                <w:right w:val="none" w:sz="0" w:space="0" w:color="auto"/>
              </w:divBdr>
              <w:divsChild>
                <w:div w:id="16489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72041536">
      <w:bodyDiv w:val="1"/>
      <w:marLeft w:val="0"/>
      <w:marRight w:val="0"/>
      <w:marTop w:val="0"/>
      <w:marBottom w:val="0"/>
      <w:divBdr>
        <w:top w:val="none" w:sz="0" w:space="0" w:color="auto"/>
        <w:left w:val="none" w:sz="0" w:space="0" w:color="auto"/>
        <w:bottom w:val="none" w:sz="0" w:space="0" w:color="auto"/>
        <w:right w:val="none" w:sz="0" w:space="0" w:color="auto"/>
      </w:divBdr>
      <w:divsChild>
        <w:div w:id="2096970401">
          <w:marLeft w:val="0"/>
          <w:marRight w:val="0"/>
          <w:marTop w:val="0"/>
          <w:marBottom w:val="0"/>
          <w:divBdr>
            <w:top w:val="none" w:sz="0" w:space="0" w:color="auto"/>
            <w:left w:val="none" w:sz="0" w:space="0" w:color="auto"/>
            <w:bottom w:val="none" w:sz="0" w:space="0" w:color="auto"/>
            <w:right w:val="none" w:sz="0" w:space="0" w:color="auto"/>
          </w:divBdr>
          <w:divsChild>
            <w:div w:id="1963269862">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29900">
      <w:bodyDiv w:val="1"/>
      <w:marLeft w:val="0"/>
      <w:marRight w:val="0"/>
      <w:marTop w:val="0"/>
      <w:marBottom w:val="0"/>
      <w:divBdr>
        <w:top w:val="none" w:sz="0" w:space="0" w:color="auto"/>
        <w:left w:val="none" w:sz="0" w:space="0" w:color="auto"/>
        <w:bottom w:val="none" w:sz="0" w:space="0" w:color="auto"/>
        <w:right w:val="none" w:sz="0" w:space="0" w:color="auto"/>
      </w:divBdr>
      <w:divsChild>
        <w:div w:id="642732130">
          <w:marLeft w:val="0"/>
          <w:marRight w:val="0"/>
          <w:marTop w:val="0"/>
          <w:marBottom w:val="0"/>
          <w:divBdr>
            <w:top w:val="none" w:sz="0" w:space="0" w:color="auto"/>
            <w:left w:val="none" w:sz="0" w:space="0" w:color="auto"/>
            <w:bottom w:val="none" w:sz="0" w:space="0" w:color="auto"/>
            <w:right w:val="none" w:sz="0" w:space="0" w:color="auto"/>
          </w:divBdr>
          <w:divsChild>
            <w:div w:id="2055418784">
              <w:marLeft w:val="0"/>
              <w:marRight w:val="0"/>
              <w:marTop w:val="0"/>
              <w:marBottom w:val="0"/>
              <w:divBdr>
                <w:top w:val="none" w:sz="0" w:space="0" w:color="auto"/>
                <w:left w:val="none" w:sz="0" w:space="0" w:color="auto"/>
                <w:bottom w:val="none" w:sz="0" w:space="0" w:color="auto"/>
                <w:right w:val="none" w:sz="0" w:space="0" w:color="auto"/>
              </w:divBdr>
              <w:divsChild>
                <w:div w:id="6366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5908">
      <w:bodyDiv w:val="1"/>
      <w:marLeft w:val="0"/>
      <w:marRight w:val="0"/>
      <w:marTop w:val="0"/>
      <w:marBottom w:val="0"/>
      <w:divBdr>
        <w:top w:val="none" w:sz="0" w:space="0" w:color="auto"/>
        <w:left w:val="none" w:sz="0" w:space="0" w:color="auto"/>
        <w:bottom w:val="none" w:sz="0" w:space="0" w:color="auto"/>
        <w:right w:val="none" w:sz="0" w:space="0" w:color="auto"/>
      </w:divBdr>
      <w:divsChild>
        <w:div w:id="1524975020">
          <w:marLeft w:val="0"/>
          <w:marRight w:val="0"/>
          <w:marTop w:val="0"/>
          <w:marBottom w:val="0"/>
          <w:divBdr>
            <w:top w:val="none" w:sz="0" w:space="0" w:color="auto"/>
            <w:left w:val="none" w:sz="0" w:space="0" w:color="auto"/>
            <w:bottom w:val="none" w:sz="0" w:space="0" w:color="auto"/>
            <w:right w:val="none" w:sz="0" w:space="0" w:color="auto"/>
          </w:divBdr>
          <w:divsChild>
            <w:div w:id="138497312">
              <w:marLeft w:val="0"/>
              <w:marRight w:val="0"/>
              <w:marTop w:val="0"/>
              <w:marBottom w:val="0"/>
              <w:divBdr>
                <w:top w:val="none" w:sz="0" w:space="0" w:color="auto"/>
                <w:left w:val="none" w:sz="0" w:space="0" w:color="auto"/>
                <w:bottom w:val="none" w:sz="0" w:space="0" w:color="auto"/>
                <w:right w:val="none" w:sz="0" w:space="0" w:color="auto"/>
              </w:divBdr>
              <w:divsChild>
                <w:div w:id="11010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2322">
      <w:bodyDiv w:val="1"/>
      <w:marLeft w:val="0"/>
      <w:marRight w:val="0"/>
      <w:marTop w:val="0"/>
      <w:marBottom w:val="0"/>
      <w:divBdr>
        <w:top w:val="none" w:sz="0" w:space="0" w:color="auto"/>
        <w:left w:val="none" w:sz="0" w:space="0" w:color="auto"/>
        <w:bottom w:val="none" w:sz="0" w:space="0" w:color="auto"/>
        <w:right w:val="none" w:sz="0" w:space="0" w:color="auto"/>
      </w:divBdr>
      <w:divsChild>
        <w:div w:id="1244490859">
          <w:marLeft w:val="0"/>
          <w:marRight w:val="0"/>
          <w:marTop w:val="0"/>
          <w:marBottom w:val="0"/>
          <w:divBdr>
            <w:top w:val="none" w:sz="0" w:space="0" w:color="auto"/>
            <w:left w:val="none" w:sz="0" w:space="0" w:color="auto"/>
            <w:bottom w:val="none" w:sz="0" w:space="0" w:color="auto"/>
            <w:right w:val="none" w:sz="0" w:space="0" w:color="auto"/>
          </w:divBdr>
          <w:divsChild>
            <w:div w:id="227494696">
              <w:marLeft w:val="0"/>
              <w:marRight w:val="0"/>
              <w:marTop w:val="0"/>
              <w:marBottom w:val="0"/>
              <w:divBdr>
                <w:top w:val="none" w:sz="0" w:space="0" w:color="auto"/>
                <w:left w:val="none" w:sz="0" w:space="0" w:color="auto"/>
                <w:bottom w:val="none" w:sz="0" w:space="0" w:color="auto"/>
                <w:right w:val="none" w:sz="0" w:space="0" w:color="auto"/>
              </w:divBdr>
              <w:divsChild>
                <w:div w:id="7081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8185">
      <w:bodyDiv w:val="1"/>
      <w:marLeft w:val="0"/>
      <w:marRight w:val="0"/>
      <w:marTop w:val="0"/>
      <w:marBottom w:val="0"/>
      <w:divBdr>
        <w:top w:val="none" w:sz="0" w:space="0" w:color="auto"/>
        <w:left w:val="none" w:sz="0" w:space="0" w:color="auto"/>
        <w:bottom w:val="none" w:sz="0" w:space="0" w:color="auto"/>
        <w:right w:val="none" w:sz="0" w:space="0" w:color="auto"/>
      </w:divBdr>
    </w:div>
    <w:div w:id="2047483966">
      <w:bodyDiv w:val="1"/>
      <w:marLeft w:val="0"/>
      <w:marRight w:val="0"/>
      <w:marTop w:val="0"/>
      <w:marBottom w:val="0"/>
      <w:divBdr>
        <w:top w:val="none" w:sz="0" w:space="0" w:color="auto"/>
        <w:left w:val="none" w:sz="0" w:space="0" w:color="auto"/>
        <w:bottom w:val="none" w:sz="0" w:space="0" w:color="auto"/>
        <w:right w:val="none" w:sz="0" w:space="0" w:color="auto"/>
      </w:divBdr>
      <w:divsChild>
        <w:div w:id="1494680209">
          <w:marLeft w:val="640"/>
          <w:marRight w:val="0"/>
          <w:marTop w:val="0"/>
          <w:marBottom w:val="0"/>
          <w:divBdr>
            <w:top w:val="none" w:sz="0" w:space="0" w:color="auto"/>
            <w:left w:val="none" w:sz="0" w:space="0" w:color="auto"/>
            <w:bottom w:val="none" w:sz="0" w:space="0" w:color="auto"/>
            <w:right w:val="none" w:sz="0" w:space="0" w:color="auto"/>
          </w:divBdr>
        </w:div>
      </w:divsChild>
    </w:div>
    <w:div w:id="2112427149">
      <w:bodyDiv w:val="1"/>
      <w:marLeft w:val="0"/>
      <w:marRight w:val="0"/>
      <w:marTop w:val="0"/>
      <w:marBottom w:val="0"/>
      <w:divBdr>
        <w:top w:val="none" w:sz="0" w:space="0" w:color="auto"/>
        <w:left w:val="none" w:sz="0" w:space="0" w:color="auto"/>
        <w:bottom w:val="none" w:sz="0" w:space="0" w:color="auto"/>
        <w:right w:val="none" w:sz="0" w:space="0" w:color="auto"/>
      </w:divBdr>
      <w:divsChild>
        <w:div w:id="1013456041">
          <w:marLeft w:val="0"/>
          <w:marRight w:val="0"/>
          <w:marTop w:val="0"/>
          <w:marBottom w:val="0"/>
          <w:divBdr>
            <w:top w:val="none" w:sz="0" w:space="0" w:color="auto"/>
            <w:left w:val="none" w:sz="0" w:space="0" w:color="auto"/>
            <w:bottom w:val="none" w:sz="0" w:space="0" w:color="auto"/>
            <w:right w:val="none" w:sz="0" w:space="0" w:color="auto"/>
          </w:divBdr>
          <w:divsChild>
            <w:div w:id="2067295585">
              <w:marLeft w:val="0"/>
              <w:marRight w:val="0"/>
              <w:marTop w:val="0"/>
              <w:marBottom w:val="0"/>
              <w:divBdr>
                <w:top w:val="none" w:sz="0" w:space="0" w:color="auto"/>
                <w:left w:val="none" w:sz="0" w:space="0" w:color="auto"/>
                <w:bottom w:val="none" w:sz="0" w:space="0" w:color="auto"/>
                <w:right w:val="none" w:sz="0" w:space="0" w:color="auto"/>
              </w:divBdr>
              <w:divsChild>
                <w:div w:id="8518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4F6BB2-7C21-5543-B19E-D36A01D7B154}">
  <we:reference id="wa104382081" version="1.35.0.0" store="it-IT" storeType="OMEX"/>
  <we:alternateReferences>
    <we:reference id="WA104382081" version="1.35.0.0" store="it-IT" storeType="OMEX"/>
  </we:alternateReferences>
  <we:properties>
    <we:property name="MENDELEY_CITATIONS" value="[]"/>
    <we:property name="MENDELEY_CITATIONS_STYLE" value="&quot;https://www.zotero.org/styles/energie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056B7-79E5-436C-BE2F-F9DC5814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2735</Words>
  <Characters>15592</Characters>
  <Application>Microsoft Office Word</Application>
  <DocSecurity>0</DocSecurity>
  <Lines>129</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Matteo Borella</cp:lastModifiedBy>
  <cp:revision>3</cp:revision>
  <cp:lastPrinted>2022-03-21T10:13:00Z</cp:lastPrinted>
  <dcterms:created xsi:type="dcterms:W3CDTF">2022-03-21T13:05:00Z</dcterms:created>
  <dcterms:modified xsi:type="dcterms:W3CDTF">2022-03-21T13:10:00Z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