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542ABCE" w:rsidR="00E978D0" w:rsidRPr="00B57B36" w:rsidRDefault="000B7900" w:rsidP="00E978D0">
      <w:pPr>
        <w:pStyle w:val="CETTitle"/>
      </w:pPr>
      <w:r>
        <w:t xml:space="preserve">Preliminary Techno-economic and Sensitivity Analysis of </w:t>
      </w:r>
      <w:r w:rsidRPr="000B7900">
        <w:rPr>
          <w:i/>
          <w:iCs/>
        </w:rPr>
        <w:t>Spirulina</w:t>
      </w:r>
      <w:r>
        <w:t xml:space="preserve"> Powder Production Using a Short-tank Internally Illuminated Concentric-tube Airlift Photobioreactor</w:t>
      </w:r>
    </w:p>
    <w:p w14:paraId="0488FED2" w14:textId="23146142" w:rsidR="00B57E6F" w:rsidRPr="00B57B36" w:rsidRDefault="000B7900" w:rsidP="00B57E6F">
      <w:pPr>
        <w:pStyle w:val="CETAuthors"/>
      </w:pPr>
      <w:r>
        <w:t>Butch G. Bataller</w:t>
      </w:r>
      <w:r w:rsidR="00B57E6F" w:rsidRPr="00B57B36">
        <w:rPr>
          <w:vertAlign w:val="superscript"/>
        </w:rPr>
        <w:t>a</w:t>
      </w:r>
      <w:r>
        <w:rPr>
          <w:vertAlign w:val="superscript"/>
        </w:rPr>
        <w:t>,</w:t>
      </w:r>
      <w:r w:rsidRPr="000B7900">
        <w:t>*</w:t>
      </w:r>
      <w:r w:rsidR="00B57E6F" w:rsidRPr="00B57B36">
        <w:t xml:space="preserve">, </w:t>
      </w:r>
      <w:r>
        <w:t>Sergio C. Capareda</w:t>
      </w:r>
      <w:r w:rsidR="00B57E6F" w:rsidRPr="00B57B36">
        <w:rPr>
          <w:vertAlign w:val="superscript"/>
        </w:rPr>
        <w:t>b</w:t>
      </w:r>
    </w:p>
    <w:p w14:paraId="6B2D21B3" w14:textId="2156AB92" w:rsidR="00B57E6F" w:rsidRPr="00B57B36" w:rsidRDefault="00B57E6F" w:rsidP="00B57E6F">
      <w:pPr>
        <w:pStyle w:val="CETAddress"/>
      </w:pPr>
      <w:r w:rsidRPr="00B57B36">
        <w:rPr>
          <w:vertAlign w:val="superscript"/>
        </w:rPr>
        <w:t>a</w:t>
      </w:r>
      <w:r w:rsidR="000B7900" w:rsidRPr="000B7900">
        <w:t>University of the Philippines Los Baños, Laguna, Philippines</w:t>
      </w:r>
      <w:r w:rsidRPr="00B57B36">
        <w:t xml:space="preserve"> </w:t>
      </w:r>
    </w:p>
    <w:p w14:paraId="3D72B0B0" w14:textId="797E9857" w:rsidR="00B57E6F" w:rsidRPr="00B57B36" w:rsidRDefault="00B57E6F" w:rsidP="00B57E6F">
      <w:pPr>
        <w:pStyle w:val="CETAddress"/>
      </w:pPr>
      <w:r w:rsidRPr="00B57B36">
        <w:rPr>
          <w:vertAlign w:val="superscript"/>
        </w:rPr>
        <w:t>b</w:t>
      </w:r>
      <w:r w:rsidR="003E1B49">
        <w:t>Texas A&amp;M University, Texas, USA</w:t>
      </w:r>
    </w:p>
    <w:p w14:paraId="73F1267A" w14:textId="39D2EA92" w:rsidR="00B57E6F" w:rsidRPr="00B57B36" w:rsidRDefault="00B57E6F" w:rsidP="00B57E6F">
      <w:pPr>
        <w:pStyle w:val="CETemail"/>
      </w:pPr>
      <w:r>
        <w:t xml:space="preserve"> </w:t>
      </w:r>
      <w:r w:rsidR="003E1B49">
        <w:t>bgbataller@up.edu.ph</w:t>
      </w:r>
    </w:p>
    <w:p w14:paraId="41FC5AA9" w14:textId="7B958810" w:rsidR="00E13217" w:rsidRPr="00E13217" w:rsidRDefault="00E13217" w:rsidP="00E13217">
      <w:pPr>
        <w:pStyle w:val="ListParagraph"/>
        <w:ind w:left="0"/>
        <w:rPr>
          <w:rFonts w:cs="Arial"/>
        </w:rPr>
      </w:pPr>
      <w:r w:rsidRPr="00E13217">
        <w:rPr>
          <w:rFonts w:cs="Arial"/>
        </w:rPr>
        <w:t>A bench-scale 3-</w:t>
      </w:r>
      <w:r w:rsidR="00E37F4A">
        <w:rPr>
          <w:rFonts w:cs="Arial"/>
        </w:rPr>
        <w:t>L</w:t>
      </w:r>
      <w:r w:rsidRPr="00E13217">
        <w:rPr>
          <w:rFonts w:cs="Arial"/>
        </w:rPr>
        <w:t xml:space="preserve"> internally illuminated concentric-tube airlift photobioreactor with an aspect ratio (H/D) ratio of approximately 2.0 and riser-to-downcomer area (A</w:t>
      </w:r>
      <w:r w:rsidRPr="00E13217">
        <w:rPr>
          <w:rFonts w:cs="Arial"/>
          <w:vertAlign w:val="subscript"/>
        </w:rPr>
        <w:t>r</w:t>
      </w:r>
      <w:r w:rsidRPr="00E13217">
        <w:rPr>
          <w:rFonts w:cs="Arial"/>
        </w:rPr>
        <w:t>/A</w:t>
      </w:r>
      <w:r w:rsidRPr="00E13217">
        <w:rPr>
          <w:rFonts w:cs="Arial"/>
          <w:vertAlign w:val="subscript"/>
        </w:rPr>
        <w:t>d</w:t>
      </w:r>
      <w:r w:rsidRPr="00E13217">
        <w:rPr>
          <w:rFonts w:cs="Arial"/>
        </w:rPr>
        <w:t xml:space="preserve">) ratio of 0.42 was designed, fabricated, and tested for the cultivation of </w:t>
      </w:r>
      <w:r w:rsidRPr="00E13217">
        <w:rPr>
          <w:rFonts w:cs="Arial"/>
          <w:i/>
          <w:iCs/>
        </w:rPr>
        <w:t>Spirulina platensis</w:t>
      </w:r>
      <w:r w:rsidRPr="00E13217">
        <w:rPr>
          <w:rFonts w:cs="Arial"/>
        </w:rPr>
        <w:t xml:space="preserve">. Using the results of the bench-scale experiments, a preliminary techno-economic analysis of producing dried </w:t>
      </w:r>
      <w:r w:rsidRPr="00E13217">
        <w:rPr>
          <w:rFonts w:cs="Arial"/>
          <w:i/>
          <w:iCs/>
        </w:rPr>
        <w:t>Spirulina</w:t>
      </w:r>
      <w:r w:rsidRPr="00E13217">
        <w:rPr>
          <w:rFonts w:cs="Arial"/>
        </w:rPr>
        <w:t xml:space="preserve"> biomass in a larger scale (</w:t>
      </w:r>
      <w:r w:rsidR="00E61B67">
        <w:rPr>
          <w:rFonts w:cs="Arial"/>
        </w:rPr>
        <w:t xml:space="preserve">in four </w:t>
      </w:r>
      <w:r w:rsidRPr="00E13217">
        <w:rPr>
          <w:rFonts w:cs="Arial"/>
        </w:rPr>
        <w:t>20-m</w:t>
      </w:r>
      <w:r w:rsidRPr="00E13217">
        <w:rPr>
          <w:rFonts w:cs="Arial"/>
          <w:vertAlign w:val="superscript"/>
        </w:rPr>
        <w:t>3</w:t>
      </w:r>
      <w:r w:rsidRPr="00E13217">
        <w:rPr>
          <w:rFonts w:cs="Arial"/>
        </w:rPr>
        <w:t xml:space="preserve"> photobioreactor</w:t>
      </w:r>
      <w:r w:rsidR="00E61B67">
        <w:rPr>
          <w:rFonts w:cs="Arial"/>
        </w:rPr>
        <w:t>s</w:t>
      </w:r>
      <w:r w:rsidRPr="00E13217">
        <w:rPr>
          <w:rFonts w:cs="Arial"/>
        </w:rPr>
        <w:t xml:space="preserve">) was conducted. For this analysis, the aspect ratio </w:t>
      </w:r>
      <w:r w:rsidR="00DC1040">
        <w:rPr>
          <w:rFonts w:cs="Arial"/>
        </w:rPr>
        <w:t>and</w:t>
      </w:r>
      <w:r w:rsidRPr="00E13217">
        <w:rPr>
          <w:rFonts w:cs="Arial"/>
        </w:rPr>
        <w:t xml:space="preserve"> A</w:t>
      </w:r>
      <w:r w:rsidRPr="00E13217">
        <w:rPr>
          <w:rFonts w:cs="Arial"/>
          <w:vertAlign w:val="subscript"/>
        </w:rPr>
        <w:t>r</w:t>
      </w:r>
      <w:r w:rsidRPr="00E13217">
        <w:rPr>
          <w:rFonts w:cs="Arial"/>
        </w:rPr>
        <w:t>/A</w:t>
      </w:r>
      <w:r w:rsidRPr="00E13217">
        <w:rPr>
          <w:rFonts w:cs="Arial"/>
          <w:vertAlign w:val="subscript"/>
        </w:rPr>
        <w:t>d</w:t>
      </w:r>
      <w:r w:rsidRPr="00E13217">
        <w:rPr>
          <w:rFonts w:cs="Arial"/>
        </w:rPr>
        <w:t xml:space="preserve"> were maintained. The selling price of the </w:t>
      </w:r>
      <w:r w:rsidRPr="00E13217">
        <w:rPr>
          <w:rFonts w:cs="Arial"/>
          <w:i/>
        </w:rPr>
        <w:t>Spirulina</w:t>
      </w:r>
      <w:r w:rsidRPr="00E13217">
        <w:rPr>
          <w:rFonts w:cs="Arial"/>
        </w:rPr>
        <w:t xml:space="preserve"> powder was based on </w:t>
      </w:r>
      <w:r w:rsidR="00CE0E1A">
        <w:rPr>
          <w:rFonts w:cs="Arial"/>
        </w:rPr>
        <w:t>literature</w:t>
      </w:r>
      <w:r w:rsidRPr="00E13217">
        <w:rPr>
          <w:rFonts w:cs="Arial"/>
        </w:rPr>
        <w:t xml:space="preserve">. For the preliminary techno-economic evaluation, 300 days per year production and continuous operation was assumed. Results show that </w:t>
      </w:r>
      <w:r w:rsidRPr="00E13217">
        <w:rPr>
          <w:rFonts w:cs="Arial"/>
          <w:i/>
        </w:rPr>
        <w:t>Spirulina</w:t>
      </w:r>
      <w:r w:rsidRPr="00E13217">
        <w:rPr>
          <w:rFonts w:cs="Arial"/>
        </w:rPr>
        <w:t xml:space="preserve"> powder production plant with a total photobioreactor capacity of 80-m</w:t>
      </w:r>
      <w:r w:rsidRPr="00E13217">
        <w:rPr>
          <w:rFonts w:cs="Arial"/>
          <w:vertAlign w:val="superscript"/>
        </w:rPr>
        <w:t>3</w:t>
      </w:r>
      <w:r w:rsidRPr="00E13217">
        <w:rPr>
          <w:rFonts w:cs="Arial"/>
        </w:rPr>
        <w:t xml:space="preserve"> revealed an attractive venture. The profit margin is </w:t>
      </w:r>
      <w:r w:rsidR="00941FAA" w:rsidRPr="00E13217">
        <w:rPr>
          <w:rFonts w:cs="Arial"/>
        </w:rPr>
        <w:t>positive,</w:t>
      </w:r>
      <w:r w:rsidRPr="00E13217">
        <w:rPr>
          <w:rFonts w:cs="Arial"/>
        </w:rPr>
        <w:t xml:space="preserve"> and the payback period is 6.34 years. A sensitivity analysis was also conducted. The effects of total photobioreactor capacity and operating conditions on net income, profit margin, and payback period were determined. The minimum selling price at various total photobioreactor capacities were also calculated. </w:t>
      </w:r>
    </w:p>
    <w:p w14:paraId="476B2F2E" w14:textId="77777777" w:rsidR="00600535" w:rsidRPr="00B57B36" w:rsidRDefault="00600535" w:rsidP="00600535">
      <w:pPr>
        <w:pStyle w:val="CETHeading1"/>
        <w:rPr>
          <w:lang w:val="en-GB"/>
        </w:rPr>
      </w:pPr>
      <w:r w:rsidRPr="00B57B36">
        <w:rPr>
          <w:lang w:val="en-GB"/>
        </w:rPr>
        <w:t>Introduction</w:t>
      </w:r>
    </w:p>
    <w:p w14:paraId="1964E637" w14:textId="29D5B499" w:rsidR="008A3B66" w:rsidRDefault="008A3B66" w:rsidP="007645A3">
      <w:pPr>
        <w:pStyle w:val="ListParagraph"/>
        <w:ind w:left="0"/>
      </w:pPr>
      <w:r w:rsidRPr="00665EB3">
        <w:t xml:space="preserve">Algal cultures </w:t>
      </w:r>
      <w:r w:rsidR="0063576E">
        <w:t>are</w:t>
      </w:r>
      <w:r w:rsidRPr="00665EB3">
        <w:t xml:space="preserve"> traditionally grown in open ponds, either in natural waters or in artificial ponds due to their simplicity and inexpensiveness</w:t>
      </w:r>
      <w:r>
        <w:t xml:space="preserve"> (Ugwu, Aoyagi, and Uchiyama, 2008)</w:t>
      </w:r>
      <w:r w:rsidR="00F5032E">
        <w:t xml:space="preserve">. </w:t>
      </w:r>
      <w:r w:rsidRPr="00665EB3">
        <w:t xml:space="preserve">Larger production capacity can also be achieved relative to </w:t>
      </w:r>
      <w:r w:rsidR="00F5032E">
        <w:t>photobioreactors (</w:t>
      </w:r>
      <w:r w:rsidRPr="00665EB3">
        <w:t>PBRs</w:t>
      </w:r>
      <w:r w:rsidR="00F5032E">
        <w:t>)</w:t>
      </w:r>
      <w:r w:rsidRPr="00665EB3">
        <w:t xml:space="preserve"> of comparable cost</w:t>
      </w:r>
      <w:r w:rsidR="0063576E">
        <w:t xml:space="preserve"> (Singh and Sharma, 2012)</w:t>
      </w:r>
      <w:r w:rsidRPr="00665EB3">
        <w:t>. However, open pond systems suffer from poor light utilization</w:t>
      </w:r>
      <w:r w:rsidR="00941FAA">
        <w:t xml:space="preserve"> and environmental control</w:t>
      </w:r>
      <w:r w:rsidRPr="00665EB3">
        <w:t>,</w:t>
      </w:r>
      <w:r w:rsidR="0063576E">
        <w:t xml:space="preserve"> </w:t>
      </w:r>
      <w:r w:rsidRPr="00665EB3">
        <w:t>uneven light intensity, evaporative losses, diffusion of CO</w:t>
      </w:r>
      <w:r w:rsidRPr="008A3B66">
        <w:rPr>
          <w:vertAlign w:val="subscript"/>
        </w:rPr>
        <w:t>2</w:t>
      </w:r>
      <w:r w:rsidRPr="00665EB3">
        <w:t xml:space="preserve"> to the atmosphere, </w:t>
      </w:r>
      <w:r w:rsidR="00F5032E">
        <w:t xml:space="preserve">low cell densities, contamination, </w:t>
      </w:r>
      <w:r w:rsidRPr="00665EB3">
        <w:t xml:space="preserve">and requirement of large </w:t>
      </w:r>
      <w:r>
        <w:t xml:space="preserve">land </w:t>
      </w:r>
      <w:r w:rsidRPr="00665EB3">
        <w:t>areas</w:t>
      </w:r>
      <w:r w:rsidR="0063576E">
        <w:t xml:space="preserve"> (Cuaresma et al., 2011</w:t>
      </w:r>
      <w:r w:rsidR="00F5032E">
        <w:t xml:space="preserve">; </w:t>
      </w:r>
      <w:r w:rsidR="003D19E5">
        <w:t>Aci</w:t>
      </w:r>
      <w:r w:rsidR="003D19E5">
        <w:rPr>
          <w:rFonts w:cs="Arial"/>
        </w:rPr>
        <w:t>é</w:t>
      </w:r>
      <w:r w:rsidR="003D19E5">
        <w:t>n et al., 2017</w:t>
      </w:r>
      <w:r w:rsidR="00F5032E">
        <w:t>).</w:t>
      </w:r>
      <w:r w:rsidR="00E61B67">
        <w:t xml:space="preserve"> </w:t>
      </w:r>
      <w:r w:rsidR="007645A3">
        <w:t>T</w:t>
      </w:r>
      <w:r w:rsidRPr="00665EB3">
        <w:t>o overcome the</w:t>
      </w:r>
      <w:r w:rsidR="00941FAA">
        <w:t>se</w:t>
      </w:r>
      <w:r w:rsidRPr="00665EB3">
        <w:t xml:space="preserve"> lim</w:t>
      </w:r>
      <w:r>
        <w:t>itations</w:t>
      </w:r>
      <w:r w:rsidR="007645A3">
        <w:t>, the use of closed systems such as PBRs gained attention</w:t>
      </w:r>
      <w:r w:rsidRPr="00665EB3">
        <w:t xml:space="preserve">. </w:t>
      </w:r>
      <w:r w:rsidR="007645A3">
        <w:t>PBRs</w:t>
      </w:r>
      <w:r w:rsidRPr="00665EB3">
        <w:t xml:space="preserve"> minimize contamination and allow axenic algal cultivation of monocultures</w:t>
      </w:r>
      <w:r w:rsidR="002E0CAF">
        <w:t xml:space="preserve"> (Singh and Sharma, 2012)</w:t>
      </w:r>
      <w:r w:rsidRPr="00665EB3">
        <w:t>. Better control of growth conditions such as pH, temperature, light, CO</w:t>
      </w:r>
      <w:r w:rsidRPr="008A3B66">
        <w:rPr>
          <w:vertAlign w:val="subscript"/>
        </w:rPr>
        <w:t>2</w:t>
      </w:r>
      <w:r w:rsidRPr="00665EB3">
        <w:t xml:space="preserve"> level, and </w:t>
      </w:r>
      <w:r>
        <w:t>biomass</w:t>
      </w:r>
      <w:r w:rsidRPr="00665EB3">
        <w:t xml:space="preserve"> concentration can be achieved</w:t>
      </w:r>
      <w:r w:rsidR="002E0CAF">
        <w:t xml:space="preserve"> (Ugwu, Aoyagi, and Uchiyama, 2008)</w:t>
      </w:r>
      <w:r w:rsidRPr="00665EB3">
        <w:t>.</w:t>
      </w:r>
      <w:r w:rsidR="002E0CAF">
        <w:t xml:space="preserve"> For these reasons, PBRs can</w:t>
      </w:r>
      <w:r w:rsidRPr="00665EB3">
        <w:t xml:space="preserve"> support much higher photosynthetic efficiency and biomass productivity</w:t>
      </w:r>
      <w:r w:rsidR="002E0CAF">
        <w:t xml:space="preserve"> (Wang, Lan, and Horsman, 2012)</w:t>
      </w:r>
      <w:r w:rsidRPr="00665EB3">
        <w:t xml:space="preserve">. </w:t>
      </w:r>
    </w:p>
    <w:p w14:paraId="0123B4B0" w14:textId="2F84EA1A" w:rsidR="008A3B66" w:rsidRDefault="002E0CAF" w:rsidP="002003BD">
      <w:pPr>
        <w:pStyle w:val="ListParagraph"/>
        <w:ind w:left="0"/>
      </w:pPr>
      <w:r>
        <w:t>In</w:t>
      </w:r>
      <w:r w:rsidR="008A3B66">
        <w:t xml:space="preserve"> this study</w:t>
      </w:r>
      <w:r>
        <w:t>,</w:t>
      </w:r>
      <w:r w:rsidR="002003BD">
        <w:t xml:space="preserve"> a </w:t>
      </w:r>
      <w:r w:rsidR="006A22D5">
        <w:t xml:space="preserve">concentric-tube </w:t>
      </w:r>
      <w:r w:rsidR="0004517A">
        <w:t>airlift photobioreactor was chosen due to its simple design</w:t>
      </w:r>
      <w:r w:rsidR="006A22D5">
        <w:t xml:space="preserve"> and </w:t>
      </w:r>
      <w:r w:rsidR="004B0E38">
        <w:t>cost-effectiveness</w:t>
      </w:r>
      <w:r w:rsidR="0004517A">
        <w:t xml:space="preserve">. </w:t>
      </w:r>
      <w:r w:rsidR="006A22D5" w:rsidRPr="00665EB3">
        <w:t xml:space="preserve">One major advantage </w:t>
      </w:r>
      <w:r w:rsidR="006A22D5" w:rsidRPr="00E37F4A">
        <w:t xml:space="preserve">of airlift reactors is the flashing light effect </w:t>
      </w:r>
      <w:r w:rsidR="002003BD" w:rsidRPr="00E37F4A">
        <w:t xml:space="preserve">leading to better photosynthetic efficiency </w:t>
      </w:r>
      <w:r w:rsidR="004B0E38" w:rsidRPr="00E37F4A">
        <w:t xml:space="preserve">and higher biomass productivity </w:t>
      </w:r>
      <w:r w:rsidR="006A22D5" w:rsidRPr="00E37F4A">
        <w:t>(Barbosa et al., 2003).</w:t>
      </w:r>
      <w:r w:rsidR="006A22D5" w:rsidRPr="00665EB3">
        <w:t xml:space="preserve"> </w:t>
      </w:r>
      <w:r w:rsidR="00E37F4A">
        <w:t xml:space="preserve">Yustinadiar, Manurung, and Suantika (2020) observed a significant increase in </w:t>
      </w:r>
      <w:r w:rsidR="00E37F4A" w:rsidRPr="00E37F4A">
        <w:rPr>
          <w:i/>
          <w:iCs/>
        </w:rPr>
        <w:t xml:space="preserve">Nannochloropsis </w:t>
      </w:r>
      <w:r w:rsidR="00E37F4A">
        <w:t>sp. Production in an airlift PBR using low-frequency flashing light.</w:t>
      </w:r>
      <w:r w:rsidR="008A3B66" w:rsidRPr="00665EB3">
        <w:t xml:space="preserve"> </w:t>
      </w:r>
      <w:r w:rsidR="00E37F4A">
        <w:t>It</w:t>
      </w:r>
      <w:r w:rsidR="007B5D7B">
        <w:t xml:space="preserve"> </w:t>
      </w:r>
      <w:r w:rsidR="00453DB7">
        <w:t>is also characterized by</w:t>
      </w:r>
      <w:r w:rsidR="008A3B66" w:rsidRPr="00665EB3">
        <w:t xml:space="preserve"> high mass transfer rates, </w:t>
      </w:r>
      <w:r w:rsidR="00453DB7">
        <w:t xml:space="preserve">low cell stress, </w:t>
      </w:r>
      <w:r w:rsidR="008A3B66" w:rsidRPr="00665EB3">
        <w:t xml:space="preserve">large surface area to volume ratio, </w:t>
      </w:r>
      <w:r w:rsidR="00453DB7">
        <w:t xml:space="preserve">and </w:t>
      </w:r>
      <w:r w:rsidR="008A3B66" w:rsidRPr="00665EB3">
        <w:t xml:space="preserve">ease of </w:t>
      </w:r>
      <w:r w:rsidR="00453DB7">
        <w:t>operation and sterilization (Taisir et al., 2016; Huang et al., 2017).</w:t>
      </w:r>
      <w:r w:rsidR="008A3B66" w:rsidRPr="00665EB3">
        <w:t xml:space="preserve"> Oncel and Sukan</w:t>
      </w:r>
      <w:r w:rsidR="008A3B66">
        <w:t xml:space="preserve"> (2008)</w:t>
      </w:r>
      <w:r w:rsidR="008A3B66" w:rsidRPr="00665EB3">
        <w:t xml:space="preserve"> obtained higher dry biomass weight and chlorophyll-</w:t>
      </w:r>
      <w:r w:rsidR="008A3B66" w:rsidRPr="004B0E38">
        <w:rPr>
          <w:i/>
          <w:iCs/>
        </w:rPr>
        <w:t>a</w:t>
      </w:r>
      <w:r w:rsidR="008A3B66" w:rsidRPr="00665EB3">
        <w:t xml:space="preserve"> concentration in</w:t>
      </w:r>
      <w:r w:rsidR="006520B5">
        <w:t xml:space="preserve"> an</w:t>
      </w:r>
      <w:r w:rsidR="008A3B66" w:rsidRPr="00665EB3">
        <w:t xml:space="preserve"> airlift PBR than in </w:t>
      </w:r>
      <w:r w:rsidR="006520B5">
        <w:t xml:space="preserve">a </w:t>
      </w:r>
      <w:r w:rsidR="008A3B66" w:rsidRPr="00665EB3">
        <w:t>bubble column. Airlift columns can also achieve better CO</w:t>
      </w:r>
      <w:r w:rsidR="008A3B66" w:rsidRPr="008A3B66">
        <w:rPr>
          <w:vertAlign w:val="subscript"/>
        </w:rPr>
        <w:t>2</w:t>
      </w:r>
      <w:r w:rsidR="008A3B66" w:rsidRPr="00665EB3">
        <w:t xml:space="preserve"> and O</w:t>
      </w:r>
      <w:r w:rsidR="008A3B66" w:rsidRPr="008A3B66">
        <w:rPr>
          <w:vertAlign w:val="subscript"/>
        </w:rPr>
        <w:t>2</w:t>
      </w:r>
      <w:r w:rsidR="008A3B66" w:rsidRPr="00665EB3">
        <w:t xml:space="preserve"> gas exchange between the liquid medium and aeration gas</w:t>
      </w:r>
      <w:r w:rsidR="004B0E38">
        <w:t xml:space="preserve"> (Eriksen, 2008)</w:t>
      </w:r>
      <w:r w:rsidR="008A3B66" w:rsidRPr="00665EB3">
        <w:t xml:space="preserve">. </w:t>
      </w:r>
    </w:p>
    <w:p w14:paraId="64A1E133" w14:textId="65C3BC59" w:rsidR="007931FA" w:rsidRDefault="006520B5" w:rsidP="003E6EE4">
      <w:pPr>
        <w:pStyle w:val="ListParagraph"/>
        <w:ind w:left="0"/>
      </w:pPr>
      <w:r>
        <w:t xml:space="preserve">The design configuration of a PBR is one of the factors that affect its performance. </w:t>
      </w:r>
      <w:r w:rsidR="00307DCF">
        <w:t>Several configurations have been proposed, but there is still no single optimal design (Aci</w:t>
      </w:r>
      <w:r w:rsidR="00307DCF">
        <w:rPr>
          <w:rFonts w:cs="Arial"/>
        </w:rPr>
        <w:t>é</w:t>
      </w:r>
      <w:r w:rsidR="00307DCF">
        <w:t xml:space="preserve">n et al., 2017). </w:t>
      </w:r>
      <w:r w:rsidR="008A3B66" w:rsidRPr="00BA4A19">
        <w:t>Hwang and Cheng</w:t>
      </w:r>
      <w:r w:rsidR="008A3B66">
        <w:t xml:space="preserve"> (1997</w:t>
      </w:r>
      <w:r w:rsidR="004D2A9D">
        <w:t>)</w:t>
      </w:r>
      <w:r w:rsidR="00CA5755">
        <w:t xml:space="preserve"> tested </w:t>
      </w:r>
      <w:r w:rsidR="00CA5755">
        <w:lastRenderedPageBreak/>
        <w:t xml:space="preserve">the effect of </w:t>
      </w:r>
      <w:r w:rsidR="00C70C0C">
        <w:t>riser-to-downcomer area (</w:t>
      </w:r>
      <w:r w:rsidR="00C70C0C" w:rsidRPr="00BA4A19">
        <w:t>A</w:t>
      </w:r>
      <w:r w:rsidR="00C70C0C" w:rsidRPr="008A3B66">
        <w:rPr>
          <w:vertAlign w:val="subscript"/>
        </w:rPr>
        <w:t>r</w:t>
      </w:r>
      <w:r w:rsidR="00C70C0C" w:rsidRPr="00BA4A19">
        <w:t>/A</w:t>
      </w:r>
      <w:r w:rsidR="00C70C0C" w:rsidRPr="008A3B66">
        <w:rPr>
          <w:vertAlign w:val="subscript"/>
        </w:rPr>
        <w:t>d</w:t>
      </w:r>
      <w:r w:rsidR="00C70C0C">
        <w:t xml:space="preserve"> = 1.0 to 3.0) on the hydrodynamic properties of the photobioreactor and found that</w:t>
      </w:r>
      <w:r w:rsidR="004D2A9D">
        <w:t xml:space="preserve"> decreasing the</w:t>
      </w:r>
      <w:r w:rsidR="00C70C0C">
        <w:t xml:space="preserve"> </w:t>
      </w:r>
      <w:r w:rsidR="00C70C0C" w:rsidRPr="00BA4A19">
        <w:t>A</w:t>
      </w:r>
      <w:r w:rsidR="00C70C0C" w:rsidRPr="008A3B66">
        <w:rPr>
          <w:vertAlign w:val="subscript"/>
        </w:rPr>
        <w:t>r</w:t>
      </w:r>
      <w:r w:rsidR="00C70C0C" w:rsidRPr="00BA4A19">
        <w:t>/A</w:t>
      </w:r>
      <w:r w:rsidR="00C70C0C" w:rsidRPr="008A3B66">
        <w:rPr>
          <w:vertAlign w:val="subscript"/>
        </w:rPr>
        <w:t>d</w:t>
      </w:r>
      <w:r w:rsidR="008A3B66" w:rsidRPr="00BA4A19">
        <w:t xml:space="preserve"> may be advantageous</w:t>
      </w:r>
      <w:r w:rsidR="004D2A9D">
        <w:t xml:space="preserve"> due to less bubble entrainment in the downcomer</w:t>
      </w:r>
      <w:r w:rsidR="008A3B66" w:rsidRPr="00BA4A19">
        <w:t xml:space="preserve">. </w:t>
      </w:r>
      <w:r w:rsidR="00C70C0C">
        <w:t>So, t</w:t>
      </w:r>
      <w:r w:rsidR="008A3B66" w:rsidRPr="00BA4A19">
        <w:t xml:space="preserve">his study </w:t>
      </w:r>
      <w:r w:rsidR="00C70C0C">
        <w:t xml:space="preserve">designed and </w:t>
      </w:r>
      <w:r w:rsidR="008107AF">
        <w:t>fabricated</w:t>
      </w:r>
      <w:r w:rsidR="008A3B66" w:rsidRPr="00BA4A19">
        <w:t xml:space="preserve"> an airlift reactor with an A</w:t>
      </w:r>
      <w:r w:rsidR="008A3B66" w:rsidRPr="008A3B66">
        <w:rPr>
          <w:vertAlign w:val="subscript"/>
        </w:rPr>
        <w:t>r</w:t>
      </w:r>
      <w:r w:rsidR="008A3B66" w:rsidRPr="00BA4A19">
        <w:t>/A</w:t>
      </w:r>
      <w:r w:rsidR="008A3B66" w:rsidRPr="008A3B66">
        <w:rPr>
          <w:vertAlign w:val="subscript"/>
        </w:rPr>
        <w:t>d</w:t>
      </w:r>
      <w:r w:rsidR="00C70C0C">
        <w:t xml:space="preserve"> of less than 1.0 (actual </w:t>
      </w:r>
      <w:r w:rsidR="00C70C0C" w:rsidRPr="00BA4A19">
        <w:t>A</w:t>
      </w:r>
      <w:r w:rsidR="00C70C0C" w:rsidRPr="008A3B66">
        <w:rPr>
          <w:vertAlign w:val="subscript"/>
        </w:rPr>
        <w:t>r</w:t>
      </w:r>
      <w:r w:rsidR="00C70C0C" w:rsidRPr="00BA4A19">
        <w:t>/A</w:t>
      </w:r>
      <w:r w:rsidR="00C70C0C" w:rsidRPr="008A3B66">
        <w:rPr>
          <w:vertAlign w:val="subscript"/>
        </w:rPr>
        <w:t>d</w:t>
      </w:r>
      <w:r w:rsidR="00C70C0C">
        <w:t xml:space="preserve"> is</w:t>
      </w:r>
      <w:r w:rsidR="008A3B66" w:rsidRPr="00BA4A19">
        <w:t xml:space="preserve"> 0.42</w:t>
      </w:r>
      <w:r w:rsidR="00C70C0C">
        <w:t>)</w:t>
      </w:r>
      <w:r w:rsidR="008A3B66" w:rsidRPr="00BA4A19">
        <w:t xml:space="preserve"> </w:t>
      </w:r>
      <w:r w:rsidR="008107AF">
        <w:t xml:space="preserve">that </w:t>
      </w:r>
      <w:r w:rsidR="00173F33">
        <w:t>may</w:t>
      </w:r>
      <w:r w:rsidR="008A3B66" w:rsidRPr="00BA4A19">
        <w:t xml:space="preserve"> lower mixing time</w:t>
      </w:r>
      <w:r w:rsidR="008107AF">
        <w:t xml:space="preserve"> and attain a high liquid velocity</w:t>
      </w:r>
      <w:r w:rsidR="008A3B66" w:rsidRPr="00BA4A19">
        <w:t>.</w:t>
      </w:r>
      <w:r w:rsidR="008107AF">
        <w:t xml:space="preserve"> </w:t>
      </w:r>
      <w:r w:rsidR="008A3B66" w:rsidRPr="00BA4A19">
        <w:t>Hwang and Cheng</w:t>
      </w:r>
      <w:r w:rsidR="008A3B66">
        <w:t xml:space="preserve"> (1997)</w:t>
      </w:r>
      <w:r w:rsidR="008107AF">
        <w:t xml:space="preserve"> </w:t>
      </w:r>
      <w:r w:rsidR="008A3B66" w:rsidRPr="00BA4A19">
        <w:t>also</w:t>
      </w:r>
      <w:r>
        <w:t xml:space="preserve"> tested the effect of aspect ratio (H/D = 3.7, 5.8, and 7.9) and</w:t>
      </w:r>
      <w:r w:rsidR="008A3B66" w:rsidRPr="00BA4A19">
        <w:t xml:space="preserve"> found that more gases are entrained in the downcomer region</w:t>
      </w:r>
      <w:r>
        <w:t>,</w:t>
      </w:r>
      <w:r w:rsidR="008A3B66" w:rsidRPr="00BA4A19">
        <w:t xml:space="preserve"> resulting to less liquid circulation</w:t>
      </w:r>
      <w:r>
        <w:t>,</w:t>
      </w:r>
      <w:r w:rsidR="008107AF">
        <w:t xml:space="preserve"> for airlift PBRs with hig</w:t>
      </w:r>
      <w:r>
        <w:t xml:space="preserve">h </w:t>
      </w:r>
      <w:r w:rsidR="008107AF">
        <w:t>H/D</w:t>
      </w:r>
      <w:r w:rsidR="00C70C0C">
        <w:t xml:space="preserve">. </w:t>
      </w:r>
      <w:r>
        <w:t>So,</w:t>
      </w:r>
      <w:r w:rsidR="00275E5E">
        <w:t xml:space="preserve"> an airlift PBR with H/D = 2.0 was constructed instead </w:t>
      </w:r>
      <w:r>
        <w:t xml:space="preserve">in this study </w:t>
      </w:r>
      <w:r w:rsidR="00275E5E">
        <w:t xml:space="preserve">to achieve better liquid circulation. </w:t>
      </w:r>
      <w:r w:rsidR="005C2FA6">
        <w:t xml:space="preserve">The hydrodynamic and mass transfer properties of this new design were measured by the authors (data not shown here). Another key feature of the </w:t>
      </w:r>
      <w:r w:rsidR="008A3B66" w:rsidRPr="005D6AA1">
        <w:t>airlift reactor</w:t>
      </w:r>
      <w:r w:rsidR="008E741B">
        <w:t xml:space="preserve"> in this study was that it was</w:t>
      </w:r>
      <w:r w:rsidR="008A3B66" w:rsidRPr="005D6AA1">
        <w:t xml:space="preserve"> constructed with internal lighting installed at the center of the reactor. In this case, light will radiate from the center radially outwards</w:t>
      </w:r>
      <w:r w:rsidR="008E741B">
        <w:t xml:space="preserve"> ensuring that most irradiance will be captured by the algal cells. </w:t>
      </w:r>
      <w:r w:rsidR="008A3B66" w:rsidRPr="005D6AA1">
        <w:t xml:space="preserve"> </w:t>
      </w:r>
    </w:p>
    <w:p w14:paraId="35FC6F49" w14:textId="7FF67FE2" w:rsidR="003E6EE4" w:rsidRDefault="00275E5E" w:rsidP="00CC4EF5">
      <w:pPr>
        <w:pStyle w:val="CETBodytext"/>
      </w:pPr>
      <w:r>
        <w:t xml:space="preserve">This design was used to grow </w:t>
      </w:r>
      <w:r w:rsidRPr="00275E5E">
        <w:rPr>
          <w:i/>
          <w:iCs/>
        </w:rPr>
        <w:t>Spirulina</w:t>
      </w:r>
      <w:r>
        <w:t xml:space="preserve"> in 3-</w:t>
      </w:r>
      <w:r w:rsidR="00E37F4A">
        <w:t>L</w:t>
      </w:r>
      <w:r>
        <w:t xml:space="preserve"> batch </w:t>
      </w:r>
      <w:r w:rsidR="00173F33">
        <w:t>experiments</w:t>
      </w:r>
      <w:r w:rsidR="008E741B">
        <w:t xml:space="preserve"> to determine its performance</w:t>
      </w:r>
      <w:r>
        <w:t xml:space="preserve">. </w:t>
      </w:r>
      <w:r w:rsidR="006C4948">
        <w:t>The biochemical composition of the algal biomass was measured using a novel method using FTIR spectroscopy coupled with PLS-regression (Bataller and Capareda, 2018), which was shown to have similar results with conventional methods. This novel method has also been shown to be advantageous in the real-time monitoring of the algal biomass (Bataller and Capareda, 2020</w:t>
      </w:r>
      <w:r w:rsidR="00124740">
        <w:t xml:space="preserve">). </w:t>
      </w:r>
      <w:r>
        <w:t xml:space="preserve">The </w:t>
      </w:r>
      <w:r w:rsidR="00173F33">
        <w:t xml:space="preserve">results from these experiments are </w:t>
      </w:r>
      <w:r w:rsidR="008E741B">
        <w:t xml:space="preserve">then </w:t>
      </w:r>
      <w:r>
        <w:t>used in</w:t>
      </w:r>
      <w:r w:rsidR="00DF1CF9">
        <w:t xml:space="preserve"> a preliminary techno-economic analysis of a scaled-up system </w:t>
      </w:r>
      <w:r w:rsidR="00720CB0">
        <w:t>that produce</w:t>
      </w:r>
      <w:r w:rsidR="004A1DC1">
        <w:t>s</w:t>
      </w:r>
      <w:r w:rsidR="00720CB0">
        <w:t xml:space="preserve"> dried </w:t>
      </w:r>
      <w:r w:rsidR="00720CB0" w:rsidRPr="00720CB0">
        <w:rPr>
          <w:i/>
          <w:iCs/>
        </w:rPr>
        <w:t>Spirulina</w:t>
      </w:r>
      <w:r w:rsidR="00720CB0">
        <w:t xml:space="preserve"> biomass. The </w:t>
      </w:r>
      <w:r w:rsidR="00173F33">
        <w:t xml:space="preserve">net </w:t>
      </w:r>
      <w:r w:rsidR="00A12745">
        <w:t>income</w:t>
      </w:r>
      <w:r w:rsidR="00173F33">
        <w:t xml:space="preserve">, </w:t>
      </w:r>
      <w:r w:rsidR="00720CB0">
        <w:t>profit margin</w:t>
      </w:r>
      <w:r w:rsidR="00081B5E">
        <w:t>,</w:t>
      </w:r>
      <w:r w:rsidR="00720CB0">
        <w:t xml:space="preserve"> and payback period were determined. Sensitivity analyses were also conducted</w:t>
      </w:r>
      <w:r w:rsidR="00AB4281">
        <w:t xml:space="preserve">. </w:t>
      </w:r>
      <w:r w:rsidR="00681B1B">
        <w:t xml:space="preserve">This preliminary techno-economic analysis determines if growing </w:t>
      </w:r>
      <w:r w:rsidR="00681B1B" w:rsidRPr="00681B1B">
        <w:rPr>
          <w:i/>
          <w:iCs/>
        </w:rPr>
        <w:t>Spirulina</w:t>
      </w:r>
      <w:r w:rsidR="00681B1B">
        <w:t xml:space="preserve"> in the new design of an airlift PBR is a worthy venture.   </w:t>
      </w:r>
      <w:r w:rsidR="00DF1CF9">
        <w:t xml:space="preserve"> </w:t>
      </w:r>
      <w:r>
        <w:t xml:space="preserve"> </w:t>
      </w:r>
      <w:r w:rsidR="003E6EE4">
        <w:t xml:space="preserve"> </w:t>
      </w:r>
    </w:p>
    <w:p w14:paraId="644473CA" w14:textId="77777777" w:rsidR="00CC4EF5" w:rsidRPr="00B57B36" w:rsidRDefault="00CC4EF5" w:rsidP="00CC4EF5">
      <w:pPr>
        <w:pStyle w:val="CETBodytext"/>
      </w:pPr>
    </w:p>
    <w:p w14:paraId="5741900F" w14:textId="10954E97" w:rsidR="00453E24" w:rsidRDefault="00720CB0" w:rsidP="00453E24">
      <w:pPr>
        <w:pStyle w:val="CETHeading1"/>
      </w:pPr>
      <w:r>
        <w:t>Methodology</w:t>
      </w:r>
    </w:p>
    <w:p w14:paraId="0636B784" w14:textId="45B79EC0" w:rsidR="00453E24" w:rsidRDefault="00720CB0" w:rsidP="00453E24">
      <w:pPr>
        <w:pStyle w:val="CETheadingx"/>
      </w:pPr>
      <w:r>
        <w:t>Bench-scale batch cultures</w:t>
      </w:r>
    </w:p>
    <w:p w14:paraId="1772E487" w14:textId="33C42133" w:rsidR="00B811A4" w:rsidRDefault="000C7A94" w:rsidP="000C7A94">
      <w:pPr>
        <w:pStyle w:val="CETBodytext"/>
      </w:pPr>
      <w:r>
        <w:t>Bench-scale cultures were performed in a 3-L internally illuminated concentric</w:t>
      </w:r>
      <w:r w:rsidR="0088155C">
        <w:t>-</w:t>
      </w:r>
      <w:r>
        <w:t xml:space="preserve">tube </w:t>
      </w:r>
      <w:r w:rsidR="0088155C">
        <w:t xml:space="preserve">airlift photobioreactor with with </w:t>
      </w:r>
      <w:r w:rsidR="0088155C" w:rsidRPr="00BA4A19">
        <w:t>A</w:t>
      </w:r>
      <w:r w:rsidR="0088155C" w:rsidRPr="008A3B66">
        <w:rPr>
          <w:vertAlign w:val="subscript"/>
        </w:rPr>
        <w:t>r</w:t>
      </w:r>
      <w:r w:rsidR="0088155C" w:rsidRPr="00BA4A19">
        <w:t>/A</w:t>
      </w:r>
      <w:r w:rsidR="0088155C" w:rsidRPr="008A3B66">
        <w:rPr>
          <w:vertAlign w:val="subscript"/>
        </w:rPr>
        <w:t>d</w:t>
      </w:r>
      <w:r w:rsidR="0088155C" w:rsidRPr="00BA4A19">
        <w:t xml:space="preserve"> = 0.42</w:t>
      </w:r>
      <w:r w:rsidR="0088155C">
        <w:t xml:space="preserve"> and H/D = 2.0. Spirulina was grown at 166 μmol photons m</w:t>
      </w:r>
      <w:r w:rsidR="0088155C" w:rsidRPr="001005D5">
        <w:rPr>
          <w:vertAlign w:val="superscript"/>
        </w:rPr>
        <w:t>-2</w:t>
      </w:r>
      <w:r w:rsidR="0088155C">
        <w:t xml:space="preserve"> s</w:t>
      </w:r>
      <w:r w:rsidR="0088155C" w:rsidRPr="001005D5">
        <w:rPr>
          <w:vertAlign w:val="superscript"/>
        </w:rPr>
        <w:t>-1</w:t>
      </w:r>
      <w:r w:rsidR="0088155C">
        <w:t xml:space="preserve"> light intensity, 0.3 vvm air flow rate, and 0.20 g </w:t>
      </w:r>
      <w:r w:rsidR="00D45F12">
        <w:t>l</w:t>
      </w:r>
      <w:r w:rsidR="0088155C" w:rsidRPr="001005D5">
        <w:rPr>
          <w:vertAlign w:val="superscript"/>
        </w:rPr>
        <w:t>-1</w:t>
      </w:r>
      <w:r w:rsidR="0088155C">
        <w:t xml:space="preserve"> initial biomass concentration. These values were determined and selected from batch experiments since</w:t>
      </w:r>
      <w:r w:rsidR="00B811A4">
        <w:t xml:space="preserve"> these gave the highest biomass productivity </w:t>
      </w:r>
      <w:r w:rsidR="0088155C">
        <w:t>(data not presented in this paper).</w:t>
      </w:r>
    </w:p>
    <w:p w14:paraId="5AC85F04" w14:textId="7ADD5813" w:rsidR="00B811A4" w:rsidRPr="00021759" w:rsidRDefault="00B811A4" w:rsidP="00A300D4">
      <w:r>
        <w:t>In the batch culture, t</w:t>
      </w:r>
      <w:r w:rsidRPr="00021759">
        <w:t xml:space="preserve">he light intensity </w:t>
      </w:r>
      <w:r>
        <w:t>was</w:t>
      </w:r>
      <w:r w:rsidRPr="00021759">
        <w:t xml:space="preserve"> controlled by an LED dimmer. </w:t>
      </w:r>
      <w:r>
        <w:t>Air</w:t>
      </w:r>
      <w:r w:rsidR="00AD1C47">
        <w:t xml:space="preserve"> that</w:t>
      </w:r>
      <w:r>
        <w:t xml:space="preserve"> is not supplemented with CO</w:t>
      </w:r>
      <w:r w:rsidRPr="00221E9B">
        <w:rPr>
          <w:vertAlign w:val="subscript"/>
        </w:rPr>
        <w:t>2</w:t>
      </w:r>
      <w:r>
        <w:t xml:space="preserve"> was supplied by an air </w:t>
      </w:r>
      <w:r w:rsidR="004407DB">
        <w:t>compressor</w:t>
      </w:r>
      <w:r>
        <w:t xml:space="preserve"> and controlled using a gas rotameter. </w:t>
      </w:r>
      <w:r w:rsidR="00AD1C47" w:rsidRPr="00021759">
        <w:t xml:space="preserve">The incoming air </w:t>
      </w:r>
      <w:r w:rsidR="00AD1C47">
        <w:t>was filtered using a</w:t>
      </w:r>
      <w:r w:rsidR="00AD1C47" w:rsidRPr="00021759">
        <w:t xml:space="preserve"> 0.2 µm air venting filter. </w:t>
      </w:r>
      <w:r w:rsidR="004407DB">
        <w:t>In maintaining the initial biomass concentration, t</w:t>
      </w:r>
      <w:r>
        <w:t xml:space="preserve">he optical density of </w:t>
      </w:r>
      <w:r w:rsidRPr="00126970">
        <w:rPr>
          <w:i/>
        </w:rPr>
        <w:t>Spirulina</w:t>
      </w:r>
      <w:r>
        <w:t xml:space="preserve"> stock culture was determined first and the volume of </w:t>
      </w:r>
      <w:r w:rsidRPr="00021759">
        <w:t xml:space="preserve">Zarrouk’s medium </w:t>
      </w:r>
      <w:r>
        <w:t xml:space="preserve">and stock culture were computed to make 3 </w:t>
      </w:r>
      <w:r w:rsidR="00D45F12">
        <w:t>liters</w:t>
      </w:r>
      <w:r>
        <w:t xml:space="preserve"> of 0.</w:t>
      </w:r>
      <w:r w:rsidR="004407DB">
        <w:t>20</w:t>
      </w:r>
      <w:r>
        <w:t xml:space="preserve"> g </w:t>
      </w:r>
      <w:r w:rsidR="00D45F12">
        <w:t>l</w:t>
      </w:r>
      <w:r w:rsidRPr="00221E9B">
        <w:rPr>
          <w:vertAlign w:val="superscript"/>
        </w:rPr>
        <w:t>-1</w:t>
      </w:r>
      <w:r>
        <w:t xml:space="preserve"> </w:t>
      </w:r>
      <w:r w:rsidRPr="00221E9B">
        <w:rPr>
          <w:i/>
        </w:rPr>
        <w:t>Spirulina</w:t>
      </w:r>
      <w:r>
        <w:t xml:space="preserve"> aliquot. </w:t>
      </w:r>
      <w:r w:rsidRPr="00021759">
        <w:t xml:space="preserve"> A 60-ml sample </w:t>
      </w:r>
      <w:r>
        <w:t>was taken after inoculation and after 5 h. Sample</w:t>
      </w:r>
      <w:r w:rsidR="00841D0C">
        <w:t>s</w:t>
      </w:r>
      <w:r>
        <w:t xml:space="preserve"> w</w:t>
      </w:r>
      <w:r w:rsidR="00841D0C">
        <w:t>ere</w:t>
      </w:r>
      <w:r>
        <w:t xml:space="preserve"> </w:t>
      </w:r>
      <w:r w:rsidR="00841D0C">
        <w:t xml:space="preserve">then </w:t>
      </w:r>
      <w:r>
        <w:t xml:space="preserve">taken every 24 h, thereafter. </w:t>
      </w:r>
      <w:r w:rsidRPr="00021759">
        <w:t>The sam</w:t>
      </w:r>
      <w:r>
        <w:t>ple’s optical density was read at</w:t>
      </w:r>
      <w:r w:rsidRPr="00021759">
        <w:t xml:space="preserve"> 680 nm </w:t>
      </w:r>
      <w:r>
        <w:t xml:space="preserve">using a </w:t>
      </w:r>
      <w:r w:rsidRPr="00021759">
        <w:t>UV-Vis spectrophotometer (VWR UV-Vis Scanning UV-</w:t>
      </w:r>
      <w:r>
        <w:t xml:space="preserve">3100). </w:t>
      </w:r>
      <w:r w:rsidRPr="00021759">
        <w:t xml:space="preserve">The protein, carbohydrate, and lipid content of the sample </w:t>
      </w:r>
      <w:r>
        <w:t>were</w:t>
      </w:r>
      <w:r w:rsidRPr="00021759">
        <w:t xml:space="preserve"> </w:t>
      </w:r>
      <w:r w:rsidR="00A300D4">
        <w:t xml:space="preserve">then </w:t>
      </w:r>
      <w:r w:rsidRPr="00021759">
        <w:t>obtained using the</w:t>
      </w:r>
      <w:r w:rsidR="00A300D4">
        <w:t xml:space="preserve"> method and </w:t>
      </w:r>
      <w:r w:rsidRPr="00021759">
        <w:t>PLS-regression model</w:t>
      </w:r>
      <w:r w:rsidR="00A300D4">
        <w:t xml:space="preserve"> </w:t>
      </w:r>
      <w:r w:rsidR="00A300D4" w:rsidRPr="00AE3D36">
        <w:rPr>
          <w:rStyle w:val="CETBodytextCarattere"/>
        </w:rPr>
        <w:t>in Bataller and Capareda (2018)</w:t>
      </w:r>
      <w:r w:rsidRPr="00AE3D36">
        <w:rPr>
          <w:rStyle w:val="CETBodytextCarattere"/>
        </w:rPr>
        <w:t>.</w:t>
      </w:r>
      <w:r w:rsidRPr="00021759">
        <w:t xml:space="preserve"> </w:t>
      </w:r>
    </w:p>
    <w:p w14:paraId="53F1F3E5" w14:textId="6C4B70FA" w:rsidR="00B811A4" w:rsidRPr="00811DA0" w:rsidRDefault="00B811A4" w:rsidP="00A300D4">
      <w:pPr>
        <w:rPr>
          <w:rFonts w:cs="Arial"/>
          <w:szCs w:val="18"/>
        </w:rPr>
      </w:pPr>
      <w:r w:rsidRPr="00811DA0">
        <w:rPr>
          <w:rFonts w:cs="Arial"/>
          <w:i/>
          <w:szCs w:val="18"/>
        </w:rPr>
        <w:t>Spirulina</w:t>
      </w:r>
      <w:r w:rsidRPr="00811DA0">
        <w:rPr>
          <w:rFonts w:cs="Arial"/>
          <w:szCs w:val="18"/>
        </w:rPr>
        <w:t xml:space="preserve"> was grown for 8 days. The specific growth rate w</w:t>
      </w:r>
      <w:r w:rsidR="00A300D4" w:rsidRPr="00811DA0">
        <w:rPr>
          <w:rFonts w:cs="Arial"/>
          <w:szCs w:val="18"/>
        </w:rPr>
        <w:t>as</w:t>
      </w:r>
      <w:r w:rsidRPr="00811DA0">
        <w:rPr>
          <w:rFonts w:cs="Arial"/>
          <w:szCs w:val="18"/>
        </w:rPr>
        <w:t xml:space="preserve"> computed </w:t>
      </w:r>
      <w:r w:rsidR="00A300D4" w:rsidRPr="00811DA0">
        <w:rPr>
          <w:rFonts w:cs="Arial"/>
          <w:szCs w:val="18"/>
        </w:rPr>
        <w:t>using</w:t>
      </w:r>
      <w:r w:rsidRPr="00811DA0">
        <w:rPr>
          <w:rFonts w:cs="Arial"/>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3"/>
        <w:gridCol w:w="1014"/>
      </w:tblGrid>
      <w:tr w:rsidR="00B811A4" w:rsidRPr="00811DA0" w14:paraId="1C989C94" w14:textId="77777777" w:rsidTr="00E3458F">
        <w:trPr>
          <w:trHeight w:val="494"/>
        </w:trPr>
        <w:tc>
          <w:tcPr>
            <w:tcW w:w="4423" w:type="pct"/>
            <w:vAlign w:val="center"/>
            <w:hideMark/>
          </w:tcPr>
          <w:p w14:paraId="0426710F" w14:textId="77777777" w:rsidR="00B811A4" w:rsidRPr="00811DA0" w:rsidRDefault="00B811A4" w:rsidP="00811DA0">
            <w:pPr>
              <w:pStyle w:val="CETEquation"/>
              <w:rPr>
                <w:rFonts w:eastAsiaTheme="minorEastAsia"/>
              </w:rPr>
            </w:pPr>
            <m:oMathPara>
              <m:oMathParaPr>
                <m:jc m:val="left"/>
              </m:oMathParaPr>
              <m:oMath>
                <m:r>
                  <w:rPr>
                    <w:rFonts w:ascii="Cambria Math" w:hAnsi="Cambria Math"/>
                  </w:rPr>
                  <m:t>μ</m:t>
                </m:r>
                <m:r>
                  <m:rPr>
                    <m:sty m:val="p"/>
                  </m:rPr>
                  <w:rPr>
                    <w:rFonts w:ascii="Cambria Math" w:hAnsi="Cambria Math"/>
                  </w:rPr>
                  <m:t>=</m:t>
                </m:r>
                <m:r>
                  <w:rPr>
                    <w:rFonts w:ascii="Cambria Math" w:hAnsi="Cambria Math"/>
                  </w:rPr>
                  <m:t>slope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type m:val="skw"/>
                            <m:ctrlPr>
                              <w:rPr>
                                <w:rFonts w:ascii="Cambria Math" w:hAnsi="Cambria Math"/>
                              </w:rPr>
                            </m:ctrlPr>
                          </m:fPr>
                          <m:num>
                            <m:r>
                              <w:rPr>
                                <w:rFonts w:ascii="Cambria Math" w:hAnsi="Cambria Math"/>
                              </w:rPr>
                              <m:t>X</m:t>
                            </m:r>
                          </m:num>
                          <m:den>
                            <m:sSub>
                              <m:sSubPr>
                                <m:ctrlPr>
                                  <w:rPr>
                                    <w:rFonts w:ascii="Cambria Math" w:hAnsi="Cambria Math"/>
                                  </w:rPr>
                                </m:ctrlPr>
                              </m:sSubPr>
                              <m:e>
                                <m:r>
                                  <w:rPr>
                                    <w:rFonts w:ascii="Cambria Math" w:hAnsi="Cambria Math"/>
                                  </w:rPr>
                                  <m:t>X</m:t>
                                </m:r>
                              </m:e>
                              <m:sub>
                                <m:r>
                                  <w:rPr>
                                    <w:rFonts w:ascii="Cambria Math" w:hAnsi="Cambria Math"/>
                                  </w:rPr>
                                  <m:t>o</m:t>
                                </m:r>
                              </m:sub>
                            </m:sSub>
                          </m:den>
                        </m:f>
                      </m:e>
                    </m:d>
                  </m:e>
                </m:func>
                <m:r>
                  <m:rPr>
                    <m:sty m:val="p"/>
                  </m:rPr>
                  <w:rPr>
                    <w:rFonts w:ascii="Cambria Math" w:eastAsiaTheme="minorEastAsia" w:hAnsi="Cambria Math"/>
                  </w:rPr>
                  <m:t xml:space="preserve"> </m:t>
                </m:r>
                <m:r>
                  <w:rPr>
                    <w:rFonts w:ascii="Cambria Math" w:eastAsiaTheme="minorEastAsia" w:hAnsi="Cambria Math"/>
                  </w:rPr>
                  <m:t>versus</m:t>
                </m:r>
                <m:r>
                  <m:rPr>
                    <m:sty m:val="p"/>
                  </m:rPr>
                  <w:rPr>
                    <w:rFonts w:ascii="Cambria Math" w:eastAsiaTheme="minorEastAsia" w:hAnsi="Cambria Math"/>
                  </w:rPr>
                  <m:t xml:space="preserve"> </m:t>
                </m:r>
                <m:r>
                  <w:rPr>
                    <w:rFonts w:ascii="Cambria Math" w:eastAsiaTheme="minorEastAsia" w:hAnsi="Cambria Math"/>
                  </w:rPr>
                  <m:t>time</m:t>
                </m:r>
                <m:r>
                  <m:rPr>
                    <m:sty m:val="p"/>
                  </m:rPr>
                  <w:rPr>
                    <w:rFonts w:ascii="Cambria Math" w:eastAsiaTheme="minorEastAsia" w:hAnsi="Cambria Math"/>
                  </w:rPr>
                  <m:t xml:space="preserve"> </m:t>
                </m:r>
                <m:r>
                  <w:rPr>
                    <w:rFonts w:ascii="Cambria Math" w:eastAsiaTheme="minorEastAsia" w:hAnsi="Cambria Math"/>
                  </w:rPr>
                  <m:t>curve</m:t>
                </m:r>
              </m:oMath>
            </m:oMathPara>
          </w:p>
        </w:tc>
        <w:tc>
          <w:tcPr>
            <w:tcW w:w="577" w:type="pct"/>
            <w:vAlign w:val="center"/>
            <w:hideMark/>
          </w:tcPr>
          <w:p w14:paraId="51CC1042" w14:textId="6AF74687" w:rsidR="00B811A4" w:rsidRPr="00811DA0" w:rsidRDefault="00B811A4" w:rsidP="00E3458F">
            <w:pPr>
              <w:spacing w:line="240" w:lineRule="auto"/>
              <w:jc w:val="right"/>
              <w:rPr>
                <w:rFonts w:eastAsiaTheme="minorEastAsia" w:cs="Arial"/>
                <w:szCs w:val="18"/>
              </w:rPr>
            </w:pPr>
            <w:r w:rsidRPr="00811DA0">
              <w:rPr>
                <w:rFonts w:eastAsiaTheme="minorEastAsia" w:cs="Arial"/>
                <w:szCs w:val="18"/>
              </w:rPr>
              <w:t>(1)</w:t>
            </w:r>
          </w:p>
        </w:tc>
      </w:tr>
    </w:tbl>
    <w:p w14:paraId="6AC76066" w14:textId="52E1A72F" w:rsidR="00B811A4" w:rsidRPr="00811DA0" w:rsidRDefault="00B811A4" w:rsidP="00A300D4">
      <w:pPr>
        <w:rPr>
          <w:rFonts w:eastAsiaTheme="minorHAnsi" w:cs="Arial"/>
          <w:szCs w:val="18"/>
        </w:rPr>
      </w:pPr>
      <w:r w:rsidRPr="00811DA0">
        <w:rPr>
          <w:rFonts w:cs="Arial"/>
          <w:szCs w:val="18"/>
        </w:rPr>
        <w:t xml:space="preserve">The overall volumetric biomass productivity </w:t>
      </w:r>
      <w:r w:rsidR="00A300D4" w:rsidRPr="00811DA0">
        <w:rPr>
          <w:rFonts w:cs="Arial"/>
          <w:szCs w:val="18"/>
        </w:rPr>
        <w:t>was</w:t>
      </w:r>
      <w:r w:rsidRPr="00811DA0">
        <w:rPr>
          <w:rFonts w:cs="Arial"/>
          <w:szCs w:val="18"/>
        </w:rPr>
        <w:t xml:space="preserve"> computed </w:t>
      </w:r>
      <w:r w:rsidR="00A300D4" w:rsidRPr="00811DA0">
        <w:rPr>
          <w:rFonts w:cs="Arial"/>
          <w:szCs w:val="18"/>
        </w:rPr>
        <w:t>using</w:t>
      </w:r>
      <w:r w:rsidRPr="00811DA0">
        <w:rPr>
          <w:rFonts w:cs="Arial"/>
          <w:szCs w:val="1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989"/>
      </w:tblGrid>
      <w:tr w:rsidR="00B811A4" w:rsidRPr="00811DA0" w14:paraId="2B6E56D8" w14:textId="77777777" w:rsidTr="00E3458F">
        <w:trPr>
          <w:trHeight w:val="494"/>
        </w:trPr>
        <w:tc>
          <w:tcPr>
            <w:tcW w:w="4437" w:type="pct"/>
            <w:vAlign w:val="center"/>
            <w:hideMark/>
          </w:tcPr>
          <w:p w14:paraId="7DCA2309" w14:textId="77777777" w:rsidR="00B811A4" w:rsidRPr="00811DA0" w:rsidRDefault="00B811A4" w:rsidP="00811DA0">
            <w:pPr>
              <w:pStyle w:val="CETEquation"/>
            </w:pPr>
            <m:oMathPara>
              <m:oMathParaPr>
                <m:jc m:val="left"/>
              </m:oMathParaPr>
              <m:oMath>
                <m:r>
                  <w:rPr>
                    <w:rFonts w:ascii="Cambria Math" w:hAnsi="Cambria Math"/>
                  </w:rPr>
                  <m:t>Qx</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o</m:t>
                        </m:r>
                      </m:sub>
                    </m:sSub>
                  </m:e>
                </m:d>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o</m:t>
                            </m:r>
                          </m:sub>
                        </m:sSub>
                      </m:e>
                    </m:d>
                  </m:e>
                  <m:sup>
                    <m:r>
                      <m:rPr>
                        <m:sty m:val="p"/>
                      </m:rPr>
                      <w:rPr>
                        <w:rFonts w:ascii="Cambria Math" w:hAnsi="Cambria Math"/>
                      </w:rPr>
                      <m:t>-1</m:t>
                    </m:r>
                  </m:sup>
                </m:sSup>
              </m:oMath>
            </m:oMathPara>
          </w:p>
        </w:tc>
        <w:tc>
          <w:tcPr>
            <w:tcW w:w="563" w:type="pct"/>
            <w:vAlign w:val="center"/>
            <w:hideMark/>
          </w:tcPr>
          <w:p w14:paraId="4EAF0562" w14:textId="07E2D3A1" w:rsidR="00B811A4" w:rsidRPr="00811DA0" w:rsidRDefault="00B811A4" w:rsidP="00E3458F">
            <w:pPr>
              <w:spacing w:line="240" w:lineRule="auto"/>
              <w:jc w:val="right"/>
              <w:rPr>
                <w:rFonts w:eastAsiaTheme="minorEastAsia" w:cs="Arial"/>
                <w:szCs w:val="18"/>
              </w:rPr>
            </w:pPr>
            <w:r w:rsidRPr="00811DA0">
              <w:rPr>
                <w:rFonts w:eastAsiaTheme="minorEastAsia" w:cs="Arial"/>
                <w:szCs w:val="18"/>
              </w:rPr>
              <w:t>(</w:t>
            </w:r>
            <w:r w:rsidR="00945CBE">
              <w:rPr>
                <w:rFonts w:eastAsiaTheme="minorEastAsia" w:cs="Arial"/>
                <w:szCs w:val="18"/>
              </w:rPr>
              <w:t>2</w:t>
            </w:r>
            <w:r w:rsidRPr="00811DA0">
              <w:rPr>
                <w:rFonts w:eastAsiaTheme="minorEastAsia" w:cs="Arial"/>
                <w:szCs w:val="18"/>
              </w:rPr>
              <w:t>)</w:t>
            </w:r>
          </w:p>
        </w:tc>
      </w:tr>
    </w:tbl>
    <w:p w14:paraId="18BAFA6F" w14:textId="662C737A" w:rsidR="00453E24" w:rsidRDefault="00720CB0" w:rsidP="00453E24">
      <w:pPr>
        <w:pStyle w:val="CETheadingx"/>
      </w:pPr>
      <w:r>
        <w:t>Preliminary techno-economic evaluation</w:t>
      </w:r>
    </w:p>
    <w:p w14:paraId="4BD070BC" w14:textId="610D363B" w:rsidR="008937FA" w:rsidRDefault="00B811A4" w:rsidP="008937FA">
      <w:pPr>
        <w:pStyle w:val="ListParagraph"/>
        <w:ind w:left="0"/>
      </w:pPr>
      <w:r>
        <w:t xml:space="preserve">The first step was to </w:t>
      </w:r>
      <w:r w:rsidR="00A44AA3">
        <w:t xml:space="preserve">scale up the airlift PBR and </w:t>
      </w:r>
      <w:r>
        <w:t>size a 20</w:t>
      </w:r>
      <w:r w:rsidRPr="00125DBD">
        <w:t>-m</w:t>
      </w:r>
      <w:r w:rsidRPr="00B811A4">
        <w:rPr>
          <w:vertAlign w:val="superscript"/>
        </w:rPr>
        <w:t>3</w:t>
      </w:r>
      <w:r w:rsidRPr="00125DBD">
        <w:t xml:space="preserve"> internally</w:t>
      </w:r>
      <w:r w:rsidR="00841D0C">
        <w:t xml:space="preserve"> </w:t>
      </w:r>
      <w:r w:rsidRPr="00125DBD">
        <w:t>illuminated concentric-tube airlift photobioreactor. The aspect ratio = 2 and A</w:t>
      </w:r>
      <w:r w:rsidRPr="00B811A4">
        <w:rPr>
          <w:vertAlign w:val="subscript"/>
        </w:rPr>
        <w:t>r</w:t>
      </w:r>
      <w:r w:rsidRPr="00125DBD">
        <w:t>/A</w:t>
      </w:r>
      <w:r w:rsidRPr="00B811A4">
        <w:rPr>
          <w:vertAlign w:val="subscript"/>
        </w:rPr>
        <w:t>d</w:t>
      </w:r>
      <w:r w:rsidRPr="00125DBD">
        <w:t xml:space="preserve"> = 0.42 w</w:t>
      </w:r>
      <w:r>
        <w:t>ere</w:t>
      </w:r>
      <w:r w:rsidRPr="00125DBD">
        <w:t xml:space="preserve"> maintained. </w:t>
      </w:r>
      <w:r>
        <w:t>A total of four reactors was employed so that the total PBR capacity is 80 m</w:t>
      </w:r>
      <w:r w:rsidRPr="00B811A4">
        <w:rPr>
          <w:vertAlign w:val="superscript"/>
        </w:rPr>
        <w:t>3</w:t>
      </w:r>
      <w:r>
        <w:t xml:space="preserve">. </w:t>
      </w:r>
      <w:r w:rsidRPr="00125DBD">
        <w:t>Then a process flo</w:t>
      </w:r>
      <w:r>
        <w:t>w for biomass production was</w:t>
      </w:r>
      <w:r w:rsidRPr="00125DBD">
        <w:t xml:space="preserve"> developed from inoculation to production and then to harvesting, drying, and packaging. The main product </w:t>
      </w:r>
      <w:r>
        <w:t>was</w:t>
      </w:r>
      <w:r w:rsidRPr="00125DBD">
        <w:t xml:space="preserve"> the dried </w:t>
      </w:r>
      <w:r w:rsidRPr="00B811A4">
        <w:rPr>
          <w:i/>
        </w:rPr>
        <w:t>Spirulina</w:t>
      </w:r>
      <w:r w:rsidRPr="00125DBD">
        <w:t xml:space="preserve"> biomass. Its selling price </w:t>
      </w:r>
      <w:r>
        <w:t xml:space="preserve">was </w:t>
      </w:r>
      <w:r w:rsidRPr="00125DBD">
        <w:t xml:space="preserve">taken from </w:t>
      </w:r>
      <w:r w:rsidR="00CE0E1A" w:rsidRPr="00E13217">
        <w:rPr>
          <w:rFonts w:cs="Arial"/>
        </w:rPr>
        <w:t>the feasibility study report of Piccolo (2012) to the European Union</w:t>
      </w:r>
      <w:r w:rsidRPr="00125DBD">
        <w:t xml:space="preserve">. </w:t>
      </w:r>
    </w:p>
    <w:p w14:paraId="5256E9E8" w14:textId="1342F692" w:rsidR="00B811A4" w:rsidRDefault="00B811A4" w:rsidP="008937FA">
      <w:pPr>
        <w:pStyle w:val="ListParagraph"/>
        <w:ind w:left="0"/>
      </w:pPr>
      <w:r w:rsidRPr="00125DBD">
        <w:t xml:space="preserve">For the preliminary techno-economic evaluation, 300 days per year production and continuous operation </w:t>
      </w:r>
      <w:r>
        <w:t>was</w:t>
      </w:r>
      <w:r w:rsidRPr="00125DBD">
        <w:t xml:space="preserve"> assumed.</w:t>
      </w:r>
      <w:r w:rsidR="00BE718A">
        <w:t xml:space="preserve"> The remaining days will be devoted to startup and maintenance.</w:t>
      </w:r>
      <w:r w:rsidRPr="00125DBD">
        <w:t xml:space="preserve"> </w:t>
      </w:r>
      <w:r w:rsidR="00D52195">
        <w:t xml:space="preserve">Equipment costs were gathered from manufacturer’s quotes except for the photobioreactor cost which was computed from the price of stainless steel. Equipment with different capacities were corrected </w:t>
      </w:r>
      <w:r w:rsidR="00D52195" w:rsidRPr="00125DBD">
        <w:t>using the six-tenth factor rul</w:t>
      </w:r>
      <w:r w:rsidR="00D52195">
        <w:t>e (Peters, Timmerhaus and West, 2003). The cost of internal and auxiliary components of the photobioreactor was assumed to be 60% of the cost of the main chamber.</w:t>
      </w:r>
      <w:r>
        <w:t xml:space="preserve"> </w:t>
      </w:r>
      <w:r w:rsidR="000A61F4">
        <w:t xml:space="preserve">The installation, instrumentation, and piping costs were also assumed to be 50%, 26%, and 31%, respectively, of the total purchased equipment cost. Buildings and land costs were also assumed to be 47% and 8% of the total purchased equipment cost, which </w:t>
      </w:r>
      <w:r>
        <w:t xml:space="preserve">were </w:t>
      </w:r>
      <w:r w:rsidRPr="00125DBD">
        <w:t xml:space="preserve">computed as percentage of the </w:t>
      </w:r>
      <w:r>
        <w:t>purchased equipment cost as provided by Peters, Timmerhaus and West (2003).</w:t>
      </w:r>
      <w:r w:rsidRPr="00125DBD">
        <w:t xml:space="preserve"> </w:t>
      </w:r>
      <w:r w:rsidR="00546C8D">
        <w:t>The cost of materials was</w:t>
      </w:r>
      <w:r w:rsidR="00546C8D" w:rsidRPr="00125DBD">
        <w:t xml:space="preserve"> computed from </w:t>
      </w:r>
      <w:r w:rsidR="00546C8D" w:rsidRPr="00125DBD">
        <w:lastRenderedPageBreak/>
        <w:t xml:space="preserve">the industrial cost of chemicals needed for the medium, and cost of </w:t>
      </w:r>
      <w:r w:rsidR="00546C8D">
        <w:t>reverse osmosis (</w:t>
      </w:r>
      <w:r w:rsidR="00546C8D" w:rsidRPr="00125DBD">
        <w:t>RO</w:t>
      </w:r>
      <w:r w:rsidR="00546C8D">
        <w:t>)</w:t>
      </w:r>
      <w:r w:rsidR="00546C8D" w:rsidRPr="00125DBD">
        <w:t xml:space="preserve"> water. The amounts of these materials w</w:t>
      </w:r>
      <w:r w:rsidR="00546C8D">
        <w:t>ere</w:t>
      </w:r>
      <w:r w:rsidR="00546C8D" w:rsidRPr="00125DBD">
        <w:t xml:space="preserve"> computed from material balance wherein the dilution rate will be equivalent to the highest specific gro</w:t>
      </w:r>
      <w:r w:rsidR="00546C8D">
        <w:t>wth rate attained</w:t>
      </w:r>
      <w:r w:rsidR="000A61F4">
        <w:t xml:space="preserve">. The cost of process water was also computed from Texas water and wastewater rates. The utilities cost was computed from each equipment’s power rating except for the lighting </w:t>
      </w:r>
      <w:r w:rsidR="00D52195">
        <w:t xml:space="preserve">and aeration </w:t>
      </w:r>
      <w:r w:rsidR="000A61F4">
        <w:t>requirements in the photobioreactor. Lighting power requirement was computed from actual measurement of voltage and resistance passing through the light chamber of the bench-scale reactor. This power requirement was scaled-up to the capacity needed by the 20-m</w:t>
      </w:r>
      <w:r w:rsidR="000A61F4" w:rsidRPr="00B6486B">
        <w:rPr>
          <w:vertAlign w:val="superscript"/>
        </w:rPr>
        <w:t>3</w:t>
      </w:r>
      <w:r w:rsidR="000A61F4">
        <w:t xml:space="preserve"> photobioreactor. </w:t>
      </w:r>
      <w:r w:rsidR="00D52195" w:rsidRPr="00125DBD">
        <w:t>The</w:t>
      </w:r>
      <w:r w:rsidR="00D52195">
        <w:t xml:space="preserve"> power required by aeration was</w:t>
      </w:r>
      <w:r w:rsidR="00D52195" w:rsidRPr="00125DBD">
        <w:t xml:space="preserve"> computed from the aeration rate.</w:t>
      </w:r>
      <w:r w:rsidR="000A61F4">
        <w:t xml:space="preserve"> For the labor cost, it was assumed that the plant will need three plant operators for each shift for a total of three shifts each day. The unit labor cost (19.60 $ h</w:t>
      </w:r>
      <w:r w:rsidR="000A61F4" w:rsidRPr="00F21A83">
        <w:rPr>
          <w:vertAlign w:val="superscript"/>
        </w:rPr>
        <w:t>-1</w:t>
      </w:r>
      <w:r w:rsidR="000A61F4">
        <w:t>) was taken from Texas’ May 2017 Occupational Employment and Wage Estimates for Plant and System Operators (Occupational Group 51-4011). The supplies cost was estimated from the yearly requirement of gas-barrier bags.</w:t>
      </w:r>
      <w:r w:rsidR="00D52195">
        <w:t xml:space="preserve"> </w:t>
      </w:r>
      <w:r w:rsidRPr="00125DBD">
        <w:t>The net profi</w:t>
      </w:r>
      <w:r>
        <w:t>t</w:t>
      </w:r>
      <w:r w:rsidR="00811DA0">
        <w:t>,</w:t>
      </w:r>
      <w:r>
        <w:t xml:space="preserve"> net profit margin</w:t>
      </w:r>
      <w:r w:rsidR="00811DA0">
        <w:t>, and payback period</w:t>
      </w:r>
      <w:r>
        <w:t xml:space="preserve"> were </w:t>
      </w:r>
      <w:r w:rsidRPr="00125DBD">
        <w:t>determined.</w:t>
      </w:r>
    </w:p>
    <w:p w14:paraId="6C57B768" w14:textId="6C31BCD7" w:rsidR="00945CBE" w:rsidRPr="006A6CEE" w:rsidRDefault="006A6CEE" w:rsidP="00811DA0">
      <w:pPr>
        <w:pStyle w:val="CETBodytext"/>
      </w:pPr>
      <w:r w:rsidRPr="006A6CEE">
        <w:t>The p</w:t>
      </w:r>
      <w:r w:rsidR="00945CBE" w:rsidRPr="006A6CEE">
        <w:t xml:space="preserve">rofit </w:t>
      </w:r>
      <w:r w:rsidRPr="006A6CEE">
        <w:t>m</w:t>
      </w:r>
      <w:r w:rsidR="00945CBE" w:rsidRPr="006A6CEE">
        <w:t xml:space="preserve">argin </w:t>
      </w:r>
      <w:r w:rsidRPr="006A6CEE">
        <w:t>was computed using: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989"/>
      </w:tblGrid>
      <w:tr w:rsidR="006A6CEE" w:rsidRPr="00811DA0" w14:paraId="558FFFF0" w14:textId="77777777" w:rsidTr="00E3458F">
        <w:trPr>
          <w:trHeight w:val="494"/>
        </w:trPr>
        <w:tc>
          <w:tcPr>
            <w:tcW w:w="4437" w:type="pct"/>
            <w:vAlign w:val="center"/>
            <w:hideMark/>
          </w:tcPr>
          <w:p w14:paraId="1CDA3D0A" w14:textId="486EB257" w:rsidR="006A6CEE" w:rsidRPr="00811DA0" w:rsidRDefault="006A6CEE" w:rsidP="00E3458F">
            <w:pPr>
              <w:pStyle w:val="CETEquation"/>
            </w:pPr>
            <m:oMathPara>
              <m:oMathParaPr>
                <m:jc m:val="left"/>
              </m:oMathParaPr>
              <m:oMath>
                <m:r>
                  <w:rPr>
                    <w:rFonts w:ascii="Cambria Math" w:hAnsi="Cambria Math"/>
                  </w:rPr>
                  <m:t>Profit Margin=</m:t>
                </m:r>
                <m:f>
                  <m:fPr>
                    <m:ctrlPr>
                      <w:rPr>
                        <w:rFonts w:ascii="Cambria Math" w:hAnsi="Cambria Math"/>
                        <w:i/>
                      </w:rPr>
                    </m:ctrlPr>
                  </m:fPr>
                  <m:num>
                    <m:r>
                      <w:rPr>
                        <w:rFonts w:ascii="Cambria Math" w:hAnsi="Cambria Math"/>
                      </w:rPr>
                      <m:t>Net Income</m:t>
                    </m:r>
                  </m:num>
                  <m:den>
                    <m:r>
                      <w:rPr>
                        <w:rFonts w:ascii="Cambria Math" w:hAnsi="Cambria Math"/>
                      </w:rPr>
                      <m:t>Revenue</m:t>
                    </m:r>
                  </m:den>
                </m:f>
                <m:r>
                  <w:rPr>
                    <w:rFonts w:ascii="Cambria Math" w:hAnsi="Cambria Math"/>
                  </w:rPr>
                  <m:t>×100%</m:t>
                </m:r>
              </m:oMath>
            </m:oMathPara>
          </w:p>
        </w:tc>
        <w:tc>
          <w:tcPr>
            <w:tcW w:w="563" w:type="pct"/>
            <w:vAlign w:val="center"/>
            <w:hideMark/>
          </w:tcPr>
          <w:p w14:paraId="7B646552" w14:textId="529FCB86" w:rsidR="006A6CEE" w:rsidRPr="00811DA0" w:rsidRDefault="006A6CEE" w:rsidP="00E3458F">
            <w:pPr>
              <w:spacing w:line="240" w:lineRule="auto"/>
              <w:jc w:val="right"/>
              <w:rPr>
                <w:rFonts w:eastAsiaTheme="minorEastAsia" w:cs="Arial"/>
                <w:szCs w:val="18"/>
              </w:rPr>
            </w:pPr>
            <w:r w:rsidRPr="00811DA0">
              <w:rPr>
                <w:rFonts w:eastAsiaTheme="minorEastAsia" w:cs="Arial"/>
                <w:szCs w:val="18"/>
              </w:rPr>
              <w:t>(</w:t>
            </w:r>
            <w:r>
              <w:rPr>
                <w:rFonts w:eastAsiaTheme="minorEastAsia" w:cs="Arial"/>
                <w:szCs w:val="18"/>
              </w:rPr>
              <w:t>3</w:t>
            </w:r>
            <w:r w:rsidRPr="00811DA0">
              <w:rPr>
                <w:rFonts w:eastAsiaTheme="minorEastAsia" w:cs="Arial"/>
                <w:szCs w:val="18"/>
              </w:rPr>
              <w:t>)</w:t>
            </w:r>
          </w:p>
        </w:tc>
      </w:tr>
    </w:tbl>
    <w:p w14:paraId="13C4B9CE" w14:textId="3F72010A" w:rsidR="006A6CEE" w:rsidRPr="006A6CEE" w:rsidRDefault="006A6CEE" w:rsidP="006A6CEE">
      <w:pPr>
        <w:pStyle w:val="CETBodytext"/>
      </w:pPr>
      <w:r w:rsidRPr="006A6CEE">
        <w:t>The p</w:t>
      </w:r>
      <w:r>
        <w:t>ayback period</w:t>
      </w:r>
      <w:r w:rsidRPr="006A6CEE">
        <w:t xml:space="preserve"> was computed using: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989"/>
      </w:tblGrid>
      <w:tr w:rsidR="006A6CEE" w:rsidRPr="00811DA0" w14:paraId="1A5152B6" w14:textId="77777777" w:rsidTr="00E3458F">
        <w:trPr>
          <w:trHeight w:val="494"/>
        </w:trPr>
        <w:tc>
          <w:tcPr>
            <w:tcW w:w="4437" w:type="pct"/>
            <w:vAlign w:val="center"/>
            <w:hideMark/>
          </w:tcPr>
          <w:p w14:paraId="7D18C1EA" w14:textId="2FD1336A" w:rsidR="006A6CEE" w:rsidRPr="006A6CEE" w:rsidRDefault="006A6CEE" w:rsidP="006A6CEE">
            <w:pPr>
              <w:pStyle w:val="CETEquation"/>
              <w:rPr>
                <w:highlight w:val="yellow"/>
              </w:rPr>
            </w:pPr>
            <m:oMathPara>
              <m:oMathParaPr>
                <m:jc m:val="left"/>
              </m:oMathParaPr>
              <m:oMath>
                <m:r>
                  <w:rPr>
                    <w:rFonts w:ascii="Cambria Math" w:hAnsi="Cambria Math"/>
                  </w:rPr>
                  <m:t>Payback</m:t>
                </m:r>
                <m:r>
                  <m:rPr>
                    <m:sty m:val="p"/>
                  </m:rPr>
                  <w:rPr>
                    <w:rFonts w:ascii="Cambria Math" w:hAnsi="Cambria Math"/>
                  </w:rPr>
                  <m:t xml:space="preserve"> </m:t>
                </m:r>
                <m:r>
                  <w:rPr>
                    <w:rFonts w:ascii="Cambria Math" w:hAnsi="Cambria Math"/>
                  </w:rPr>
                  <m:t>Period</m:t>
                </m:r>
                <m:r>
                  <m:rPr>
                    <m:sty m:val="p"/>
                  </m:rPr>
                  <w:rPr>
                    <w:rFonts w:ascii="Cambria Math" w:hAnsi="Cambria Math"/>
                  </w:rPr>
                  <m:t>=</m:t>
                </m:r>
                <m:f>
                  <m:fPr>
                    <m:ctrlPr>
                      <w:rPr>
                        <w:rFonts w:ascii="Cambria Math" w:hAnsi="Cambria Math"/>
                      </w:rPr>
                    </m:ctrlPr>
                  </m:fPr>
                  <m:num>
                    <m:r>
                      <w:rPr>
                        <w:rFonts w:ascii="Cambria Math" w:hAnsi="Cambria Math"/>
                      </w:rPr>
                      <m:t>FCI</m:t>
                    </m:r>
                  </m:num>
                  <m:den>
                    <m:r>
                      <w:rPr>
                        <w:rFonts w:ascii="Cambria Math" w:hAnsi="Cambria Math"/>
                      </w:rPr>
                      <m:t>Net</m:t>
                    </m:r>
                    <m:r>
                      <m:rPr>
                        <m:sty m:val="p"/>
                      </m:rPr>
                      <w:rPr>
                        <w:rFonts w:ascii="Cambria Math" w:hAnsi="Cambria Math"/>
                      </w:rPr>
                      <m:t xml:space="preserve"> </m:t>
                    </m:r>
                    <m:r>
                      <w:rPr>
                        <w:rFonts w:ascii="Cambria Math" w:hAnsi="Cambria Math"/>
                      </w:rPr>
                      <m:t>Income</m:t>
                    </m:r>
                  </m:den>
                </m:f>
              </m:oMath>
            </m:oMathPara>
          </w:p>
        </w:tc>
        <w:tc>
          <w:tcPr>
            <w:tcW w:w="563" w:type="pct"/>
            <w:vAlign w:val="center"/>
            <w:hideMark/>
          </w:tcPr>
          <w:p w14:paraId="39D4230C" w14:textId="40C83C9F" w:rsidR="006A6CEE" w:rsidRPr="00811DA0" w:rsidRDefault="006A6CEE" w:rsidP="00E3458F">
            <w:pPr>
              <w:spacing w:line="240" w:lineRule="auto"/>
              <w:jc w:val="right"/>
              <w:rPr>
                <w:rFonts w:eastAsiaTheme="minorEastAsia" w:cs="Arial"/>
                <w:szCs w:val="18"/>
              </w:rPr>
            </w:pPr>
            <w:r w:rsidRPr="00811DA0">
              <w:rPr>
                <w:rFonts w:eastAsiaTheme="minorEastAsia" w:cs="Arial"/>
                <w:szCs w:val="18"/>
              </w:rPr>
              <w:t>(</w:t>
            </w:r>
            <w:r>
              <w:rPr>
                <w:rFonts w:eastAsiaTheme="minorEastAsia" w:cs="Arial"/>
                <w:szCs w:val="18"/>
              </w:rPr>
              <w:t>4</w:t>
            </w:r>
            <w:r w:rsidRPr="00811DA0">
              <w:rPr>
                <w:rFonts w:eastAsiaTheme="minorEastAsia" w:cs="Arial"/>
                <w:szCs w:val="18"/>
              </w:rPr>
              <w:t>)</w:t>
            </w:r>
          </w:p>
        </w:tc>
      </w:tr>
    </w:tbl>
    <w:p w14:paraId="56D4B356" w14:textId="025C29BE" w:rsidR="0082301E" w:rsidRDefault="0082301E" w:rsidP="0082301E">
      <w:r>
        <w:t xml:space="preserve">Sensitivity analysis was then conducted to determine the effect of total photobioreactor capacity and of reactor operating conditions on the net income, profit margin, and payback period. The minimum selling price to make the project feasible at different total photobioreactor capacities was also determined. </w:t>
      </w:r>
    </w:p>
    <w:p w14:paraId="677EBFF0" w14:textId="6E97C33D" w:rsidR="00600535" w:rsidRPr="00B57B36" w:rsidRDefault="00811DA0" w:rsidP="00600535">
      <w:pPr>
        <w:pStyle w:val="CETHeading1"/>
        <w:tabs>
          <w:tab w:val="clear" w:pos="360"/>
          <w:tab w:val="right" w:pos="7100"/>
        </w:tabs>
        <w:jc w:val="both"/>
        <w:rPr>
          <w:lang w:val="en-GB"/>
        </w:rPr>
      </w:pPr>
      <w:r>
        <w:rPr>
          <w:lang w:val="en-GB"/>
        </w:rPr>
        <w:t>Results and Discussion</w:t>
      </w:r>
    </w:p>
    <w:p w14:paraId="04963A06" w14:textId="53579CD1" w:rsidR="00600535" w:rsidRPr="00CE0AB5" w:rsidRDefault="00F04CE9" w:rsidP="00FA5F5F">
      <w:pPr>
        <w:pStyle w:val="CETheadingx"/>
      </w:pPr>
      <w:r w:rsidRPr="00CE0AB5">
        <w:t>Bench-scale batch cultures</w:t>
      </w:r>
    </w:p>
    <w:p w14:paraId="6327D6F0" w14:textId="26D86E38" w:rsidR="001D4BA6" w:rsidRDefault="001D4BA6" w:rsidP="001D4BA6">
      <w:pPr>
        <w:pStyle w:val="CETBodytext"/>
        <w:rPr>
          <w:color w:val="000000"/>
          <w:szCs w:val="18"/>
        </w:rPr>
      </w:pPr>
      <w:r>
        <w:t xml:space="preserve">The growth of </w:t>
      </w:r>
      <w:r w:rsidRPr="00841D0C">
        <w:rPr>
          <w:i/>
          <w:iCs/>
        </w:rPr>
        <w:t>Spirulina</w:t>
      </w:r>
      <w:r>
        <w:t xml:space="preserve"> </w:t>
      </w:r>
      <w:r w:rsidR="00287CCC">
        <w:t>was</w:t>
      </w:r>
      <w:r>
        <w:t xml:space="preserve"> tested in</w:t>
      </w:r>
      <w:r w:rsidR="00287CCC">
        <w:t xml:space="preserve"> batch cultures at var</w:t>
      </w:r>
      <w:r w:rsidR="00C45361">
        <w:t>ying growth conditions</w:t>
      </w:r>
      <w:r w:rsidR="0004341C">
        <w:t xml:space="preserve"> but only th</w:t>
      </w:r>
      <w:r w:rsidR="00C45361">
        <w:t>ose</w:t>
      </w:r>
      <w:r w:rsidR="0004341C">
        <w:t xml:space="preserve"> that gave the highest biomass productivity</w:t>
      </w:r>
      <w:r w:rsidR="00CE0AB5">
        <w:t xml:space="preserve"> </w:t>
      </w:r>
      <w:r w:rsidR="00C45361">
        <w:t>were</w:t>
      </w:r>
      <w:r w:rsidR="00CE0AB5">
        <w:t xml:space="preserve"> used in the preliminary techno-economic analysis. The highest bio</w:t>
      </w:r>
      <w:r w:rsidR="00CE0AB5" w:rsidRPr="00CE0AB5">
        <w:rPr>
          <w:szCs w:val="18"/>
        </w:rPr>
        <w:t xml:space="preserve">mass productivity </w:t>
      </w:r>
      <w:r w:rsidR="0004341C" w:rsidRPr="00CE0AB5">
        <w:rPr>
          <w:szCs w:val="18"/>
        </w:rPr>
        <w:t>was obtained at 166 µmol photons m</w:t>
      </w:r>
      <w:r w:rsidR="0004341C" w:rsidRPr="00CE0AB5">
        <w:rPr>
          <w:szCs w:val="18"/>
          <w:vertAlign w:val="superscript"/>
        </w:rPr>
        <w:t>-2</w:t>
      </w:r>
      <w:r w:rsidR="0004341C" w:rsidRPr="00CE0AB5">
        <w:rPr>
          <w:szCs w:val="18"/>
        </w:rPr>
        <w:t xml:space="preserve"> s</w:t>
      </w:r>
      <w:r w:rsidR="0004341C" w:rsidRPr="00CE0AB5">
        <w:rPr>
          <w:szCs w:val="18"/>
          <w:vertAlign w:val="superscript"/>
        </w:rPr>
        <w:t>-1</w:t>
      </w:r>
      <w:r w:rsidR="0004341C" w:rsidRPr="00CE0AB5">
        <w:rPr>
          <w:szCs w:val="18"/>
        </w:rPr>
        <w:t xml:space="preserve"> light intensity, 0.3 vvm aeration rate, and 0.20 g l</w:t>
      </w:r>
      <w:r w:rsidR="0004341C" w:rsidRPr="00CE0AB5">
        <w:rPr>
          <w:szCs w:val="18"/>
          <w:vertAlign w:val="superscript"/>
        </w:rPr>
        <w:t>-1</w:t>
      </w:r>
      <w:r w:rsidR="0004341C" w:rsidRPr="00CE0AB5">
        <w:rPr>
          <w:szCs w:val="18"/>
        </w:rPr>
        <w:t xml:space="preserve"> initial biomass concentration</w:t>
      </w:r>
      <w:r w:rsidR="00C45361">
        <w:rPr>
          <w:szCs w:val="18"/>
        </w:rPr>
        <w:t xml:space="preserve"> and gave</w:t>
      </w:r>
      <w:r w:rsidR="00CE0AB5" w:rsidRPr="00CE0AB5">
        <w:rPr>
          <w:szCs w:val="18"/>
        </w:rPr>
        <w:t xml:space="preserve"> </w:t>
      </w:r>
      <w:r w:rsidR="00CE0AB5" w:rsidRPr="00CE0AB5">
        <w:rPr>
          <w:color w:val="000000"/>
          <w:szCs w:val="18"/>
        </w:rPr>
        <w:t>0.526 ± 0.027 d</w:t>
      </w:r>
      <w:r w:rsidR="00CE0AB5" w:rsidRPr="00CE0AB5">
        <w:rPr>
          <w:color w:val="000000"/>
          <w:szCs w:val="18"/>
          <w:vertAlign w:val="superscript"/>
        </w:rPr>
        <w:t>-1</w:t>
      </w:r>
      <w:r w:rsidR="00CE0AB5" w:rsidRPr="00CE0AB5">
        <w:rPr>
          <w:color w:val="000000"/>
          <w:szCs w:val="18"/>
        </w:rPr>
        <w:t xml:space="preserve"> specific growth rate, </w:t>
      </w:r>
      <w:r w:rsidR="00CE0AB5" w:rsidRPr="00CE0AB5">
        <w:rPr>
          <w:szCs w:val="18"/>
        </w:rPr>
        <w:t>0.181</w:t>
      </w:r>
      <w:r w:rsidR="00CE0AB5" w:rsidRPr="00CE0AB5">
        <w:rPr>
          <w:color w:val="000000"/>
          <w:szCs w:val="18"/>
        </w:rPr>
        <w:t xml:space="preserve">±0.016 g </w:t>
      </w:r>
      <w:r w:rsidR="00E37F4A">
        <w:rPr>
          <w:color w:val="000000"/>
          <w:szCs w:val="18"/>
        </w:rPr>
        <w:t>L</w:t>
      </w:r>
      <w:r w:rsidR="00CE0AB5" w:rsidRPr="00CE0AB5">
        <w:rPr>
          <w:color w:val="000000"/>
          <w:szCs w:val="18"/>
          <w:vertAlign w:val="superscript"/>
        </w:rPr>
        <w:t>-1</w:t>
      </w:r>
      <w:r w:rsidR="00CE0AB5" w:rsidRPr="00CE0AB5">
        <w:rPr>
          <w:color w:val="000000"/>
          <w:szCs w:val="18"/>
        </w:rPr>
        <w:t xml:space="preserve"> d</w:t>
      </w:r>
      <w:r w:rsidR="00CE0AB5" w:rsidRPr="00CE0AB5">
        <w:rPr>
          <w:color w:val="000000"/>
          <w:szCs w:val="18"/>
          <w:vertAlign w:val="superscript"/>
        </w:rPr>
        <w:t>-1</w:t>
      </w:r>
      <w:r w:rsidR="00CE0AB5" w:rsidRPr="00CE0AB5">
        <w:rPr>
          <w:color w:val="000000"/>
          <w:szCs w:val="18"/>
        </w:rPr>
        <w:t xml:space="preserve"> overall biomass productivity, 59.7 ± 2.34 %w/w protein, 36.6 ± 2.43 % w/w carbohydrates, and 3.72 ± 0.09 %w/w lipids.</w:t>
      </w:r>
    </w:p>
    <w:p w14:paraId="4550D177" w14:textId="77777777" w:rsidR="00ED31CE" w:rsidRPr="00CE0AB5" w:rsidRDefault="00ED31CE" w:rsidP="001D4BA6">
      <w:pPr>
        <w:pStyle w:val="CETBodytext"/>
      </w:pPr>
    </w:p>
    <w:p w14:paraId="1F96CA21" w14:textId="7F196194" w:rsidR="00600535" w:rsidRPr="00B57B36" w:rsidRDefault="00F04CE9" w:rsidP="00FA5F5F">
      <w:pPr>
        <w:pStyle w:val="CETheadingx"/>
      </w:pPr>
      <w:r>
        <w:t>Preliminary techno-economic evaluation</w:t>
      </w:r>
    </w:p>
    <w:p w14:paraId="0F215DB9" w14:textId="77777777" w:rsidR="00F04CE9" w:rsidRDefault="00F04CE9" w:rsidP="00F04CE9">
      <w:pPr>
        <w:pStyle w:val="CETHeadingxx"/>
      </w:pPr>
      <w:r>
        <w:t>Base Case Analysis</w:t>
      </w:r>
    </w:p>
    <w:p w14:paraId="68761C12" w14:textId="7898AA82" w:rsidR="00A42463" w:rsidRDefault="009F1BFC" w:rsidP="00A42463">
      <w:r>
        <w:t>In the base case analysis</w:t>
      </w:r>
      <w:r w:rsidR="00CE0E1A">
        <w:t>, t</w:t>
      </w:r>
      <w:r>
        <w:t>he 3-</w:t>
      </w:r>
      <w:r w:rsidR="00E37F4A">
        <w:t>L</w:t>
      </w:r>
      <w:r>
        <w:t xml:space="preserve"> </w:t>
      </w:r>
      <w:r w:rsidR="00F04CE9">
        <w:t>photobioreactor</w:t>
      </w:r>
      <w:r>
        <w:t xml:space="preserve"> used in the batch experiments</w:t>
      </w:r>
      <w:r w:rsidR="00F04CE9">
        <w:t xml:space="preserve"> was scaled-up </w:t>
      </w:r>
      <w:r w:rsidR="00CE0E1A">
        <w:t xml:space="preserve">only up </w:t>
      </w:r>
      <w:r w:rsidR="00F04CE9">
        <w:t>to 20-m</w:t>
      </w:r>
      <w:r w:rsidR="00F04CE9" w:rsidRPr="00D61EC3">
        <w:rPr>
          <w:vertAlign w:val="superscript"/>
        </w:rPr>
        <w:t>3</w:t>
      </w:r>
      <w:r w:rsidR="00F04CE9">
        <w:t xml:space="preserve"> since low </w:t>
      </w:r>
      <w:r>
        <w:t>surface area-to-volume ratio (S/V) w</w:t>
      </w:r>
      <w:r w:rsidR="00F04CE9">
        <w:t xml:space="preserve">as obtained at higher reactor size. </w:t>
      </w:r>
      <w:r>
        <w:t xml:space="preserve">A </w:t>
      </w:r>
      <w:r w:rsidR="00F04CE9">
        <w:t xml:space="preserve">continuous process for the </w:t>
      </w:r>
      <w:r w:rsidR="00F04CE9" w:rsidRPr="00DE18A5">
        <w:rPr>
          <w:i/>
        </w:rPr>
        <w:t>Spirulina</w:t>
      </w:r>
      <w:r w:rsidR="00F04CE9">
        <w:t xml:space="preserve"> powder production plant</w:t>
      </w:r>
      <w:r w:rsidR="00AE3D36">
        <w:t xml:space="preserve"> was then devised (Figure 1)</w:t>
      </w:r>
      <w:r w:rsidR="00F04CE9">
        <w:t xml:space="preserve">. </w:t>
      </w:r>
    </w:p>
    <w:p w14:paraId="472BA3D2" w14:textId="77777777" w:rsidR="00F04CE9" w:rsidRPr="00125DBD" w:rsidRDefault="00F04CE9" w:rsidP="00F04CE9"/>
    <w:p w14:paraId="70389869" w14:textId="77777777" w:rsidR="00F04CE9" w:rsidRDefault="00F04CE9" w:rsidP="00841D0C">
      <w:pPr>
        <w:jc w:val="left"/>
      </w:pPr>
      <w:r>
        <w:rPr>
          <w:noProof/>
        </w:rPr>
        <w:drawing>
          <wp:inline distT="0" distB="0" distL="0" distR="0" wp14:anchorId="40F39F24" wp14:editId="10794078">
            <wp:extent cx="2279650" cy="2238735"/>
            <wp:effectExtent l="0" t="0" r="635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07" cy="2310383"/>
                    </a:xfrm>
                    <a:prstGeom prst="rect">
                      <a:avLst/>
                    </a:prstGeom>
                  </pic:spPr>
                </pic:pic>
              </a:graphicData>
            </a:graphic>
          </wp:inline>
        </w:drawing>
      </w:r>
    </w:p>
    <w:p w14:paraId="463BEE47" w14:textId="43C8A067" w:rsidR="00F04CE9" w:rsidRPr="00D10CE6" w:rsidRDefault="00F04CE9" w:rsidP="00841D0C">
      <w:pPr>
        <w:pStyle w:val="CETCaption"/>
      </w:pPr>
      <w:bookmarkStart w:id="0" w:name="_Toc526950388"/>
      <w:bookmarkStart w:id="1" w:name="_Toc526951426"/>
      <w:bookmarkStart w:id="2" w:name="_Toc526952419"/>
      <w:r w:rsidRPr="00D10CE6">
        <w:t xml:space="preserve">Figure </w:t>
      </w:r>
      <w:r w:rsidR="00D10CE6" w:rsidRPr="00D10CE6">
        <w:t xml:space="preserve">1: </w:t>
      </w:r>
      <w:r w:rsidRPr="00D10CE6">
        <w:t>Process flow of Spirulina powder production.</w:t>
      </w:r>
      <w:bookmarkEnd w:id="0"/>
      <w:bookmarkEnd w:id="1"/>
      <w:bookmarkEnd w:id="2"/>
    </w:p>
    <w:p w14:paraId="7A2722D2" w14:textId="77777777" w:rsidR="00BE718A" w:rsidRDefault="00BE718A" w:rsidP="00BE718A">
      <w:r>
        <w:lastRenderedPageBreak/>
        <w:t>The upstream process consists of biomass production using the scaled-up airlift photobioreactor, which will be operated at the same operating conditions as the batch culture in 3.1. These operating conditions were expected to produce 14,500 kg yr</w:t>
      </w:r>
      <w:r w:rsidRPr="00654307">
        <w:rPr>
          <w:vertAlign w:val="superscript"/>
        </w:rPr>
        <w:t>-1</w:t>
      </w:r>
      <w:r>
        <w:t xml:space="preserve"> </w:t>
      </w:r>
      <w:r w:rsidRPr="00126970">
        <w:rPr>
          <w:i/>
        </w:rPr>
        <w:t>Spirulina</w:t>
      </w:r>
      <w:r>
        <w:t xml:space="preserve"> powder at 70% biomass recovery.</w:t>
      </w:r>
    </w:p>
    <w:p w14:paraId="3BAEEE3D" w14:textId="7C870DD7" w:rsidR="00F04CE9" w:rsidRDefault="00F04CE9" w:rsidP="00D10CE6">
      <w:r>
        <w:t>The downstream process includes biomass harvesting, dewatering, drying</w:t>
      </w:r>
      <w:r w:rsidR="00173F33">
        <w:t>,</w:t>
      </w:r>
      <w:r>
        <w:t xml:space="preserve"> and packaging. Harvesting will be achieved through three stages of filtration. Continuous</w:t>
      </w:r>
      <w:r w:rsidR="00841D0C">
        <w:t xml:space="preserve"> </w:t>
      </w:r>
      <w:r>
        <w:t>belt filters with decreasing mesh size will be used for this purpose. The final slurry was assumed to contain 20% solid content</w:t>
      </w:r>
      <w:r w:rsidR="00301585">
        <w:t xml:space="preserve">, which is the typical solid content after the belt filters </w:t>
      </w:r>
      <w:r w:rsidR="002C5B2B">
        <w:t>(Vonshak, 1997)</w:t>
      </w:r>
      <w:r>
        <w:t xml:space="preserve">. Freeze drying would be the best choice for drying the </w:t>
      </w:r>
      <w:r w:rsidR="0068238E">
        <w:t>biomass,</w:t>
      </w:r>
      <w:r w:rsidR="00A42463">
        <w:t xml:space="preserve"> but it is expensive</w:t>
      </w:r>
      <w:r>
        <w:t>.</w:t>
      </w:r>
      <w:r w:rsidR="00A42463">
        <w:t xml:space="preserve"> Instead, a</w:t>
      </w:r>
      <w:r>
        <w:t xml:space="preserve"> spray dryer</w:t>
      </w:r>
      <w:r w:rsidR="00A42463">
        <w:t xml:space="preserve"> will be used where the biomass</w:t>
      </w:r>
      <w:r>
        <w:t xml:space="preserve"> is exposed to 60 °C heat for a few seconds as it falls to the bottom. No preservatives, additives, stabilizers nor irradiation are used in drying. The quick spray drying process guarantees preservation of heat sensitive nutrients, pigments</w:t>
      </w:r>
      <w:r w:rsidR="00A42463">
        <w:t>,</w:t>
      </w:r>
      <w:r>
        <w:t xml:space="preserve"> and enzymes. The powder exiting the dryer will be immediately vacuumed away to a collection hopper in the packaging drum and will be sealed under vacuum with special gas-barrier bags to minimize the oxidation of certain vital pigments like carotenoids. </w:t>
      </w:r>
    </w:p>
    <w:p w14:paraId="7E3A9537" w14:textId="06808A8E" w:rsidR="00F04CE9" w:rsidRDefault="00F04CE9" w:rsidP="00D10CE6">
      <w:r>
        <w:tab/>
        <w:t xml:space="preserve">The summary of the results </w:t>
      </w:r>
      <w:r w:rsidR="00A42463">
        <w:t>of the preliminary techno-economic evaluation</w:t>
      </w:r>
      <w:r w:rsidR="0068238E">
        <w:t xml:space="preserve"> </w:t>
      </w:r>
      <w:r>
        <w:t xml:space="preserve">was presented in Table </w:t>
      </w:r>
      <w:r w:rsidR="000A61F4">
        <w:t>1</w:t>
      </w:r>
      <w:r>
        <w:t xml:space="preserve">. According to Table </w:t>
      </w:r>
      <w:r w:rsidR="00173F33">
        <w:t>1</w:t>
      </w:r>
      <w:r>
        <w:t>, the total fixed capital investment is $</w:t>
      </w:r>
      <w:r w:rsidR="006A6CEE">
        <w:t xml:space="preserve"> </w:t>
      </w:r>
      <w:r>
        <w:t xml:space="preserve">382,520. With a net income of $60,340 per year, this cost will be recovered in 6.34 years. Furthermore, the net income is 7.14% of the total revenue. Since the profit margin is positive, we can say that the venture is feasible. </w:t>
      </w:r>
    </w:p>
    <w:p w14:paraId="48D59A6E" w14:textId="10CD4D1B" w:rsidR="00F04CE9" w:rsidRDefault="00F04CE9" w:rsidP="00D10CE6">
      <w:pPr>
        <w:pStyle w:val="CETTabletitle"/>
      </w:pPr>
      <w:bookmarkStart w:id="3" w:name="_Toc526950389"/>
      <w:bookmarkStart w:id="4" w:name="_Toc526953775"/>
      <w:r w:rsidRPr="0024613C">
        <w:t xml:space="preserve">Table </w:t>
      </w:r>
      <w:r w:rsidR="00173F33">
        <w:rPr>
          <w:b/>
        </w:rPr>
        <w:t>1</w:t>
      </w:r>
      <w:r w:rsidR="00D10CE6">
        <w:rPr>
          <w:b/>
        </w:rPr>
        <w:t>:</w:t>
      </w:r>
      <w:r w:rsidRPr="0024613C">
        <w:t xml:space="preserve"> Summary of preliminary techno-economic analysis</w:t>
      </w:r>
      <w:r>
        <w:t xml:space="preserve"> of a continuous </w:t>
      </w:r>
      <w:r w:rsidRPr="002959D8">
        <w:t>Spirulina</w:t>
      </w:r>
      <w:r>
        <w:t xml:space="preserve"> powder production plant installed with 80-m</w:t>
      </w:r>
      <w:r w:rsidRPr="002959D8">
        <w:rPr>
          <w:vertAlign w:val="superscript"/>
        </w:rPr>
        <w:t>3</w:t>
      </w:r>
      <w:r>
        <w:t xml:space="preserve"> photobioreactor total capacity.</w:t>
      </w:r>
      <w:bookmarkEnd w:id="3"/>
      <w:bookmarkEnd w:id="4"/>
      <w: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310"/>
        <w:gridCol w:w="1350"/>
      </w:tblGrid>
      <w:tr w:rsidR="00C50864" w:rsidRPr="00B57B36" w14:paraId="15E040FC" w14:textId="77777777" w:rsidTr="00945CBE">
        <w:tc>
          <w:tcPr>
            <w:tcW w:w="5310" w:type="dxa"/>
            <w:tcBorders>
              <w:top w:val="single" w:sz="12" w:space="0" w:color="008000"/>
              <w:bottom w:val="single" w:sz="6" w:space="0" w:color="008000"/>
            </w:tcBorders>
            <w:shd w:val="clear" w:color="auto" w:fill="FFFFFF"/>
          </w:tcPr>
          <w:p w14:paraId="0E1A81BD" w14:textId="5EFDBE92" w:rsidR="00C50864" w:rsidRPr="00B57B36" w:rsidRDefault="00C50864" w:rsidP="00E3458F">
            <w:pPr>
              <w:pStyle w:val="CETBodytext"/>
              <w:rPr>
                <w:lang w:val="en-GB"/>
              </w:rPr>
            </w:pPr>
            <w:r>
              <w:rPr>
                <w:lang w:val="en-GB"/>
              </w:rPr>
              <w:t>Component</w:t>
            </w:r>
          </w:p>
        </w:tc>
        <w:tc>
          <w:tcPr>
            <w:tcW w:w="1350" w:type="dxa"/>
            <w:tcBorders>
              <w:top w:val="single" w:sz="12" w:space="0" w:color="008000"/>
              <w:bottom w:val="single" w:sz="6" w:space="0" w:color="008000"/>
            </w:tcBorders>
            <w:shd w:val="clear" w:color="auto" w:fill="FFFFFF"/>
          </w:tcPr>
          <w:p w14:paraId="29EFDBCB" w14:textId="3AD2F0CF" w:rsidR="00C50864" w:rsidRPr="00B57B36" w:rsidRDefault="00C50864" w:rsidP="00E3458F">
            <w:pPr>
              <w:pStyle w:val="CETBodytext"/>
              <w:rPr>
                <w:lang w:val="en-GB"/>
              </w:rPr>
            </w:pPr>
            <w:r>
              <w:rPr>
                <w:lang w:val="en-GB"/>
              </w:rPr>
              <w:t>Amount</w:t>
            </w:r>
          </w:p>
        </w:tc>
      </w:tr>
      <w:tr w:rsidR="00C50864" w:rsidRPr="00B57B36" w14:paraId="5E17B167" w14:textId="77777777" w:rsidTr="00945CBE">
        <w:tc>
          <w:tcPr>
            <w:tcW w:w="5310" w:type="dxa"/>
            <w:shd w:val="clear" w:color="auto" w:fill="FFFFFF"/>
          </w:tcPr>
          <w:p w14:paraId="5729BD77" w14:textId="28281604" w:rsidR="00C50864" w:rsidRPr="00B57B36" w:rsidRDefault="00247F52" w:rsidP="00247F52">
            <w:pPr>
              <w:pStyle w:val="CETBodytext"/>
              <w:numPr>
                <w:ilvl w:val="0"/>
                <w:numId w:val="23"/>
              </w:numPr>
              <w:rPr>
                <w:lang w:val="en-GB"/>
              </w:rPr>
            </w:pPr>
            <w:r>
              <w:rPr>
                <w:lang w:val="en-GB"/>
              </w:rPr>
              <w:t>Equipment Cost</w:t>
            </w:r>
          </w:p>
        </w:tc>
        <w:tc>
          <w:tcPr>
            <w:tcW w:w="1350" w:type="dxa"/>
            <w:shd w:val="clear" w:color="auto" w:fill="FFFFFF"/>
          </w:tcPr>
          <w:p w14:paraId="775667BA" w14:textId="49AC0A7B" w:rsidR="00C50864" w:rsidRPr="00B57B36" w:rsidRDefault="00C50864" w:rsidP="00162558">
            <w:pPr>
              <w:pStyle w:val="CETBodytext"/>
              <w:jc w:val="right"/>
              <w:rPr>
                <w:lang w:val="en-GB"/>
              </w:rPr>
            </w:pPr>
          </w:p>
        </w:tc>
      </w:tr>
      <w:tr w:rsidR="00247F52" w:rsidRPr="00B57B36" w14:paraId="09757D89" w14:textId="77777777" w:rsidTr="00945CBE">
        <w:tc>
          <w:tcPr>
            <w:tcW w:w="5310" w:type="dxa"/>
            <w:shd w:val="clear" w:color="auto" w:fill="FFFFFF"/>
          </w:tcPr>
          <w:p w14:paraId="1342E631" w14:textId="5823A8D8" w:rsidR="00247F52" w:rsidRDefault="00247F52" w:rsidP="00247F52">
            <w:pPr>
              <w:pStyle w:val="CETBodytext"/>
              <w:ind w:left="720"/>
              <w:rPr>
                <w:lang w:val="en-GB"/>
              </w:rPr>
            </w:pPr>
            <w:r>
              <w:rPr>
                <w:lang w:val="en-GB"/>
              </w:rPr>
              <w:t>Purchased Equipment</w:t>
            </w:r>
          </w:p>
        </w:tc>
        <w:tc>
          <w:tcPr>
            <w:tcW w:w="1350" w:type="dxa"/>
            <w:shd w:val="clear" w:color="auto" w:fill="FFFFFF"/>
          </w:tcPr>
          <w:p w14:paraId="0885A0C6" w14:textId="7D0C5165" w:rsidR="00247F52" w:rsidRPr="00B57B36" w:rsidRDefault="00945CBE" w:rsidP="00945CBE">
            <w:pPr>
              <w:pStyle w:val="CETBodytext"/>
              <w:ind w:right="184"/>
              <w:jc w:val="right"/>
              <w:rPr>
                <w:lang w:val="en-GB"/>
              </w:rPr>
            </w:pPr>
            <w:r>
              <w:rPr>
                <w:lang w:val="en-GB"/>
              </w:rPr>
              <w:t>$</w:t>
            </w:r>
            <w:r w:rsidR="006A6CEE">
              <w:rPr>
                <w:lang w:val="en-GB"/>
              </w:rPr>
              <w:t xml:space="preserve"> </w:t>
            </w:r>
            <w:r w:rsidR="00162558">
              <w:rPr>
                <w:lang w:val="en-GB"/>
              </w:rPr>
              <w:t>146,000</w:t>
            </w:r>
          </w:p>
        </w:tc>
      </w:tr>
      <w:tr w:rsidR="00162558" w:rsidRPr="00B57B36" w14:paraId="0400063A" w14:textId="77777777" w:rsidTr="00945CBE">
        <w:tc>
          <w:tcPr>
            <w:tcW w:w="5310" w:type="dxa"/>
            <w:shd w:val="clear" w:color="auto" w:fill="FFFFFF"/>
          </w:tcPr>
          <w:p w14:paraId="7991820D" w14:textId="219FE94F" w:rsidR="00162558" w:rsidRDefault="00162558" w:rsidP="00162558">
            <w:pPr>
              <w:pStyle w:val="CETBodytext"/>
              <w:ind w:left="720"/>
              <w:rPr>
                <w:lang w:val="en-GB"/>
              </w:rPr>
            </w:pPr>
            <w:r>
              <w:rPr>
                <w:lang w:val="en-GB"/>
              </w:rPr>
              <w:t>Installation (50% of purchased equipment cost)</w:t>
            </w:r>
            <w:r w:rsidR="00945CBE" w:rsidRPr="00945CBE">
              <w:rPr>
                <w:vertAlign w:val="superscript"/>
                <w:lang w:val="en-GB"/>
              </w:rPr>
              <w:t>a</w:t>
            </w:r>
          </w:p>
        </w:tc>
        <w:tc>
          <w:tcPr>
            <w:tcW w:w="1350" w:type="dxa"/>
            <w:shd w:val="clear" w:color="auto" w:fill="FFFFFF"/>
            <w:vAlign w:val="bottom"/>
          </w:tcPr>
          <w:p w14:paraId="5E372129" w14:textId="5C9B77B1" w:rsidR="00162558" w:rsidRPr="00B57B36" w:rsidRDefault="00945CBE" w:rsidP="00945CBE">
            <w:pPr>
              <w:pStyle w:val="CETBodytext"/>
              <w:ind w:right="184"/>
              <w:jc w:val="right"/>
              <w:rPr>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73,000</w:t>
            </w:r>
          </w:p>
        </w:tc>
      </w:tr>
      <w:tr w:rsidR="00162558" w:rsidRPr="00B57B36" w14:paraId="781A5F78" w14:textId="77777777" w:rsidTr="00945CBE">
        <w:tc>
          <w:tcPr>
            <w:tcW w:w="5310" w:type="dxa"/>
            <w:shd w:val="clear" w:color="auto" w:fill="FFFFFF"/>
          </w:tcPr>
          <w:p w14:paraId="7685F780" w14:textId="46F0F5A9" w:rsidR="00162558" w:rsidRDefault="00162558" w:rsidP="00162558">
            <w:pPr>
              <w:pStyle w:val="CETBodytext"/>
              <w:ind w:left="720"/>
              <w:rPr>
                <w:lang w:val="en-GB"/>
              </w:rPr>
            </w:pPr>
            <w:r>
              <w:rPr>
                <w:lang w:val="en-GB"/>
              </w:rPr>
              <w:t>Instrumentation (26% of purchased equipment cost)</w:t>
            </w:r>
            <w:r w:rsidR="00945CBE" w:rsidRPr="00945CBE">
              <w:rPr>
                <w:vertAlign w:val="superscript"/>
                <w:lang w:val="en-GB"/>
              </w:rPr>
              <w:t xml:space="preserve"> a</w:t>
            </w:r>
          </w:p>
        </w:tc>
        <w:tc>
          <w:tcPr>
            <w:tcW w:w="1350" w:type="dxa"/>
            <w:shd w:val="clear" w:color="auto" w:fill="FFFFFF"/>
            <w:vAlign w:val="bottom"/>
          </w:tcPr>
          <w:p w14:paraId="0C74CE48" w14:textId="534B9FA2" w:rsidR="00162558" w:rsidRPr="00B57B36" w:rsidRDefault="00945CBE" w:rsidP="00945CBE">
            <w:pPr>
              <w:pStyle w:val="CETBodytext"/>
              <w:ind w:right="184"/>
              <w:jc w:val="right"/>
              <w:rPr>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 xml:space="preserve">37,960 </w:t>
            </w:r>
          </w:p>
        </w:tc>
      </w:tr>
      <w:tr w:rsidR="00162558" w:rsidRPr="00B57B36" w14:paraId="3D05E858" w14:textId="77777777" w:rsidTr="00945CBE">
        <w:tc>
          <w:tcPr>
            <w:tcW w:w="5310" w:type="dxa"/>
            <w:shd w:val="clear" w:color="auto" w:fill="FFFFFF"/>
          </w:tcPr>
          <w:p w14:paraId="2301244D" w14:textId="58C8D22C" w:rsidR="00162558" w:rsidRDefault="00162558" w:rsidP="00162558">
            <w:pPr>
              <w:pStyle w:val="CETBodytext"/>
              <w:ind w:left="720"/>
              <w:rPr>
                <w:lang w:val="en-GB"/>
              </w:rPr>
            </w:pPr>
            <w:r>
              <w:rPr>
                <w:lang w:val="en-GB"/>
              </w:rPr>
              <w:t>Piping (31% of purchased equipment cost)</w:t>
            </w:r>
            <w:r w:rsidR="00945CBE" w:rsidRPr="00945CBE">
              <w:rPr>
                <w:vertAlign w:val="superscript"/>
                <w:lang w:val="en-GB"/>
              </w:rPr>
              <w:t xml:space="preserve"> a</w:t>
            </w:r>
          </w:p>
        </w:tc>
        <w:tc>
          <w:tcPr>
            <w:tcW w:w="1350" w:type="dxa"/>
            <w:shd w:val="clear" w:color="auto" w:fill="FFFFFF"/>
            <w:vAlign w:val="bottom"/>
          </w:tcPr>
          <w:p w14:paraId="7DDA5BEF" w14:textId="1737FDFE" w:rsidR="00162558" w:rsidRPr="00B57B36" w:rsidRDefault="00945CBE" w:rsidP="00945CBE">
            <w:pPr>
              <w:pStyle w:val="CETBodytext"/>
              <w:ind w:right="184"/>
              <w:jc w:val="right"/>
              <w:rPr>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 xml:space="preserve">45,260 </w:t>
            </w:r>
          </w:p>
        </w:tc>
      </w:tr>
      <w:tr w:rsidR="00162558" w:rsidRPr="00B57B36" w14:paraId="628495D0" w14:textId="77777777" w:rsidTr="00945CBE">
        <w:tc>
          <w:tcPr>
            <w:tcW w:w="5310" w:type="dxa"/>
            <w:shd w:val="clear" w:color="auto" w:fill="FFFFFF"/>
          </w:tcPr>
          <w:p w14:paraId="54A5DAB1" w14:textId="13671C5D" w:rsidR="00162558" w:rsidRDefault="00162558" w:rsidP="00162558">
            <w:pPr>
              <w:pStyle w:val="CETBodytext"/>
              <w:ind w:left="720"/>
              <w:rPr>
                <w:lang w:val="en-GB"/>
              </w:rPr>
            </w:pPr>
            <w:r>
              <w:rPr>
                <w:lang w:val="en-GB"/>
              </w:rPr>
              <w:t>Total Equipment Cost</w:t>
            </w:r>
          </w:p>
        </w:tc>
        <w:tc>
          <w:tcPr>
            <w:tcW w:w="1350" w:type="dxa"/>
            <w:shd w:val="clear" w:color="auto" w:fill="FFFFFF"/>
          </w:tcPr>
          <w:p w14:paraId="79C3AB03" w14:textId="70ABED3A" w:rsidR="00162558" w:rsidRPr="00B57B36" w:rsidRDefault="00945CBE" w:rsidP="00945CBE">
            <w:pPr>
              <w:pStyle w:val="CETBodytext"/>
              <w:ind w:right="184"/>
              <w:jc w:val="right"/>
              <w:rPr>
                <w:lang w:val="en-GB"/>
              </w:rPr>
            </w:pPr>
            <w:r>
              <w:rPr>
                <w:rFonts w:cs="Arial"/>
                <w:color w:val="000000"/>
                <w:szCs w:val="18"/>
              </w:rPr>
              <w:t>$</w:t>
            </w:r>
            <w:r w:rsidR="006A6CEE">
              <w:rPr>
                <w:rFonts w:cs="Arial"/>
                <w:color w:val="000000"/>
                <w:szCs w:val="18"/>
              </w:rPr>
              <w:t xml:space="preserve"> </w:t>
            </w:r>
            <w:r w:rsidR="00162558">
              <w:rPr>
                <w:lang w:val="en-GB"/>
              </w:rPr>
              <w:t>302,220</w:t>
            </w:r>
          </w:p>
        </w:tc>
      </w:tr>
      <w:tr w:rsidR="00162558" w:rsidRPr="00B57B36" w14:paraId="069F104E" w14:textId="77777777" w:rsidTr="00945CBE">
        <w:tc>
          <w:tcPr>
            <w:tcW w:w="5310" w:type="dxa"/>
            <w:shd w:val="clear" w:color="auto" w:fill="FFFFFF"/>
          </w:tcPr>
          <w:p w14:paraId="4DFDA551" w14:textId="0C700C73" w:rsidR="00162558" w:rsidRPr="00B57B36" w:rsidRDefault="00162558" w:rsidP="00162558">
            <w:pPr>
              <w:pStyle w:val="CETBodytext"/>
              <w:numPr>
                <w:ilvl w:val="0"/>
                <w:numId w:val="23"/>
              </w:numPr>
              <w:ind w:right="-1"/>
              <w:rPr>
                <w:rFonts w:cs="Arial"/>
                <w:szCs w:val="18"/>
                <w:lang w:val="en-GB"/>
              </w:rPr>
            </w:pPr>
            <w:r>
              <w:rPr>
                <w:rFonts w:cs="Arial"/>
                <w:szCs w:val="18"/>
                <w:lang w:val="en-GB"/>
              </w:rPr>
              <w:t>Building Cost (47% of total equipment cost)</w:t>
            </w:r>
            <w:r w:rsidR="00945CBE" w:rsidRPr="00945CBE">
              <w:rPr>
                <w:vertAlign w:val="superscript"/>
                <w:lang w:val="en-GB"/>
              </w:rPr>
              <w:t xml:space="preserve"> a</w:t>
            </w:r>
          </w:p>
        </w:tc>
        <w:tc>
          <w:tcPr>
            <w:tcW w:w="1350" w:type="dxa"/>
            <w:shd w:val="clear" w:color="auto" w:fill="FFFFFF"/>
            <w:vAlign w:val="bottom"/>
          </w:tcPr>
          <w:p w14:paraId="16BBF9A8" w14:textId="0EB8B3B9" w:rsidR="00162558" w:rsidRPr="00162558"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 xml:space="preserve">68,620 </w:t>
            </w:r>
          </w:p>
        </w:tc>
      </w:tr>
      <w:tr w:rsidR="00162558" w:rsidRPr="00B57B36" w14:paraId="0BA13388" w14:textId="77777777" w:rsidTr="00945CBE">
        <w:tc>
          <w:tcPr>
            <w:tcW w:w="5310" w:type="dxa"/>
            <w:shd w:val="clear" w:color="auto" w:fill="FFFFFF"/>
          </w:tcPr>
          <w:p w14:paraId="20520703" w14:textId="54F13E1B" w:rsidR="00162558" w:rsidRDefault="00162558" w:rsidP="00162558">
            <w:pPr>
              <w:pStyle w:val="CETBodytext"/>
              <w:numPr>
                <w:ilvl w:val="0"/>
                <w:numId w:val="23"/>
              </w:numPr>
              <w:ind w:right="-1"/>
              <w:rPr>
                <w:rFonts w:cs="Arial"/>
                <w:szCs w:val="18"/>
                <w:lang w:val="en-GB"/>
              </w:rPr>
            </w:pPr>
            <w:r>
              <w:rPr>
                <w:rFonts w:cs="Arial"/>
                <w:szCs w:val="18"/>
                <w:lang w:val="en-GB"/>
              </w:rPr>
              <w:t>Land Cost (8% of total equipment cost)</w:t>
            </w:r>
            <w:r w:rsidR="00945CBE" w:rsidRPr="00945CBE">
              <w:rPr>
                <w:vertAlign w:val="superscript"/>
                <w:lang w:val="en-GB"/>
              </w:rPr>
              <w:t xml:space="preserve"> a</w:t>
            </w:r>
          </w:p>
        </w:tc>
        <w:tc>
          <w:tcPr>
            <w:tcW w:w="1350" w:type="dxa"/>
            <w:shd w:val="clear" w:color="auto" w:fill="FFFFFF"/>
            <w:vAlign w:val="bottom"/>
          </w:tcPr>
          <w:p w14:paraId="05E3B4F1" w14:textId="5ED3782D" w:rsidR="00162558" w:rsidRPr="00162558"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11,680</w:t>
            </w:r>
          </w:p>
        </w:tc>
      </w:tr>
      <w:tr w:rsidR="00162558" w:rsidRPr="00B57B36" w14:paraId="4BC2F608" w14:textId="77777777" w:rsidTr="00945CBE">
        <w:tc>
          <w:tcPr>
            <w:tcW w:w="5310" w:type="dxa"/>
            <w:shd w:val="clear" w:color="auto" w:fill="FFFFFF"/>
          </w:tcPr>
          <w:p w14:paraId="5AF6E860" w14:textId="66700C0B" w:rsidR="00162558" w:rsidRDefault="00162558" w:rsidP="00162558">
            <w:pPr>
              <w:pStyle w:val="CETBodytext"/>
              <w:numPr>
                <w:ilvl w:val="0"/>
                <w:numId w:val="23"/>
              </w:numPr>
              <w:ind w:right="-1"/>
              <w:rPr>
                <w:rFonts w:cs="Arial"/>
                <w:szCs w:val="18"/>
                <w:lang w:val="en-GB"/>
              </w:rPr>
            </w:pPr>
            <w:r>
              <w:rPr>
                <w:rFonts w:cs="Arial"/>
                <w:szCs w:val="18"/>
                <w:lang w:val="en-GB"/>
              </w:rPr>
              <w:t>Fixed Capital Investment (A+B+C)</w:t>
            </w:r>
          </w:p>
        </w:tc>
        <w:tc>
          <w:tcPr>
            <w:tcW w:w="1350" w:type="dxa"/>
            <w:shd w:val="clear" w:color="auto" w:fill="FFFFFF"/>
            <w:vAlign w:val="bottom"/>
          </w:tcPr>
          <w:p w14:paraId="4D3D8277" w14:textId="71B64A7C" w:rsidR="00162558" w:rsidRPr="00162558"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sidRPr="00162558">
              <w:rPr>
                <w:rFonts w:cs="Arial"/>
                <w:color w:val="000000"/>
                <w:szCs w:val="18"/>
              </w:rPr>
              <w:t xml:space="preserve">382,520  </w:t>
            </w:r>
          </w:p>
        </w:tc>
      </w:tr>
      <w:tr w:rsidR="00162558" w:rsidRPr="00B57B36" w14:paraId="765939D5" w14:textId="77777777" w:rsidTr="00945CBE">
        <w:tc>
          <w:tcPr>
            <w:tcW w:w="5310" w:type="dxa"/>
            <w:shd w:val="clear" w:color="auto" w:fill="FFFFFF"/>
          </w:tcPr>
          <w:p w14:paraId="04EBCC43" w14:textId="5B72E0A2" w:rsidR="00162558" w:rsidRDefault="00162558" w:rsidP="00162558">
            <w:pPr>
              <w:pStyle w:val="CETBodytext"/>
              <w:numPr>
                <w:ilvl w:val="0"/>
                <w:numId w:val="23"/>
              </w:numPr>
              <w:ind w:right="-1"/>
              <w:rPr>
                <w:rFonts w:cs="Arial"/>
                <w:szCs w:val="18"/>
                <w:lang w:val="en-GB"/>
              </w:rPr>
            </w:pPr>
            <w:r>
              <w:rPr>
                <w:rFonts w:cs="Arial"/>
                <w:szCs w:val="18"/>
                <w:lang w:val="en-GB"/>
              </w:rPr>
              <w:t>Raw Material Cost</w:t>
            </w:r>
          </w:p>
        </w:tc>
        <w:tc>
          <w:tcPr>
            <w:tcW w:w="1350" w:type="dxa"/>
            <w:shd w:val="clear" w:color="auto" w:fill="FFFFFF"/>
            <w:vAlign w:val="bottom"/>
          </w:tcPr>
          <w:p w14:paraId="6507C68F" w14:textId="795465B6" w:rsidR="00162558" w:rsidRPr="00B57B36"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Pr>
                <w:rFonts w:cs="Arial"/>
                <w:szCs w:val="18"/>
                <w:lang w:val="en-GB"/>
              </w:rPr>
              <w:t>117,800</w:t>
            </w:r>
          </w:p>
        </w:tc>
      </w:tr>
      <w:tr w:rsidR="00162558" w:rsidRPr="00B57B36" w14:paraId="6625ED2E" w14:textId="77777777" w:rsidTr="00945CBE">
        <w:tc>
          <w:tcPr>
            <w:tcW w:w="5310" w:type="dxa"/>
            <w:shd w:val="clear" w:color="auto" w:fill="FFFFFF"/>
          </w:tcPr>
          <w:p w14:paraId="7BF0FEEC" w14:textId="564A88A4" w:rsidR="00162558" w:rsidRDefault="00162558" w:rsidP="00162558">
            <w:pPr>
              <w:pStyle w:val="CETBodytext"/>
              <w:numPr>
                <w:ilvl w:val="0"/>
                <w:numId w:val="23"/>
              </w:numPr>
              <w:ind w:right="-1"/>
              <w:rPr>
                <w:rFonts w:cs="Arial"/>
                <w:szCs w:val="18"/>
                <w:lang w:val="en-GB"/>
              </w:rPr>
            </w:pPr>
            <w:r>
              <w:rPr>
                <w:rFonts w:cs="Arial"/>
                <w:szCs w:val="18"/>
                <w:lang w:val="en-GB"/>
              </w:rPr>
              <w:t>Utilities</w:t>
            </w:r>
          </w:p>
        </w:tc>
        <w:tc>
          <w:tcPr>
            <w:tcW w:w="1350" w:type="dxa"/>
            <w:shd w:val="clear" w:color="auto" w:fill="FFFFFF"/>
            <w:vAlign w:val="bottom"/>
          </w:tcPr>
          <w:p w14:paraId="67709C38" w14:textId="35CF0243" w:rsidR="00162558" w:rsidRPr="00B57B36"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Pr>
                <w:rFonts w:cs="Arial"/>
                <w:szCs w:val="18"/>
                <w:lang w:val="en-GB"/>
              </w:rPr>
              <w:t>107,700</w:t>
            </w:r>
          </w:p>
        </w:tc>
      </w:tr>
      <w:tr w:rsidR="00162558" w:rsidRPr="00B57B36" w14:paraId="1141C52C" w14:textId="77777777" w:rsidTr="00945CBE">
        <w:tc>
          <w:tcPr>
            <w:tcW w:w="5310" w:type="dxa"/>
            <w:shd w:val="clear" w:color="auto" w:fill="FFFFFF"/>
          </w:tcPr>
          <w:p w14:paraId="2CB0F54C" w14:textId="7BE1BC63" w:rsidR="00162558" w:rsidRDefault="00162558" w:rsidP="00162558">
            <w:pPr>
              <w:pStyle w:val="CETBodytext"/>
              <w:numPr>
                <w:ilvl w:val="0"/>
                <w:numId w:val="23"/>
              </w:numPr>
              <w:ind w:right="-1"/>
              <w:rPr>
                <w:rFonts w:cs="Arial"/>
                <w:szCs w:val="18"/>
                <w:lang w:val="en-GB"/>
              </w:rPr>
            </w:pPr>
            <w:r>
              <w:rPr>
                <w:rFonts w:cs="Arial"/>
                <w:szCs w:val="18"/>
                <w:lang w:val="en-GB"/>
              </w:rPr>
              <w:t>Labor</w:t>
            </w:r>
          </w:p>
        </w:tc>
        <w:tc>
          <w:tcPr>
            <w:tcW w:w="1350" w:type="dxa"/>
            <w:shd w:val="clear" w:color="auto" w:fill="FFFFFF"/>
            <w:vAlign w:val="bottom"/>
          </w:tcPr>
          <w:p w14:paraId="1BBF3430" w14:textId="619683A7" w:rsidR="00162558" w:rsidRPr="00B57B36"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Pr>
                <w:rFonts w:cs="Arial"/>
                <w:szCs w:val="18"/>
                <w:lang w:val="en-GB"/>
              </w:rPr>
              <w:t>423,360</w:t>
            </w:r>
          </w:p>
        </w:tc>
      </w:tr>
      <w:tr w:rsidR="00162558" w:rsidRPr="00B57B36" w14:paraId="13A3B16A" w14:textId="77777777" w:rsidTr="00945CBE">
        <w:tc>
          <w:tcPr>
            <w:tcW w:w="5310" w:type="dxa"/>
            <w:shd w:val="clear" w:color="auto" w:fill="FFFFFF"/>
          </w:tcPr>
          <w:p w14:paraId="3A70FDE6" w14:textId="363A3502" w:rsidR="00162558" w:rsidRDefault="00162558" w:rsidP="00162558">
            <w:pPr>
              <w:pStyle w:val="CETBodytext"/>
              <w:numPr>
                <w:ilvl w:val="0"/>
                <w:numId w:val="23"/>
              </w:numPr>
              <w:ind w:right="-1"/>
              <w:rPr>
                <w:rFonts w:cs="Arial"/>
                <w:szCs w:val="18"/>
                <w:lang w:val="en-GB"/>
              </w:rPr>
            </w:pPr>
            <w:r>
              <w:rPr>
                <w:rFonts w:cs="Arial"/>
                <w:szCs w:val="18"/>
                <w:lang w:val="en-GB"/>
              </w:rPr>
              <w:t>Supplies</w:t>
            </w:r>
          </w:p>
        </w:tc>
        <w:tc>
          <w:tcPr>
            <w:tcW w:w="1350" w:type="dxa"/>
            <w:shd w:val="clear" w:color="auto" w:fill="FFFFFF"/>
            <w:vAlign w:val="bottom"/>
          </w:tcPr>
          <w:p w14:paraId="1BC94689" w14:textId="66458A2A" w:rsidR="00162558" w:rsidRPr="00B57B36"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sidR="00162558">
              <w:rPr>
                <w:rFonts w:cs="Arial"/>
                <w:szCs w:val="18"/>
                <w:lang w:val="en-GB"/>
              </w:rPr>
              <w:t>136,400</w:t>
            </w:r>
          </w:p>
        </w:tc>
      </w:tr>
      <w:tr w:rsidR="00162558" w:rsidRPr="00B57B36" w14:paraId="4905BDA3" w14:textId="77777777" w:rsidTr="00945CBE">
        <w:tc>
          <w:tcPr>
            <w:tcW w:w="5310" w:type="dxa"/>
            <w:shd w:val="clear" w:color="auto" w:fill="FFFFFF"/>
          </w:tcPr>
          <w:p w14:paraId="24E4C03C" w14:textId="3DECCBB8" w:rsidR="00162558" w:rsidRDefault="00162558" w:rsidP="00162558">
            <w:pPr>
              <w:pStyle w:val="CETBodytext"/>
              <w:numPr>
                <w:ilvl w:val="0"/>
                <w:numId w:val="23"/>
              </w:numPr>
              <w:ind w:right="-1"/>
              <w:rPr>
                <w:rFonts w:cs="Arial"/>
                <w:szCs w:val="18"/>
                <w:lang w:val="en-GB"/>
              </w:rPr>
            </w:pPr>
            <w:r>
              <w:rPr>
                <w:rFonts w:cs="Arial"/>
                <w:szCs w:val="18"/>
                <w:lang w:val="en-GB"/>
              </w:rPr>
              <w:t>Total Production Cost</w:t>
            </w:r>
            <w:r w:rsidR="006E607F">
              <w:rPr>
                <w:rFonts w:cs="Arial"/>
                <w:szCs w:val="18"/>
                <w:lang w:val="en-GB"/>
              </w:rPr>
              <w:t xml:space="preserve"> (E+F+G+H)</w:t>
            </w:r>
          </w:p>
        </w:tc>
        <w:tc>
          <w:tcPr>
            <w:tcW w:w="1350" w:type="dxa"/>
            <w:shd w:val="clear" w:color="auto" w:fill="FFFFFF"/>
            <w:vAlign w:val="bottom"/>
          </w:tcPr>
          <w:p w14:paraId="76AF9576" w14:textId="14D247B3" w:rsidR="00162558"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Pr>
                <w:rFonts w:cs="Arial"/>
                <w:szCs w:val="18"/>
                <w:lang w:val="en-GB"/>
              </w:rPr>
              <w:t>785,260</w:t>
            </w:r>
          </w:p>
        </w:tc>
      </w:tr>
      <w:tr w:rsidR="00162558" w:rsidRPr="00B57B36" w14:paraId="68BAA6F9" w14:textId="77777777" w:rsidTr="00945CBE">
        <w:tc>
          <w:tcPr>
            <w:tcW w:w="5310" w:type="dxa"/>
            <w:shd w:val="clear" w:color="auto" w:fill="FFFFFF"/>
          </w:tcPr>
          <w:p w14:paraId="7F2074A6" w14:textId="4DEB0A1A" w:rsidR="00162558" w:rsidRDefault="00162558" w:rsidP="00162558">
            <w:pPr>
              <w:pStyle w:val="CETBodytext"/>
              <w:numPr>
                <w:ilvl w:val="0"/>
                <w:numId w:val="23"/>
              </w:numPr>
              <w:ind w:right="-1"/>
              <w:rPr>
                <w:rFonts w:cs="Arial"/>
                <w:szCs w:val="18"/>
                <w:lang w:val="en-GB"/>
              </w:rPr>
            </w:pPr>
            <w:r>
              <w:rPr>
                <w:rFonts w:cs="Arial"/>
                <w:szCs w:val="18"/>
                <w:lang w:val="en-GB"/>
              </w:rPr>
              <w:t>Revenue</w:t>
            </w:r>
            <w:r w:rsidR="00945CBE" w:rsidRPr="00945CBE">
              <w:rPr>
                <w:rFonts w:cs="Arial"/>
                <w:szCs w:val="18"/>
                <w:vertAlign w:val="superscript"/>
                <w:lang w:val="en-GB"/>
              </w:rPr>
              <w:t>b</w:t>
            </w:r>
          </w:p>
        </w:tc>
        <w:tc>
          <w:tcPr>
            <w:tcW w:w="1350" w:type="dxa"/>
            <w:shd w:val="clear" w:color="auto" w:fill="FFFFFF"/>
            <w:vAlign w:val="bottom"/>
          </w:tcPr>
          <w:p w14:paraId="1B2800FD" w14:textId="62155AB8" w:rsidR="00162558"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Pr>
                <w:rFonts w:cs="Arial"/>
                <w:szCs w:val="18"/>
                <w:lang w:val="en-GB"/>
              </w:rPr>
              <w:t>845,600</w:t>
            </w:r>
          </w:p>
        </w:tc>
      </w:tr>
      <w:tr w:rsidR="00945CBE" w:rsidRPr="00B57B36" w14:paraId="3FE4529C" w14:textId="77777777" w:rsidTr="00945CBE">
        <w:tc>
          <w:tcPr>
            <w:tcW w:w="5310" w:type="dxa"/>
            <w:shd w:val="clear" w:color="auto" w:fill="FFFFFF"/>
          </w:tcPr>
          <w:p w14:paraId="721DBA73" w14:textId="3B88FFB1" w:rsidR="00945CBE" w:rsidRDefault="00945CBE" w:rsidP="00162558">
            <w:pPr>
              <w:pStyle w:val="CETBodytext"/>
              <w:numPr>
                <w:ilvl w:val="0"/>
                <w:numId w:val="23"/>
              </w:numPr>
              <w:ind w:right="-1"/>
              <w:rPr>
                <w:rFonts w:cs="Arial"/>
                <w:szCs w:val="18"/>
                <w:lang w:val="en-GB"/>
              </w:rPr>
            </w:pPr>
            <w:r>
              <w:rPr>
                <w:rFonts w:cs="Arial"/>
                <w:szCs w:val="18"/>
                <w:lang w:val="en-GB"/>
              </w:rPr>
              <w:t>Net Income</w:t>
            </w:r>
            <w:r w:rsidR="006E607F">
              <w:rPr>
                <w:rFonts w:cs="Arial"/>
                <w:szCs w:val="18"/>
                <w:lang w:val="en-GB"/>
              </w:rPr>
              <w:t xml:space="preserve"> (J – I)</w:t>
            </w:r>
          </w:p>
        </w:tc>
        <w:tc>
          <w:tcPr>
            <w:tcW w:w="1350" w:type="dxa"/>
            <w:shd w:val="clear" w:color="auto" w:fill="FFFFFF"/>
            <w:vAlign w:val="bottom"/>
          </w:tcPr>
          <w:p w14:paraId="7986B540" w14:textId="684623A0" w:rsidR="00945CBE" w:rsidRDefault="00945CBE" w:rsidP="00945CBE">
            <w:pPr>
              <w:pStyle w:val="CETBodytext"/>
              <w:ind w:right="184"/>
              <w:jc w:val="right"/>
              <w:rPr>
                <w:rFonts w:cs="Arial"/>
                <w:szCs w:val="18"/>
                <w:lang w:val="en-GB"/>
              </w:rPr>
            </w:pPr>
            <w:r>
              <w:rPr>
                <w:rFonts w:cs="Arial"/>
                <w:color w:val="000000"/>
                <w:szCs w:val="18"/>
              </w:rPr>
              <w:t>$</w:t>
            </w:r>
            <w:r w:rsidR="006A6CEE">
              <w:rPr>
                <w:rFonts w:cs="Arial"/>
                <w:color w:val="000000"/>
                <w:szCs w:val="18"/>
              </w:rPr>
              <w:t xml:space="preserve"> </w:t>
            </w:r>
            <w:r>
              <w:rPr>
                <w:rFonts w:cs="Arial"/>
                <w:szCs w:val="18"/>
                <w:lang w:val="en-GB"/>
              </w:rPr>
              <w:t>60,340</w:t>
            </w:r>
          </w:p>
        </w:tc>
      </w:tr>
      <w:tr w:rsidR="00945CBE" w:rsidRPr="00B57B36" w14:paraId="50E0EB47" w14:textId="77777777" w:rsidTr="00945CBE">
        <w:tc>
          <w:tcPr>
            <w:tcW w:w="5310" w:type="dxa"/>
            <w:shd w:val="clear" w:color="auto" w:fill="FFFFFF"/>
          </w:tcPr>
          <w:p w14:paraId="780E4D61" w14:textId="0E49C388" w:rsidR="00945CBE" w:rsidRDefault="00945CBE" w:rsidP="00162558">
            <w:pPr>
              <w:pStyle w:val="CETBodytext"/>
              <w:numPr>
                <w:ilvl w:val="0"/>
                <w:numId w:val="23"/>
              </w:numPr>
              <w:ind w:right="-1"/>
              <w:rPr>
                <w:rFonts w:cs="Arial"/>
                <w:szCs w:val="18"/>
                <w:lang w:val="en-GB"/>
              </w:rPr>
            </w:pPr>
            <w:r>
              <w:rPr>
                <w:rFonts w:cs="Arial"/>
                <w:szCs w:val="18"/>
                <w:lang w:val="en-GB"/>
              </w:rPr>
              <w:t>Profit Margin</w:t>
            </w:r>
          </w:p>
        </w:tc>
        <w:tc>
          <w:tcPr>
            <w:tcW w:w="1350" w:type="dxa"/>
            <w:shd w:val="clear" w:color="auto" w:fill="FFFFFF"/>
            <w:vAlign w:val="bottom"/>
          </w:tcPr>
          <w:p w14:paraId="57BB8B6E" w14:textId="4529BF82" w:rsidR="00945CBE" w:rsidRDefault="00945CBE" w:rsidP="00945CBE">
            <w:pPr>
              <w:pStyle w:val="CETBodytext"/>
              <w:ind w:right="184"/>
              <w:jc w:val="right"/>
              <w:rPr>
                <w:rFonts w:cs="Arial"/>
                <w:szCs w:val="18"/>
                <w:lang w:val="en-GB"/>
              </w:rPr>
            </w:pPr>
            <w:r>
              <w:rPr>
                <w:rFonts w:cs="Arial"/>
                <w:szCs w:val="18"/>
                <w:lang w:val="en-GB"/>
              </w:rPr>
              <w:t>7.14</w:t>
            </w:r>
            <w:r w:rsidR="006A6CEE">
              <w:rPr>
                <w:rFonts w:cs="Arial"/>
                <w:szCs w:val="18"/>
                <w:lang w:val="en-GB"/>
              </w:rPr>
              <w:t xml:space="preserve"> </w:t>
            </w:r>
            <w:r>
              <w:rPr>
                <w:rFonts w:cs="Arial"/>
                <w:szCs w:val="18"/>
                <w:lang w:val="en-GB"/>
              </w:rPr>
              <w:t>%</w:t>
            </w:r>
          </w:p>
        </w:tc>
      </w:tr>
      <w:tr w:rsidR="00945CBE" w:rsidRPr="00B57B36" w14:paraId="491C5036" w14:textId="77777777" w:rsidTr="00945CBE">
        <w:tc>
          <w:tcPr>
            <w:tcW w:w="5310" w:type="dxa"/>
            <w:shd w:val="clear" w:color="auto" w:fill="FFFFFF"/>
          </w:tcPr>
          <w:p w14:paraId="38730C64" w14:textId="5C5CE916" w:rsidR="00945CBE" w:rsidRDefault="00945CBE" w:rsidP="00162558">
            <w:pPr>
              <w:pStyle w:val="CETBodytext"/>
              <w:numPr>
                <w:ilvl w:val="0"/>
                <w:numId w:val="23"/>
              </w:numPr>
              <w:ind w:right="-1"/>
              <w:rPr>
                <w:rFonts w:cs="Arial"/>
                <w:szCs w:val="18"/>
                <w:lang w:val="en-GB"/>
              </w:rPr>
            </w:pPr>
            <w:r>
              <w:rPr>
                <w:rFonts w:cs="Arial"/>
                <w:szCs w:val="18"/>
                <w:lang w:val="en-GB"/>
              </w:rPr>
              <w:t>Payback Period</w:t>
            </w:r>
          </w:p>
        </w:tc>
        <w:tc>
          <w:tcPr>
            <w:tcW w:w="1350" w:type="dxa"/>
            <w:shd w:val="clear" w:color="auto" w:fill="FFFFFF"/>
            <w:vAlign w:val="bottom"/>
          </w:tcPr>
          <w:p w14:paraId="30AF1DF0" w14:textId="37F8217E" w:rsidR="00945CBE" w:rsidRDefault="00945CBE" w:rsidP="00945CBE">
            <w:pPr>
              <w:pStyle w:val="CETBodytext"/>
              <w:ind w:right="184"/>
              <w:jc w:val="right"/>
              <w:rPr>
                <w:rFonts w:cs="Arial"/>
                <w:szCs w:val="18"/>
                <w:lang w:val="en-GB"/>
              </w:rPr>
            </w:pPr>
            <w:r>
              <w:rPr>
                <w:rFonts w:cs="Arial"/>
                <w:szCs w:val="18"/>
                <w:lang w:val="en-GB"/>
              </w:rPr>
              <w:t>6.34 y</w:t>
            </w:r>
          </w:p>
        </w:tc>
      </w:tr>
    </w:tbl>
    <w:p w14:paraId="02168AE0" w14:textId="2108532D" w:rsidR="00F04CE9" w:rsidRDefault="00C50864" w:rsidP="00F04CE9">
      <w:r w:rsidRPr="00C50864">
        <w:rPr>
          <w:vertAlign w:val="superscript"/>
        </w:rPr>
        <w:t>a</w:t>
      </w:r>
      <w:r>
        <w:t>Peters, Timmerhaus</w:t>
      </w:r>
      <w:r w:rsidR="006E607F">
        <w:t>,</w:t>
      </w:r>
      <w:r>
        <w:t xml:space="preserve"> and West (2003)</w:t>
      </w:r>
    </w:p>
    <w:p w14:paraId="14C4DE0F" w14:textId="16C11BDD" w:rsidR="00945CBE" w:rsidRDefault="00945CBE" w:rsidP="00F04CE9">
      <w:r w:rsidRPr="006E607F">
        <w:rPr>
          <w:vertAlign w:val="superscript"/>
        </w:rPr>
        <w:t>b</w:t>
      </w:r>
      <w:r>
        <w:t xml:space="preserve">Selling price of </w:t>
      </w:r>
      <w:r w:rsidRPr="00ED31CE">
        <w:rPr>
          <w:i/>
          <w:iCs/>
        </w:rPr>
        <w:t>Spirulina</w:t>
      </w:r>
      <w:r>
        <w:t xml:space="preserve"> </w:t>
      </w:r>
      <w:r w:rsidR="00ED31CE">
        <w:t>b</w:t>
      </w:r>
      <w:r>
        <w:t>iomass is $58.3 per kg</w:t>
      </w:r>
      <w:r w:rsidR="00C60B8B">
        <w:t xml:space="preserve"> or </w:t>
      </w:r>
      <w:r w:rsidR="00C60B8B" w:rsidRPr="00C60B8B">
        <w:t>€</w:t>
      </w:r>
      <w:r w:rsidR="00C60B8B" w:rsidRPr="00C60B8B">
        <w:t>50 per kg</w:t>
      </w:r>
      <w:r w:rsidR="00D25869">
        <w:t xml:space="preserve"> (Piccolo, 2012)</w:t>
      </w:r>
    </w:p>
    <w:p w14:paraId="3AE0A87C" w14:textId="77777777" w:rsidR="00884523" w:rsidRDefault="00884523" w:rsidP="006E607F"/>
    <w:p w14:paraId="28E6DE51" w14:textId="1CCF0260" w:rsidR="00382E61" w:rsidRDefault="00382E61" w:rsidP="00382E61">
      <w:r>
        <w:t xml:space="preserve">Cost analysis revealed that labor cost is the major cost contributor. It consists 53.72% of the total production cost. This is followed by supplies cost (17.31%) then by raw material cost (14.94%). Utilities cost (14.03% of the total production cost) is the least among the cost components. This share in cost may change depending on the production capacity of the plant. </w:t>
      </w:r>
      <w:r>
        <w:t>The selling price used in this study is significantly</w:t>
      </w:r>
      <w:r w:rsidR="00E4307E">
        <w:t xml:space="preserve"> higher than the minimum biomass selling price estimate</w:t>
      </w:r>
      <w:r w:rsidR="00B22A28">
        <w:t>d</w:t>
      </w:r>
      <w:r w:rsidR="00E4307E">
        <w:t xml:space="preserve"> by Clippinger and Davis (2019)</w:t>
      </w:r>
      <w:r w:rsidR="0020497D">
        <w:t>, which is</w:t>
      </w:r>
      <w:r w:rsidR="00E4307E">
        <w:t xml:space="preserve"> equivalent to </w:t>
      </w:r>
      <w:r w:rsidR="00095C66">
        <w:t xml:space="preserve">$1.91 per kg dry biomass for microalgae grown in horizontal helical tubular PBR. </w:t>
      </w:r>
      <w:r w:rsidR="0020497D">
        <w:t>This is due to the large difference in the</w:t>
      </w:r>
      <w:r w:rsidR="00095C66">
        <w:t xml:space="preserve"> production capacities of the two studies. </w:t>
      </w:r>
      <w:r w:rsidR="0020497D">
        <w:t xml:space="preserve">The production capacity in the report by </w:t>
      </w:r>
      <w:r w:rsidR="00095C66">
        <w:t>Clippinger and Davis (2019)</w:t>
      </w:r>
      <w:r w:rsidR="0020497D">
        <w:t xml:space="preserve"> is 190,000 tons per year, but only 1,500 kg per year in</w:t>
      </w:r>
      <w:r w:rsidR="00D20175">
        <w:t xml:space="preserve"> the report by</w:t>
      </w:r>
      <w:r w:rsidR="0020497D">
        <w:t xml:space="preserve"> Piccolo (2012). This study adopted the selling price </w:t>
      </w:r>
      <w:r w:rsidR="00B22A28">
        <w:t xml:space="preserve">reported </w:t>
      </w:r>
      <w:r w:rsidR="0020497D">
        <w:t xml:space="preserve">by Piccolo (2012) since the expected production capacity in this study is closer.   </w:t>
      </w:r>
    </w:p>
    <w:p w14:paraId="18B3B356" w14:textId="107B54CB" w:rsidR="00F04CE9" w:rsidRDefault="00F04CE9" w:rsidP="006E607F">
      <w:r>
        <w:t xml:space="preserve">There are a few ways to reduce the cost of production. Water cost can be cut down </w:t>
      </w:r>
      <w:r w:rsidR="006D06DB">
        <w:t xml:space="preserve">by </w:t>
      </w:r>
      <w:r>
        <w:t>recycl</w:t>
      </w:r>
      <w:r w:rsidR="006D06DB">
        <w:t>ing it</w:t>
      </w:r>
      <w:r>
        <w:t xml:space="preserve"> back to the photobioreactor. However, organic matter that remained in the medium </w:t>
      </w:r>
      <w:r w:rsidR="006D06DB">
        <w:t>may</w:t>
      </w:r>
      <w:r>
        <w:t xml:space="preserve"> accumulate </w:t>
      </w:r>
      <w:r w:rsidR="006D06DB">
        <w:t>resulting to</w:t>
      </w:r>
      <w:r>
        <w:t xml:space="preserve"> autoinhibition and lower biomass yield. Pre-filters and UV system in the RO unit may also be needed to prevent contamination. Power cost can be </w:t>
      </w:r>
      <w:r w:rsidR="006D06DB">
        <w:t xml:space="preserve">reduced </w:t>
      </w:r>
      <w:r>
        <w:t>by utilizing solar energy for the power requirement of the plant. But the additional capital investment requirement of the solar plant should be considered. Scaling up may also be beneficial due to economies of scale. But the PBR should be designed in such a way that light can still be efficiently utilized by a larger reactor</w:t>
      </w:r>
      <w:r w:rsidR="00B22A28">
        <w:t xml:space="preserve">. </w:t>
      </w:r>
      <w:r>
        <w:t xml:space="preserve">Internal lighting also adds constraint in scaling up. </w:t>
      </w:r>
      <w:r w:rsidR="006E607F">
        <w:t>Many</w:t>
      </w:r>
      <w:r>
        <w:t xml:space="preserve"> large chambers </w:t>
      </w:r>
      <w:r>
        <w:lastRenderedPageBreak/>
        <w:t>will be needed for larger reactors.</w:t>
      </w:r>
      <w:r w:rsidR="00AB649E">
        <w:t xml:space="preserve"> Ano</w:t>
      </w:r>
      <w:r w:rsidR="00AB649E">
        <w:t xml:space="preserve">ther possible modification </w:t>
      </w:r>
      <w:r w:rsidR="00AB649E">
        <w:t>in</w:t>
      </w:r>
      <w:r w:rsidR="00AB649E">
        <w:t xml:space="preserve"> the design</w:t>
      </w:r>
      <w:r w:rsidR="00AB649E">
        <w:t xml:space="preserve"> of the PBR</w:t>
      </w:r>
      <w:r w:rsidR="00AB649E">
        <w:t xml:space="preserve"> is to consider the installation of an airlift evacuated head which was shown to improve liquid circulation</w:t>
      </w:r>
      <w:r w:rsidR="00AB649E">
        <w:t xml:space="preserve"> (Marotta et al., 2017)</w:t>
      </w:r>
      <w:r w:rsidR="00AB649E">
        <w:t>.</w:t>
      </w:r>
    </w:p>
    <w:p w14:paraId="3EF28D67" w14:textId="77777777" w:rsidR="00F04CE9" w:rsidRDefault="00F04CE9" w:rsidP="00F04CE9">
      <w:pPr>
        <w:pStyle w:val="CETBodytext"/>
      </w:pPr>
    </w:p>
    <w:p w14:paraId="65E73FAD" w14:textId="02917BFB" w:rsidR="00600535" w:rsidRDefault="00F04CE9" w:rsidP="00F04CE9">
      <w:pPr>
        <w:pStyle w:val="CETHeadingxx"/>
      </w:pPr>
      <w:r>
        <w:t>Sensitivity Analysis</w:t>
      </w:r>
      <w:r w:rsidR="00F7534E" w:rsidRPr="00BD077D">
        <w:t xml:space="preserve"> </w:t>
      </w:r>
    </w:p>
    <w:p w14:paraId="2A92E1A9" w14:textId="77777777" w:rsidR="00F04CE9" w:rsidRPr="00E96DF8" w:rsidRDefault="00F04CE9" w:rsidP="00F04CE9"/>
    <w:p w14:paraId="5FE7D88D" w14:textId="77777777" w:rsidR="00F04CE9" w:rsidRDefault="00F04CE9" w:rsidP="00F04CE9">
      <w:pPr>
        <w:rPr>
          <w:i/>
        </w:rPr>
      </w:pPr>
      <w:r w:rsidRPr="003B349F">
        <w:rPr>
          <w:i/>
        </w:rPr>
        <w:t>Effect of Total PBR Capacity</w:t>
      </w:r>
    </w:p>
    <w:p w14:paraId="5C6B6FFD" w14:textId="5E62792A" w:rsidR="00F04CE9" w:rsidRDefault="00F04CE9" w:rsidP="00F04CE9">
      <w:r>
        <w:tab/>
        <w:t xml:space="preserve">Photobioreactor capacity is one of the major factors that affects project feasibility </w:t>
      </w:r>
      <w:r w:rsidR="002B5E5D">
        <w:t>since</w:t>
      </w:r>
      <w:r>
        <w:t xml:space="preserve"> equipment specifications</w:t>
      </w:r>
      <w:r w:rsidR="00B349F7">
        <w:t>,</w:t>
      </w:r>
      <w:r>
        <w:t xml:space="preserve"> utilities, raw material, and supplies requirements will change with</w:t>
      </w:r>
      <w:r w:rsidR="002B5E5D">
        <w:t xml:space="preserve"> the capacity with</w:t>
      </w:r>
      <w:r>
        <w:t xml:space="preserve"> or without change in the labor requirements. Other fixed capital requirements such land and buildings cost will also change accordingly. </w:t>
      </w:r>
    </w:p>
    <w:p w14:paraId="50CB7E7A" w14:textId="50D277BB" w:rsidR="00F04CE9" w:rsidRDefault="00F04CE9" w:rsidP="00F04CE9">
      <w:r>
        <w:t>For each photobioreactor capacity considered (40, 60, 80, 100, and 120 m</w:t>
      </w:r>
      <w:r w:rsidRPr="003D3C75">
        <w:rPr>
          <w:vertAlign w:val="superscript"/>
        </w:rPr>
        <w:t>3</w:t>
      </w:r>
      <w:r>
        <w:t xml:space="preserve">), the reactor’s dimensions and specifications were </w:t>
      </w:r>
      <w:r w:rsidR="00E55437">
        <w:t>recalculated,</w:t>
      </w:r>
      <w:r>
        <w:t xml:space="preserve"> and the number of light chambers were </w:t>
      </w:r>
      <w:r w:rsidR="00E55437">
        <w:t>changed</w:t>
      </w:r>
      <w:r>
        <w:t xml:space="preserve"> </w:t>
      </w:r>
      <w:r w:rsidR="00E55437">
        <w:t xml:space="preserve">to maintain </w:t>
      </w:r>
      <w:r>
        <w:t>the surface-to-volume ratio of the photobioreactor.</w:t>
      </w:r>
      <w:r w:rsidR="002B5E5D">
        <w:t xml:space="preserve"> The</w:t>
      </w:r>
      <w:r>
        <w:t xml:space="preserve"> equipment, raw material, utilities and supplies costs were recalculated based on the capacity. The </w:t>
      </w:r>
      <w:r w:rsidRPr="00CC0853">
        <w:rPr>
          <w:i/>
        </w:rPr>
        <w:t>Spirulina</w:t>
      </w:r>
      <w:r>
        <w:t xml:space="preserve"> powder unit price of $58.3 per kilogram was maintained for all cases. </w:t>
      </w:r>
      <w:r w:rsidR="00E55437">
        <w:t>It was found</w:t>
      </w:r>
      <w:r>
        <w:t xml:space="preserve"> that profitability increases with photobioreactor capacity. The</w:t>
      </w:r>
      <w:r w:rsidR="00E55437">
        <w:t xml:space="preserve"> </w:t>
      </w:r>
      <w:r>
        <w:t>120-m</w:t>
      </w:r>
      <w:r w:rsidRPr="0007451D">
        <w:rPr>
          <w:vertAlign w:val="superscript"/>
        </w:rPr>
        <w:t>3</w:t>
      </w:r>
      <w:r>
        <w:t xml:space="preserve"> photobioreactor capacity has the most attractive financial indicators. It has the highest net income ($307,940), highest profit margin (24.28%), and shortest payback period (1.48 years). This is followed </w:t>
      </w:r>
      <w:r w:rsidR="00B349F7">
        <w:t>the</w:t>
      </w:r>
      <w:r>
        <w:t xml:space="preserve"> 100-m</w:t>
      </w:r>
      <w:r w:rsidRPr="00006A28">
        <w:rPr>
          <w:vertAlign w:val="superscript"/>
        </w:rPr>
        <w:t>3</w:t>
      </w:r>
      <w:r>
        <w:t xml:space="preserve"> total photobioreactor capacity ($182,740 net income, 17.29% profit margin, and 2.17 years payback period). The base case (80-m</w:t>
      </w:r>
      <w:r w:rsidRPr="0007451D">
        <w:rPr>
          <w:vertAlign w:val="superscript"/>
        </w:rPr>
        <w:t>3</w:t>
      </w:r>
      <w:r>
        <w:t xml:space="preserve"> photobioreactor capacity) is also feasible ($57,640 net income, 6.82% profit margin, and 5.83 years payback period). </w:t>
      </w:r>
      <w:r w:rsidR="00E55437">
        <w:t>Whereas</w:t>
      </w:r>
      <w:r>
        <w:t xml:space="preserve"> the venture with 40-m</w:t>
      </w:r>
      <w:r w:rsidRPr="0007451D">
        <w:rPr>
          <w:vertAlign w:val="superscript"/>
        </w:rPr>
        <w:t>3</w:t>
      </w:r>
      <w:r>
        <w:t xml:space="preserve"> and 60-</w:t>
      </w:r>
      <w:r w:rsidRPr="00006A28">
        <w:t>m</w:t>
      </w:r>
      <w:r w:rsidRPr="00E55437">
        <w:rPr>
          <w:vertAlign w:val="superscript"/>
        </w:rPr>
        <w:t>3</w:t>
      </w:r>
      <w:r>
        <w:t xml:space="preserve"> </w:t>
      </w:r>
      <w:r w:rsidRPr="00006A28">
        <w:t>photobioreactor</w:t>
      </w:r>
      <w:r>
        <w:t xml:space="preserve"> capacity are not feasible. These cases have net losses and negative profit margins. The payback period also cannot be computed due to negative net income. </w:t>
      </w:r>
    </w:p>
    <w:p w14:paraId="4062EAC7" w14:textId="4123E949" w:rsidR="00F04CE9" w:rsidRDefault="00F04CE9" w:rsidP="00F04CE9">
      <w:r>
        <w:tab/>
        <w:t>It can be inferred from the results that increasing the photobioreactor capacity more than 100 m</w:t>
      </w:r>
      <w:r w:rsidRPr="00D20C14">
        <w:rPr>
          <w:vertAlign w:val="superscript"/>
        </w:rPr>
        <w:t>3</w:t>
      </w:r>
      <w:r>
        <w:t xml:space="preserve"> may result to better profitability. The only challenge in scaling up is in maintaining high surface-to-volume ratio. To do this, </w:t>
      </w:r>
      <w:r w:rsidR="00E55437">
        <w:t>many</w:t>
      </w:r>
      <w:r>
        <w:t xml:space="preserve"> internal light chambers will be needed. This will lead to higher fabrication and maintenance cost.   </w:t>
      </w:r>
    </w:p>
    <w:p w14:paraId="2D7D5301" w14:textId="77777777" w:rsidR="00DF27C5" w:rsidRDefault="00DF27C5" w:rsidP="00F04CE9"/>
    <w:p w14:paraId="7BA56794" w14:textId="3BD4BF94" w:rsidR="00F04CE9" w:rsidRDefault="00F04CE9" w:rsidP="00F04CE9">
      <w:pPr>
        <w:rPr>
          <w:i/>
        </w:rPr>
      </w:pPr>
      <w:r w:rsidRPr="003B349F">
        <w:rPr>
          <w:i/>
        </w:rPr>
        <w:t xml:space="preserve">Effect of </w:t>
      </w:r>
      <w:r>
        <w:rPr>
          <w:i/>
        </w:rPr>
        <w:t>PBR Operating Conditions</w:t>
      </w:r>
    </w:p>
    <w:p w14:paraId="3A586BB7" w14:textId="7D92FD7F" w:rsidR="001657AE" w:rsidRDefault="00F04CE9" w:rsidP="00F04CE9">
      <w:r>
        <w:tab/>
      </w:r>
      <w:r w:rsidR="00E55437">
        <w:t>Operating conditions</w:t>
      </w:r>
      <w:r>
        <w:t xml:space="preserve"> also majorly affect project feasibility as these directly affect biomass yield. The sensitivity analysis was performed at the base case photobioreactor capacity (</w:t>
      </w:r>
      <w:r w:rsidR="00E55437">
        <w:t>80</w:t>
      </w:r>
      <w:r>
        <w:t xml:space="preserve"> m</w:t>
      </w:r>
      <w:r w:rsidRPr="00C27C28">
        <w:rPr>
          <w:vertAlign w:val="superscript"/>
        </w:rPr>
        <w:t>3</w:t>
      </w:r>
      <w:r>
        <w:t>). Also, the highest light intensity (166 μmol m</w:t>
      </w:r>
      <w:r w:rsidRPr="00C27C28">
        <w:rPr>
          <w:vertAlign w:val="superscript"/>
        </w:rPr>
        <w:t>-2</w:t>
      </w:r>
      <w:r>
        <w:t xml:space="preserve"> s</w:t>
      </w:r>
      <w:r w:rsidRPr="00C27C28">
        <w:rPr>
          <w:vertAlign w:val="superscript"/>
        </w:rPr>
        <w:t>-1</w:t>
      </w:r>
      <w:r>
        <w:t>) and optimum aeration rate (0.3 vvm) were maintained. Only the initial biomass concentration</w:t>
      </w:r>
      <w:r w:rsidR="001657AE">
        <w:t xml:space="preserve"> (0.05, 0.10, and 0.20 g L</w:t>
      </w:r>
      <w:r w:rsidR="001657AE" w:rsidRPr="003363B2">
        <w:rPr>
          <w:vertAlign w:val="superscript"/>
        </w:rPr>
        <w:t>-1</w:t>
      </w:r>
      <w:r w:rsidR="001657AE">
        <w:t>)</w:t>
      </w:r>
      <w:r>
        <w:t xml:space="preserve"> was changed since this factor had a positive effect on final biomass concentration but a negative effect on specific growth rate </w:t>
      </w:r>
      <w:r w:rsidR="001657AE">
        <w:t>based on the batch experiments (data not shown in this paper)</w:t>
      </w:r>
      <w:r>
        <w:t>.</w:t>
      </w:r>
    </w:p>
    <w:p w14:paraId="05375B95" w14:textId="370C3166" w:rsidR="00F04CE9" w:rsidRDefault="00F04CE9" w:rsidP="00F04CE9">
      <w:r>
        <w:tab/>
      </w:r>
      <w:r w:rsidR="001657AE">
        <w:t>Results</w:t>
      </w:r>
      <w:r>
        <w:t xml:space="preserve"> show that profitability increases with initial biomass concentration as a direct consequence of the increase in the final amount of </w:t>
      </w:r>
      <w:r w:rsidRPr="001A288A">
        <w:rPr>
          <w:i/>
        </w:rPr>
        <w:t>Spirulina</w:t>
      </w:r>
      <w:r>
        <w:t xml:space="preserve"> biomass produced. However, this result does not guarantee better profitability</w:t>
      </w:r>
      <w:r w:rsidR="00A3355A">
        <w:t xml:space="preserve"> at even higher initial biomass concentration</w:t>
      </w:r>
      <w:r>
        <w:t xml:space="preserve">. The trade-off between the final biomass concentration and the specific growth rate must always be considered </w:t>
      </w:r>
      <w:r w:rsidR="00A3355A">
        <w:t>when</w:t>
      </w:r>
      <w:r>
        <w:t xml:space="preserve"> working with higher initial biomass concentration at the same light intensity and aeration rate. For example, if a culture will be started at an initial biomass concentration higher than 0.20 g L</w:t>
      </w:r>
      <w:r w:rsidRPr="001A288A">
        <w:rPr>
          <w:vertAlign w:val="superscript"/>
        </w:rPr>
        <w:t>-1</w:t>
      </w:r>
      <w:r>
        <w:t xml:space="preserve"> at constant light intensity (166 μmol m</w:t>
      </w:r>
      <w:r w:rsidRPr="00C27C28">
        <w:rPr>
          <w:vertAlign w:val="superscript"/>
        </w:rPr>
        <w:t>-2</w:t>
      </w:r>
      <w:r>
        <w:t xml:space="preserve"> s</w:t>
      </w:r>
      <w:r w:rsidRPr="00C27C28">
        <w:rPr>
          <w:vertAlign w:val="superscript"/>
        </w:rPr>
        <w:t>-1</w:t>
      </w:r>
      <w:r>
        <w:t xml:space="preserve">) and aeration rate (0.3 vvm), the final biomass concentration may not be as high </w:t>
      </w:r>
      <w:r w:rsidR="0052442F">
        <w:t xml:space="preserve">due to the </w:t>
      </w:r>
      <w:r>
        <w:t>lower specific growth rate</w:t>
      </w:r>
      <w:r w:rsidR="00A3355A">
        <w:t xml:space="preserve"> than the one grown at lower initial biomass concentration</w:t>
      </w:r>
      <w:r>
        <w:t>. The culture may be photo</w:t>
      </w:r>
      <w:r w:rsidR="00A3355A">
        <w:t>-</w:t>
      </w:r>
      <w:r>
        <w:t xml:space="preserve">limited due to the lower photon dose per cell mass and the aeration rate may not be enough to </w:t>
      </w:r>
      <w:r w:rsidR="00A3355A">
        <w:t>lift</w:t>
      </w:r>
      <w:r>
        <w:t xml:space="preserve"> the cells due to the higher population density. </w:t>
      </w:r>
      <w:r w:rsidR="001657AE">
        <w:t>F</w:t>
      </w:r>
      <w:r>
        <w:t>urther</w:t>
      </w:r>
      <w:r w:rsidR="001657AE">
        <w:t xml:space="preserve">, </w:t>
      </w:r>
      <w:r>
        <w:t>the project is not feasible if the culture is to be grown at 0.05 g L</w:t>
      </w:r>
      <w:r w:rsidRPr="00F21A83">
        <w:rPr>
          <w:vertAlign w:val="superscript"/>
        </w:rPr>
        <w:t>-1</w:t>
      </w:r>
      <w:r>
        <w:t xml:space="preserve"> and 0.10 g L</w:t>
      </w:r>
      <w:r w:rsidRPr="00F21A83">
        <w:rPr>
          <w:vertAlign w:val="superscript"/>
        </w:rPr>
        <w:t>-1</w:t>
      </w:r>
      <w:r>
        <w:t xml:space="preserve"> initial biomass concentration</w:t>
      </w:r>
      <w:r w:rsidR="006D06DB">
        <w:t>.</w:t>
      </w:r>
    </w:p>
    <w:p w14:paraId="79AD5D68" w14:textId="3BE6210F" w:rsidR="00BB598E" w:rsidRDefault="00BB598E" w:rsidP="00F04CE9">
      <w:pPr>
        <w:rPr>
          <w:i/>
        </w:rPr>
      </w:pPr>
    </w:p>
    <w:p w14:paraId="7E91CFAB" w14:textId="310721ED" w:rsidR="00F04CE9" w:rsidRDefault="00F04CE9" w:rsidP="00F04CE9">
      <w:pPr>
        <w:rPr>
          <w:i/>
        </w:rPr>
      </w:pPr>
      <w:r w:rsidRPr="003B349F">
        <w:rPr>
          <w:i/>
        </w:rPr>
        <w:t>Minimum Selling Price at Various Total PBR Capacity</w:t>
      </w:r>
    </w:p>
    <w:p w14:paraId="3AD8D20D" w14:textId="77777777" w:rsidR="00F04CE9" w:rsidRDefault="00F04CE9" w:rsidP="00F04CE9">
      <w:r>
        <w:tab/>
        <w:t>The minimum selling price for each total photobioreactor capacity considered (40, 60, 80, 100, and 120 m</w:t>
      </w:r>
      <w:r w:rsidRPr="003B32F2">
        <w:rPr>
          <w:vertAlign w:val="superscript"/>
        </w:rPr>
        <w:t>3</w:t>
      </w:r>
      <w:r>
        <w:t xml:space="preserve">) was also determined. In this analysis, the minimum selling price is defined as the selling price in US dollar per kilogram of </w:t>
      </w:r>
      <w:r w:rsidRPr="00223B1E">
        <w:rPr>
          <w:i/>
        </w:rPr>
        <w:t>Spirulina</w:t>
      </w:r>
      <w:r>
        <w:t xml:space="preserve"> powder that will result to zero net income such that a selling price lower than the minimum selling price will render the project not profitable. </w:t>
      </w:r>
    </w:p>
    <w:p w14:paraId="2AFF0B2D" w14:textId="69CFEA7F" w:rsidR="00F04CE9" w:rsidRPr="00BB695A" w:rsidRDefault="00F04CE9" w:rsidP="00F04CE9">
      <w:r>
        <w:tab/>
      </w:r>
      <w:r w:rsidR="00BB598E">
        <w:t>Result</w:t>
      </w:r>
      <w:r>
        <w:t>s</w:t>
      </w:r>
      <w:r w:rsidR="00BB598E">
        <w:t xml:space="preserve"> show</w:t>
      </w:r>
      <w:r>
        <w:t xml:space="preserve"> that the minimum selling price decreases with total photobioreactor capacity. In fact, the minimum selling prices when working at 40 m</w:t>
      </w:r>
      <w:r w:rsidRPr="00223B1E">
        <w:rPr>
          <w:vertAlign w:val="superscript"/>
        </w:rPr>
        <w:t>3</w:t>
      </w:r>
      <w:r>
        <w:t xml:space="preserve"> and 60 </w:t>
      </w:r>
      <w:r w:rsidRPr="002C4548">
        <w:t>m</w:t>
      </w:r>
      <w:r w:rsidRPr="006D06DB">
        <w:rPr>
          <w:vertAlign w:val="superscript"/>
        </w:rPr>
        <w:t>3</w:t>
      </w:r>
      <w:r>
        <w:t xml:space="preserve"> </w:t>
      </w:r>
      <w:r w:rsidRPr="002C4548">
        <w:t>total</w:t>
      </w:r>
      <w:r>
        <w:t xml:space="preserve"> PBR capacities</w:t>
      </w:r>
      <w:r w:rsidR="00BB598E">
        <w:t>, respectively,</w:t>
      </w:r>
      <w:r>
        <w:t xml:space="preserve"> are $30.46 kg</w:t>
      </w:r>
      <w:r w:rsidRPr="00223B1E">
        <w:rPr>
          <w:vertAlign w:val="superscript"/>
        </w:rPr>
        <w:t>-1</w:t>
      </w:r>
      <w:r>
        <w:t xml:space="preserve"> and $10.17 kg</w:t>
      </w:r>
      <w:r w:rsidRPr="002C4548">
        <w:rPr>
          <w:vertAlign w:val="superscript"/>
        </w:rPr>
        <w:t>-1</w:t>
      </w:r>
      <w:r>
        <w:t>, more expensive than the base case ($54.34 kg</w:t>
      </w:r>
      <w:r w:rsidRPr="002C4548">
        <w:rPr>
          <w:vertAlign w:val="superscript"/>
        </w:rPr>
        <w:t>-1</w:t>
      </w:r>
      <w:r>
        <w:t xml:space="preserve"> at 80 m</w:t>
      </w:r>
      <w:r w:rsidRPr="00223B1E">
        <w:rPr>
          <w:vertAlign w:val="superscript"/>
        </w:rPr>
        <w:t>3</w:t>
      </w:r>
      <w:r>
        <w:t xml:space="preserve"> total PBR capacity). At 100 m</w:t>
      </w:r>
      <w:r w:rsidRPr="00223B1E">
        <w:rPr>
          <w:vertAlign w:val="superscript"/>
        </w:rPr>
        <w:t>3</w:t>
      </w:r>
      <w:r>
        <w:t xml:space="preserve"> and 120 m</w:t>
      </w:r>
      <w:r w:rsidRPr="002C4548">
        <w:rPr>
          <w:vertAlign w:val="superscript"/>
        </w:rPr>
        <w:t>3</w:t>
      </w:r>
      <w:r>
        <w:t xml:space="preserve"> total PBR capacities, the minimum selling prices</w:t>
      </w:r>
      <w:r w:rsidR="00BB598E">
        <w:t>, respectively,</w:t>
      </w:r>
      <w:r>
        <w:t xml:space="preserve"> are $6.12 kg</w:t>
      </w:r>
      <w:r w:rsidRPr="00223B1E">
        <w:rPr>
          <w:vertAlign w:val="superscript"/>
        </w:rPr>
        <w:t>-1</w:t>
      </w:r>
      <w:r>
        <w:t xml:space="preserve"> and $10.20 kg</w:t>
      </w:r>
      <w:r w:rsidRPr="002C4548">
        <w:rPr>
          <w:vertAlign w:val="superscript"/>
        </w:rPr>
        <w:t>-1</w:t>
      </w:r>
      <w:r>
        <w:t xml:space="preserve"> cheaper than the base case. It must be noted that these selling prices are only applicable </w:t>
      </w:r>
      <w:r w:rsidRPr="00BB695A">
        <w:t>for 166 μmol m</w:t>
      </w:r>
      <w:r w:rsidRPr="00BB695A">
        <w:rPr>
          <w:vertAlign w:val="superscript"/>
        </w:rPr>
        <w:t>-2</w:t>
      </w:r>
      <w:r w:rsidRPr="00BB695A">
        <w:t xml:space="preserve"> s</w:t>
      </w:r>
      <w:r w:rsidRPr="00BB695A">
        <w:rPr>
          <w:vertAlign w:val="superscript"/>
        </w:rPr>
        <w:t>-1</w:t>
      </w:r>
      <w:r w:rsidRPr="00BB695A">
        <w:t xml:space="preserve"> light intensity, 0.3 vvm aeration rate, and 0.20 g L</w:t>
      </w:r>
      <w:r w:rsidRPr="00BB695A">
        <w:rPr>
          <w:vertAlign w:val="superscript"/>
        </w:rPr>
        <w:t>-1</w:t>
      </w:r>
      <w:r w:rsidRPr="00BB695A">
        <w:t xml:space="preserve"> initial biomass concentration</w:t>
      </w:r>
      <w:r>
        <w:t xml:space="preserve">. Minimum selling price may be different for different operating conditions since the overall biomass yield will also be different. </w:t>
      </w:r>
    </w:p>
    <w:p w14:paraId="68D26B83" w14:textId="77777777" w:rsidR="00600535" w:rsidRPr="00B57B36" w:rsidRDefault="00600535" w:rsidP="00600535">
      <w:pPr>
        <w:pStyle w:val="CETHeading1"/>
        <w:rPr>
          <w:lang w:val="en-GB"/>
        </w:rPr>
      </w:pPr>
      <w:r w:rsidRPr="00B57B36">
        <w:rPr>
          <w:lang w:val="en-GB"/>
        </w:rPr>
        <w:t>Conclusions</w:t>
      </w:r>
    </w:p>
    <w:p w14:paraId="5A04C14E" w14:textId="2A2DCFA0" w:rsidR="00D45F12" w:rsidRDefault="00D45F12" w:rsidP="00D45F12">
      <w:pPr>
        <w:pStyle w:val="ListParagraph"/>
        <w:ind w:left="0"/>
      </w:pPr>
      <w:r>
        <w:t xml:space="preserve">The preliminary techno-economic evaluation on a </w:t>
      </w:r>
      <w:r w:rsidRPr="00D45F12">
        <w:rPr>
          <w:i/>
        </w:rPr>
        <w:t>Spirulina</w:t>
      </w:r>
      <w:r>
        <w:t xml:space="preserve"> powder production plant with a total photobioreactor capacity of 80-m</w:t>
      </w:r>
      <w:r w:rsidRPr="00D45F12">
        <w:rPr>
          <w:vertAlign w:val="superscript"/>
        </w:rPr>
        <w:t>3</w:t>
      </w:r>
      <w:r>
        <w:t xml:space="preserve"> revealed an attractive venture</w:t>
      </w:r>
      <w:r w:rsidR="00603EC9">
        <w:t xml:space="preserve"> sinc</w:t>
      </w:r>
      <w:r>
        <w:t xml:space="preserve">e </w:t>
      </w:r>
      <w:r w:rsidR="00603EC9">
        <w:t xml:space="preserve">net profit and </w:t>
      </w:r>
      <w:r>
        <w:t xml:space="preserve">profit margin </w:t>
      </w:r>
      <w:r w:rsidR="00603EC9">
        <w:t>are</w:t>
      </w:r>
      <w:r>
        <w:t xml:space="preserve"> positive and the payback </w:t>
      </w:r>
      <w:r>
        <w:lastRenderedPageBreak/>
        <w:t xml:space="preserve">period is only 6.34 years. </w:t>
      </w:r>
      <w:r w:rsidR="00603EC9">
        <w:t xml:space="preserve">It should be noted, however, that these values are true only for the operating conditions considered in the study. Different operating conditions may give different results since the biomass productivity is directly affected. </w:t>
      </w:r>
    </w:p>
    <w:p w14:paraId="26BDA173" w14:textId="5CD32C0D" w:rsidR="0068238E" w:rsidRDefault="00CA2017" w:rsidP="00D45F12">
      <w:pPr>
        <w:pStyle w:val="ListParagraph"/>
        <w:ind w:left="0"/>
      </w:pPr>
      <w:r>
        <w:t>In the sensitivity analysis, i</w:t>
      </w:r>
      <w:r w:rsidR="0068238E">
        <w:t>t was found that profitability increases with photobioreactor capacity. But the challenge in scaling up the reactor is in maintaining the surface-to-volume ratio which can easily be achieved in smaller reactors. It was</w:t>
      </w:r>
      <w:r>
        <w:t xml:space="preserve"> also</w:t>
      </w:r>
      <w:r w:rsidR="0068238E">
        <w:t xml:space="preserve"> found that</w:t>
      </w:r>
      <w:r>
        <w:t>,</w:t>
      </w:r>
      <w:r w:rsidR="0068238E">
        <w:t xml:space="preserve"> at the operating conditions considered, </w:t>
      </w:r>
      <w:r>
        <w:t xml:space="preserve">profitability increases with initial biomass concentration as a direct consequence of the increase in the final amount of </w:t>
      </w:r>
      <w:r w:rsidRPr="001A288A">
        <w:rPr>
          <w:i/>
        </w:rPr>
        <w:t>Spirulina</w:t>
      </w:r>
      <w:r>
        <w:t xml:space="preserve"> biomass produced. The minimum selling price can also be reduced by increasing the reactor capacity. </w:t>
      </w:r>
    </w:p>
    <w:p w14:paraId="728312F3" w14:textId="77777777" w:rsidR="00603EC9" w:rsidRDefault="00603EC9" w:rsidP="00603EC9">
      <w:pPr>
        <w:pStyle w:val="ListParagraph"/>
        <w:ind w:left="0"/>
      </w:pPr>
    </w:p>
    <w:p w14:paraId="07A6D20F" w14:textId="0ECF229E" w:rsidR="00280FAF" w:rsidRPr="00280FAF" w:rsidRDefault="00280FAF" w:rsidP="00280FAF">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76EB3BA6" w14:textId="4C0DC5BF" w:rsidR="00D45F12" w:rsidRPr="00021759" w:rsidRDefault="00D45F12" w:rsidP="00D45F12">
      <w:pPr>
        <w:tabs>
          <w:tab w:val="left" w:pos="270"/>
        </w:tabs>
        <w:spacing w:line="240" w:lineRule="auto"/>
        <w:rPr>
          <w:rFonts w:eastAsiaTheme="minorEastAsia"/>
          <w:i/>
        </w:rPr>
      </w:pPr>
      <m:oMath>
        <m:r>
          <w:rPr>
            <w:rFonts w:ascii="Cambria Math" w:hAnsi="Cambria Math"/>
          </w:rPr>
          <m:t>X</m:t>
        </m:r>
      </m:oMath>
      <w:r>
        <w:rPr>
          <w:rFonts w:eastAsiaTheme="minorEastAsia"/>
        </w:rPr>
        <w:tab/>
      </w:r>
      <w:r w:rsidRPr="00021759">
        <w:rPr>
          <w:rFonts w:eastAsiaTheme="minorEastAsia"/>
        </w:rPr>
        <w:t xml:space="preserve">= biomass concentration (g </w:t>
      </w:r>
      <w:r>
        <w:rPr>
          <w:rFonts w:eastAsiaTheme="minorEastAsia"/>
        </w:rPr>
        <w:t>l</w:t>
      </w:r>
      <w:r w:rsidRPr="00021759">
        <w:rPr>
          <w:rFonts w:eastAsiaTheme="minorEastAsia"/>
          <w:vertAlign w:val="superscript"/>
        </w:rPr>
        <w:t>-1</w:t>
      </w:r>
      <w:r w:rsidRPr="00021759">
        <w:rPr>
          <w:rFonts w:eastAsiaTheme="minorEastAsia"/>
        </w:rPr>
        <w:t xml:space="preserve">) at time, </w:t>
      </w:r>
      <w:r w:rsidRPr="00021759">
        <w:rPr>
          <w:rFonts w:eastAsiaTheme="minorEastAsia"/>
          <w:i/>
        </w:rPr>
        <w:t>t</w:t>
      </w:r>
    </w:p>
    <w:p w14:paraId="395C3EA6" w14:textId="7F6E0CF1" w:rsidR="00D45F12" w:rsidRPr="00021759" w:rsidRDefault="004539A0" w:rsidP="00D45F12">
      <w:pPr>
        <w:tabs>
          <w:tab w:val="left" w:pos="270"/>
        </w:tabs>
        <w:spacing w:line="240" w:lineRule="auto"/>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o</m:t>
            </m:r>
          </m:sub>
        </m:sSub>
      </m:oMath>
      <w:r w:rsidR="00D45F12">
        <w:rPr>
          <w:rFonts w:eastAsiaTheme="minorEastAsia"/>
        </w:rPr>
        <w:tab/>
      </w:r>
      <w:r w:rsidR="00D45F12" w:rsidRPr="00021759">
        <w:rPr>
          <w:rFonts w:eastAsiaTheme="minorEastAsia"/>
        </w:rPr>
        <w:t xml:space="preserve">= initial biomass concentration (g </w:t>
      </w:r>
      <w:r w:rsidR="00D45F12">
        <w:rPr>
          <w:rFonts w:eastAsiaTheme="minorEastAsia"/>
        </w:rPr>
        <w:t>l</w:t>
      </w:r>
      <w:r w:rsidR="00D45F12" w:rsidRPr="00021759">
        <w:rPr>
          <w:rFonts w:eastAsiaTheme="minorEastAsia"/>
          <w:vertAlign w:val="superscript"/>
        </w:rPr>
        <w:t>-1</w:t>
      </w:r>
      <w:r w:rsidR="00D45F12" w:rsidRPr="00021759">
        <w:rPr>
          <w:rFonts w:eastAsiaTheme="minorEastAsia"/>
        </w:rPr>
        <w:t>)</w:t>
      </w:r>
    </w:p>
    <w:p w14:paraId="22DC3D26" w14:textId="07DA641F" w:rsidR="00D45F12" w:rsidRPr="00021759" w:rsidRDefault="004539A0" w:rsidP="00D45F12">
      <w:pPr>
        <w:tabs>
          <w:tab w:val="left" w:pos="270"/>
        </w:tabs>
        <w:spacing w:line="240" w:lineRule="auto"/>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f</m:t>
            </m:r>
          </m:sub>
        </m:sSub>
      </m:oMath>
      <w:r w:rsidR="00D45F12">
        <w:rPr>
          <w:rFonts w:eastAsiaTheme="minorEastAsia"/>
        </w:rPr>
        <w:tab/>
      </w:r>
      <w:r w:rsidR="00D45F12" w:rsidRPr="00021759">
        <w:rPr>
          <w:rFonts w:eastAsiaTheme="minorEastAsia"/>
        </w:rPr>
        <w:t xml:space="preserve">= final biomass concentration (g </w:t>
      </w:r>
      <w:r w:rsidR="00D45F12">
        <w:rPr>
          <w:rFonts w:eastAsiaTheme="minorEastAsia"/>
        </w:rPr>
        <w:t>l</w:t>
      </w:r>
      <w:r w:rsidR="00D45F12" w:rsidRPr="00021759">
        <w:rPr>
          <w:rFonts w:eastAsiaTheme="minorEastAsia"/>
          <w:vertAlign w:val="superscript"/>
        </w:rPr>
        <w:t>-1</w:t>
      </w:r>
      <w:r w:rsidR="00D45F12" w:rsidRPr="00021759">
        <w:rPr>
          <w:rFonts w:eastAsiaTheme="minorEastAsia"/>
        </w:rPr>
        <w:t>)</w:t>
      </w:r>
    </w:p>
    <w:p w14:paraId="7622A249" w14:textId="2210A248" w:rsidR="00D45F12" w:rsidRPr="00021759" w:rsidRDefault="00D45F12" w:rsidP="00D45F12">
      <w:pPr>
        <w:tabs>
          <w:tab w:val="left" w:pos="270"/>
        </w:tabs>
        <w:spacing w:line="240" w:lineRule="auto"/>
        <w:rPr>
          <w:rFonts w:eastAsiaTheme="minorEastAsia"/>
        </w:rPr>
      </w:pPr>
      <m:oMath>
        <m:r>
          <w:rPr>
            <w:rFonts w:ascii="Cambria Math" w:eastAsiaTheme="minorEastAsia" w:hAnsi="Cambria Math"/>
          </w:rPr>
          <m:t>μ</m:t>
        </m:r>
      </m:oMath>
      <w:r w:rsidRPr="00021759">
        <w:rPr>
          <w:rFonts w:eastAsiaTheme="minorEastAsia"/>
        </w:rPr>
        <w:t xml:space="preserve"> </w:t>
      </w:r>
      <w:r>
        <w:rPr>
          <w:rFonts w:eastAsiaTheme="minorEastAsia"/>
        </w:rPr>
        <w:tab/>
      </w:r>
      <w:r w:rsidRPr="00021759">
        <w:rPr>
          <w:rFonts w:eastAsiaTheme="minorEastAsia"/>
        </w:rPr>
        <w:t>= specific growth rate (d</w:t>
      </w:r>
      <w:r w:rsidRPr="00021759">
        <w:rPr>
          <w:rFonts w:eastAsiaTheme="minorEastAsia"/>
          <w:vertAlign w:val="superscript"/>
        </w:rPr>
        <w:t>-1</w:t>
      </w:r>
      <w:r w:rsidRPr="00021759">
        <w:rPr>
          <w:rFonts w:eastAsiaTheme="minorEastAsia"/>
        </w:rPr>
        <w:t>)</w:t>
      </w:r>
    </w:p>
    <w:p w14:paraId="29B8AF4D" w14:textId="6313FD84" w:rsidR="00D45F12" w:rsidRPr="00021759" w:rsidRDefault="00D45F12" w:rsidP="00D45F12">
      <w:pPr>
        <w:tabs>
          <w:tab w:val="left" w:pos="270"/>
        </w:tabs>
        <w:spacing w:line="240" w:lineRule="auto"/>
        <w:rPr>
          <w:rFonts w:eastAsiaTheme="minorEastAsia"/>
          <w:i/>
        </w:rPr>
      </w:pPr>
      <m:oMath>
        <m:r>
          <w:rPr>
            <w:rFonts w:ascii="Cambria Math" w:eastAsiaTheme="minorEastAsia" w:hAnsi="Cambria Math"/>
          </w:rPr>
          <m:t>t</m:t>
        </m:r>
      </m:oMath>
      <w:r>
        <w:rPr>
          <w:rFonts w:eastAsiaTheme="minorEastAsia"/>
        </w:rPr>
        <w:tab/>
      </w:r>
      <w:r w:rsidRPr="00021759">
        <w:rPr>
          <w:rFonts w:eastAsiaTheme="minorEastAsia"/>
        </w:rPr>
        <w:t>= time (d)</w:t>
      </w:r>
    </w:p>
    <w:p w14:paraId="2D29DC4A" w14:textId="01D49F74" w:rsidR="00D45F12" w:rsidRPr="00021759" w:rsidRDefault="004539A0" w:rsidP="00D45F12">
      <w:pPr>
        <w:tabs>
          <w:tab w:val="left" w:pos="270"/>
        </w:tabs>
        <w:spacing w:line="240" w:lineRule="auto"/>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o</m:t>
            </m:r>
          </m:sub>
        </m:sSub>
      </m:oMath>
      <w:r w:rsidR="00D45F12">
        <w:rPr>
          <w:rFonts w:eastAsiaTheme="minorEastAsia"/>
        </w:rPr>
        <w:tab/>
      </w:r>
      <w:r w:rsidR="00D45F12" w:rsidRPr="00021759">
        <w:rPr>
          <w:rFonts w:eastAsiaTheme="minorEastAsia"/>
        </w:rPr>
        <w:t>= initial time (d)</w:t>
      </w:r>
    </w:p>
    <w:p w14:paraId="39F4C904" w14:textId="77777777" w:rsidR="00D45F12" w:rsidRPr="00021759" w:rsidRDefault="004539A0" w:rsidP="00D45F12">
      <w:pPr>
        <w:tabs>
          <w:tab w:val="left" w:pos="270"/>
        </w:tabs>
        <w:spacing w:line="240" w:lineRule="auto"/>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D45F12" w:rsidRPr="00021759">
        <w:rPr>
          <w:rFonts w:eastAsiaTheme="minorEastAsia"/>
        </w:rPr>
        <w:tab/>
        <w:t>= final time (d)</w:t>
      </w:r>
    </w:p>
    <w:p w14:paraId="38BFE636" w14:textId="20E0E303" w:rsidR="00280FAF" w:rsidRPr="00E377D0" w:rsidRDefault="00280FAF" w:rsidP="00280FAF">
      <w:pPr>
        <w:pStyle w:val="CETBodytext"/>
        <w:jc w:val="left"/>
        <w:rPr>
          <w:rFonts w:eastAsia="SimSun"/>
        </w:rPr>
        <w:sectPr w:rsidR="00280FAF" w:rsidRPr="00E377D0" w:rsidSect="00D45F12">
          <w:type w:val="continuous"/>
          <w:pgSz w:w="11906" w:h="16838" w:code="9"/>
          <w:pgMar w:top="1701" w:right="1418" w:bottom="1701" w:left="1701" w:header="1701" w:footer="0" w:gutter="0"/>
          <w:cols w:num="2" w:space="591"/>
          <w:formProt w:val="0"/>
          <w:titlePg/>
          <w:docGrid w:linePitch="360"/>
        </w:sectPr>
      </w:pPr>
    </w:p>
    <w:p w14:paraId="4F1327F8" w14:textId="77777777" w:rsidR="00600535" w:rsidRPr="00B57B36" w:rsidRDefault="00600535" w:rsidP="00600535">
      <w:pPr>
        <w:pStyle w:val="CETReference"/>
      </w:pPr>
      <w:r w:rsidRPr="00B57B36">
        <w:t>References</w:t>
      </w:r>
    </w:p>
    <w:p w14:paraId="7338A40E" w14:textId="1D218587" w:rsidR="00031B0F" w:rsidRDefault="00031B0F" w:rsidP="008D3170">
      <w:pPr>
        <w:widowControl w:val="0"/>
        <w:autoSpaceDE w:val="0"/>
        <w:autoSpaceDN w:val="0"/>
        <w:adjustRightInd w:val="0"/>
        <w:spacing w:line="240" w:lineRule="auto"/>
        <w:ind w:left="482" w:hanging="482"/>
        <w:rPr>
          <w:rFonts w:cs="Arial"/>
          <w:noProof/>
          <w:szCs w:val="24"/>
        </w:rPr>
      </w:pPr>
      <w:r>
        <w:rPr>
          <w:rFonts w:cs="Arial"/>
          <w:noProof/>
          <w:szCs w:val="24"/>
        </w:rPr>
        <w:t xml:space="preserve">Acién F.G., Molina E., Reis A., Torzillo G., Zittelli G.C., </w:t>
      </w:r>
      <w:r w:rsidR="008D3170">
        <w:rPr>
          <w:rFonts w:cs="Arial"/>
          <w:noProof/>
          <w:szCs w:val="24"/>
        </w:rPr>
        <w:t>Sepúlveda C., Masojídek J., 2017, Photobioreactors for the Production of Microalgae, Microalgae-Based Biofuels and Bioproducts</w:t>
      </w:r>
      <w:r w:rsidR="00B34B91">
        <w:rPr>
          <w:rFonts w:cs="Arial"/>
          <w:noProof/>
          <w:szCs w:val="24"/>
        </w:rPr>
        <w:t xml:space="preserve">, 1-44, </w:t>
      </w:r>
      <w:r w:rsidR="00B34B91" w:rsidRPr="00B34B91">
        <w:rPr>
          <w:rFonts w:cs="Arial"/>
          <w:noProof/>
          <w:szCs w:val="24"/>
        </w:rPr>
        <w:t>https://doi.org/10.1016/B978-0-08-101023-5.00001-7</w:t>
      </w:r>
      <w:r w:rsidR="00B34B91">
        <w:rPr>
          <w:rFonts w:cs="Arial"/>
          <w:noProof/>
          <w:szCs w:val="24"/>
        </w:rPr>
        <w:t>.</w:t>
      </w:r>
    </w:p>
    <w:p w14:paraId="105210CA" w14:textId="577D0BC0" w:rsidR="008E7658" w:rsidRPr="00385ECE" w:rsidRDefault="008E7658" w:rsidP="008D3170">
      <w:pPr>
        <w:widowControl w:val="0"/>
        <w:autoSpaceDE w:val="0"/>
        <w:autoSpaceDN w:val="0"/>
        <w:adjustRightInd w:val="0"/>
        <w:spacing w:line="240" w:lineRule="auto"/>
        <w:ind w:left="482" w:hanging="482"/>
        <w:rPr>
          <w:rFonts w:cs="Arial"/>
          <w:noProof/>
          <w:szCs w:val="24"/>
        </w:rPr>
      </w:pPr>
      <w:r w:rsidRPr="00385ECE">
        <w:rPr>
          <w:rFonts w:cs="Arial"/>
          <w:noProof/>
          <w:szCs w:val="24"/>
        </w:rPr>
        <w:t>Bataller B.G.,</w:t>
      </w:r>
      <w:r>
        <w:rPr>
          <w:rFonts w:cs="Arial"/>
          <w:noProof/>
          <w:szCs w:val="24"/>
        </w:rPr>
        <w:t xml:space="preserve"> </w:t>
      </w:r>
      <w:r w:rsidRPr="00385ECE">
        <w:rPr>
          <w:rFonts w:cs="Arial"/>
          <w:noProof/>
          <w:szCs w:val="24"/>
        </w:rPr>
        <w:t>Capareda</w:t>
      </w:r>
      <w:r>
        <w:rPr>
          <w:rFonts w:cs="Arial"/>
          <w:noProof/>
          <w:szCs w:val="24"/>
        </w:rPr>
        <w:t xml:space="preserve"> S.C.,</w:t>
      </w:r>
      <w:r w:rsidRPr="00385ECE">
        <w:rPr>
          <w:rFonts w:cs="Arial"/>
          <w:noProof/>
          <w:szCs w:val="24"/>
        </w:rPr>
        <w:t xml:space="preserve"> 2018</w:t>
      </w:r>
      <w:r>
        <w:rPr>
          <w:rFonts w:cs="Arial"/>
          <w:noProof/>
          <w:szCs w:val="24"/>
        </w:rPr>
        <w:t xml:space="preserve">, </w:t>
      </w:r>
      <w:r w:rsidRPr="00385ECE">
        <w:rPr>
          <w:rFonts w:cs="Arial"/>
          <w:noProof/>
          <w:szCs w:val="24"/>
        </w:rPr>
        <w:t xml:space="preserve">A Rapid and Non-Destructive Method for Quantifying Biomolecules in </w:t>
      </w:r>
      <w:r w:rsidRPr="000E4782">
        <w:rPr>
          <w:rFonts w:cs="Arial"/>
          <w:i/>
          <w:iCs/>
          <w:noProof/>
          <w:szCs w:val="24"/>
        </w:rPr>
        <w:t>Spirulina Platensis</w:t>
      </w:r>
      <w:r w:rsidRPr="00385ECE">
        <w:rPr>
          <w:rFonts w:cs="Arial"/>
          <w:noProof/>
          <w:szCs w:val="24"/>
        </w:rPr>
        <w:t xml:space="preserve"> via Fourier Transform Infrared – Attenuated Total Reflectance Spectroscopy</w:t>
      </w:r>
      <w:r>
        <w:rPr>
          <w:rFonts w:cs="Arial"/>
          <w:noProof/>
          <w:szCs w:val="24"/>
        </w:rPr>
        <w:t>,</w:t>
      </w:r>
      <w:r w:rsidRPr="00385ECE">
        <w:rPr>
          <w:rFonts w:cs="Arial"/>
          <w:noProof/>
          <w:szCs w:val="24"/>
        </w:rPr>
        <w:t xml:space="preserve"> </w:t>
      </w:r>
      <w:r w:rsidRPr="00041F27">
        <w:rPr>
          <w:rFonts w:cs="Arial"/>
          <w:noProof/>
          <w:szCs w:val="24"/>
        </w:rPr>
        <w:t>Algal Research</w:t>
      </w:r>
      <w:r>
        <w:rPr>
          <w:rFonts w:cs="Arial"/>
          <w:noProof/>
          <w:szCs w:val="24"/>
        </w:rPr>
        <w:t>,</w:t>
      </w:r>
      <w:r w:rsidRPr="00385ECE">
        <w:rPr>
          <w:rFonts w:cs="Arial"/>
          <w:noProof/>
          <w:szCs w:val="24"/>
        </w:rPr>
        <w:t xml:space="preserve"> 32</w:t>
      </w:r>
      <w:r>
        <w:rPr>
          <w:rFonts w:cs="Arial"/>
          <w:noProof/>
          <w:szCs w:val="24"/>
        </w:rPr>
        <w:t>, 341-352.</w:t>
      </w:r>
    </w:p>
    <w:p w14:paraId="4D2445A6" w14:textId="0FB36DF9" w:rsidR="00124740" w:rsidRDefault="00124740" w:rsidP="00702490">
      <w:pPr>
        <w:widowControl w:val="0"/>
        <w:autoSpaceDE w:val="0"/>
        <w:autoSpaceDN w:val="0"/>
        <w:adjustRightInd w:val="0"/>
        <w:ind w:left="270" w:hanging="270"/>
        <w:rPr>
          <w:noProof/>
        </w:rPr>
      </w:pPr>
      <w:r>
        <w:rPr>
          <w:noProof/>
        </w:rPr>
        <w:t xml:space="preserve">Bataller B.G., Capareda S.C., 2020, Use of FTIR Spectroscopy and PLS-Regression in Monitoring Biomolecules in </w:t>
      </w:r>
      <w:r w:rsidRPr="00124740">
        <w:rPr>
          <w:i/>
          <w:iCs/>
          <w:noProof/>
        </w:rPr>
        <w:t>Spirulina platensis</w:t>
      </w:r>
      <w:r>
        <w:rPr>
          <w:noProof/>
        </w:rPr>
        <w:t xml:space="preserve"> during its Growth in an Internally-Illuminated Photobioreactor, Chemical Engineering Transactions, 80, 103-108.</w:t>
      </w:r>
    </w:p>
    <w:p w14:paraId="580EEE10" w14:textId="7C6A4B62" w:rsidR="0020497D" w:rsidRDefault="00D20175" w:rsidP="00702490">
      <w:pPr>
        <w:widowControl w:val="0"/>
        <w:autoSpaceDE w:val="0"/>
        <w:autoSpaceDN w:val="0"/>
        <w:adjustRightInd w:val="0"/>
        <w:ind w:left="270" w:hanging="270"/>
        <w:rPr>
          <w:noProof/>
        </w:rPr>
      </w:pPr>
      <w:r>
        <w:rPr>
          <w:noProof/>
        </w:rPr>
        <w:t xml:space="preserve">Clippinger J., Davis R., 2019, Techno-Economic Analysis for the Production of Algal Biomass via Closed Photobioreactors: Future Cost Potential Evaluated Across a Range of Cultivation System Designs, Technical Report NREL/TP-5100-72716, National Renewable Energy Laboratory, </w:t>
      </w:r>
      <w:r w:rsidRPr="00D20175">
        <w:rPr>
          <w:noProof/>
        </w:rPr>
        <w:t>https://www.nrel.gov/docs/fy19osti/72716.pdf</w:t>
      </w:r>
      <w:r>
        <w:rPr>
          <w:noProof/>
        </w:rPr>
        <w:t xml:space="preserve">. </w:t>
      </w:r>
    </w:p>
    <w:p w14:paraId="4542C8CB" w14:textId="112BCAC7" w:rsidR="00277546" w:rsidRPr="00BF2438" w:rsidRDefault="00277546" w:rsidP="00702490">
      <w:pPr>
        <w:widowControl w:val="0"/>
        <w:autoSpaceDE w:val="0"/>
        <w:autoSpaceDN w:val="0"/>
        <w:adjustRightInd w:val="0"/>
        <w:ind w:left="270" w:hanging="270"/>
        <w:rPr>
          <w:noProof/>
        </w:rPr>
      </w:pPr>
      <w:r w:rsidRPr="00BF2438">
        <w:rPr>
          <w:noProof/>
        </w:rPr>
        <w:t>Cuaresma</w:t>
      </w:r>
      <w:r>
        <w:rPr>
          <w:noProof/>
        </w:rPr>
        <w:t xml:space="preserve"> M.</w:t>
      </w:r>
      <w:r w:rsidRPr="00BF2438">
        <w:rPr>
          <w:noProof/>
        </w:rPr>
        <w:t>, Janssen</w:t>
      </w:r>
      <w:r>
        <w:rPr>
          <w:noProof/>
        </w:rPr>
        <w:t xml:space="preserve"> M., </w:t>
      </w:r>
      <w:r w:rsidRPr="00BF2438">
        <w:rPr>
          <w:noProof/>
        </w:rPr>
        <w:t>Vílchez</w:t>
      </w:r>
      <w:r>
        <w:rPr>
          <w:noProof/>
        </w:rPr>
        <w:t xml:space="preserve"> C.</w:t>
      </w:r>
      <w:r w:rsidRPr="00BF2438">
        <w:rPr>
          <w:noProof/>
        </w:rPr>
        <w:t>, Wijffels</w:t>
      </w:r>
      <w:r>
        <w:rPr>
          <w:noProof/>
        </w:rPr>
        <w:t xml:space="preserve"> R.H.</w:t>
      </w:r>
      <w:r w:rsidRPr="00BF2438">
        <w:rPr>
          <w:noProof/>
        </w:rPr>
        <w:t>,</w:t>
      </w:r>
      <w:r>
        <w:rPr>
          <w:noProof/>
        </w:rPr>
        <w:t xml:space="preserve"> 2011, </w:t>
      </w:r>
      <w:r w:rsidRPr="00BF2438">
        <w:rPr>
          <w:noProof/>
        </w:rPr>
        <w:t>Horizontal or vertical photobioreactors? How to improve microalgae photosynthetic efficiency,</w:t>
      </w:r>
      <w:r>
        <w:rPr>
          <w:noProof/>
        </w:rPr>
        <w:t xml:space="preserve"> </w:t>
      </w:r>
      <w:r w:rsidRPr="00277546">
        <w:rPr>
          <w:noProof/>
        </w:rPr>
        <w:t>Bioresour. Technol.,</w:t>
      </w:r>
      <w:r w:rsidRPr="00BF2438">
        <w:rPr>
          <w:noProof/>
        </w:rPr>
        <w:t xml:space="preserve"> 102</w:t>
      </w:r>
      <w:r>
        <w:rPr>
          <w:noProof/>
        </w:rPr>
        <w:t>(</w:t>
      </w:r>
      <w:r w:rsidRPr="00BF2438">
        <w:rPr>
          <w:noProof/>
        </w:rPr>
        <w:t>8</w:t>
      </w:r>
      <w:r w:rsidR="00702490">
        <w:rPr>
          <w:noProof/>
        </w:rPr>
        <w:t xml:space="preserve">), </w:t>
      </w:r>
      <w:r w:rsidRPr="00BF2438">
        <w:rPr>
          <w:noProof/>
        </w:rPr>
        <w:t>5129–5137.</w:t>
      </w:r>
    </w:p>
    <w:p w14:paraId="49BB035D" w14:textId="0BA0E64E" w:rsidR="00E77B37" w:rsidRPr="00BF2438" w:rsidRDefault="00E77B37" w:rsidP="00E77B37">
      <w:pPr>
        <w:widowControl w:val="0"/>
        <w:autoSpaceDE w:val="0"/>
        <w:autoSpaceDN w:val="0"/>
        <w:adjustRightInd w:val="0"/>
        <w:ind w:left="640" w:hanging="640"/>
        <w:rPr>
          <w:noProof/>
        </w:rPr>
      </w:pPr>
      <w:r w:rsidRPr="00BF2438">
        <w:rPr>
          <w:noProof/>
        </w:rPr>
        <w:t>Eriksen</w:t>
      </w:r>
      <w:r>
        <w:rPr>
          <w:noProof/>
        </w:rPr>
        <w:t xml:space="preserve"> N.T.</w:t>
      </w:r>
      <w:r w:rsidRPr="00BF2438">
        <w:rPr>
          <w:noProof/>
        </w:rPr>
        <w:t xml:space="preserve">, </w:t>
      </w:r>
      <w:r>
        <w:rPr>
          <w:noProof/>
        </w:rPr>
        <w:t xml:space="preserve">2008, </w:t>
      </w:r>
      <w:r w:rsidRPr="00BF2438">
        <w:rPr>
          <w:noProof/>
        </w:rPr>
        <w:t>The technology of microalgal culturing,</w:t>
      </w:r>
      <w:r>
        <w:rPr>
          <w:noProof/>
        </w:rPr>
        <w:t xml:space="preserve"> </w:t>
      </w:r>
      <w:r w:rsidRPr="00E77B37">
        <w:rPr>
          <w:noProof/>
        </w:rPr>
        <w:t>Biotechnol. Lett.,</w:t>
      </w:r>
      <w:r w:rsidRPr="00BF2438">
        <w:rPr>
          <w:noProof/>
        </w:rPr>
        <w:t xml:space="preserve"> </w:t>
      </w:r>
      <w:r>
        <w:rPr>
          <w:noProof/>
        </w:rPr>
        <w:t>3</w:t>
      </w:r>
      <w:r w:rsidRPr="00BF2438">
        <w:rPr>
          <w:noProof/>
        </w:rPr>
        <w:t>0</w:t>
      </w:r>
      <w:r>
        <w:rPr>
          <w:noProof/>
        </w:rPr>
        <w:t>(</w:t>
      </w:r>
      <w:r w:rsidRPr="00BF2438">
        <w:rPr>
          <w:noProof/>
        </w:rPr>
        <w:t>9</w:t>
      </w:r>
      <w:r>
        <w:rPr>
          <w:noProof/>
        </w:rPr>
        <w:t xml:space="preserve">), </w:t>
      </w:r>
      <w:r w:rsidRPr="00BF2438">
        <w:rPr>
          <w:noProof/>
        </w:rPr>
        <w:t>1525–1536.</w:t>
      </w:r>
    </w:p>
    <w:p w14:paraId="24C0E754" w14:textId="2672420A" w:rsidR="005952F4" w:rsidRDefault="005952F4" w:rsidP="00667919">
      <w:pPr>
        <w:pStyle w:val="CETReferencetext"/>
        <w:rPr>
          <w:noProof/>
        </w:rPr>
      </w:pPr>
      <w:r>
        <w:rPr>
          <w:noProof/>
        </w:rPr>
        <w:t>Huang Q., Jiang F., Wang L., Yang C., 2017, Design of Photobioreactors for Mass Cultivation of Photosynthetic Organisms, Engineering, 3, 318-329.</w:t>
      </w:r>
    </w:p>
    <w:p w14:paraId="790B5766" w14:textId="79614C81" w:rsidR="00667919" w:rsidRDefault="00667919" w:rsidP="00667919">
      <w:pPr>
        <w:pStyle w:val="CETReferencetext"/>
        <w:rPr>
          <w:noProof/>
        </w:rPr>
      </w:pPr>
      <w:r w:rsidRPr="00BF2438">
        <w:rPr>
          <w:noProof/>
        </w:rPr>
        <w:t xml:space="preserve">Hwang </w:t>
      </w:r>
      <w:r>
        <w:rPr>
          <w:noProof/>
        </w:rPr>
        <w:t xml:space="preserve">S.J., </w:t>
      </w:r>
      <w:r w:rsidRPr="00BF2438">
        <w:rPr>
          <w:noProof/>
        </w:rPr>
        <w:t>Cheng</w:t>
      </w:r>
      <w:r>
        <w:rPr>
          <w:noProof/>
        </w:rPr>
        <w:t xml:space="preserve"> Y.L.</w:t>
      </w:r>
      <w:r w:rsidRPr="00BF2438">
        <w:rPr>
          <w:noProof/>
        </w:rPr>
        <w:t>,</w:t>
      </w:r>
      <w:r>
        <w:rPr>
          <w:noProof/>
        </w:rPr>
        <w:t xml:space="preserve"> 1997, </w:t>
      </w:r>
      <w:r w:rsidRPr="00BF2438">
        <w:rPr>
          <w:noProof/>
        </w:rPr>
        <w:t xml:space="preserve">Gas holdup and liquid velocity in in three-phase internal-loop airlift reactors, </w:t>
      </w:r>
      <w:r w:rsidRPr="002A45A1">
        <w:rPr>
          <w:noProof/>
        </w:rPr>
        <w:t>Chem. Eng. Sci.,</w:t>
      </w:r>
      <w:r w:rsidRPr="00BF2438">
        <w:rPr>
          <w:noProof/>
        </w:rPr>
        <w:t xml:space="preserve"> 52</w:t>
      </w:r>
      <w:r>
        <w:rPr>
          <w:noProof/>
        </w:rPr>
        <w:t>(</w:t>
      </w:r>
      <w:r w:rsidRPr="00BF2438">
        <w:rPr>
          <w:noProof/>
        </w:rPr>
        <w:t>21–22</w:t>
      </w:r>
      <w:r>
        <w:rPr>
          <w:noProof/>
        </w:rPr>
        <w:t>)</w:t>
      </w:r>
      <w:r w:rsidRPr="00BF2438">
        <w:rPr>
          <w:noProof/>
        </w:rPr>
        <w:t>, 3949–3960.</w:t>
      </w:r>
    </w:p>
    <w:p w14:paraId="49EAF618" w14:textId="0D69996B" w:rsidR="00AB649E" w:rsidRDefault="00AB649E" w:rsidP="002A45A1">
      <w:pPr>
        <w:widowControl w:val="0"/>
        <w:autoSpaceDE w:val="0"/>
        <w:autoSpaceDN w:val="0"/>
        <w:adjustRightInd w:val="0"/>
        <w:ind w:left="640" w:hanging="640"/>
        <w:rPr>
          <w:noProof/>
        </w:rPr>
      </w:pPr>
      <w:r>
        <w:rPr>
          <w:noProof/>
        </w:rPr>
        <w:t>Marotta G., Scargiali F., Lima S., Caputo G., Grisafi F., Brucato A., 2017, Vacuum Air-lift Bioreactor for Microalgae Production</w:t>
      </w:r>
      <w:r w:rsidR="00A80A61">
        <w:rPr>
          <w:noProof/>
        </w:rPr>
        <w:t>, Chemical Engineering Transactions, 57, 925-929.</w:t>
      </w:r>
    </w:p>
    <w:p w14:paraId="6C3E3F02" w14:textId="17C70A83" w:rsidR="002A45A1" w:rsidRPr="00BF2438" w:rsidRDefault="002A45A1" w:rsidP="002A45A1">
      <w:pPr>
        <w:widowControl w:val="0"/>
        <w:autoSpaceDE w:val="0"/>
        <w:autoSpaceDN w:val="0"/>
        <w:adjustRightInd w:val="0"/>
        <w:ind w:left="640" w:hanging="640"/>
        <w:rPr>
          <w:noProof/>
        </w:rPr>
      </w:pPr>
      <w:r w:rsidRPr="00BF2438">
        <w:rPr>
          <w:noProof/>
        </w:rPr>
        <w:t xml:space="preserve">Oncel </w:t>
      </w:r>
      <w:r>
        <w:rPr>
          <w:noProof/>
        </w:rPr>
        <w:t xml:space="preserve">S., </w:t>
      </w:r>
      <w:r w:rsidRPr="00BF2438">
        <w:rPr>
          <w:noProof/>
        </w:rPr>
        <w:t>Sukan</w:t>
      </w:r>
      <w:r>
        <w:rPr>
          <w:noProof/>
        </w:rPr>
        <w:t xml:space="preserve"> F.V.</w:t>
      </w:r>
      <w:r w:rsidRPr="00BF2438">
        <w:rPr>
          <w:noProof/>
        </w:rPr>
        <w:t xml:space="preserve">, </w:t>
      </w:r>
      <w:r>
        <w:rPr>
          <w:noProof/>
        </w:rPr>
        <w:t xml:space="preserve">2008, </w:t>
      </w:r>
      <w:r w:rsidRPr="00BF2438">
        <w:rPr>
          <w:noProof/>
        </w:rPr>
        <w:t xml:space="preserve">Comparison of two different pneumatically mixed column photobioreactors for the cultivation of </w:t>
      </w:r>
      <w:r w:rsidRPr="00D542C2">
        <w:rPr>
          <w:i/>
          <w:noProof/>
        </w:rPr>
        <w:t>Artrospira platensis</w:t>
      </w:r>
      <w:r w:rsidRPr="00BF2438">
        <w:rPr>
          <w:noProof/>
        </w:rPr>
        <w:t xml:space="preserve"> (</w:t>
      </w:r>
      <w:r w:rsidRPr="00D542C2">
        <w:rPr>
          <w:i/>
          <w:noProof/>
        </w:rPr>
        <w:t>Spirulina platensis</w:t>
      </w:r>
      <w:r w:rsidRPr="00BF2438">
        <w:rPr>
          <w:noProof/>
        </w:rPr>
        <w:t>),</w:t>
      </w:r>
      <w:r>
        <w:rPr>
          <w:noProof/>
        </w:rPr>
        <w:t xml:space="preserve"> </w:t>
      </w:r>
      <w:r w:rsidRPr="002A45A1">
        <w:rPr>
          <w:noProof/>
        </w:rPr>
        <w:t>Bioresour. Technol.,</w:t>
      </w:r>
      <w:r w:rsidRPr="00BF2438">
        <w:rPr>
          <w:noProof/>
        </w:rPr>
        <w:t xml:space="preserve"> 99</w:t>
      </w:r>
      <w:r>
        <w:rPr>
          <w:noProof/>
        </w:rPr>
        <w:t>(</w:t>
      </w:r>
      <w:r w:rsidRPr="00BF2438">
        <w:rPr>
          <w:noProof/>
        </w:rPr>
        <w:t>11</w:t>
      </w:r>
      <w:r>
        <w:rPr>
          <w:noProof/>
        </w:rPr>
        <w:t>)</w:t>
      </w:r>
      <w:r w:rsidRPr="00BF2438">
        <w:rPr>
          <w:noProof/>
        </w:rPr>
        <w:t>, 4755–4760.</w:t>
      </w:r>
    </w:p>
    <w:p w14:paraId="4DC557EC" w14:textId="4BA241F3" w:rsidR="00667919" w:rsidRPr="00BF2438" w:rsidRDefault="00667919" w:rsidP="00667919">
      <w:pPr>
        <w:widowControl w:val="0"/>
        <w:autoSpaceDE w:val="0"/>
        <w:autoSpaceDN w:val="0"/>
        <w:adjustRightInd w:val="0"/>
        <w:ind w:left="640" w:hanging="640"/>
        <w:rPr>
          <w:noProof/>
        </w:rPr>
      </w:pPr>
      <w:r w:rsidRPr="00BF2438">
        <w:rPr>
          <w:noProof/>
        </w:rPr>
        <w:t>Peters</w:t>
      </w:r>
      <w:r>
        <w:rPr>
          <w:noProof/>
        </w:rPr>
        <w:t xml:space="preserve"> M.S.</w:t>
      </w:r>
      <w:r w:rsidRPr="00BF2438">
        <w:rPr>
          <w:noProof/>
        </w:rPr>
        <w:t>, Timmerhaus</w:t>
      </w:r>
      <w:r>
        <w:rPr>
          <w:noProof/>
        </w:rPr>
        <w:t xml:space="preserve"> K.D.</w:t>
      </w:r>
      <w:r w:rsidRPr="00BF2438">
        <w:rPr>
          <w:noProof/>
        </w:rPr>
        <w:t>,</w:t>
      </w:r>
      <w:r>
        <w:rPr>
          <w:noProof/>
        </w:rPr>
        <w:t xml:space="preserve"> </w:t>
      </w:r>
      <w:r w:rsidRPr="00BF2438">
        <w:rPr>
          <w:noProof/>
        </w:rPr>
        <w:t>West</w:t>
      </w:r>
      <w:r>
        <w:rPr>
          <w:noProof/>
        </w:rPr>
        <w:t xml:space="preserve"> R.E.</w:t>
      </w:r>
      <w:r w:rsidRPr="00BF2438">
        <w:rPr>
          <w:noProof/>
        </w:rPr>
        <w:t>,</w:t>
      </w:r>
      <w:r>
        <w:rPr>
          <w:noProof/>
        </w:rPr>
        <w:t xml:space="preserve"> 2003</w:t>
      </w:r>
      <w:r w:rsidRPr="00667919">
        <w:rPr>
          <w:i/>
          <w:iCs/>
          <w:noProof/>
        </w:rPr>
        <w:t>, Plant Design and Economics for Chemical Engineers,</w:t>
      </w:r>
      <w:r w:rsidRPr="00BF2438">
        <w:rPr>
          <w:noProof/>
        </w:rPr>
        <w:t xml:space="preserve"> 5th ed</w:t>
      </w:r>
      <w:r>
        <w:rPr>
          <w:noProof/>
        </w:rPr>
        <w:t>,</w:t>
      </w:r>
      <w:r w:rsidRPr="00BF2438">
        <w:rPr>
          <w:noProof/>
        </w:rPr>
        <w:t xml:space="preserve"> New York: McGraw-Hill</w:t>
      </w:r>
      <w:r>
        <w:rPr>
          <w:noProof/>
        </w:rPr>
        <w:t>.</w:t>
      </w:r>
    </w:p>
    <w:p w14:paraId="0D9B6A97" w14:textId="6986978F" w:rsidR="008E7658" w:rsidRPr="00BF2438" w:rsidRDefault="008E7658" w:rsidP="008E7658">
      <w:pPr>
        <w:widowControl w:val="0"/>
        <w:autoSpaceDE w:val="0"/>
        <w:autoSpaceDN w:val="0"/>
        <w:adjustRightInd w:val="0"/>
        <w:ind w:left="640" w:hanging="640"/>
        <w:rPr>
          <w:noProof/>
        </w:rPr>
      </w:pPr>
      <w:r w:rsidRPr="00BF2438">
        <w:rPr>
          <w:noProof/>
        </w:rPr>
        <w:t>Piccolo</w:t>
      </w:r>
      <w:r>
        <w:rPr>
          <w:noProof/>
        </w:rPr>
        <w:t xml:space="preserve"> A.</w:t>
      </w:r>
      <w:r w:rsidRPr="00BF2438">
        <w:rPr>
          <w:noProof/>
        </w:rPr>
        <w:t xml:space="preserve">, </w:t>
      </w:r>
      <w:r>
        <w:rPr>
          <w:noProof/>
        </w:rPr>
        <w:t xml:space="preserve">2012, </w:t>
      </w:r>
      <w:r w:rsidRPr="0051294A">
        <w:rPr>
          <w:i/>
          <w:noProof/>
        </w:rPr>
        <w:t>Spirulina</w:t>
      </w:r>
      <w:r w:rsidRPr="00BF2438">
        <w:rPr>
          <w:noProof/>
        </w:rPr>
        <w:t xml:space="preserve"> a </w:t>
      </w:r>
      <w:r>
        <w:rPr>
          <w:noProof/>
        </w:rPr>
        <w:t>l</w:t>
      </w:r>
      <w:r w:rsidRPr="00BF2438">
        <w:rPr>
          <w:noProof/>
        </w:rPr>
        <w:t xml:space="preserve">ivelihood and a </w:t>
      </w:r>
      <w:r>
        <w:rPr>
          <w:noProof/>
        </w:rPr>
        <w:t>b</w:t>
      </w:r>
      <w:r w:rsidRPr="00BF2438">
        <w:rPr>
          <w:noProof/>
        </w:rPr>
        <w:t xml:space="preserve">usiness </w:t>
      </w:r>
      <w:r>
        <w:rPr>
          <w:noProof/>
        </w:rPr>
        <w:t>v</w:t>
      </w:r>
      <w:r w:rsidRPr="00BF2438">
        <w:rPr>
          <w:noProof/>
        </w:rPr>
        <w:t>enture,</w:t>
      </w:r>
      <w:r>
        <w:rPr>
          <w:noProof/>
        </w:rPr>
        <w:t xml:space="preserve"> </w:t>
      </w:r>
      <w:r w:rsidRPr="00BF2438">
        <w:rPr>
          <w:noProof/>
        </w:rPr>
        <w:t>www.fao.org/3/a-az386e.pdf.</w:t>
      </w:r>
    </w:p>
    <w:p w14:paraId="0C2BAC1C" w14:textId="568874F4" w:rsidR="00702490" w:rsidRDefault="00702490" w:rsidP="006B4888">
      <w:pPr>
        <w:pStyle w:val="CETReferencetext"/>
        <w:rPr>
          <w:noProof/>
        </w:rPr>
      </w:pPr>
      <w:r w:rsidRPr="00BF2438">
        <w:rPr>
          <w:noProof/>
        </w:rPr>
        <w:t>Singh</w:t>
      </w:r>
      <w:r>
        <w:rPr>
          <w:noProof/>
        </w:rPr>
        <w:t xml:space="preserve"> R.N.,</w:t>
      </w:r>
      <w:r w:rsidRPr="00BF2438">
        <w:rPr>
          <w:noProof/>
        </w:rPr>
        <w:t xml:space="preserve"> Sharma</w:t>
      </w:r>
      <w:r>
        <w:rPr>
          <w:noProof/>
        </w:rPr>
        <w:t xml:space="preserve"> S.</w:t>
      </w:r>
      <w:r w:rsidRPr="00BF2438">
        <w:rPr>
          <w:noProof/>
        </w:rPr>
        <w:t xml:space="preserve">, </w:t>
      </w:r>
      <w:r>
        <w:rPr>
          <w:noProof/>
        </w:rPr>
        <w:t xml:space="preserve">2012, </w:t>
      </w:r>
      <w:r w:rsidRPr="00BF2438">
        <w:rPr>
          <w:noProof/>
        </w:rPr>
        <w:t>Development of suitable photobioreactor for algae production - A review,</w:t>
      </w:r>
      <w:r>
        <w:rPr>
          <w:noProof/>
        </w:rPr>
        <w:t xml:space="preserve"> </w:t>
      </w:r>
      <w:r w:rsidRPr="00702490">
        <w:rPr>
          <w:noProof/>
        </w:rPr>
        <w:t>Renew. Sustain. Energy Rev.,</w:t>
      </w:r>
      <w:r w:rsidRPr="00BF2438">
        <w:rPr>
          <w:noProof/>
        </w:rPr>
        <w:t xml:space="preserve"> 16</w:t>
      </w:r>
      <w:r>
        <w:rPr>
          <w:noProof/>
        </w:rPr>
        <w:t>(</w:t>
      </w:r>
      <w:r w:rsidRPr="00BF2438">
        <w:rPr>
          <w:noProof/>
        </w:rPr>
        <w:t>4</w:t>
      </w:r>
      <w:r>
        <w:rPr>
          <w:noProof/>
        </w:rPr>
        <w:t>),</w:t>
      </w:r>
      <w:r w:rsidRPr="00BF2438">
        <w:rPr>
          <w:noProof/>
        </w:rPr>
        <w:t xml:space="preserve"> 2347–2353</w:t>
      </w:r>
      <w:r>
        <w:rPr>
          <w:noProof/>
        </w:rPr>
        <w:t>.</w:t>
      </w:r>
    </w:p>
    <w:p w14:paraId="733D43D6" w14:textId="04A9990D" w:rsidR="00453DB7" w:rsidRDefault="00453DB7" w:rsidP="006B4888">
      <w:pPr>
        <w:pStyle w:val="CETReferencetext"/>
      </w:pPr>
      <w:r>
        <w:t>Taisir M., Teo C.L., Idris A., Yusuf A.M., 2016, Cultivation of Nannochloropsis sp. using narrow beam angle light emitting diode in an internally illuminated photobioreactor, Bioresources and Bioprocessing</w:t>
      </w:r>
      <w:r w:rsidR="005952F4">
        <w:t>, 3:35, 1-8.</w:t>
      </w:r>
      <w:r>
        <w:t xml:space="preserve"> </w:t>
      </w:r>
    </w:p>
    <w:p w14:paraId="31B0E643" w14:textId="1915C542" w:rsidR="00277546" w:rsidRDefault="00277546" w:rsidP="006B4888">
      <w:pPr>
        <w:pStyle w:val="CETReferencetext"/>
      </w:pPr>
      <w:r>
        <w:t>Ugwu C.U., Aoyagi H., Uchiyama H., 2008, Photobioreactors for mass cultivation of algae, Bioresource Technology, 99(10), 4021-4028.</w:t>
      </w:r>
    </w:p>
    <w:p w14:paraId="33673538" w14:textId="22EC5482" w:rsidR="002C5B2B" w:rsidRDefault="002C5B2B" w:rsidP="00CA2017">
      <w:pPr>
        <w:pStyle w:val="CETReferencetext"/>
        <w:rPr>
          <w:noProof/>
        </w:rPr>
      </w:pPr>
      <w:r>
        <w:rPr>
          <w:noProof/>
        </w:rPr>
        <w:t xml:space="preserve">Vonshak A., 1997, </w:t>
      </w:r>
      <w:r w:rsidRPr="002C5B2B">
        <w:rPr>
          <w:i/>
          <w:iCs/>
          <w:noProof/>
        </w:rPr>
        <w:t>Spirulina platensis</w:t>
      </w:r>
      <w:r>
        <w:rPr>
          <w:noProof/>
        </w:rPr>
        <w:t xml:space="preserve"> (Arthrospira): Physiology, Cell Biology and Biotechnology, London:Taylor &amp; Francis.</w:t>
      </w:r>
    </w:p>
    <w:p w14:paraId="19C4FC68" w14:textId="5B8FB6DD" w:rsidR="004628D2" w:rsidRDefault="00702490" w:rsidP="00CA2017">
      <w:pPr>
        <w:pStyle w:val="CETReferencetext"/>
        <w:rPr>
          <w:noProof/>
        </w:rPr>
      </w:pPr>
      <w:r w:rsidRPr="00BF2438">
        <w:rPr>
          <w:noProof/>
        </w:rPr>
        <w:t>Wang</w:t>
      </w:r>
      <w:r>
        <w:rPr>
          <w:noProof/>
        </w:rPr>
        <w:t xml:space="preserve"> B.</w:t>
      </w:r>
      <w:r w:rsidRPr="00BF2438">
        <w:rPr>
          <w:noProof/>
        </w:rPr>
        <w:t>, Lan</w:t>
      </w:r>
      <w:r>
        <w:rPr>
          <w:noProof/>
        </w:rPr>
        <w:t xml:space="preserve"> C.Q.</w:t>
      </w:r>
      <w:r w:rsidRPr="00BF2438">
        <w:rPr>
          <w:noProof/>
        </w:rPr>
        <w:t>, and Horsman</w:t>
      </w:r>
      <w:r>
        <w:rPr>
          <w:noProof/>
        </w:rPr>
        <w:t xml:space="preserve"> M.</w:t>
      </w:r>
      <w:r w:rsidRPr="00BF2438">
        <w:rPr>
          <w:noProof/>
        </w:rPr>
        <w:t>,</w:t>
      </w:r>
      <w:r>
        <w:rPr>
          <w:noProof/>
        </w:rPr>
        <w:t xml:space="preserve"> 2012, </w:t>
      </w:r>
      <w:r w:rsidRPr="00BF2438">
        <w:rPr>
          <w:noProof/>
        </w:rPr>
        <w:t>Closed photobioreactors for production of microalgal biomasses</w:t>
      </w:r>
      <w:r w:rsidRPr="00702490">
        <w:rPr>
          <w:noProof/>
        </w:rPr>
        <w:t>, Biotechnol. Adv.,</w:t>
      </w:r>
      <w:r w:rsidRPr="00BF2438">
        <w:rPr>
          <w:noProof/>
        </w:rPr>
        <w:t xml:space="preserve"> 30</w:t>
      </w:r>
      <w:r>
        <w:rPr>
          <w:noProof/>
        </w:rPr>
        <w:t>(</w:t>
      </w:r>
      <w:r w:rsidRPr="00BF2438">
        <w:rPr>
          <w:noProof/>
        </w:rPr>
        <w:t>4</w:t>
      </w:r>
      <w:r>
        <w:rPr>
          <w:noProof/>
        </w:rPr>
        <w:t>)</w:t>
      </w:r>
      <w:r w:rsidRPr="00BF2438">
        <w:rPr>
          <w:noProof/>
        </w:rPr>
        <w:t>,</w:t>
      </w:r>
      <w:r>
        <w:rPr>
          <w:noProof/>
        </w:rPr>
        <w:t xml:space="preserve"> </w:t>
      </w:r>
      <w:r w:rsidRPr="00BF2438">
        <w:rPr>
          <w:noProof/>
        </w:rPr>
        <w:t>904–912.</w:t>
      </w:r>
    </w:p>
    <w:p w14:paraId="66C0847E" w14:textId="68EB369E" w:rsidR="00B945EC" w:rsidRDefault="00B945EC" w:rsidP="00CA2017">
      <w:pPr>
        <w:pStyle w:val="CETReferencetext"/>
      </w:pPr>
      <w:r>
        <w:rPr>
          <w:noProof/>
        </w:rPr>
        <w:t xml:space="preserve">Yustinadiar N., Manurung R., Suantika G., 2020, Enhanced biomass productivity of microalgae </w:t>
      </w:r>
      <w:r w:rsidRPr="00B945EC">
        <w:rPr>
          <w:i/>
          <w:iCs/>
          <w:noProof/>
        </w:rPr>
        <w:t xml:space="preserve">Nannochloropsis </w:t>
      </w:r>
      <w:r>
        <w:rPr>
          <w:noProof/>
        </w:rPr>
        <w:t>sp. in an airlift photobioreactor using low-frequency flashing light with blue LED, Bioresources and Bioprocessing, 7:43, 1-15.</w:t>
      </w:r>
    </w:p>
    <w:sectPr w:rsidR="00B945E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24CC" w14:textId="77777777" w:rsidR="004539A0" w:rsidRDefault="004539A0" w:rsidP="004F5E36">
      <w:r>
        <w:separator/>
      </w:r>
    </w:p>
  </w:endnote>
  <w:endnote w:type="continuationSeparator" w:id="0">
    <w:p w14:paraId="408A7F31" w14:textId="77777777" w:rsidR="004539A0" w:rsidRDefault="004539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484C" w14:textId="77777777" w:rsidR="004539A0" w:rsidRDefault="004539A0" w:rsidP="004F5E36">
      <w:r>
        <w:separator/>
      </w:r>
    </w:p>
  </w:footnote>
  <w:footnote w:type="continuationSeparator" w:id="0">
    <w:p w14:paraId="239671D5" w14:textId="77777777" w:rsidR="004539A0" w:rsidRDefault="004539A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5C1E00"/>
    <w:multiLevelType w:val="hybridMultilevel"/>
    <w:tmpl w:val="AAA62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4593272">
    <w:abstractNumId w:val="10"/>
  </w:num>
  <w:num w:numId="2" w16cid:durableId="1641491877">
    <w:abstractNumId w:val="8"/>
  </w:num>
  <w:num w:numId="3" w16cid:durableId="795875598">
    <w:abstractNumId w:val="3"/>
  </w:num>
  <w:num w:numId="4" w16cid:durableId="1943297322">
    <w:abstractNumId w:val="2"/>
  </w:num>
  <w:num w:numId="5" w16cid:durableId="349186618">
    <w:abstractNumId w:val="1"/>
  </w:num>
  <w:num w:numId="6" w16cid:durableId="325986774">
    <w:abstractNumId w:val="0"/>
  </w:num>
  <w:num w:numId="7" w16cid:durableId="565072406">
    <w:abstractNumId w:val="9"/>
  </w:num>
  <w:num w:numId="8" w16cid:durableId="1697727991">
    <w:abstractNumId w:val="7"/>
  </w:num>
  <w:num w:numId="9" w16cid:durableId="743144449">
    <w:abstractNumId w:val="6"/>
  </w:num>
  <w:num w:numId="10" w16cid:durableId="493303465">
    <w:abstractNumId w:val="5"/>
  </w:num>
  <w:num w:numId="11" w16cid:durableId="1640912837">
    <w:abstractNumId w:val="4"/>
  </w:num>
  <w:num w:numId="12" w16cid:durableId="71440060">
    <w:abstractNumId w:val="18"/>
  </w:num>
  <w:num w:numId="13" w16cid:durableId="1561941716">
    <w:abstractNumId w:val="12"/>
  </w:num>
  <w:num w:numId="14" w16cid:durableId="1981960864">
    <w:abstractNumId w:val="19"/>
  </w:num>
  <w:num w:numId="15" w16cid:durableId="1321468363">
    <w:abstractNumId w:val="21"/>
  </w:num>
  <w:num w:numId="16" w16cid:durableId="824930022">
    <w:abstractNumId w:val="20"/>
  </w:num>
  <w:num w:numId="17" w16cid:durableId="922640365">
    <w:abstractNumId w:val="11"/>
  </w:num>
  <w:num w:numId="18" w16cid:durableId="839545268">
    <w:abstractNumId w:val="12"/>
    <w:lvlOverride w:ilvl="0">
      <w:startOverride w:val="1"/>
    </w:lvlOverride>
  </w:num>
  <w:num w:numId="19" w16cid:durableId="1200967876">
    <w:abstractNumId w:val="17"/>
  </w:num>
  <w:num w:numId="20" w16cid:durableId="675153811">
    <w:abstractNumId w:val="16"/>
  </w:num>
  <w:num w:numId="21" w16cid:durableId="428694617">
    <w:abstractNumId w:val="14"/>
  </w:num>
  <w:num w:numId="22" w16cid:durableId="671492440">
    <w:abstractNumId w:val="13"/>
  </w:num>
  <w:num w:numId="23" w16cid:durableId="1570575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B0F"/>
    <w:rsid w:val="00031EEC"/>
    <w:rsid w:val="0004341C"/>
    <w:rsid w:val="0004517A"/>
    <w:rsid w:val="00051566"/>
    <w:rsid w:val="00062A9A"/>
    <w:rsid w:val="00065058"/>
    <w:rsid w:val="00081B5E"/>
    <w:rsid w:val="00086C39"/>
    <w:rsid w:val="00095C66"/>
    <w:rsid w:val="000A03B2"/>
    <w:rsid w:val="000A61F4"/>
    <w:rsid w:val="000B7900"/>
    <w:rsid w:val="000C7A94"/>
    <w:rsid w:val="000D0268"/>
    <w:rsid w:val="000D34BE"/>
    <w:rsid w:val="000E102F"/>
    <w:rsid w:val="000E36F1"/>
    <w:rsid w:val="000E3A73"/>
    <w:rsid w:val="000E414A"/>
    <w:rsid w:val="000F093C"/>
    <w:rsid w:val="000F787B"/>
    <w:rsid w:val="0012091F"/>
    <w:rsid w:val="00121E7E"/>
    <w:rsid w:val="00124740"/>
    <w:rsid w:val="00126BC2"/>
    <w:rsid w:val="001308B6"/>
    <w:rsid w:val="0013121F"/>
    <w:rsid w:val="00131FE6"/>
    <w:rsid w:val="0013263F"/>
    <w:rsid w:val="001331DF"/>
    <w:rsid w:val="00134DE4"/>
    <w:rsid w:val="0014034D"/>
    <w:rsid w:val="00144D16"/>
    <w:rsid w:val="00150E59"/>
    <w:rsid w:val="00152DE3"/>
    <w:rsid w:val="00162558"/>
    <w:rsid w:val="00164CF9"/>
    <w:rsid w:val="001657AE"/>
    <w:rsid w:val="001667A6"/>
    <w:rsid w:val="00173F33"/>
    <w:rsid w:val="00184AD6"/>
    <w:rsid w:val="00193E6B"/>
    <w:rsid w:val="001A4AF7"/>
    <w:rsid w:val="001B0349"/>
    <w:rsid w:val="001B1E93"/>
    <w:rsid w:val="001B65C1"/>
    <w:rsid w:val="001C0DB4"/>
    <w:rsid w:val="001C684B"/>
    <w:rsid w:val="001D0CFB"/>
    <w:rsid w:val="001D21AF"/>
    <w:rsid w:val="001D4BA6"/>
    <w:rsid w:val="001D53FC"/>
    <w:rsid w:val="001D5F7A"/>
    <w:rsid w:val="001F42A5"/>
    <w:rsid w:val="001F7B9D"/>
    <w:rsid w:val="002003BD"/>
    <w:rsid w:val="00201C93"/>
    <w:rsid w:val="0020497D"/>
    <w:rsid w:val="002224B4"/>
    <w:rsid w:val="002447EF"/>
    <w:rsid w:val="00244A8B"/>
    <w:rsid w:val="00247F52"/>
    <w:rsid w:val="00251550"/>
    <w:rsid w:val="00263B05"/>
    <w:rsid w:val="0027221A"/>
    <w:rsid w:val="00275B61"/>
    <w:rsid w:val="00275E5E"/>
    <w:rsid w:val="00277546"/>
    <w:rsid w:val="00280FAF"/>
    <w:rsid w:val="00282656"/>
    <w:rsid w:val="00287CCC"/>
    <w:rsid w:val="00296B83"/>
    <w:rsid w:val="002A45A1"/>
    <w:rsid w:val="002B4015"/>
    <w:rsid w:val="002B5E5D"/>
    <w:rsid w:val="002B78CE"/>
    <w:rsid w:val="002C2FB6"/>
    <w:rsid w:val="002C5B2B"/>
    <w:rsid w:val="002E0CAF"/>
    <w:rsid w:val="002E5FA7"/>
    <w:rsid w:val="002F3309"/>
    <w:rsid w:val="003008CE"/>
    <w:rsid w:val="003009B7"/>
    <w:rsid w:val="00300E56"/>
    <w:rsid w:val="00301585"/>
    <w:rsid w:val="0030469C"/>
    <w:rsid w:val="00307DCF"/>
    <w:rsid w:val="00321CA6"/>
    <w:rsid w:val="00323763"/>
    <w:rsid w:val="00334C09"/>
    <w:rsid w:val="003723D4"/>
    <w:rsid w:val="00381905"/>
    <w:rsid w:val="00382E61"/>
    <w:rsid w:val="00384CC8"/>
    <w:rsid w:val="003871FD"/>
    <w:rsid w:val="003A1E30"/>
    <w:rsid w:val="003A2829"/>
    <w:rsid w:val="003A7D1C"/>
    <w:rsid w:val="003B304B"/>
    <w:rsid w:val="003B3146"/>
    <w:rsid w:val="003D19E5"/>
    <w:rsid w:val="003E1B49"/>
    <w:rsid w:val="003E6EE4"/>
    <w:rsid w:val="003F015E"/>
    <w:rsid w:val="003F6840"/>
    <w:rsid w:val="00400414"/>
    <w:rsid w:val="0041446B"/>
    <w:rsid w:val="0044071E"/>
    <w:rsid w:val="004407DB"/>
    <w:rsid w:val="0044329C"/>
    <w:rsid w:val="004539A0"/>
    <w:rsid w:val="00453DB7"/>
    <w:rsid w:val="00453E24"/>
    <w:rsid w:val="00457456"/>
    <w:rsid w:val="004577FE"/>
    <w:rsid w:val="00457B9C"/>
    <w:rsid w:val="0046164A"/>
    <w:rsid w:val="004628D2"/>
    <w:rsid w:val="00462DCD"/>
    <w:rsid w:val="004648AD"/>
    <w:rsid w:val="004703A9"/>
    <w:rsid w:val="004760DE"/>
    <w:rsid w:val="004763D7"/>
    <w:rsid w:val="004877A0"/>
    <w:rsid w:val="004A004E"/>
    <w:rsid w:val="004A1DC1"/>
    <w:rsid w:val="004A24CF"/>
    <w:rsid w:val="004B0E38"/>
    <w:rsid w:val="004C3D1D"/>
    <w:rsid w:val="004C7913"/>
    <w:rsid w:val="004D2A9D"/>
    <w:rsid w:val="004E4DD6"/>
    <w:rsid w:val="004F5905"/>
    <w:rsid w:val="004F5E36"/>
    <w:rsid w:val="00504CC9"/>
    <w:rsid w:val="00507B47"/>
    <w:rsid w:val="00507BEF"/>
    <w:rsid w:val="00507CC9"/>
    <w:rsid w:val="005119A5"/>
    <w:rsid w:val="0052442F"/>
    <w:rsid w:val="005278B7"/>
    <w:rsid w:val="00532016"/>
    <w:rsid w:val="005346C8"/>
    <w:rsid w:val="0054150C"/>
    <w:rsid w:val="00543E7D"/>
    <w:rsid w:val="00546C8D"/>
    <w:rsid w:val="00547A68"/>
    <w:rsid w:val="00553001"/>
    <w:rsid w:val="005531C9"/>
    <w:rsid w:val="00570C43"/>
    <w:rsid w:val="005952F4"/>
    <w:rsid w:val="005B2110"/>
    <w:rsid w:val="005B473E"/>
    <w:rsid w:val="005B61E6"/>
    <w:rsid w:val="005C2FA6"/>
    <w:rsid w:val="005C77E1"/>
    <w:rsid w:val="005D668A"/>
    <w:rsid w:val="005D6A2F"/>
    <w:rsid w:val="005E1A82"/>
    <w:rsid w:val="005E794C"/>
    <w:rsid w:val="005F0A28"/>
    <w:rsid w:val="005F0E5E"/>
    <w:rsid w:val="00600535"/>
    <w:rsid w:val="00603EC9"/>
    <w:rsid w:val="00610CD6"/>
    <w:rsid w:val="00617568"/>
    <w:rsid w:val="00620DEE"/>
    <w:rsid w:val="00621F92"/>
    <w:rsid w:val="0062280A"/>
    <w:rsid w:val="00625639"/>
    <w:rsid w:val="00631B33"/>
    <w:rsid w:val="00631DF3"/>
    <w:rsid w:val="0063576E"/>
    <w:rsid w:val="0064184D"/>
    <w:rsid w:val="006422CC"/>
    <w:rsid w:val="006520B5"/>
    <w:rsid w:val="00660E3E"/>
    <w:rsid w:val="00662E74"/>
    <w:rsid w:val="00667919"/>
    <w:rsid w:val="00680C23"/>
    <w:rsid w:val="00681B1B"/>
    <w:rsid w:val="0068238E"/>
    <w:rsid w:val="00693766"/>
    <w:rsid w:val="006A22D5"/>
    <w:rsid w:val="006A3281"/>
    <w:rsid w:val="006A6CEE"/>
    <w:rsid w:val="006B4888"/>
    <w:rsid w:val="006C2E45"/>
    <w:rsid w:val="006C359C"/>
    <w:rsid w:val="006C4948"/>
    <w:rsid w:val="006C5579"/>
    <w:rsid w:val="006D06DB"/>
    <w:rsid w:val="006D6E8B"/>
    <w:rsid w:val="006E607F"/>
    <w:rsid w:val="006E737D"/>
    <w:rsid w:val="00702490"/>
    <w:rsid w:val="00713973"/>
    <w:rsid w:val="00720A24"/>
    <w:rsid w:val="00720CB0"/>
    <w:rsid w:val="00732386"/>
    <w:rsid w:val="0073514D"/>
    <w:rsid w:val="007447F3"/>
    <w:rsid w:val="0075499F"/>
    <w:rsid w:val="007645A3"/>
    <w:rsid w:val="007661C8"/>
    <w:rsid w:val="0077098D"/>
    <w:rsid w:val="007931FA"/>
    <w:rsid w:val="007A4861"/>
    <w:rsid w:val="007A7BBA"/>
    <w:rsid w:val="007B0C50"/>
    <w:rsid w:val="007B48F9"/>
    <w:rsid w:val="007B5D7B"/>
    <w:rsid w:val="007C1A43"/>
    <w:rsid w:val="0080013E"/>
    <w:rsid w:val="008107AF"/>
    <w:rsid w:val="00811DA0"/>
    <w:rsid w:val="00813288"/>
    <w:rsid w:val="00815B39"/>
    <w:rsid w:val="008168FC"/>
    <w:rsid w:val="0082301E"/>
    <w:rsid w:val="00830996"/>
    <w:rsid w:val="008345F1"/>
    <w:rsid w:val="00841D0C"/>
    <w:rsid w:val="00865B07"/>
    <w:rsid w:val="008667EA"/>
    <w:rsid w:val="0087637F"/>
    <w:rsid w:val="0088155C"/>
    <w:rsid w:val="00884523"/>
    <w:rsid w:val="00892AD5"/>
    <w:rsid w:val="008937FA"/>
    <w:rsid w:val="008A1512"/>
    <w:rsid w:val="008A3B66"/>
    <w:rsid w:val="008D3170"/>
    <w:rsid w:val="008D32B9"/>
    <w:rsid w:val="008D433B"/>
    <w:rsid w:val="008E566E"/>
    <w:rsid w:val="008E741B"/>
    <w:rsid w:val="008E7658"/>
    <w:rsid w:val="0090161A"/>
    <w:rsid w:val="00901EB6"/>
    <w:rsid w:val="00904C62"/>
    <w:rsid w:val="00922BA8"/>
    <w:rsid w:val="00924DAC"/>
    <w:rsid w:val="00927058"/>
    <w:rsid w:val="00941FAA"/>
    <w:rsid w:val="00942750"/>
    <w:rsid w:val="009450CE"/>
    <w:rsid w:val="00945CBE"/>
    <w:rsid w:val="00947179"/>
    <w:rsid w:val="0095164B"/>
    <w:rsid w:val="00954090"/>
    <w:rsid w:val="009573E7"/>
    <w:rsid w:val="00963E05"/>
    <w:rsid w:val="00964A45"/>
    <w:rsid w:val="00967843"/>
    <w:rsid w:val="00967D54"/>
    <w:rsid w:val="00971028"/>
    <w:rsid w:val="00986ED1"/>
    <w:rsid w:val="00993B84"/>
    <w:rsid w:val="00996483"/>
    <w:rsid w:val="00996F5A"/>
    <w:rsid w:val="009B041A"/>
    <w:rsid w:val="009C37C3"/>
    <w:rsid w:val="009C7C86"/>
    <w:rsid w:val="009D2FF7"/>
    <w:rsid w:val="009D62B5"/>
    <w:rsid w:val="009E44F1"/>
    <w:rsid w:val="009E7884"/>
    <w:rsid w:val="009E788A"/>
    <w:rsid w:val="009F0E08"/>
    <w:rsid w:val="009F1BFC"/>
    <w:rsid w:val="00A12745"/>
    <w:rsid w:val="00A1763D"/>
    <w:rsid w:val="00A17CEC"/>
    <w:rsid w:val="00A27EF0"/>
    <w:rsid w:val="00A300D4"/>
    <w:rsid w:val="00A3355A"/>
    <w:rsid w:val="00A42361"/>
    <w:rsid w:val="00A42463"/>
    <w:rsid w:val="00A44AA3"/>
    <w:rsid w:val="00A50B20"/>
    <w:rsid w:val="00A51390"/>
    <w:rsid w:val="00A60D13"/>
    <w:rsid w:val="00A72745"/>
    <w:rsid w:val="00A76EFC"/>
    <w:rsid w:val="00A80A61"/>
    <w:rsid w:val="00A91010"/>
    <w:rsid w:val="00A97F29"/>
    <w:rsid w:val="00AA702E"/>
    <w:rsid w:val="00AB04D2"/>
    <w:rsid w:val="00AB0964"/>
    <w:rsid w:val="00AB4281"/>
    <w:rsid w:val="00AB5011"/>
    <w:rsid w:val="00AB649E"/>
    <w:rsid w:val="00AC7368"/>
    <w:rsid w:val="00AD16B9"/>
    <w:rsid w:val="00AD1C47"/>
    <w:rsid w:val="00AE377D"/>
    <w:rsid w:val="00AE3D36"/>
    <w:rsid w:val="00AF0EBA"/>
    <w:rsid w:val="00B02C8A"/>
    <w:rsid w:val="00B17FBD"/>
    <w:rsid w:val="00B22A28"/>
    <w:rsid w:val="00B315A6"/>
    <w:rsid w:val="00B31813"/>
    <w:rsid w:val="00B33365"/>
    <w:rsid w:val="00B349F7"/>
    <w:rsid w:val="00B34B91"/>
    <w:rsid w:val="00B57B36"/>
    <w:rsid w:val="00B57E6F"/>
    <w:rsid w:val="00B811A4"/>
    <w:rsid w:val="00B8686D"/>
    <w:rsid w:val="00B93F69"/>
    <w:rsid w:val="00B945EC"/>
    <w:rsid w:val="00BA15AB"/>
    <w:rsid w:val="00BA4318"/>
    <w:rsid w:val="00BB1DDC"/>
    <w:rsid w:val="00BB598E"/>
    <w:rsid w:val="00BC30C9"/>
    <w:rsid w:val="00BD077D"/>
    <w:rsid w:val="00BE3E58"/>
    <w:rsid w:val="00BE718A"/>
    <w:rsid w:val="00BF1553"/>
    <w:rsid w:val="00C01616"/>
    <w:rsid w:val="00C0162B"/>
    <w:rsid w:val="00C068ED"/>
    <w:rsid w:val="00C22E0C"/>
    <w:rsid w:val="00C345B1"/>
    <w:rsid w:val="00C40142"/>
    <w:rsid w:val="00C45361"/>
    <w:rsid w:val="00C50864"/>
    <w:rsid w:val="00C52C3C"/>
    <w:rsid w:val="00C57182"/>
    <w:rsid w:val="00C57863"/>
    <w:rsid w:val="00C60B8B"/>
    <w:rsid w:val="00C655FD"/>
    <w:rsid w:val="00C70C0C"/>
    <w:rsid w:val="00C75407"/>
    <w:rsid w:val="00C870A8"/>
    <w:rsid w:val="00C94434"/>
    <w:rsid w:val="00CA0D75"/>
    <w:rsid w:val="00CA1C95"/>
    <w:rsid w:val="00CA2017"/>
    <w:rsid w:val="00CA5755"/>
    <w:rsid w:val="00CA5A9C"/>
    <w:rsid w:val="00CC4C20"/>
    <w:rsid w:val="00CC4EF5"/>
    <w:rsid w:val="00CD3517"/>
    <w:rsid w:val="00CD5FE2"/>
    <w:rsid w:val="00CE0AB5"/>
    <w:rsid w:val="00CE0E1A"/>
    <w:rsid w:val="00CE7C68"/>
    <w:rsid w:val="00CF3A1E"/>
    <w:rsid w:val="00CF3A75"/>
    <w:rsid w:val="00D02B4C"/>
    <w:rsid w:val="00D040C4"/>
    <w:rsid w:val="00D10CE6"/>
    <w:rsid w:val="00D20175"/>
    <w:rsid w:val="00D25869"/>
    <w:rsid w:val="00D31580"/>
    <w:rsid w:val="00D45F12"/>
    <w:rsid w:val="00D46B7E"/>
    <w:rsid w:val="00D52195"/>
    <w:rsid w:val="00D57C84"/>
    <w:rsid w:val="00D6057D"/>
    <w:rsid w:val="00D71640"/>
    <w:rsid w:val="00D836C5"/>
    <w:rsid w:val="00D84576"/>
    <w:rsid w:val="00DA1399"/>
    <w:rsid w:val="00DA24C6"/>
    <w:rsid w:val="00DA4D7B"/>
    <w:rsid w:val="00DC1040"/>
    <w:rsid w:val="00DE264A"/>
    <w:rsid w:val="00DF1CF9"/>
    <w:rsid w:val="00DF27C5"/>
    <w:rsid w:val="00DF5072"/>
    <w:rsid w:val="00DF51B2"/>
    <w:rsid w:val="00E02D18"/>
    <w:rsid w:val="00E041E7"/>
    <w:rsid w:val="00E13217"/>
    <w:rsid w:val="00E23CA1"/>
    <w:rsid w:val="00E37F4A"/>
    <w:rsid w:val="00E409A8"/>
    <w:rsid w:val="00E4307E"/>
    <w:rsid w:val="00E50C12"/>
    <w:rsid w:val="00E55437"/>
    <w:rsid w:val="00E61B67"/>
    <w:rsid w:val="00E65B91"/>
    <w:rsid w:val="00E7209D"/>
    <w:rsid w:val="00E72EAD"/>
    <w:rsid w:val="00E77223"/>
    <w:rsid w:val="00E77578"/>
    <w:rsid w:val="00E77B37"/>
    <w:rsid w:val="00E8528B"/>
    <w:rsid w:val="00E85B94"/>
    <w:rsid w:val="00E978D0"/>
    <w:rsid w:val="00EA4613"/>
    <w:rsid w:val="00EA7F91"/>
    <w:rsid w:val="00EB1523"/>
    <w:rsid w:val="00EC0E49"/>
    <w:rsid w:val="00EC101F"/>
    <w:rsid w:val="00EC1D9F"/>
    <w:rsid w:val="00ED31CE"/>
    <w:rsid w:val="00ED3852"/>
    <w:rsid w:val="00EE0131"/>
    <w:rsid w:val="00EE17B0"/>
    <w:rsid w:val="00EF06D9"/>
    <w:rsid w:val="00F04CE9"/>
    <w:rsid w:val="00F30C64"/>
    <w:rsid w:val="00F32BA2"/>
    <w:rsid w:val="00F32CDB"/>
    <w:rsid w:val="00F362C9"/>
    <w:rsid w:val="00F5032E"/>
    <w:rsid w:val="00F565FE"/>
    <w:rsid w:val="00F63A70"/>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aliases w:val="Figure Caption"/>
    <w:basedOn w:val="Normal"/>
    <w:next w:val="Normal"/>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MajorHeading">
    <w:name w:val="Major Heading"/>
    <w:basedOn w:val="Normal"/>
    <w:qFormat/>
    <w:rsid w:val="008A3B66"/>
    <w:pPr>
      <w:pageBreakBefore/>
      <w:tabs>
        <w:tab w:val="clear" w:pos="7100"/>
      </w:tabs>
      <w:spacing w:line="480" w:lineRule="auto"/>
      <w:jc w:val="center"/>
      <w:outlineLvl w:val="0"/>
    </w:pPr>
    <w:rPr>
      <w:rFonts w:ascii="Times New Roman" w:hAnsi="Times New Roman"/>
      <w:caps/>
      <w:sz w:val="24"/>
      <w:szCs w:val="24"/>
    </w:rPr>
  </w:style>
  <w:style w:type="character" w:styleId="PlaceholderText">
    <w:name w:val="Placeholder Text"/>
    <w:basedOn w:val="DefaultParagraphFont"/>
    <w:uiPriority w:val="99"/>
    <w:semiHidden/>
    <w:rsid w:val="00B811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3858</Words>
  <Characters>21994</Characters>
  <Application>Microsoft Office Word</Application>
  <DocSecurity>0</DocSecurity>
  <Lines>183</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Butch Bataller</cp:lastModifiedBy>
  <cp:revision>27</cp:revision>
  <cp:lastPrinted>2015-05-12T18:31:00Z</cp:lastPrinted>
  <dcterms:created xsi:type="dcterms:W3CDTF">2022-04-10T10:33:00Z</dcterms:created>
  <dcterms:modified xsi:type="dcterms:W3CDTF">2022-04-11T15:55:00Z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2b7fe30e-3e38-3937-8e38-7eec3df1549e</vt:lpwstr>
  </property>
  <property fmtid="{D5CDD505-2E9C-101B-9397-08002B2CF9AE}" pid="6" name="Mendeley Citation Style_1">
    <vt:lpwstr>http://www.zotero.org/styles/ieee</vt:lpwstr>
  </property>
  <property fmtid="{D5CDD505-2E9C-101B-9397-08002B2CF9AE}" pid="7" name="Mendeley Recent Style Id 0_1">
    <vt:lpwstr>http://www.zotero.org/styles/algal-research</vt:lpwstr>
  </property>
  <property fmtid="{D5CDD505-2E9C-101B-9397-08002B2CF9AE}" pid="8" name="Mendeley Recent Style Name 0_1">
    <vt:lpwstr>Algal Research</vt:lpwstr>
  </property>
  <property fmtid="{D5CDD505-2E9C-101B-9397-08002B2CF9AE}" pid="9" name="Mendeley Recent Style Id 1_1">
    <vt:lpwstr>http://www.zotero.org/styles/american-medical-association</vt:lpwstr>
  </property>
  <property fmtid="{D5CDD505-2E9C-101B-9397-08002B2CF9AE}" pid="10" name="Mendeley Recent Style Name 1_1">
    <vt:lpwstr>American Medical Association</vt:lpwstr>
  </property>
  <property fmtid="{D5CDD505-2E9C-101B-9397-08002B2CF9AE}" pid="11" name="Mendeley Recent Style Id 2_1">
    <vt:lpwstr>http://www.zotero.org/styles/american-political-science-association</vt:lpwstr>
  </property>
  <property fmtid="{D5CDD505-2E9C-101B-9397-08002B2CF9AE}" pid="12" name="Mendeley Recent Style Name 2_1">
    <vt:lpwstr>American Political Science Association</vt:lpwstr>
  </property>
  <property fmtid="{D5CDD505-2E9C-101B-9397-08002B2CF9AE}" pid="13" name="Mendeley Recent Style Id 3_1">
    <vt:lpwstr>http://www.zotero.org/styles/apa</vt:lpwstr>
  </property>
  <property fmtid="{D5CDD505-2E9C-101B-9397-08002B2CF9AE}" pid="14" name="Mendeley Recent Style Name 3_1">
    <vt:lpwstr>American Psychological Association 6th edition</vt:lpwstr>
  </property>
  <property fmtid="{D5CDD505-2E9C-101B-9397-08002B2CF9AE}" pid="15" name="Mendeley Recent Style Id 4_1">
    <vt:lpwstr>http://www.zotero.org/styles/american-sociological-association</vt:lpwstr>
  </property>
  <property fmtid="{D5CDD505-2E9C-101B-9397-08002B2CF9AE}" pid="16" name="Mendeley Recent Style Name 4_1">
    <vt:lpwstr>American Sociological Association</vt:lpwstr>
  </property>
  <property fmtid="{D5CDD505-2E9C-101B-9397-08002B2CF9AE}" pid="17" name="Mendeley Recent Style Id 5_1">
    <vt:lpwstr>http://www.zotero.org/styles/chicago-author-date</vt:lpwstr>
  </property>
  <property fmtid="{D5CDD505-2E9C-101B-9397-08002B2CF9AE}" pid="18" name="Mendeley Recent Style Name 5_1">
    <vt:lpwstr>Chicago Manual of Style 17th edition (author-date)</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