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 xml:space="preserve">Guest </w:t>
            </w:r>
            <w:proofErr w:type="spellStart"/>
            <w:r w:rsidRPr="0044071E">
              <w:rPr>
                <w:rFonts w:ascii="Tahoma" w:hAnsi="Tahoma" w:cs="Tahoma"/>
                <w:iCs/>
                <w:color w:val="333333"/>
                <w:sz w:val="14"/>
                <w:szCs w:val="14"/>
                <w:lang w:val="it-IT" w:eastAsia="it-IT"/>
              </w:rPr>
              <w:t>Editors</w:t>
            </w:r>
            <w:proofErr w:type="spellEnd"/>
            <w:r w:rsidRPr="0044071E">
              <w:rPr>
                <w:rFonts w:ascii="Tahoma" w:hAnsi="Tahoma" w:cs="Tahoma"/>
                <w:iCs/>
                <w:color w:val="333333"/>
                <w:sz w:val="14"/>
                <w:szCs w:val="14"/>
                <w:lang w:val="it-IT" w:eastAsia="it-IT"/>
              </w:rPr>
              <w:t>:</w:t>
            </w:r>
            <w:r w:rsidR="001D21AF" w:rsidRPr="0044071E">
              <w:rPr>
                <w:rFonts w:ascii="Tahoma" w:hAnsi="Tahoma" w:cs="Tahoma"/>
                <w:color w:val="000000"/>
                <w:sz w:val="14"/>
                <w:szCs w:val="14"/>
                <w:shd w:val="clear" w:color="auto" w:fill="FFFFFF"/>
                <w:lang w:val="it-IT"/>
              </w:rPr>
              <w:t xml:space="preserve"> Rubens </w:t>
            </w:r>
            <w:proofErr w:type="spellStart"/>
            <w:r w:rsidR="001D21AF" w:rsidRPr="0044071E">
              <w:rPr>
                <w:rFonts w:ascii="Tahoma" w:hAnsi="Tahoma" w:cs="Tahoma"/>
                <w:color w:val="000000"/>
                <w:sz w:val="14"/>
                <w:szCs w:val="14"/>
                <w:shd w:val="clear" w:color="auto" w:fill="FFFFFF"/>
                <w:lang w:val="it-IT"/>
              </w:rPr>
              <w:t>Maciel</w:t>
            </w:r>
            <w:proofErr w:type="spellEnd"/>
            <w:r w:rsidR="001D21AF" w:rsidRPr="0044071E">
              <w:rPr>
                <w:rFonts w:ascii="Tahoma" w:hAnsi="Tahoma" w:cs="Tahoma"/>
                <w:color w:val="000000"/>
                <w:sz w:val="14"/>
                <w:szCs w:val="14"/>
                <w:shd w:val="clear" w:color="auto" w:fill="FFFFFF"/>
                <w:lang w:val="it-IT"/>
              </w:rPr>
              <w:t xml:space="preserve"> </w:t>
            </w:r>
            <w:proofErr w:type="spellStart"/>
            <w:r w:rsidR="001D21AF" w:rsidRPr="0044071E">
              <w:rPr>
                <w:rFonts w:ascii="Tahoma" w:hAnsi="Tahoma" w:cs="Tahoma"/>
                <w:color w:val="000000"/>
                <w:sz w:val="14"/>
                <w:szCs w:val="14"/>
                <w:shd w:val="clear" w:color="auto" w:fill="FFFFFF"/>
                <w:lang w:val="it-IT"/>
              </w:rPr>
              <w:t>Filho</w:t>
            </w:r>
            <w:proofErr w:type="spellEnd"/>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xml:space="preserve">, Leonardo </w:t>
            </w:r>
            <w:proofErr w:type="spellStart"/>
            <w:r w:rsidR="00964A45">
              <w:rPr>
                <w:rFonts w:ascii="Tahoma" w:hAnsi="Tahoma" w:cs="Tahoma"/>
                <w:color w:val="000000"/>
                <w:sz w:val="14"/>
                <w:szCs w:val="14"/>
                <w:shd w:val="clear" w:color="auto" w:fill="FFFFFF"/>
                <w:lang w:val="it-IT"/>
              </w:rPr>
              <w:t>Tognotti</w:t>
            </w:r>
            <w:proofErr w:type="spellEnd"/>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27437B14" w:rsidR="00E978D0" w:rsidRPr="00B57B36" w:rsidRDefault="00352F22" w:rsidP="00E978D0">
      <w:pPr>
        <w:pStyle w:val="CETTitle"/>
      </w:pPr>
      <w:r>
        <w:t>Hydrothermal Liquefaction of Biomass using Waste Material as Catalyst: Effect on the Bio-crude Yield and Quality</w:t>
      </w:r>
    </w:p>
    <w:p w14:paraId="0488FED2" w14:textId="04FA7FA3" w:rsidR="00B57E6F" w:rsidRPr="009D5CA0" w:rsidRDefault="00352F22" w:rsidP="00B57E6F">
      <w:pPr>
        <w:pStyle w:val="CETAuthors"/>
        <w:rPr>
          <w:lang w:val="it-IT"/>
        </w:rPr>
      </w:pPr>
      <w:r w:rsidRPr="009D5CA0">
        <w:rPr>
          <w:lang w:val="it-IT"/>
        </w:rPr>
        <w:t>Benedetta de Caprariis, Martina Damizia, Lingyu Tai, Paolo De Filippis</w:t>
      </w:r>
    </w:p>
    <w:p w14:paraId="6B2D21B3" w14:textId="3969AF3D" w:rsidR="00B57E6F" w:rsidRPr="00B57B36" w:rsidRDefault="00B57E6F" w:rsidP="00B57E6F">
      <w:pPr>
        <w:pStyle w:val="CETAddress"/>
      </w:pPr>
      <w:r w:rsidRPr="00B57B36">
        <w:rPr>
          <w:vertAlign w:val="superscript"/>
        </w:rPr>
        <w:t>a</w:t>
      </w:r>
      <w:r w:rsidR="00352F22">
        <w:t>Department of Chemical Engineering, Sapienza University of Rome</w:t>
      </w:r>
      <w:r w:rsidRPr="00B57B36">
        <w:t xml:space="preserve"> </w:t>
      </w:r>
    </w:p>
    <w:p w14:paraId="73F1267A" w14:textId="7955C842" w:rsidR="00B57E6F" w:rsidRPr="00B57B36" w:rsidRDefault="00352F22" w:rsidP="00B57E6F">
      <w:pPr>
        <w:pStyle w:val="CETemail"/>
      </w:pPr>
      <w:r>
        <w:t>benedetta.decaprariis@uniroma1.it</w:t>
      </w:r>
    </w:p>
    <w:p w14:paraId="67734F8A" w14:textId="57DB71F6" w:rsidR="00C14389" w:rsidRPr="00313C10" w:rsidRDefault="00352F22" w:rsidP="00313C10">
      <w:pPr>
        <w:pStyle w:val="CETBodytext"/>
        <w:rPr>
          <w:lang w:val="en-GB"/>
        </w:rPr>
      </w:pPr>
      <w:r>
        <w:rPr>
          <w:lang w:val="en-GB"/>
        </w:rPr>
        <w:t>Hydrothermal liquefaction</w:t>
      </w:r>
      <w:r w:rsidR="00D73304">
        <w:rPr>
          <w:lang w:val="en-GB"/>
        </w:rPr>
        <w:t xml:space="preserve"> (HTL)</w:t>
      </w:r>
      <w:r w:rsidR="00F12F66">
        <w:rPr>
          <w:lang w:val="en-GB"/>
        </w:rPr>
        <w:t xml:space="preserve"> is one of the most promising </w:t>
      </w:r>
      <w:r w:rsidR="00EF618C">
        <w:rPr>
          <w:lang w:val="en-GB"/>
        </w:rPr>
        <w:t>technologies</w:t>
      </w:r>
      <w:r w:rsidR="00F12F66">
        <w:rPr>
          <w:lang w:val="en-GB"/>
        </w:rPr>
        <w:t xml:space="preserve"> to produce valuable compounds from biomass and waste.</w:t>
      </w:r>
      <w:r w:rsidR="00D159B9">
        <w:rPr>
          <w:lang w:val="en-GB"/>
        </w:rPr>
        <w:t xml:space="preserve"> </w:t>
      </w:r>
      <w:r w:rsidR="009D5CA0">
        <w:rPr>
          <w:lang w:val="en-GB"/>
        </w:rPr>
        <w:t xml:space="preserve">The use of water as solvent makes this process </w:t>
      </w:r>
      <w:r w:rsidR="00D159B9">
        <w:rPr>
          <w:lang w:val="en-GB"/>
        </w:rPr>
        <w:t xml:space="preserve">extremely convenient for high moisture feedstock </w:t>
      </w:r>
      <w:proofErr w:type="gramStart"/>
      <w:r w:rsidR="00D159B9">
        <w:rPr>
          <w:lang w:val="en-GB"/>
        </w:rPr>
        <w:t>and also</w:t>
      </w:r>
      <w:proofErr w:type="gramEnd"/>
      <w:r w:rsidR="00D159B9">
        <w:rPr>
          <w:lang w:val="en-GB"/>
        </w:rPr>
        <w:t xml:space="preserve"> environmentally</w:t>
      </w:r>
      <w:r w:rsidR="009D5CA0">
        <w:rPr>
          <w:lang w:val="en-GB"/>
        </w:rPr>
        <w:t xml:space="preserve"> sustainable</w:t>
      </w:r>
      <w:r w:rsidR="00D159B9">
        <w:rPr>
          <w:lang w:val="en-GB"/>
        </w:rPr>
        <w:t>. However</w:t>
      </w:r>
      <w:r w:rsidR="003A7D69">
        <w:rPr>
          <w:lang w:val="en-GB"/>
        </w:rPr>
        <w:t>,</w:t>
      </w:r>
      <w:r w:rsidR="00D159B9">
        <w:rPr>
          <w:lang w:val="en-GB"/>
        </w:rPr>
        <w:t xml:space="preserve"> the </w:t>
      </w:r>
      <w:r w:rsidR="00D10EF3">
        <w:rPr>
          <w:lang w:val="en-GB"/>
        </w:rPr>
        <w:t xml:space="preserve">obtained </w:t>
      </w:r>
      <w:r w:rsidR="003A7D69">
        <w:rPr>
          <w:lang w:val="en-GB"/>
        </w:rPr>
        <w:t>product</w:t>
      </w:r>
      <w:r w:rsidR="00D10EF3">
        <w:rPr>
          <w:lang w:val="en-GB"/>
        </w:rPr>
        <w:t>, the bio-crude,</w:t>
      </w:r>
      <w:r w:rsidR="003A7D69">
        <w:rPr>
          <w:lang w:val="en-GB"/>
        </w:rPr>
        <w:t xml:space="preserve"> </w:t>
      </w:r>
      <w:r w:rsidR="00EF618C">
        <w:rPr>
          <w:lang w:val="en-GB"/>
        </w:rPr>
        <w:t xml:space="preserve">is not ready to </w:t>
      </w:r>
      <w:r w:rsidR="00350144">
        <w:rPr>
          <w:lang w:val="en-GB"/>
        </w:rPr>
        <w:t xml:space="preserve">the </w:t>
      </w:r>
      <w:r w:rsidR="00EF618C">
        <w:rPr>
          <w:lang w:val="en-GB"/>
        </w:rPr>
        <w:t xml:space="preserve">end use, its oxygen content is quite high </w:t>
      </w:r>
      <w:r w:rsidR="003A7D69">
        <w:rPr>
          <w:lang w:val="en-GB"/>
        </w:rPr>
        <w:t>making</w:t>
      </w:r>
      <w:r w:rsidR="00350144">
        <w:rPr>
          <w:lang w:val="en-GB"/>
        </w:rPr>
        <w:t xml:space="preserve"> the oil physically and chemically instable</w:t>
      </w:r>
      <w:r w:rsidR="003A7D69">
        <w:rPr>
          <w:lang w:val="en-GB"/>
        </w:rPr>
        <w:t xml:space="preserve"> and thus difficult to handle and store. The use of heterogeneous catalysts and h</w:t>
      </w:r>
      <w:r w:rsidR="00313C10">
        <w:rPr>
          <w:lang w:val="en-GB"/>
        </w:rPr>
        <w:t>ydrogen producer</w:t>
      </w:r>
      <w:r w:rsidR="00D10EF3">
        <w:rPr>
          <w:lang w:val="en-GB"/>
        </w:rPr>
        <w:t>s</w:t>
      </w:r>
      <w:r w:rsidR="003A7D69">
        <w:rPr>
          <w:lang w:val="en-GB"/>
        </w:rPr>
        <w:t xml:space="preserve"> can improve the product quality during the hydrothermal process </w:t>
      </w:r>
      <w:r w:rsidR="00313C10">
        <w:rPr>
          <w:lang w:val="en-GB"/>
        </w:rPr>
        <w:t xml:space="preserve">being also easy to be separated and recirculated. </w:t>
      </w:r>
      <w:bookmarkStart w:id="0" w:name="_Hlk495475023"/>
      <w:r w:rsidR="00313C10">
        <w:rPr>
          <w:lang w:val="en-GB"/>
        </w:rPr>
        <w:t>In this work the use of reduced red mud acting as hydrogen producer is tested in the hydrothermal process</w:t>
      </w:r>
      <w:r w:rsidR="00D10EF3">
        <w:rPr>
          <w:lang w:val="en-GB"/>
        </w:rPr>
        <w:t xml:space="preserve"> of oak wood</w:t>
      </w:r>
      <w:r w:rsidR="00313C10">
        <w:rPr>
          <w:lang w:val="en-GB"/>
        </w:rPr>
        <w:t>. Red mud is composed mainly by Fe</w:t>
      </w:r>
      <w:r w:rsidR="00313C10" w:rsidRPr="00D10EF3">
        <w:rPr>
          <w:vertAlign w:val="subscript"/>
          <w:lang w:val="en-GB"/>
        </w:rPr>
        <w:t>2</w:t>
      </w:r>
      <w:r w:rsidR="00313C10">
        <w:rPr>
          <w:lang w:val="en-GB"/>
        </w:rPr>
        <w:t>O</w:t>
      </w:r>
      <w:r w:rsidR="00313C10" w:rsidRPr="00D10EF3">
        <w:rPr>
          <w:vertAlign w:val="subscript"/>
          <w:lang w:val="en-GB"/>
        </w:rPr>
        <w:t>3</w:t>
      </w:r>
      <w:r w:rsidR="00313C10">
        <w:rPr>
          <w:lang w:val="en-GB"/>
        </w:rPr>
        <w:t xml:space="preserve"> that was reduced with the char produced</w:t>
      </w:r>
      <w:r w:rsidR="00D10EF3">
        <w:rPr>
          <w:lang w:val="en-GB"/>
        </w:rPr>
        <w:t xml:space="preserve"> by HTL and by a simulated syngas which is obtained from char gasification.</w:t>
      </w:r>
      <w:r w:rsidR="00313C10">
        <w:rPr>
          <w:lang w:val="en-GB"/>
        </w:rPr>
        <w:t xml:space="preserve"> </w:t>
      </w:r>
      <w:r w:rsidR="00D10EF3">
        <w:rPr>
          <w:lang w:val="en-GB"/>
        </w:rPr>
        <w:t>The reduced red mud was</w:t>
      </w:r>
      <w:r w:rsidR="00313C10">
        <w:rPr>
          <w:lang w:val="en-GB"/>
        </w:rPr>
        <w:t xml:space="preserve"> mixed with the biomass and fed into the HTL batch reactor with</w:t>
      </w:r>
      <w:bookmarkEnd w:id="0"/>
      <w:r w:rsidR="00313C10">
        <w:rPr>
          <w:lang w:val="en-GB"/>
        </w:rPr>
        <w:t xml:space="preserve"> variable red mud biomass ratio. </w:t>
      </w:r>
      <w:r w:rsidR="00B820E0">
        <w:rPr>
          <w:lang w:val="en-GB"/>
        </w:rPr>
        <w:t>T</w:t>
      </w:r>
      <w:r w:rsidR="00D73304">
        <w:rPr>
          <w:lang w:val="en-GB"/>
        </w:rPr>
        <w:t xml:space="preserve">he </w:t>
      </w:r>
      <w:r w:rsidR="00B820E0">
        <w:rPr>
          <w:lang w:val="en-GB"/>
        </w:rPr>
        <w:t xml:space="preserve">reduction </w:t>
      </w:r>
      <w:r w:rsidR="00D73304">
        <w:rPr>
          <w:lang w:val="en-GB"/>
        </w:rPr>
        <w:t xml:space="preserve">temperature was optimized </w:t>
      </w:r>
      <w:proofErr w:type="gramStart"/>
      <w:r w:rsidR="00D73304">
        <w:rPr>
          <w:lang w:val="en-GB"/>
        </w:rPr>
        <w:t>in order to</w:t>
      </w:r>
      <w:proofErr w:type="gramEnd"/>
      <w:r w:rsidR="00D73304">
        <w:rPr>
          <w:lang w:val="en-GB"/>
        </w:rPr>
        <w:t xml:space="preserve"> obtain zero valent Fe able to produce hydrogen reacting with water in HTL conditions. </w:t>
      </w:r>
      <w:r w:rsidR="00313C10">
        <w:rPr>
          <w:lang w:val="en-GB"/>
        </w:rPr>
        <w:t xml:space="preserve">The tests were conducted </w:t>
      </w:r>
      <w:r w:rsidR="00D73304">
        <w:rPr>
          <w:lang w:val="en-GB"/>
        </w:rPr>
        <w:t xml:space="preserve">at 330 °C with a reaction time of 10 min. The obtained bio-crude was characterized with elemental analysis. The results in terms of oil yield and quality were compared with those obtained with pure iron powder showing that red mud can be used </w:t>
      </w:r>
      <w:r w:rsidR="008242C6">
        <w:rPr>
          <w:lang w:val="en-GB"/>
        </w:rPr>
        <w:t xml:space="preserve">successfully as hydrogen producer in HTL process </w:t>
      </w:r>
      <w:r w:rsidR="00C14389">
        <w:rPr>
          <w:lang w:val="en-GB"/>
        </w:rPr>
        <w:t>and recycled after its reduction with char</w:t>
      </w:r>
      <w:r w:rsidR="00B820E0">
        <w:rPr>
          <w:lang w:val="en-GB"/>
        </w:rPr>
        <w:t xml:space="preserve"> or syngas</w:t>
      </w:r>
      <w:r w:rsidR="00C14389">
        <w:rPr>
          <w:lang w:val="en-GB"/>
        </w:rPr>
        <w:t xml:space="preserve">. </w:t>
      </w:r>
      <w:r w:rsidR="00B820E0">
        <w:rPr>
          <w:lang w:val="en-GB"/>
        </w:rPr>
        <w:t>The use of</w:t>
      </w:r>
      <w:r w:rsidR="00C14389">
        <w:rPr>
          <w:lang w:val="en-GB"/>
        </w:rPr>
        <w:t xml:space="preserve"> red mud le</w:t>
      </w:r>
      <w:r w:rsidR="00B820E0">
        <w:rPr>
          <w:lang w:val="en-GB"/>
        </w:rPr>
        <w:t>a</w:t>
      </w:r>
      <w:r w:rsidR="00C14389">
        <w:rPr>
          <w:lang w:val="en-GB"/>
        </w:rPr>
        <w:t>d</w:t>
      </w:r>
      <w:r w:rsidR="00B820E0">
        <w:rPr>
          <w:lang w:val="en-GB"/>
        </w:rPr>
        <w:t>s</w:t>
      </w:r>
      <w:r w:rsidR="00C14389">
        <w:rPr>
          <w:lang w:val="en-GB"/>
        </w:rPr>
        <w:t xml:space="preserve"> to an increase of the oil yield of </w:t>
      </w:r>
      <w:r w:rsidR="00657FA3">
        <w:rPr>
          <w:lang w:val="en-GB"/>
        </w:rPr>
        <w:t>20</w:t>
      </w:r>
      <w:r w:rsidR="00C14389">
        <w:rPr>
          <w:lang w:val="en-GB"/>
        </w:rPr>
        <w:t xml:space="preserve">% with respect to the blank test and looking at the oil composition the hydrogenation effect is evident, </w:t>
      </w:r>
      <w:r w:rsidR="00657FA3">
        <w:rPr>
          <w:lang w:val="en-GB"/>
        </w:rPr>
        <w:t>the amount of hydrogen increase</w:t>
      </w:r>
      <w:r w:rsidR="00B820E0">
        <w:rPr>
          <w:lang w:val="en-GB"/>
        </w:rPr>
        <w:t>s</w:t>
      </w:r>
      <w:r w:rsidR="00657FA3">
        <w:rPr>
          <w:lang w:val="en-GB"/>
        </w:rPr>
        <w:t xml:space="preserve"> while the amount of oxygen decrease</w:t>
      </w:r>
      <w:r w:rsidR="00B820E0">
        <w:rPr>
          <w:lang w:val="en-GB"/>
        </w:rPr>
        <w:t>s</w:t>
      </w:r>
      <w:r w:rsidR="005F7C1A">
        <w:rPr>
          <w:lang w:val="en-GB"/>
        </w:rPr>
        <w:t>.</w:t>
      </w:r>
    </w:p>
    <w:p w14:paraId="476B2F2E" w14:textId="77777777" w:rsidR="00600535" w:rsidRPr="00B57B36" w:rsidRDefault="00600535" w:rsidP="00600535">
      <w:pPr>
        <w:pStyle w:val="CETHeading1"/>
        <w:rPr>
          <w:lang w:val="en-GB"/>
        </w:rPr>
      </w:pPr>
      <w:r w:rsidRPr="00B57B36">
        <w:rPr>
          <w:lang w:val="en-GB"/>
        </w:rPr>
        <w:t>Introduction</w:t>
      </w:r>
    </w:p>
    <w:p w14:paraId="0A2449C8" w14:textId="62D56BC8" w:rsidR="00EF61D6" w:rsidRDefault="00EF61D6" w:rsidP="00600535">
      <w:pPr>
        <w:pStyle w:val="CETBodytext"/>
        <w:rPr>
          <w:lang w:val="en-GB"/>
        </w:rPr>
      </w:pPr>
      <w:r>
        <w:rPr>
          <w:lang w:val="en-GB"/>
        </w:rPr>
        <w:t>The increasing interest towards biofuels and green chemical compounds has driven the development of renewable process</w:t>
      </w:r>
      <w:r w:rsidR="006921B2">
        <w:rPr>
          <w:lang w:val="en-GB"/>
        </w:rPr>
        <w:t>es</w:t>
      </w:r>
      <w:r>
        <w:rPr>
          <w:lang w:val="en-GB"/>
        </w:rPr>
        <w:t xml:space="preserve"> in </w:t>
      </w:r>
      <w:r w:rsidR="000A59D7">
        <w:rPr>
          <w:lang w:val="en-GB"/>
        </w:rPr>
        <w:t>this decade</w:t>
      </w:r>
      <w:r>
        <w:rPr>
          <w:lang w:val="en-GB"/>
        </w:rPr>
        <w:t xml:space="preserve">. </w:t>
      </w:r>
      <w:r w:rsidR="00E932F8">
        <w:rPr>
          <w:lang w:val="en-GB"/>
        </w:rPr>
        <w:t xml:space="preserve">Many renewable processes are now ready to be industrialized </w:t>
      </w:r>
      <w:r w:rsidR="006921B2">
        <w:rPr>
          <w:lang w:val="en-GB"/>
        </w:rPr>
        <w:t xml:space="preserve">however the </w:t>
      </w:r>
      <w:r w:rsidR="00713A72">
        <w:rPr>
          <w:lang w:val="en-GB"/>
        </w:rPr>
        <w:t xml:space="preserve">development of processes </w:t>
      </w:r>
      <w:r w:rsidR="00F179A2">
        <w:rPr>
          <w:lang w:val="en-GB"/>
        </w:rPr>
        <w:t>to produce</w:t>
      </w:r>
      <w:r w:rsidR="006921B2">
        <w:rPr>
          <w:lang w:val="en-GB"/>
        </w:rPr>
        <w:t xml:space="preserve"> liquid biofuels to be used in the transportation sector is not straightforward.</w:t>
      </w:r>
      <w:r w:rsidR="00865E21">
        <w:rPr>
          <w:lang w:val="en-GB"/>
        </w:rPr>
        <w:t xml:space="preserve"> </w:t>
      </w:r>
      <w:r w:rsidR="00F179A2">
        <w:rPr>
          <w:lang w:val="en-GB"/>
        </w:rPr>
        <w:t>Only ethanol and hydrocarbons from vegetable oil</w:t>
      </w:r>
      <w:r w:rsidR="00377F38">
        <w:rPr>
          <w:lang w:val="en-GB"/>
        </w:rPr>
        <w:t>s</w:t>
      </w:r>
      <w:r w:rsidR="00F179A2">
        <w:rPr>
          <w:lang w:val="en-GB"/>
        </w:rPr>
        <w:t xml:space="preserve"> are produced in industrial scale plants and used as fuels. Liquid biofuel</w:t>
      </w:r>
      <w:r w:rsidR="00377F38">
        <w:rPr>
          <w:lang w:val="en-GB"/>
        </w:rPr>
        <w:t>s</w:t>
      </w:r>
      <w:r w:rsidR="00F179A2">
        <w:rPr>
          <w:lang w:val="en-GB"/>
        </w:rPr>
        <w:t xml:space="preserve"> will be fundamental to respect the </w:t>
      </w:r>
      <w:r w:rsidR="00377F38">
        <w:rPr>
          <w:lang w:val="en-GB"/>
        </w:rPr>
        <w:t>European Commission strategy which foresees zero CO</w:t>
      </w:r>
      <w:r w:rsidR="00377F38" w:rsidRPr="008F5DAA">
        <w:rPr>
          <w:vertAlign w:val="subscript"/>
          <w:lang w:val="en-GB"/>
        </w:rPr>
        <w:t>2</w:t>
      </w:r>
      <w:r w:rsidR="00377F38">
        <w:rPr>
          <w:lang w:val="en-GB"/>
        </w:rPr>
        <w:t xml:space="preserve"> emissions by 2050. While the road transportation sector can </w:t>
      </w:r>
      <w:r w:rsidR="001821F1">
        <w:rPr>
          <w:lang w:val="en-GB"/>
        </w:rPr>
        <w:t>rely</w:t>
      </w:r>
      <w:r w:rsidR="00377F38">
        <w:rPr>
          <w:lang w:val="en-GB"/>
        </w:rPr>
        <w:t xml:space="preserve"> on the development of the batteries and of the hydrogen to be fed to fuel cells to lower the CO</w:t>
      </w:r>
      <w:r w:rsidR="00377F38" w:rsidRPr="008F5DAA">
        <w:rPr>
          <w:vertAlign w:val="subscript"/>
          <w:lang w:val="en-GB"/>
        </w:rPr>
        <w:t>2</w:t>
      </w:r>
      <w:r w:rsidR="00377F38">
        <w:rPr>
          <w:lang w:val="en-GB"/>
        </w:rPr>
        <w:t xml:space="preserve"> emissions, the </w:t>
      </w:r>
      <w:r w:rsidR="001821F1">
        <w:rPr>
          <w:lang w:val="en-GB"/>
        </w:rPr>
        <w:t>aviation sector cannot abandon liquid fuels</w:t>
      </w:r>
      <w:r w:rsidR="00F244EF">
        <w:rPr>
          <w:lang w:val="en-GB"/>
        </w:rPr>
        <w:t xml:space="preserve"> and thus alternatives to fossil </w:t>
      </w:r>
      <w:r w:rsidR="000A59D7">
        <w:rPr>
          <w:lang w:val="en-GB"/>
        </w:rPr>
        <w:t>ones</w:t>
      </w:r>
      <w:r w:rsidR="00F244EF">
        <w:rPr>
          <w:lang w:val="en-GB"/>
        </w:rPr>
        <w:t xml:space="preserve"> </w:t>
      </w:r>
      <w:proofErr w:type="gramStart"/>
      <w:r w:rsidR="00F244EF">
        <w:rPr>
          <w:lang w:val="en-GB"/>
        </w:rPr>
        <w:t>have to</w:t>
      </w:r>
      <w:proofErr w:type="gramEnd"/>
      <w:r w:rsidR="00F244EF">
        <w:rPr>
          <w:lang w:val="en-GB"/>
        </w:rPr>
        <w:t xml:space="preserve"> be found. In this context hydrothermal liquefaction able to convert biomass and waste into bio-crude can be a viable solution. </w:t>
      </w:r>
      <w:r w:rsidR="00F17DF3">
        <w:rPr>
          <w:lang w:val="en-GB"/>
        </w:rPr>
        <w:t>Continuous pilot scale plants are under development in the last years (Rizzo et al, 2020; Castello et al., 2018</w:t>
      </w:r>
      <w:proofErr w:type="gramStart"/>
      <w:r w:rsidR="00F17DF3">
        <w:rPr>
          <w:lang w:val="en-GB"/>
        </w:rPr>
        <w:t>) .</w:t>
      </w:r>
      <w:proofErr w:type="gramEnd"/>
      <w:r w:rsidR="00F17DF3">
        <w:rPr>
          <w:lang w:val="en-GB"/>
        </w:rPr>
        <w:t xml:space="preserve"> </w:t>
      </w:r>
      <w:r w:rsidR="00F244EF">
        <w:rPr>
          <w:lang w:val="en-GB"/>
        </w:rPr>
        <w:t xml:space="preserve">Subcritical HTL process works at medium temperature (250-350 °C) and high pressure (7-20 MPa) using water in subcritical liquid state as solvent. </w:t>
      </w:r>
      <w:r w:rsidR="006D760D">
        <w:rPr>
          <w:lang w:val="en-GB"/>
        </w:rPr>
        <w:t xml:space="preserve">The advantages are linked to the presence of water which allows </w:t>
      </w:r>
      <w:r w:rsidR="000A59D7">
        <w:rPr>
          <w:lang w:val="en-GB"/>
        </w:rPr>
        <w:t xml:space="preserve">the use of </w:t>
      </w:r>
      <w:r w:rsidR="006D760D">
        <w:rPr>
          <w:lang w:val="en-GB"/>
        </w:rPr>
        <w:t>high moisture feedstocks such as sludges, organic fraction of waste and others and which acts as solvent but also re</w:t>
      </w:r>
      <w:r w:rsidR="008F5DAA">
        <w:rPr>
          <w:lang w:val="en-GB"/>
        </w:rPr>
        <w:t>a</w:t>
      </w:r>
      <w:r w:rsidR="006D760D">
        <w:rPr>
          <w:lang w:val="en-GB"/>
        </w:rPr>
        <w:t xml:space="preserve">gent into the process. Water, in fact, in the HTL conditions changes its properties, the dielectric constant and the </w:t>
      </w:r>
      <w:r w:rsidR="000A59D7">
        <w:rPr>
          <w:lang w:val="en-GB"/>
        </w:rPr>
        <w:t>viscosity decrease making it a perfect solvent for organic compounds and a good medium for mass transfer process</w:t>
      </w:r>
      <w:r w:rsidR="00B820E0">
        <w:rPr>
          <w:lang w:val="en-GB"/>
        </w:rPr>
        <w:t>es</w:t>
      </w:r>
      <w:r w:rsidR="000A59D7">
        <w:rPr>
          <w:lang w:val="en-GB"/>
        </w:rPr>
        <w:t xml:space="preserve">, furthermore its ionic product increases </w:t>
      </w:r>
      <w:r w:rsidR="00B820E0">
        <w:rPr>
          <w:lang w:val="en-GB"/>
        </w:rPr>
        <w:t>giving</w:t>
      </w:r>
      <w:r w:rsidR="000A59D7">
        <w:rPr>
          <w:lang w:val="en-GB"/>
        </w:rPr>
        <w:t xml:space="preserve"> to water a catalyst function in acid/base</w:t>
      </w:r>
      <w:r w:rsidR="00B64DD2">
        <w:rPr>
          <w:lang w:val="en-GB"/>
        </w:rPr>
        <w:t xml:space="preserve"> catalysed organic reactions</w:t>
      </w:r>
      <w:r w:rsidR="00B820E0">
        <w:rPr>
          <w:lang w:val="en-GB"/>
        </w:rPr>
        <w:t xml:space="preserve"> </w:t>
      </w:r>
      <w:r w:rsidR="00627183">
        <w:rPr>
          <w:lang w:val="en-GB"/>
        </w:rPr>
        <w:t>(</w:t>
      </w:r>
      <w:proofErr w:type="spellStart"/>
      <w:r w:rsidR="0091382F">
        <w:rPr>
          <w:lang w:val="en-GB"/>
        </w:rPr>
        <w:t>Gallakota</w:t>
      </w:r>
      <w:proofErr w:type="spellEnd"/>
      <w:r w:rsidR="0091382F">
        <w:rPr>
          <w:lang w:val="en-GB"/>
        </w:rPr>
        <w:t xml:space="preserve"> et al., 2018)</w:t>
      </w:r>
      <w:r w:rsidR="00B64DD2">
        <w:rPr>
          <w:lang w:val="en-GB"/>
        </w:rPr>
        <w:t xml:space="preserve">. However, the quality of the produced bio-crude is not acceptable, mainly due to its high oxygen content which leads to low heating value </w:t>
      </w:r>
      <w:proofErr w:type="gramStart"/>
      <w:r w:rsidR="00B64DD2">
        <w:rPr>
          <w:lang w:val="en-GB"/>
        </w:rPr>
        <w:t>and also</w:t>
      </w:r>
      <w:proofErr w:type="gramEnd"/>
      <w:r w:rsidR="00B64DD2">
        <w:rPr>
          <w:lang w:val="en-GB"/>
        </w:rPr>
        <w:t xml:space="preserve"> to high instability and high viscosity. The bio-crude up-grading </w:t>
      </w:r>
      <w:r w:rsidR="00B64DD2">
        <w:rPr>
          <w:lang w:val="en-GB"/>
        </w:rPr>
        <w:lastRenderedPageBreak/>
        <w:t xml:space="preserve">to make the product suitable for its final use </w:t>
      </w:r>
      <w:r w:rsidR="00226AD5">
        <w:rPr>
          <w:lang w:val="en-GB"/>
        </w:rPr>
        <w:t>is usually made with high hydrogen pressure in a hydrodeoxygenation reactor. To lower the amount of hydrogen needed in the up-grading and produc</w:t>
      </w:r>
      <w:r w:rsidR="0091382F">
        <w:rPr>
          <w:lang w:val="en-GB"/>
        </w:rPr>
        <w:t>e</w:t>
      </w:r>
      <w:r w:rsidR="00226AD5">
        <w:rPr>
          <w:lang w:val="en-GB"/>
        </w:rPr>
        <w:t xml:space="preserve"> directly in the HTL a stable bio-crude which can be eventually stored and transported</w:t>
      </w:r>
      <w:r w:rsidR="0091382F">
        <w:rPr>
          <w:lang w:val="en-GB"/>
        </w:rPr>
        <w:t>,</w:t>
      </w:r>
      <w:r w:rsidR="00226AD5">
        <w:rPr>
          <w:lang w:val="en-GB"/>
        </w:rPr>
        <w:t xml:space="preserve"> the use of hydrogen producers and catalyst is mandatory. </w:t>
      </w:r>
      <w:r w:rsidR="00205260">
        <w:rPr>
          <w:lang w:val="en-GB"/>
        </w:rPr>
        <w:t xml:space="preserve">Many homogeneous </w:t>
      </w:r>
      <w:r w:rsidR="00E81EFF">
        <w:rPr>
          <w:lang w:val="en-GB"/>
        </w:rPr>
        <w:t xml:space="preserve">hydrogen donors and </w:t>
      </w:r>
      <w:r w:rsidR="00205260">
        <w:rPr>
          <w:lang w:val="en-GB"/>
        </w:rPr>
        <w:t>catalysts</w:t>
      </w:r>
      <w:r w:rsidR="00E81EFF">
        <w:rPr>
          <w:lang w:val="en-GB"/>
        </w:rPr>
        <w:t xml:space="preserve"> such as fo</w:t>
      </w:r>
      <w:r w:rsidR="000D29C5">
        <w:rPr>
          <w:lang w:val="en-GB"/>
        </w:rPr>
        <w:t>r</w:t>
      </w:r>
      <w:r w:rsidR="00E81EFF">
        <w:rPr>
          <w:lang w:val="en-GB"/>
        </w:rPr>
        <w:t>mic acid, ethanol, NaOH, K</w:t>
      </w:r>
      <w:r w:rsidR="00E81EFF" w:rsidRPr="008F5DAA">
        <w:rPr>
          <w:vertAlign w:val="subscript"/>
          <w:lang w:val="en-GB"/>
        </w:rPr>
        <w:t>2</w:t>
      </w:r>
      <w:r w:rsidR="00E81EFF">
        <w:rPr>
          <w:lang w:val="en-GB"/>
        </w:rPr>
        <w:t>CO</w:t>
      </w:r>
      <w:r w:rsidR="00E81EFF" w:rsidRPr="008F5DAA">
        <w:rPr>
          <w:vertAlign w:val="subscript"/>
          <w:lang w:val="en-GB"/>
        </w:rPr>
        <w:t>3</w:t>
      </w:r>
      <w:r w:rsidR="00E81EFF">
        <w:rPr>
          <w:lang w:val="en-GB"/>
        </w:rPr>
        <w:t xml:space="preserve"> and KOH</w:t>
      </w:r>
      <w:r w:rsidR="00205260">
        <w:rPr>
          <w:lang w:val="en-GB"/>
        </w:rPr>
        <w:t xml:space="preserve"> have been use</w:t>
      </w:r>
      <w:r w:rsidR="00E81EFF">
        <w:rPr>
          <w:lang w:val="en-GB"/>
        </w:rPr>
        <w:t>d</w:t>
      </w:r>
      <w:r w:rsidR="00205260">
        <w:rPr>
          <w:lang w:val="en-GB"/>
        </w:rPr>
        <w:t xml:space="preserve"> in HTL to increase oil yield</w:t>
      </w:r>
      <w:r w:rsidR="00E81EFF">
        <w:rPr>
          <w:lang w:val="en-GB"/>
        </w:rPr>
        <w:t xml:space="preserve"> and quality</w:t>
      </w:r>
      <w:r w:rsidR="00205260">
        <w:rPr>
          <w:lang w:val="en-GB"/>
        </w:rPr>
        <w:t xml:space="preserve"> </w:t>
      </w:r>
      <w:r w:rsidR="00E81EFF">
        <w:rPr>
          <w:lang w:val="en-GB"/>
        </w:rPr>
        <w:t>however it is impossible to recover them making the water a difficult waste to treat</w:t>
      </w:r>
      <w:r w:rsidR="0091382F">
        <w:rPr>
          <w:lang w:val="en-GB"/>
        </w:rPr>
        <w:t xml:space="preserve"> (Nagappan et al., 2021)</w:t>
      </w:r>
      <w:r w:rsidR="00E81EFF">
        <w:rPr>
          <w:lang w:val="en-GB"/>
        </w:rPr>
        <w:t xml:space="preserve">. </w:t>
      </w:r>
      <w:r w:rsidR="000C656F">
        <w:rPr>
          <w:lang w:val="en-GB"/>
        </w:rPr>
        <w:t xml:space="preserve">The presence of hydrogen during the HTL is fundamental to increase the oil yield avoiding the repolymerization of the formed fragments into char and to make the oil more stable by the hydrodeoxygenation reactions. </w:t>
      </w:r>
      <w:r w:rsidR="00E81EFF">
        <w:rPr>
          <w:lang w:val="en-GB"/>
        </w:rPr>
        <w:t xml:space="preserve">Heterogeneous hydrogen </w:t>
      </w:r>
      <w:r w:rsidR="000C656F">
        <w:rPr>
          <w:lang w:val="en-GB"/>
        </w:rPr>
        <w:t>producers</w:t>
      </w:r>
      <w:r w:rsidR="00E81EFF">
        <w:rPr>
          <w:lang w:val="en-GB"/>
        </w:rPr>
        <w:t xml:space="preserve"> </w:t>
      </w:r>
      <w:r w:rsidR="003C3FB4">
        <w:rPr>
          <w:lang w:val="en-GB"/>
        </w:rPr>
        <w:t>such as zero valent metals (ZVM) are good candidate to produce hydrogen into the HTL reactor, ZVM reacts with water to be oxidized producing active hydrogen. In authors previous work, it was demonstrated that Fe and Zn act as hydrogen donors increasing the oil yield and quality consistently</w:t>
      </w:r>
      <w:r w:rsidR="00F54041">
        <w:rPr>
          <w:lang w:val="en-GB"/>
        </w:rPr>
        <w:t xml:space="preserve"> (Tai et al, 2021)</w:t>
      </w:r>
      <w:r w:rsidR="003C3FB4">
        <w:rPr>
          <w:lang w:val="en-GB"/>
        </w:rPr>
        <w:t xml:space="preserve">. </w:t>
      </w:r>
      <w:r w:rsidR="00732ADE">
        <w:rPr>
          <w:lang w:val="en-GB"/>
        </w:rPr>
        <w:t>The use of pure metals can affect considerably the price of the process so it can be interesting to use as source of ZVM a waste stream. Red mud is a waste generated from the bauxite production rich in Fe</w:t>
      </w:r>
      <w:r w:rsidR="00732ADE" w:rsidRPr="00F54041">
        <w:rPr>
          <w:vertAlign w:val="subscript"/>
          <w:lang w:val="en-GB"/>
        </w:rPr>
        <w:t>2</w:t>
      </w:r>
      <w:r w:rsidR="00732ADE">
        <w:rPr>
          <w:lang w:val="en-GB"/>
        </w:rPr>
        <w:t>O</w:t>
      </w:r>
      <w:r w:rsidR="00732ADE" w:rsidRPr="00F54041">
        <w:rPr>
          <w:vertAlign w:val="subscript"/>
          <w:lang w:val="en-GB"/>
        </w:rPr>
        <w:t>3</w:t>
      </w:r>
      <w:r w:rsidR="00732ADE">
        <w:rPr>
          <w:lang w:val="en-GB"/>
        </w:rPr>
        <w:t xml:space="preserve"> (more than 60 % depending on the type of red mud) and thus suitable to be used as substitute of Fe in HTL. </w:t>
      </w:r>
      <w:r w:rsidR="00F54041">
        <w:rPr>
          <w:lang w:val="en-GB"/>
        </w:rPr>
        <w:t>Red mud was already employed in HTL</w:t>
      </w:r>
      <w:r w:rsidR="00C46C0B">
        <w:rPr>
          <w:lang w:val="en-GB"/>
        </w:rPr>
        <w:t xml:space="preserve"> as catalyst to enhance bio-crude yield and quality by </w:t>
      </w:r>
      <w:r w:rsidR="000D29C5">
        <w:rPr>
          <w:lang w:val="en-GB"/>
        </w:rPr>
        <w:t xml:space="preserve">few </w:t>
      </w:r>
      <w:r w:rsidR="00C46C0B">
        <w:rPr>
          <w:lang w:val="en-GB"/>
        </w:rPr>
        <w:t>authors</w:t>
      </w:r>
      <w:r w:rsidR="000D29C5">
        <w:rPr>
          <w:lang w:val="en-GB"/>
        </w:rPr>
        <w:t xml:space="preserve"> however its action as hydrogen producer was never explored (Rahman et al., 2021). </w:t>
      </w:r>
      <w:proofErr w:type="spellStart"/>
      <w:r w:rsidR="00DB06C9">
        <w:rPr>
          <w:lang w:val="en-GB"/>
        </w:rPr>
        <w:t>Saral</w:t>
      </w:r>
      <w:proofErr w:type="spellEnd"/>
      <w:r w:rsidR="00DB06C9">
        <w:rPr>
          <w:lang w:val="en-GB"/>
        </w:rPr>
        <w:t xml:space="preserve"> and Ranganathan (2022) </w:t>
      </w:r>
      <w:r w:rsidR="000D29C5">
        <w:rPr>
          <w:lang w:val="en-GB"/>
        </w:rPr>
        <w:t xml:space="preserve">utilized red mud as catalyst for the HTL of microalgae </w:t>
      </w:r>
      <w:r w:rsidR="00DB06C9">
        <w:rPr>
          <w:lang w:val="en-GB"/>
        </w:rPr>
        <w:t>obtaining a considerable increase of oil yield</w:t>
      </w:r>
      <w:r w:rsidR="000D29C5">
        <w:rPr>
          <w:lang w:val="en-GB"/>
        </w:rPr>
        <w:t xml:space="preserve"> of 30 %</w:t>
      </w:r>
      <w:r w:rsidR="00DB06C9">
        <w:rPr>
          <w:lang w:val="en-GB"/>
        </w:rPr>
        <w:t>.</w:t>
      </w:r>
    </w:p>
    <w:p w14:paraId="3FC555CD" w14:textId="2F757B8D" w:rsidR="00B7443F" w:rsidRDefault="00732ADE" w:rsidP="00600535">
      <w:pPr>
        <w:pStyle w:val="CETBodytext"/>
        <w:rPr>
          <w:lang w:val="en-GB"/>
        </w:rPr>
      </w:pPr>
      <w:r>
        <w:rPr>
          <w:lang w:val="en-GB"/>
        </w:rPr>
        <w:t>Goal of this article is to investigate the activity of red mud in oak wood HTL on the oil yield and quality</w:t>
      </w:r>
      <w:r w:rsidR="00EA44FA">
        <w:rPr>
          <w:lang w:val="en-GB"/>
        </w:rPr>
        <w:t>,</w:t>
      </w:r>
      <w:r>
        <w:rPr>
          <w:lang w:val="en-GB"/>
        </w:rPr>
        <w:t xml:space="preserve"> comparing the obtained results with those obtained with pure Fe. The tests are made in batch micro-reactor keeping constant the biomass to water ratio and the running temperature. The amount of red mud was varied </w:t>
      </w:r>
      <w:proofErr w:type="gramStart"/>
      <w:r>
        <w:rPr>
          <w:lang w:val="en-GB"/>
        </w:rPr>
        <w:t>in order to</w:t>
      </w:r>
      <w:proofErr w:type="gramEnd"/>
      <w:r>
        <w:rPr>
          <w:lang w:val="en-GB"/>
        </w:rPr>
        <w:t xml:space="preserve"> study the effected of </w:t>
      </w:r>
      <w:r w:rsidR="006118E2">
        <w:rPr>
          <w:lang w:val="en-GB"/>
        </w:rPr>
        <w:t xml:space="preserve">their addition on the obtained products. A preliminary study to optimize the </w:t>
      </w:r>
      <w:r w:rsidR="00B82727">
        <w:rPr>
          <w:lang w:val="en-GB"/>
        </w:rPr>
        <w:t xml:space="preserve">reduction conditions of the red mud </w:t>
      </w:r>
      <w:r w:rsidR="002B193F">
        <w:rPr>
          <w:lang w:val="en-GB"/>
        </w:rPr>
        <w:t xml:space="preserve">with char </w:t>
      </w:r>
      <w:r w:rsidR="00620C2B">
        <w:rPr>
          <w:lang w:val="en-GB"/>
        </w:rPr>
        <w:t xml:space="preserve">and syngas </w:t>
      </w:r>
      <w:r w:rsidR="00B82727">
        <w:rPr>
          <w:lang w:val="en-GB"/>
        </w:rPr>
        <w:t>was conducted</w:t>
      </w:r>
      <w:r w:rsidR="002B193F">
        <w:rPr>
          <w:lang w:val="en-GB"/>
        </w:rPr>
        <w:t xml:space="preserve">. A possible scheme of the HTL </w:t>
      </w:r>
      <w:r w:rsidR="00FC5579">
        <w:rPr>
          <w:lang w:val="en-GB"/>
        </w:rPr>
        <w:t xml:space="preserve">process </w:t>
      </w:r>
      <w:r w:rsidR="002B193F">
        <w:rPr>
          <w:lang w:val="en-GB"/>
        </w:rPr>
        <w:t>assisted by red mud including its recycling is proposed in the article</w:t>
      </w:r>
      <w:r w:rsidR="00724A35">
        <w:rPr>
          <w:lang w:val="en-GB"/>
        </w:rPr>
        <w:t>. Two possibilit</w:t>
      </w:r>
      <w:r w:rsidR="005A415B">
        <w:rPr>
          <w:lang w:val="en-GB"/>
        </w:rPr>
        <w:t>ies</w:t>
      </w:r>
      <w:r w:rsidR="00724A35">
        <w:rPr>
          <w:lang w:val="en-GB"/>
        </w:rPr>
        <w:t xml:space="preserve"> were studied for the red mud recovery, the first one implies the reduction with the char </w:t>
      </w:r>
      <w:r w:rsidR="005A415B">
        <w:rPr>
          <w:lang w:val="en-GB"/>
        </w:rPr>
        <w:t>produced during the HTL, the other envisages a first step of gasification of the char residue to produce a syngas used to reduce the red mud. This last option will allow to lower the reduction temperature and recover energy.</w:t>
      </w:r>
    </w:p>
    <w:p w14:paraId="605AC112" w14:textId="78890510" w:rsidR="00FC5579" w:rsidRDefault="00FC5579" w:rsidP="00453E24">
      <w:pPr>
        <w:pStyle w:val="CETHeading1"/>
      </w:pPr>
      <w:r>
        <w:t>Materials and methods</w:t>
      </w:r>
    </w:p>
    <w:p w14:paraId="3B94416E" w14:textId="6354466B" w:rsidR="00FC5579" w:rsidRDefault="00724A35" w:rsidP="00724A35">
      <w:pPr>
        <w:pStyle w:val="CETheadingx"/>
      </w:pPr>
      <w:r>
        <w:t>Red mud reduction</w:t>
      </w:r>
    </w:p>
    <w:p w14:paraId="092CE047" w14:textId="7698BDDB" w:rsidR="005A415B" w:rsidRDefault="00724A35" w:rsidP="00FC5579">
      <w:pPr>
        <w:pStyle w:val="CETBodytext"/>
      </w:pPr>
      <w:r>
        <w:t>The red mud</w:t>
      </w:r>
      <w:r w:rsidR="005A415B">
        <w:t>s</w:t>
      </w:r>
      <w:r>
        <w:t xml:space="preserve"> were analyzed with X-ray diffraction analysis </w:t>
      </w:r>
      <w:proofErr w:type="gramStart"/>
      <w:r>
        <w:t>in order to</w:t>
      </w:r>
      <w:proofErr w:type="gramEnd"/>
      <w:r>
        <w:t xml:space="preserve"> know their composition and the amount of Fe</w:t>
      </w:r>
      <w:r w:rsidRPr="00620C2B">
        <w:rPr>
          <w:vertAlign w:val="subscript"/>
        </w:rPr>
        <w:t>2</w:t>
      </w:r>
      <w:r>
        <w:t>O</w:t>
      </w:r>
      <w:r w:rsidRPr="00620C2B">
        <w:rPr>
          <w:vertAlign w:val="subscript"/>
        </w:rPr>
        <w:t>3</w:t>
      </w:r>
      <w:r>
        <w:t>. The reduction tests were</w:t>
      </w:r>
      <w:r w:rsidR="005A415B">
        <w:t xml:space="preserve"> conducted using HTL char and syngas as reductant agents at different temperatures and reaction times. The reduction with char was performed in a temperature range of 800-1000 °C for 4 hours while the reduction with a simulated syngas (N</w:t>
      </w:r>
      <w:r w:rsidR="005A415B" w:rsidRPr="008F5DAA">
        <w:rPr>
          <w:vertAlign w:val="subscript"/>
        </w:rPr>
        <w:t>2</w:t>
      </w:r>
      <w:r w:rsidR="005A415B">
        <w:t xml:space="preserve"> 70 %, 15 % CO and 15 % H</w:t>
      </w:r>
      <w:r w:rsidR="005A415B" w:rsidRPr="008F5DAA">
        <w:rPr>
          <w:vertAlign w:val="subscript"/>
        </w:rPr>
        <w:t>2</w:t>
      </w:r>
      <w:r w:rsidR="005A415B">
        <w:t>) was performed at 650 °C for 1 hour. After all the reduction tests the samples were analyzed with X-ray diffraction.</w:t>
      </w:r>
    </w:p>
    <w:p w14:paraId="61FD425F" w14:textId="0A47DBF2" w:rsidR="005A415B" w:rsidRDefault="005A415B" w:rsidP="005A415B">
      <w:pPr>
        <w:pStyle w:val="CETheadingx"/>
      </w:pPr>
      <w:r>
        <w:t>HTL tests</w:t>
      </w:r>
    </w:p>
    <w:p w14:paraId="608FDE16" w14:textId="69622E57" w:rsidR="005A415B" w:rsidRPr="00FC5579" w:rsidRDefault="00EA44FA" w:rsidP="00FC5579">
      <w:pPr>
        <w:pStyle w:val="CETBodytext"/>
      </w:pPr>
      <w:r>
        <w:t>The tests were conducted in batch microreactor</w:t>
      </w:r>
      <w:r w:rsidR="00803096">
        <w:t>s</w:t>
      </w:r>
      <w:r>
        <w:t xml:space="preserve"> (12 ml) using a biomass to water ratio of 5 and a temperature of 330 °C. The red mud </w:t>
      </w:r>
      <w:r w:rsidR="00803096">
        <w:t xml:space="preserve">particles </w:t>
      </w:r>
      <w:r>
        <w:t>were added into the reactor with variable amount 0.1 and 0.5 g. The reactor w</w:t>
      </w:r>
      <w:r w:rsidR="00803096">
        <w:t>as</w:t>
      </w:r>
      <w:r>
        <w:t xml:space="preserve"> heated in a sand bath till the reaction temperature and then 10 min of reaction time was considered. </w:t>
      </w:r>
      <w:r w:rsidR="00C46C0B">
        <w:t xml:space="preserve">After the reaction </w:t>
      </w:r>
      <w:r>
        <w:t xml:space="preserve">the reactor was immediately quenched in cold water, the reactor was </w:t>
      </w:r>
      <w:r w:rsidR="00A34365">
        <w:t>opened,</w:t>
      </w:r>
      <w:r>
        <w:t xml:space="preserve"> and the </w:t>
      </w:r>
      <w:r w:rsidR="00A34365">
        <w:t>gas were vented off. The water was separated by filtra</w:t>
      </w:r>
      <w:r w:rsidR="00803096">
        <w:t xml:space="preserve">tion and the oily phase extracted with acetone. The yields of the different phase were measured gravimetrically. The composition of the bio-crude was analyzed </w:t>
      </w:r>
      <w:r w:rsidR="00657FA3">
        <w:t>with an elemental analyzer</w:t>
      </w:r>
      <w:r w:rsidR="00803096">
        <w:t>. The red mud was recovered together with the char and was reduced to be reused. Tests with the recycled red mud were also performed.</w:t>
      </w:r>
      <w:r w:rsidR="002E7C07">
        <w:t xml:space="preserve"> The results obtained with red mud were compared with results obtained from blank test and test using pure Fe as hydrogen producer.</w:t>
      </w:r>
    </w:p>
    <w:p w14:paraId="09406386" w14:textId="580F4ADA" w:rsidR="00453E24" w:rsidRDefault="002E7C07" w:rsidP="00453E24">
      <w:pPr>
        <w:pStyle w:val="CETHeading1"/>
      </w:pPr>
      <w:r>
        <w:t>Results and discussion</w:t>
      </w:r>
    </w:p>
    <w:p w14:paraId="0636B784" w14:textId="29F15A6A" w:rsidR="00453E24" w:rsidRDefault="002E7C07" w:rsidP="00453E24">
      <w:pPr>
        <w:pStyle w:val="CETheadingx"/>
      </w:pPr>
      <w:r>
        <w:t>Red Mud reduction tests</w:t>
      </w:r>
    </w:p>
    <w:p w14:paraId="4A5EB71E" w14:textId="2165737C" w:rsidR="00FE309C" w:rsidRDefault="002E7C07" w:rsidP="00453E24">
      <w:pPr>
        <w:pStyle w:val="CETBodytext"/>
      </w:pPr>
      <w:r>
        <w:t>From X-ray diffraction analysis the samples result to be composed by Fe</w:t>
      </w:r>
      <w:r w:rsidRPr="008F5DAA">
        <w:rPr>
          <w:vertAlign w:val="subscript"/>
        </w:rPr>
        <w:t>2</w:t>
      </w:r>
      <w:r>
        <w:t>O</w:t>
      </w:r>
      <w:r w:rsidRPr="008F5DAA">
        <w:rPr>
          <w:vertAlign w:val="subscript"/>
        </w:rPr>
        <w:t>3</w:t>
      </w:r>
      <w:r>
        <w:t xml:space="preserve"> for </w:t>
      </w:r>
      <w:r w:rsidR="00AE127B">
        <w:t>58</w:t>
      </w:r>
      <w:r>
        <w:t xml:space="preserve"> %, the other oxides present are Al</w:t>
      </w:r>
      <w:r w:rsidRPr="008F5DAA">
        <w:rPr>
          <w:vertAlign w:val="subscript"/>
        </w:rPr>
        <w:t>2</w:t>
      </w:r>
      <w:r>
        <w:t>O</w:t>
      </w:r>
      <w:r w:rsidRPr="008F5DAA">
        <w:rPr>
          <w:vertAlign w:val="subscript"/>
        </w:rPr>
        <w:t>3</w:t>
      </w:r>
      <w:r>
        <w:t xml:space="preserve"> and SiO</w:t>
      </w:r>
      <w:r w:rsidRPr="008F5DAA">
        <w:rPr>
          <w:vertAlign w:val="subscript"/>
        </w:rPr>
        <w:t>2</w:t>
      </w:r>
      <w:r>
        <w:t>, small amounts of TiO</w:t>
      </w:r>
      <w:r w:rsidRPr="008F5DAA">
        <w:rPr>
          <w:vertAlign w:val="subscript"/>
        </w:rPr>
        <w:t>2</w:t>
      </w:r>
      <w:r w:rsidR="00AE127B">
        <w:t xml:space="preserve"> and </w:t>
      </w:r>
      <w:proofErr w:type="spellStart"/>
      <w:r w:rsidR="00AE127B">
        <w:t>CaO</w:t>
      </w:r>
      <w:proofErr w:type="spellEnd"/>
      <w:r>
        <w:t xml:space="preserve"> were also detected</w:t>
      </w:r>
      <w:r w:rsidR="00FE309C">
        <w:t xml:space="preserve"> (Table 1)</w:t>
      </w:r>
      <w:r>
        <w:t xml:space="preserve">. </w:t>
      </w:r>
    </w:p>
    <w:p w14:paraId="4C0C166A" w14:textId="06C4CD75" w:rsidR="00F17DF3" w:rsidRDefault="00F17DF3" w:rsidP="00453E24">
      <w:pPr>
        <w:pStyle w:val="CETBodytext"/>
      </w:pPr>
    </w:p>
    <w:p w14:paraId="470AB907" w14:textId="01690BE0" w:rsidR="00F17DF3" w:rsidRDefault="00F17DF3" w:rsidP="00453E24">
      <w:pPr>
        <w:pStyle w:val="CETBodytext"/>
      </w:pPr>
    </w:p>
    <w:p w14:paraId="35F94B0B" w14:textId="37C0C774" w:rsidR="00F17DF3" w:rsidRDefault="00F17DF3" w:rsidP="00453E24">
      <w:pPr>
        <w:pStyle w:val="CETBodytext"/>
      </w:pPr>
    </w:p>
    <w:p w14:paraId="37C77672" w14:textId="77777777" w:rsidR="00F17DF3" w:rsidRDefault="00F17DF3" w:rsidP="00453E24">
      <w:pPr>
        <w:pStyle w:val="CETBodytext"/>
      </w:pPr>
    </w:p>
    <w:p w14:paraId="45DD13CA" w14:textId="50CF4F8E" w:rsidR="00FE309C" w:rsidRPr="00B57B36" w:rsidRDefault="00FE309C" w:rsidP="00FE309C">
      <w:pPr>
        <w:pStyle w:val="CETTabletitle"/>
      </w:pPr>
      <w:r w:rsidRPr="00B57B36">
        <w:lastRenderedPageBreak/>
        <w:t xml:space="preserve">Table </w:t>
      </w:r>
      <w:proofErr w:type="gramStart"/>
      <w:r w:rsidR="00AE127B">
        <w:t>1</w:t>
      </w:r>
      <w:r w:rsidRPr="00B57B36">
        <w:t>:</w:t>
      </w:r>
      <w:r w:rsidR="00AE127B">
        <w:t>Red</w:t>
      </w:r>
      <w:proofErr w:type="gramEnd"/>
      <w:r w:rsidR="00AE127B">
        <w:t xml:space="preserve"> mud composition</w:t>
      </w:r>
      <w: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992"/>
      </w:tblGrid>
      <w:tr w:rsidR="00FE309C" w:rsidRPr="00B57B36" w14:paraId="74D05036" w14:textId="77777777" w:rsidTr="00B930D6">
        <w:tc>
          <w:tcPr>
            <w:tcW w:w="1418" w:type="dxa"/>
            <w:tcBorders>
              <w:top w:val="single" w:sz="12" w:space="0" w:color="008000"/>
              <w:bottom w:val="single" w:sz="6" w:space="0" w:color="008000"/>
            </w:tcBorders>
            <w:shd w:val="clear" w:color="auto" w:fill="FFFFFF"/>
          </w:tcPr>
          <w:p w14:paraId="4D4D1595" w14:textId="291B8399" w:rsidR="00FE309C" w:rsidRPr="00B57B36" w:rsidRDefault="00AE127B" w:rsidP="00B930D6">
            <w:pPr>
              <w:pStyle w:val="CETBodytext"/>
              <w:rPr>
                <w:lang w:val="en-GB"/>
              </w:rPr>
            </w:pPr>
            <w:r>
              <w:rPr>
                <w:lang w:val="en-GB"/>
              </w:rPr>
              <w:t>Compound</w:t>
            </w:r>
          </w:p>
        </w:tc>
        <w:tc>
          <w:tcPr>
            <w:tcW w:w="992" w:type="dxa"/>
            <w:tcBorders>
              <w:top w:val="single" w:sz="12" w:space="0" w:color="008000"/>
              <w:bottom w:val="single" w:sz="6" w:space="0" w:color="008000"/>
            </w:tcBorders>
            <w:shd w:val="clear" w:color="auto" w:fill="FFFFFF"/>
          </w:tcPr>
          <w:p w14:paraId="2141CFDF" w14:textId="1778923E" w:rsidR="00FE309C" w:rsidRPr="00B57B36" w:rsidRDefault="00FE309C" w:rsidP="00B930D6">
            <w:pPr>
              <w:pStyle w:val="CETBodytext"/>
              <w:rPr>
                <w:lang w:val="en-GB"/>
              </w:rPr>
            </w:pPr>
            <w:r>
              <w:rPr>
                <w:lang w:val="en-GB"/>
              </w:rPr>
              <w:t>%</w:t>
            </w:r>
            <w:r w:rsidR="00AE127B">
              <w:rPr>
                <w:lang w:val="en-GB"/>
              </w:rPr>
              <w:t xml:space="preserve"> wt.</w:t>
            </w:r>
          </w:p>
        </w:tc>
      </w:tr>
      <w:tr w:rsidR="00FE309C" w:rsidRPr="00B57B36" w14:paraId="2BE1078B" w14:textId="77777777" w:rsidTr="00B930D6">
        <w:tc>
          <w:tcPr>
            <w:tcW w:w="1418" w:type="dxa"/>
            <w:shd w:val="clear" w:color="auto" w:fill="FFFFFF"/>
          </w:tcPr>
          <w:p w14:paraId="76A21C47" w14:textId="1495C01E" w:rsidR="00FE309C" w:rsidRPr="00B57B36" w:rsidRDefault="00AE127B" w:rsidP="00B930D6">
            <w:pPr>
              <w:pStyle w:val="CETBodytext"/>
              <w:rPr>
                <w:lang w:val="en-GB"/>
              </w:rPr>
            </w:pPr>
            <w:r>
              <w:rPr>
                <w:lang w:val="en-GB"/>
              </w:rPr>
              <w:t>Fe</w:t>
            </w:r>
            <w:r w:rsidRPr="008F5DAA">
              <w:rPr>
                <w:vertAlign w:val="subscript"/>
                <w:lang w:val="en-GB"/>
              </w:rPr>
              <w:t>2</w:t>
            </w:r>
            <w:r>
              <w:rPr>
                <w:lang w:val="en-GB"/>
              </w:rPr>
              <w:t>O</w:t>
            </w:r>
            <w:r w:rsidRPr="008F5DAA">
              <w:rPr>
                <w:vertAlign w:val="subscript"/>
                <w:lang w:val="en-GB"/>
              </w:rPr>
              <w:t>3</w:t>
            </w:r>
          </w:p>
        </w:tc>
        <w:tc>
          <w:tcPr>
            <w:tcW w:w="992" w:type="dxa"/>
            <w:shd w:val="clear" w:color="auto" w:fill="FFFFFF"/>
          </w:tcPr>
          <w:p w14:paraId="4423C8F4" w14:textId="17C715E1" w:rsidR="00FE309C" w:rsidRPr="00B57B36" w:rsidRDefault="00AE127B" w:rsidP="00B930D6">
            <w:pPr>
              <w:pStyle w:val="CETBodytext"/>
              <w:rPr>
                <w:lang w:val="en-GB"/>
              </w:rPr>
            </w:pPr>
            <w:r>
              <w:rPr>
                <w:lang w:val="en-GB"/>
              </w:rPr>
              <w:t>58</w:t>
            </w:r>
            <w:r w:rsidR="00FE309C">
              <w:rPr>
                <w:lang w:val="en-GB"/>
              </w:rPr>
              <w:t xml:space="preserve"> %</w:t>
            </w:r>
          </w:p>
        </w:tc>
      </w:tr>
      <w:tr w:rsidR="00FE309C" w:rsidRPr="00B57B36" w14:paraId="25DDF27A" w14:textId="77777777" w:rsidTr="00B930D6">
        <w:tc>
          <w:tcPr>
            <w:tcW w:w="1418" w:type="dxa"/>
            <w:shd w:val="clear" w:color="auto" w:fill="FFFFFF"/>
          </w:tcPr>
          <w:p w14:paraId="72EB1D3C" w14:textId="354FB5A7" w:rsidR="00FE309C" w:rsidRPr="00B57B36" w:rsidRDefault="00AE127B" w:rsidP="00B930D6">
            <w:pPr>
              <w:pStyle w:val="CETBodytext"/>
              <w:ind w:right="-1"/>
              <w:rPr>
                <w:rFonts w:cs="Arial"/>
                <w:szCs w:val="18"/>
                <w:lang w:val="en-GB"/>
              </w:rPr>
            </w:pPr>
            <w:r>
              <w:rPr>
                <w:rFonts w:cs="Arial"/>
                <w:szCs w:val="18"/>
                <w:lang w:val="en-GB"/>
              </w:rPr>
              <w:t>Al</w:t>
            </w:r>
            <w:r w:rsidRPr="008F5DAA">
              <w:rPr>
                <w:rFonts w:cs="Arial"/>
                <w:szCs w:val="18"/>
                <w:vertAlign w:val="subscript"/>
                <w:lang w:val="en-GB"/>
              </w:rPr>
              <w:t>2</w:t>
            </w:r>
            <w:r>
              <w:rPr>
                <w:rFonts w:cs="Arial"/>
                <w:szCs w:val="18"/>
                <w:lang w:val="en-GB"/>
              </w:rPr>
              <w:t>O</w:t>
            </w:r>
            <w:r w:rsidRPr="008F5DAA">
              <w:rPr>
                <w:rFonts w:cs="Arial"/>
                <w:szCs w:val="18"/>
                <w:vertAlign w:val="subscript"/>
                <w:lang w:val="en-GB"/>
              </w:rPr>
              <w:t>3</w:t>
            </w:r>
          </w:p>
        </w:tc>
        <w:tc>
          <w:tcPr>
            <w:tcW w:w="992" w:type="dxa"/>
            <w:shd w:val="clear" w:color="auto" w:fill="FFFFFF"/>
          </w:tcPr>
          <w:p w14:paraId="40CD7A69" w14:textId="2152AF13" w:rsidR="00FE309C" w:rsidRPr="00B57B36" w:rsidRDefault="00AE127B" w:rsidP="00B930D6">
            <w:pPr>
              <w:pStyle w:val="CETBodytext"/>
              <w:ind w:right="-1"/>
              <w:rPr>
                <w:rFonts w:cs="Arial"/>
                <w:szCs w:val="18"/>
                <w:lang w:val="en-GB"/>
              </w:rPr>
            </w:pPr>
            <w:r>
              <w:rPr>
                <w:rFonts w:cs="Arial"/>
                <w:szCs w:val="18"/>
                <w:lang w:val="en-GB"/>
              </w:rPr>
              <w:t>13</w:t>
            </w:r>
            <w:r w:rsidR="00FE309C">
              <w:rPr>
                <w:rFonts w:cs="Arial"/>
                <w:szCs w:val="18"/>
                <w:lang w:val="en-GB"/>
              </w:rPr>
              <w:t xml:space="preserve"> %</w:t>
            </w:r>
          </w:p>
        </w:tc>
      </w:tr>
      <w:tr w:rsidR="00FE309C" w:rsidRPr="00B57B36" w14:paraId="432F7FE9" w14:textId="77777777" w:rsidTr="00B930D6">
        <w:tc>
          <w:tcPr>
            <w:tcW w:w="1418" w:type="dxa"/>
            <w:shd w:val="clear" w:color="auto" w:fill="FFFFFF"/>
          </w:tcPr>
          <w:p w14:paraId="4EABEE1D" w14:textId="7D82634C" w:rsidR="00FE309C" w:rsidRDefault="00AE127B" w:rsidP="00B930D6">
            <w:pPr>
              <w:pStyle w:val="CETBodytext"/>
              <w:ind w:right="-1"/>
              <w:rPr>
                <w:rFonts w:cs="Arial"/>
                <w:szCs w:val="18"/>
                <w:lang w:val="en-GB"/>
              </w:rPr>
            </w:pPr>
            <w:r>
              <w:rPr>
                <w:rFonts w:cs="Arial"/>
                <w:szCs w:val="18"/>
                <w:lang w:val="en-GB"/>
              </w:rPr>
              <w:t>SiO</w:t>
            </w:r>
            <w:r w:rsidRPr="008F5DAA">
              <w:rPr>
                <w:rFonts w:cs="Arial"/>
                <w:szCs w:val="18"/>
                <w:vertAlign w:val="subscript"/>
                <w:lang w:val="en-GB"/>
              </w:rPr>
              <w:t>2</w:t>
            </w:r>
          </w:p>
        </w:tc>
        <w:tc>
          <w:tcPr>
            <w:tcW w:w="992" w:type="dxa"/>
            <w:shd w:val="clear" w:color="auto" w:fill="FFFFFF"/>
          </w:tcPr>
          <w:p w14:paraId="34DAA66D" w14:textId="1D9C6511" w:rsidR="00FE309C" w:rsidRPr="00B57B36" w:rsidRDefault="00AE127B" w:rsidP="00B930D6">
            <w:pPr>
              <w:pStyle w:val="CETBodytext"/>
              <w:ind w:right="-1"/>
              <w:rPr>
                <w:rFonts w:cs="Arial"/>
                <w:szCs w:val="18"/>
                <w:lang w:val="en-GB"/>
              </w:rPr>
            </w:pPr>
            <w:r>
              <w:rPr>
                <w:rFonts w:cs="Arial"/>
                <w:szCs w:val="18"/>
                <w:lang w:val="en-GB"/>
              </w:rPr>
              <w:t>15</w:t>
            </w:r>
            <w:r w:rsidR="00FE309C">
              <w:rPr>
                <w:rFonts w:cs="Arial"/>
                <w:szCs w:val="18"/>
                <w:lang w:val="en-GB"/>
              </w:rPr>
              <w:t xml:space="preserve"> %</w:t>
            </w:r>
          </w:p>
        </w:tc>
      </w:tr>
      <w:tr w:rsidR="00AE127B" w:rsidRPr="00B57B36" w14:paraId="5455BCAB" w14:textId="77777777" w:rsidTr="00B930D6">
        <w:tc>
          <w:tcPr>
            <w:tcW w:w="1418" w:type="dxa"/>
            <w:shd w:val="clear" w:color="auto" w:fill="FFFFFF"/>
          </w:tcPr>
          <w:p w14:paraId="7C133630" w14:textId="6E143144" w:rsidR="00AE127B" w:rsidRDefault="00AE127B" w:rsidP="00B930D6">
            <w:pPr>
              <w:pStyle w:val="CETBodytext"/>
              <w:ind w:right="-1"/>
              <w:rPr>
                <w:rFonts w:cs="Arial"/>
                <w:szCs w:val="18"/>
                <w:lang w:val="en-GB"/>
              </w:rPr>
            </w:pPr>
            <w:r>
              <w:rPr>
                <w:rFonts w:cs="Arial"/>
                <w:szCs w:val="18"/>
                <w:lang w:val="en-GB"/>
              </w:rPr>
              <w:t>TiO</w:t>
            </w:r>
            <w:r w:rsidRPr="008F5DAA">
              <w:rPr>
                <w:rFonts w:cs="Arial"/>
                <w:szCs w:val="18"/>
                <w:vertAlign w:val="subscript"/>
                <w:lang w:val="en-GB"/>
              </w:rPr>
              <w:t>2</w:t>
            </w:r>
          </w:p>
        </w:tc>
        <w:tc>
          <w:tcPr>
            <w:tcW w:w="992" w:type="dxa"/>
            <w:shd w:val="clear" w:color="auto" w:fill="FFFFFF"/>
          </w:tcPr>
          <w:p w14:paraId="0812CD2C" w14:textId="3529C371" w:rsidR="00AE127B" w:rsidRDefault="00AE127B" w:rsidP="00B930D6">
            <w:pPr>
              <w:pStyle w:val="CETBodytext"/>
              <w:ind w:right="-1"/>
              <w:rPr>
                <w:rFonts w:cs="Arial"/>
                <w:szCs w:val="18"/>
                <w:lang w:val="en-GB"/>
              </w:rPr>
            </w:pPr>
            <w:r>
              <w:rPr>
                <w:rFonts w:cs="Arial"/>
                <w:szCs w:val="18"/>
                <w:lang w:val="en-GB"/>
              </w:rPr>
              <w:t>6 %</w:t>
            </w:r>
          </w:p>
        </w:tc>
      </w:tr>
      <w:tr w:rsidR="00AE127B" w:rsidRPr="00B57B36" w14:paraId="7B0BE810" w14:textId="77777777" w:rsidTr="00B930D6">
        <w:tc>
          <w:tcPr>
            <w:tcW w:w="1418" w:type="dxa"/>
            <w:shd w:val="clear" w:color="auto" w:fill="FFFFFF"/>
          </w:tcPr>
          <w:p w14:paraId="49ED9B87" w14:textId="415A320F" w:rsidR="00AE127B" w:rsidRDefault="00AE127B" w:rsidP="00B930D6">
            <w:pPr>
              <w:pStyle w:val="CETBodytext"/>
              <w:ind w:right="-1"/>
              <w:rPr>
                <w:rFonts w:cs="Arial"/>
                <w:szCs w:val="18"/>
                <w:lang w:val="en-GB"/>
              </w:rPr>
            </w:pPr>
            <w:proofErr w:type="spellStart"/>
            <w:r>
              <w:rPr>
                <w:rFonts w:cs="Arial"/>
                <w:szCs w:val="18"/>
                <w:lang w:val="en-GB"/>
              </w:rPr>
              <w:t>CaO</w:t>
            </w:r>
            <w:proofErr w:type="spellEnd"/>
          </w:p>
        </w:tc>
        <w:tc>
          <w:tcPr>
            <w:tcW w:w="992" w:type="dxa"/>
            <w:shd w:val="clear" w:color="auto" w:fill="FFFFFF"/>
          </w:tcPr>
          <w:p w14:paraId="3B746322" w14:textId="6D7DC183" w:rsidR="00AE127B" w:rsidRDefault="00AE127B" w:rsidP="00B930D6">
            <w:pPr>
              <w:pStyle w:val="CETBodytext"/>
              <w:ind w:right="-1"/>
              <w:rPr>
                <w:rFonts w:cs="Arial"/>
                <w:szCs w:val="18"/>
                <w:lang w:val="en-GB"/>
              </w:rPr>
            </w:pPr>
            <w:r>
              <w:rPr>
                <w:rFonts w:cs="Arial"/>
                <w:szCs w:val="18"/>
                <w:lang w:val="en-GB"/>
              </w:rPr>
              <w:t>8 %</w:t>
            </w:r>
          </w:p>
        </w:tc>
      </w:tr>
    </w:tbl>
    <w:p w14:paraId="607FC996" w14:textId="77777777" w:rsidR="00F17DF3" w:rsidRDefault="00F17DF3" w:rsidP="00453E24">
      <w:pPr>
        <w:pStyle w:val="CETBodytext"/>
      </w:pPr>
    </w:p>
    <w:p w14:paraId="57786028" w14:textId="3CDF6057" w:rsidR="00C5001C" w:rsidRDefault="002E7C07" w:rsidP="00453E24">
      <w:pPr>
        <w:pStyle w:val="CETBodytext"/>
      </w:pPr>
      <w:r>
        <w:t>In Figure 1 the X</w:t>
      </w:r>
      <w:r w:rsidR="00F54A79">
        <w:t>RD</w:t>
      </w:r>
      <w:r>
        <w:t xml:space="preserve"> of the</w:t>
      </w:r>
      <w:r w:rsidR="00F54A79">
        <w:t xml:space="preserve"> red mud samples reduced with char are reported. It is clear that at least a temperature of 900 °C is needed for the reduction of almost all the Fe</w:t>
      </w:r>
      <w:r w:rsidR="00F54A79" w:rsidRPr="00C46C0B">
        <w:rPr>
          <w:vertAlign w:val="subscript"/>
        </w:rPr>
        <w:t>2</w:t>
      </w:r>
      <w:r w:rsidR="00F54A79">
        <w:t>O</w:t>
      </w:r>
      <w:r w:rsidR="00F54A79" w:rsidRPr="00C46C0B">
        <w:rPr>
          <w:vertAlign w:val="subscript"/>
        </w:rPr>
        <w:t>3</w:t>
      </w:r>
      <w:r w:rsidR="00F54A79">
        <w:t xml:space="preserve"> to Fe. The sample reduced at 800 °C is composed exclusively by magnetite while at 900 °C the pe</w:t>
      </w:r>
      <w:r w:rsidR="00C5001C">
        <w:t>a</w:t>
      </w:r>
      <w:r w:rsidR="00F54A79">
        <w:t>k related to Fe appears. At 1000 °C the Fe</w:t>
      </w:r>
      <w:r w:rsidR="00F54A79" w:rsidRPr="00C46C0B">
        <w:rPr>
          <w:vertAlign w:val="subscript"/>
        </w:rPr>
        <w:t>2</w:t>
      </w:r>
      <w:r w:rsidR="00F54A79">
        <w:t>O</w:t>
      </w:r>
      <w:r w:rsidR="00F54A79" w:rsidRPr="00C46C0B">
        <w:rPr>
          <w:vertAlign w:val="subscript"/>
        </w:rPr>
        <w:t>3</w:t>
      </w:r>
      <w:r w:rsidR="00F54A79">
        <w:t xml:space="preserve"> is almost all converted in Fe. </w:t>
      </w:r>
      <w:r w:rsidR="00C5001C">
        <w:t>It is important to observe that after the HTL reaction the Fe is oxidized to Fe</w:t>
      </w:r>
      <w:r w:rsidR="00C5001C" w:rsidRPr="00C46C0B">
        <w:rPr>
          <w:vertAlign w:val="subscript"/>
        </w:rPr>
        <w:t>3</w:t>
      </w:r>
      <w:r w:rsidR="00C5001C">
        <w:t>O</w:t>
      </w:r>
      <w:r w:rsidR="00C5001C" w:rsidRPr="00C46C0B">
        <w:rPr>
          <w:vertAlign w:val="subscript"/>
        </w:rPr>
        <w:t>4</w:t>
      </w:r>
      <w:r w:rsidR="00C5001C">
        <w:t xml:space="preserve"> thus less energy is required for its reduction with respect to the fresh red mud. The reduction tests performed using the simulated syngas as reducing agent </w:t>
      </w:r>
      <w:r w:rsidR="00C46C0B">
        <w:t>reported</w:t>
      </w:r>
      <w:r w:rsidR="00C5001C">
        <w:t xml:space="preserve"> that at 650 °C all the Fe</w:t>
      </w:r>
      <w:r w:rsidR="00C5001C" w:rsidRPr="00C46C0B">
        <w:rPr>
          <w:vertAlign w:val="subscript"/>
        </w:rPr>
        <w:t>2</w:t>
      </w:r>
      <w:r w:rsidR="00C5001C">
        <w:t>O</w:t>
      </w:r>
      <w:r w:rsidR="00C5001C" w:rsidRPr="00C46C0B">
        <w:rPr>
          <w:vertAlign w:val="subscript"/>
        </w:rPr>
        <w:t>3</w:t>
      </w:r>
      <w:r w:rsidR="00C5001C">
        <w:t xml:space="preserve"> is converted to Fe.</w:t>
      </w:r>
    </w:p>
    <w:p w14:paraId="2CA9383F" w14:textId="77777777" w:rsidR="00C46C0B" w:rsidRDefault="00C46C0B" w:rsidP="00453E24">
      <w:pPr>
        <w:pStyle w:val="CETBodytext"/>
      </w:pPr>
    </w:p>
    <w:p w14:paraId="69024AB5" w14:textId="16366ADF" w:rsidR="00C5001C" w:rsidRDefault="00C5001C" w:rsidP="00453E24">
      <w:pPr>
        <w:pStyle w:val="CETBodytext"/>
      </w:pPr>
      <w:r w:rsidRPr="00C5001C">
        <w:rPr>
          <w:noProof/>
          <w:lang w:val="en-GB"/>
        </w:rPr>
        <w:drawing>
          <wp:inline distT="0" distB="0" distL="0" distR="0" wp14:anchorId="00CDCC7B" wp14:editId="4F50E681">
            <wp:extent cx="5155660" cy="3437107"/>
            <wp:effectExtent l="0" t="0" r="635"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62075" cy="3441384"/>
                    </a:xfrm>
                    <a:prstGeom prst="rect">
                      <a:avLst/>
                    </a:prstGeom>
                  </pic:spPr>
                </pic:pic>
              </a:graphicData>
            </a:graphic>
          </wp:inline>
        </w:drawing>
      </w:r>
    </w:p>
    <w:p w14:paraId="40AEA043" w14:textId="5F646A85" w:rsidR="00C5001C" w:rsidRDefault="00C5001C" w:rsidP="00C5001C">
      <w:pPr>
        <w:pStyle w:val="CETCaption"/>
      </w:pPr>
      <w:r>
        <w:t>Figure 1: XRD of the char reduced red mud at the three different temperatures tested.</w:t>
      </w:r>
    </w:p>
    <w:p w14:paraId="18BAFA6F" w14:textId="46E69582" w:rsidR="00453E24" w:rsidRPr="00B57B36" w:rsidRDefault="00385841" w:rsidP="00453E24">
      <w:pPr>
        <w:pStyle w:val="CETheadingx"/>
      </w:pPr>
      <w:r>
        <w:t>HTL tests</w:t>
      </w:r>
    </w:p>
    <w:p w14:paraId="58D6488C" w14:textId="4EA6887F" w:rsidR="00385841" w:rsidRDefault="00385841" w:rsidP="00453E24">
      <w:pPr>
        <w:pStyle w:val="CETBodytext"/>
        <w:rPr>
          <w:lang w:val="en-GB"/>
        </w:rPr>
      </w:pPr>
      <w:r>
        <w:rPr>
          <w:lang w:val="en-GB"/>
        </w:rPr>
        <w:t xml:space="preserve">The results </w:t>
      </w:r>
      <w:r w:rsidR="00C46C0B">
        <w:rPr>
          <w:lang w:val="en-GB"/>
        </w:rPr>
        <w:t xml:space="preserve">in terms of oil yield </w:t>
      </w:r>
      <w:r>
        <w:rPr>
          <w:lang w:val="en-GB"/>
        </w:rPr>
        <w:t>of the performed tests are reported in Figure 1.</w:t>
      </w:r>
      <w:r w:rsidR="00833E91">
        <w:rPr>
          <w:lang w:val="en-GB"/>
        </w:rPr>
        <w:t xml:space="preserve"> The amount of oil produced during the blank test is 32 % with respect to the </w:t>
      </w:r>
      <w:r w:rsidR="00C46C0B">
        <w:rPr>
          <w:lang w:val="en-GB"/>
        </w:rPr>
        <w:t xml:space="preserve">initial </w:t>
      </w:r>
      <w:r w:rsidR="00833E91">
        <w:rPr>
          <w:lang w:val="en-GB"/>
        </w:rPr>
        <w:t>biomass</w:t>
      </w:r>
      <w:r w:rsidR="00C46C0B">
        <w:rPr>
          <w:lang w:val="en-GB"/>
        </w:rPr>
        <w:t xml:space="preserve"> weight</w:t>
      </w:r>
      <w:r w:rsidR="00833E91">
        <w:rPr>
          <w:lang w:val="en-GB"/>
        </w:rPr>
        <w:t xml:space="preserve">, using pure Fe the amount increases of 25 % while the red mud leads to an increase of 15 % </w:t>
      </w:r>
      <w:r w:rsidR="00397834">
        <w:rPr>
          <w:lang w:val="en-GB"/>
        </w:rPr>
        <w:t xml:space="preserve">and 20 % </w:t>
      </w:r>
      <w:r w:rsidR="00833E91">
        <w:rPr>
          <w:lang w:val="en-GB"/>
        </w:rPr>
        <w:t xml:space="preserve">when </w:t>
      </w:r>
      <w:r w:rsidR="00397834">
        <w:rPr>
          <w:lang w:val="en-GB"/>
        </w:rPr>
        <w:t>amount</w:t>
      </w:r>
      <w:r w:rsidR="008F5DAA">
        <w:rPr>
          <w:lang w:val="en-GB"/>
        </w:rPr>
        <w:t>s</w:t>
      </w:r>
      <w:r w:rsidR="00397834">
        <w:rPr>
          <w:lang w:val="en-GB"/>
        </w:rPr>
        <w:t xml:space="preserve"> of 0.2 g and 0.5 g of the material is used, respectively. The results are very interesting</w:t>
      </w:r>
      <w:r w:rsidR="00D17B08">
        <w:rPr>
          <w:lang w:val="en-GB"/>
        </w:rPr>
        <w:t xml:space="preserve"> if the goal is the </w:t>
      </w:r>
      <w:r w:rsidR="00397834">
        <w:rPr>
          <w:lang w:val="en-GB"/>
        </w:rPr>
        <w:t>substitution of the pure Fe with the red mud. The difference</w:t>
      </w:r>
      <w:r w:rsidR="00D17B08">
        <w:rPr>
          <w:lang w:val="en-GB"/>
        </w:rPr>
        <w:t>s</w:t>
      </w:r>
      <w:r w:rsidR="00397834">
        <w:rPr>
          <w:lang w:val="en-GB"/>
        </w:rPr>
        <w:t xml:space="preserve"> in the performance</w:t>
      </w:r>
      <w:r w:rsidR="00D17B08">
        <w:rPr>
          <w:lang w:val="en-GB"/>
        </w:rPr>
        <w:t>s</w:t>
      </w:r>
      <w:r w:rsidR="00397834">
        <w:rPr>
          <w:lang w:val="en-GB"/>
        </w:rPr>
        <w:t xml:space="preserve"> of these two materials are due mainly to the non-complete reduction of the Fe in the red mud which implies a lower production of hydrogen and </w:t>
      </w:r>
      <w:r w:rsidR="000C656F">
        <w:rPr>
          <w:lang w:val="en-GB"/>
        </w:rPr>
        <w:t xml:space="preserve">to </w:t>
      </w:r>
      <w:r w:rsidR="00397834">
        <w:rPr>
          <w:lang w:val="en-GB"/>
        </w:rPr>
        <w:t xml:space="preserve">a non-homogeneity of the red mud powder. </w:t>
      </w:r>
      <w:r w:rsidR="000C656F">
        <w:rPr>
          <w:lang w:val="en-GB"/>
        </w:rPr>
        <w:t>In fact, f</w:t>
      </w:r>
      <w:r w:rsidR="00397834">
        <w:rPr>
          <w:lang w:val="en-GB"/>
        </w:rPr>
        <w:t>rom the XRD results it appears clear that the amount of Fe</w:t>
      </w:r>
      <w:r w:rsidR="00397834" w:rsidRPr="00D17B08">
        <w:rPr>
          <w:vertAlign w:val="subscript"/>
          <w:lang w:val="en-GB"/>
        </w:rPr>
        <w:t>2</w:t>
      </w:r>
      <w:r w:rsidR="00397834">
        <w:rPr>
          <w:lang w:val="en-GB"/>
        </w:rPr>
        <w:t>O</w:t>
      </w:r>
      <w:r w:rsidR="00397834" w:rsidRPr="00D17B08">
        <w:rPr>
          <w:vertAlign w:val="subscript"/>
          <w:lang w:val="en-GB"/>
        </w:rPr>
        <w:t>3</w:t>
      </w:r>
      <w:r w:rsidR="00397834">
        <w:rPr>
          <w:lang w:val="en-GB"/>
        </w:rPr>
        <w:t xml:space="preserve"> is not constant </w:t>
      </w:r>
      <w:r w:rsidR="000C656F">
        <w:rPr>
          <w:lang w:val="en-GB"/>
        </w:rPr>
        <w:t>in the red mud waste, it can vary of 10 % and so the amount of Fe can be less that the expected</w:t>
      </w:r>
      <w:r w:rsidR="00D17B08">
        <w:rPr>
          <w:lang w:val="en-GB"/>
        </w:rPr>
        <w:t xml:space="preserve"> one</w:t>
      </w:r>
      <w:r w:rsidR="000C656F">
        <w:rPr>
          <w:lang w:val="en-GB"/>
        </w:rPr>
        <w:t xml:space="preserve">. The </w:t>
      </w:r>
      <w:r w:rsidR="00CB104D">
        <w:rPr>
          <w:lang w:val="en-GB"/>
        </w:rPr>
        <w:t>behaviour</w:t>
      </w:r>
      <w:r w:rsidR="000C656F">
        <w:rPr>
          <w:lang w:val="en-GB"/>
        </w:rPr>
        <w:t xml:space="preserve"> of red mud is expected to be </w:t>
      </w:r>
      <w:proofErr w:type="gramStart"/>
      <w:r w:rsidR="000C656F">
        <w:rPr>
          <w:lang w:val="en-GB"/>
        </w:rPr>
        <w:t>similar to</w:t>
      </w:r>
      <w:proofErr w:type="gramEnd"/>
      <w:r w:rsidR="000C656F">
        <w:rPr>
          <w:lang w:val="en-GB"/>
        </w:rPr>
        <w:t xml:space="preserve"> that of pure Fe: Fe is </w:t>
      </w:r>
      <w:r w:rsidR="00CB104D">
        <w:rPr>
          <w:lang w:val="en-GB"/>
        </w:rPr>
        <w:t>oxidized by water with the reaction 3Fe+ 4H</w:t>
      </w:r>
      <w:r w:rsidR="00CB104D" w:rsidRPr="008F5DAA">
        <w:rPr>
          <w:vertAlign w:val="subscript"/>
          <w:lang w:val="en-GB"/>
        </w:rPr>
        <w:t>2</w:t>
      </w:r>
      <w:r w:rsidR="00CB104D">
        <w:rPr>
          <w:lang w:val="en-GB"/>
        </w:rPr>
        <w:t>O = Fe</w:t>
      </w:r>
      <w:r w:rsidR="00CB104D" w:rsidRPr="00D17B08">
        <w:rPr>
          <w:vertAlign w:val="subscript"/>
          <w:lang w:val="en-GB"/>
        </w:rPr>
        <w:t>3</w:t>
      </w:r>
      <w:r w:rsidR="00CB104D">
        <w:rPr>
          <w:lang w:val="en-GB"/>
        </w:rPr>
        <w:t>O</w:t>
      </w:r>
      <w:r w:rsidR="00CB104D" w:rsidRPr="00D17B08">
        <w:rPr>
          <w:vertAlign w:val="subscript"/>
          <w:lang w:val="en-GB"/>
        </w:rPr>
        <w:t>4</w:t>
      </w:r>
      <w:r w:rsidR="00CB104D">
        <w:rPr>
          <w:lang w:val="en-GB"/>
        </w:rPr>
        <w:t xml:space="preserve"> + 4H</w:t>
      </w:r>
      <w:r w:rsidR="00CB104D" w:rsidRPr="00D17B08">
        <w:rPr>
          <w:vertAlign w:val="subscript"/>
          <w:lang w:val="en-GB"/>
        </w:rPr>
        <w:t>2</w:t>
      </w:r>
      <w:r w:rsidR="00CB104D">
        <w:rPr>
          <w:lang w:val="en-GB"/>
        </w:rPr>
        <w:t>, hydrogen is produced in atomic form and thus, before it is converted into molecular H</w:t>
      </w:r>
      <w:r w:rsidR="00CB104D" w:rsidRPr="008F5DAA">
        <w:rPr>
          <w:vertAlign w:val="subscript"/>
          <w:lang w:val="en-GB"/>
        </w:rPr>
        <w:t>2</w:t>
      </w:r>
      <w:r w:rsidR="00CB104D">
        <w:rPr>
          <w:lang w:val="en-GB"/>
        </w:rPr>
        <w:t>, it results to be very active towards biomass fragment stabilization and hydrodeoxygenation reactions</w:t>
      </w:r>
      <w:r w:rsidR="00D17B08">
        <w:rPr>
          <w:lang w:val="en-GB"/>
        </w:rPr>
        <w:t xml:space="preserve"> (Miyata et al., 2018)</w:t>
      </w:r>
      <w:r w:rsidR="00CB104D">
        <w:rPr>
          <w:lang w:val="en-GB"/>
        </w:rPr>
        <w:t>.</w:t>
      </w:r>
    </w:p>
    <w:p w14:paraId="22DB26A0" w14:textId="77777777" w:rsidR="00CD7614" w:rsidRDefault="00CD7614" w:rsidP="00453E24">
      <w:pPr>
        <w:pStyle w:val="CETBodytext"/>
        <w:rPr>
          <w:lang w:val="en-GB"/>
        </w:rPr>
      </w:pPr>
    </w:p>
    <w:p w14:paraId="2AEDC70F" w14:textId="6D820538" w:rsidR="00385841" w:rsidRDefault="00833E91" w:rsidP="00453E24">
      <w:pPr>
        <w:pStyle w:val="CETBodytext"/>
      </w:pPr>
      <w:r>
        <w:rPr>
          <w:noProof/>
        </w:rPr>
        <w:lastRenderedPageBreak/>
        <w:drawing>
          <wp:inline distT="0" distB="0" distL="0" distR="0" wp14:anchorId="1B44ECE4" wp14:editId="19C04BD5">
            <wp:extent cx="4018376" cy="2422187"/>
            <wp:effectExtent l="0" t="0" r="0" b="381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61815" cy="2448371"/>
                    </a:xfrm>
                    <a:prstGeom prst="rect">
                      <a:avLst/>
                    </a:prstGeom>
                  </pic:spPr>
                </pic:pic>
              </a:graphicData>
            </a:graphic>
          </wp:inline>
        </w:drawing>
      </w:r>
    </w:p>
    <w:p w14:paraId="7F560F84" w14:textId="239E463F" w:rsidR="009D7D5E" w:rsidRDefault="009D7D5E" w:rsidP="009D7D5E">
      <w:pPr>
        <w:pStyle w:val="CETCaption"/>
      </w:pPr>
      <w:r>
        <w:t>Figure 2: Bio-crude yields obtained by the performed tests.</w:t>
      </w:r>
    </w:p>
    <w:p w14:paraId="4F7B955C" w14:textId="2FCC40F1" w:rsidR="009D7D5E" w:rsidRDefault="00CB104D" w:rsidP="00453E24">
      <w:pPr>
        <w:pStyle w:val="CETBodytext"/>
      </w:pPr>
      <w:r>
        <w:t xml:space="preserve">HTL tests on the regenerated red mud were also performed and the results are reported in Table </w:t>
      </w:r>
      <w:r w:rsidR="00FE309C">
        <w:t>2</w:t>
      </w:r>
      <w:r>
        <w:t xml:space="preserve">. </w:t>
      </w:r>
      <w:r w:rsidR="00C45825">
        <w:t xml:space="preserve">Using the syngas as reducing agent the </w:t>
      </w:r>
      <w:r w:rsidR="00F53A44">
        <w:t xml:space="preserve">obtained </w:t>
      </w:r>
      <w:r w:rsidR="00C45825">
        <w:t xml:space="preserve">results are almost the same </w:t>
      </w:r>
      <w:r w:rsidR="00F53A44">
        <w:t xml:space="preserve">than those obtained using fresh red mud </w:t>
      </w:r>
      <w:r w:rsidR="00C45825">
        <w:t xml:space="preserve">while a little decrease in the oil yield is registered when the material is reduced with char. This behavior is due to the non-complete reduction of red mud with char at 900 °C, to have a complete reduction </w:t>
      </w:r>
      <w:r w:rsidR="00015107">
        <w:t>1000 °C are needed, while with the simulated syngas the reduction is complete.</w:t>
      </w:r>
    </w:p>
    <w:p w14:paraId="6D01B860" w14:textId="3FEA2607" w:rsidR="00CD7614" w:rsidRPr="00B57B36" w:rsidRDefault="00CD7614" w:rsidP="00CD7614">
      <w:pPr>
        <w:pStyle w:val="CETTabletitle"/>
      </w:pPr>
      <w:r w:rsidRPr="00B57B36">
        <w:t xml:space="preserve">Table </w:t>
      </w:r>
      <w:r w:rsidR="00FE309C">
        <w:t>2</w:t>
      </w:r>
      <w:r w:rsidRPr="00B57B36">
        <w:t xml:space="preserve">: </w:t>
      </w:r>
      <w:r w:rsidR="009218A0">
        <w:t>Oil yield obtained with the recycled red mud.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992"/>
      </w:tblGrid>
      <w:tr w:rsidR="00CD7614" w:rsidRPr="00B57B36" w14:paraId="3B7603E8" w14:textId="77777777" w:rsidTr="00CD7614">
        <w:tc>
          <w:tcPr>
            <w:tcW w:w="1418" w:type="dxa"/>
            <w:tcBorders>
              <w:top w:val="single" w:sz="12" w:space="0" w:color="008000"/>
              <w:bottom w:val="single" w:sz="6" w:space="0" w:color="008000"/>
            </w:tcBorders>
            <w:shd w:val="clear" w:color="auto" w:fill="FFFFFF"/>
          </w:tcPr>
          <w:p w14:paraId="760B3B39" w14:textId="45225F87" w:rsidR="00CD7614" w:rsidRPr="00B57B36" w:rsidRDefault="00CD7614" w:rsidP="00B930D6">
            <w:pPr>
              <w:pStyle w:val="CETBodytext"/>
              <w:rPr>
                <w:lang w:val="en-GB"/>
              </w:rPr>
            </w:pPr>
            <w:r>
              <w:rPr>
                <w:lang w:val="en-GB"/>
              </w:rPr>
              <w:t>Reductant</w:t>
            </w:r>
            <w:r w:rsidRPr="00B57B36">
              <w:rPr>
                <w:lang w:val="en-GB"/>
              </w:rPr>
              <w:t xml:space="preserve"> </w:t>
            </w:r>
          </w:p>
        </w:tc>
        <w:tc>
          <w:tcPr>
            <w:tcW w:w="992" w:type="dxa"/>
            <w:tcBorders>
              <w:top w:val="single" w:sz="12" w:space="0" w:color="008000"/>
              <w:bottom w:val="single" w:sz="6" w:space="0" w:color="008000"/>
            </w:tcBorders>
            <w:shd w:val="clear" w:color="auto" w:fill="FFFFFF"/>
          </w:tcPr>
          <w:p w14:paraId="27EBFFC1" w14:textId="31D6C4BE" w:rsidR="00CD7614" w:rsidRPr="00B57B36" w:rsidRDefault="00CD7614" w:rsidP="00B930D6">
            <w:pPr>
              <w:pStyle w:val="CETBodytext"/>
              <w:rPr>
                <w:lang w:val="en-GB"/>
              </w:rPr>
            </w:pPr>
            <w:r>
              <w:rPr>
                <w:lang w:val="en-GB"/>
              </w:rPr>
              <w:t xml:space="preserve">Oil </w:t>
            </w:r>
            <w:r w:rsidR="00C45825">
              <w:rPr>
                <w:lang w:val="en-GB"/>
              </w:rPr>
              <w:t>yield (%)</w:t>
            </w:r>
          </w:p>
        </w:tc>
      </w:tr>
      <w:tr w:rsidR="00CD7614" w:rsidRPr="00B57B36" w14:paraId="069EBDFE" w14:textId="77777777" w:rsidTr="00CD7614">
        <w:tc>
          <w:tcPr>
            <w:tcW w:w="1418" w:type="dxa"/>
            <w:shd w:val="clear" w:color="auto" w:fill="FFFFFF"/>
          </w:tcPr>
          <w:p w14:paraId="3980B33F" w14:textId="41C5D642" w:rsidR="00CD7614" w:rsidRPr="00B57B36" w:rsidRDefault="00CD7614" w:rsidP="00B930D6">
            <w:pPr>
              <w:pStyle w:val="CETBodytext"/>
              <w:rPr>
                <w:lang w:val="en-GB"/>
              </w:rPr>
            </w:pPr>
            <w:r>
              <w:rPr>
                <w:lang w:val="en-GB"/>
              </w:rPr>
              <w:t>Char</w:t>
            </w:r>
          </w:p>
        </w:tc>
        <w:tc>
          <w:tcPr>
            <w:tcW w:w="992" w:type="dxa"/>
            <w:shd w:val="clear" w:color="auto" w:fill="FFFFFF"/>
          </w:tcPr>
          <w:p w14:paraId="19695B2B" w14:textId="3FD44AA5" w:rsidR="00CD7614" w:rsidRPr="00B57B36" w:rsidRDefault="00C45825" w:rsidP="00B930D6">
            <w:pPr>
              <w:pStyle w:val="CETBodytext"/>
              <w:rPr>
                <w:lang w:val="en-GB"/>
              </w:rPr>
            </w:pPr>
            <w:r>
              <w:rPr>
                <w:lang w:val="en-GB"/>
              </w:rPr>
              <w:t>36.3 %</w:t>
            </w:r>
          </w:p>
        </w:tc>
      </w:tr>
      <w:tr w:rsidR="00CD7614" w:rsidRPr="00B57B36" w14:paraId="4F4399FB" w14:textId="77777777" w:rsidTr="00CD7614">
        <w:tc>
          <w:tcPr>
            <w:tcW w:w="1418" w:type="dxa"/>
            <w:shd w:val="clear" w:color="auto" w:fill="FFFFFF"/>
          </w:tcPr>
          <w:p w14:paraId="12EB6E2D" w14:textId="7D3E62DF" w:rsidR="00CD7614" w:rsidRPr="00B57B36" w:rsidRDefault="00CD7614" w:rsidP="00B930D6">
            <w:pPr>
              <w:pStyle w:val="CETBodytext"/>
              <w:ind w:right="-1"/>
              <w:rPr>
                <w:rFonts w:cs="Arial"/>
                <w:szCs w:val="18"/>
                <w:lang w:val="en-GB"/>
              </w:rPr>
            </w:pPr>
            <w:r>
              <w:rPr>
                <w:rFonts w:cs="Arial"/>
                <w:szCs w:val="18"/>
                <w:lang w:val="en-GB"/>
              </w:rPr>
              <w:t>Syngas</w:t>
            </w:r>
          </w:p>
        </w:tc>
        <w:tc>
          <w:tcPr>
            <w:tcW w:w="992" w:type="dxa"/>
            <w:shd w:val="clear" w:color="auto" w:fill="FFFFFF"/>
          </w:tcPr>
          <w:p w14:paraId="6CEE70F6" w14:textId="78C68470" w:rsidR="00CD7614" w:rsidRPr="00B57B36" w:rsidRDefault="00C45825" w:rsidP="00B930D6">
            <w:pPr>
              <w:pStyle w:val="CETBodytext"/>
              <w:ind w:right="-1"/>
              <w:rPr>
                <w:rFonts w:cs="Arial"/>
                <w:szCs w:val="18"/>
                <w:lang w:val="en-GB"/>
              </w:rPr>
            </w:pPr>
            <w:r>
              <w:rPr>
                <w:rFonts w:cs="Arial"/>
                <w:szCs w:val="18"/>
                <w:lang w:val="en-GB"/>
              </w:rPr>
              <w:t>37.2 %</w:t>
            </w:r>
          </w:p>
        </w:tc>
      </w:tr>
      <w:tr w:rsidR="00C45825" w:rsidRPr="00B57B36" w14:paraId="347EDD7B" w14:textId="77777777" w:rsidTr="00CD7614">
        <w:tc>
          <w:tcPr>
            <w:tcW w:w="1418" w:type="dxa"/>
            <w:shd w:val="clear" w:color="auto" w:fill="FFFFFF"/>
          </w:tcPr>
          <w:p w14:paraId="4F45CDCF" w14:textId="2F826119" w:rsidR="00C45825" w:rsidRDefault="00C45825" w:rsidP="00B930D6">
            <w:pPr>
              <w:pStyle w:val="CETBodytext"/>
              <w:ind w:right="-1"/>
              <w:rPr>
                <w:rFonts w:cs="Arial"/>
                <w:szCs w:val="18"/>
                <w:lang w:val="en-GB"/>
              </w:rPr>
            </w:pPr>
            <w:r>
              <w:rPr>
                <w:rFonts w:cs="Arial"/>
                <w:szCs w:val="18"/>
                <w:lang w:val="en-GB"/>
              </w:rPr>
              <w:t>Fresh</w:t>
            </w:r>
          </w:p>
        </w:tc>
        <w:tc>
          <w:tcPr>
            <w:tcW w:w="992" w:type="dxa"/>
            <w:shd w:val="clear" w:color="auto" w:fill="FFFFFF"/>
          </w:tcPr>
          <w:p w14:paraId="43F54C59" w14:textId="72D20056" w:rsidR="00C45825" w:rsidRPr="00B57B36" w:rsidRDefault="00C45825" w:rsidP="00B930D6">
            <w:pPr>
              <w:pStyle w:val="CETBodytext"/>
              <w:ind w:right="-1"/>
              <w:rPr>
                <w:rFonts w:cs="Arial"/>
                <w:szCs w:val="18"/>
                <w:lang w:val="en-GB"/>
              </w:rPr>
            </w:pPr>
            <w:r>
              <w:rPr>
                <w:rFonts w:cs="Arial"/>
                <w:szCs w:val="18"/>
                <w:lang w:val="en-GB"/>
              </w:rPr>
              <w:t>37.5 %</w:t>
            </w:r>
          </w:p>
        </w:tc>
      </w:tr>
    </w:tbl>
    <w:p w14:paraId="3B13F533" w14:textId="77777777" w:rsidR="009D7D5E" w:rsidRDefault="009D7D5E" w:rsidP="00453E24">
      <w:pPr>
        <w:pStyle w:val="CETBodytext"/>
      </w:pPr>
    </w:p>
    <w:p w14:paraId="39001BBE" w14:textId="65CF57B0" w:rsidR="000C656F" w:rsidRDefault="00CB104D" w:rsidP="00453E24">
      <w:pPr>
        <w:pStyle w:val="CETBodytext"/>
      </w:pPr>
      <w:r>
        <w:t xml:space="preserve">Two different regeneration methods </w:t>
      </w:r>
      <w:r w:rsidR="00015107">
        <w:t>are envisaged</w:t>
      </w:r>
      <w:r>
        <w:t xml:space="preserve">. </w:t>
      </w:r>
      <w:r w:rsidR="009D7D5E">
        <w:t>The process schem</w:t>
      </w:r>
      <w:r w:rsidR="00015107">
        <w:t>es</w:t>
      </w:r>
      <w:r w:rsidR="009D7D5E">
        <w:t xml:space="preserve"> are reported in Figure 3</w:t>
      </w:r>
      <w:r w:rsidR="00F53A44">
        <w:t xml:space="preserve">. </w:t>
      </w:r>
      <w:r>
        <w:t xml:space="preserve">In the first the solid residue, containing </w:t>
      </w:r>
      <w:r w:rsidR="009D7D5E">
        <w:t>exhausted red mud and char is sent to a reduction re</w:t>
      </w:r>
      <w:r w:rsidR="008F5DAA">
        <w:t>a</w:t>
      </w:r>
      <w:r w:rsidR="009D7D5E">
        <w:t>ctor having a temperature of 900 °C</w:t>
      </w:r>
      <w:r w:rsidR="00462693">
        <w:t xml:space="preserve"> (Figure </w:t>
      </w:r>
      <w:r w:rsidR="00A4740C">
        <w:t>3a)</w:t>
      </w:r>
      <w:r w:rsidR="009D7D5E">
        <w:t xml:space="preserve">. The second method consists in sending the HTL residue to a gasification reactor, fed with water vapor where the char is converted into a syngas which is then sent to </w:t>
      </w:r>
      <w:r w:rsidR="00015107">
        <w:t xml:space="preserve">a second reactor where the red mud </w:t>
      </w:r>
      <w:r w:rsidR="00F53A44">
        <w:t>is</w:t>
      </w:r>
      <w:r w:rsidR="00015107">
        <w:t xml:space="preserve"> reduced at 650 °C</w:t>
      </w:r>
      <w:r w:rsidR="00A4740C">
        <w:t xml:space="preserve"> (Figure 3b)</w:t>
      </w:r>
      <w:r w:rsidR="00015107">
        <w:t xml:space="preserve">. The red mud </w:t>
      </w:r>
      <w:r w:rsidR="009218A0">
        <w:t xml:space="preserve">to be integrated in every cycle </w:t>
      </w:r>
      <w:r w:rsidR="00F53A44">
        <w:t>is</w:t>
      </w:r>
      <w:r w:rsidR="009218A0">
        <w:t xml:space="preserve"> about 10 % of the total.</w:t>
      </w:r>
    </w:p>
    <w:p w14:paraId="408C812A" w14:textId="69440AC9" w:rsidR="009218A0" w:rsidRDefault="009218A0" w:rsidP="00453E24">
      <w:pPr>
        <w:pStyle w:val="CET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9218A0" w14:paraId="348FB07F" w14:textId="77777777" w:rsidTr="009218A0">
        <w:tc>
          <w:tcPr>
            <w:tcW w:w="8777" w:type="dxa"/>
          </w:tcPr>
          <w:p w14:paraId="0356D0AA" w14:textId="3B8B5882" w:rsidR="009218A0" w:rsidRDefault="009218A0" w:rsidP="00453E24">
            <w:pPr>
              <w:pStyle w:val="CETBodytext"/>
            </w:pPr>
            <w:r>
              <w:t>a)</w:t>
            </w:r>
          </w:p>
        </w:tc>
      </w:tr>
      <w:tr w:rsidR="009218A0" w14:paraId="5A671B92" w14:textId="77777777" w:rsidTr="009218A0">
        <w:tc>
          <w:tcPr>
            <w:tcW w:w="8777" w:type="dxa"/>
          </w:tcPr>
          <w:p w14:paraId="0772CE75" w14:textId="2DA61392" w:rsidR="009218A0" w:rsidRDefault="009218A0" w:rsidP="00453E24">
            <w:pPr>
              <w:pStyle w:val="CETBodytext"/>
            </w:pPr>
            <w:r w:rsidRPr="009218A0">
              <w:rPr>
                <w:noProof/>
                <w:lang w:val="en-GB"/>
              </w:rPr>
              <w:drawing>
                <wp:inline distT="0" distB="0" distL="0" distR="0" wp14:anchorId="57499750" wp14:editId="41E79D71">
                  <wp:extent cx="5491315" cy="2733472"/>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5394" cy="2735502"/>
                          </a:xfrm>
                          <a:prstGeom prst="rect">
                            <a:avLst/>
                          </a:prstGeom>
                        </pic:spPr>
                      </pic:pic>
                    </a:graphicData>
                  </a:graphic>
                </wp:inline>
              </w:drawing>
            </w:r>
          </w:p>
        </w:tc>
      </w:tr>
      <w:tr w:rsidR="009218A0" w14:paraId="5D81EBF4" w14:textId="77777777" w:rsidTr="009218A0">
        <w:tc>
          <w:tcPr>
            <w:tcW w:w="8777" w:type="dxa"/>
          </w:tcPr>
          <w:p w14:paraId="7C43240F" w14:textId="77777777" w:rsidR="00F53A44" w:rsidRDefault="00F53A44" w:rsidP="00453E24">
            <w:pPr>
              <w:pStyle w:val="CETBodytext"/>
            </w:pPr>
          </w:p>
          <w:p w14:paraId="40998B4D" w14:textId="49848730" w:rsidR="009218A0" w:rsidRDefault="009218A0" w:rsidP="00453E24">
            <w:pPr>
              <w:pStyle w:val="CETBodytext"/>
            </w:pPr>
            <w:r>
              <w:t>b)</w:t>
            </w:r>
          </w:p>
        </w:tc>
      </w:tr>
      <w:tr w:rsidR="009218A0" w14:paraId="7C01A8D8" w14:textId="77777777" w:rsidTr="009218A0">
        <w:tc>
          <w:tcPr>
            <w:tcW w:w="8777" w:type="dxa"/>
          </w:tcPr>
          <w:p w14:paraId="5C45C775" w14:textId="6A4D3451" w:rsidR="009218A0" w:rsidRDefault="009218A0" w:rsidP="00453E24">
            <w:pPr>
              <w:pStyle w:val="CETBodytext"/>
            </w:pPr>
            <w:r w:rsidRPr="009218A0">
              <w:rPr>
                <w:noProof/>
                <w:lang w:val="en-GB"/>
              </w:rPr>
              <w:drawing>
                <wp:inline distT="0" distB="0" distL="0" distR="0" wp14:anchorId="2EDCE503" wp14:editId="2FB9433B">
                  <wp:extent cx="5428034" cy="2869996"/>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48601" cy="2880871"/>
                          </a:xfrm>
                          <a:prstGeom prst="rect">
                            <a:avLst/>
                          </a:prstGeom>
                        </pic:spPr>
                      </pic:pic>
                    </a:graphicData>
                  </a:graphic>
                </wp:inline>
              </w:drawing>
            </w:r>
          </w:p>
        </w:tc>
      </w:tr>
    </w:tbl>
    <w:p w14:paraId="535B8B3C" w14:textId="0602DE5E" w:rsidR="009218A0" w:rsidRDefault="009218A0" w:rsidP="00A4740C">
      <w:pPr>
        <w:pStyle w:val="CETCaption"/>
      </w:pPr>
      <w:r>
        <w:t xml:space="preserve">Figure 3: Two </w:t>
      </w:r>
      <w:r w:rsidR="00657FA3">
        <w:t>possible process</w:t>
      </w:r>
      <w:r w:rsidR="003621B3">
        <w:t>es</w:t>
      </w:r>
      <w:r w:rsidR="00657FA3">
        <w:t xml:space="preserve"> for the HTL of biomass using red mud as hydrogen producer.</w:t>
      </w:r>
    </w:p>
    <w:p w14:paraId="727F29BA" w14:textId="355F0BC3" w:rsidR="000826D5" w:rsidRDefault="00462693" w:rsidP="000826D5">
      <w:pPr>
        <w:pStyle w:val="CETBodytext"/>
      </w:pPr>
      <w:r>
        <w:t>Elemental analysis of the bio-crude</w:t>
      </w:r>
      <w:r w:rsidR="00A4740C">
        <w:t xml:space="preserve">s was performed </w:t>
      </w:r>
      <w:proofErr w:type="gramStart"/>
      <w:r w:rsidR="00A4740C">
        <w:t>in order to</w:t>
      </w:r>
      <w:proofErr w:type="gramEnd"/>
      <w:r w:rsidR="00A4740C">
        <w:t xml:space="preserve"> understand the effect of the addition of red mud on the oil quality. The results are reported in Table </w:t>
      </w:r>
      <w:r w:rsidR="00FE309C">
        <w:t>3</w:t>
      </w:r>
      <w:r w:rsidR="00A4740C">
        <w:t xml:space="preserve">. </w:t>
      </w:r>
      <w:r w:rsidR="00DE1889">
        <w:t xml:space="preserve">The HHV was calculated with the Dulong formula while the ER value represents </w:t>
      </w:r>
      <w:r w:rsidR="000826D5">
        <w:t>the energy recovery index calculated by Eq. 1.</w:t>
      </w:r>
    </w:p>
    <w:p w14:paraId="64F9E303" w14:textId="77777777" w:rsidR="000826D5" w:rsidRDefault="000826D5" w:rsidP="000826D5">
      <w:pPr>
        <w:pStyle w:val="CETBodytext"/>
      </w:pPr>
    </w:p>
    <w:p w14:paraId="1D640E17" w14:textId="7FF860AF" w:rsidR="000826D5" w:rsidRDefault="000826D5" w:rsidP="00453E24">
      <w:pPr>
        <w:pStyle w:val="CETBodytext"/>
      </w:pPr>
      <m:oMath>
        <m:r>
          <w:rPr>
            <w:rFonts w:ascii="Cambria Math" w:hAnsi="Cambria Math"/>
          </w:rPr>
          <m:t xml:space="preserve">ER </m:t>
        </m:r>
        <m:d>
          <m:dPr>
            <m:ctrlPr>
              <w:rPr>
                <w:rFonts w:ascii="Cambria Math" w:hAnsi="Cambria Math"/>
                <w:i/>
              </w:rPr>
            </m:ctrlPr>
          </m:dPr>
          <m:e>
            <m:r>
              <w:rPr>
                <w:rFonts w:ascii="Cambria Math" w:hAnsi="Cambria Math"/>
              </w:rPr>
              <m:t>%</m:t>
            </m:r>
          </m:e>
        </m:d>
        <m:r>
          <w:rPr>
            <w:rFonts w:ascii="Cambria Math" w:hAnsi="Cambria Math"/>
          </w:rPr>
          <m:t>=</m:t>
        </m:r>
        <m:f>
          <m:fPr>
            <m:type m:val="lin"/>
            <m:ctrlPr>
              <w:rPr>
                <w:rFonts w:ascii="Cambria Math" w:hAnsi="Cambria Math"/>
                <w:i/>
              </w:rPr>
            </m:ctrlPr>
          </m:fPr>
          <m:num>
            <m:r>
              <w:rPr>
                <w:rFonts w:ascii="Cambria Math" w:hAnsi="Cambria Math"/>
              </w:rPr>
              <m:t>% bio-crude*HHV (bio-crude)</m:t>
            </m:r>
          </m:num>
          <m:den>
            <m:r>
              <w:rPr>
                <w:rFonts w:ascii="Cambria Math" w:hAnsi="Cambria Math"/>
              </w:rPr>
              <m:t>HHV (biomass)</m:t>
            </m:r>
          </m:den>
        </m:f>
      </m:oMath>
      <w:r>
        <w:t xml:space="preserve">                                                                          (1)</w:t>
      </w:r>
    </w:p>
    <w:p w14:paraId="7907505C" w14:textId="3360DF49" w:rsidR="00A4740C" w:rsidRPr="00B57B36" w:rsidRDefault="00A4740C" w:rsidP="00A4740C">
      <w:pPr>
        <w:pStyle w:val="CETTabletitle"/>
      </w:pPr>
      <w:r w:rsidRPr="00B57B36">
        <w:t xml:space="preserve">Table </w:t>
      </w:r>
      <w:r w:rsidR="00FE309C">
        <w:t>3</w:t>
      </w:r>
      <w:r w:rsidRPr="00B57B36">
        <w:t xml:space="preserve">: </w:t>
      </w:r>
      <w:r w:rsidR="00DE1889">
        <w:t>Elemental analysis of the bio-crudes.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993"/>
        <w:gridCol w:w="850"/>
        <w:gridCol w:w="1134"/>
        <w:gridCol w:w="992"/>
      </w:tblGrid>
      <w:tr w:rsidR="00A4740C" w:rsidRPr="00B57B36" w14:paraId="7D1D13F8" w14:textId="77777777" w:rsidTr="00DE1889">
        <w:tc>
          <w:tcPr>
            <w:tcW w:w="1701" w:type="dxa"/>
            <w:tcBorders>
              <w:top w:val="single" w:sz="12" w:space="0" w:color="008000"/>
              <w:bottom w:val="single" w:sz="6" w:space="0" w:color="008000"/>
            </w:tcBorders>
            <w:shd w:val="clear" w:color="auto" w:fill="FFFFFF"/>
          </w:tcPr>
          <w:p w14:paraId="28A2DE59" w14:textId="549C7C33" w:rsidR="00A4740C" w:rsidRPr="00B57B36" w:rsidRDefault="00A4740C" w:rsidP="00B930D6">
            <w:pPr>
              <w:pStyle w:val="CETBodytext"/>
              <w:rPr>
                <w:lang w:val="en-GB"/>
              </w:rPr>
            </w:pPr>
          </w:p>
        </w:tc>
        <w:tc>
          <w:tcPr>
            <w:tcW w:w="993" w:type="dxa"/>
            <w:tcBorders>
              <w:top w:val="single" w:sz="12" w:space="0" w:color="008000"/>
              <w:bottom w:val="single" w:sz="6" w:space="0" w:color="008000"/>
            </w:tcBorders>
            <w:shd w:val="clear" w:color="auto" w:fill="FFFFFF"/>
          </w:tcPr>
          <w:p w14:paraId="0B38B8CD" w14:textId="26C38F6E" w:rsidR="00A4740C" w:rsidRPr="00B57B36" w:rsidRDefault="00DE1889" w:rsidP="00B930D6">
            <w:pPr>
              <w:pStyle w:val="CETBodytext"/>
              <w:rPr>
                <w:lang w:val="en-GB"/>
              </w:rPr>
            </w:pPr>
            <w:r>
              <w:rPr>
                <w:lang w:val="en-GB"/>
              </w:rPr>
              <w:t>H/C</w:t>
            </w:r>
          </w:p>
        </w:tc>
        <w:tc>
          <w:tcPr>
            <w:tcW w:w="850" w:type="dxa"/>
            <w:tcBorders>
              <w:top w:val="single" w:sz="12" w:space="0" w:color="008000"/>
              <w:bottom w:val="single" w:sz="6" w:space="0" w:color="008000"/>
            </w:tcBorders>
            <w:shd w:val="clear" w:color="auto" w:fill="FFFFFF"/>
          </w:tcPr>
          <w:p w14:paraId="1A165A5B" w14:textId="776E5AE2" w:rsidR="00A4740C" w:rsidRPr="00B57B36" w:rsidRDefault="00DE1889" w:rsidP="00B930D6">
            <w:pPr>
              <w:pStyle w:val="CETBodytext"/>
              <w:rPr>
                <w:lang w:val="en-GB"/>
              </w:rPr>
            </w:pPr>
            <w:r>
              <w:rPr>
                <w:lang w:val="en-GB"/>
              </w:rPr>
              <w:t>O/C</w:t>
            </w:r>
          </w:p>
        </w:tc>
        <w:tc>
          <w:tcPr>
            <w:tcW w:w="1134" w:type="dxa"/>
            <w:tcBorders>
              <w:top w:val="single" w:sz="12" w:space="0" w:color="008000"/>
              <w:bottom w:val="single" w:sz="6" w:space="0" w:color="008000"/>
            </w:tcBorders>
            <w:shd w:val="clear" w:color="auto" w:fill="FFFFFF"/>
          </w:tcPr>
          <w:p w14:paraId="66950C47" w14:textId="77B08F6F" w:rsidR="00A4740C" w:rsidRPr="00B57B36" w:rsidRDefault="00DE1889" w:rsidP="00B930D6">
            <w:pPr>
              <w:pStyle w:val="CETBodytext"/>
              <w:ind w:right="-1"/>
              <w:rPr>
                <w:rFonts w:cs="Arial"/>
                <w:szCs w:val="18"/>
                <w:lang w:val="en-GB"/>
              </w:rPr>
            </w:pPr>
            <w:r>
              <w:rPr>
                <w:rFonts w:cs="Arial"/>
                <w:szCs w:val="18"/>
                <w:lang w:val="en-GB"/>
              </w:rPr>
              <w:t>HHV (MJ/kg)</w:t>
            </w:r>
          </w:p>
        </w:tc>
        <w:tc>
          <w:tcPr>
            <w:tcW w:w="992" w:type="dxa"/>
            <w:tcBorders>
              <w:top w:val="single" w:sz="12" w:space="0" w:color="008000"/>
              <w:bottom w:val="single" w:sz="6" w:space="0" w:color="008000"/>
            </w:tcBorders>
            <w:shd w:val="clear" w:color="auto" w:fill="FFFFFF"/>
          </w:tcPr>
          <w:p w14:paraId="7F04FAF9" w14:textId="7EFE3E65" w:rsidR="00A4740C" w:rsidRPr="00B57B36" w:rsidRDefault="00DE1889" w:rsidP="00B930D6">
            <w:pPr>
              <w:pStyle w:val="CETBodytext"/>
              <w:ind w:right="-1"/>
              <w:rPr>
                <w:rFonts w:cs="Arial"/>
                <w:szCs w:val="18"/>
                <w:lang w:val="en-GB"/>
              </w:rPr>
            </w:pPr>
            <w:r>
              <w:rPr>
                <w:rFonts w:cs="Arial"/>
                <w:szCs w:val="18"/>
                <w:lang w:val="en-GB"/>
              </w:rPr>
              <w:t>ER (%)</w:t>
            </w:r>
          </w:p>
        </w:tc>
      </w:tr>
      <w:tr w:rsidR="00A4740C" w:rsidRPr="00B57B36" w14:paraId="50C8969F" w14:textId="77777777" w:rsidTr="00DE1889">
        <w:tc>
          <w:tcPr>
            <w:tcW w:w="1701" w:type="dxa"/>
            <w:shd w:val="clear" w:color="auto" w:fill="FFFFFF"/>
          </w:tcPr>
          <w:p w14:paraId="5F94187D" w14:textId="2721976D" w:rsidR="00A4740C" w:rsidRPr="00B57B36" w:rsidRDefault="00A4740C" w:rsidP="00B930D6">
            <w:pPr>
              <w:pStyle w:val="CETBodytext"/>
              <w:rPr>
                <w:lang w:val="en-GB"/>
              </w:rPr>
            </w:pPr>
            <w:r>
              <w:rPr>
                <w:lang w:val="en-GB"/>
              </w:rPr>
              <w:t>Blank</w:t>
            </w:r>
          </w:p>
        </w:tc>
        <w:tc>
          <w:tcPr>
            <w:tcW w:w="993" w:type="dxa"/>
            <w:shd w:val="clear" w:color="auto" w:fill="FFFFFF"/>
          </w:tcPr>
          <w:p w14:paraId="4F7C55F1" w14:textId="04F0B6DC" w:rsidR="00A4740C" w:rsidRPr="00B57B36" w:rsidRDefault="00DE1889" w:rsidP="00B930D6">
            <w:pPr>
              <w:pStyle w:val="CETBodytext"/>
              <w:rPr>
                <w:lang w:val="en-GB"/>
              </w:rPr>
            </w:pPr>
            <w:r>
              <w:rPr>
                <w:lang w:val="en-GB"/>
              </w:rPr>
              <w:t>0.92</w:t>
            </w:r>
          </w:p>
        </w:tc>
        <w:tc>
          <w:tcPr>
            <w:tcW w:w="850" w:type="dxa"/>
            <w:shd w:val="clear" w:color="auto" w:fill="FFFFFF"/>
          </w:tcPr>
          <w:p w14:paraId="6FF9D2EB" w14:textId="69D5F297" w:rsidR="00A4740C" w:rsidRPr="00B57B36" w:rsidRDefault="00DE1889" w:rsidP="00B930D6">
            <w:pPr>
              <w:pStyle w:val="CETBodytext"/>
              <w:rPr>
                <w:lang w:val="en-GB"/>
              </w:rPr>
            </w:pPr>
            <w:r>
              <w:rPr>
                <w:lang w:val="en-GB"/>
              </w:rPr>
              <w:t>0.25</w:t>
            </w:r>
          </w:p>
        </w:tc>
        <w:tc>
          <w:tcPr>
            <w:tcW w:w="1134" w:type="dxa"/>
            <w:shd w:val="clear" w:color="auto" w:fill="FFFFFF"/>
          </w:tcPr>
          <w:p w14:paraId="5E1D6F70" w14:textId="12BE81F5" w:rsidR="00A4740C" w:rsidRPr="00B57B36" w:rsidRDefault="00DE1889" w:rsidP="00B930D6">
            <w:pPr>
              <w:pStyle w:val="CETBodytext"/>
              <w:ind w:right="-1"/>
              <w:rPr>
                <w:rFonts w:cs="Arial"/>
                <w:szCs w:val="18"/>
                <w:lang w:val="en-GB"/>
              </w:rPr>
            </w:pPr>
            <w:r>
              <w:rPr>
                <w:rFonts w:cs="Arial"/>
                <w:szCs w:val="18"/>
                <w:lang w:val="en-GB"/>
              </w:rPr>
              <w:t>27.84</w:t>
            </w:r>
          </w:p>
        </w:tc>
        <w:tc>
          <w:tcPr>
            <w:tcW w:w="992" w:type="dxa"/>
            <w:shd w:val="clear" w:color="auto" w:fill="FFFFFF"/>
          </w:tcPr>
          <w:p w14:paraId="2A491573" w14:textId="0266682E" w:rsidR="00A4740C" w:rsidRPr="00B57B36" w:rsidRDefault="00DE1889" w:rsidP="00B930D6">
            <w:pPr>
              <w:pStyle w:val="CETBodytext"/>
              <w:ind w:right="-1"/>
              <w:rPr>
                <w:rFonts w:cs="Arial"/>
                <w:szCs w:val="18"/>
                <w:lang w:val="en-GB"/>
              </w:rPr>
            </w:pPr>
            <w:r>
              <w:rPr>
                <w:rFonts w:cs="Arial"/>
                <w:szCs w:val="18"/>
                <w:lang w:val="en-GB"/>
              </w:rPr>
              <w:t>44.12</w:t>
            </w:r>
          </w:p>
        </w:tc>
      </w:tr>
      <w:tr w:rsidR="00A4740C" w:rsidRPr="00B57B36" w14:paraId="2046BBB9" w14:textId="77777777" w:rsidTr="00DE1889">
        <w:tc>
          <w:tcPr>
            <w:tcW w:w="1701" w:type="dxa"/>
            <w:shd w:val="clear" w:color="auto" w:fill="FFFFFF"/>
          </w:tcPr>
          <w:p w14:paraId="3A47344B" w14:textId="18B9E3A6" w:rsidR="00A4740C" w:rsidRPr="00B57B36" w:rsidRDefault="00A4740C" w:rsidP="00B930D6">
            <w:pPr>
              <w:pStyle w:val="CETBodytext"/>
              <w:ind w:right="-1"/>
              <w:rPr>
                <w:rFonts w:cs="Arial"/>
                <w:szCs w:val="18"/>
                <w:lang w:val="en-GB"/>
              </w:rPr>
            </w:pPr>
            <w:r>
              <w:rPr>
                <w:rFonts w:cs="Arial"/>
                <w:szCs w:val="18"/>
                <w:lang w:val="en-GB"/>
              </w:rPr>
              <w:t>Iron</w:t>
            </w:r>
          </w:p>
        </w:tc>
        <w:tc>
          <w:tcPr>
            <w:tcW w:w="993" w:type="dxa"/>
            <w:shd w:val="clear" w:color="auto" w:fill="FFFFFF"/>
          </w:tcPr>
          <w:p w14:paraId="58ADF59D" w14:textId="41C6D901" w:rsidR="00A4740C" w:rsidRPr="00B57B36" w:rsidRDefault="00DE1889" w:rsidP="00B930D6">
            <w:pPr>
              <w:pStyle w:val="CETBodytext"/>
              <w:ind w:right="-1"/>
              <w:rPr>
                <w:rFonts w:cs="Arial"/>
                <w:szCs w:val="18"/>
                <w:lang w:val="en-GB"/>
              </w:rPr>
            </w:pPr>
            <w:r>
              <w:rPr>
                <w:rFonts w:cs="Arial"/>
                <w:szCs w:val="18"/>
                <w:lang w:val="en-GB"/>
              </w:rPr>
              <w:t>1.05</w:t>
            </w:r>
          </w:p>
        </w:tc>
        <w:tc>
          <w:tcPr>
            <w:tcW w:w="850" w:type="dxa"/>
            <w:shd w:val="clear" w:color="auto" w:fill="FFFFFF"/>
          </w:tcPr>
          <w:p w14:paraId="24B4761B" w14:textId="7D515213" w:rsidR="00A4740C" w:rsidRPr="00B57B36" w:rsidRDefault="00DE1889" w:rsidP="00B930D6">
            <w:pPr>
              <w:pStyle w:val="CETBodytext"/>
              <w:ind w:right="-1"/>
              <w:rPr>
                <w:rFonts w:cs="Arial"/>
                <w:szCs w:val="18"/>
                <w:lang w:val="en-GB"/>
              </w:rPr>
            </w:pPr>
            <w:r>
              <w:rPr>
                <w:rFonts w:cs="Arial"/>
                <w:szCs w:val="18"/>
                <w:lang w:val="en-GB"/>
              </w:rPr>
              <w:t>0.23</w:t>
            </w:r>
          </w:p>
        </w:tc>
        <w:tc>
          <w:tcPr>
            <w:tcW w:w="1134" w:type="dxa"/>
            <w:shd w:val="clear" w:color="auto" w:fill="FFFFFF"/>
          </w:tcPr>
          <w:p w14:paraId="3A23BD21" w14:textId="26682F89" w:rsidR="00A4740C" w:rsidRPr="00B57B36" w:rsidRDefault="00DE1889" w:rsidP="00B930D6">
            <w:pPr>
              <w:pStyle w:val="CETBodytext"/>
              <w:ind w:right="-1"/>
              <w:rPr>
                <w:rFonts w:cs="Arial"/>
                <w:szCs w:val="18"/>
                <w:lang w:val="en-GB"/>
              </w:rPr>
            </w:pPr>
            <w:r>
              <w:rPr>
                <w:rFonts w:cs="Arial"/>
                <w:szCs w:val="18"/>
                <w:lang w:val="en-GB"/>
              </w:rPr>
              <w:t>28.88</w:t>
            </w:r>
          </w:p>
        </w:tc>
        <w:tc>
          <w:tcPr>
            <w:tcW w:w="992" w:type="dxa"/>
            <w:shd w:val="clear" w:color="auto" w:fill="FFFFFF"/>
          </w:tcPr>
          <w:p w14:paraId="081B743B" w14:textId="412BC2F4" w:rsidR="00A4740C" w:rsidRPr="00B57B36" w:rsidRDefault="00DE1889" w:rsidP="00B930D6">
            <w:pPr>
              <w:pStyle w:val="CETBodytext"/>
              <w:ind w:right="-1"/>
              <w:rPr>
                <w:rFonts w:cs="Arial"/>
                <w:szCs w:val="18"/>
                <w:lang w:val="en-GB"/>
              </w:rPr>
            </w:pPr>
            <w:r>
              <w:rPr>
                <w:rFonts w:cs="Arial"/>
                <w:szCs w:val="18"/>
                <w:lang w:val="en-GB"/>
              </w:rPr>
              <w:t>55.29</w:t>
            </w:r>
          </w:p>
        </w:tc>
      </w:tr>
      <w:tr w:rsidR="00A4740C" w:rsidRPr="00B57B36" w14:paraId="65EE0214" w14:textId="77777777" w:rsidTr="00DE1889">
        <w:tc>
          <w:tcPr>
            <w:tcW w:w="1701" w:type="dxa"/>
            <w:shd w:val="clear" w:color="auto" w:fill="FFFFFF"/>
          </w:tcPr>
          <w:p w14:paraId="70C35B3C" w14:textId="5F7EB8AD" w:rsidR="00A4740C" w:rsidRDefault="00A4740C" w:rsidP="00B930D6">
            <w:pPr>
              <w:pStyle w:val="CETBodytext"/>
              <w:ind w:right="-1"/>
              <w:rPr>
                <w:rFonts w:cs="Arial"/>
                <w:szCs w:val="18"/>
                <w:lang w:val="en-GB"/>
              </w:rPr>
            </w:pPr>
            <w:r>
              <w:rPr>
                <w:rFonts w:cs="Arial"/>
                <w:szCs w:val="18"/>
                <w:lang w:val="en-GB"/>
              </w:rPr>
              <w:t>Red Mud (0.2 g)</w:t>
            </w:r>
          </w:p>
        </w:tc>
        <w:tc>
          <w:tcPr>
            <w:tcW w:w="993" w:type="dxa"/>
            <w:shd w:val="clear" w:color="auto" w:fill="FFFFFF"/>
          </w:tcPr>
          <w:p w14:paraId="118FFB2B" w14:textId="3E7DF42E" w:rsidR="00A4740C" w:rsidRPr="00B57B36" w:rsidRDefault="00DE1889" w:rsidP="00B930D6">
            <w:pPr>
              <w:pStyle w:val="CETBodytext"/>
              <w:ind w:right="-1"/>
              <w:rPr>
                <w:rFonts w:cs="Arial"/>
                <w:szCs w:val="18"/>
                <w:lang w:val="en-GB"/>
              </w:rPr>
            </w:pPr>
            <w:r>
              <w:rPr>
                <w:rFonts w:cs="Arial"/>
                <w:szCs w:val="18"/>
                <w:lang w:val="en-GB"/>
              </w:rPr>
              <w:t>1.04</w:t>
            </w:r>
          </w:p>
        </w:tc>
        <w:tc>
          <w:tcPr>
            <w:tcW w:w="850" w:type="dxa"/>
            <w:shd w:val="clear" w:color="auto" w:fill="FFFFFF"/>
          </w:tcPr>
          <w:p w14:paraId="5BA36986" w14:textId="1C4B6C1E" w:rsidR="00A4740C" w:rsidRPr="00B57B36" w:rsidRDefault="00DE1889" w:rsidP="00B930D6">
            <w:pPr>
              <w:pStyle w:val="CETBodytext"/>
              <w:ind w:right="-1"/>
              <w:rPr>
                <w:rFonts w:cs="Arial"/>
                <w:szCs w:val="18"/>
                <w:lang w:val="en-GB"/>
              </w:rPr>
            </w:pPr>
            <w:r>
              <w:rPr>
                <w:rFonts w:cs="Arial"/>
                <w:szCs w:val="18"/>
                <w:lang w:val="en-GB"/>
              </w:rPr>
              <w:t>0.24</w:t>
            </w:r>
          </w:p>
        </w:tc>
        <w:tc>
          <w:tcPr>
            <w:tcW w:w="1134" w:type="dxa"/>
            <w:shd w:val="clear" w:color="auto" w:fill="FFFFFF"/>
          </w:tcPr>
          <w:p w14:paraId="27142FC5" w14:textId="2FB07E19" w:rsidR="00DE1889" w:rsidRPr="00B57B36" w:rsidRDefault="00DE1889" w:rsidP="00B930D6">
            <w:pPr>
              <w:pStyle w:val="CETBodytext"/>
              <w:ind w:right="-1"/>
              <w:rPr>
                <w:rFonts w:cs="Arial"/>
                <w:szCs w:val="18"/>
                <w:lang w:val="en-GB"/>
              </w:rPr>
            </w:pPr>
            <w:r>
              <w:rPr>
                <w:rFonts w:cs="Arial"/>
                <w:szCs w:val="18"/>
                <w:lang w:val="en-GB"/>
              </w:rPr>
              <w:t>28.12</w:t>
            </w:r>
          </w:p>
        </w:tc>
        <w:tc>
          <w:tcPr>
            <w:tcW w:w="992" w:type="dxa"/>
            <w:shd w:val="clear" w:color="auto" w:fill="FFFFFF"/>
          </w:tcPr>
          <w:p w14:paraId="4C79563B" w14:textId="1B55BB60" w:rsidR="00A4740C" w:rsidRPr="00B57B36" w:rsidRDefault="00DE1889" w:rsidP="00B930D6">
            <w:pPr>
              <w:pStyle w:val="CETBodytext"/>
              <w:ind w:right="-1"/>
              <w:rPr>
                <w:rFonts w:cs="Arial"/>
                <w:szCs w:val="18"/>
                <w:lang w:val="en-GB"/>
              </w:rPr>
            </w:pPr>
            <w:r>
              <w:rPr>
                <w:rFonts w:cs="Arial"/>
                <w:szCs w:val="18"/>
                <w:lang w:val="en-GB"/>
              </w:rPr>
              <w:t>51.24</w:t>
            </w:r>
          </w:p>
        </w:tc>
      </w:tr>
      <w:tr w:rsidR="00A4740C" w:rsidRPr="00B57B36" w14:paraId="73AA5380" w14:textId="77777777" w:rsidTr="00DE1889">
        <w:tc>
          <w:tcPr>
            <w:tcW w:w="1701" w:type="dxa"/>
            <w:shd w:val="clear" w:color="auto" w:fill="FFFFFF"/>
          </w:tcPr>
          <w:p w14:paraId="3D1A15E8" w14:textId="149EC45B" w:rsidR="00A4740C" w:rsidRDefault="00A4740C" w:rsidP="00B930D6">
            <w:pPr>
              <w:pStyle w:val="CETBodytext"/>
              <w:ind w:right="-1"/>
              <w:rPr>
                <w:rFonts w:cs="Arial"/>
                <w:szCs w:val="18"/>
                <w:lang w:val="en-GB"/>
              </w:rPr>
            </w:pPr>
            <w:r>
              <w:rPr>
                <w:rFonts w:cs="Arial"/>
                <w:szCs w:val="18"/>
                <w:lang w:val="en-GB"/>
              </w:rPr>
              <w:t>Red Mud (0.5g)</w:t>
            </w:r>
          </w:p>
        </w:tc>
        <w:tc>
          <w:tcPr>
            <w:tcW w:w="993" w:type="dxa"/>
            <w:shd w:val="clear" w:color="auto" w:fill="FFFFFF"/>
          </w:tcPr>
          <w:p w14:paraId="2CC73442" w14:textId="5F333C80" w:rsidR="00A4740C" w:rsidRPr="00B57B36" w:rsidRDefault="00DE1889" w:rsidP="00B930D6">
            <w:pPr>
              <w:pStyle w:val="CETBodytext"/>
              <w:ind w:right="-1"/>
              <w:rPr>
                <w:rFonts w:cs="Arial"/>
                <w:szCs w:val="18"/>
                <w:lang w:val="en-GB"/>
              </w:rPr>
            </w:pPr>
            <w:r>
              <w:rPr>
                <w:rFonts w:cs="Arial"/>
                <w:szCs w:val="18"/>
                <w:lang w:val="en-GB"/>
              </w:rPr>
              <w:t>1.0</w:t>
            </w:r>
            <w:r w:rsidR="00DB4737">
              <w:rPr>
                <w:rFonts w:cs="Arial"/>
                <w:szCs w:val="18"/>
                <w:lang w:val="en-GB"/>
              </w:rPr>
              <w:t>4</w:t>
            </w:r>
          </w:p>
        </w:tc>
        <w:tc>
          <w:tcPr>
            <w:tcW w:w="850" w:type="dxa"/>
            <w:shd w:val="clear" w:color="auto" w:fill="FFFFFF"/>
          </w:tcPr>
          <w:p w14:paraId="712C8CAF" w14:textId="6ADA66D5" w:rsidR="00A4740C" w:rsidRPr="00B57B36" w:rsidRDefault="00DE1889" w:rsidP="00B930D6">
            <w:pPr>
              <w:pStyle w:val="CETBodytext"/>
              <w:ind w:right="-1"/>
              <w:rPr>
                <w:rFonts w:cs="Arial"/>
                <w:szCs w:val="18"/>
                <w:lang w:val="en-GB"/>
              </w:rPr>
            </w:pPr>
            <w:r>
              <w:rPr>
                <w:rFonts w:cs="Arial"/>
                <w:szCs w:val="18"/>
                <w:lang w:val="en-GB"/>
              </w:rPr>
              <w:t>0.2</w:t>
            </w:r>
            <w:r w:rsidR="00DB4737">
              <w:rPr>
                <w:rFonts w:cs="Arial"/>
                <w:szCs w:val="18"/>
                <w:lang w:val="en-GB"/>
              </w:rPr>
              <w:t>3</w:t>
            </w:r>
          </w:p>
        </w:tc>
        <w:tc>
          <w:tcPr>
            <w:tcW w:w="1134" w:type="dxa"/>
            <w:shd w:val="clear" w:color="auto" w:fill="FFFFFF"/>
          </w:tcPr>
          <w:p w14:paraId="551E0511" w14:textId="0EEDC0B0" w:rsidR="00A4740C" w:rsidRPr="00B57B36" w:rsidRDefault="00DE1889" w:rsidP="00B930D6">
            <w:pPr>
              <w:pStyle w:val="CETBodytext"/>
              <w:ind w:right="-1"/>
              <w:rPr>
                <w:rFonts w:cs="Arial"/>
                <w:szCs w:val="18"/>
                <w:lang w:val="en-GB"/>
              </w:rPr>
            </w:pPr>
            <w:r>
              <w:rPr>
                <w:rFonts w:cs="Arial"/>
                <w:szCs w:val="18"/>
                <w:lang w:val="en-GB"/>
              </w:rPr>
              <w:t>28.57</w:t>
            </w:r>
          </w:p>
        </w:tc>
        <w:tc>
          <w:tcPr>
            <w:tcW w:w="992" w:type="dxa"/>
            <w:shd w:val="clear" w:color="auto" w:fill="FFFFFF"/>
          </w:tcPr>
          <w:p w14:paraId="7BB541CD" w14:textId="15E5B4AA" w:rsidR="00A4740C" w:rsidRPr="00B57B36" w:rsidRDefault="00DE1889" w:rsidP="00B930D6">
            <w:pPr>
              <w:pStyle w:val="CETBodytext"/>
              <w:ind w:right="-1"/>
              <w:rPr>
                <w:rFonts w:cs="Arial"/>
                <w:szCs w:val="18"/>
                <w:lang w:val="en-GB"/>
              </w:rPr>
            </w:pPr>
            <w:r>
              <w:rPr>
                <w:rFonts w:cs="Arial"/>
                <w:szCs w:val="18"/>
                <w:lang w:val="en-GB"/>
              </w:rPr>
              <w:t>54.93</w:t>
            </w:r>
          </w:p>
        </w:tc>
      </w:tr>
      <w:tr w:rsidR="00A4740C" w:rsidRPr="00B57B36" w14:paraId="49A0C446" w14:textId="77777777" w:rsidTr="00DE1889">
        <w:tc>
          <w:tcPr>
            <w:tcW w:w="1701" w:type="dxa"/>
            <w:shd w:val="clear" w:color="auto" w:fill="FFFFFF"/>
          </w:tcPr>
          <w:p w14:paraId="06D3C0B3" w14:textId="29C06DE8" w:rsidR="00A4740C" w:rsidRDefault="00A4740C" w:rsidP="00B930D6">
            <w:pPr>
              <w:pStyle w:val="CETBodytext"/>
              <w:ind w:right="-1"/>
              <w:rPr>
                <w:rFonts w:cs="Arial"/>
                <w:szCs w:val="18"/>
                <w:lang w:val="en-GB"/>
              </w:rPr>
            </w:pPr>
            <w:r>
              <w:rPr>
                <w:rFonts w:cs="Arial"/>
                <w:szCs w:val="18"/>
                <w:lang w:val="en-GB"/>
              </w:rPr>
              <w:t>Red Mud (Char)</w:t>
            </w:r>
          </w:p>
        </w:tc>
        <w:tc>
          <w:tcPr>
            <w:tcW w:w="993" w:type="dxa"/>
            <w:shd w:val="clear" w:color="auto" w:fill="FFFFFF"/>
          </w:tcPr>
          <w:p w14:paraId="04943858" w14:textId="563253A4" w:rsidR="00A4740C" w:rsidRPr="00B57B36" w:rsidRDefault="00DE1889" w:rsidP="00B930D6">
            <w:pPr>
              <w:pStyle w:val="CETBodytext"/>
              <w:ind w:right="-1"/>
              <w:rPr>
                <w:rFonts w:cs="Arial"/>
                <w:szCs w:val="18"/>
                <w:lang w:val="en-GB"/>
              </w:rPr>
            </w:pPr>
            <w:r>
              <w:rPr>
                <w:rFonts w:cs="Arial"/>
                <w:szCs w:val="18"/>
                <w:lang w:val="en-GB"/>
              </w:rPr>
              <w:t>1.0</w:t>
            </w:r>
            <w:r w:rsidR="00DB4737">
              <w:rPr>
                <w:rFonts w:cs="Arial"/>
                <w:szCs w:val="18"/>
                <w:lang w:val="en-GB"/>
              </w:rPr>
              <w:t>2</w:t>
            </w:r>
          </w:p>
        </w:tc>
        <w:tc>
          <w:tcPr>
            <w:tcW w:w="850" w:type="dxa"/>
            <w:shd w:val="clear" w:color="auto" w:fill="FFFFFF"/>
          </w:tcPr>
          <w:p w14:paraId="45424CFA" w14:textId="0E0578AF" w:rsidR="00A4740C" w:rsidRPr="00B57B36" w:rsidRDefault="00DE1889" w:rsidP="00B930D6">
            <w:pPr>
              <w:pStyle w:val="CETBodytext"/>
              <w:ind w:right="-1"/>
              <w:rPr>
                <w:rFonts w:cs="Arial"/>
                <w:szCs w:val="18"/>
                <w:lang w:val="en-GB"/>
              </w:rPr>
            </w:pPr>
            <w:r>
              <w:rPr>
                <w:rFonts w:cs="Arial"/>
                <w:szCs w:val="18"/>
                <w:lang w:val="en-GB"/>
              </w:rPr>
              <w:t>0.2</w:t>
            </w:r>
            <w:r w:rsidR="00DB4737">
              <w:rPr>
                <w:rFonts w:cs="Arial"/>
                <w:szCs w:val="18"/>
                <w:lang w:val="en-GB"/>
              </w:rPr>
              <w:t>4</w:t>
            </w:r>
          </w:p>
        </w:tc>
        <w:tc>
          <w:tcPr>
            <w:tcW w:w="1134" w:type="dxa"/>
            <w:shd w:val="clear" w:color="auto" w:fill="FFFFFF"/>
          </w:tcPr>
          <w:p w14:paraId="1B8FF7D4" w14:textId="4A319EFE" w:rsidR="00A4740C" w:rsidRPr="00B57B36" w:rsidRDefault="00DE1889" w:rsidP="00B930D6">
            <w:pPr>
              <w:pStyle w:val="CETBodytext"/>
              <w:ind w:right="-1"/>
              <w:rPr>
                <w:rFonts w:cs="Arial"/>
                <w:szCs w:val="18"/>
                <w:lang w:val="en-GB"/>
              </w:rPr>
            </w:pPr>
            <w:r>
              <w:rPr>
                <w:rFonts w:cs="Arial"/>
                <w:szCs w:val="18"/>
                <w:lang w:val="en-GB"/>
              </w:rPr>
              <w:t>27.96</w:t>
            </w:r>
          </w:p>
        </w:tc>
        <w:tc>
          <w:tcPr>
            <w:tcW w:w="992" w:type="dxa"/>
            <w:shd w:val="clear" w:color="auto" w:fill="FFFFFF"/>
          </w:tcPr>
          <w:p w14:paraId="7D232DCB" w14:textId="4765D8C7" w:rsidR="00A4740C" w:rsidRPr="00B57B36" w:rsidRDefault="00DE1889" w:rsidP="00B930D6">
            <w:pPr>
              <w:pStyle w:val="CETBodytext"/>
              <w:ind w:right="-1"/>
              <w:rPr>
                <w:rFonts w:cs="Arial"/>
                <w:szCs w:val="18"/>
                <w:lang w:val="en-GB"/>
              </w:rPr>
            </w:pPr>
            <w:r>
              <w:rPr>
                <w:rFonts w:cs="Arial"/>
                <w:szCs w:val="18"/>
                <w:lang w:val="en-GB"/>
              </w:rPr>
              <w:t>4</w:t>
            </w:r>
            <w:r w:rsidR="00DB4737">
              <w:rPr>
                <w:rFonts w:cs="Arial"/>
                <w:szCs w:val="18"/>
                <w:lang w:val="en-GB"/>
              </w:rPr>
              <w:t>8</w:t>
            </w:r>
            <w:r>
              <w:rPr>
                <w:rFonts w:cs="Arial"/>
                <w:szCs w:val="18"/>
                <w:lang w:val="en-GB"/>
              </w:rPr>
              <w:t>.12</w:t>
            </w:r>
          </w:p>
        </w:tc>
      </w:tr>
      <w:tr w:rsidR="00A4740C" w:rsidRPr="00B57B36" w14:paraId="0FE941F5" w14:textId="77777777" w:rsidTr="00DE1889">
        <w:tc>
          <w:tcPr>
            <w:tcW w:w="1701" w:type="dxa"/>
            <w:shd w:val="clear" w:color="auto" w:fill="FFFFFF"/>
          </w:tcPr>
          <w:p w14:paraId="45043348" w14:textId="150549D1" w:rsidR="00A4740C" w:rsidRDefault="00A4740C" w:rsidP="00B930D6">
            <w:pPr>
              <w:pStyle w:val="CETBodytext"/>
              <w:ind w:right="-1"/>
              <w:rPr>
                <w:rFonts w:cs="Arial"/>
                <w:szCs w:val="18"/>
                <w:lang w:val="en-GB"/>
              </w:rPr>
            </w:pPr>
            <w:r>
              <w:rPr>
                <w:rFonts w:cs="Arial"/>
                <w:szCs w:val="18"/>
                <w:lang w:val="en-GB"/>
              </w:rPr>
              <w:t>Red Mud (Syngas)</w:t>
            </w:r>
          </w:p>
        </w:tc>
        <w:tc>
          <w:tcPr>
            <w:tcW w:w="993" w:type="dxa"/>
            <w:shd w:val="clear" w:color="auto" w:fill="FFFFFF"/>
          </w:tcPr>
          <w:p w14:paraId="4D3018F0" w14:textId="5E846F6A" w:rsidR="00A4740C" w:rsidRPr="00B57B36" w:rsidRDefault="00DE1889" w:rsidP="00B930D6">
            <w:pPr>
              <w:pStyle w:val="CETBodytext"/>
              <w:ind w:right="-1"/>
              <w:rPr>
                <w:rFonts w:cs="Arial"/>
                <w:szCs w:val="18"/>
                <w:lang w:val="en-GB"/>
              </w:rPr>
            </w:pPr>
            <w:r>
              <w:rPr>
                <w:rFonts w:cs="Arial"/>
                <w:szCs w:val="18"/>
                <w:lang w:val="en-GB"/>
              </w:rPr>
              <w:t>1.0</w:t>
            </w:r>
            <w:r w:rsidR="00DB4737">
              <w:rPr>
                <w:rFonts w:cs="Arial"/>
                <w:szCs w:val="18"/>
                <w:lang w:val="en-GB"/>
              </w:rPr>
              <w:t>4</w:t>
            </w:r>
          </w:p>
        </w:tc>
        <w:tc>
          <w:tcPr>
            <w:tcW w:w="850" w:type="dxa"/>
            <w:shd w:val="clear" w:color="auto" w:fill="FFFFFF"/>
          </w:tcPr>
          <w:p w14:paraId="4939897A" w14:textId="5C70DD25" w:rsidR="00A4740C" w:rsidRPr="00B57B36" w:rsidRDefault="00DE1889" w:rsidP="00B930D6">
            <w:pPr>
              <w:pStyle w:val="CETBodytext"/>
              <w:ind w:right="-1"/>
              <w:rPr>
                <w:rFonts w:cs="Arial"/>
                <w:szCs w:val="18"/>
                <w:lang w:val="en-GB"/>
              </w:rPr>
            </w:pPr>
            <w:r>
              <w:rPr>
                <w:rFonts w:cs="Arial"/>
                <w:szCs w:val="18"/>
                <w:lang w:val="en-GB"/>
              </w:rPr>
              <w:t>0.24</w:t>
            </w:r>
          </w:p>
        </w:tc>
        <w:tc>
          <w:tcPr>
            <w:tcW w:w="1134" w:type="dxa"/>
            <w:shd w:val="clear" w:color="auto" w:fill="FFFFFF"/>
          </w:tcPr>
          <w:p w14:paraId="3F5BE270" w14:textId="06800E13" w:rsidR="00A4740C" w:rsidRPr="00B57B36" w:rsidRDefault="00DE1889" w:rsidP="00B930D6">
            <w:pPr>
              <w:pStyle w:val="CETBodytext"/>
              <w:ind w:right="-1"/>
              <w:rPr>
                <w:rFonts w:cs="Arial"/>
                <w:szCs w:val="18"/>
                <w:lang w:val="en-GB"/>
              </w:rPr>
            </w:pPr>
            <w:r>
              <w:rPr>
                <w:rFonts w:cs="Arial"/>
                <w:szCs w:val="18"/>
                <w:lang w:val="en-GB"/>
              </w:rPr>
              <w:t>28.</w:t>
            </w:r>
            <w:r w:rsidR="00DB4737">
              <w:rPr>
                <w:rFonts w:cs="Arial"/>
                <w:szCs w:val="18"/>
                <w:lang w:val="en-GB"/>
              </w:rPr>
              <w:t>3</w:t>
            </w:r>
            <w:r>
              <w:rPr>
                <w:rFonts w:cs="Arial"/>
                <w:szCs w:val="18"/>
                <w:lang w:val="en-GB"/>
              </w:rPr>
              <w:t>5</w:t>
            </w:r>
          </w:p>
        </w:tc>
        <w:tc>
          <w:tcPr>
            <w:tcW w:w="992" w:type="dxa"/>
            <w:shd w:val="clear" w:color="auto" w:fill="FFFFFF"/>
          </w:tcPr>
          <w:p w14:paraId="430AC9B7" w14:textId="1AC8DDD9" w:rsidR="00A4740C" w:rsidRPr="00B57B36" w:rsidRDefault="00DE1889" w:rsidP="00B930D6">
            <w:pPr>
              <w:pStyle w:val="CETBodytext"/>
              <w:ind w:right="-1"/>
              <w:rPr>
                <w:rFonts w:cs="Arial"/>
                <w:szCs w:val="18"/>
                <w:lang w:val="en-GB"/>
              </w:rPr>
            </w:pPr>
            <w:r>
              <w:rPr>
                <w:rFonts w:cs="Arial"/>
                <w:szCs w:val="18"/>
                <w:lang w:val="en-GB"/>
              </w:rPr>
              <w:t>52.15</w:t>
            </w:r>
          </w:p>
        </w:tc>
      </w:tr>
    </w:tbl>
    <w:p w14:paraId="0FDDD97C" w14:textId="1DBD5A0F" w:rsidR="00A4740C" w:rsidRDefault="00A4740C" w:rsidP="00453E24">
      <w:pPr>
        <w:pStyle w:val="CETBodytext"/>
      </w:pPr>
    </w:p>
    <w:p w14:paraId="0434B5A3" w14:textId="20EEA01F" w:rsidR="00851155" w:rsidRPr="00B57B36" w:rsidRDefault="00DB4737" w:rsidP="00453E24">
      <w:pPr>
        <w:pStyle w:val="CETBodytext"/>
      </w:pPr>
      <w:r>
        <w:t xml:space="preserve">As expected with respect to the blank test the addition of Fe leads to an improvement of the produced bio-crudes. The H/C value increases quite significantly, from 0.92 to 1.05 for the bio-crude produced with the addition of pure Fe. The addition of Red Mud also enhances the oil quality leading to a lower oxygen content which means a more stable oil with higher HHV. The Energy Recovery index </w:t>
      </w:r>
      <w:r w:rsidR="0079752C">
        <w:t xml:space="preserve">for the tests with red mud is higher than 50 % meaning that more than 50 % of the biomass energy is recovered in the oil fraction. From the results </w:t>
      </w:r>
      <w:proofErr w:type="gramStart"/>
      <w:r w:rsidR="0079752C">
        <w:t>it is clear that the</w:t>
      </w:r>
      <w:proofErr w:type="gramEnd"/>
      <w:r w:rsidR="0079752C">
        <w:t xml:space="preserve"> reduction with syngas is more efficient as already determined by the XRD analyses. </w:t>
      </w:r>
    </w:p>
    <w:p w14:paraId="677EBFF0" w14:textId="51DF608C" w:rsidR="00600535" w:rsidRDefault="0079752C" w:rsidP="00600535">
      <w:pPr>
        <w:pStyle w:val="CETHeading1"/>
        <w:tabs>
          <w:tab w:val="clear" w:pos="360"/>
          <w:tab w:val="right" w:pos="7100"/>
        </w:tabs>
        <w:jc w:val="both"/>
        <w:rPr>
          <w:lang w:val="en-GB"/>
        </w:rPr>
      </w:pPr>
      <w:r>
        <w:rPr>
          <w:lang w:val="en-GB"/>
        </w:rPr>
        <w:t>Conclusions</w:t>
      </w:r>
    </w:p>
    <w:p w14:paraId="4518E5D5" w14:textId="6B041510" w:rsidR="0079752C" w:rsidRDefault="0079752C" w:rsidP="0079752C">
      <w:pPr>
        <w:pStyle w:val="CETBodytext"/>
        <w:rPr>
          <w:lang w:val="en-GB"/>
        </w:rPr>
      </w:pPr>
      <w:r>
        <w:rPr>
          <w:lang w:val="en-GB"/>
        </w:rPr>
        <w:t xml:space="preserve">This work aims to demonstrate the feasibility of using a waste stream as hydrogen producer in oak wood HTL </w:t>
      </w:r>
      <w:proofErr w:type="gramStart"/>
      <w:r>
        <w:rPr>
          <w:lang w:val="en-GB"/>
        </w:rPr>
        <w:t>in order to</w:t>
      </w:r>
      <w:proofErr w:type="gramEnd"/>
      <w:r>
        <w:rPr>
          <w:lang w:val="en-GB"/>
        </w:rPr>
        <w:t xml:space="preserve"> obtain bio-crude with higher yield and better quality. </w:t>
      </w:r>
      <w:r w:rsidR="00DA2C7E">
        <w:rPr>
          <w:lang w:val="en-GB"/>
        </w:rPr>
        <w:t>The production of liquid fuels from HTL is still not ready for industrial application due to the low quality of the produced oil and to the high production cost. The use of a waste stream</w:t>
      </w:r>
      <w:r w:rsidR="00D136EA">
        <w:rPr>
          <w:lang w:val="en-GB"/>
        </w:rPr>
        <w:t xml:space="preserve"> such as red mud</w:t>
      </w:r>
      <w:r w:rsidR="00DA2C7E">
        <w:rPr>
          <w:lang w:val="en-GB"/>
        </w:rPr>
        <w:t xml:space="preserve"> as hydrogen producer/catalyst </w:t>
      </w:r>
      <w:r w:rsidR="00D136EA">
        <w:rPr>
          <w:lang w:val="en-GB"/>
        </w:rPr>
        <w:t>brings several advantages, the HTL becomes a waste consuming process, the cost of the catalyst is zero and the quality of the oil is improved.</w:t>
      </w:r>
    </w:p>
    <w:p w14:paraId="16A8F88E" w14:textId="5FABB861" w:rsidR="00D136EA" w:rsidRPr="0079752C" w:rsidRDefault="00D136EA" w:rsidP="0079752C">
      <w:pPr>
        <w:pStyle w:val="CETBodytext"/>
        <w:rPr>
          <w:lang w:val="en-GB"/>
        </w:rPr>
      </w:pPr>
      <w:r>
        <w:rPr>
          <w:lang w:val="en-GB"/>
        </w:rPr>
        <w:t xml:space="preserve">The tests demonstrate that the addition of red mud, used as active hydrogen producer, leads to an increase of the bio-crude yield of 20 %. The bio-crude produced owns better quality, with lower oxygen content and </w:t>
      </w:r>
      <w:r w:rsidR="00A569D3">
        <w:rPr>
          <w:lang w:val="en-GB"/>
        </w:rPr>
        <w:t xml:space="preserve">higher HHV. The red mud particles were also recovered with the char and reduced with syngas and char and then reused again in a HTL process. The activity of the reused material is still acceptable, the reduction with syngas </w:t>
      </w:r>
      <w:r w:rsidR="00A569D3">
        <w:rPr>
          <w:lang w:val="en-GB"/>
        </w:rPr>
        <w:lastRenderedPageBreak/>
        <w:t>in the chosen conditions is preferable since it allow</w:t>
      </w:r>
      <w:r w:rsidR="00557EC4">
        <w:rPr>
          <w:lang w:val="en-GB"/>
        </w:rPr>
        <w:t>s</w:t>
      </w:r>
      <w:r w:rsidR="00A569D3">
        <w:rPr>
          <w:lang w:val="en-GB"/>
        </w:rPr>
        <w:t xml:space="preserve"> the complete reduction of Fe and thus a </w:t>
      </w:r>
      <w:r w:rsidR="00D10EF3">
        <w:rPr>
          <w:lang w:val="en-GB"/>
        </w:rPr>
        <w:t>better activity towards hydrogen production.</w:t>
      </w:r>
    </w:p>
    <w:p w14:paraId="428B022A" w14:textId="12DCA915" w:rsidR="00E65B91" w:rsidRDefault="00600535" w:rsidP="00C46C0B">
      <w:pPr>
        <w:pStyle w:val="CETReference"/>
      </w:pPr>
      <w:r w:rsidRPr="00B57B36">
        <w:t>References</w:t>
      </w:r>
    </w:p>
    <w:p w14:paraId="7B222B46" w14:textId="0F61FACE" w:rsidR="00F17DF3" w:rsidRPr="00F17DF3" w:rsidRDefault="00F17DF3" w:rsidP="006B4888">
      <w:pPr>
        <w:pStyle w:val="CETReferencetext"/>
        <w:rPr>
          <w:lang w:val="en-US"/>
        </w:rPr>
      </w:pPr>
      <w:r w:rsidRPr="00F17DF3">
        <w:rPr>
          <w:lang w:val="en-US"/>
        </w:rPr>
        <w:t xml:space="preserve">Castello D., Pedersen T.H., Rosendahl L.A., </w:t>
      </w:r>
      <w:r>
        <w:rPr>
          <w:lang w:val="en-US"/>
        </w:rPr>
        <w:t xml:space="preserve">2018, </w:t>
      </w:r>
      <w:r w:rsidRPr="00F17DF3">
        <w:rPr>
          <w:lang w:val="en-US"/>
        </w:rPr>
        <w:t>Continuous Hydrothermal Liquefaction of Biomass: A Critical Review</w:t>
      </w:r>
      <w:r>
        <w:rPr>
          <w:lang w:val="en-US"/>
        </w:rPr>
        <w:t>, Energies, 11, 3165.</w:t>
      </w:r>
    </w:p>
    <w:p w14:paraId="08EC5CCE" w14:textId="3B68BF07" w:rsidR="00600535" w:rsidRDefault="0091382F" w:rsidP="006B4888">
      <w:pPr>
        <w:pStyle w:val="CETReferencetext"/>
      </w:pPr>
      <w:proofErr w:type="spellStart"/>
      <w:r>
        <w:t>Gallakota</w:t>
      </w:r>
      <w:proofErr w:type="spellEnd"/>
      <w:r>
        <w:t xml:space="preserve"> A.R.K., Kishore N., Gu, S.</w:t>
      </w:r>
      <w:r w:rsidR="00600535" w:rsidRPr="006B4888">
        <w:t>, 201</w:t>
      </w:r>
      <w:r>
        <w:t>8</w:t>
      </w:r>
      <w:r w:rsidR="00600535" w:rsidRPr="006B4888">
        <w:t xml:space="preserve">, </w:t>
      </w:r>
      <w:r w:rsidRPr="0091382F">
        <w:t>A review on hydrothermal liquefaction of biomass</w:t>
      </w:r>
      <w:r w:rsidR="00600535" w:rsidRPr="006B4888">
        <w:t xml:space="preserve">, </w:t>
      </w:r>
      <w:r w:rsidRPr="0091382F">
        <w:t>Renewable and Sustainable Energy Reviews</w:t>
      </w:r>
      <w:r w:rsidR="00830996" w:rsidRPr="006B4888">
        <w:t xml:space="preserve">, </w:t>
      </w:r>
      <w:r>
        <w:t>8</w:t>
      </w:r>
      <w:r w:rsidR="00830996" w:rsidRPr="006B4888">
        <w:t>1, 1</w:t>
      </w:r>
      <w:r>
        <w:t>378</w:t>
      </w:r>
      <w:r w:rsidR="00830996" w:rsidRPr="006B4888">
        <w:t>–</w:t>
      </w:r>
      <w:r>
        <w:t>1392</w:t>
      </w:r>
      <w:r w:rsidR="00830996" w:rsidRPr="006B4888">
        <w:t>.</w:t>
      </w:r>
    </w:p>
    <w:p w14:paraId="3C75476F" w14:textId="7E1FA558" w:rsidR="00D17B08" w:rsidRPr="00F53A44" w:rsidRDefault="00D17B08" w:rsidP="006B4888">
      <w:pPr>
        <w:pStyle w:val="CETReferencetext"/>
        <w:rPr>
          <w:lang w:val="en-US"/>
        </w:rPr>
      </w:pPr>
      <w:r w:rsidRPr="00F53A44">
        <w:rPr>
          <w:lang w:val="en-US"/>
        </w:rPr>
        <w:t xml:space="preserve">Miyata Y., </w:t>
      </w:r>
      <w:proofErr w:type="spellStart"/>
      <w:r w:rsidRPr="00F53A44">
        <w:rPr>
          <w:lang w:val="en-US"/>
        </w:rPr>
        <w:t>Sagata</w:t>
      </w:r>
      <w:proofErr w:type="spellEnd"/>
      <w:r w:rsidRPr="00F53A44">
        <w:rPr>
          <w:lang w:val="en-US"/>
        </w:rPr>
        <w:t xml:space="preserve"> K., </w:t>
      </w:r>
      <w:proofErr w:type="gramStart"/>
      <w:r w:rsidR="00F53A44" w:rsidRPr="00F53A44">
        <w:rPr>
          <w:lang w:val="en-US"/>
        </w:rPr>
        <w:t>Yamazaki  Y.</w:t>
      </w:r>
      <w:proofErr w:type="gramEnd"/>
      <w:r w:rsidR="00F53A44" w:rsidRPr="00F53A44">
        <w:rPr>
          <w:lang w:val="en-US"/>
        </w:rPr>
        <w:t xml:space="preserve">, </w:t>
      </w:r>
      <w:proofErr w:type="spellStart"/>
      <w:r w:rsidR="00F53A44" w:rsidRPr="00F53A44">
        <w:rPr>
          <w:lang w:val="en-US"/>
        </w:rPr>
        <w:t>Teramura</w:t>
      </w:r>
      <w:proofErr w:type="spellEnd"/>
      <w:r w:rsidR="00F53A44" w:rsidRPr="00F53A44">
        <w:rPr>
          <w:lang w:val="en-US"/>
        </w:rPr>
        <w:t xml:space="preserve"> H., Hirano Y., Ogino C., Kita Y., 2018, Mechanism of the Fe-Assisted Hydrothermal Liquefaction of Lignocellulosic Biomass</w:t>
      </w:r>
      <w:r w:rsidR="00F53A44">
        <w:rPr>
          <w:lang w:val="en-US"/>
        </w:rPr>
        <w:t xml:space="preserve">, </w:t>
      </w:r>
      <w:r w:rsidR="00F53A44" w:rsidRPr="00F53A44">
        <w:rPr>
          <w:lang w:val="en-US"/>
        </w:rPr>
        <w:t>Industrial &amp; Engineering Chemistry Research</w:t>
      </w:r>
      <w:r w:rsidR="00F53A44">
        <w:rPr>
          <w:lang w:val="en-US"/>
        </w:rPr>
        <w:t>, 57, 14870-14877.</w:t>
      </w:r>
    </w:p>
    <w:p w14:paraId="28306E5F" w14:textId="34CA10D9" w:rsidR="0091382F" w:rsidRDefault="00254568" w:rsidP="006B4888">
      <w:pPr>
        <w:pStyle w:val="CETReferencetext"/>
      </w:pPr>
      <w:r>
        <w:t>Nagappan S., Bhosale</w:t>
      </w:r>
      <w:r w:rsidR="002F02E6">
        <w:t xml:space="preserve"> R.R., </w:t>
      </w:r>
      <w:r w:rsidR="002F02E6" w:rsidRPr="002F02E6">
        <w:t>Nguyen</w:t>
      </w:r>
      <w:r w:rsidR="002F02E6">
        <w:t xml:space="preserve"> D.D., </w:t>
      </w:r>
      <w:r w:rsidR="002F02E6" w:rsidRPr="002F02E6">
        <w:t>Chi</w:t>
      </w:r>
      <w:r w:rsidR="002F02E6">
        <w:t xml:space="preserve"> N.T.L., </w:t>
      </w:r>
      <w:proofErr w:type="spellStart"/>
      <w:r w:rsidR="002F02E6" w:rsidRPr="002F02E6">
        <w:t>Ponnusamy</w:t>
      </w:r>
      <w:proofErr w:type="spellEnd"/>
      <w:r w:rsidR="002F02E6">
        <w:t xml:space="preserve"> V.K., </w:t>
      </w:r>
      <w:proofErr w:type="spellStart"/>
      <w:r w:rsidR="002F02E6" w:rsidRPr="002F02E6">
        <w:t>Woong</w:t>
      </w:r>
      <w:proofErr w:type="spellEnd"/>
      <w:r w:rsidR="002F02E6">
        <w:t xml:space="preserve"> C.S., </w:t>
      </w:r>
      <w:r w:rsidR="002F02E6" w:rsidRPr="002F02E6">
        <w:t>Kumar</w:t>
      </w:r>
      <w:r w:rsidR="002F02E6">
        <w:t xml:space="preserve"> G.,</w:t>
      </w:r>
      <w:r w:rsidR="002F02E6" w:rsidRPr="002F02E6">
        <w:t xml:space="preserve"> </w:t>
      </w:r>
      <w:r w:rsidR="002F02E6">
        <w:t xml:space="preserve">2021, </w:t>
      </w:r>
      <w:r w:rsidR="002F02E6" w:rsidRPr="002F02E6">
        <w:t>Catalytic hydrothermal liquefaction of biomass into bio-oils and other value-added products – A revie</w:t>
      </w:r>
      <w:r w:rsidR="002F02E6">
        <w:t>w, Fuel, 285, 119053</w:t>
      </w:r>
      <w:r w:rsidR="00DB06C9">
        <w:t>.</w:t>
      </w:r>
    </w:p>
    <w:p w14:paraId="46F5289A" w14:textId="2228C0E3" w:rsidR="000D29C5" w:rsidRDefault="000D29C5" w:rsidP="006B4888">
      <w:pPr>
        <w:pStyle w:val="CETReferencetext"/>
      </w:pPr>
      <w:r>
        <w:t xml:space="preserve">Rahman T., </w:t>
      </w:r>
      <w:proofErr w:type="spellStart"/>
      <w:r>
        <w:t>Jahromi</w:t>
      </w:r>
      <w:proofErr w:type="spellEnd"/>
      <w:r>
        <w:t xml:space="preserve"> H., </w:t>
      </w:r>
      <w:proofErr w:type="spellStart"/>
      <w:r>
        <w:t>Poulami</w:t>
      </w:r>
      <w:proofErr w:type="spellEnd"/>
      <w:r>
        <w:t xml:space="preserve"> R., Adhikari S., </w:t>
      </w:r>
      <w:proofErr w:type="spellStart"/>
      <w:r>
        <w:t>Hassani</w:t>
      </w:r>
      <w:proofErr w:type="spellEnd"/>
      <w:r>
        <w:t xml:space="preserve"> E., Oh T., 2021, </w:t>
      </w:r>
      <w:r w:rsidRPr="000D29C5">
        <w:t>Hydrothermal liquefaction of municipal sewage sludge: Effect of red mud catalyst in ethylene and inert ambiences</w:t>
      </w:r>
      <w:r>
        <w:t xml:space="preserve">, </w:t>
      </w:r>
      <w:r w:rsidRPr="000D29C5">
        <w:t>Energy Conversion and Management</w:t>
      </w:r>
      <w:r>
        <w:t>, 245, 114615.</w:t>
      </w:r>
    </w:p>
    <w:p w14:paraId="107C8C79" w14:textId="47569266" w:rsidR="00F17DF3" w:rsidRPr="00F17DF3" w:rsidRDefault="00F17DF3" w:rsidP="006B4888">
      <w:pPr>
        <w:pStyle w:val="CETReferencetext"/>
        <w:rPr>
          <w:lang w:val="en-US"/>
        </w:rPr>
      </w:pPr>
      <w:r w:rsidRPr="00F17DF3">
        <w:rPr>
          <w:lang w:val="en-US"/>
        </w:rPr>
        <w:t xml:space="preserve">Rizzo A.M., </w:t>
      </w:r>
      <w:proofErr w:type="spellStart"/>
      <w:r w:rsidRPr="00F17DF3">
        <w:rPr>
          <w:lang w:val="en-US"/>
        </w:rPr>
        <w:t>Dell’Orco</w:t>
      </w:r>
      <w:proofErr w:type="spellEnd"/>
      <w:r w:rsidRPr="00F17DF3">
        <w:rPr>
          <w:lang w:val="en-US"/>
        </w:rPr>
        <w:t xml:space="preserve"> S., </w:t>
      </w:r>
      <w:proofErr w:type="spellStart"/>
      <w:r w:rsidRPr="00F17DF3">
        <w:rPr>
          <w:lang w:val="en-US"/>
        </w:rPr>
        <w:t>Miliotti</w:t>
      </w:r>
      <w:proofErr w:type="spellEnd"/>
      <w:r w:rsidRPr="00F17DF3">
        <w:rPr>
          <w:lang w:val="en-US"/>
        </w:rPr>
        <w:t xml:space="preserve"> E., </w:t>
      </w:r>
      <w:proofErr w:type="spellStart"/>
      <w:r w:rsidRPr="00F17DF3">
        <w:rPr>
          <w:lang w:val="en-US"/>
        </w:rPr>
        <w:t>Chiaramonti</w:t>
      </w:r>
      <w:proofErr w:type="spellEnd"/>
      <w:r w:rsidRPr="00F17DF3">
        <w:rPr>
          <w:lang w:val="en-US"/>
        </w:rPr>
        <w:t xml:space="preserve"> D., </w:t>
      </w:r>
      <w:r>
        <w:rPr>
          <w:lang w:val="en-US"/>
        </w:rPr>
        <w:t xml:space="preserve">2020, </w:t>
      </w:r>
      <w:r w:rsidRPr="00F17DF3">
        <w:rPr>
          <w:lang w:val="en-US"/>
        </w:rPr>
        <w:t xml:space="preserve">Design, Commissioning </w:t>
      </w:r>
      <w:proofErr w:type="gramStart"/>
      <w:r w:rsidRPr="00F17DF3">
        <w:rPr>
          <w:lang w:val="en-US"/>
        </w:rPr>
        <w:t>And</w:t>
      </w:r>
      <w:proofErr w:type="gramEnd"/>
      <w:r w:rsidRPr="00F17DF3">
        <w:rPr>
          <w:lang w:val="en-US"/>
        </w:rPr>
        <w:t xml:space="preserve"> Start-Up of a New Hydrothermal Liquefaction Continuous Pilot Unit</w:t>
      </w:r>
      <w:r>
        <w:rPr>
          <w:lang w:val="en-US"/>
        </w:rPr>
        <w:t>, Chemical Engineering Transaction, 80, 367-373.</w:t>
      </w:r>
    </w:p>
    <w:p w14:paraId="6EF21B2B" w14:textId="35A9DB0E" w:rsidR="00DB06C9" w:rsidRDefault="00DB06C9" w:rsidP="006B4888">
      <w:pPr>
        <w:pStyle w:val="CETReferencetext"/>
      </w:pPr>
      <w:proofErr w:type="spellStart"/>
      <w:r>
        <w:t>Saral</w:t>
      </w:r>
      <w:proofErr w:type="spellEnd"/>
      <w:r>
        <w:t xml:space="preserve"> J.K., Ranganathan, P, 2022, </w:t>
      </w:r>
      <w:r w:rsidRPr="00DB06C9">
        <w:t xml:space="preserve">Catalytic hydrothermal liquefaction of Spirulina platensis for biocrude production using </w:t>
      </w:r>
      <w:proofErr w:type="gramStart"/>
      <w:r w:rsidRPr="00DB06C9">
        <w:t>Red</w:t>
      </w:r>
      <w:proofErr w:type="gramEnd"/>
      <w:r w:rsidRPr="00DB06C9">
        <w:t xml:space="preserve"> mud</w:t>
      </w:r>
      <w:r>
        <w:t>, Biomass Conversion and Biorefinery, 12, 195-208.</w:t>
      </w:r>
    </w:p>
    <w:p w14:paraId="6CF3A6E3" w14:textId="3C864B49" w:rsidR="002F02E6" w:rsidRPr="00F54041" w:rsidRDefault="002F02E6" w:rsidP="006B4888">
      <w:pPr>
        <w:pStyle w:val="CETReferencetext"/>
        <w:rPr>
          <w:lang w:val="en-US"/>
        </w:rPr>
      </w:pPr>
      <w:r w:rsidRPr="00F54041">
        <w:rPr>
          <w:lang w:val="en-US"/>
        </w:rPr>
        <w:t xml:space="preserve">Tai L, de </w:t>
      </w:r>
      <w:proofErr w:type="spellStart"/>
      <w:r w:rsidRPr="00F54041">
        <w:rPr>
          <w:lang w:val="en-US"/>
        </w:rPr>
        <w:t>Caprariis</w:t>
      </w:r>
      <w:proofErr w:type="spellEnd"/>
      <w:r w:rsidRPr="00F54041">
        <w:rPr>
          <w:lang w:val="en-US"/>
        </w:rPr>
        <w:t xml:space="preserve"> B., </w:t>
      </w:r>
      <w:proofErr w:type="spellStart"/>
      <w:r w:rsidRPr="00F54041">
        <w:rPr>
          <w:lang w:val="en-US"/>
        </w:rPr>
        <w:t>Scarsella</w:t>
      </w:r>
      <w:proofErr w:type="spellEnd"/>
      <w:r w:rsidRPr="00F54041">
        <w:rPr>
          <w:lang w:val="en-US"/>
        </w:rPr>
        <w:t xml:space="preserve"> M., De </w:t>
      </w:r>
      <w:proofErr w:type="spellStart"/>
      <w:r w:rsidRPr="00F54041">
        <w:rPr>
          <w:lang w:val="en-US"/>
        </w:rPr>
        <w:t>Filippis</w:t>
      </w:r>
      <w:proofErr w:type="spellEnd"/>
      <w:r w:rsidRPr="00F54041">
        <w:rPr>
          <w:lang w:val="en-US"/>
        </w:rPr>
        <w:t xml:space="preserve"> P., </w:t>
      </w:r>
      <w:proofErr w:type="spellStart"/>
      <w:r w:rsidRPr="00F54041">
        <w:rPr>
          <w:lang w:val="en-US"/>
        </w:rPr>
        <w:t>Marra</w:t>
      </w:r>
      <w:proofErr w:type="spellEnd"/>
      <w:r w:rsidRPr="00F54041">
        <w:rPr>
          <w:lang w:val="en-US"/>
        </w:rPr>
        <w:t xml:space="preserve"> F., 2021, </w:t>
      </w:r>
      <w:r w:rsidR="00F54041" w:rsidRPr="00F54041">
        <w:rPr>
          <w:lang w:val="en-US"/>
        </w:rPr>
        <w:t>Improved Quality Bio-Crude from Hydrothermal Liquefaction of Oak Wood Assisted by Zero-Valent Metals</w:t>
      </w:r>
      <w:r w:rsidR="00F54041">
        <w:rPr>
          <w:lang w:val="en-US"/>
        </w:rPr>
        <w:t>, Energy and Fuels, 35, 10023-10034.</w:t>
      </w:r>
      <w:r w:rsidRPr="00F54041">
        <w:rPr>
          <w:lang w:val="en-US"/>
        </w:rPr>
        <w:t xml:space="preserve"> </w:t>
      </w:r>
      <w:r w:rsidRPr="00F54041">
        <w:rPr>
          <w:lang w:val="en-US"/>
        </w:rPr>
        <w:tab/>
      </w:r>
    </w:p>
    <w:p w14:paraId="00BA3D4F" w14:textId="77777777" w:rsidR="00C52C3C" w:rsidRDefault="00C52C3C" w:rsidP="00E65B91">
      <w:pPr>
        <w:pStyle w:val="CETReferencetext"/>
      </w:pPr>
    </w:p>
    <w:p w14:paraId="03CEA04C" w14:textId="77777777" w:rsidR="00C52C3C" w:rsidRDefault="00C52C3C" w:rsidP="00E65B91">
      <w:pPr>
        <w:pStyle w:val="CETReferencetext"/>
      </w:pPr>
    </w:p>
    <w:p w14:paraId="28E8379D" w14:textId="77777777" w:rsidR="00C52C3C" w:rsidRDefault="00C52C3C" w:rsidP="00E65B91">
      <w:pPr>
        <w:pStyle w:val="CETReferencetext"/>
      </w:pPr>
    </w:p>
    <w:p w14:paraId="6FAA4342" w14:textId="77777777" w:rsidR="00C52C3C" w:rsidRDefault="00C52C3C" w:rsidP="00E65B91">
      <w:pPr>
        <w:pStyle w:val="CETReferencetext"/>
      </w:pP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BC60" w14:textId="77777777" w:rsidR="00007177" w:rsidRDefault="00007177" w:rsidP="004F5E36">
      <w:r>
        <w:separator/>
      </w:r>
    </w:p>
  </w:endnote>
  <w:endnote w:type="continuationSeparator" w:id="0">
    <w:p w14:paraId="1F04AA4B" w14:textId="77777777" w:rsidR="00007177" w:rsidRDefault="0000717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538E0" w14:textId="77777777" w:rsidR="00007177" w:rsidRDefault="00007177" w:rsidP="004F5E36">
      <w:r>
        <w:separator/>
      </w:r>
    </w:p>
  </w:footnote>
  <w:footnote w:type="continuationSeparator" w:id="0">
    <w:p w14:paraId="04CD6B50" w14:textId="77777777" w:rsidR="00007177" w:rsidRDefault="0000717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24323525">
    <w:abstractNumId w:val="10"/>
  </w:num>
  <w:num w:numId="2" w16cid:durableId="338971700">
    <w:abstractNumId w:val="8"/>
  </w:num>
  <w:num w:numId="3" w16cid:durableId="1312443369">
    <w:abstractNumId w:val="3"/>
  </w:num>
  <w:num w:numId="4" w16cid:durableId="67267410">
    <w:abstractNumId w:val="2"/>
  </w:num>
  <w:num w:numId="5" w16cid:durableId="902251662">
    <w:abstractNumId w:val="1"/>
  </w:num>
  <w:num w:numId="6" w16cid:durableId="1804496772">
    <w:abstractNumId w:val="0"/>
  </w:num>
  <w:num w:numId="7" w16cid:durableId="1596476147">
    <w:abstractNumId w:val="9"/>
  </w:num>
  <w:num w:numId="8" w16cid:durableId="1835611363">
    <w:abstractNumId w:val="7"/>
  </w:num>
  <w:num w:numId="9" w16cid:durableId="947858703">
    <w:abstractNumId w:val="6"/>
  </w:num>
  <w:num w:numId="10" w16cid:durableId="630789615">
    <w:abstractNumId w:val="5"/>
  </w:num>
  <w:num w:numId="11" w16cid:durableId="537279275">
    <w:abstractNumId w:val="4"/>
  </w:num>
  <w:num w:numId="12" w16cid:durableId="583301875">
    <w:abstractNumId w:val="17"/>
  </w:num>
  <w:num w:numId="13" w16cid:durableId="632249692">
    <w:abstractNumId w:val="12"/>
  </w:num>
  <w:num w:numId="14" w16cid:durableId="233129603">
    <w:abstractNumId w:val="18"/>
  </w:num>
  <w:num w:numId="15" w16cid:durableId="418983433">
    <w:abstractNumId w:val="20"/>
  </w:num>
  <w:num w:numId="16" w16cid:durableId="384331814">
    <w:abstractNumId w:val="19"/>
  </w:num>
  <w:num w:numId="17" w16cid:durableId="1037046306">
    <w:abstractNumId w:val="11"/>
  </w:num>
  <w:num w:numId="18" w16cid:durableId="846796402">
    <w:abstractNumId w:val="12"/>
    <w:lvlOverride w:ilvl="0">
      <w:startOverride w:val="1"/>
    </w:lvlOverride>
  </w:num>
  <w:num w:numId="19" w16cid:durableId="1012949951">
    <w:abstractNumId w:val="16"/>
  </w:num>
  <w:num w:numId="20" w16cid:durableId="364328797">
    <w:abstractNumId w:val="15"/>
  </w:num>
  <w:num w:numId="21" w16cid:durableId="1556162480">
    <w:abstractNumId w:val="14"/>
  </w:num>
  <w:num w:numId="22" w16cid:durableId="1583484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177"/>
    <w:rsid w:val="000117CB"/>
    <w:rsid w:val="00015107"/>
    <w:rsid w:val="0003148D"/>
    <w:rsid w:val="00031EEC"/>
    <w:rsid w:val="00051566"/>
    <w:rsid w:val="00062A9A"/>
    <w:rsid w:val="00065058"/>
    <w:rsid w:val="000826D5"/>
    <w:rsid w:val="00086C39"/>
    <w:rsid w:val="000A03B2"/>
    <w:rsid w:val="000A59D7"/>
    <w:rsid w:val="000C656F"/>
    <w:rsid w:val="000D0268"/>
    <w:rsid w:val="000D29C5"/>
    <w:rsid w:val="000D34BE"/>
    <w:rsid w:val="000E102F"/>
    <w:rsid w:val="000E36F1"/>
    <w:rsid w:val="000E3A73"/>
    <w:rsid w:val="000E414A"/>
    <w:rsid w:val="000F093C"/>
    <w:rsid w:val="000F787B"/>
    <w:rsid w:val="0012091F"/>
    <w:rsid w:val="00126BC2"/>
    <w:rsid w:val="001308B6"/>
    <w:rsid w:val="001308F3"/>
    <w:rsid w:val="0013121F"/>
    <w:rsid w:val="00131FE6"/>
    <w:rsid w:val="0013263F"/>
    <w:rsid w:val="001331DF"/>
    <w:rsid w:val="00134DE4"/>
    <w:rsid w:val="0014034D"/>
    <w:rsid w:val="00144D16"/>
    <w:rsid w:val="00150E59"/>
    <w:rsid w:val="00152DE3"/>
    <w:rsid w:val="00164CF9"/>
    <w:rsid w:val="001667A6"/>
    <w:rsid w:val="001821F1"/>
    <w:rsid w:val="00184AD6"/>
    <w:rsid w:val="001A4AF7"/>
    <w:rsid w:val="001B0349"/>
    <w:rsid w:val="001B1E93"/>
    <w:rsid w:val="001B65C1"/>
    <w:rsid w:val="001C684B"/>
    <w:rsid w:val="001D0CFB"/>
    <w:rsid w:val="001D21AF"/>
    <w:rsid w:val="001D53FC"/>
    <w:rsid w:val="001F42A5"/>
    <w:rsid w:val="001F7B9D"/>
    <w:rsid w:val="00201C93"/>
    <w:rsid w:val="00205260"/>
    <w:rsid w:val="002224B4"/>
    <w:rsid w:val="00226AD5"/>
    <w:rsid w:val="002447EF"/>
    <w:rsid w:val="00251550"/>
    <w:rsid w:val="00254568"/>
    <w:rsid w:val="00263B05"/>
    <w:rsid w:val="0027221A"/>
    <w:rsid w:val="00275B61"/>
    <w:rsid w:val="00280FAF"/>
    <w:rsid w:val="00282656"/>
    <w:rsid w:val="00296B83"/>
    <w:rsid w:val="002B193F"/>
    <w:rsid w:val="002B4015"/>
    <w:rsid w:val="002B78CE"/>
    <w:rsid w:val="002C2FB6"/>
    <w:rsid w:val="002E5FA7"/>
    <w:rsid w:val="002E7C07"/>
    <w:rsid w:val="002F02E6"/>
    <w:rsid w:val="002F3309"/>
    <w:rsid w:val="003008CE"/>
    <w:rsid w:val="003009B7"/>
    <w:rsid w:val="00300E56"/>
    <w:rsid w:val="0030469C"/>
    <w:rsid w:val="00313C10"/>
    <w:rsid w:val="00321CA6"/>
    <w:rsid w:val="00323763"/>
    <w:rsid w:val="00334C09"/>
    <w:rsid w:val="00350144"/>
    <w:rsid w:val="00352F22"/>
    <w:rsid w:val="003621B3"/>
    <w:rsid w:val="003723D4"/>
    <w:rsid w:val="00377F38"/>
    <w:rsid w:val="00381905"/>
    <w:rsid w:val="00384CC8"/>
    <w:rsid w:val="00385841"/>
    <w:rsid w:val="003871FD"/>
    <w:rsid w:val="00397834"/>
    <w:rsid w:val="003A1E30"/>
    <w:rsid w:val="003A2829"/>
    <w:rsid w:val="003A7D1C"/>
    <w:rsid w:val="003A7D69"/>
    <w:rsid w:val="003B304B"/>
    <w:rsid w:val="003B3146"/>
    <w:rsid w:val="003C3FB4"/>
    <w:rsid w:val="003F015E"/>
    <w:rsid w:val="00400414"/>
    <w:rsid w:val="0041446B"/>
    <w:rsid w:val="0044071E"/>
    <w:rsid w:val="0044329C"/>
    <w:rsid w:val="00453E24"/>
    <w:rsid w:val="00457456"/>
    <w:rsid w:val="004577FE"/>
    <w:rsid w:val="00457B9C"/>
    <w:rsid w:val="0046164A"/>
    <w:rsid w:val="00462693"/>
    <w:rsid w:val="004628D2"/>
    <w:rsid w:val="00462DCD"/>
    <w:rsid w:val="004648AD"/>
    <w:rsid w:val="004703A9"/>
    <w:rsid w:val="004760DE"/>
    <w:rsid w:val="004763D7"/>
    <w:rsid w:val="004A004E"/>
    <w:rsid w:val="004A24CF"/>
    <w:rsid w:val="004C3D1D"/>
    <w:rsid w:val="004C7913"/>
    <w:rsid w:val="004E4DD6"/>
    <w:rsid w:val="004F5E36"/>
    <w:rsid w:val="00507B47"/>
    <w:rsid w:val="00507BEF"/>
    <w:rsid w:val="00507CC9"/>
    <w:rsid w:val="005119A5"/>
    <w:rsid w:val="005278B7"/>
    <w:rsid w:val="00532016"/>
    <w:rsid w:val="005346C8"/>
    <w:rsid w:val="00543E7D"/>
    <w:rsid w:val="00547A68"/>
    <w:rsid w:val="005531C9"/>
    <w:rsid w:val="00557EC4"/>
    <w:rsid w:val="00570C43"/>
    <w:rsid w:val="005958C5"/>
    <w:rsid w:val="005A415B"/>
    <w:rsid w:val="005B2110"/>
    <w:rsid w:val="005B61E6"/>
    <w:rsid w:val="005C77E1"/>
    <w:rsid w:val="005D668A"/>
    <w:rsid w:val="005D6A2F"/>
    <w:rsid w:val="005E1A82"/>
    <w:rsid w:val="005E794C"/>
    <w:rsid w:val="005F0A28"/>
    <w:rsid w:val="005F0E5E"/>
    <w:rsid w:val="005F1C9D"/>
    <w:rsid w:val="005F7C1A"/>
    <w:rsid w:val="00600535"/>
    <w:rsid w:val="00610CD6"/>
    <w:rsid w:val="006118E2"/>
    <w:rsid w:val="00620C2B"/>
    <w:rsid w:val="00620DEE"/>
    <w:rsid w:val="00621F92"/>
    <w:rsid w:val="0062280A"/>
    <w:rsid w:val="00625639"/>
    <w:rsid w:val="00627183"/>
    <w:rsid w:val="00631B33"/>
    <w:rsid w:val="0064184D"/>
    <w:rsid w:val="006422CC"/>
    <w:rsid w:val="00657FA3"/>
    <w:rsid w:val="00660E3E"/>
    <w:rsid w:val="00662E74"/>
    <w:rsid w:val="00680C23"/>
    <w:rsid w:val="006921B2"/>
    <w:rsid w:val="00693766"/>
    <w:rsid w:val="006A3281"/>
    <w:rsid w:val="006B4888"/>
    <w:rsid w:val="006C2E45"/>
    <w:rsid w:val="006C359C"/>
    <w:rsid w:val="006C5579"/>
    <w:rsid w:val="006D6E8B"/>
    <w:rsid w:val="006D760D"/>
    <w:rsid w:val="006E737D"/>
    <w:rsid w:val="00713973"/>
    <w:rsid w:val="00713A72"/>
    <w:rsid w:val="00720A24"/>
    <w:rsid w:val="00724A35"/>
    <w:rsid w:val="00732386"/>
    <w:rsid w:val="00732ADE"/>
    <w:rsid w:val="0073514D"/>
    <w:rsid w:val="007447F3"/>
    <w:rsid w:val="0075499F"/>
    <w:rsid w:val="007661C8"/>
    <w:rsid w:val="0077098D"/>
    <w:rsid w:val="007931FA"/>
    <w:rsid w:val="0079752C"/>
    <w:rsid w:val="007A4861"/>
    <w:rsid w:val="007A7BBA"/>
    <w:rsid w:val="007B0C50"/>
    <w:rsid w:val="007B48F9"/>
    <w:rsid w:val="007C1A43"/>
    <w:rsid w:val="0080013E"/>
    <w:rsid w:val="00803096"/>
    <w:rsid w:val="00813288"/>
    <w:rsid w:val="008168FC"/>
    <w:rsid w:val="008242C6"/>
    <w:rsid w:val="00830996"/>
    <w:rsid w:val="00833E91"/>
    <w:rsid w:val="008345F1"/>
    <w:rsid w:val="00851155"/>
    <w:rsid w:val="00865B07"/>
    <w:rsid w:val="00865E21"/>
    <w:rsid w:val="008667EA"/>
    <w:rsid w:val="0087637F"/>
    <w:rsid w:val="00892AD5"/>
    <w:rsid w:val="008A1512"/>
    <w:rsid w:val="008D32B9"/>
    <w:rsid w:val="008D433B"/>
    <w:rsid w:val="008E566E"/>
    <w:rsid w:val="008F5DAA"/>
    <w:rsid w:val="0090161A"/>
    <w:rsid w:val="00901EB6"/>
    <w:rsid w:val="00904C62"/>
    <w:rsid w:val="0091382F"/>
    <w:rsid w:val="009218A0"/>
    <w:rsid w:val="00922BA8"/>
    <w:rsid w:val="00924DAC"/>
    <w:rsid w:val="00927058"/>
    <w:rsid w:val="00942750"/>
    <w:rsid w:val="009450CE"/>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7C86"/>
    <w:rsid w:val="009D2FF7"/>
    <w:rsid w:val="009D5CA0"/>
    <w:rsid w:val="009D7D5E"/>
    <w:rsid w:val="009E7884"/>
    <w:rsid w:val="009E788A"/>
    <w:rsid w:val="009F0E08"/>
    <w:rsid w:val="00A1763D"/>
    <w:rsid w:val="00A17CEC"/>
    <w:rsid w:val="00A27EF0"/>
    <w:rsid w:val="00A34365"/>
    <w:rsid w:val="00A42361"/>
    <w:rsid w:val="00A4740C"/>
    <w:rsid w:val="00A50B20"/>
    <w:rsid w:val="00A51390"/>
    <w:rsid w:val="00A569D3"/>
    <w:rsid w:val="00A60D13"/>
    <w:rsid w:val="00A72745"/>
    <w:rsid w:val="00A76EFC"/>
    <w:rsid w:val="00A91010"/>
    <w:rsid w:val="00A97F29"/>
    <w:rsid w:val="00AA702E"/>
    <w:rsid w:val="00AB0964"/>
    <w:rsid w:val="00AB5011"/>
    <w:rsid w:val="00AC7368"/>
    <w:rsid w:val="00AD16B9"/>
    <w:rsid w:val="00AE127B"/>
    <w:rsid w:val="00AE377D"/>
    <w:rsid w:val="00AF0EBA"/>
    <w:rsid w:val="00B02C8A"/>
    <w:rsid w:val="00B17FBD"/>
    <w:rsid w:val="00B21133"/>
    <w:rsid w:val="00B315A6"/>
    <w:rsid w:val="00B31813"/>
    <w:rsid w:val="00B33365"/>
    <w:rsid w:val="00B57B36"/>
    <w:rsid w:val="00B57E6F"/>
    <w:rsid w:val="00B64DD2"/>
    <w:rsid w:val="00B7443F"/>
    <w:rsid w:val="00B820E0"/>
    <w:rsid w:val="00B82727"/>
    <w:rsid w:val="00B8686D"/>
    <w:rsid w:val="00B93F69"/>
    <w:rsid w:val="00BB1DDC"/>
    <w:rsid w:val="00BC30C9"/>
    <w:rsid w:val="00BD077D"/>
    <w:rsid w:val="00BE3E58"/>
    <w:rsid w:val="00C01616"/>
    <w:rsid w:val="00C0162B"/>
    <w:rsid w:val="00C068ED"/>
    <w:rsid w:val="00C14389"/>
    <w:rsid w:val="00C22E0C"/>
    <w:rsid w:val="00C345B1"/>
    <w:rsid w:val="00C40142"/>
    <w:rsid w:val="00C45825"/>
    <w:rsid w:val="00C46C0B"/>
    <w:rsid w:val="00C5001C"/>
    <w:rsid w:val="00C52C3C"/>
    <w:rsid w:val="00C57182"/>
    <w:rsid w:val="00C57863"/>
    <w:rsid w:val="00C655FD"/>
    <w:rsid w:val="00C75407"/>
    <w:rsid w:val="00C870A8"/>
    <w:rsid w:val="00C94434"/>
    <w:rsid w:val="00CA0D75"/>
    <w:rsid w:val="00CA1C95"/>
    <w:rsid w:val="00CA5A9C"/>
    <w:rsid w:val="00CB104D"/>
    <w:rsid w:val="00CC4C20"/>
    <w:rsid w:val="00CD3517"/>
    <w:rsid w:val="00CD5FE2"/>
    <w:rsid w:val="00CD7614"/>
    <w:rsid w:val="00CE7C68"/>
    <w:rsid w:val="00D02B4C"/>
    <w:rsid w:val="00D040C4"/>
    <w:rsid w:val="00D10EF3"/>
    <w:rsid w:val="00D136EA"/>
    <w:rsid w:val="00D159B9"/>
    <w:rsid w:val="00D17B08"/>
    <w:rsid w:val="00D46B7E"/>
    <w:rsid w:val="00D57C84"/>
    <w:rsid w:val="00D6057D"/>
    <w:rsid w:val="00D71640"/>
    <w:rsid w:val="00D73304"/>
    <w:rsid w:val="00D836C5"/>
    <w:rsid w:val="00D84576"/>
    <w:rsid w:val="00D94BA6"/>
    <w:rsid w:val="00DA1399"/>
    <w:rsid w:val="00DA24C6"/>
    <w:rsid w:val="00DA2C7E"/>
    <w:rsid w:val="00DA4D7B"/>
    <w:rsid w:val="00DB06C9"/>
    <w:rsid w:val="00DB4737"/>
    <w:rsid w:val="00DE1889"/>
    <w:rsid w:val="00DE264A"/>
    <w:rsid w:val="00DF5072"/>
    <w:rsid w:val="00E02D18"/>
    <w:rsid w:val="00E041E7"/>
    <w:rsid w:val="00E23CA1"/>
    <w:rsid w:val="00E409A8"/>
    <w:rsid w:val="00E50C12"/>
    <w:rsid w:val="00E65B91"/>
    <w:rsid w:val="00E7209D"/>
    <w:rsid w:val="00E72EAD"/>
    <w:rsid w:val="00E77223"/>
    <w:rsid w:val="00E81EFF"/>
    <w:rsid w:val="00E8528B"/>
    <w:rsid w:val="00E85B94"/>
    <w:rsid w:val="00E932F8"/>
    <w:rsid w:val="00E978D0"/>
    <w:rsid w:val="00EA44FA"/>
    <w:rsid w:val="00EA4613"/>
    <w:rsid w:val="00EA7F91"/>
    <w:rsid w:val="00EB1523"/>
    <w:rsid w:val="00EC0E49"/>
    <w:rsid w:val="00EC101F"/>
    <w:rsid w:val="00EC1D9F"/>
    <w:rsid w:val="00EE0131"/>
    <w:rsid w:val="00EE17B0"/>
    <w:rsid w:val="00EF06D9"/>
    <w:rsid w:val="00EF618C"/>
    <w:rsid w:val="00EF61D6"/>
    <w:rsid w:val="00F12F66"/>
    <w:rsid w:val="00F179A2"/>
    <w:rsid w:val="00F17DF3"/>
    <w:rsid w:val="00F244EF"/>
    <w:rsid w:val="00F30C64"/>
    <w:rsid w:val="00F32BA2"/>
    <w:rsid w:val="00F32CDB"/>
    <w:rsid w:val="00F53A44"/>
    <w:rsid w:val="00F54041"/>
    <w:rsid w:val="00F54A79"/>
    <w:rsid w:val="00F565FE"/>
    <w:rsid w:val="00F63A70"/>
    <w:rsid w:val="00F7534E"/>
    <w:rsid w:val="00FA1802"/>
    <w:rsid w:val="00FA21D0"/>
    <w:rsid w:val="00FA4624"/>
    <w:rsid w:val="00FA5F5F"/>
    <w:rsid w:val="00FB730C"/>
    <w:rsid w:val="00FC2695"/>
    <w:rsid w:val="00FC3E03"/>
    <w:rsid w:val="00FC3FC1"/>
    <w:rsid w:val="00FC5579"/>
    <w:rsid w:val="00FE309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0826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2438</Words>
  <Characters>13899</Characters>
  <Application>Microsoft Office Word</Application>
  <DocSecurity>0</DocSecurity>
  <Lines>115</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Benedetta de Caprariis</cp:lastModifiedBy>
  <cp:revision>3</cp:revision>
  <cp:lastPrinted>2015-05-12T18:31:00Z</cp:lastPrinted>
  <dcterms:created xsi:type="dcterms:W3CDTF">2022-01-25T10:38:00Z</dcterms:created>
  <dcterms:modified xsi:type="dcterms:W3CDTF">2022-03-28T08:00:00Z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