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92970753"/>
            <w:bookmarkEnd w:id="0"/>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65D5BBB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D46B7E">
              <w:rPr>
                <w:rFonts w:cs="Arial"/>
                <w:b/>
                <w:bCs/>
                <w:i/>
                <w:iCs/>
                <w:color w:val="000066"/>
                <w:sz w:val="22"/>
                <w:szCs w:val="22"/>
                <w:lang w:eastAsia="it-IT"/>
              </w:rPr>
              <w:t>9</w:t>
            </w:r>
            <w:r w:rsidR="001D21AF">
              <w:rPr>
                <w:rFonts w:cs="Arial"/>
                <w:b/>
                <w:bCs/>
                <w:i/>
                <w:iCs/>
                <w:color w:val="000066"/>
                <w:sz w:val="22"/>
                <w:szCs w:val="22"/>
                <w:lang w:eastAsia="it-IT"/>
              </w:rPr>
              <w:t>2</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7B48F9">
              <w:rPr>
                <w:rFonts w:cs="Arial"/>
                <w:b/>
                <w:bCs/>
                <w:i/>
                <w:iCs/>
                <w:color w:val="000066"/>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14967F0F" w:rsidR="00300E56" w:rsidRPr="00F32D54" w:rsidRDefault="00300E56" w:rsidP="00B57E6F">
            <w:pPr>
              <w:ind w:left="-107"/>
              <w:outlineLvl w:val="2"/>
              <w:rPr>
                <w:rFonts w:ascii="Tahoma" w:hAnsi="Tahoma" w:cs="Tahoma"/>
                <w:bCs/>
                <w:color w:val="000000"/>
                <w:sz w:val="14"/>
                <w:szCs w:val="14"/>
                <w:lang w:eastAsia="it-IT"/>
              </w:rPr>
            </w:pPr>
            <w:r w:rsidRPr="00F32D54">
              <w:rPr>
                <w:rFonts w:ascii="Tahoma" w:hAnsi="Tahoma" w:cs="Tahoma"/>
                <w:iCs/>
                <w:color w:val="333333"/>
                <w:sz w:val="14"/>
                <w:szCs w:val="14"/>
                <w:lang w:eastAsia="it-IT"/>
              </w:rPr>
              <w:t>Guest Editors:</w:t>
            </w:r>
            <w:r w:rsidR="001D21AF" w:rsidRPr="00F32D54">
              <w:rPr>
                <w:rFonts w:ascii="Tahoma" w:hAnsi="Tahoma" w:cs="Tahoma"/>
                <w:color w:val="000000"/>
                <w:sz w:val="14"/>
                <w:szCs w:val="14"/>
                <w:shd w:val="clear" w:color="auto" w:fill="FFFFFF"/>
              </w:rPr>
              <w:t xml:space="preserve"> Rubens </w:t>
            </w:r>
            <w:proofErr w:type="spellStart"/>
            <w:r w:rsidR="001D21AF" w:rsidRPr="00F32D54">
              <w:rPr>
                <w:rFonts w:ascii="Tahoma" w:hAnsi="Tahoma" w:cs="Tahoma"/>
                <w:color w:val="000000"/>
                <w:sz w:val="14"/>
                <w:szCs w:val="14"/>
                <w:shd w:val="clear" w:color="auto" w:fill="FFFFFF"/>
              </w:rPr>
              <w:t>Maciel</w:t>
            </w:r>
            <w:proofErr w:type="spellEnd"/>
            <w:r w:rsidR="001D21AF" w:rsidRPr="00F32D54">
              <w:rPr>
                <w:rFonts w:ascii="Tahoma" w:hAnsi="Tahoma" w:cs="Tahoma"/>
                <w:color w:val="000000"/>
                <w:sz w:val="14"/>
                <w:szCs w:val="14"/>
                <w:shd w:val="clear" w:color="auto" w:fill="FFFFFF"/>
              </w:rPr>
              <w:t xml:space="preserve"> Filho</w:t>
            </w:r>
            <w:r w:rsidR="00964A45" w:rsidRPr="00F32D54">
              <w:rPr>
                <w:rFonts w:ascii="Tahoma" w:hAnsi="Tahoma" w:cs="Tahoma"/>
                <w:color w:val="000000"/>
                <w:sz w:val="14"/>
                <w:szCs w:val="14"/>
                <w:shd w:val="clear" w:color="auto" w:fill="FFFFFF"/>
              </w:rPr>
              <w:t xml:space="preserve">, Eliseo </w:t>
            </w:r>
            <w:proofErr w:type="spellStart"/>
            <w:r w:rsidR="00964A45" w:rsidRPr="00F32D54">
              <w:rPr>
                <w:rFonts w:ascii="Tahoma" w:hAnsi="Tahoma" w:cs="Tahoma"/>
                <w:color w:val="000000"/>
                <w:sz w:val="14"/>
                <w:szCs w:val="14"/>
                <w:shd w:val="clear" w:color="auto" w:fill="FFFFFF"/>
              </w:rPr>
              <w:t>Ranzi</w:t>
            </w:r>
            <w:proofErr w:type="spellEnd"/>
            <w:r w:rsidR="00964A45" w:rsidRPr="00F32D54">
              <w:rPr>
                <w:rFonts w:ascii="Tahoma" w:hAnsi="Tahoma" w:cs="Tahoma"/>
                <w:color w:val="000000"/>
                <w:sz w:val="14"/>
                <w:szCs w:val="14"/>
                <w:shd w:val="clear" w:color="auto" w:fill="FFFFFF"/>
              </w:rPr>
              <w:t xml:space="preserve">, Leonardo </w:t>
            </w:r>
            <w:proofErr w:type="spellStart"/>
            <w:r w:rsidR="00964A45" w:rsidRPr="00F32D54">
              <w:rPr>
                <w:rFonts w:ascii="Tahoma" w:hAnsi="Tahoma" w:cs="Tahoma"/>
                <w:color w:val="000000"/>
                <w:sz w:val="14"/>
                <w:szCs w:val="14"/>
                <w:shd w:val="clear" w:color="auto" w:fill="FFFFFF"/>
              </w:rPr>
              <w:t>Tognotti</w:t>
            </w:r>
            <w:proofErr w:type="spellEnd"/>
          </w:p>
          <w:p w14:paraId="1B0F1814" w14:textId="4A78A049" w:rsidR="000A03B2" w:rsidRPr="00B57B36" w:rsidRDefault="00FA5F5F" w:rsidP="001D21A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72EAD">
              <w:rPr>
                <w:rFonts w:ascii="Tahoma" w:hAnsi="Tahoma" w:cs="Tahoma"/>
                <w:iCs/>
                <w:color w:val="333333"/>
                <w:sz w:val="14"/>
                <w:szCs w:val="14"/>
                <w:lang w:eastAsia="it-IT"/>
              </w:rPr>
              <w:t>2</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D46B7E">
              <w:rPr>
                <w:rFonts w:ascii="Tahoma" w:hAnsi="Tahoma" w:cs="Tahoma"/>
                <w:sz w:val="14"/>
                <w:szCs w:val="14"/>
              </w:rPr>
              <w:t>-</w:t>
            </w:r>
            <w:r w:rsidR="001D21AF">
              <w:rPr>
                <w:rFonts w:ascii="Tahoma" w:hAnsi="Tahoma" w:cs="Tahoma"/>
                <w:sz w:val="14"/>
                <w:szCs w:val="14"/>
              </w:rPr>
              <w:t>90</w:t>
            </w:r>
            <w:r w:rsidR="00D46B7E">
              <w:rPr>
                <w:rFonts w:ascii="Tahoma" w:hAnsi="Tahoma" w:cs="Tahoma"/>
                <w:sz w:val="14"/>
                <w:szCs w:val="14"/>
              </w:rPr>
              <w:t>-</w:t>
            </w:r>
            <w:r w:rsidR="001D21AF">
              <w:rPr>
                <w:rFonts w:ascii="Tahoma" w:hAnsi="Tahoma" w:cs="Tahoma"/>
                <w:sz w:val="14"/>
                <w:szCs w:val="14"/>
              </w:rPr>
              <w:t>7</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10DAA130" w14:textId="77777777" w:rsidR="000A03B2" w:rsidRPr="00B57B36" w:rsidRDefault="000A03B2" w:rsidP="000A03B2">
      <w:pPr>
        <w:pStyle w:val="CETHeading1"/>
        <w:sectPr w:rsidR="000A03B2" w:rsidRPr="00B57B36" w:rsidSect="00CD5FE2">
          <w:footerReference w:type="default" r:id="rId10"/>
          <w:type w:val="continuous"/>
          <w:pgSz w:w="11906" w:h="16838" w:code="9"/>
          <w:pgMar w:top="1701" w:right="1418" w:bottom="1701" w:left="1701" w:header="1701" w:footer="0" w:gutter="0"/>
          <w:cols w:space="708"/>
          <w:titlePg/>
          <w:docGrid w:linePitch="360"/>
        </w:sectPr>
      </w:pPr>
    </w:p>
    <w:p w14:paraId="2E667253" w14:textId="120B5750" w:rsidR="00E978D0" w:rsidRPr="009D626A" w:rsidRDefault="003B1A2A" w:rsidP="009D626A">
      <w:pPr>
        <w:pStyle w:val="CETTitle"/>
      </w:pPr>
      <w:r w:rsidRPr="003B1A2A">
        <w:t>PERFORMANCES OF A BIOMASS POWERED MICRO-CHP SYSTEM IN A DEMONSTRATIVE ENVIRONMENT</w:t>
      </w:r>
    </w:p>
    <w:p w14:paraId="0488FED2" w14:textId="17D4496A" w:rsidR="00B57E6F" w:rsidRPr="00F32D54" w:rsidRDefault="003B1A2A" w:rsidP="009D626A">
      <w:pPr>
        <w:pStyle w:val="CETAuthors"/>
      </w:pPr>
      <w:r w:rsidRPr="00F32D54">
        <w:t>M.A. Costagliola</w:t>
      </w:r>
      <w:r w:rsidRPr="00F32D54">
        <w:rPr>
          <w:vertAlign w:val="superscript"/>
        </w:rPr>
        <w:t>a</w:t>
      </w:r>
      <w:r w:rsidRPr="00F32D54">
        <w:t>, G. Di Blasio</w:t>
      </w:r>
      <w:r w:rsidRPr="00F32D54">
        <w:rPr>
          <w:vertAlign w:val="superscript"/>
        </w:rPr>
        <w:t>a</w:t>
      </w:r>
      <w:r w:rsidRPr="00F32D54">
        <w:t>, R. Ianniello</w:t>
      </w:r>
      <w:r w:rsidRPr="00F32D54">
        <w:rPr>
          <w:vertAlign w:val="superscript"/>
        </w:rPr>
        <w:t>a</w:t>
      </w:r>
      <w:r w:rsidRPr="00F32D54">
        <w:t>, G.Martoriello</w:t>
      </w:r>
      <w:r w:rsidRPr="00F32D54">
        <w:rPr>
          <w:vertAlign w:val="superscript"/>
        </w:rPr>
        <w:t>a</w:t>
      </w:r>
      <w:r w:rsidR="007C0C21">
        <w:rPr>
          <w:vertAlign w:val="superscript"/>
        </w:rPr>
        <w:t>*</w:t>
      </w:r>
      <w:r w:rsidRPr="00F32D54">
        <w:t>, M.V. Prati</w:t>
      </w:r>
      <w:r w:rsidRPr="00F32D54">
        <w:rPr>
          <w:vertAlign w:val="superscript"/>
        </w:rPr>
        <w:t>a</w:t>
      </w:r>
      <w:r w:rsidRPr="00F32D54">
        <w:t>, G. Ruoppolo</w:t>
      </w:r>
      <w:r w:rsidRPr="00F32D54">
        <w:rPr>
          <w:vertAlign w:val="superscript"/>
        </w:rPr>
        <w:t>a</w:t>
      </w:r>
      <w:r w:rsidRPr="00F32D54">
        <w:t>, M.Urciuolo</w:t>
      </w:r>
      <w:r w:rsidRPr="00F32D54">
        <w:rPr>
          <w:vertAlign w:val="superscript"/>
        </w:rPr>
        <w:t>a</w:t>
      </w:r>
      <w:r w:rsidRPr="00F32D54">
        <w:t xml:space="preserve"> </w:t>
      </w:r>
    </w:p>
    <w:p w14:paraId="3D72B0B0" w14:textId="2F969D49" w:rsidR="00B57E6F" w:rsidRPr="003B1A2A" w:rsidRDefault="00B57E6F" w:rsidP="007D67C0">
      <w:pPr>
        <w:pStyle w:val="CETAddress"/>
        <w:rPr>
          <w:lang w:val="it-IT"/>
        </w:rPr>
      </w:pPr>
      <w:r w:rsidRPr="003B1A2A">
        <w:rPr>
          <w:vertAlign w:val="superscript"/>
          <w:lang w:val="it-IT"/>
        </w:rPr>
        <w:t>a</w:t>
      </w:r>
      <w:r w:rsidR="003B1A2A" w:rsidRPr="003B1A2A">
        <w:rPr>
          <w:lang w:val="it-IT"/>
        </w:rPr>
        <w:t xml:space="preserve">CNR </w:t>
      </w:r>
      <w:bookmarkStart w:id="1" w:name="_Hlk92970621"/>
      <w:r w:rsidR="003B1A2A" w:rsidRPr="003B1A2A">
        <w:rPr>
          <w:lang w:val="it-IT"/>
        </w:rPr>
        <w:t>– Istituto di Scienze e Tecnologie per l’Energia e la Mobilità Sostenibili,</w:t>
      </w:r>
      <w:bookmarkEnd w:id="1"/>
      <w:r w:rsidR="003B1A2A" w:rsidRPr="003B1A2A">
        <w:rPr>
          <w:lang w:val="it-IT"/>
        </w:rPr>
        <w:t xml:space="preserve"> Dipartimento di Ingegneria, Viale Marconi, 4, 80125 Naples, </w:t>
      </w:r>
    </w:p>
    <w:p w14:paraId="73F1267A" w14:textId="484C0B46" w:rsidR="00B57E6F" w:rsidRPr="00333CB0" w:rsidRDefault="003B1A2A" w:rsidP="007D67C0">
      <w:pPr>
        <w:pStyle w:val="CETAddress"/>
        <w:rPr>
          <w:lang w:val="en-US"/>
        </w:rPr>
      </w:pPr>
      <w:r w:rsidRPr="00333CB0">
        <w:rPr>
          <w:lang w:val="en-US"/>
        </w:rPr>
        <w:t xml:space="preserve">* </w:t>
      </w:r>
      <w:r w:rsidR="007C0C21" w:rsidRPr="00333CB0">
        <w:rPr>
          <w:lang w:val="en-US"/>
        </w:rPr>
        <w:t>g.martoriello</w:t>
      </w:r>
      <w:r w:rsidRPr="00333CB0">
        <w:rPr>
          <w:lang w:val="en-US"/>
        </w:rPr>
        <w:t>@</w:t>
      </w:r>
      <w:r w:rsidR="007C0C21" w:rsidRPr="00333CB0">
        <w:rPr>
          <w:lang w:val="en-US"/>
        </w:rPr>
        <w:t>im</w:t>
      </w:r>
      <w:r w:rsidRPr="00333CB0">
        <w:rPr>
          <w:lang w:val="en-US"/>
        </w:rPr>
        <w:t>.cnr.it</w:t>
      </w:r>
      <w:r w:rsidR="00B57E6F" w:rsidRPr="00333CB0">
        <w:rPr>
          <w:lang w:val="en-US"/>
        </w:rPr>
        <w:t xml:space="preserve"> </w:t>
      </w:r>
    </w:p>
    <w:p w14:paraId="391A78D3" w14:textId="18F3EE59" w:rsidR="007D67C0" w:rsidRPr="00DD30BC" w:rsidRDefault="007D67C0" w:rsidP="00492414">
      <w:pPr>
        <w:pStyle w:val="CETBodytext"/>
        <w:spacing w:before="240"/>
      </w:pPr>
      <w:r w:rsidRPr="00DD30BC">
        <w:t>A viable solution for residual biomass exploitation to reduce the cost related to biomass disposal and simultaneously create profit by electrical and thermal energy use is combined heat and power generation over the micro-scale of power (m-CHP) based on biomass gasification.</w:t>
      </w:r>
      <w:r>
        <w:t xml:space="preserve"> The exploitation and </w:t>
      </w:r>
      <w:r w:rsidR="00881EDF">
        <w:t xml:space="preserve">improvement </w:t>
      </w:r>
      <w:r>
        <w:t>of these systems were the main objective</w:t>
      </w:r>
      <w:r w:rsidR="00881EDF">
        <w:t>s</w:t>
      </w:r>
      <w:r>
        <w:t xml:space="preserve"> of th</w:t>
      </w:r>
      <w:r w:rsidRPr="00DD30BC">
        <w:t xml:space="preserve">e Italian project “PROMETEO – Production of electrical, thermal and cooling energy with m-CHP fueled by residual biomass”, funded by the </w:t>
      </w:r>
      <w:r>
        <w:t xml:space="preserve">local </w:t>
      </w:r>
      <w:r w:rsidRPr="00DD30BC">
        <w:t xml:space="preserve">Ministry of Economic Development (MISE). </w:t>
      </w:r>
      <w:r>
        <w:t>The p</w:t>
      </w:r>
      <w:r w:rsidRPr="00DD30BC">
        <w:t xml:space="preserve">resent work shows </w:t>
      </w:r>
      <w:r>
        <w:t xml:space="preserve">an extended experimental activity based on a 20kW micro-cogeneration system as powered </w:t>
      </w:r>
      <w:r w:rsidRPr="00DD30BC">
        <w:t xml:space="preserve">by </w:t>
      </w:r>
      <w:r w:rsidR="008F3AFD" w:rsidRPr="0017165A">
        <w:t xml:space="preserve">two </w:t>
      </w:r>
      <w:r w:rsidRPr="0017165A">
        <w:t>types</w:t>
      </w:r>
      <w:r>
        <w:t xml:space="preserve"> of </w:t>
      </w:r>
      <w:r w:rsidRPr="00DD30BC">
        <w:t>residual lignocellulosic biomasses</w:t>
      </w:r>
      <w:r>
        <w:t xml:space="preserve"> briquettes in a demonstrative environment site identified in </w:t>
      </w:r>
      <w:r w:rsidRPr="00DD30BC">
        <w:t xml:space="preserve">a waste management and storage plant in the Municipality of </w:t>
      </w:r>
      <w:proofErr w:type="spellStart"/>
      <w:r w:rsidRPr="00DD30BC">
        <w:t>Mugnano</w:t>
      </w:r>
      <w:proofErr w:type="spellEnd"/>
      <w:r w:rsidRPr="00DD30BC">
        <w:t xml:space="preserve">, Naples, in the south of Italy. </w:t>
      </w:r>
      <w:r w:rsidRPr="004604BC">
        <w:t xml:space="preserve">The m-CHP plant is made of a gasifier, a syngas cleaning circuit and a spark ignition (SI) </w:t>
      </w:r>
      <w:r>
        <w:t>internal combustion engine (I</w:t>
      </w:r>
      <w:r w:rsidRPr="004604BC">
        <w:t>CE</w:t>
      </w:r>
      <w:r>
        <w:t>)</w:t>
      </w:r>
      <w:r w:rsidRPr="004604BC">
        <w:t xml:space="preserve"> connected to an electric-generator</w:t>
      </w:r>
      <w:r>
        <w:t xml:space="preserve">. </w:t>
      </w:r>
      <w:r w:rsidRPr="00DD30BC">
        <w:t xml:space="preserve">The electrical output </w:t>
      </w:r>
      <w:r>
        <w:t>wa</w:t>
      </w:r>
      <w:r w:rsidRPr="00DD30BC">
        <w:t>s meant to power the plant machines for the operations of waste storage.</w:t>
      </w:r>
      <w:r w:rsidR="00083CAC">
        <w:t xml:space="preserve"> </w:t>
      </w:r>
      <w:r w:rsidRPr="00AB39B0">
        <w:t xml:space="preserve">For </w:t>
      </w:r>
      <w:r w:rsidRPr="00214946">
        <w:t>both biomasses</w:t>
      </w:r>
      <w:r w:rsidRPr="00AB39B0">
        <w:t>, tests were conducted for the</w:t>
      </w:r>
      <w:r>
        <w:t xml:space="preserve"> complete</w:t>
      </w:r>
      <w:r w:rsidRPr="00AB39B0">
        <w:t xml:space="preserve"> characterization of the system in low and medium load</w:t>
      </w:r>
      <w:r>
        <w:t xml:space="preserve"> and in different spark ignition timing</w:t>
      </w:r>
      <w:r w:rsidRPr="00AB39B0">
        <w:t xml:space="preserve"> </w:t>
      </w:r>
      <w:r>
        <w:t>to assess</w:t>
      </w:r>
      <w:r w:rsidRPr="00AB39B0">
        <w:t xml:space="preserve"> </w:t>
      </w:r>
      <w:r>
        <w:t>the</w:t>
      </w:r>
      <w:r w:rsidRPr="00AB39B0">
        <w:t xml:space="preserve"> </w:t>
      </w:r>
      <w:r>
        <w:t xml:space="preserve">system </w:t>
      </w:r>
      <w:r w:rsidRPr="00AB39B0">
        <w:t>sensitivity</w:t>
      </w:r>
      <w:r>
        <w:t>.</w:t>
      </w:r>
      <w:r w:rsidRPr="00AB39B0">
        <w:t xml:space="preserve"> </w:t>
      </w:r>
      <w:r w:rsidRPr="00B460E7">
        <w:t>The</w:t>
      </w:r>
      <w:r>
        <w:t xml:space="preserve"> </w:t>
      </w:r>
      <w:r w:rsidR="00881EDF" w:rsidRPr="004604BC">
        <w:t>m-CH</w:t>
      </w:r>
      <w:r w:rsidR="00881EDF">
        <w:t>P</w:t>
      </w:r>
      <w:r>
        <w:t xml:space="preserve"> performance was</w:t>
      </w:r>
      <w:r w:rsidRPr="00B460E7">
        <w:t xml:space="preserve"> investigated </w:t>
      </w:r>
      <w:r>
        <w:t xml:space="preserve">with a complete characterization of the syngas and tar compositions, main pollutant emissions and internal combustion engine analyses, </w:t>
      </w:r>
      <w:r w:rsidRPr="00DD30BC">
        <w:t>aimed at the evaluation of the energetic and environmental efficiencies.</w:t>
      </w:r>
      <w:r w:rsidR="00083CAC" w:rsidRPr="00083CAC">
        <w:t xml:space="preserve"> An analysis of the air quality near the </w:t>
      </w:r>
      <w:r w:rsidR="00881EDF">
        <w:t>site</w:t>
      </w:r>
      <w:r w:rsidR="00881EDF" w:rsidRPr="00083CAC">
        <w:t xml:space="preserve"> </w:t>
      </w:r>
      <w:r w:rsidR="00083CAC" w:rsidRPr="00083CAC">
        <w:t xml:space="preserve">by evaluating CO, </w:t>
      </w:r>
      <w:r w:rsidR="00083CAC" w:rsidRPr="00F32D54">
        <w:t>O</w:t>
      </w:r>
      <w:r w:rsidR="009E11C0" w:rsidRPr="00F32D54">
        <w:rPr>
          <w:vertAlign w:val="subscript"/>
        </w:rPr>
        <w:t>3</w:t>
      </w:r>
      <w:r w:rsidR="00083CAC" w:rsidRPr="00F32D54">
        <w:t>, NO</w:t>
      </w:r>
      <w:r w:rsidR="00083CAC" w:rsidRPr="00F32D54">
        <w:rPr>
          <w:vertAlign w:val="subscript"/>
        </w:rPr>
        <w:t>2</w:t>
      </w:r>
      <w:r w:rsidR="00083CAC" w:rsidRPr="00F32D54">
        <w:t>, C</w:t>
      </w:r>
      <w:r w:rsidR="00083CAC" w:rsidRPr="00F32D54">
        <w:rPr>
          <w:vertAlign w:val="subscript"/>
        </w:rPr>
        <w:t>6</w:t>
      </w:r>
      <w:r w:rsidR="00083CAC" w:rsidRPr="00F32D54">
        <w:t>H</w:t>
      </w:r>
      <w:r w:rsidR="00083CAC" w:rsidRPr="00F32D54">
        <w:rPr>
          <w:vertAlign w:val="subscript"/>
        </w:rPr>
        <w:t>6</w:t>
      </w:r>
      <w:r w:rsidR="00083CAC" w:rsidRPr="00083CAC">
        <w:t xml:space="preserve"> and PM10 concentration was also carried out.</w:t>
      </w:r>
      <w:r w:rsidRPr="00DD30BC">
        <w:t xml:space="preserve"> The ultimate purpose of the present work is </w:t>
      </w:r>
      <w:r>
        <w:t>the demonstration of the advantages of the</w:t>
      </w:r>
      <w:r w:rsidRPr="00DD30BC">
        <w:t xml:space="preserve"> employment of biomass-powered cogeneration systems in the Mediterranean regions</w:t>
      </w:r>
      <w:r w:rsidR="00F32D54">
        <w:t xml:space="preserve">. </w:t>
      </w:r>
    </w:p>
    <w:p w14:paraId="18797CC5" w14:textId="4D28B2F0" w:rsidR="007D67C0" w:rsidRDefault="007D67C0" w:rsidP="007D67C0">
      <w:pPr>
        <w:pStyle w:val="CETHeading1"/>
      </w:pPr>
      <w:r>
        <w:t>Introduction</w:t>
      </w:r>
    </w:p>
    <w:p w14:paraId="2F6CF308" w14:textId="45910455" w:rsidR="00234B7C" w:rsidRDefault="007D67C0" w:rsidP="007F4CF1">
      <w:pPr>
        <w:spacing w:before="120"/>
      </w:pPr>
      <w:r w:rsidRPr="007D67C0">
        <w:t xml:space="preserve">Modern bioenergy is currently the largest renewable energy source, with a share in final energy consumption five times greater than wind and solar PV combined </w:t>
      </w:r>
      <w:r w:rsidRPr="007D67C0">
        <w:fldChar w:fldCharType="begin"/>
      </w:r>
      <w:r w:rsidR="00005CAC">
        <w:instrText xml:space="preserve"> ADDIN ZOTERO_ITEM CSL_CITATION {"citationID":"tDhGkqP6","properties":{"formattedCitation":"(Frankl, 2017)","plainCitation":"(Frankl, 2017)","noteIndex":0},"citationItems":[{"id":59,"uris":["http://zotero.org/users/local/v2UwehSA/items/NKAN32Y7"],"uri":["http://zotero.org/users/local/v2UwehSA/items/NKAN32Y7"],"itemData":{"id":59,"type":"article-journal","language":"en","page":"13","source":"Zotero","title":"IEA Technology Roadmap: The need to scale up sustainable bioenergy","author":[{"family":"Frankl","given":"Paolo"}],"issued":{"date-parts":[["2017"]]}}}],"schema":"https://github.com/citation-style-language/schema/raw/master/csl-citation.json"} </w:instrText>
      </w:r>
      <w:r w:rsidRPr="007D67C0">
        <w:fldChar w:fldCharType="separate"/>
      </w:r>
      <w:r w:rsidR="00005CAC" w:rsidRPr="00005CAC">
        <w:rPr>
          <w:rFonts w:cs="Arial"/>
        </w:rPr>
        <w:t>(Frankl, 2017)</w:t>
      </w:r>
      <w:r w:rsidRPr="007D67C0">
        <w:fldChar w:fldCharType="end"/>
      </w:r>
      <w:r w:rsidRPr="007D67C0">
        <w:t>.</w:t>
      </w:r>
      <w:r w:rsidR="00234B7C">
        <w:t xml:space="preserve"> </w:t>
      </w:r>
      <w:r w:rsidR="00234B7C" w:rsidRPr="00427AE3">
        <w:t>Because of its broad availability, woody biomass has gotten a lot of interest</w:t>
      </w:r>
      <w:r w:rsidR="00234B7C">
        <w:t xml:space="preserve">, especially if gasification is involved, </w:t>
      </w:r>
      <w:r w:rsidR="00C316D0">
        <w:t>even though</w:t>
      </w:r>
      <w:r w:rsidR="00234B7C" w:rsidRPr="00427AE3">
        <w:t xml:space="preserve"> it</w:t>
      </w:r>
      <w:r w:rsidR="00881EDF">
        <w:t>i</w:t>
      </w:r>
      <w:r w:rsidR="00234B7C" w:rsidRPr="00427AE3">
        <w:t>s only been used for energy production in a few places so far.</w:t>
      </w:r>
      <w:r w:rsidR="00234B7C">
        <w:t xml:space="preserve"> Biomass derived syngas is a </w:t>
      </w:r>
      <w:r w:rsidR="00234B7C" w:rsidRPr="00664EFE">
        <w:t xml:space="preserve">low-energy </w:t>
      </w:r>
      <w:r w:rsidR="00234B7C">
        <w:t xml:space="preserve">and adaptable </w:t>
      </w:r>
      <w:r w:rsidR="00234B7C" w:rsidRPr="00664EFE">
        <w:t>fuel gas that can be used in spark ignition</w:t>
      </w:r>
      <w:r w:rsidR="00234B7C">
        <w:t xml:space="preserve"> </w:t>
      </w:r>
      <w:r w:rsidR="00234B7C" w:rsidRPr="00664EFE">
        <w:t xml:space="preserve">internal combustion engines </w:t>
      </w:r>
      <w:r w:rsidR="00234B7C">
        <w:t>(ICEs)</w:t>
      </w:r>
      <w:r w:rsidR="00863B01">
        <w:t xml:space="preserve"> </w:t>
      </w:r>
      <w:r w:rsidR="00863B01">
        <w:fldChar w:fldCharType="begin"/>
      </w:r>
      <w:r w:rsidR="004E532C">
        <w:instrText xml:space="preserve"> ADDIN ZOTERO_ITEM CSL_CITATION {"citationID":"2KzwyVxL","properties":{"formattedCitation":"(Costa {\\i{}et al.}, 2020)","plainCitation":"(Costa et al., 2020)","noteIndex":0},"citationItems":[{"id":149,"uris":["http://zotero.org/users/local/v2UwehSA/items/UGA544FS"],"uri":["http://zotero.org/users/local/v2UwehSA/items/UGA544FS"],"itemData":{"id":149,"type":"article-journal","abstract":"Syngas deriving from biomass gasification is receiving increased interest as an alternative fuel in spark ignition (SI) engines for power generation, despite problems related to the variability of its composition and the low energy density. Syngas release from gasifiers is indeed strongly affected by the quality of the feedstock and by the specific features and control strategy of the reactor. The paper considers the possibility to achieve, at the same time, high efficiency and low pollutant emissions of a syngas powered engine by acting on operating variables as the spark timing and the air-to-fuel ratio, with also the possible inclusion of exhaust gas recirculation (EGR). Model-based design and multi-objective optimization methods are applied as a feasible approach to address this issue, hence to improve the energetic and the environmental performances of power generation under a flexible fuel quality. A one-dimensional (1D) model of a naturally aspirated SI engine fuelled by syngas, properly developed and validated through a specific experimental campaign, is here presented to investigate the effect of the main controlling variables on power output and emissions. A proper design of experiment (DoE) space is considered. The 1D model is coupled with a genetic optimization algorithm for the search of the best compromise solution between maximum performance and minimum pollutants amount. The identified optimal solution allows a reduction up to the 50% for both nitrogen oxides and carbon monoxide emissions with a negligible worsening of the power output.","container-title":"Applied Energy","DOI":"10.1016/j.apenergy.2020.115418","ISSN":"0306-2619","journalAbbreviation":"Applied Energy","language":"en","page":"115418","source":"ScienceDirect","title":"Multi-objective optimization of a syngas powered reciprocating engine equipping a combined heat and power unit","URL":"https://www.sciencedirect.com/science/article/pii/S0306261920309302","volume":"275","author":[{"family":"Costa","given":"M."},{"family":"Di Blasio","given":"G."},{"family":"Prati","given":"M. V."},{"family":"Costagliola","given":"M. A."},{"family":"Cirillo","given":"D."},{"family":"La Villetta","given":"M."},{"family":"Caputo","given":"C."},{"family":"Martoriello","given":"G."}],"accessed":{"date-parts":[["2021",10,12]]},"issued":{"date-parts":[["2020",10,1]]}}}],"schema":"https://github.com/citation-style-language/schema/raw/master/csl-citation.json"} </w:instrText>
      </w:r>
      <w:r w:rsidR="00863B01">
        <w:fldChar w:fldCharType="separate"/>
      </w:r>
      <w:r w:rsidR="004E532C" w:rsidRPr="004E532C">
        <w:rPr>
          <w:rFonts w:cs="Arial"/>
          <w:szCs w:val="24"/>
        </w:rPr>
        <w:t xml:space="preserve">(Costa </w:t>
      </w:r>
      <w:r w:rsidR="004E532C" w:rsidRPr="004E532C">
        <w:rPr>
          <w:rFonts w:cs="Arial"/>
          <w:i/>
          <w:iCs/>
          <w:szCs w:val="24"/>
        </w:rPr>
        <w:t>et al.</w:t>
      </w:r>
      <w:r w:rsidR="004E532C" w:rsidRPr="004E532C">
        <w:rPr>
          <w:rFonts w:cs="Arial"/>
          <w:szCs w:val="24"/>
        </w:rPr>
        <w:t>, 2020)</w:t>
      </w:r>
      <w:r w:rsidR="00863B01">
        <w:fldChar w:fldCharType="end"/>
      </w:r>
      <w:r w:rsidR="00234B7C">
        <w:t xml:space="preserve"> </w:t>
      </w:r>
      <w:r w:rsidR="00234B7C" w:rsidRPr="00664EFE">
        <w:t>that</w:t>
      </w:r>
      <w:r w:rsidR="00234B7C">
        <w:t xml:space="preserve"> we</w:t>
      </w:r>
      <w:r w:rsidR="00234B7C" w:rsidRPr="00664EFE">
        <w:t>re designed to run on gasoline or diesel fuels to decrease or eliminate the need for petroleum-based fuels.</w:t>
      </w:r>
      <w:r w:rsidR="00234B7C">
        <w:t xml:space="preserve"> </w:t>
      </w:r>
      <w:r w:rsidR="00164FDF">
        <w:t xml:space="preserve">Lund’s paper (Lund, 2014) shows an analysis of smart energy systems synergies, highlighting the possible </w:t>
      </w:r>
      <w:r w:rsidR="008736F0">
        <w:t>infrastructures</w:t>
      </w:r>
      <w:r w:rsidR="00164FDF">
        <w:t xml:space="preserve"> for biomass to energy systems and the use of gasification </w:t>
      </w:r>
      <w:r w:rsidR="008736F0">
        <w:t>in the</w:t>
      </w:r>
      <w:r w:rsidR="00164FDF">
        <w:t xml:space="preserve"> cogeneration technology. </w:t>
      </w:r>
      <w:r w:rsidR="007F4CF1">
        <w:t>The exploitation of e</w:t>
      </w:r>
      <w:r w:rsidR="00234B7C">
        <w:t xml:space="preserve">lectrical generation employing a syngas-powered engine </w:t>
      </w:r>
      <w:r w:rsidR="007F4CF1">
        <w:t xml:space="preserve">in </w:t>
      </w:r>
      <w:r w:rsidR="00C346D3">
        <w:t>combined heat and power</w:t>
      </w:r>
      <w:r w:rsidR="007F4CF1">
        <w:t xml:space="preserve"> asset</w:t>
      </w:r>
      <w:r w:rsidR="00881EDF">
        <w:t>s</w:t>
      </w:r>
      <w:r w:rsidR="007F4CF1">
        <w:t xml:space="preserve"> </w:t>
      </w:r>
      <w:r w:rsidR="00234B7C">
        <w:t>can be used in both the developed and developing countries to reduce greenhouse gas emissions and to provide electricity in rural locations where biomass is normally available</w:t>
      </w:r>
      <w:r w:rsidR="007F4CF1">
        <w:t xml:space="preserve">. The </w:t>
      </w:r>
      <w:r w:rsidR="002B53B0">
        <w:t>main</w:t>
      </w:r>
      <w:r w:rsidR="007F4CF1">
        <w:t xml:space="preserve"> goal of this work is to show the benefits of using biomass-powered </w:t>
      </w:r>
      <w:r w:rsidR="00E4308D">
        <w:t xml:space="preserve">air </w:t>
      </w:r>
      <w:r w:rsidR="007F4CF1">
        <w:t>cogeneration systems in Mediterranean regions as part of biomass-to-energy chains that can be set up in rural areas</w:t>
      </w:r>
      <w:r w:rsidR="00C346D3">
        <w:t xml:space="preserve"> </w:t>
      </w:r>
      <w:r w:rsidR="007F4CF1">
        <w:t>and to serve municipalities that need to dispose of green waste from pruning and maintenance operations.</w:t>
      </w:r>
      <w:r w:rsidR="00E4308D">
        <w:t xml:space="preserve"> </w:t>
      </w:r>
    </w:p>
    <w:p w14:paraId="7C6CF16B" w14:textId="02531B35" w:rsidR="007F4CF1" w:rsidRDefault="007F4CF1" w:rsidP="007F4CF1">
      <w:pPr>
        <w:pStyle w:val="CETHeading1"/>
      </w:pPr>
      <w:r>
        <w:lastRenderedPageBreak/>
        <w:t>Experimental layout</w:t>
      </w:r>
    </w:p>
    <w:p w14:paraId="01804A52" w14:textId="7AF9B775" w:rsidR="002B53B0" w:rsidRDefault="007F4CF1" w:rsidP="00DF5606">
      <w:pPr>
        <w:spacing w:before="240"/>
      </w:pPr>
      <w:r>
        <w:t>A micro-cogeneration system based on biomass gasification</w:t>
      </w:r>
      <w:r w:rsidR="00161892">
        <w:t xml:space="preserve">, whose </w:t>
      </w:r>
      <w:r w:rsidR="00765BEC">
        <w:t xml:space="preserve">description and </w:t>
      </w:r>
      <w:r w:rsidR="00161892">
        <w:t>main</w:t>
      </w:r>
      <w:r w:rsidR="00765BEC">
        <w:t xml:space="preserve"> specification are reported in</w:t>
      </w:r>
      <w:r w:rsidR="00161892">
        <w:t xml:space="preserve"> </w:t>
      </w:r>
      <w:r w:rsidR="0017106E">
        <w:t xml:space="preserve">ref. </w:t>
      </w:r>
      <w:r w:rsidR="00765BEC">
        <w:fldChar w:fldCharType="begin"/>
      </w:r>
      <w:r w:rsidR="004E532C">
        <w:instrText xml:space="preserve"> ADDIN ZOTERO_ITEM CSL_CITATION {"citationID":"JAmccC6w","properties":{"formattedCitation":"(Costa {\\i{}et al.}, 2020)","plainCitation":"(Costa et al., 2020)","noteIndex":0},"citationItems":[{"id":149,"uris":["http://zotero.org/users/local/v2UwehSA/items/UGA544FS"],"uri":["http://zotero.org/users/local/v2UwehSA/items/UGA544FS"],"itemData":{"id":149,"type":"article-journal","abstract":"Syngas deriving from biomass gasification is receiving increased interest as an alternative fuel in spark ignition (SI) engines for power generation, despite problems related to the variability of its composition and the low energy density. Syngas release from gasifiers is indeed strongly affected by the quality of the feedstock and by the specific features and control strategy of the reactor. The paper considers the possibility to achieve, at the same time, high efficiency and low pollutant emissions of a syngas powered engine by acting on operating variables as the spark timing and the air-to-fuel ratio, with also the possible inclusion of exhaust gas recirculation (EGR). Model-based design and multi-objective optimization methods are applied as a feasible approach to address this issue, hence to improve the energetic and the environmental performances of power generation under a flexible fuel quality. A one-dimensional (1D) model of a naturally aspirated SI engine fuelled by syngas, properly developed and validated through a specific experimental campaign, is here presented to investigate the effect of the main controlling variables on power output and emissions. A proper design of experiment (DoE) space is considered. The 1D model is coupled with a genetic optimization algorithm for the search of the best compromise solution between maximum performance and minimum pollutants amount. The identified optimal solution allows a reduction up to the 50% for both nitrogen oxides and carbon monoxide emissions with a negligible worsening of the power output.","container-title":"Applied Energy","DOI":"10.1016/j.apenergy.2020.115418","ISSN":"0306-2619","journalAbbreviation":"Applied Energy","language":"en","page":"115418","source":"ScienceDirect","title":"Multi-objective optimization of a syngas powered reciprocating engine equipping a combined heat and power unit","URL":"https://www.sciencedirect.com/science/article/pii/S0306261920309302","volume":"275","author":[{"family":"Costa","given":"M."},{"family":"Di Blasio","given":"G."},{"family":"Prati","given":"M. V."},{"family":"Costagliola","given":"M. A."},{"family":"Cirillo","given":"D."},{"family":"La Villetta","given":"M."},{"family":"Caputo","given":"C."},{"family":"Martoriello","given":"G."}],"accessed":{"date-parts":[["2021",10,12]]},"issued":{"date-parts":[["2020",10,1]]}}}],"schema":"https://github.com/citation-style-language/schema/raw/master/csl-citation.json"} </w:instrText>
      </w:r>
      <w:r w:rsidR="00765BEC">
        <w:fldChar w:fldCharType="separate"/>
      </w:r>
      <w:r w:rsidR="004E532C" w:rsidRPr="004E532C">
        <w:rPr>
          <w:rFonts w:cs="Arial"/>
          <w:szCs w:val="24"/>
        </w:rPr>
        <w:t xml:space="preserve">(Costa </w:t>
      </w:r>
      <w:r w:rsidR="004E532C" w:rsidRPr="004E532C">
        <w:rPr>
          <w:rFonts w:cs="Arial"/>
          <w:i/>
          <w:iCs/>
          <w:szCs w:val="24"/>
        </w:rPr>
        <w:t>et al.</w:t>
      </w:r>
      <w:r w:rsidR="004E532C" w:rsidRPr="004E532C">
        <w:rPr>
          <w:rFonts w:cs="Arial"/>
          <w:szCs w:val="24"/>
        </w:rPr>
        <w:t>, 2020)</w:t>
      </w:r>
      <w:r w:rsidR="00765BEC">
        <w:fldChar w:fldCharType="end"/>
      </w:r>
      <w:r w:rsidR="00765BEC">
        <w:t>,</w:t>
      </w:r>
      <w:r>
        <w:t xml:space="preserve"> was characterized in a demonstrative environment </w:t>
      </w:r>
      <w:r w:rsidR="002B53B0">
        <w:t xml:space="preserve">aiming </w:t>
      </w:r>
      <w:r w:rsidR="002B53B0" w:rsidRPr="004A48CB">
        <w:t>at concretely verifying the sustainability of whole biomass-to-energy chains</w:t>
      </w:r>
      <w:r w:rsidR="002B53B0">
        <w:t xml:space="preserve"> and </w:t>
      </w:r>
      <w:r>
        <w:t>understand</w:t>
      </w:r>
      <w:r w:rsidR="002B53B0">
        <w:t>ing</w:t>
      </w:r>
      <w:r>
        <w:t xml:space="preserve"> </w:t>
      </w:r>
      <w:r w:rsidR="002B53B0">
        <w:t>its</w:t>
      </w:r>
      <w:r>
        <w:t xml:space="preserve"> </w:t>
      </w:r>
      <w:r w:rsidR="002B53B0">
        <w:t>viability as a green energy system in</w:t>
      </w:r>
      <w:r w:rsidR="0017106E">
        <w:t xml:space="preserve"> a</w:t>
      </w:r>
      <w:r w:rsidR="002B53B0" w:rsidRPr="004A48CB">
        <w:t xml:space="preserve"> waste management and storage plant. </w:t>
      </w:r>
      <w:r w:rsidR="00863B01" w:rsidRPr="004604BC">
        <w:t xml:space="preserve">The </w:t>
      </w:r>
      <w:r w:rsidR="00F93353">
        <w:t>micro-cogeneration</w:t>
      </w:r>
      <w:r w:rsidR="00863B01" w:rsidRPr="004604BC">
        <w:t xml:space="preserve"> plant is made of a gasifier, a syngas cleaning circuit and a spark ignition </w:t>
      </w:r>
      <w:r w:rsidR="00F93353">
        <w:t>ICE</w:t>
      </w:r>
      <w:r w:rsidR="00863B01" w:rsidRPr="004604BC">
        <w:t xml:space="preserve"> connected to an </w:t>
      </w:r>
      <w:r w:rsidR="00F93353" w:rsidRPr="004604BC">
        <w:t>electric generator</w:t>
      </w:r>
      <w:r w:rsidR="00863B01">
        <w:t xml:space="preserve">. </w:t>
      </w:r>
      <w:proofErr w:type="spellStart"/>
      <w:r w:rsidR="008736F0">
        <w:t>Gasifycation</w:t>
      </w:r>
      <w:proofErr w:type="spellEnd"/>
      <w:r w:rsidR="008736F0">
        <w:t xml:space="preserve"> agents is air with an equivalence ratio – the ratio between </w:t>
      </w:r>
      <w:proofErr w:type="spellStart"/>
      <w:r w:rsidR="008736F0">
        <w:t>gasifyication</w:t>
      </w:r>
      <w:proofErr w:type="spellEnd"/>
      <w:r w:rsidR="008736F0">
        <w:t xml:space="preserve"> agents-to-biomass to their stoichiometric mixture – of 0.3.</w:t>
      </w:r>
      <w:r w:rsidR="00E4308D">
        <w:t xml:space="preserve"> Compared to steam gasification (Stark </w:t>
      </w:r>
      <w:r w:rsidR="00E4308D" w:rsidRPr="00E4308D">
        <w:rPr>
          <w:i/>
          <w:iCs/>
        </w:rPr>
        <w:t>et al.</w:t>
      </w:r>
      <w:r w:rsidR="00E4308D">
        <w:rPr>
          <w:i/>
          <w:iCs/>
        </w:rPr>
        <w:t xml:space="preserve">, 2019), </w:t>
      </w:r>
      <w:r w:rsidR="00E4308D">
        <w:t>air gasification is</w:t>
      </w:r>
      <w:r w:rsidR="00F67944">
        <w:t xml:space="preserve"> a cheaper but</w:t>
      </w:r>
      <w:r w:rsidR="00E4308D">
        <w:t xml:space="preserve"> less efficient</w:t>
      </w:r>
      <w:r w:rsidR="00F67944">
        <w:t xml:space="preserve"> alternative, leading to a syngas with a high percentage of nitrogen (&gt;45%) that reduce the overall LHV.</w:t>
      </w:r>
      <w:r w:rsidR="008736F0">
        <w:t xml:space="preserve"> </w:t>
      </w:r>
      <w:r w:rsidR="0017106E">
        <w:t xml:space="preserve">Figure 1a shows the experimental setup. </w:t>
      </w:r>
      <w:r w:rsidR="00FA5A12" w:rsidRPr="00F32D54">
        <w:t xml:space="preserve">The properties of biomasses were determined by means of proximate analysis (TGA 701 LECO thermogravimetric </w:t>
      </w:r>
      <w:proofErr w:type="spellStart"/>
      <w:r w:rsidR="00FA5A12" w:rsidRPr="00F32D54">
        <w:t>analyzer</w:t>
      </w:r>
      <w:proofErr w:type="spellEnd"/>
      <w:r w:rsidR="00FA5A12" w:rsidRPr="00F32D54">
        <w:t xml:space="preserve">), ultimate analysis (CHN </w:t>
      </w:r>
      <w:r w:rsidR="008B3E03" w:rsidRPr="00F32D54">
        <w:t>628</w:t>
      </w:r>
      <w:r w:rsidR="00FA5A12" w:rsidRPr="00F32D54">
        <w:t xml:space="preserve"> LECO </w:t>
      </w:r>
      <w:proofErr w:type="spellStart"/>
      <w:r w:rsidR="00FA5A12" w:rsidRPr="00F32D54">
        <w:t>analyzer</w:t>
      </w:r>
      <w:proofErr w:type="spellEnd"/>
      <w:r w:rsidR="00FA5A12" w:rsidRPr="00F32D54">
        <w:t xml:space="preserve">; SC 144 DR LECO </w:t>
      </w:r>
      <w:proofErr w:type="spellStart"/>
      <w:r w:rsidR="00FA5A12" w:rsidRPr="00F32D54">
        <w:t>analyzer</w:t>
      </w:r>
      <w:proofErr w:type="spellEnd"/>
      <w:r w:rsidR="00FA5A12" w:rsidRPr="00F32D54">
        <w:t xml:space="preserve">). All the analyses were performed in triplicate at least. </w:t>
      </w:r>
      <w:r w:rsidR="002B53B0" w:rsidRPr="00F32D54">
        <w:t xml:space="preserve">The </w:t>
      </w:r>
      <w:r w:rsidR="00FA5A12" w:rsidRPr="00F32D54">
        <w:t>analysis</w:t>
      </w:r>
      <w:r w:rsidR="002B53B0" w:rsidRPr="00F32D54">
        <w:t xml:space="preserve"> of </w:t>
      </w:r>
      <w:r w:rsidR="00F93353" w:rsidRPr="00F32D54">
        <w:t xml:space="preserve">syngas composition is made by online measurement </w:t>
      </w:r>
      <w:r w:rsidR="009464A8" w:rsidRPr="00F32D54">
        <w:t>(</w:t>
      </w:r>
      <w:r w:rsidR="002D2CB7" w:rsidRPr="00F32D54">
        <w:t>O</w:t>
      </w:r>
      <w:r w:rsidR="002D2CB7" w:rsidRPr="00F32D54">
        <w:rPr>
          <w:vertAlign w:val="subscript"/>
        </w:rPr>
        <w:t>2</w:t>
      </w:r>
      <w:r w:rsidR="002D2CB7" w:rsidRPr="00F32D54">
        <w:t xml:space="preserve">, </w:t>
      </w:r>
      <w:r w:rsidR="009464A8" w:rsidRPr="00F32D54">
        <w:t>CO, CO</w:t>
      </w:r>
      <w:r w:rsidR="009464A8" w:rsidRPr="00F32D54">
        <w:rPr>
          <w:vertAlign w:val="subscript"/>
        </w:rPr>
        <w:t>2</w:t>
      </w:r>
      <w:r w:rsidR="009464A8" w:rsidRPr="00F32D54">
        <w:t>, CH</w:t>
      </w:r>
      <w:r w:rsidR="009464A8" w:rsidRPr="00F32D54">
        <w:rPr>
          <w:vertAlign w:val="subscript"/>
        </w:rPr>
        <w:t>4</w:t>
      </w:r>
      <w:r w:rsidR="009464A8" w:rsidRPr="00F32D54">
        <w:t xml:space="preserve"> and H</w:t>
      </w:r>
      <w:r w:rsidR="009464A8" w:rsidRPr="00F32D54">
        <w:rPr>
          <w:vertAlign w:val="subscript"/>
        </w:rPr>
        <w:t>2</w:t>
      </w:r>
      <w:r w:rsidR="009464A8" w:rsidRPr="00F32D54">
        <w:t xml:space="preserve">) </w:t>
      </w:r>
      <w:r w:rsidR="00F93353" w:rsidRPr="00F32D54">
        <w:t xml:space="preserve">by </w:t>
      </w:r>
      <w:proofErr w:type="spellStart"/>
      <w:r w:rsidR="00F93353" w:rsidRPr="00F32D54">
        <w:t>Vario</w:t>
      </w:r>
      <w:proofErr w:type="spellEnd"/>
      <w:r w:rsidR="00F93353" w:rsidRPr="00F32D54">
        <w:t xml:space="preserve"> </w:t>
      </w:r>
      <w:proofErr w:type="spellStart"/>
      <w:r w:rsidR="00F93353" w:rsidRPr="00F32D54">
        <w:t>Luxx</w:t>
      </w:r>
      <w:proofErr w:type="spellEnd"/>
      <w:r w:rsidR="00F93353" w:rsidRPr="00F32D54">
        <w:t xml:space="preserve"> </w:t>
      </w:r>
      <w:r w:rsidR="009464A8" w:rsidRPr="00F32D54">
        <w:t xml:space="preserve">analyser </w:t>
      </w:r>
      <w:r w:rsidR="00F93353" w:rsidRPr="00F32D54">
        <w:t xml:space="preserve">and an off-line sampling in </w:t>
      </w:r>
      <w:proofErr w:type="spellStart"/>
      <w:r w:rsidR="00F93353" w:rsidRPr="00F32D54">
        <w:t>Tedlar</w:t>
      </w:r>
      <w:proofErr w:type="spellEnd"/>
      <w:r w:rsidR="00F93353" w:rsidRPr="00F32D54">
        <w:t xml:space="preserve"> bags</w:t>
      </w:r>
      <w:r w:rsidR="009464A8" w:rsidRPr="00F32D54">
        <w:t xml:space="preserve"> the stream </w:t>
      </w:r>
      <w:r w:rsidR="00F93353" w:rsidRPr="00F32D54">
        <w:t xml:space="preserve">which is subsequently </w:t>
      </w:r>
      <w:proofErr w:type="spellStart"/>
      <w:r w:rsidR="00F93353" w:rsidRPr="00F32D54">
        <w:t>analyzed</w:t>
      </w:r>
      <w:proofErr w:type="spellEnd"/>
      <w:r w:rsidR="00F93353" w:rsidRPr="00F32D54">
        <w:t xml:space="preserve"> through a </w:t>
      </w:r>
      <w:r w:rsidR="009464A8" w:rsidRPr="00F32D54">
        <w:t>by a micro gas chromatograph (micro-GC) (Agilent 3000A) providing the concentration of light hydrocarbons (</w:t>
      </w:r>
      <w:proofErr w:type="spellStart"/>
      <w:r w:rsidR="009464A8" w:rsidRPr="00F32D54">
        <w:t>CxHy</w:t>
      </w:r>
      <w:proofErr w:type="spellEnd"/>
      <w:r w:rsidR="009464A8" w:rsidRPr="00F32D54">
        <w:t>)</w:t>
      </w:r>
      <w:r w:rsidR="00F32D54" w:rsidRPr="00F32D54">
        <w:t>.</w:t>
      </w:r>
      <w:r w:rsidR="009464A8" w:rsidRPr="00F32D54">
        <w:t xml:space="preserve"> </w:t>
      </w:r>
      <w:r w:rsidR="00F93353" w:rsidRPr="00F32D54">
        <w:t>The syngas sampling (</w:t>
      </w:r>
      <w:r w:rsidR="00F93353" w:rsidRPr="00F32D54">
        <w:fldChar w:fldCharType="begin"/>
      </w:r>
      <w:r w:rsidR="00F93353" w:rsidRPr="00F32D54">
        <w:instrText xml:space="preserve"> REF _Ref92975591 \h </w:instrText>
      </w:r>
      <w:r w:rsidR="00F32D54">
        <w:instrText xml:space="preserve"> \* MERGEFORMAT </w:instrText>
      </w:r>
      <w:r w:rsidR="00F93353" w:rsidRPr="00F32D54">
        <w:fldChar w:fldCharType="separate"/>
      </w:r>
      <w:r w:rsidR="00F93353" w:rsidRPr="00F32D54">
        <w:t xml:space="preserve">Figure </w:t>
      </w:r>
      <w:r w:rsidR="00F93353" w:rsidRPr="00F32D54">
        <w:rPr>
          <w:noProof/>
        </w:rPr>
        <w:t>1</w:t>
      </w:r>
      <w:r w:rsidR="00F93353" w:rsidRPr="00F32D54">
        <w:fldChar w:fldCharType="end"/>
      </w:r>
      <w:r w:rsidR="00F93353" w:rsidRPr="00F32D54">
        <w:t xml:space="preserve">b) was performed with a probe heated to 463K, positioned on the syngas supply duct to the engine. </w:t>
      </w:r>
      <w:r w:rsidR="009464A8" w:rsidRPr="00F32D54">
        <w:t>Before th</w:t>
      </w:r>
      <w:r w:rsidR="00CA61D2" w:rsidRPr="00F32D54">
        <w:t>e analysis</w:t>
      </w:r>
      <w:r w:rsidR="002D2CB7" w:rsidRPr="00F32D54">
        <w:t>,</w:t>
      </w:r>
      <w:r w:rsidR="00CA61D2" w:rsidRPr="00F32D54">
        <w:t xml:space="preserve"> the syngas </w:t>
      </w:r>
      <w:r w:rsidR="00DF5606" w:rsidRPr="00F32D54">
        <w:t>w</w:t>
      </w:r>
      <w:r w:rsidR="00CA61D2" w:rsidRPr="00F32D54">
        <w:t>as</w:t>
      </w:r>
      <w:r w:rsidR="00DF5606" w:rsidRPr="00F32D54">
        <w:t xml:space="preserve"> forced to pass through a quartz </w:t>
      </w:r>
      <w:proofErr w:type="spellStart"/>
      <w:r w:rsidR="00DF5606" w:rsidRPr="00F32D54">
        <w:t>fiber</w:t>
      </w:r>
      <w:proofErr w:type="spellEnd"/>
      <w:r w:rsidR="00DF5606" w:rsidRPr="00F32D54">
        <w:t xml:space="preserve"> filter, to restrain any solid particles</w:t>
      </w:r>
      <w:r w:rsidR="00CA61D2" w:rsidRPr="00F32D54">
        <w:t xml:space="preserve"> and t</w:t>
      </w:r>
      <w:r w:rsidR="00DF5606" w:rsidRPr="00F32D54">
        <w:t xml:space="preserve">hen to a double condensation stage: </w:t>
      </w:r>
      <w:r w:rsidR="00CA61D2" w:rsidRPr="00F32D54">
        <w:t>(</w:t>
      </w:r>
      <w:r w:rsidR="00DF5606" w:rsidRPr="00F32D54">
        <w:t xml:space="preserve">the first happens at room temperature, </w:t>
      </w:r>
      <w:r w:rsidR="00CA61D2" w:rsidRPr="00F32D54">
        <w:t>and</w:t>
      </w:r>
      <w:r w:rsidR="00DF5606" w:rsidRPr="00F32D54">
        <w:t xml:space="preserve"> the second stage </w:t>
      </w:r>
      <w:r w:rsidR="002D2CB7" w:rsidRPr="00F32D54">
        <w:t>at about</w:t>
      </w:r>
      <w:r w:rsidR="00DF5606" w:rsidRPr="00F32D54">
        <w:t xml:space="preserve"> 273 K</w:t>
      </w:r>
      <w:r w:rsidR="00CA61D2" w:rsidRPr="00F32D54">
        <w:t>)</w:t>
      </w:r>
      <w:r w:rsidR="00DF5606" w:rsidRPr="00F32D54">
        <w:t xml:space="preserve"> </w:t>
      </w:r>
      <w:r w:rsidR="00CA61D2" w:rsidRPr="00F32D54">
        <w:t>to condense the tar and to perform its quantification weighting the condensation train before and after the sampling</w:t>
      </w:r>
      <w:r w:rsidR="00DF5606" w:rsidRPr="00F32D54">
        <w:t>.</w:t>
      </w:r>
      <w:r w:rsidR="00DF5606" w:rsidRPr="00DF5606">
        <w:t xml:space="preserve"> The experimental setup used for the analysis of the tar concentration is shown in </w:t>
      </w:r>
      <w:r w:rsidR="002E53DB">
        <w:fldChar w:fldCharType="begin"/>
      </w:r>
      <w:r w:rsidR="002E53DB">
        <w:instrText xml:space="preserve"> REF _Ref92975591 \h </w:instrText>
      </w:r>
      <w:r w:rsidR="002E53DB">
        <w:fldChar w:fldCharType="separate"/>
      </w:r>
      <w:r w:rsidR="002E53DB">
        <w:t xml:space="preserve">Figure </w:t>
      </w:r>
      <w:r w:rsidR="002E53DB">
        <w:rPr>
          <w:noProof/>
        </w:rPr>
        <w:t>1</w:t>
      </w:r>
      <w:r w:rsidR="002E53DB">
        <w:fldChar w:fldCharType="end"/>
      </w:r>
      <w:r w:rsidR="00DF5606" w:rsidRPr="00DF5606">
        <w:t xml:space="preserve">d. </w:t>
      </w:r>
      <w:r w:rsidR="00F93353">
        <w:t>E</w:t>
      </w:r>
      <w:r w:rsidR="002B53B0">
        <w:t xml:space="preserve">xhaust gases composition </w:t>
      </w:r>
      <w:r w:rsidR="00F93353">
        <w:t>i</w:t>
      </w:r>
      <w:r w:rsidR="002B53B0" w:rsidRPr="00293713">
        <w:t xml:space="preserve">s </w:t>
      </w:r>
      <w:proofErr w:type="spellStart"/>
      <w:r w:rsidR="00F93353">
        <w:t>analyzed</w:t>
      </w:r>
      <w:proofErr w:type="spellEnd"/>
      <w:r w:rsidR="00F93353">
        <w:t xml:space="preserve"> through</w:t>
      </w:r>
      <w:r w:rsidR="002B53B0">
        <w:t xml:space="preserve"> a direct measurement with Sensors </w:t>
      </w:r>
      <w:proofErr w:type="spellStart"/>
      <w:r w:rsidR="002B53B0">
        <w:t>Semtech</w:t>
      </w:r>
      <w:proofErr w:type="spellEnd"/>
      <w:r w:rsidR="002B53B0">
        <w:t xml:space="preserve"> </w:t>
      </w:r>
      <w:proofErr w:type="spellStart"/>
      <w:r w:rsidR="002B53B0">
        <w:t>analyzer</w:t>
      </w:r>
      <w:proofErr w:type="spellEnd"/>
      <w:r w:rsidR="002B53B0">
        <w:t xml:space="preserve">. The analysis system is equipped with a NDIR infrared absorption </w:t>
      </w:r>
      <w:proofErr w:type="spellStart"/>
      <w:r w:rsidR="002B53B0">
        <w:t>analyzer</w:t>
      </w:r>
      <w:proofErr w:type="spellEnd"/>
      <w:r w:rsidR="002B53B0">
        <w:t xml:space="preserve"> t</w:t>
      </w:r>
      <w:r w:rsidR="00881EDF">
        <w:t>o</w:t>
      </w:r>
      <w:r w:rsidR="002B53B0">
        <w:t xml:space="preserve"> measure CO, CO</w:t>
      </w:r>
      <w:r w:rsidR="002B53B0" w:rsidRPr="009C2DC2">
        <w:rPr>
          <w:vertAlign w:val="subscript"/>
        </w:rPr>
        <w:t>2</w:t>
      </w:r>
      <w:r w:rsidR="00BA7A8C" w:rsidRPr="00BA7A8C">
        <w:t xml:space="preserve">, </w:t>
      </w:r>
      <w:r w:rsidR="00BA7A8C" w:rsidRPr="0017165A">
        <w:t>a Non-Dispersive Ultra-Violet (NDUV) detector for NO/NO</w:t>
      </w:r>
      <w:r w:rsidR="00BA7A8C" w:rsidRPr="0017165A">
        <w:rPr>
          <w:vertAlign w:val="subscript"/>
        </w:rPr>
        <w:t>2</w:t>
      </w:r>
      <w:r w:rsidR="00BA7A8C" w:rsidRPr="0017165A">
        <w:t xml:space="preserve"> measurement</w:t>
      </w:r>
      <w:r w:rsidR="002B53B0">
        <w:t xml:space="preserve"> and an electrochemical sensor for O</w:t>
      </w:r>
      <w:r w:rsidR="002B53B0" w:rsidRPr="009C2DC2">
        <w:rPr>
          <w:vertAlign w:val="subscript"/>
        </w:rPr>
        <w:t>2</w:t>
      </w:r>
      <w:r w:rsidR="002B53B0">
        <w:t xml:space="preserve">. </w:t>
      </w:r>
      <w:r w:rsidR="00DF5606" w:rsidRPr="0006402A">
        <w:t>A volumetric flow meter (0-4.96 m</w:t>
      </w:r>
      <w:r w:rsidR="00DF5606" w:rsidRPr="009C2DC2">
        <w:rPr>
          <w:vertAlign w:val="superscript"/>
        </w:rPr>
        <w:t>3</w:t>
      </w:r>
      <w:r w:rsidR="00DF5606" w:rsidRPr="0006402A">
        <w:t>/min) was also installed</w:t>
      </w:r>
      <w:r w:rsidR="00DF5606">
        <w:t xml:space="preserve"> (</w:t>
      </w:r>
      <w:r w:rsidR="00DF5606">
        <w:fldChar w:fldCharType="begin"/>
      </w:r>
      <w:r w:rsidR="00DF5606">
        <w:instrText xml:space="preserve"> REF _Ref92975591 \h </w:instrText>
      </w:r>
      <w:r w:rsidR="00DF5606">
        <w:fldChar w:fldCharType="separate"/>
      </w:r>
      <w:r w:rsidR="00DF5606">
        <w:t xml:space="preserve">Figure </w:t>
      </w:r>
      <w:r w:rsidR="00DF5606">
        <w:rPr>
          <w:noProof/>
        </w:rPr>
        <w:t>1</w:t>
      </w:r>
      <w:r w:rsidR="00DF5606">
        <w:fldChar w:fldCharType="end"/>
      </w:r>
      <w:r w:rsidR="00DF5606">
        <w:t>c)</w:t>
      </w:r>
      <w:r w:rsidR="00DF5606" w:rsidRPr="0006402A">
        <w:t>, operating using the Pitot principle. The exhaust gas temperature was measured near the exhaust gas flow measurement section</w:t>
      </w:r>
      <w:r w:rsidR="00DF5606">
        <w:t xml:space="preserve">. </w:t>
      </w:r>
      <w:r w:rsidR="00DF5606" w:rsidRPr="0006402A">
        <w:t>An NOx/O</w:t>
      </w:r>
      <w:r w:rsidR="00DF5606" w:rsidRPr="0058018B">
        <w:rPr>
          <w:vertAlign w:val="subscript"/>
        </w:rPr>
        <w:t>2</w:t>
      </w:r>
      <w:r w:rsidR="00DF5606" w:rsidRPr="0006402A">
        <w:t xml:space="preserve"> sensor (Continental </w:t>
      </w:r>
      <w:proofErr w:type="spellStart"/>
      <w:r w:rsidR="00DF5606" w:rsidRPr="0006402A">
        <w:t>UniNOx</w:t>
      </w:r>
      <w:proofErr w:type="spellEnd"/>
      <w:r w:rsidR="00DF5606" w:rsidRPr="0006402A">
        <w:t>) was also mounted.</w:t>
      </w:r>
      <w:r w:rsidR="00DF5606">
        <w:t xml:space="preserve"> </w:t>
      </w:r>
    </w:p>
    <w:tbl>
      <w:tblPr>
        <w:tblStyle w:val="Grigliatabel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5"/>
        <w:gridCol w:w="2869"/>
        <w:gridCol w:w="2363"/>
      </w:tblGrid>
      <w:tr w:rsidR="00765BEC" w14:paraId="3A10531E" w14:textId="77777777" w:rsidTr="00F32D54">
        <w:trPr>
          <w:trHeight w:val="3382"/>
        </w:trPr>
        <w:tc>
          <w:tcPr>
            <w:tcW w:w="5000" w:type="pct"/>
            <w:gridSpan w:val="3"/>
            <w:vAlign w:val="center"/>
          </w:tcPr>
          <w:p w14:paraId="4A9B120D" w14:textId="025F205B" w:rsidR="00765BEC" w:rsidRDefault="00765BEC" w:rsidP="00C346D3">
            <w:pPr>
              <w:pStyle w:val="CETBodytext"/>
              <w:jc w:val="center"/>
            </w:pPr>
            <w:r w:rsidRPr="00293713">
              <w:rPr>
                <w:noProof/>
                <w:lang w:val="it-IT" w:eastAsia="it-IT"/>
              </w:rPr>
              <w:drawing>
                <wp:inline distT="0" distB="0" distL="0" distR="0" wp14:anchorId="1668F0EB" wp14:editId="466FE90C">
                  <wp:extent cx="4131129" cy="2169665"/>
                  <wp:effectExtent l="0" t="0" r="3175" b="254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12748" cy="2212531"/>
                          </a:xfrm>
                          <a:prstGeom prst="rect">
                            <a:avLst/>
                          </a:prstGeom>
                          <a:noFill/>
                        </pic:spPr>
                      </pic:pic>
                    </a:graphicData>
                  </a:graphic>
                </wp:inline>
              </w:drawing>
            </w:r>
          </w:p>
        </w:tc>
      </w:tr>
      <w:tr w:rsidR="00765BEC" w14:paraId="3D190316" w14:textId="77777777" w:rsidTr="00F32D54">
        <w:trPr>
          <w:trHeight w:val="216"/>
        </w:trPr>
        <w:tc>
          <w:tcPr>
            <w:tcW w:w="5000" w:type="pct"/>
            <w:gridSpan w:val="3"/>
            <w:vAlign w:val="center"/>
          </w:tcPr>
          <w:p w14:paraId="1159CCF8" w14:textId="71D70D5D" w:rsidR="00765BEC" w:rsidRDefault="00765BEC" w:rsidP="00C346D3">
            <w:pPr>
              <w:pStyle w:val="CETBodytext"/>
              <w:jc w:val="center"/>
            </w:pPr>
            <w:r>
              <w:t>a)</w:t>
            </w:r>
          </w:p>
        </w:tc>
      </w:tr>
      <w:tr w:rsidR="00C346D3" w14:paraId="38D5F534" w14:textId="77777777" w:rsidTr="00F32D54">
        <w:trPr>
          <w:trHeight w:val="2063"/>
        </w:trPr>
        <w:tc>
          <w:tcPr>
            <w:tcW w:w="1666" w:type="pct"/>
            <w:vAlign w:val="center"/>
          </w:tcPr>
          <w:p w14:paraId="6E434E3B" w14:textId="7DE57637" w:rsidR="00C346D3" w:rsidRDefault="00C346D3" w:rsidP="00F32D54">
            <w:pPr>
              <w:pStyle w:val="CETBodytext"/>
              <w:jc w:val="center"/>
            </w:pPr>
            <w:r>
              <w:rPr>
                <w:noProof/>
                <w:sz w:val="24"/>
                <w:szCs w:val="24"/>
                <w:lang w:val="it-IT" w:eastAsia="it-IT"/>
              </w:rPr>
              <w:drawing>
                <wp:inline distT="0" distB="0" distL="0" distR="0" wp14:anchorId="08D41E02" wp14:editId="09626C5A">
                  <wp:extent cx="2133956" cy="1800000"/>
                  <wp:effectExtent l="0" t="0" r="0" b="0"/>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rotWithShape="1">
                          <a:blip r:embed="rId12"/>
                          <a:srcRect t="18908" b="17830"/>
                          <a:stretch/>
                        </pic:blipFill>
                        <pic:spPr bwMode="auto">
                          <a:xfrm>
                            <a:off x="0" y="0"/>
                            <a:ext cx="2133956"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66" w:type="pct"/>
            <w:vAlign w:val="center"/>
          </w:tcPr>
          <w:p w14:paraId="049CF167" w14:textId="0C02E4C8" w:rsidR="00C346D3" w:rsidRDefault="00C346D3" w:rsidP="00C346D3">
            <w:pPr>
              <w:pStyle w:val="CETBodytext"/>
              <w:jc w:val="center"/>
            </w:pPr>
            <w:r>
              <w:rPr>
                <w:noProof/>
                <w:sz w:val="24"/>
                <w:szCs w:val="24"/>
                <w:lang w:val="it-IT" w:eastAsia="it-IT"/>
              </w:rPr>
              <w:drawing>
                <wp:inline distT="0" distB="0" distL="0" distR="0" wp14:anchorId="39FC33F6" wp14:editId="3B7B95AC">
                  <wp:extent cx="1688069" cy="1800000"/>
                  <wp:effectExtent l="0" t="0" r="7620" b="0"/>
                  <wp:docPr id="152" name="Immagine 152" descr="Immagine che contiene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magine 152" descr="Immagine che contiene esterni&#10;&#10;Descrizione generata automaticamente"/>
                          <pic:cNvPicPr/>
                        </pic:nvPicPr>
                        <pic:blipFill rotWithShape="1">
                          <a:blip r:embed="rId13"/>
                          <a:srcRect t="40059" r="25046"/>
                          <a:stretch/>
                        </pic:blipFill>
                        <pic:spPr bwMode="auto">
                          <a:xfrm>
                            <a:off x="0" y="0"/>
                            <a:ext cx="1688069"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68" w:type="pct"/>
            <w:vAlign w:val="center"/>
          </w:tcPr>
          <w:p w14:paraId="018DD2A0" w14:textId="7D5FAB6A" w:rsidR="00C346D3" w:rsidRDefault="00C346D3" w:rsidP="00C346D3">
            <w:pPr>
              <w:pStyle w:val="CETBodytext"/>
              <w:jc w:val="center"/>
            </w:pPr>
            <w:r w:rsidRPr="00293713">
              <w:rPr>
                <w:noProof/>
                <w:lang w:val="it-IT" w:eastAsia="it-IT"/>
              </w:rPr>
              <w:drawing>
                <wp:inline distT="0" distB="0" distL="0" distR="0" wp14:anchorId="5A3FF1D3" wp14:editId="3814FBB4">
                  <wp:extent cx="1824050" cy="1368000"/>
                  <wp:effectExtent l="0" t="635" r="4445" b="4445"/>
                  <wp:docPr id="159" name="Immagin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0626_115931.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824050" cy="1368000"/>
                          </a:xfrm>
                          <a:prstGeom prst="rect">
                            <a:avLst/>
                          </a:prstGeom>
                        </pic:spPr>
                      </pic:pic>
                    </a:graphicData>
                  </a:graphic>
                </wp:inline>
              </w:drawing>
            </w:r>
          </w:p>
        </w:tc>
      </w:tr>
      <w:tr w:rsidR="00C346D3" w14:paraId="29B1D2CF" w14:textId="77777777" w:rsidTr="00F32D54">
        <w:trPr>
          <w:trHeight w:val="92"/>
        </w:trPr>
        <w:tc>
          <w:tcPr>
            <w:tcW w:w="1666" w:type="pct"/>
            <w:vAlign w:val="center"/>
          </w:tcPr>
          <w:p w14:paraId="17CEF157" w14:textId="4A9BBC30" w:rsidR="00C346D3" w:rsidRPr="00C346D3" w:rsidRDefault="00C346D3" w:rsidP="00C346D3">
            <w:pPr>
              <w:pStyle w:val="CETBodytext"/>
              <w:jc w:val="center"/>
            </w:pPr>
            <w:r w:rsidRPr="00C346D3">
              <w:t>b)</w:t>
            </w:r>
          </w:p>
        </w:tc>
        <w:tc>
          <w:tcPr>
            <w:tcW w:w="1666" w:type="pct"/>
            <w:vAlign w:val="center"/>
          </w:tcPr>
          <w:p w14:paraId="790D5B3D" w14:textId="3EAC3E1A" w:rsidR="00C346D3" w:rsidRDefault="00C346D3" w:rsidP="00C346D3">
            <w:pPr>
              <w:pStyle w:val="CETBodytext"/>
              <w:jc w:val="center"/>
              <w:rPr>
                <w:noProof/>
                <w:sz w:val="24"/>
                <w:szCs w:val="24"/>
                <w:lang w:val="it-IT"/>
              </w:rPr>
            </w:pPr>
            <w:r w:rsidRPr="00C346D3">
              <w:t>c)</w:t>
            </w:r>
          </w:p>
        </w:tc>
        <w:tc>
          <w:tcPr>
            <w:tcW w:w="1668" w:type="pct"/>
            <w:vAlign w:val="center"/>
          </w:tcPr>
          <w:p w14:paraId="4EBFA88C" w14:textId="3ED9730F" w:rsidR="00C346D3" w:rsidRPr="00C346D3" w:rsidRDefault="00C346D3" w:rsidP="00C346D3">
            <w:pPr>
              <w:pStyle w:val="CETBodytext"/>
              <w:jc w:val="center"/>
            </w:pPr>
            <w:r w:rsidRPr="00C346D3">
              <w:t>d)</w:t>
            </w:r>
          </w:p>
        </w:tc>
      </w:tr>
    </w:tbl>
    <w:p w14:paraId="3645F66E" w14:textId="682C6FF0" w:rsidR="00161892" w:rsidRDefault="00161892" w:rsidP="002E53DB">
      <w:pPr>
        <w:pStyle w:val="CETCaption"/>
        <w:jc w:val="center"/>
      </w:pPr>
      <w:bookmarkStart w:id="2" w:name="_Ref92975591"/>
      <w:bookmarkStart w:id="3" w:name="_Hlk19003602"/>
      <w:r>
        <w:t xml:space="preserve">Figure </w:t>
      </w:r>
      <w:r>
        <w:fldChar w:fldCharType="begin"/>
      </w:r>
      <w:r>
        <w:instrText xml:space="preserve"> SEQ Figure \* ARABIC </w:instrText>
      </w:r>
      <w:r>
        <w:fldChar w:fldCharType="separate"/>
      </w:r>
      <w:r w:rsidR="00C346D3">
        <w:rPr>
          <w:noProof/>
        </w:rPr>
        <w:t>1</w:t>
      </w:r>
      <w:r>
        <w:fldChar w:fldCharType="end"/>
      </w:r>
      <w:bookmarkEnd w:id="2"/>
      <w:r>
        <w:t xml:space="preserve">: </w:t>
      </w:r>
      <w:r w:rsidR="00A220E4">
        <w:rPr>
          <w:rStyle w:val="ParagrafoelencoCarattere"/>
          <w:rFonts w:eastAsiaTheme="majorEastAsia"/>
        </w:rPr>
        <w:t>E</w:t>
      </w:r>
      <w:r w:rsidR="00A220E4" w:rsidRPr="00BD6755">
        <w:rPr>
          <w:rStyle w:val="ParagrafoelencoCarattere"/>
          <w:rFonts w:eastAsiaTheme="majorEastAsia"/>
        </w:rPr>
        <w:t>xperimental setup</w:t>
      </w:r>
      <w:r w:rsidR="00A220E4">
        <w:rPr>
          <w:rStyle w:val="ParagrafoelencoCarattere"/>
          <w:rFonts w:eastAsiaTheme="majorEastAsia"/>
        </w:rPr>
        <w:t>(a),</w:t>
      </w:r>
      <w:r w:rsidR="00A220E4" w:rsidRPr="00BD6755">
        <w:rPr>
          <w:rStyle w:val="ParagrafoelencoCarattere"/>
          <w:rFonts w:eastAsiaTheme="majorEastAsia"/>
        </w:rPr>
        <w:t xml:space="preserve"> </w:t>
      </w:r>
      <w:r>
        <w:t xml:space="preserve">probe for syngas </w:t>
      </w:r>
      <w:r w:rsidRPr="0017165A">
        <w:t>sampling</w:t>
      </w:r>
      <w:r w:rsidRPr="0017165A">
        <w:rPr>
          <w:rStyle w:val="ParagrafoelencoCarattere"/>
          <w:rFonts w:eastAsiaTheme="majorEastAsia"/>
        </w:rPr>
        <w:t xml:space="preserve"> (</w:t>
      </w:r>
      <w:r w:rsidR="00BA7A8C" w:rsidRPr="0017165A">
        <w:rPr>
          <w:rStyle w:val="ParagrafoelencoCarattere"/>
          <w:rFonts w:eastAsiaTheme="majorEastAsia"/>
        </w:rPr>
        <w:t>b</w:t>
      </w:r>
      <w:r w:rsidRPr="0017165A">
        <w:rPr>
          <w:rStyle w:val="ParagrafoelencoCarattere"/>
          <w:rFonts w:eastAsiaTheme="majorEastAsia"/>
        </w:rPr>
        <w:t>)</w:t>
      </w:r>
      <w:r w:rsidR="002E53DB" w:rsidRPr="0017165A">
        <w:rPr>
          <w:rStyle w:val="ParagrafoelencoCarattere"/>
          <w:rFonts w:eastAsiaTheme="majorEastAsia"/>
        </w:rPr>
        <w:t>,</w:t>
      </w:r>
      <w:r w:rsidR="002E53DB">
        <w:rPr>
          <w:rStyle w:val="ParagrafoelencoCarattere"/>
          <w:rFonts w:eastAsiaTheme="majorEastAsia"/>
        </w:rPr>
        <w:t xml:space="preserve"> </w:t>
      </w:r>
      <w:r w:rsidR="00A220E4">
        <w:rPr>
          <w:rStyle w:val="ParagrafoelencoCarattere"/>
          <w:rFonts w:eastAsiaTheme="majorEastAsia"/>
        </w:rPr>
        <w:t xml:space="preserve">duct for exhaust </w:t>
      </w:r>
      <w:r w:rsidR="00A220E4">
        <w:t>volumetric flow meter</w:t>
      </w:r>
      <w:r>
        <w:rPr>
          <w:rStyle w:val="ParagrafoelencoCarattere"/>
          <w:rFonts w:eastAsiaTheme="majorEastAsia"/>
        </w:rPr>
        <w:t xml:space="preserve"> (</w:t>
      </w:r>
      <w:r w:rsidR="00A220E4">
        <w:rPr>
          <w:rStyle w:val="ParagrafoelencoCarattere"/>
          <w:rFonts w:eastAsiaTheme="majorEastAsia"/>
        </w:rPr>
        <w:t>c</w:t>
      </w:r>
      <w:r>
        <w:rPr>
          <w:rStyle w:val="ParagrafoelencoCarattere"/>
          <w:rFonts w:eastAsiaTheme="majorEastAsia"/>
        </w:rPr>
        <w:t>)</w:t>
      </w:r>
      <w:r w:rsidR="002E53DB">
        <w:rPr>
          <w:rStyle w:val="ParagrafoelencoCarattere"/>
          <w:rFonts w:eastAsiaTheme="majorEastAsia"/>
        </w:rPr>
        <w:t xml:space="preserve"> and </w:t>
      </w:r>
      <w:r w:rsidR="002E53DB" w:rsidRPr="00F32D54">
        <w:t xml:space="preserve">quartz </w:t>
      </w:r>
      <w:proofErr w:type="spellStart"/>
      <w:r w:rsidR="002E53DB" w:rsidRPr="00F32D54">
        <w:t>fiber</w:t>
      </w:r>
      <w:proofErr w:type="spellEnd"/>
      <w:r w:rsidR="002E53DB" w:rsidRPr="00F32D54">
        <w:t xml:space="preserve"> filter</w:t>
      </w:r>
      <w:r w:rsidR="002E53DB">
        <w:t xml:space="preserve"> (d)</w:t>
      </w:r>
    </w:p>
    <w:bookmarkEnd w:id="3"/>
    <w:p w14:paraId="61E3ABF6" w14:textId="63279EC6" w:rsidR="007D67C0" w:rsidRPr="00293713" w:rsidRDefault="007D67C0" w:rsidP="00863B01">
      <w:pPr>
        <w:pStyle w:val="CETBodytext"/>
      </w:pPr>
      <w:r w:rsidRPr="00293713">
        <w:lastRenderedPageBreak/>
        <w:t>In order to measure the ICE indicated pressure cycle</w:t>
      </w:r>
      <w:r w:rsidR="00DF5606">
        <w:t>,</w:t>
      </w:r>
      <w:r w:rsidRPr="00293713">
        <w:t xml:space="preserve"> the engine was equipped with properly defined and/or designed sensors, specialized for non-traditional gaseous fuels:</w:t>
      </w:r>
    </w:p>
    <w:p w14:paraId="704AFF41" w14:textId="3DB743EB" w:rsidR="00A220E4" w:rsidRDefault="007D67C0" w:rsidP="00683884">
      <w:pPr>
        <w:pStyle w:val="CETListbullets"/>
        <w:numPr>
          <w:ilvl w:val="0"/>
          <w:numId w:val="33"/>
        </w:numPr>
      </w:pPr>
      <w:r w:rsidRPr="00293713">
        <w:t xml:space="preserve">a spark plug </w:t>
      </w:r>
      <w:r w:rsidR="00881EDF">
        <w:t xml:space="preserve">relative pressure </w:t>
      </w:r>
      <w:r w:rsidRPr="00293713">
        <w:t xml:space="preserve">sensor, type AVL ZI45-F5D, for the </w:t>
      </w:r>
      <w:r w:rsidR="00881EDF" w:rsidRPr="00293713">
        <w:t>high</w:t>
      </w:r>
      <w:r w:rsidR="00881EDF">
        <w:t>-</w:t>
      </w:r>
      <w:r w:rsidRPr="00293713">
        <w:t>frequency measurement of the indicated pressure cycle, placed in the spark-plug seat, based on the piezo-quartz principle, very precise and robust;</w:t>
      </w:r>
    </w:p>
    <w:p w14:paraId="1CC7B7BC" w14:textId="34EF99AD" w:rsidR="007D67C0" w:rsidRDefault="007D67C0" w:rsidP="00683884">
      <w:pPr>
        <w:pStyle w:val="CETListbullets"/>
        <w:numPr>
          <w:ilvl w:val="0"/>
          <w:numId w:val="33"/>
        </w:numPr>
      </w:pPr>
      <w:r w:rsidRPr="00293713">
        <w:t xml:space="preserve">a low-pressure </w:t>
      </w:r>
      <w:r w:rsidR="00881EDF">
        <w:t xml:space="preserve">absolute </w:t>
      </w:r>
      <w:r w:rsidRPr="00293713">
        <w:t>sensor, type AVL LP12DA-05</w:t>
      </w:r>
      <w:r w:rsidR="00A220E4">
        <w:t xml:space="preserve">, </w:t>
      </w:r>
      <w:r w:rsidRPr="00293713">
        <w:t xml:space="preserve">for the </w:t>
      </w:r>
      <w:r w:rsidR="00881EDF" w:rsidRPr="00293713">
        <w:t>high</w:t>
      </w:r>
      <w:r w:rsidR="00881EDF">
        <w:t>-</w:t>
      </w:r>
      <w:r w:rsidRPr="00293713">
        <w:t xml:space="preserve">frequency measurement of the dynamic pressure in the intake duct, necessary for referencing </w:t>
      </w:r>
      <w:r w:rsidR="00881EDF" w:rsidRPr="00293713">
        <w:t>the indicated pressure cycle</w:t>
      </w:r>
      <w:r w:rsidRPr="00293713">
        <w:t xml:space="preserve">, based on the piezo-resistive principle. </w:t>
      </w:r>
      <w:r w:rsidR="00A220E4" w:rsidRPr="00293713">
        <w:t>It</w:t>
      </w:r>
      <w:r w:rsidRPr="00293713">
        <w:t xml:space="preserve"> was placed in a proper realized threatened hole in the intake runner.</w:t>
      </w:r>
    </w:p>
    <w:p w14:paraId="6B2F436B" w14:textId="2216B0F8" w:rsidR="00C944C7" w:rsidRPr="00C944C7" w:rsidRDefault="00C944C7" w:rsidP="00C944C7">
      <w:pPr>
        <w:pStyle w:val="Paragrafoelenco"/>
        <w:ind w:left="0"/>
      </w:pPr>
      <w:r>
        <w:rPr>
          <w:lang w:val="en-US"/>
        </w:rPr>
        <w:t xml:space="preserve">A </w:t>
      </w:r>
      <w:r w:rsidRPr="000116AD">
        <w:t>multiparametric station</w:t>
      </w:r>
      <w:r>
        <w:t xml:space="preserve"> (ETL-One)</w:t>
      </w:r>
      <w:r w:rsidRPr="000116AD">
        <w:t xml:space="preserve"> with Unitec SENS-IT technology for continuous gas and dust monitoring</w:t>
      </w:r>
      <w:r>
        <w:rPr>
          <w:lang w:val="en-US"/>
        </w:rPr>
        <w:t xml:space="preserve"> was hired</w:t>
      </w:r>
      <w:r w:rsidRPr="00C944C7">
        <w:rPr>
          <w:lang w:val="en-US"/>
        </w:rPr>
        <w:t xml:space="preserve"> from the Orion company for air quality </w:t>
      </w:r>
      <w:r w:rsidR="0017106E" w:rsidRPr="00C944C7">
        <w:rPr>
          <w:lang w:val="en-US"/>
        </w:rPr>
        <w:t>assessment</w:t>
      </w:r>
      <w:r w:rsidRPr="00C944C7">
        <w:rPr>
          <w:lang w:val="en-US"/>
        </w:rPr>
        <w:t xml:space="preserve"> analysis </w:t>
      </w:r>
      <w:r w:rsidR="009157D4" w:rsidRPr="0017165A">
        <w:rPr>
          <w:lang w:val="en-US"/>
        </w:rPr>
        <w:t>of</w:t>
      </w:r>
      <w:r w:rsidR="00BA7A8C" w:rsidRPr="0017165A">
        <w:rPr>
          <w:lang w:val="en-US"/>
        </w:rPr>
        <w:t xml:space="preserve"> the </w:t>
      </w:r>
      <w:r w:rsidRPr="0017165A">
        <w:rPr>
          <w:lang w:val="en-US"/>
        </w:rPr>
        <w:t xml:space="preserve">micro-cogeneration </w:t>
      </w:r>
      <w:r w:rsidR="00BA7A8C" w:rsidRPr="0017165A">
        <w:rPr>
          <w:lang w:val="en-US"/>
        </w:rPr>
        <w:t>system</w:t>
      </w:r>
      <w:r w:rsidRPr="0017165A">
        <w:rPr>
          <w:lang w:val="en-US"/>
        </w:rPr>
        <w:t xml:space="preserve"> in</w:t>
      </w:r>
      <w:r w:rsidR="009157D4" w:rsidRPr="0017165A">
        <w:rPr>
          <w:lang w:val="en-US"/>
        </w:rPr>
        <w:t>stalled in</w:t>
      </w:r>
      <w:r w:rsidRPr="0017165A">
        <w:rPr>
          <w:lang w:val="en-US"/>
        </w:rPr>
        <w:t xml:space="preserve"> the waste management and storage plant of </w:t>
      </w:r>
      <w:proofErr w:type="spellStart"/>
      <w:r w:rsidRPr="0017165A">
        <w:rPr>
          <w:lang w:val="en-US"/>
        </w:rPr>
        <w:t>Mugnano</w:t>
      </w:r>
      <w:proofErr w:type="spellEnd"/>
      <w:r w:rsidRPr="0017165A">
        <w:rPr>
          <w:lang w:val="en-US"/>
        </w:rPr>
        <w:t xml:space="preserve">, Napoli. </w:t>
      </w:r>
      <w:r w:rsidR="009157D4" w:rsidRPr="0017165A">
        <w:t>T</w:t>
      </w:r>
      <w:r w:rsidR="009157D4" w:rsidRPr="0017165A">
        <w:rPr>
          <w:lang w:val="en-US"/>
        </w:rPr>
        <w:t>he experimental campaign was performed in two days</w:t>
      </w:r>
      <w:r w:rsidRPr="0017165A">
        <w:t xml:space="preserve">, </w:t>
      </w:r>
      <w:r w:rsidR="009157D4" w:rsidRPr="0017165A">
        <w:t xml:space="preserve">during which </w:t>
      </w:r>
      <w:r w:rsidRPr="0017165A">
        <w:t xml:space="preserve">the prevailing wind </w:t>
      </w:r>
      <w:proofErr w:type="gramStart"/>
      <w:r w:rsidRPr="0017165A">
        <w:rPr>
          <w:strike/>
        </w:rPr>
        <w:t>is</w:t>
      </w:r>
      <w:proofErr w:type="gramEnd"/>
      <w:r w:rsidRPr="0017165A">
        <w:t xml:space="preserve"> </w:t>
      </w:r>
      <w:r w:rsidR="009157D4" w:rsidRPr="0017165A">
        <w:t xml:space="preserve">was </w:t>
      </w:r>
      <w:r w:rsidRPr="0017165A">
        <w:t xml:space="preserve">a wind that </w:t>
      </w:r>
      <w:r w:rsidR="009157D4" w:rsidRPr="0017165A">
        <w:t>blew</w:t>
      </w:r>
      <w:r w:rsidRPr="0017165A">
        <w:t xml:space="preserve"> from the SOUTH-WEST</w:t>
      </w:r>
      <w:r w:rsidR="00BA7A8C" w:rsidRPr="0017165A">
        <w:t>.</w:t>
      </w:r>
      <w:r w:rsidRPr="0017165A">
        <w:t xml:space="preserve"> Therefore, the monitoring station </w:t>
      </w:r>
      <w:proofErr w:type="gramStart"/>
      <w:r w:rsidR="009157D4" w:rsidRPr="0017165A">
        <w:t xml:space="preserve">was </w:t>
      </w:r>
      <w:r w:rsidRPr="0017165A">
        <w:t>located in</w:t>
      </w:r>
      <w:proofErr w:type="gramEnd"/>
      <w:r w:rsidRPr="0017165A">
        <w:t xml:space="preserve"> a NORTH, NORTH-EAST position related to the </w:t>
      </w:r>
      <w:r w:rsidR="004B00AD" w:rsidRPr="0017165A">
        <w:t>location</w:t>
      </w:r>
      <w:r w:rsidRPr="0017165A">
        <w:t xml:space="preserve"> of the plant in order to be downwind of the polluting emissions.</w:t>
      </w:r>
    </w:p>
    <w:p w14:paraId="2B0BE72F" w14:textId="6C0CAA89" w:rsidR="003B1A2A" w:rsidRPr="00652747" w:rsidRDefault="00A220E4" w:rsidP="009D626A">
      <w:pPr>
        <w:pStyle w:val="CETHeading1"/>
      </w:pPr>
      <w:r>
        <w:t>Results</w:t>
      </w:r>
    </w:p>
    <w:p w14:paraId="0EB4AF64" w14:textId="79D21B93" w:rsidR="00F07BAB" w:rsidRDefault="005A0F18" w:rsidP="003B1A2A">
      <w:r w:rsidRPr="002E53DB">
        <w:t xml:space="preserve">Table 1 </w:t>
      </w:r>
      <w:r w:rsidR="003B1A2A" w:rsidRPr="002E53DB">
        <w:t>reports the proximate and ultimate analysis of the used feedstocks</w:t>
      </w:r>
      <w:r w:rsidR="00B657CB" w:rsidRPr="002E53DB">
        <w:t>: sawdust (</w:t>
      </w:r>
      <w:r w:rsidR="00333CB0">
        <w:t>Biomass 1</w:t>
      </w:r>
      <w:r w:rsidR="00B657CB" w:rsidRPr="002E53DB">
        <w:t>) and straw (</w:t>
      </w:r>
      <w:r w:rsidR="00333CB0">
        <w:t>Biomass 2</w:t>
      </w:r>
      <w:r w:rsidR="00B657CB" w:rsidRPr="002E53DB">
        <w:t>)</w:t>
      </w:r>
      <w:r w:rsidR="00CA61D2" w:rsidRPr="002E53DB">
        <w:t xml:space="preserve"> while T</w:t>
      </w:r>
      <w:r w:rsidRPr="002E53DB">
        <w:t xml:space="preserve">able 2 </w:t>
      </w:r>
      <w:r w:rsidR="003B1A2A" w:rsidRPr="002E53DB">
        <w:t xml:space="preserve">shows the </w:t>
      </w:r>
      <w:r w:rsidR="00CA61D2" w:rsidRPr="002E53DB">
        <w:t>average</w:t>
      </w:r>
      <w:r w:rsidR="003B1A2A" w:rsidRPr="002E53DB">
        <w:t xml:space="preserve"> syngas compositions</w:t>
      </w:r>
      <w:r w:rsidR="008578EF" w:rsidRPr="002E53DB">
        <w:t xml:space="preserve"> and the tar concentration</w:t>
      </w:r>
      <w:r w:rsidR="003B1A2A" w:rsidRPr="002E53DB">
        <w:t xml:space="preserve">. </w:t>
      </w:r>
      <w:r w:rsidR="00F67944">
        <w:t xml:space="preserve">As aforementioned, the nitrogen percentage higher than 45% is due to air used as the gasifier </w:t>
      </w:r>
      <w:proofErr w:type="spellStart"/>
      <w:proofErr w:type="gramStart"/>
      <w:r w:rsidR="00F67944">
        <w:t>agent.</w:t>
      </w:r>
      <w:r w:rsidR="00C94855" w:rsidRPr="002E53DB">
        <w:t>T</w:t>
      </w:r>
      <w:r w:rsidR="00CA61D2" w:rsidRPr="002E53DB">
        <w:t>he</w:t>
      </w:r>
      <w:proofErr w:type="spellEnd"/>
      <w:proofErr w:type="gramEnd"/>
      <w:r w:rsidR="00CA61D2" w:rsidRPr="002E53DB">
        <w:t xml:space="preserve"> ultimate analysis</w:t>
      </w:r>
      <w:r w:rsidR="00C94855" w:rsidRPr="002E53DB">
        <w:t xml:space="preserve"> of the two feedstocks</w:t>
      </w:r>
      <w:r w:rsidR="00CA61D2" w:rsidRPr="002E53DB">
        <w:t xml:space="preserve"> </w:t>
      </w:r>
      <w:r w:rsidR="00881EDF" w:rsidRPr="002E53DB">
        <w:t xml:space="preserve">is </w:t>
      </w:r>
      <w:r w:rsidR="00CA61D2" w:rsidRPr="002E53DB">
        <w:t>similar to each other, except for the greater nitrogen co</w:t>
      </w:r>
      <w:r w:rsidR="00C94855" w:rsidRPr="002E53DB">
        <w:t>ncentration observed in sawdust. A</w:t>
      </w:r>
      <w:r w:rsidR="003B1A2A" w:rsidRPr="002E53DB">
        <w:t xml:space="preserve"> high</w:t>
      </w:r>
      <w:r w:rsidR="00C94855" w:rsidRPr="002E53DB">
        <w:t>er</w:t>
      </w:r>
      <w:r w:rsidR="003B1A2A" w:rsidRPr="002E53DB">
        <w:t xml:space="preserve"> presence of ash and moisture in the </w:t>
      </w:r>
      <w:r w:rsidR="00333CB0">
        <w:t>Biomass 2</w:t>
      </w:r>
      <w:r w:rsidRPr="002E53DB">
        <w:t>, which is slightly over the systems’ limits</w:t>
      </w:r>
      <w:r w:rsidR="00C94855" w:rsidRPr="002E53DB">
        <w:t xml:space="preserve"> has been also evidenced</w:t>
      </w:r>
      <w:r w:rsidR="003B1A2A" w:rsidRPr="002E53DB">
        <w:t xml:space="preserve">. </w:t>
      </w:r>
      <w:r w:rsidR="00C94855" w:rsidRPr="002E53DB">
        <w:t>Syngas compositions do not differ much; lower heating values and stoichiometric ratios are comparable</w:t>
      </w:r>
      <w:r w:rsidR="008578EF" w:rsidRPr="002E53DB">
        <w:t xml:space="preserve"> even if</w:t>
      </w:r>
      <w:r w:rsidR="00C94855" w:rsidRPr="002E53DB">
        <w:t xml:space="preserve"> </w:t>
      </w:r>
      <w:r w:rsidR="003B1A2A" w:rsidRPr="002E53DB">
        <w:t xml:space="preserve">tar </w:t>
      </w:r>
      <w:r w:rsidR="008578EF" w:rsidRPr="002E53DB">
        <w:t>concentration obtained using the</w:t>
      </w:r>
      <w:r w:rsidR="003B1A2A" w:rsidRPr="002E53DB">
        <w:t xml:space="preserve"> </w:t>
      </w:r>
      <w:r w:rsidR="00333CB0">
        <w:t>Biomass 2</w:t>
      </w:r>
      <w:r w:rsidR="007C4949" w:rsidRPr="002E53DB">
        <w:t xml:space="preserve"> </w:t>
      </w:r>
      <w:r w:rsidR="008578EF" w:rsidRPr="002E53DB">
        <w:t>is</w:t>
      </w:r>
      <w:r w:rsidR="003B1A2A" w:rsidRPr="002E53DB">
        <w:t xml:space="preserve"> three times higher </w:t>
      </w:r>
      <w:r w:rsidR="008578EF" w:rsidRPr="002E53DB">
        <w:t xml:space="preserve">than that obtained for </w:t>
      </w:r>
      <w:r w:rsidR="00333CB0">
        <w:t>Biomass 1</w:t>
      </w:r>
      <w:r w:rsidR="003B1A2A" w:rsidRPr="002E53DB">
        <w:t>. Despite that, the cleaning circuit ran well, as no plant stop is noticed during both days.</w:t>
      </w:r>
      <w:r w:rsidR="003B1A2A" w:rsidRPr="004A48CB">
        <w:t xml:space="preserve"> </w:t>
      </w:r>
      <w:r w:rsidR="006E3ABB">
        <w:t xml:space="preserve"> </w:t>
      </w:r>
    </w:p>
    <w:p w14:paraId="2F330DD8" w14:textId="77777777" w:rsidR="00F07BAB" w:rsidRDefault="00F07BAB" w:rsidP="003B1A2A">
      <w:pPr>
        <w:sectPr w:rsidR="00F07BAB" w:rsidSect="00B57E6F">
          <w:type w:val="continuous"/>
          <w:pgSz w:w="11906" w:h="16838" w:code="9"/>
          <w:pgMar w:top="1701" w:right="1418" w:bottom="1701" w:left="1701" w:header="1701" w:footer="0" w:gutter="0"/>
          <w:cols w:space="708"/>
          <w:formProt w:val="0"/>
          <w:titlePg/>
          <w:docGrid w:linePitch="360"/>
        </w:sectPr>
      </w:pPr>
    </w:p>
    <w:p w14:paraId="241110D6" w14:textId="2F8E51AE" w:rsidR="00F07BAB" w:rsidRDefault="00F07BAB" w:rsidP="005A0F18">
      <w:pPr>
        <w:pStyle w:val="CETTabletitle"/>
      </w:pPr>
      <w:r>
        <w:t xml:space="preserve">Table </w:t>
      </w:r>
      <w:r>
        <w:fldChar w:fldCharType="begin"/>
      </w:r>
      <w:r>
        <w:instrText xml:space="preserve"> SEQ Table \* ARABIC </w:instrText>
      </w:r>
      <w:r>
        <w:fldChar w:fldCharType="separate"/>
      </w:r>
      <w:r w:rsidR="00BF2CE3">
        <w:rPr>
          <w:noProof/>
        </w:rPr>
        <w:t>1</w:t>
      </w:r>
      <w:r>
        <w:fldChar w:fldCharType="end"/>
      </w:r>
      <w:r>
        <w:t xml:space="preserve">: </w:t>
      </w:r>
      <w:r w:rsidRPr="004A48CB">
        <w:t xml:space="preserve">Biomass </w:t>
      </w:r>
      <w:r w:rsidRPr="004A48CB">
        <w:rPr>
          <w:lang w:eastAsia="it-IT"/>
        </w:rPr>
        <w:t>proximate</w:t>
      </w:r>
      <w:r w:rsidRPr="004A48CB">
        <w:t xml:space="preserve"> and ultimate analyses</w:t>
      </w:r>
    </w:p>
    <w:tbl>
      <w:tblPr>
        <w:tblW w:w="0" w:type="auto"/>
        <w:jc w:val="center"/>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701"/>
        <w:gridCol w:w="1134"/>
        <w:gridCol w:w="1134"/>
      </w:tblGrid>
      <w:tr w:rsidR="00F07BAB" w:rsidRPr="00B57B36" w14:paraId="514F32EB" w14:textId="77777777" w:rsidTr="00DF5606">
        <w:trPr>
          <w:jc w:val="center"/>
        </w:trPr>
        <w:tc>
          <w:tcPr>
            <w:tcW w:w="1701" w:type="dxa"/>
            <w:tcBorders>
              <w:top w:val="single" w:sz="12" w:space="0" w:color="008000"/>
              <w:bottom w:val="single" w:sz="6" w:space="0" w:color="008000"/>
            </w:tcBorders>
            <w:shd w:val="clear" w:color="auto" w:fill="FFFFFF"/>
            <w:vAlign w:val="center"/>
          </w:tcPr>
          <w:p w14:paraId="3018D22D" w14:textId="77777777" w:rsidR="00F07BAB" w:rsidRPr="005A0F18" w:rsidRDefault="00F07BAB" w:rsidP="00C50A18">
            <w:pPr>
              <w:spacing w:line="240" w:lineRule="auto"/>
              <w:jc w:val="center"/>
              <w:rPr>
                <w:b/>
                <w:bCs/>
                <w:lang w:eastAsia="it-IT"/>
              </w:rPr>
            </w:pPr>
            <w:bookmarkStart w:id="4" w:name="_Hlk92972094"/>
          </w:p>
        </w:tc>
        <w:tc>
          <w:tcPr>
            <w:tcW w:w="1134" w:type="dxa"/>
            <w:tcBorders>
              <w:top w:val="single" w:sz="12" w:space="0" w:color="008000"/>
              <w:bottom w:val="single" w:sz="6" w:space="0" w:color="008000"/>
            </w:tcBorders>
            <w:shd w:val="clear" w:color="auto" w:fill="FFFFFF"/>
            <w:vAlign w:val="center"/>
          </w:tcPr>
          <w:p w14:paraId="4343C26B" w14:textId="6680FC20" w:rsidR="00F07BAB" w:rsidRPr="005A0F18" w:rsidRDefault="00333CB0" w:rsidP="00C50A18">
            <w:pPr>
              <w:spacing w:line="240" w:lineRule="auto"/>
              <w:jc w:val="center"/>
              <w:rPr>
                <w:b/>
                <w:bCs/>
                <w:lang w:eastAsia="it-IT"/>
              </w:rPr>
            </w:pPr>
            <w:r>
              <w:rPr>
                <w:b/>
                <w:bCs/>
                <w:lang w:eastAsia="it-IT"/>
              </w:rPr>
              <w:t>Biomass 1</w:t>
            </w:r>
          </w:p>
        </w:tc>
        <w:tc>
          <w:tcPr>
            <w:tcW w:w="1134" w:type="dxa"/>
            <w:tcBorders>
              <w:top w:val="single" w:sz="12" w:space="0" w:color="008000"/>
              <w:bottom w:val="single" w:sz="6" w:space="0" w:color="008000"/>
            </w:tcBorders>
            <w:shd w:val="clear" w:color="auto" w:fill="FFFFFF"/>
            <w:vAlign w:val="center"/>
          </w:tcPr>
          <w:p w14:paraId="198653F2" w14:textId="074DCDB7" w:rsidR="00F07BAB" w:rsidRPr="005A0F18" w:rsidRDefault="00333CB0" w:rsidP="00C50A18">
            <w:pPr>
              <w:spacing w:line="240" w:lineRule="auto"/>
              <w:jc w:val="center"/>
              <w:rPr>
                <w:b/>
                <w:bCs/>
                <w:lang w:eastAsia="it-IT"/>
              </w:rPr>
            </w:pPr>
            <w:r>
              <w:rPr>
                <w:b/>
                <w:bCs/>
                <w:lang w:eastAsia="it-IT"/>
              </w:rPr>
              <w:t>Biomass 2</w:t>
            </w:r>
          </w:p>
        </w:tc>
      </w:tr>
      <w:tr w:rsidR="00F07BAB" w:rsidRPr="00B57B36" w14:paraId="3E5C936E" w14:textId="77777777" w:rsidTr="00DF5606">
        <w:trPr>
          <w:jc w:val="center"/>
        </w:trPr>
        <w:tc>
          <w:tcPr>
            <w:tcW w:w="3969" w:type="dxa"/>
            <w:gridSpan w:val="3"/>
            <w:tcBorders>
              <w:top w:val="single" w:sz="12" w:space="0" w:color="008000"/>
              <w:bottom w:val="single" w:sz="6" w:space="0" w:color="008000"/>
            </w:tcBorders>
            <w:shd w:val="clear" w:color="auto" w:fill="FFFFFF"/>
            <w:vAlign w:val="center"/>
          </w:tcPr>
          <w:p w14:paraId="66615090" w14:textId="77777777" w:rsidR="00F07BAB" w:rsidRPr="004A48CB" w:rsidRDefault="00F07BAB" w:rsidP="00C50A18">
            <w:pPr>
              <w:pStyle w:val="CETBodytext"/>
              <w:spacing w:line="240" w:lineRule="auto"/>
              <w:jc w:val="center"/>
              <w:rPr>
                <w:lang w:eastAsia="it-IT"/>
              </w:rPr>
            </w:pPr>
            <w:r w:rsidRPr="004A48CB">
              <w:rPr>
                <w:lang w:eastAsia="it-IT"/>
              </w:rPr>
              <w:t>Proximate Analysis (%)</w:t>
            </w:r>
          </w:p>
        </w:tc>
      </w:tr>
      <w:tr w:rsidR="00F07BAB" w:rsidRPr="00B57B36" w14:paraId="1B67F5CD" w14:textId="77777777" w:rsidTr="00DF5606">
        <w:trPr>
          <w:jc w:val="center"/>
        </w:trPr>
        <w:tc>
          <w:tcPr>
            <w:tcW w:w="1701" w:type="dxa"/>
            <w:shd w:val="clear" w:color="auto" w:fill="FFFFFF"/>
            <w:vAlign w:val="center"/>
          </w:tcPr>
          <w:p w14:paraId="0090CB1E" w14:textId="77777777" w:rsidR="00F07BAB" w:rsidRPr="00B57B36" w:rsidRDefault="00F07BAB" w:rsidP="00C50A18">
            <w:pPr>
              <w:pStyle w:val="CETBodytext"/>
              <w:spacing w:line="240" w:lineRule="auto"/>
              <w:jc w:val="center"/>
            </w:pPr>
            <w:r w:rsidRPr="004A48CB">
              <w:rPr>
                <w:lang w:eastAsia="it-IT"/>
              </w:rPr>
              <w:t>Moisture</w:t>
            </w:r>
          </w:p>
        </w:tc>
        <w:tc>
          <w:tcPr>
            <w:tcW w:w="1134" w:type="dxa"/>
            <w:shd w:val="clear" w:color="auto" w:fill="FFFFFF"/>
            <w:vAlign w:val="center"/>
          </w:tcPr>
          <w:p w14:paraId="4DCCDD71" w14:textId="77777777" w:rsidR="00F07BAB" w:rsidRPr="00B57B36" w:rsidRDefault="00F07BAB" w:rsidP="00C50A18">
            <w:pPr>
              <w:pStyle w:val="CETBodytext"/>
              <w:spacing w:line="240" w:lineRule="auto"/>
              <w:jc w:val="center"/>
            </w:pPr>
            <w:r w:rsidRPr="004A48CB">
              <w:rPr>
                <w:lang w:eastAsia="it-IT"/>
              </w:rPr>
              <w:t>7.2</w:t>
            </w:r>
          </w:p>
        </w:tc>
        <w:tc>
          <w:tcPr>
            <w:tcW w:w="1134" w:type="dxa"/>
            <w:shd w:val="clear" w:color="auto" w:fill="FFFFFF"/>
            <w:vAlign w:val="center"/>
          </w:tcPr>
          <w:p w14:paraId="475823F3" w14:textId="77777777" w:rsidR="00F07BAB" w:rsidRPr="00B57B36" w:rsidRDefault="00F07BAB" w:rsidP="00C50A18">
            <w:pPr>
              <w:pStyle w:val="CETBodytext"/>
              <w:spacing w:line="240" w:lineRule="auto"/>
              <w:jc w:val="center"/>
            </w:pPr>
            <w:r w:rsidRPr="004A48CB">
              <w:rPr>
                <w:lang w:eastAsia="it-IT"/>
              </w:rPr>
              <w:t>23.9</w:t>
            </w:r>
          </w:p>
        </w:tc>
      </w:tr>
      <w:tr w:rsidR="00F07BAB" w:rsidRPr="00B57B36" w14:paraId="426B68CF" w14:textId="77777777" w:rsidTr="00DF5606">
        <w:trPr>
          <w:jc w:val="center"/>
        </w:trPr>
        <w:tc>
          <w:tcPr>
            <w:tcW w:w="1701" w:type="dxa"/>
            <w:shd w:val="clear" w:color="auto" w:fill="FFFFFF"/>
            <w:vAlign w:val="center"/>
          </w:tcPr>
          <w:p w14:paraId="7E4D68C0" w14:textId="77777777" w:rsidR="00F07BAB" w:rsidRPr="00B57B36" w:rsidRDefault="00F07BAB" w:rsidP="00C50A18">
            <w:pPr>
              <w:pStyle w:val="CETBodytext"/>
              <w:spacing w:line="240" w:lineRule="auto"/>
              <w:jc w:val="center"/>
            </w:pPr>
            <w:r w:rsidRPr="004A48CB">
              <w:rPr>
                <w:lang w:eastAsia="it-IT"/>
              </w:rPr>
              <w:t>Ash</w:t>
            </w:r>
          </w:p>
        </w:tc>
        <w:tc>
          <w:tcPr>
            <w:tcW w:w="1134" w:type="dxa"/>
            <w:shd w:val="clear" w:color="auto" w:fill="FFFFFF"/>
            <w:vAlign w:val="center"/>
          </w:tcPr>
          <w:p w14:paraId="7AB87F30" w14:textId="77777777" w:rsidR="00F07BAB" w:rsidRPr="00B57B36" w:rsidRDefault="00F07BAB" w:rsidP="00C50A18">
            <w:pPr>
              <w:pStyle w:val="CETBodytext"/>
              <w:spacing w:line="240" w:lineRule="auto"/>
              <w:jc w:val="center"/>
            </w:pPr>
            <w:r w:rsidRPr="004A48CB">
              <w:rPr>
                <w:lang w:eastAsia="it-IT"/>
              </w:rPr>
              <w:t>2.5</w:t>
            </w:r>
          </w:p>
        </w:tc>
        <w:tc>
          <w:tcPr>
            <w:tcW w:w="1134" w:type="dxa"/>
            <w:shd w:val="clear" w:color="auto" w:fill="FFFFFF"/>
            <w:vAlign w:val="center"/>
          </w:tcPr>
          <w:p w14:paraId="12F454F1" w14:textId="77777777" w:rsidR="00F07BAB" w:rsidRPr="00B57B36" w:rsidRDefault="00F07BAB" w:rsidP="00C50A18">
            <w:pPr>
              <w:pStyle w:val="CETBodytext"/>
              <w:spacing w:line="240" w:lineRule="auto"/>
              <w:jc w:val="center"/>
            </w:pPr>
            <w:r w:rsidRPr="004A48CB">
              <w:rPr>
                <w:lang w:eastAsia="it-IT"/>
              </w:rPr>
              <w:t>5.1</w:t>
            </w:r>
          </w:p>
        </w:tc>
      </w:tr>
      <w:tr w:rsidR="00F07BAB" w:rsidRPr="00B57B36" w14:paraId="2B68A3D4" w14:textId="77777777" w:rsidTr="00DF5606">
        <w:trPr>
          <w:jc w:val="center"/>
        </w:trPr>
        <w:tc>
          <w:tcPr>
            <w:tcW w:w="1701" w:type="dxa"/>
            <w:shd w:val="clear" w:color="auto" w:fill="FFFFFF"/>
            <w:vAlign w:val="center"/>
          </w:tcPr>
          <w:p w14:paraId="2DA09D13" w14:textId="77777777" w:rsidR="00F07BAB" w:rsidRPr="00B57B36" w:rsidRDefault="00F07BAB" w:rsidP="00C50A18">
            <w:pPr>
              <w:pStyle w:val="CETBodytext"/>
              <w:spacing w:line="240" w:lineRule="auto"/>
              <w:jc w:val="center"/>
            </w:pPr>
            <w:r w:rsidRPr="004A48CB">
              <w:rPr>
                <w:lang w:eastAsia="it-IT"/>
              </w:rPr>
              <w:t>Fixed Carbon</w:t>
            </w:r>
          </w:p>
        </w:tc>
        <w:tc>
          <w:tcPr>
            <w:tcW w:w="1134" w:type="dxa"/>
            <w:shd w:val="clear" w:color="auto" w:fill="FFFFFF"/>
            <w:vAlign w:val="center"/>
          </w:tcPr>
          <w:p w14:paraId="05B6AD82" w14:textId="77777777" w:rsidR="00F07BAB" w:rsidRPr="00B57B36" w:rsidRDefault="00F07BAB" w:rsidP="00C50A18">
            <w:pPr>
              <w:pStyle w:val="CETBodytext"/>
              <w:spacing w:line="240" w:lineRule="auto"/>
              <w:jc w:val="center"/>
            </w:pPr>
            <w:r w:rsidRPr="004A48CB">
              <w:rPr>
                <w:lang w:eastAsia="it-IT"/>
              </w:rPr>
              <w:t>18.0</w:t>
            </w:r>
          </w:p>
        </w:tc>
        <w:tc>
          <w:tcPr>
            <w:tcW w:w="1134" w:type="dxa"/>
            <w:shd w:val="clear" w:color="auto" w:fill="FFFFFF"/>
            <w:vAlign w:val="center"/>
          </w:tcPr>
          <w:p w14:paraId="4C2B1244" w14:textId="77777777" w:rsidR="00F07BAB" w:rsidRPr="00B57B36" w:rsidRDefault="00F07BAB" w:rsidP="00C50A18">
            <w:pPr>
              <w:pStyle w:val="CETBodytext"/>
              <w:spacing w:line="240" w:lineRule="auto"/>
              <w:jc w:val="center"/>
            </w:pPr>
            <w:r w:rsidRPr="004A48CB">
              <w:rPr>
                <w:lang w:eastAsia="it-IT"/>
              </w:rPr>
              <w:t>14.1</w:t>
            </w:r>
          </w:p>
        </w:tc>
      </w:tr>
      <w:tr w:rsidR="00F07BAB" w:rsidRPr="00B57B36" w14:paraId="4B852074" w14:textId="77777777" w:rsidTr="00DF5606">
        <w:trPr>
          <w:jc w:val="center"/>
        </w:trPr>
        <w:tc>
          <w:tcPr>
            <w:tcW w:w="1701" w:type="dxa"/>
            <w:tcBorders>
              <w:bottom w:val="single" w:sz="4" w:space="0" w:color="00B050"/>
            </w:tcBorders>
            <w:shd w:val="clear" w:color="auto" w:fill="FFFFFF"/>
            <w:vAlign w:val="center"/>
          </w:tcPr>
          <w:p w14:paraId="6861CFC9" w14:textId="77777777" w:rsidR="00F07BAB" w:rsidRPr="00B57B36" w:rsidRDefault="00F07BAB" w:rsidP="00C50A18">
            <w:pPr>
              <w:pStyle w:val="CETBodytext"/>
              <w:spacing w:line="240" w:lineRule="auto"/>
              <w:jc w:val="center"/>
            </w:pPr>
            <w:r w:rsidRPr="004A48CB">
              <w:rPr>
                <w:lang w:eastAsia="it-IT"/>
              </w:rPr>
              <w:t>Volatile matter</w:t>
            </w:r>
          </w:p>
        </w:tc>
        <w:tc>
          <w:tcPr>
            <w:tcW w:w="1134" w:type="dxa"/>
            <w:tcBorders>
              <w:bottom w:val="single" w:sz="4" w:space="0" w:color="00B050"/>
            </w:tcBorders>
            <w:shd w:val="clear" w:color="auto" w:fill="FFFFFF"/>
            <w:vAlign w:val="center"/>
          </w:tcPr>
          <w:p w14:paraId="0B6D2EB6" w14:textId="77777777" w:rsidR="00F07BAB" w:rsidRPr="00B57B36" w:rsidRDefault="00F07BAB" w:rsidP="00C50A18">
            <w:pPr>
              <w:pStyle w:val="CETBodytext"/>
              <w:spacing w:line="240" w:lineRule="auto"/>
              <w:jc w:val="center"/>
            </w:pPr>
            <w:r w:rsidRPr="004A48CB">
              <w:rPr>
                <w:lang w:eastAsia="it-IT"/>
              </w:rPr>
              <w:t>72.3</w:t>
            </w:r>
          </w:p>
        </w:tc>
        <w:tc>
          <w:tcPr>
            <w:tcW w:w="1134" w:type="dxa"/>
            <w:tcBorders>
              <w:bottom w:val="single" w:sz="4" w:space="0" w:color="00B050"/>
            </w:tcBorders>
            <w:shd w:val="clear" w:color="auto" w:fill="FFFFFF"/>
            <w:vAlign w:val="center"/>
          </w:tcPr>
          <w:p w14:paraId="76A5A3AD" w14:textId="77777777" w:rsidR="00F07BAB" w:rsidRPr="00B57B36" w:rsidRDefault="00F07BAB" w:rsidP="00C50A18">
            <w:pPr>
              <w:pStyle w:val="CETBodytext"/>
              <w:spacing w:line="240" w:lineRule="auto"/>
              <w:jc w:val="center"/>
            </w:pPr>
            <w:r w:rsidRPr="004A48CB">
              <w:rPr>
                <w:lang w:eastAsia="it-IT"/>
              </w:rPr>
              <w:t>57.0</w:t>
            </w:r>
          </w:p>
        </w:tc>
      </w:tr>
      <w:tr w:rsidR="00F07BAB" w:rsidRPr="00B57B36" w14:paraId="667D7933" w14:textId="77777777" w:rsidTr="00DF5606">
        <w:trPr>
          <w:jc w:val="center"/>
        </w:trPr>
        <w:tc>
          <w:tcPr>
            <w:tcW w:w="3969" w:type="dxa"/>
            <w:gridSpan w:val="3"/>
            <w:tcBorders>
              <w:top w:val="single" w:sz="4" w:space="0" w:color="00B050"/>
              <w:bottom w:val="single" w:sz="4" w:space="0" w:color="00B050"/>
            </w:tcBorders>
            <w:shd w:val="clear" w:color="auto" w:fill="FFFFFF"/>
            <w:vAlign w:val="center"/>
          </w:tcPr>
          <w:p w14:paraId="4D3ADEAD" w14:textId="77777777" w:rsidR="00F07BAB" w:rsidRPr="00B57B36" w:rsidRDefault="00F07BAB" w:rsidP="00C50A18">
            <w:pPr>
              <w:pStyle w:val="CETBodytext"/>
              <w:spacing w:line="240" w:lineRule="auto"/>
              <w:jc w:val="center"/>
            </w:pPr>
            <w:r w:rsidRPr="004A48CB">
              <w:rPr>
                <w:lang w:eastAsia="it-IT"/>
              </w:rPr>
              <w:t>Ultimate Analysis (%) ash and moisture free</w:t>
            </w:r>
          </w:p>
        </w:tc>
      </w:tr>
      <w:tr w:rsidR="00F07BAB" w:rsidRPr="00B57B36" w14:paraId="04615903" w14:textId="77777777" w:rsidTr="00DF5606">
        <w:trPr>
          <w:jc w:val="center"/>
        </w:trPr>
        <w:tc>
          <w:tcPr>
            <w:tcW w:w="1701" w:type="dxa"/>
            <w:tcBorders>
              <w:top w:val="single" w:sz="4" w:space="0" w:color="00B050"/>
            </w:tcBorders>
            <w:shd w:val="clear" w:color="auto" w:fill="FFFFFF"/>
            <w:vAlign w:val="center"/>
          </w:tcPr>
          <w:p w14:paraId="769F7802" w14:textId="77777777" w:rsidR="00F07BAB" w:rsidRPr="00B57B36" w:rsidRDefault="00F07BAB" w:rsidP="00C50A18">
            <w:pPr>
              <w:pStyle w:val="CETBodytext"/>
              <w:spacing w:line="240" w:lineRule="auto"/>
              <w:jc w:val="center"/>
            </w:pPr>
            <w:r w:rsidRPr="004A48CB">
              <w:rPr>
                <w:lang w:eastAsia="it-IT"/>
              </w:rPr>
              <w:t>C</w:t>
            </w:r>
          </w:p>
        </w:tc>
        <w:tc>
          <w:tcPr>
            <w:tcW w:w="1134" w:type="dxa"/>
            <w:tcBorders>
              <w:top w:val="single" w:sz="4" w:space="0" w:color="00B050"/>
            </w:tcBorders>
            <w:shd w:val="clear" w:color="auto" w:fill="FFFFFF"/>
            <w:vAlign w:val="center"/>
          </w:tcPr>
          <w:p w14:paraId="5ECBE6CD" w14:textId="77777777" w:rsidR="00F07BAB" w:rsidRPr="00B57B36" w:rsidRDefault="00F07BAB" w:rsidP="00C50A18">
            <w:pPr>
              <w:pStyle w:val="CETBodytext"/>
              <w:spacing w:line="240" w:lineRule="auto"/>
              <w:jc w:val="center"/>
            </w:pPr>
            <w:r w:rsidRPr="004A48CB">
              <w:rPr>
                <w:lang w:eastAsia="it-IT"/>
              </w:rPr>
              <w:t>48.1</w:t>
            </w:r>
          </w:p>
        </w:tc>
        <w:tc>
          <w:tcPr>
            <w:tcW w:w="1134" w:type="dxa"/>
            <w:tcBorders>
              <w:top w:val="single" w:sz="4" w:space="0" w:color="00B050"/>
            </w:tcBorders>
            <w:shd w:val="clear" w:color="auto" w:fill="FFFFFF"/>
            <w:vAlign w:val="center"/>
          </w:tcPr>
          <w:p w14:paraId="4F622CE6" w14:textId="77777777" w:rsidR="00F07BAB" w:rsidRPr="00B57B36" w:rsidRDefault="00F07BAB" w:rsidP="00C50A18">
            <w:pPr>
              <w:pStyle w:val="CETBodytext"/>
              <w:spacing w:line="240" w:lineRule="auto"/>
              <w:jc w:val="center"/>
            </w:pPr>
            <w:r w:rsidRPr="004A48CB">
              <w:rPr>
                <w:lang w:eastAsia="it-IT"/>
              </w:rPr>
              <w:t>46.7</w:t>
            </w:r>
          </w:p>
        </w:tc>
      </w:tr>
      <w:tr w:rsidR="00F07BAB" w:rsidRPr="00B57B36" w14:paraId="346A875A" w14:textId="77777777" w:rsidTr="00DF5606">
        <w:trPr>
          <w:jc w:val="center"/>
        </w:trPr>
        <w:tc>
          <w:tcPr>
            <w:tcW w:w="1701" w:type="dxa"/>
            <w:shd w:val="clear" w:color="auto" w:fill="FFFFFF"/>
            <w:vAlign w:val="center"/>
          </w:tcPr>
          <w:p w14:paraId="25A07952" w14:textId="77777777" w:rsidR="00F07BAB" w:rsidRPr="00B57B36" w:rsidRDefault="00F07BAB" w:rsidP="00C50A18">
            <w:pPr>
              <w:pStyle w:val="CETBodytext"/>
              <w:spacing w:line="240" w:lineRule="auto"/>
              <w:jc w:val="center"/>
            </w:pPr>
            <w:r w:rsidRPr="004A48CB">
              <w:rPr>
                <w:lang w:eastAsia="it-IT"/>
              </w:rPr>
              <w:t>N</w:t>
            </w:r>
          </w:p>
        </w:tc>
        <w:tc>
          <w:tcPr>
            <w:tcW w:w="1134" w:type="dxa"/>
            <w:shd w:val="clear" w:color="auto" w:fill="FFFFFF"/>
            <w:vAlign w:val="center"/>
          </w:tcPr>
          <w:p w14:paraId="185AFF3B" w14:textId="77777777" w:rsidR="00F07BAB" w:rsidRPr="00B57B36" w:rsidRDefault="00F07BAB" w:rsidP="00C50A18">
            <w:pPr>
              <w:pStyle w:val="CETBodytext"/>
              <w:spacing w:line="240" w:lineRule="auto"/>
              <w:jc w:val="center"/>
            </w:pPr>
            <w:r w:rsidRPr="004A48CB">
              <w:rPr>
                <w:lang w:eastAsia="it-IT"/>
              </w:rPr>
              <w:t>4.5</w:t>
            </w:r>
          </w:p>
        </w:tc>
        <w:tc>
          <w:tcPr>
            <w:tcW w:w="1134" w:type="dxa"/>
            <w:shd w:val="clear" w:color="auto" w:fill="FFFFFF"/>
            <w:vAlign w:val="center"/>
          </w:tcPr>
          <w:p w14:paraId="75FE3600" w14:textId="77777777" w:rsidR="00F07BAB" w:rsidRPr="00B57B36" w:rsidRDefault="00F07BAB" w:rsidP="00C50A18">
            <w:pPr>
              <w:pStyle w:val="CETBodytext"/>
              <w:spacing w:line="240" w:lineRule="auto"/>
              <w:jc w:val="center"/>
            </w:pPr>
            <w:r w:rsidRPr="004A48CB">
              <w:rPr>
                <w:lang w:eastAsia="it-IT"/>
              </w:rPr>
              <w:t>0.2</w:t>
            </w:r>
          </w:p>
        </w:tc>
      </w:tr>
      <w:tr w:rsidR="00F07BAB" w:rsidRPr="00B57B36" w14:paraId="32842BC1" w14:textId="77777777" w:rsidTr="00DF5606">
        <w:trPr>
          <w:jc w:val="center"/>
        </w:trPr>
        <w:tc>
          <w:tcPr>
            <w:tcW w:w="1701" w:type="dxa"/>
            <w:shd w:val="clear" w:color="auto" w:fill="FFFFFF"/>
            <w:vAlign w:val="center"/>
          </w:tcPr>
          <w:p w14:paraId="75D74A27" w14:textId="77777777" w:rsidR="00F07BAB" w:rsidRPr="00B57B36" w:rsidRDefault="00F07BAB" w:rsidP="00C50A18">
            <w:pPr>
              <w:pStyle w:val="CETBodytext"/>
              <w:spacing w:line="240" w:lineRule="auto"/>
              <w:jc w:val="center"/>
            </w:pPr>
            <w:r w:rsidRPr="004A48CB">
              <w:rPr>
                <w:lang w:eastAsia="it-IT"/>
              </w:rPr>
              <w:t>O</w:t>
            </w:r>
          </w:p>
        </w:tc>
        <w:tc>
          <w:tcPr>
            <w:tcW w:w="1134" w:type="dxa"/>
            <w:shd w:val="clear" w:color="auto" w:fill="FFFFFF"/>
            <w:vAlign w:val="center"/>
          </w:tcPr>
          <w:p w14:paraId="5F44BECA" w14:textId="77777777" w:rsidR="00F07BAB" w:rsidRPr="00B57B36" w:rsidRDefault="00F07BAB" w:rsidP="00C50A18">
            <w:pPr>
              <w:pStyle w:val="CETBodytext"/>
              <w:spacing w:line="240" w:lineRule="auto"/>
              <w:jc w:val="center"/>
            </w:pPr>
            <w:r w:rsidRPr="004A48CB">
              <w:rPr>
                <w:lang w:eastAsia="it-IT"/>
              </w:rPr>
              <w:t>41.4</w:t>
            </w:r>
          </w:p>
        </w:tc>
        <w:tc>
          <w:tcPr>
            <w:tcW w:w="1134" w:type="dxa"/>
            <w:shd w:val="clear" w:color="auto" w:fill="FFFFFF"/>
            <w:vAlign w:val="center"/>
          </w:tcPr>
          <w:p w14:paraId="6B5838B3" w14:textId="77777777" w:rsidR="00F07BAB" w:rsidRPr="00B57B36" w:rsidRDefault="00F07BAB" w:rsidP="00C50A18">
            <w:pPr>
              <w:pStyle w:val="CETBodytext"/>
              <w:spacing w:line="240" w:lineRule="auto"/>
              <w:jc w:val="center"/>
            </w:pPr>
            <w:r w:rsidRPr="004A48CB">
              <w:rPr>
                <w:lang w:eastAsia="it-IT"/>
              </w:rPr>
              <w:t>46.7</w:t>
            </w:r>
          </w:p>
        </w:tc>
      </w:tr>
      <w:tr w:rsidR="00F07BAB" w:rsidRPr="00B57B36" w14:paraId="4D7EDAEE" w14:textId="77777777" w:rsidTr="00DF5606">
        <w:trPr>
          <w:jc w:val="center"/>
        </w:trPr>
        <w:tc>
          <w:tcPr>
            <w:tcW w:w="1701" w:type="dxa"/>
            <w:shd w:val="clear" w:color="auto" w:fill="FFFFFF"/>
            <w:vAlign w:val="center"/>
          </w:tcPr>
          <w:p w14:paraId="138F675A" w14:textId="77777777" w:rsidR="00F07BAB" w:rsidRPr="00B57B36" w:rsidRDefault="00F07BAB" w:rsidP="00C50A18">
            <w:pPr>
              <w:pStyle w:val="CETBodytext"/>
              <w:spacing w:line="240" w:lineRule="auto"/>
              <w:jc w:val="center"/>
            </w:pPr>
            <w:r w:rsidRPr="004A48CB">
              <w:rPr>
                <w:lang w:eastAsia="it-IT"/>
              </w:rPr>
              <w:t>H</w:t>
            </w:r>
          </w:p>
        </w:tc>
        <w:tc>
          <w:tcPr>
            <w:tcW w:w="1134" w:type="dxa"/>
            <w:shd w:val="clear" w:color="auto" w:fill="FFFFFF"/>
            <w:vAlign w:val="center"/>
          </w:tcPr>
          <w:p w14:paraId="7F7CB22C" w14:textId="77777777" w:rsidR="00F07BAB" w:rsidRPr="00B57B36" w:rsidRDefault="00F07BAB" w:rsidP="00C50A18">
            <w:pPr>
              <w:pStyle w:val="CETBodytext"/>
              <w:spacing w:line="240" w:lineRule="auto"/>
              <w:jc w:val="center"/>
            </w:pPr>
            <w:r w:rsidRPr="004A48CB">
              <w:rPr>
                <w:lang w:eastAsia="it-IT"/>
              </w:rPr>
              <w:t>6.0</w:t>
            </w:r>
          </w:p>
        </w:tc>
        <w:tc>
          <w:tcPr>
            <w:tcW w:w="1134" w:type="dxa"/>
            <w:shd w:val="clear" w:color="auto" w:fill="FFFFFF"/>
            <w:vAlign w:val="center"/>
          </w:tcPr>
          <w:p w14:paraId="6DCC30F3" w14:textId="77777777" w:rsidR="00F07BAB" w:rsidRPr="00B57B36" w:rsidRDefault="00F07BAB" w:rsidP="00C50A18">
            <w:pPr>
              <w:pStyle w:val="CETBodytext"/>
              <w:spacing w:line="240" w:lineRule="auto"/>
              <w:jc w:val="center"/>
            </w:pPr>
            <w:r w:rsidRPr="004A48CB">
              <w:rPr>
                <w:lang w:eastAsia="it-IT"/>
              </w:rPr>
              <w:t>6.3</w:t>
            </w:r>
          </w:p>
        </w:tc>
      </w:tr>
      <w:bookmarkEnd w:id="4"/>
    </w:tbl>
    <w:p w14:paraId="7B65A9EA" w14:textId="423FAC1E" w:rsidR="00F07BAB" w:rsidRDefault="00F07BAB" w:rsidP="003B1A2A"/>
    <w:p w14:paraId="5E7A3D14" w14:textId="77777777" w:rsidR="002E53DB" w:rsidRDefault="002E53DB" w:rsidP="002E53DB">
      <w:pPr>
        <w:pStyle w:val="CETTabletitle"/>
      </w:pPr>
      <w:r>
        <w:t>Table 3:</w:t>
      </w:r>
      <w:r w:rsidRPr="007C4949">
        <w:t xml:space="preserve"> </w:t>
      </w:r>
      <w:r w:rsidRPr="009D626A">
        <w:t>Engine operating condition test matrix</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967"/>
        <w:gridCol w:w="921"/>
        <w:gridCol w:w="921"/>
        <w:gridCol w:w="615"/>
      </w:tblGrid>
      <w:tr w:rsidR="002E53DB" w:rsidRPr="00B57B36" w14:paraId="0829AC25" w14:textId="77777777" w:rsidTr="00F92DB0">
        <w:tc>
          <w:tcPr>
            <w:tcW w:w="967" w:type="dxa"/>
            <w:tcBorders>
              <w:top w:val="single" w:sz="12" w:space="0" w:color="008000"/>
              <w:bottom w:val="single" w:sz="6" w:space="0" w:color="008000"/>
            </w:tcBorders>
            <w:shd w:val="clear" w:color="auto" w:fill="FFFFFF"/>
            <w:vAlign w:val="center"/>
          </w:tcPr>
          <w:p w14:paraId="12861AC2" w14:textId="77777777" w:rsidR="002E53DB" w:rsidRPr="00B57B36" w:rsidRDefault="002E53DB" w:rsidP="00C50A18">
            <w:pPr>
              <w:spacing w:line="240" w:lineRule="auto"/>
              <w:jc w:val="center"/>
            </w:pPr>
            <w:r>
              <w:t>Load</w:t>
            </w:r>
          </w:p>
        </w:tc>
        <w:tc>
          <w:tcPr>
            <w:tcW w:w="921" w:type="dxa"/>
            <w:tcBorders>
              <w:top w:val="single" w:sz="12" w:space="0" w:color="008000"/>
              <w:bottom w:val="single" w:sz="6" w:space="0" w:color="008000"/>
            </w:tcBorders>
            <w:shd w:val="clear" w:color="auto" w:fill="FFFFFF"/>
            <w:vAlign w:val="center"/>
          </w:tcPr>
          <w:p w14:paraId="3DBD4CEF" w14:textId="77777777" w:rsidR="002E53DB" w:rsidRPr="00B57B36" w:rsidRDefault="002E53DB" w:rsidP="00C50A18">
            <w:pPr>
              <w:spacing w:line="240" w:lineRule="auto"/>
              <w:jc w:val="center"/>
            </w:pPr>
            <w:proofErr w:type="spellStart"/>
            <w:r>
              <w:t>kWe</w:t>
            </w:r>
            <w:proofErr w:type="spellEnd"/>
          </w:p>
        </w:tc>
        <w:tc>
          <w:tcPr>
            <w:tcW w:w="921" w:type="dxa"/>
            <w:tcBorders>
              <w:top w:val="single" w:sz="12" w:space="0" w:color="008000"/>
              <w:bottom w:val="single" w:sz="6" w:space="0" w:color="008000"/>
            </w:tcBorders>
            <w:shd w:val="clear" w:color="auto" w:fill="FFFFFF"/>
            <w:vAlign w:val="center"/>
          </w:tcPr>
          <w:p w14:paraId="223D391A" w14:textId="77777777" w:rsidR="002E53DB" w:rsidRPr="00B57B36" w:rsidRDefault="002E53DB" w:rsidP="00C50A18">
            <w:pPr>
              <w:spacing w:line="240" w:lineRule="auto"/>
              <w:jc w:val="center"/>
            </w:pPr>
            <w:r>
              <w:t>Spark Advance (°CAD)</w:t>
            </w:r>
          </w:p>
        </w:tc>
        <w:tc>
          <w:tcPr>
            <w:tcW w:w="615" w:type="dxa"/>
            <w:tcBorders>
              <w:top w:val="single" w:sz="12" w:space="0" w:color="008000"/>
              <w:bottom w:val="single" w:sz="6" w:space="0" w:color="008000"/>
            </w:tcBorders>
            <w:shd w:val="clear" w:color="auto" w:fill="FFFFFF"/>
            <w:vAlign w:val="center"/>
          </w:tcPr>
          <w:p w14:paraId="21C470D7" w14:textId="77777777" w:rsidR="002E53DB" w:rsidRPr="00B57B36" w:rsidRDefault="002E53DB" w:rsidP="00C50A18">
            <w:pPr>
              <w:spacing w:line="240" w:lineRule="auto"/>
              <w:ind w:right="-1"/>
              <w:jc w:val="center"/>
              <w:rPr>
                <w:rFonts w:cs="Arial"/>
                <w:szCs w:val="18"/>
              </w:rPr>
            </w:pPr>
            <w:r>
              <w:rPr>
                <w:rFonts w:eastAsia="MS Mincho"/>
              </w:rPr>
              <w:t>λ (-)</w:t>
            </w:r>
          </w:p>
        </w:tc>
      </w:tr>
      <w:tr w:rsidR="002E53DB" w:rsidRPr="00B57B36" w14:paraId="0EB02C46" w14:textId="77777777" w:rsidTr="00F92DB0">
        <w:tc>
          <w:tcPr>
            <w:tcW w:w="967" w:type="dxa"/>
            <w:shd w:val="clear" w:color="auto" w:fill="FFFFFF"/>
            <w:vAlign w:val="center"/>
          </w:tcPr>
          <w:p w14:paraId="41BDB838" w14:textId="77777777" w:rsidR="002E53DB" w:rsidRPr="00B57B36" w:rsidRDefault="002E53DB" w:rsidP="00C50A18">
            <w:pPr>
              <w:spacing w:line="240" w:lineRule="auto"/>
              <w:jc w:val="center"/>
            </w:pPr>
            <w:r>
              <w:t>L</w:t>
            </w:r>
          </w:p>
        </w:tc>
        <w:tc>
          <w:tcPr>
            <w:tcW w:w="921" w:type="dxa"/>
            <w:shd w:val="clear" w:color="auto" w:fill="FFFFFF"/>
            <w:vAlign w:val="center"/>
          </w:tcPr>
          <w:p w14:paraId="26511FB3" w14:textId="77777777" w:rsidR="002E53DB" w:rsidRPr="00B57B36" w:rsidRDefault="002E53DB" w:rsidP="00C50A18">
            <w:pPr>
              <w:spacing w:line="240" w:lineRule="auto"/>
              <w:jc w:val="center"/>
            </w:pPr>
            <w:r>
              <w:t>4-6</w:t>
            </w:r>
          </w:p>
        </w:tc>
        <w:tc>
          <w:tcPr>
            <w:tcW w:w="921" w:type="dxa"/>
            <w:shd w:val="clear" w:color="auto" w:fill="FFFFFF"/>
            <w:vAlign w:val="center"/>
          </w:tcPr>
          <w:p w14:paraId="1139EA53" w14:textId="77777777" w:rsidR="002E53DB" w:rsidRPr="00B57B36" w:rsidRDefault="002E53DB" w:rsidP="00C50A18">
            <w:pPr>
              <w:spacing w:line="240" w:lineRule="auto"/>
              <w:jc w:val="center"/>
            </w:pPr>
            <w:r>
              <w:t>-20</w:t>
            </w:r>
          </w:p>
        </w:tc>
        <w:tc>
          <w:tcPr>
            <w:tcW w:w="615" w:type="dxa"/>
            <w:shd w:val="clear" w:color="auto" w:fill="FFFFFF"/>
            <w:vAlign w:val="center"/>
          </w:tcPr>
          <w:p w14:paraId="75DF32E3" w14:textId="77777777" w:rsidR="002E53DB" w:rsidRPr="00B57B36" w:rsidRDefault="002E53DB" w:rsidP="00C50A18">
            <w:pPr>
              <w:spacing w:line="240" w:lineRule="auto"/>
              <w:ind w:right="-1"/>
              <w:jc w:val="center"/>
              <w:rPr>
                <w:rFonts w:cs="Arial"/>
                <w:szCs w:val="18"/>
              </w:rPr>
            </w:pPr>
            <w:r>
              <w:rPr>
                <w:rFonts w:cs="Arial"/>
                <w:szCs w:val="18"/>
              </w:rPr>
              <w:t>1.03</w:t>
            </w:r>
          </w:p>
        </w:tc>
      </w:tr>
      <w:tr w:rsidR="002E53DB" w:rsidRPr="00B57B36" w14:paraId="0024191B" w14:textId="77777777" w:rsidTr="00F92DB0">
        <w:tc>
          <w:tcPr>
            <w:tcW w:w="967" w:type="dxa"/>
            <w:shd w:val="clear" w:color="auto" w:fill="FFFFFF"/>
            <w:vAlign w:val="center"/>
          </w:tcPr>
          <w:p w14:paraId="179F2C02" w14:textId="77777777" w:rsidR="002E53DB" w:rsidRPr="00B57B36" w:rsidRDefault="002E53DB" w:rsidP="00C50A18">
            <w:pPr>
              <w:spacing w:line="240" w:lineRule="auto"/>
              <w:ind w:right="-1"/>
              <w:jc w:val="center"/>
              <w:rPr>
                <w:rFonts w:cs="Arial"/>
                <w:szCs w:val="18"/>
              </w:rPr>
            </w:pPr>
            <w:r>
              <w:rPr>
                <w:rFonts w:cs="Arial"/>
                <w:szCs w:val="18"/>
              </w:rPr>
              <w:t>M</w:t>
            </w:r>
          </w:p>
        </w:tc>
        <w:tc>
          <w:tcPr>
            <w:tcW w:w="921" w:type="dxa"/>
            <w:shd w:val="clear" w:color="auto" w:fill="FFFFFF"/>
            <w:vAlign w:val="center"/>
          </w:tcPr>
          <w:p w14:paraId="50681381" w14:textId="5D1619DB" w:rsidR="002E53DB" w:rsidRPr="00B57B36" w:rsidRDefault="001300CA" w:rsidP="00C50A18">
            <w:pPr>
              <w:spacing w:line="240" w:lineRule="auto"/>
              <w:ind w:right="-1"/>
              <w:jc w:val="center"/>
              <w:rPr>
                <w:rFonts w:cs="Arial"/>
                <w:szCs w:val="18"/>
              </w:rPr>
            </w:pPr>
            <w:r w:rsidRPr="0017165A">
              <w:rPr>
                <w:rFonts w:cs="Arial"/>
                <w:szCs w:val="18"/>
              </w:rPr>
              <w:t>14-</w:t>
            </w:r>
            <w:r w:rsidR="009157D4" w:rsidRPr="0017165A">
              <w:rPr>
                <w:rFonts w:cs="Arial"/>
                <w:szCs w:val="18"/>
              </w:rPr>
              <w:t>15</w:t>
            </w:r>
          </w:p>
        </w:tc>
        <w:tc>
          <w:tcPr>
            <w:tcW w:w="921" w:type="dxa"/>
            <w:shd w:val="clear" w:color="auto" w:fill="FFFFFF"/>
            <w:vAlign w:val="center"/>
          </w:tcPr>
          <w:p w14:paraId="630299B2" w14:textId="43D90F39" w:rsidR="002E53DB" w:rsidRDefault="002E53DB" w:rsidP="00C50A18">
            <w:pPr>
              <w:spacing w:line="240" w:lineRule="auto"/>
              <w:ind w:right="-1"/>
              <w:jc w:val="center"/>
              <w:rPr>
                <w:rFonts w:cs="Arial"/>
                <w:szCs w:val="18"/>
              </w:rPr>
            </w:pPr>
            <w:r>
              <w:rPr>
                <w:rFonts w:cs="Arial"/>
                <w:szCs w:val="18"/>
              </w:rPr>
              <w:t>-15, -20</w:t>
            </w:r>
          </w:p>
          <w:p w14:paraId="2997C4E9" w14:textId="7F681590" w:rsidR="002E53DB" w:rsidRPr="00B57B36" w:rsidRDefault="002E53DB" w:rsidP="00C50A18">
            <w:pPr>
              <w:spacing w:line="240" w:lineRule="auto"/>
              <w:ind w:right="-1"/>
              <w:jc w:val="center"/>
              <w:rPr>
                <w:rFonts w:cs="Arial"/>
                <w:szCs w:val="18"/>
              </w:rPr>
            </w:pPr>
            <w:r>
              <w:rPr>
                <w:rFonts w:cs="Arial"/>
                <w:szCs w:val="18"/>
              </w:rPr>
              <w:t>-25, -30</w:t>
            </w:r>
          </w:p>
        </w:tc>
        <w:tc>
          <w:tcPr>
            <w:tcW w:w="615" w:type="dxa"/>
            <w:shd w:val="clear" w:color="auto" w:fill="FFFFFF"/>
            <w:vAlign w:val="center"/>
          </w:tcPr>
          <w:p w14:paraId="3E69E933" w14:textId="77777777" w:rsidR="002E53DB" w:rsidRPr="00B57B36" w:rsidRDefault="002E53DB" w:rsidP="00C50A18">
            <w:pPr>
              <w:spacing w:line="240" w:lineRule="auto"/>
              <w:ind w:right="-1"/>
              <w:jc w:val="center"/>
              <w:rPr>
                <w:rFonts w:cs="Arial"/>
                <w:szCs w:val="18"/>
              </w:rPr>
            </w:pPr>
            <w:r>
              <w:rPr>
                <w:rFonts w:cs="Arial"/>
                <w:szCs w:val="18"/>
              </w:rPr>
              <w:t>1.03</w:t>
            </w:r>
          </w:p>
        </w:tc>
      </w:tr>
    </w:tbl>
    <w:p w14:paraId="0080EA30" w14:textId="0F1B1FFD" w:rsidR="009157D4" w:rsidRDefault="009157D4" w:rsidP="005A0F18">
      <w:pPr>
        <w:pStyle w:val="CETTabletitle"/>
      </w:pPr>
    </w:p>
    <w:p w14:paraId="4AE892F3" w14:textId="5C45E577" w:rsidR="005A0F18" w:rsidRDefault="005A0F18" w:rsidP="005A0F18">
      <w:pPr>
        <w:pStyle w:val="CETTabletitle"/>
      </w:pPr>
      <w:r>
        <w:t xml:space="preserve">Table </w:t>
      </w:r>
      <w:r>
        <w:fldChar w:fldCharType="begin"/>
      </w:r>
      <w:r>
        <w:instrText xml:space="preserve"> SEQ Table \* ARABIC </w:instrText>
      </w:r>
      <w:r>
        <w:fldChar w:fldCharType="separate"/>
      </w:r>
      <w:r w:rsidR="00BF2CE3">
        <w:rPr>
          <w:noProof/>
        </w:rPr>
        <w:t>2</w:t>
      </w:r>
      <w:r>
        <w:fldChar w:fldCharType="end"/>
      </w:r>
      <w:r>
        <w:t xml:space="preserve">: </w:t>
      </w:r>
      <w:r w:rsidRPr="004A48CB">
        <w:t xml:space="preserve">Syngas </w:t>
      </w:r>
      <w:r w:rsidRPr="004A48CB">
        <w:rPr>
          <w:lang w:eastAsia="it-IT"/>
        </w:rPr>
        <w:t>compositions</w:t>
      </w:r>
      <w:r w:rsidRPr="004A48CB">
        <w:t xml:space="preserve"> and lower heating values</w:t>
      </w:r>
    </w:p>
    <w:tbl>
      <w:tblPr>
        <w:tblW w:w="3686"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418"/>
        <w:gridCol w:w="1134"/>
        <w:gridCol w:w="1134"/>
      </w:tblGrid>
      <w:tr w:rsidR="005A0F18" w:rsidRPr="00B57B36" w14:paraId="3B160EC8" w14:textId="77777777" w:rsidTr="00C94855">
        <w:tc>
          <w:tcPr>
            <w:tcW w:w="1418" w:type="dxa"/>
            <w:tcBorders>
              <w:top w:val="single" w:sz="12" w:space="0" w:color="008000"/>
              <w:bottom w:val="single" w:sz="6" w:space="0" w:color="008000"/>
            </w:tcBorders>
            <w:shd w:val="clear" w:color="auto" w:fill="FFFFFF"/>
            <w:vAlign w:val="center"/>
          </w:tcPr>
          <w:p w14:paraId="2B5C1E1D" w14:textId="2CBE320C" w:rsidR="005A0F18" w:rsidRPr="00B57B36" w:rsidRDefault="005A0F18" w:rsidP="00C50A18">
            <w:pPr>
              <w:spacing w:line="240" w:lineRule="auto"/>
              <w:jc w:val="center"/>
            </w:pPr>
          </w:p>
        </w:tc>
        <w:tc>
          <w:tcPr>
            <w:tcW w:w="1134" w:type="dxa"/>
            <w:tcBorders>
              <w:top w:val="single" w:sz="12" w:space="0" w:color="008000"/>
              <w:bottom w:val="single" w:sz="6" w:space="0" w:color="008000"/>
            </w:tcBorders>
            <w:shd w:val="clear" w:color="auto" w:fill="FFFFFF"/>
            <w:vAlign w:val="center"/>
          </w:tcPr>
          <w:p w14:paraId="07FC1827" w14:textId="4FE0C515" w:rsidR="005A0F18" w:rsidRPr="00B57B36" w:rsidRDefault="00333CB0" w:rsidP="00C50A18">
            <w:pPr>
              <w:spacing w:line="240" w:lineRule="auto"/>
              <w:jc w:val="center"/>
            </w:pPr>
            <w:r>
              <w:rPr>
                <w:b/>
                <w:bCs/>
                <w:lang w:eastAsia="it-IT"/>
              </w:rPr>
              <w:t>Biomass 1</w:t>
            </w:r>
          </w:p>
        </w:tc>
        <w:tc>
          <w:tcPr>
            <w:tcW w:w="1134" w:type="dxa"/>
            <w:tcBorders>
              <w:top w:val="single" w:sz="12" w:space="0" w:color="008000"/>
              <w:bottom w:val="single" w:sz="6" w:space="0" w:color="008000"/>
            </w:tcBorders>
            <w:shd w:val="clear" w:color="auto" w:fill="FFFFFF"/>
            <w:vAlign w:val="center"/>
          </w:tcPr>
          <w:p w14:paraId="6D374CEF" w14:textId="08B23060" w:rsidR="005A0F18" w:rsidRPr="00B57B36" w:rsidRDefault="00333CB0" w:rsidP="00C50A18">
            <w:pPr>
              <w:spacing w:line="240" w:lineRule="auto"/>
              <w:jc w:val="center"/>
            </w:pPr>
            <w:r>
              <w:rPr>
                <w:b/>
                <w:bCs/>
                <w:lang w:eastAsia="it-IT"/>
              </w:rPr>
              <w:t>Biomass 2</w:t>
            </w:r>
          </w:p>
        </w:tc>
      </w:tr>
      <w:tr w:rsidR="005A0F18" w:rsidRPr="00B57B36" w14:paraId="597605DC" w14:textId="77777777" w:rsidTr="00C94855">
        <w:tc>
          <w:tcPr>
            <w:tcW w:w="1418" w:type="dxa"/>
            <w:shd w:val="clear" w:color="auto" w:fill="FFFFFF"/>
            <w:vAlign w:val="center"/>
          </w:tcPr>
          <w:p w14:paraId="5841F0E3" w14:textId="163021C9" w:rsidR="005A0F18" w:rsidRPr="00B57B36" w:rsidRDefault="005A0F18" w:rsidP="00C50A18">
            <w:pPr>
              <w:spacing w:line="240" w:lineRule="auto"/>
              <w:jc w:val="center"/>
            </w:pPr>
            <w:r w:rsidRPr="004A48CB">
              <w:rPr>
                <w:lang w:eastAsia="it-IT"/>
              </w:rPr>
              <w:t>O</w:t>
            </w:r>
            <w:r w:rsidRPr="004A48CB">
              <w:rPr>
                <w:vertAlign w:val="subscript"/>
                <w:lang w:eastAsia="it-IT"/>
              </w:rPr>
              <w:t>2</w:t>
            </w:r>
            <w:r w:rsidRPr="004A48CB">
              <w:rPr>
                <w:lang w:eastAsia="it-IT"/>
              </w:rPr>
              <w:t xml:space="preserve"> (%vol)</w:t>
            </w:r>
          </w:p>
        </w:tc>
        <w:tc>
          <w:tcPr>
            <w:tcW w:w="1134" w:type="dxa"/>
            <w:shd w:val="clear" w:color="auto" w:fill="FFFFFF"/>
            <w:vAlign w:val="center"/>
          </w:tcPr>
          <w:p w14:paraId="74C31352" w14:textId="4F8CCE25" w:rsidR="005A0F18" w:rsidRPr="00B57B36" w:rsidRDefault="005A0F18" w:rsidP="00C50A18">
            <w:pPr>
              <w:spacing w:line="240" w:lineRule="auto"/>
              <w:jc w:val="center"/>
            </w:pPr>
            <w:r w:rsidRPr="004A48CB">
              <w:rPr>
                <w:lang w:eastAsia="it-IT"/>
              </w:rPr>
              <w:t>1.64</w:t>
            </w:r>
          </w:p>
        </w:tc>
        <w:tc>
          <w:tcPr>
            <w:tcW w:w="1134" w:type="dxa"/>
            <w:shd w:val="clear" w:color="auto" w:fill="FFFFFF"/>
            <w:vAlign w:val="center"/>
          </w:tcPr>
          <w:p w14:paraId="7AC92F57" w14:textId="67CD4F22" w:rsidR="005A0F18" w:rsidRPr="00B57B36" w:rsidRDefault="005A0F18" w:rsidP="00C50A18">
            <w:pPr>
              <w:spacing w:line="240" w:lineRule="auto"/>
              <w:jc w:val="center"/>
            </w:pPr>
            <w:r w:rsidRPr="004A48CB">
              <w:rPr>
                <w:lang w:eastAsia="it-IT"/>
              </w:rPr>
              <w:t>1.26</w:t>
            </w:r>
          </w:p>
        </w:tc>
      </w:tr>
      <w:tr w:rsidR="005A0F18" w:rsidRPr="00B57B36" w14:paraId="19091F58" w14:textId="77777777" w:rsidTr="00C94855">
        <w:tc>
          <w:tcPr>
            <w:tcW w:w="1418" w:type="dxa"/>
            <w:shd w:val="clear" w:color="auto" w:fill="FFFFFF"/>
            <w:vAlign w:val="center"/>
          </w:tcPr>
          <w:p w14:paraId="53E5808D" w14:textId="4A61C88E" w:rsidR="005A0F18" w:rsidRPr="00B57B36" w:rsidRDefault="005A0F18" w:rsidP="00C50A18">
            <w:pPr>
              <w:spacing w:line="240" w:lineRule="auto"/>
              <w:jc w:val="center"/>
            </w:pPr>
            <w:r w:rsidRPr="004A48CB">
              <w:rPr>
                <w:lang w:eastAsia="it-IT"/>
              </w:rPr>
              <w:t>CO</w:t>
            </w:r>
            <w:r w:rsidRPr="004A48CB">
              <w:rPr>
                <w:vertAlign w:val="subscript"/>
                <w:lang w:eastAsia="it-IT"/>
              </w:rPr>
              <w:t>2</w:t>
            </w:r>
            <w:r w:rsidRPr="004A48CB">
              <w:rPr>
                <w:lang w:eastAsia="it-IT"/>
              </w:rPr>
              <w:t xml:space="preserve"> (%vol)</w:t>
            </w:r>
          </w:p>
        </w:tc>
        <w:tc>
          <w:tcPr>
            <w:tcW w:w="1134" w:type="dxa"/>
            <w:shd w:val="clear" w:color="auto" w:fill="FFFFFF"/>
            <w:vAlign w:val="center"/>
          </w:tcPr>
          <w:p w14:paraId="26817BD0" w14:textId="2457DD6F" w:rsidR="005A0F18" w:rsidRPr="00B57B36" w:rsidRDefault="005A0F18" w:rsidP="00C50A18">
            <w:pPr>
              <w:spacing w:line="240" w:lineRule="auto"/>
              <w:jc w:val="center"/>
            </w:pPr>
            <w:r w:rsidRPr="004A48CB">
              <w:rPr>
                <w:lang w:eastAsia="it-IT"/>
              </w:rPr>
              <w:t>11.48</w:t>
            </w:r>
          </w:p>
        </w:tc>
        <w:tc>
          <w:tcPr>
            <w:tcW w:w="1134" w:type="dxa"/>
            <w:shd w:val="clear" w:color="auto" w:fill="FFFFFF"/>
            <w:vAlign w:val="center"/>
          </w:tcPr>
          <w:p w14:paraId="5077A531" w14:textId="59D6A9BD" w:rsidR="005A0F18" w:rsidRPr="00B57B36" w:rsidRDefault="005A0F18" w:rsidP="00C50A18">
            <w:pPr>
              <w:spacing w:line="240" w:lineRule="auto"/>
              <w:jc w:val="center"/>
            </w:pPr>
            <w:r w:rsidRPr="004A48CB">
              <w:rPr>
                <w:lang w:eastAsia="it-IT"/>
              </w:rPr>
              <w:t>12.02</w:t>
            </w:r>
          </w:p>
        </w:tc>
      </w:tr>
      <w:tr w:rsidR="005A0F18" w:rsidRPr="00B57B36" w14:paraId="39B55990" w14:textId="77777777" w:rsidTr="00C94855">
        <w:tc>
          <w:tcPr>
            <w:tcW w:w="1418" w:type="dxa"/>
            <w:shd w:val="clear" w:color="auto" w:fill="FFFFFF"/>
            <w:vAlign w:val="center"/>
          </w:tcPr>
          <w:p w14:paraId="6CD31EDD" w14:textId="1B3A9D44" w:rsidR="005A0F18" w:rsidRPr="00B57B36" w:rsidRDefault="005A0F18" w:rsidP="00C50A18">
            <w:pPr>
              <w:spacing w:line="240" w:lineRule="auto"/>
              <w:jc w:val="center"/>
            </w:pPr>
            <w:r w:rsidRPr="004A48CB">
              <w:rPr>
                <w:lang w:eastAsia="it-IT"/>
              </w:rPr>
              <w:t>CO (%vol)</w:t>
            </w:r>
          </w:p>
        </w:tc>
        <w:tc>
          <w:tcPr>
            <w:tcW w:w="1134" w:type="dxa"/>
            <w:shd w:val="clear" w:color="auto" w:fill="FFFFFF"/>
            <w:vAlign w:val="center"/>
          </w:tcPr>
          <w:p w14:paraId="7A53F43A" w14:textId="32AFF8DE" w:rsidR="005A0F18" w:rsidRPr="00B57B36" w:rsidRDefault="005A0F18" w:rsidP="00C50A18">
            <w:pPr>
              <w:spacing w:line="240" w:lineRule="auto"/>
              <w:jc w:val="center"/>
            </w:pPr>
            <w:r w:rsidRPr="004A48CB">
              <w:rPr>
                <w:lang w:eastAsia="it-IT"/>
              </w:rPr>
              <w:t>18.77</w:t>
            </w:r>
          </w:p>
        </w:tc>
        <w:tc>
          <w:tcPr>
            <w:tcW w:w="1134" w:type="dxa"/>
            <w:shd w:val="clear" w:color="auto" w:fill="FFFFFF"/>
            <w:vAlign w:val="center"/>
          </w:tcPr>
          <w:p w14:paraId="01CD3D4D" w14:textId="23EB3B36" w:rsidR="005A0F18" w:rsidRPr="00B57B36" w:rsidRDefault="005A0F18" w:rsidP="00C50A18">
            <w:pPr>
              <w:spacing w:line="240" w:lineRule="auto"/>
              <w:jc w:val="center"/>
            </w:pPr>
            <w:r w:rsidRPr="004A48CB">
              <w:rPr>
                <w:lang w:eastAsia="it-IT"/>
              </w:rPr>
              <w:t>18.35</w:t>
            </w:r>
          </w:p>
        </w:tc>
      </w:tr>
      <w:tr w:rsidR="005A0F18" w:rsidRPr="00B57B36" w14:paraId="4F943E28" w14:textId="77777777" w:rsidTr="00C94855">
        <w:tc>
          <w:tcPr>
            <w:tcW w:w="1418" w:type="dxa"/>
            <w:shd w:val="clear" w:color="auto" w:fill="FFFFFF"/>
            <w:vAlign w:val="center"/>
          </w:tcPr>
          <w:p w14:paraId="49D43FD0" w14:textId="124B42F0" w:rsidR="005A0F18" w:rsidRPr="00B57B36" w:rsidRDefault="005A0F18" w:rsidP="00C50A18">
            <w:pPr>
              <w:spacing w:line="240" w:lineRule="auto"/>
              <w:jc w:val="center"/>
            </w:pPr>
            <w:r w:rsidRPr="004A48CB">
              <w:rPr>
                <w:lang w:eastAsia="it-IT"/>
              </w:rPr>
              <w:t>H</w:t>
            </w:r>
            <w:r w:rsidRPr="004A48CB">
              <w:rPr>
                <w:vertAlign w:val="subscript"/>
                <w:lang w:eastAsia="it-IT"/>
              </w:rPr>
              <w:t>2</w:t>
            </w:r>
            <w:r w:rsidRPr="004A48CB">
              <w:rPr>
                <w:lang w:eastAsia="it-IT"/>
              </w:rPr>
              <w:t>S (ppm)</w:t>
            </w:r>
          </w:p>
        </w:tc>
        <w:tc>
          <w:tcPr>
            <w:tcW w:w="1134" w:type="dxa"/>
            <w:shd w:val="clear" w:color="auto" w:fill="FFFFFF"/>
            <w:vAlign w:val="center"/>
          </w:tcPr>
          <w:p w14:paraId="6EA0F68F" w14:textId="6C53AD21" w:rsidR="005A0F18" w:rsidRPr="00B57B36" w:rsidRDefault="005A0F18" w:rsidP="00C50A18">
            <w:pPr>
              <w:spacing w:line="240" w:lineRule="auto"/>
              <w:jc w:val="center"/>
            </w:pPr>
            <w:r w:rsidRPr="004A48CB">
              <w:rPr>
                <w:lang w:eastAsia="it-IT"/>
              </w:rPr>
              <w:t>9.65</w:t>
            </w:r>
          </w:p>
        </w:tc>
        <w:tc>
          <w:tcPr>
            <w:tcW w:w="1134" w:type="dxa"/>
            <w:shd w:val="clear" w:color="auto" w:fill="FFFFFF"/>
            <w:vAlign w:val="center"/>
          </w:tcPr>
          <w:p w14:paraId="301FD0A6" w14:textId="6125B0D0" w:rsidR="005A0F18" w:rsidRPr="00B57B36" w:rsidRDefault="005A0F18" w:rsidP="00C50A18">
            <w:pPr>
              <w:spacing w:line="240" w:lineRule="auto"/>
              <w:jc w:val="center"/>
            </w:pPr>
            <w:r w:rsidRPr="004A48CB">
              <w:rPr>
                <w:lang w:eastAsia="it-IT"/>
              </w:rPr>
              <w:t>12.82</w:t>
            </w:r>
          </w:p>
        </w:tc>
      </w:tr>
      <w:tr w:rsidR="005A0F18" w:rsidRPr="00B57B36" w14:paraId="62ED9EF9" w14:textId="77777777" w:rsidTr="00C94855">
        <w:tc>
          <w:tcPr>
            <w:tcW w:w="1418" w:type="dxa"/>
            <w:shd w:val="clear" w:color="auto" w:fill="FFFFFF"/>
            <w:vAlign w:val="center"/>
          </w:tcPr>
          <w:p w14:paraId="1DB746B4" w14:textId="7DFD1611" w:rsidR="005A0F18" w:rsidRPr="00B57B36" w:rsidRDefault="005A0F18" w:rsidP="00C50A18">
            <w:pPr>
              <w:spacing w:line="240" w:lineRule="auto"/>
              <w:jc w:val="center"/>
            </w:pPr>
            <w:r w:rsidRPr="004A48CB">
              <w:rPr>
                <w:lang w:eastAsia="it-IT"/>
              </w:rPr>
              <w:t>CH</w:t>
            </w:r>
            <w:r w:rsidRPr="004A48CB">
              <w:rPr>
                <w:vertAlign w:val="subscript"/>
                <w:lang w:eastAsia="it-IT"/>
              </w:rPr>
              <w:t>4</w:t>
            </w:r>
            <w:r w:rsidRPr="004A48CB">
              <w:rPr>
                <w:lang w:eastAsia="it-IT"/>
              </w:rPr>
              <w:t xml:space="preserve"> (%vol)</w:t>
            </w:r>
          </w:p>
        </w:tc>
        <w:tc>
          <w:tcPr>
            <w:tcW w:w="1134" w:type="dxa"/>
            <w:shd w:val="clear" w:color="auto" w:fill="FFFFFF"/>
            <w:vAlign w:val="center"/>
          </w:tcPr>
          <w:p w14:paraId="1B2016E6" w14:textId="714489B3" w:rsidR="005A0F18" w:rsidRPr="00B57B36" w:rsidRDefault="005A0F18" w:rsidP="00C50A18">
            <w:pPr>
              <w:spacing w:line="240" w:lineRule="auto"/>
              <w:jc w:val="center"/>
            </w:pPr>
            <w:r w:rsidRPr="004A48CB">
              <w:rPr>
                <w:lang w:eastAsia="it-IT"/>
              </w:rPr>
              <w:t>2.05</w:t>
            </w:r>
          </w:p>
        </w:tc>
        <w:tc>
          <w:tcPr>
            <w:tcW w:w="1134" w:type="dxa"/>
            <w:shd w:val="clear" w:color="auto" w:fill="FFFFFF"/>
            <w:vAlign w:val="center"/>
          </w:tcPr>
          <w:p w14:paraId="391B2F2D" w14:textId="6D639E39" w:rsidR="005A0F18" w:rsidRPr="00B57B36" w:rsidRDefault="005A0F18" w:rsidP="00C50A18">
            <w:pPr>
              <w:spacing w:line="240" w:lineRule="auto"/>
              <w:jc w:val="center"/>
            </w:pPr>
            <w:r w:rsidRPr="004A48CB">
              <w:rPr>
                <w:lang w:eastAsia="it-IT"/>
              </w:rPr>
              <w:t>1.82</w:t>
            </w:r>
          </w:p>
        </w:tc>
      </w:tr>
      <w:tr w:rsidR="005A0F18" w:rsidRPr="00B57B36" w14:paraId="4D651109" w14:textId="77777777" w:rsidTr="00C94855">
        <w:tc>
          <w:tcPr>
            <w:tcW w:w="1418" w:type="dxa"/>
            <w:shd w:val="clear" w:color="auto" w:fill="FFFFFF"/>
            <w:vAlign w:val="center"/>
          </w:tcPr>
          <w:p w14:paraId="1FCBB80B" w14:textId="21B9D6D6" w:rsidR="005A0F18" w:rsidRPr="00B57B36" w:rsidRDefault="005A0F18" w:rsidP="00C50A18">
            <w:pPr>
              <w:spacing w:line="240" w:lineRule="auto"/>
              <w:ind w:right="-1"/>
              <w:jc w:val="center"/>
              <w:rPr>
                <w:rFonts w:cs="Arial"/>
                <w:szCs w:val="18"/>
              </w:rPr>
            </w:pPr>
            <w:r w:rsidRPr="004A48CB">
              <w:rPr>
                <w:lang w:eastAsia="it-IT"/>
              </w:rPr>
              <w:t>H</w:t>
            </w:r>
            <w:r w:rsidRPr="004A48CB">
              <w:rPr>
                <w:vertAlign w:val="subscript"/>
                <w:lang w:eastAsia="it-IT"/>
              </w:rPr>
              <w:t>2</w:t>
            </w:r>
            <w:r w:rsidRPr="004A48CB">
              <w:rPr>
                <w:lang w:eastAsia="it-IT"/>
              </w:rPr>
              <w:t xml:space="preserve"> (%vol)</w:t>
            </w:r>
          </w:p>
        </w:tc>
        <w:tc>
          <w:tcPr>
            <w:tcW w:w="1134" w:type="dxa"/>
            <w:shd w:val="clear" w:color="auto" w:fill="FFFFFF"/>
            <w:vAlign w:val="center"/>
          </w:tcPr>
          <w:p w14:paraId="65603FC8" w14:textId="71739965" w:rsidR="005A0F18" w:rsidRPr="00B57B36" w:rsidRDefault="005A0F18" w:rsidP="00C50A18">
            <w:pPr>
              <w:spacing w:line="240" w:lineRule="auto"/>
              <w:ind w:right="-1"/>
              <w:jc w:val="center"/>
              <w:rPr>
                <w:rFonts w:cs="Arial"/>
                <w:szCs w:val="18"/>
              </w:rPr>
            </w:pPr>
            <w:r w:rsidRPr="004A48CB">
              <w:rPr>
                <w:lang w:eastAsia="it-IT"/>
              </w:rPr>
              <w:t>16.74</w:t>
            </w:r>
          </w:p>
        </w:tc>
        <w:tc>
          <w:tcPr>
            <w:tcW w:w="1134" w:type="dxa"/>
            <w:shd w:val="clear" w:color="auto" w:fill="FFFFFF"/>
            <w:vAlign w:val="center"/>
          </w:tcPr>
          <w:p w14:paraId="387BC7EE" w14:textId="7AD0A6BB" w:rsidR="005A0F18" w:rsidRPr="00B57B36" w:rsidRDefault="005A0F18" w:rsidP="00C50A18">
            <w:pPr>
              <w:spacing w:line="240" w:lineRule="auto"/>
              <w:ind w:right="-1"/>
              <w:jc w:val="center"/>
              <w:rPr>
                <w:rFonts w:cs="Arial"/>
                <w:szCs w:val="18"/>
              </w:rPr>
            </w:pPr>
            <w:r w:rsidRPr="004A48CB">
              <w:rPr>
                <w:lang w:eastAsia="it-IT"/>
              </w:rPr>
              <w:t>16.94</w:t>
            </w:r>
          </w:p>
        </w:tc>
      </w:tr>
      <w:tr w:rsidR="005A0F18" w:rsidRPr="00B57B36" w14:paraId="14470474" w14:textId="77777777" w:rsidTr="00C94855">
        <w:tc>
          <w:tcPr>
            <w:tcW w:w="1418" w:type="dxa"/>
            <w:shd w:val="clear" w:color="auto" w:fill="FFFFFF"/>
            <w:vAlign w:val="center"/>
          </w:tcPr>
          <w:p w14:paraId="7FBBB36D" w14:textId="0D8054F6" w:rsidR="005A0F18" w:rsidRPr="004A48CB" w:rsidRDefault="005A0F18" w:rsidP="00C50A18">
            <w:pPr>
              <w:spacing w:line="240" w:lineRule="auto"/>
              <w:ind w:right="-1"/>
              <w:jc w:val="center"/>
              <w:rPr>
                <w:lang w:eastAsia="it-IT"/>
              </w:rPr>
            </w:pPr>
            <w:r w:rsidRPr="004A48CB">
              <w:rPr>
                <w:lang w:eastAsia="it-IT"/>
              </w:rPr>
              <w:t>N</w:t>
            </w:r>
            <w:r w:rsidRPr="004A48CB">
              <w:rPr>
                <w:vertAlign w:val="subscript"/>
                <w:lang w:eastAsia="it-IT"/>
              </w:rPr>
              <w:t>2</w:t>
            </w:r>
            <w:r w:rsidRPr="004A48CB">
              <w:rPr>
                <w:lang w:eastAsia="it-IT"/>
              </w:rPr>
              <w:t xml:space="preserve"> (%vol)</w:t>
            </w:r>
          </w:p>
        </w:tc>
        <w:tc>
          <w:tcPr>
            <w:tcW w:w="1134" w:type="dxa"/>
            <w:shd w:val="clear" w:color="auto" w:fill="FFFFFF"/>
            <w:vAlign w:val="center"/>
          </w:tcPr>
          <w:p w14:paraId="5EDF5B99" w14:textId="0F482ABA" w:rsidR="005A0F18" w:rsidRPr="004A48CB" w:rsidRDefault="005A0F18" w:rsidP="00C50A18">
            <w:pPr>
              <w:spacing w:line="240" w:lineRule="auto"/>
              <w:ind w:right="-1"/>
              <w:jc w:val="center"/>
              <w:rPr>
                <w:lang w:eastAsia="it-IT"/>
              </w:rPr>
            </w:pPr>
            <w:r w:rsidRPr="004A48CB">
              <w:rPr>
                <w:lang w:eastAsia="it-IT"/>
              </w:rPr>
              <w:t>49.32</w:t>
            </w:r>
          </w:p>
        </w:tc>
        <w:tc>
          <w:tcPr>
            <w:tcW w:w="1134" w:type="dxa"/>
            <w:shd w:val="clear" w:color="auto" w:fill="FFFFFF"/>
            <w:vAlign w:val="center"/>
          </w:tcPr>
          <w:p w14:paraId="39C9F84A" w14:textId="5E9BCE60" w:rsidR="005A0F18" w:rsidRPr="004A48CB" w:rsidRDefault="005A0F18" w:rsidP="00C50A18">
            <w:pPr>
              <w:spacing w:line="240" w:lineRule="auto"/>
              <w:ind w:right="-1"/>
              <w:jc w:val="center"/>
              <w:rPr>
                <w:lang w:eastAsia="it-IT"/>
              </w:rPr>
            </w:pPr>
            <w:r w:rsidRPr="004A48CB">
              <w:rPr>
                <w:lang w:eastAsia="it-IT"/>
              </w:rPr>
              <w:t>49.61</w:t>
            </w:r>
          </w:p>
        </w:tc>
      </w:tr>
      <w:tr w:rsidR="005A0F18" w:rsidRPr="00B57B36" w14:paraId="36777AF7" w14:textId="77777777" w:rsidTr="00C94855">
        <w:tc>
          <w:tcPr>
            <w:tcW w:w="1418" w:type="dxa"/>
            <w:shd w:val="clear" w:color="auto" w:fill="FFFFFF"/>
            <w:vAlign w:val="center"/>
          </w:tcPr>
          <w:p w14:paraId="14A4E8B4" w14:textId="1A492A8B" w:rsidR="005A0F18" w:rsidRPr="004A48CB" w:rsidRDefault="005A0F18" w:rsidP="00C50A18">
            <w:pPr>
              <w:spacing w:line="240" w:lineRule="auto"/>
              <w:ind w:right="-1"/>
              <w:jc w:val="center"/>
              <w:rPr>
                <w:lang w:eastAsia="it-IT"/>
              </w:rPr>
            </w:pPr>
            <w:r w:rsidRPr="004A48CB">
              <w:rPr>
                <w:lang w:eastAsia="it-IT"/>
              </w:rPr>
              <w:t>LHV (MJ/kg)</w:t>
            </w:r>
          </w:p>
        </w:tc>
        <w:tc>
          <w:tcPr>
            <w:tcW w:w="1134" w:type="dxa"/>
            <w:shd w:val="clear" w:color="auto" w:fill="FFFFFF"/>
            <w:vAlign w:val="center"/>
          </w:tcPr>
          <w:p w14:paraId="157FFE9C" w14:textId="03F1DF08" w:rsidR="005A0F18" w:rsidRPr="004A48CB" w:rsidRDefault="005A0F18" w:rsidP="00C50A18">
            <w:pPr>
              <w:spacing w:line="240" w:lineRule="auto"/>
              <w:ind w:right="-1"/>
              <w:jc w:val="center"/>
              <w:rPr>
                <w:lang w:eastAsia="it-IT"/>
              </w:rPr>
            </w:pPr>
            <w:r w:rsidRPr="004A48CB">
              <w:rPr>
                <w:lang w:eastAsia="it-IT"/>
              </w:rPr>
              <w:t>4.21</w:t>
            </w:r>
          </w:p>
        </w:tc>
        <w:tc>
          <w:tcPr>
            <w:tcW w:w="1134" w:type="dxa"/>
            <w:shd w:val="clear" w:color="auto" w:fill="FFFFFF"/>
            <w:vAlign w:val="center"/>
          </w:tcPr>
          <w:p w14:paraId="6A576981" w14:textId="7105E2C9" w:rsidR="005A0F18" w:rsidRPr="004A48CB" w:rsidRDefault="005A0F18" w:rsidP="00C50A18">
            <w:pPr>
              <w:spacing w:line="240" w:lineRule="auto"/>
              <w:ind w:right="-1"/>
              <w:jc w:val="center"/>
              <w:rPr>
                <w:lang w:eastAsia="it-IT"/>
              </w:rPr>
            </w:pPr>
            <w:r w:rsidRPr="004A48CB">
              <w:rPr>
                <w:lang w:eastAsia="it-IT"/>
              </w:rPr>
              <w:t>4.13</w:t>
            </w:r>
          </w:p>
        </w:tc>
      </w:tr>
      <w:tr w:rsidR="005A0F18" w:rsidRPr="00B57B36" w14:paraId="124B7A51" w14:textId="77777777" w:rsidTr="00C94855">
        <w:tc>
          <w:tcPr>
            <w:tcW w:w="1418" w:type="dxa"/>
            <w:shd w:val="clear" w:color="auto" w:fill="FFFFFF"/>
            <w:vAlign w:val="center"/>
          </w:tcPr>
          <w:p w14:paraId="4CD5F673" w14:textId="09DA31A8" w:rsidR="005A0F18" w:rsidRPr="004A48CB" w:rsidRDefault="005A0F18" w:rsidP="00C50A18">
            <w:pPr>
              <w:spacing w:line="240" w:lineRule="auto"/>
              <w:ind w:right="-1"/>
              <w:jc w:val="center"/>
              <w:rPr>
                <w:lang w:eastAsia="it-IT"/>
              </w:rPr>
            </w:pPr>
            <w:r w:rsidRPr="004A48CB">
              <w:rPr>
                <w:lang w:eastAsia="it-IT"/>
              </w:rPr>
              <w:t>α</w:t>
            </w:r>
            <w:proofErr w:type="spellStart"/>
            <w:r w:rsidRPr="004A48CB">
              <w:rPr>
                <w:vertAlign w:val="subscript"/>
                <w:lang w:eastAsia="it-IT"/>
              </w:rPr>
              <w:t>st</w:t>
            </w:r>
            <w:proofErr w:type="spellEnd"/>
          </w:p>
        </w:tc>
        <w:tc>
          <w:tcPr>
            <w:tcW w:w="1134" w:type="dxa"/>
            <w:shd w:val="clear" w:color="auto" w:fill="FFFFFF"/>
            <w:vAlign w:val="center"/>
          </w:tcPr>
          <w:p w14:paraId="475C8560" w14:textId="12AFBE98" w:rsidR="005A0F18" w:rsidRPr="004A48CB" w:rsidRDefault="005A0F18" w:rsidP="00C50A18">
            <w:pPr>
              <w:spacing w:line="240" w:lineRule="auto"/>
              <w:ind w:right="-1"/>
              <w:jc w:val="center"/>
              <w:rPr>
                <w:lang w:eastAsia="it-IT"/>
              </w:rPr>
            </w:pPr>
            <w:r w:rsidRPr="004A48CB">
              <w:rPr>
                <w:lang w:eastAsia="it-IT"/>
              </w:rPr>
              <w:t>1.45</w:t>
            </w:r>
          </w:p>
        </w:tc>
        <w:tc>
          <w:tcPr>
            <w:tcW w:w="1134" w:type="dxa"/>
            <w:shd w:val="clear" w:color="auto" w:fill="FFFFFF"/>
            <w:vAlign w:val="center"/>
          </w:tcPr>
          <w:p w14:paraId="43759E6C" w14:textId="7B2F8869" w:rsidR="005A0F18" w:rsidRPr="004A48CB" w:rsidRDefault="005A0F18" w:rsidP="00C50A18">
            <w:pPr>
              <w:spacing w:line="240" w:lineRule="auto"/>
              <w:ind w:right="-1"/>
              <w:jc w:val="center"/>
              <w:rPr>
                <w:lang w:eastAsia="it-IT"/>
              </w:rPr>
            </w:pPr>
            <w:r w:rsidRPr="004A48CB">
              <w:rPr>
                <w:lang w:eastAsia="it-IT"/>
              </w:rPr>
              <w:t>1.42</w:t>
            </w:r>
          </w:p>
        </w:tc>
      </w:tr>
      <w:tr w:rsidR="00C94855" w:rsidRPr="00B57B36" w14:paraId="0059FD19" w14:textId="77777777" w:rsidTr="00C94855">
        <w:tc>
          <w:tcPr>
            <w:tcW w:w="1418" w:type="dxa"/>
            <w:shd w:val="clear" w:color="auto" w:fill="FFFFFF"/>
            <w:vAlign w:val="center"/>
          </w:tcPr>
          <w:p w14:paraId="287609BD" w14:textId="22A19324" w:rsidR="00C94855" w:rsidRPr="004A48CB" w:rsidRDefault="00C94855" w:rsidP="00C50A18">
            <w:pPr>
              <w:spacing w:line="240" w:lineRule="auto"/>
              <w:ind w:right="-1"/>
              <w:jc w:val="center"/>
              <w:rPr>
                <w:lang w:eastAsia="it-IT"/>
              </w:rPr>
            </w:pPr>
            <w:r w:rsidRPr="00F8109C">
              <w:rPr>
                <w:lang w:eastAsia="en-GB"/>
              </w:rPr>
              <w:t>Tar concentration (g/m</w:t>
            </w:r>
            <w:r w:rsidRPr="00F8109C">
              <w:rPr>
                <w:vertAlign w:val="superscript"/>
                <w:lang w:eastAsia="en-GB"/>
              </w:rPr>
              <w:t>3</w:t>
            </w:r>
            <w:r w:rsidRPr="00F8109C">
              <w:rPr>
                <w:lang w:eastAsia="en-GB"/>
              </w:rPr>
              <w:t>)</w:t>
            </w:r>
          </w:p>
        </w:tc>
        <w:tc>
          <w:tcPr>
            <w:tcW w:w="1134" w:type="dxa"/>
            <w:shd w:val="clear" w:color="auto" w:fill="FFFFFF"/>
            <w:vAlign w:val="center"/>
          </w:tcPr>
          <w:p w14:paraId="536052DA" w14:textId="2B96A026" w:rsidR="00C94855" w:rsidRPr="004A48CB" w:rsidRDefault="00C94855" w:rsidP="00C50A18">
            <w:pPr>
              <w:spacing w:line="240" w:lineRule="auto"/>
              <w:ind w:right="-1"/>
              <w:jc w:val="center"/>
              <w:rPr>
                <w:lang w:eastAsia="it-IT"/>
              </w:rPr>
            </w:pPr>
            <w:r w:rsidRPr="004A48CB">
              <w:rPr>
                <w:lang w:eastAsia="en-GB"/>
              </w:rPr>
              <w:t>2.13</w:t>
            </w:r>
          </w:p>
        </w:tc>
        <w:tc>
          <w:tcPr>
            <w:tcW w:w="1134" w:type="dxa"/>
            <w:shd w:val="clear" w:color="auto" w:fill="FFFFFF"/>
            <w:vAlign w:val="center"/>
          </w:tcPr>
          <w:p w14:paraId="31576211" w14:textId="4C8AA400" w:rsidR="00C94855" w:rsidRPr="004A48CB" w:rsidRDefault="00C94855" w:rsidP="00C50A18">
            <w:pPr>
              <w:spacing w:line="240" w:lineRule="auto"/>
              <w:ind w:right="-1"/>
              <w:jc w:val="center"/>
              <w:rPr>
                <w:lang w:eastAsia="it-IT"/>
              </w:rPr>
            </w:pPr>
            <w:r w:rsidRPr="004A48CB">
              <w:rPr>
                <w:lang w:eastAsia="en-GB"/>
              </w:rPr>
              <w:t>8.57</w:t>
            </w:r>
          </w:p>
        </w:tc>
      </w:tr>
    </w:tbl>
    <w:p w14:paraId="09BE36F0" w14:textId="77777777" w:rsidR="006E3ABB" w:rsidRDefault="006E3ABB" w:rsidP="006E3ABB">
      <w:pPr>
        <w:pStyle w:val="CETBodytext"/>
        <w:rPr>
          <w:rFonts w:eastAsia="MS Mincho"/>
        </w:rPr>
      </w:pPr>
    </w:p>
    <w:p w14:paraId="66AEAD7C" w14:textId="77777777" w:rsidR="006E3ABB" w:rsidRDefault="006E3ABB" w:rsidP="006E3ABB">
      <w:pPr>
        <w:pStyle w:val="CETBodytext"/>
        <w:rPr>
          <w:rFonts w:eastAsia="MS Mincho"/>
        </w:rPr>
      </w:pPr>
    </w:p>
    <w:p w14:paraId="4898B7F4" w14:textId="77777777" w:rsidR="002E53DB" w:rsidRDefault="002E53DB" w:rsidP="006E3ABB">
      <w:pPr>
        <w:pStyle w:val="CETBodytext"/>
        <w:rPr>
          <w:rFonts w:eastAsia="MS Mincho"/>
        </w:rPr>
      </w:pPr>
    </w:p>
    <w:p w14:paraId="49BD0177" w14:textId="77777777" w:rsidR="002E53DB" w:rsidRDefault="002E53DB" w:rsidP="006E3ABB">
      <w:pPr>
        <w:pStyle w:val="CETBodytext"/>
        <w:rPr>
          <w:rFonts w:eastAsia="MS Mincho"/>
        </w:rPr>
      </w:pPr>
    </w:p>
    <w:p w14:paraId="33FE016F" w14:textId="77777777" w:rsidR="002E53DB" w:rsidRDefault="002E53DB" w:rsidP="006E3ABB">
      <w:pPr>
        <w:pStyle w:val="CETBodytext"/>
        <w:rPr>
          <w:rFonts w:eastAsia="MS Mincho"/>
        </w:rPr>
      </w:pPr>
    </w:p>
    <w:p w14:paraId="54390C84" w14:textId="72EE1DE6" w:rsidR="002E53DB" w:rsidRDefault="002E53DB" w:rsidP="006E3ABB">
      <w:pPr>
        <w:pStyle w:val="CETBodytext"/>
        <w:rPr>
          <w:rFonts w:eastAsia="MS Mincho"/>
        </w:rPr>
        <w:sectPr w:rsidR="002E53DB" w:rsidSect="00F07BAB">
          <w:type w:val="continuous"/>
          <w:pgSz w:w="11906" w:h="16838" w:code="9"/>
          <w:pgMar w:top="1701" w:right="1418" w:bottom="1701" w:left="1701" w:header="1701" w:footer="0" w:gutter="0"/>
          <w:cols w:num="2" w:space="708"/>
          <w:formProt w:val="0"/>
          <w:titlePg/>
          <w:docGrid w:linePitch="360"/>
        </w:sectPr>
      </w:pPr>
    </w:p>
    <w:p w14:paraId="0D750930" w14:textId="5D0313A1" w:rsidR="009157D4" w:rsidRDefault="009157D4" w:rsidP="006E3ABB">
      <w:pPr>
        <w:pStyle w:val="CETBodytext"/>
        <w:rPr>
          <w:rFonts w:eastAsia="MS Mincho"/>
        </w:rPr>
      </w:pPr>
    </w:p>
    <w:p w14:paraId="54A6E5C5" w14:textId="29340BE3" w:rsidR="009073BD" w:rsidRDefault="006E3ABB" w:rsidP="002E53DB">
      <w:pPr>
        <w:pStyle w:val="CETBodytext"/>
        <w:sectPr w:rsidR="009073BD" w:rsidSect="009073BD">
          <w:type w:val="continuous"/>
          <w:pgSz w:w="11906" w:h="16838" w:code="9"/>
          <w:pgMar w:top="1701" w:right="1418" w:bottom="1701" w:left="1701" w:header="1701" w:footer="0" w:gutter="0"/>
          <w:cols w:space="708"/>
          <w:formProt w:val="0"/>
          <w:titlePg/>
          <w:docGrid w:linePitch="360"/>
        </w:sectPr>
      </w:pPr>
      <w:r>
        <w:rPr>
          <w:rFonts w:eastAsia="MS Mincho"/>
        </w:rPr>
        <w:t xml:space="preserve">Table </w:t>
      </w:r>
      <w:r w:rsidR="008578EF">
        <w:rPr>
          <w:rFonts w:eastAsia="MS Mincho"/>
        </w:rPr>
        <w:t>3</w:t>
      </w:r>
      <w:r>
        <w:rPr>
          <w:rFonts w:eastAsia="MS Mincho"/>
        </w:rPr>
        <w:t xml:space="preserve"> </w:t>
      </w:r>
      <w:r w:rsidRPr="009D626A">
        <w:rPr>
          <w:rFonts w:eastAsia="MS Mincho"/>
        </w:rPr>
        <w:t xml:space="preserve">reports the engine operating condition test matrix adopted for both biomasses. It should be noted that the table shows a range of load, low or medium, due to the variability of load required by </w:t>
      </w:r>
      <w:r w:rsidRPr="009D626A">
        <w:t>plant machines for the operations of waste storage</w:t>
      </w:r>
      <w:r w:rsidRPr="009D626A">
        <w:rPr>
          <w:rFonts w:eastAsia="MS Mincho"/>
        </w:rPr>
        <w:t xml:space="preserve"> during the execution of the experimental tests.</w:t>
      </w:r>
      <w:r w:rsidR="00C944C7">
        <w:rPr>
          <w:rFonts w:eastAsia="MS Mincho"/>
        </w:rPr>
        <w:t xml:space="preserve"> </w:t>
      </w:r>
      <w:r w:rsidR="001300CA" w:rsidRPr="0017165A">
        <w:t>Figure 2</w:t>
      </w:r>
      <w:r w:rsidR="001300CA">
        <w:t xml:space="preserve"> </w:t>
      </w:r>
      <w:r w:rsidRPr="004A48CB">
        <w:t>shows the exhaust mass flow (a) and temperature (b) of both feedstocks. No difference between sawdust and straw ar</w:t>
      </w:r>
      <w:r>
        <w:t>i</w:t>
      </w:r>
      <w:r w:rsidRPr="004A48CB">
        <w:t>se</w:t>
      </w:r>
      <w:r>
        <w:t>s</w:t>
      </w:r>
      <w:r w:rsidRPr="004A48CB">
        <w:t xml:space="preserve"> for exhaust mass flow ratio, which </w:t>
      </w:r>
      <w:r>
        <w:t xml:space="preserve">appears to not be </w:t>
      </w:r>
      <w:r w:rsidRPr="004A48CB">
        <w:t>influenced by the initial feedstock.</w:t>
      </w:r>
      <w:r w:rsidR="00C944C7">
        <w:t xml:space="preserve"> </w:t>
      </w:r>
      <w:r w:rsidR="00333CB0">
        <w:rPr>
          <w:lang w:eastAsia="it-IT"/>
        </w:rPr>
        <w:t>Biomass 2</w:t>
      </w:r>
      <w:r w:rsidRPr="004A48CB">
        <w:rPr>
          <w:lang w:eastAsia="it-IT"/>
        </w:rPr>
        <w:t xml:space="preserve"> presents a slightly higher exhaust temperature than </w:t>
      </w:r>
      <w:r w:rsidR="00333CB0">
        <w:rPr>
          <w:lang w:eastAsia="it-IT"/>
        </w:rPr>
        <w:t>Biomass 1</w:t>
      </w:r>
      <w:r w:rsidRPr="004A48CB">
        <w:rPr>
          <w:lang w:eastAsia="it-IT"/>
        </w:rPr>
        <w:t xml:space="preserve"> for medium load and a spark advance of -20 ° CAD. However, these values remain in the range of effective exhaust temperature for the reduction of CO emissions, </w:t>
      </w:r>
      <w:r w:rsidR="001300CA" w:rsidRPr="0017165A">
        <w:rPr>
          <w:lang w:eastAsia="it-IT"/>
        </w:rPr>
        <w:t>as they indicate temperature higher than 250°C and lower</w:t>
      </w:r>
      <w:r w:rsidRPr="0017165A">
        <w:rPr>
          <w:lang w:eastAsia="it-IT"/>
        </w:rPr>
        <w:t xml:space="preserve"> than 650°C</w:t>
      </w:r>
      <w:r w:rsidR="001300CA" w:rsidRPr="0017165A">
        <w:rPr>
          <w:lang w:eastAsia="it-IT"/>
        </w:rPr>
        <w:t xml:space="preserve"> in the after-treatment system</w:t>
      </w:r>
      <w:r w:rsidRPr="0017165A">
        <w:rPr>
          <w:lang w:eastAsia="it-IT"/>
        </w:rPr>
        <w:t xml:space="preserve">. An </w:t>
      </w:r>
      <w:r w:rsidR="004E532C" w:rsidRPr="0017165A">
        <w:rPr>
          <w:lang w:eastAsia="it-IT"/>
        </w:rPr>
        <w:t>extreme exhaust temperature</w:t>
      </w:r>
      <w:r w:rsidRPr="0017165A">
        <w:rPr>
          <w:lang w:eastAsia="it-IT"/>
        </w:rPr>
        <w:t>, indeed,</w:t>
      </w:r>
      <w:r w:rsidR="0017165A">
        <w:rPr>
          <w:lang w:eastAsia="it-IT"/>
        </w:rPr>
        <w:t xml:space="preserve"> </w:t>
      </w:r>
      <w:r w:rsidR="001300CA" w:rsidRPr="0017165A">
        <w:rPr>
          <w:lang w:eastAsia="it-IT"/>
        </w:rPr>
        <w:t xml:space="preserve">could </w:t>
      </w:r>
      <w:r w:rsidRPr="0017165A">
        <w:rPr>
          <w:lang w:eastAsia="it-IT"/>
        </w:rPr>
        <w:t>destroy the catalytic converter.</w:t>
      </w:r>
      <w:r w:rsidR="0017165A">
        <w:rPr>
          <w:lang w:eastAsia="it-IT"/>
        </w:rPr>
        <w:t xml:space="preserve"> </w:t>
      </w:r>
      <w:r w:rsidR="009073BD" w:rsidRPr="0017165A">
        <w:t xml:space="preserve">The measured emission species are summarized in </w:t>
      </w:r>
      <w:r w:rsidR="001300CA" w:rsidRPr="0017165A">
        <w:t>Figure 3</w:t>
      </w:r>
      <w:r w:rsidR="009073BD" w:rsidRPr="0017165A">
        <w:t>.</w:t>
      </w:r>
      <w:r w:rsidR="00C50A18" w:rsidRPr="00C50A18">
        <w:t xml:space="preserve"> </w:t>
      </w:r>
      <w:r w:rsidR="00C50A18" w:rsidRPr="0017165A">
        <w:t xml:space="preserve">The emissions have been recalculated on a wet basis as required by the Italian legislation </w:t>
      </w:r>
      <w:proofErr w:type="spellStart"/>
      <w:r w:rsidR="00C50A18" w:rsidRPr="0017165A">
        <w:t>Dlgs</w:t>
      </w:r>
      <w:proofErr w:type="spellEnd"/>
      <w:r w:rsidR="00C50A18" w:rsidRPr="0017165A">
        <w:t xml:space="preserve">. 11/15/2017, no. 183 – Fixed engine in </w:t>
      </w:r>
      <w:proofErr w:type="spellStart"/>
      <w:r w:rsidR="00C50A18" w:rsidRPr="0017165A">
        <w:t>cogenerative</w:t>
      </w:r>
      <w:proofErr w:type="spellEnd"/>
      <w:r w:rsidR="00C50A18" w:rsidRPr="0017165A">
        <w:t xml:space="preserve"> asset </w:t>
      </w:r>
      <w:r w:rsidR="00C50A18" w:rsidRPr="0017165A">
        <w:fldChar w:fldCharType="begin"/>
      </w:r>
      <w:r w:rsidR="00C50A18" w:rsidRPr="0017165A">
        <w:instrText xml:space="preserve"> ADDIN ZOTERO_ITEM CSL_CITATION {"citationID":"v8sPEfws","properties":{"formattedCitation":"({\\i{}DECRETO LEGISLATIVO 15 novembre 2017, n. 183 - Normattiva}, 2017)","plainCitation":"(DECRETO LEGISLATIVO 15 novembre 2017, n. 183 - Normattiva, 2017)","noteIndex":0},"citationItems":[{"id":210,"uris":["http://zotero.org/users/local/v2UwehSA/items/F4D4BL39"],"uri":["http://zotero.org/users/local/v2UwehSA/items/F4D4BL39"],"itemData":{"id":210,"type":"webpage","title":"DECRETO LEGISLATIVO 15 novembre 2017, n. 183 - Normattiva","URL":"https://www.normattiva.it/uri-res/N2Ls?urn:nir:stato:decreto.legislativo:2017-11-15;183","accessed":{"date-parts":[["2021",11,12]]},"issued":{"date-parts":[["2017"]]}}}],"schema":"https://github.com/citation-style-language/schema/raw/master/csl-citation.json"} </w:instrText>
      </w:r>
      <w:r w:rsidR="00C50A18" w:rsidRPr="0017165A">
        <w:fldChar w:fldCharType="separate"/>
      </w:r>
      <w:r w:rsidR="00C50A18" w:rsidRPr="0017165A">
        <w:rPr>
          <w:rFonts w:cs="Arial"/>
          <w:szCs w:val="24"/>
        </w:rPr>
        <w:t>(</w:t>
      </w:r>
      <w:proofErr w:type="spellStart"/>
      <w:r w:rsidR="00C50A18" w:rsidRPr="0017165A">
        <w:rPr>
          <w:rFonts w:cs="Arial"/>
          <w:i/>
          <w:iCs/>
          <w:szCs w:val="24"/>
        </w:rPr>
        <w:t>D.lgs</w:t>
      </w:r>
      <w:proofErr w:type="spellEnd"/>
      <w:r w:rsidR="00C50A18" w:rsidRPr="0017165A">
        <w:rPr>
          <w:rFonts w:cs="Arial"/>
          <w:i/>
          <w:iCs/>
          <w:szCs w:val="24"/>
        </w:rPr>
        <w:t>. n. 183</w:t>
      </w:r>
      <w:r w:rsidR="00C50A18" w:rsidRPr="0017165A">
        <w:rPr>
          <w:rFonts w:cs="Arial"/>
          <w:szCs w:val="24"/>
        </w:rPr>
        <w:t>)</w:t>
      </w:r>
      <w:r w:rsidR="00C50A18" w:rsidRPr="0017165A">
        <w:fldChar w:fldCharType="end"/>
      </w:r>
      <w:r w:rsidR="00C50A18" w:rsidRPr="0017165A">
        <w:t xml:space="preserve">. In the M load condition and -15 °CAD </w:t>
      </w:r>
      <w:r w:rsidR="00C50A18" w:rsidRPr="0017165A">
        <w:lastRenderedPageBreak/>
        <w:t xml:space="preserve">spark advance, a high variability is found in the determination of CO due to a sudden and fast load variation, so the data were recalculated only in the times with a </w:t>
      </w:r>
      <w:proofErr w:type="gramStart"/>
      <w:r w:rsidR="00C50A18" w:rsidRPr="0017165A">
        <w:t>fairly constant</w:t>
      </w:r>
      <w:proofErr w:type="gramEnd"/>
      <w:r w:rsidR="00C50A18" w:rsidRPr="0017165A">
        <w:t xml:space="preserve"> load condition.</w:t>
      </w:r>
    </w:p>
    <w:tbl>
      <w:tblPr>
        <w:tblW w:w="0" w:type="auto"/>
        <w:jc w:val="center"/>
        <w:tblLook w:val="04A0" w:firstRow="1" w:lastRow="0" w:firstColumn="1" w:lastColumn="0" w:noHBand="0" w:noVBand="1"/>
      </w:tblPr>
      <w:tblGrid>
        <w:gridCol w:w="4247"/>
        <w:gridCol w:w="4247"/>
      </w:tblGrid>
      <w:tr w:rsidR="003B1A2A" w:rsidRPr="004A48CB" w14:paraId="0661976E" w14:textId="77777777" w:rsidTr="0017165A">
        <w:trPr>
          <w:jc w:val="center"/>
        </w:trPr>
        <w:tc>
          <w:tcPr>
            <w:tcW w:w="4247" w:type="dxa"/>
            <w:vAlign w:val="center"/>
          </w:tcPr>
          <w:p w14:paraId="0843CEB0" w14:textId="2B8A60DC" w:rsidR="003B1A2A" w:rsidRPr="004A48CB" w:rsidRDefault="007A1D05" w:rsidP="009073BD">
            <w:pPr>
              <w:rPr>
                <w:lang w:eastAsia="it-IT"/>
              </w:rPr>
            </w:pPr>
            <w:r>
              <w:rPr>
                <w:noProof/>
                <w:lang w:eastAsia="it-IT"/>
              </w:rPr>
              <w:drawing>
                <wp:inline distT="0" distB="0" distL="0" distR="0" wp14:anchorId="732197E5" wp14:editId="35672512">
                  <wp:extent cx="2520000" cy="1612329"/>
                  <wp:effectExtent l="19050" t="19050" r="13970" b="2603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0000" cy="1612329"/>
                          </a:xfrm>
                          <a:prstGeom prst="rect">
                            <a:avLst/>
                          </a:prstGeom>
                          <a:noFill/>
                          <a:ln>
                            <a:solidFill>
                              <a:schemeClr val="tx1"/>
                            </a:solidFill>
                          </a:ln>
                        </pic:spPr>
                      </pic:pic>
                    </a:graphicData>
                  </a:graphic>
                </wp:inline>
              </w:drawing>
            </w:r>
          </w:p>
        </w:tc>
        <w:tc>
          <w:tcPr>
            <w:tcW w:w="4247" w:type="dxa"/>
            <w:vAlign w:val="center"/>
          </w:tcPr>
          <w:p w14:paraId="2C5CFCF9" w14:textId="03D64DF8" w:rsidR="003B1A2A" w:rsidRPr="004A48CB" w:rsidRDefault="007A1D05" w:rsidP="00D52627">
            <w:pPr>
              <w:jc w:val="center"/>
              <w:rPr>
                <w:lang w:eastAsia="it-IT"/>
              </w:rPr>
            </w:pPr>
            <w:r>
              <w:rPr>
                <w:noProof/>
                <w:lang w:eastAsia="it-IT"/>
              </w:rPr>
              <w:drawing>
                <wp:inline distT="0" distB="0" distL="0" distR="0" wp14:anchorId="5BCB80DB" wp14:editId="5500728E">
                  <wp:extent cx="2520000" cy="1610788"/>
                  <wp:effectExtent l="19050" t="19050" r="13970" b="2794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0000" cy="1610788"/>
                          </a:xfrm>
                          <a:prstGeom prst="rect">
                            <a:avLst/>
                          </a:prstGeom>
                          <a:noFill/>
                          <a:ln>
                            <a:solidFill>
                              <a:schemeClr val="tx1"/>
                            </a:solidFill>
                          </a:ln>
                        </pic:spPr>
                      </pic:pic>
                    </a:graphicData>
                  </a:graphic>
                </wp:inline>
              </w:drawing>
            </w:r>
          </w:p>
        </w:tc>
      </w:tr>
      <w:tr w:rsidR="003B1A2A" w:rsidRPr="004A48CB" w14:paraId="01845F99" w14:textId="77777777" w:rsidTr="0017165A">
        <w:trPr>
          <w:jc w:val="center"/>
        </w:trPr>
        <w:tc>
          <w:tcPr>
            <w:tcW w:w="8494" w:type="dxa"/>
            <w:gridSpan w:val="2"/>
            <w:vAlign w:val="center"/>
          </w:tcPr>
          <w:p w14:paraId="68FB0890" w14:textId="77777777" w:rsidR="003B1A2A" w:rsidRPr="004A48CB" w:rsidRDefault="003B1A2A" w:rsidP="00D52627">
            <w:pPr>
              <w:jc w:val="center"/>
              <w:rPr>
                <w:noProof/>
                <w:lang w:eastAsia="it-IT"/>
              </w:rPr>
            </w:pPr>
            <w:r w:rsidRPr="004A48CB">
              <w:rPr>
                <w:noProof/>
                <w:lang w:eastAsia="it-IT"/>
              </w:rPr>
              <w:t>a)</w:t>
            </w:r>
          </w:p>
        </w:tc>
      </w:tr>
      <w:tr w:rsidR="003B1A2A" w:rsidRPr="004A48CB" w14:paraId="36C5E760" w14:textId="77777777" w:rsidTr="0017165A">
        <w:trPr>
          <w:jc w:val="center"/>
        </w:trPr>
        <w:tc>
          <w:tcPr>
            <w:tcW w:w="4247" w:type="dxa"/>
            <w:vAlign w:val="center"/>
          </w:tcPr>
          <w:p w14:paraId="4E54178B" w14:textId="6B82F59F" w:rsidR="003B1A2A" w:rsidRPr="004A48CB" w:rsidRDefault="007A1D05" w:rsidP="00D52627">
            <w:pPr>
              <w:jc w:val="center"/>
              <w:rPr>
                <w:lang w:eastAsia="it-IT"/>
              </w:rPr>
            </w:pPr>
            <w:r>
              <w:rPr>
                <w:noProof/>
                <w:lang w:eastAsia="it-IT"/>
              </w:rPr>
              <w:drawing>
                <wp:inline distT="0" distB="0" distL="0" distR="0" wp14:anchorId="1A15C0E3" wp14:editId="4F957C23">
                  <wp:extent cx="2520000" cy="1607374"/>
                  <wp:effectExtent l="19050" t="19050" r="13970" b="1206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0000" cy="1607374"/>
                          </a:xfrm>
                          <a:prstGeom prst="rect">
                            <a:avLst/>
                          </a:prstGeom>
                          <a:noFill/>
                          <a:ln>
                            <a:solidFill>
                              <a:schemeClr val="tx1"/>
                            </a:solidFill>
                          </a:ln>
                        </pic:spPr>
                      </pic:pic>
                    </a:graphicData>
                  </a:graphic>
                </wp:inline>
              </w:drawing>
            </w:r>
          </w:p>
        </w:tc>
        <w:tc>
          <w:tcPr>
            <w:tcW w:w="4247" w:type="dxa"/>
            <w:vAlign w:val="center"/>
          </w:tcPr>
          <w:p w14:paraId="0B181AB9" w14:textId="4E4BBB97" w:rsidR="003B1A2A" w:rsidRPr="004A48CB" w:rsidRDefault="007A1D05" w:rsidP="00D52627">
            <w:pPr>
              <w:jc w:val="center"/>
              <w:rPr>
                <w:lang w:eastAsia="it-IT"/>
              </w:rPr>
            </w:pPr>
            <w:r>
              <w:rPr>
                <w:noProof/>
                <w:lang w:eastAsia="it-IT"/>
              </w:rPr>
              <w:drawing>
                <wp:inline distT="0" distB="0" distL="0" distR="0" wp14:anchorId="5299ADBD" wp14:editId="389E2352">
                  <wp:extent cx="2520000" cy="1604704"/>
                  <wp:effectExtent l="19050" t="19050" r="13970" b="1460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0000" cy="1604704"/>
                          </a:xfrm>
                          <a:prstGeom prst="rect">
                            <a:avLst/>
                          </a:prstGeom>
                          <a:noFill/>
                          <a:ln>
                            <a:solidFill>
                              <a:schemeClr val="tx1"/>
                            </a:solidFill>
                          </a:ln>
                        </pic:spPr>
                      </pic:pic>
                    </a:graphicData>
                  </a:graphic>
                </wp:inline>
              </w:drawing>
            </w:r>
          </w:p>
        </w:tc>
      </w:tr>
      <w:tr w:rsidR="003B1A2A" w:rsidRPr="004A48CB" w14:paraId="74109297" w14:textId="77777777" w:rsidTr="0017165A">
        <w:trPr>
          <w:trHeight w:val="174"/>
          <w:jc w:val="center"/>
        </w:trPr>
        <w:tc>
          <w:tcPr>
            <w:tcW w:w="8494" w:type="dxa"/>
            <w:gridSpan w:val="2"/>
            <w:vAlign w:val="center"/>
          </w:tcPr>
          <w:p w14:paraId="614A223E" w14:textId="77777777" w:rsidR="003B1A2A" w:rsidRPr="004A48CB" w:rsidRDefault="003B1A2A" w:rsidP="00B657CB">
            <w:pPr>
              <w:keepNext/>
              <w:jc w:val="center"/>
              <w:rPr>
                <w:noProof/>
                <w:lang w:eastAsia="it-IT"/>
              </w:rPr>
            </w:pPr>
            <w:r w:rsidRPr="004A48CB">
              <w:rPr>
                <w:noProof/>
                <w:lang w:eastAsia="it-IT"/>
              </w:rPr>
              <w:t>b)</w:t>
            </w:r>
          </w:p>
        </w:tc>
      </w:tr>
      <w:tr w:rsidR="001300CA" w:rsidRPr="004A48CB" w14:paraId="5901355A" w14:textId="77777777" w:rsidTr="0017165A">
        <w:trPr>
          <w:jc w:val="center"/>
        </w:trPr>
        <w:tc>
          <w:tcPr>
            <w:tcW w:w="8494" w:type="dxa"/>
            <w:gridSpan w:val="2"/>
            <w:vAlign w:val="center"/>
          </w:tcPr>
          <w:p w14:paraId="2A6AA9CF" w14:textId="25FE5994" w:rsidR="0017165A" w:rsidRPr="004A48CB" w:rsidRDefault="001300CA" w:rsidP="00C50A18">
            <w:pPr>
              <w:pStyle w:val="CETCaption"/>
              <w:jc w:val="center"/>
              <w:rPr>
                <w:noProof/>
                <w:lang w:eastAsia="it-IT"/>
              </w:rPr>
            </w:pPr>
            <w:r>
              <w:t xml:space="preserve">Figure </w:t>
            </w:r>
            <w:r>
              <w:fldChar w:fldCharType="begin"/>
            </w:r>
            <w:r>
              <w:instrText xml:space="preserve"> SEQ Figure \* ARABIC </w:instrText>
            </w:r>
            <w:r>
              <w:fldChar w:fldCharType="separate"/>
            </w:r>
            <w:r>
              <w:rPr>
                <w:noProof/>
              </w:rPr>
              <w:t>2</w:t>
            </w:r>
            <w:r>
              <w:fldChar w:fldCharType="end"/>
            </w:r>
            <w:r>
              <w:t>:</w:t>
            </w:r>
            <w:r w:rsidRPr="004A48CB">
              <w:t xml:space="preserve"> Exhaust mass flow rate (a)</w:t>
            </w:r>
            <w:r>
              <w:t>,</w:t>
            </w:r>
            <w:r w:rsidRPr="004A48CB">
              <w:t xml:space="preserve"> temperature (b</w:t>
            </w:r>
            <w:r>
              <w:t xml:space="preserve">) </w:t>
            </w:r>
            <w:r w:rsidRPr="004A48CB">
              <w:t>for both processed feedstocks.</w:t>
            </w:r>
          </w:p>
        </w:tc>
      </w:tr>
      <w:tr w:rsidR="0017165A" w:rsidRPr="004A48CB" w14:paraId="74678122" w14:textId="77777777" w:rsidTr="0017165A">
        <w:trPr>
          <w:jc w:val="center"/>
        </w:trPr>
        <w:tc>
          <w:tcPr>
            <w:tcW w:w="4247" w:type="dxa"/>
            <w:vAlign w:val="center"/>
          </w:tcPr>
          <w:p w14:paraId="5F637147" w14:textId="0853F873" w:rsidR="0017165A" w:rsidRDefault="0017165A" w:rsidP="0017165A">
            <w:pPr>
              <w:pStyle w:val="CETCaption"/>
              <w:spacing w:before="0" w:after="0"/>
            </w:pPr>
            <w:r w:rsidRPr="0017165A">
              <w:rPr>
                <w:noProof/>
                <w:lang w:val="it-IT" w:eastAsia="it-IT"/>
              </w:rPr>
              <w:drawing>
                <wp:inline distT="0" distB="0" distL="0" distR="0" wp14:anchorId="186F16B1" wp14:editId="78C63FA4">
                  <wp:extent cx="2520000" cy="1600533"/>
                  <wp:effectExtent l="19050" t="19050" r="13970" b="1905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0000" cy="1600533"/>
                          </a:xfrm>
                          <a:prstGeom prst="rect">
                            <a:avLst/>
                          </a:prstGeom>
                          <a:noFill/>
                          <a:ln>
                            <a:solidFill>
                              <a:schemeClr val="tx1"/>
                            </a:solidFill>
                          </a:ln>
                        </pic:spPr>
                      </pic:pic>
                    </a:graphicData>
                  </a:graphic>
                </wp:inline>
              </w:drawing>
            </w:r>
          </w:p>
        </w:tc>
        <w:tc>
          <w:tcPr>
            <w:tcW w:w="4247" w:type="dxa"/>
            <w:vAlign w:val="center"/>
          </w:tcPr>
          <w:p w14:paraId="6456E3A1" w14:textId="5A7A7C96" w:rsidR="0017165A" w:rsidRDefault="0017165A" w:rsidP="0017165A">
            <w:pPr>
              <w:pStyle w:val="CETCaption"/>
              <w:spacing w:before="0" w:after="0"/>
            </w:pPr>
            <w:r w:rsidRPr="0017165A">
              <w:rPr>
                <w:noProof/>
                <w:lang w:val="it-IT" w:eastAsia="it-IT"/>
              </w:rPr>
              <w:drawing>
                <wp:inline distT="0" distB="0" distL="0" distR="0" wp14:anchorId="280A6F05" wp14:editId="3351D534">
                  <wp:extent cx="2520000" cy="1602216"/>
                  <wp:effectExtent l="19050" t="19050" r="13970" b="1714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0" cy="1602216"/>
                          </a:xfrm>
                          <a:prstGeom prst="rect">
                            <a:avLst/>
                          </a:prstGeom>
                          <a:noFill/>
                          <a:ln>
                            <a:solidFill>
                              <a:schemeClr val="tx1"/>
                            </a:solidFill>
                          </a:ln>
                        </pic:spPr>
                      </pic:pic>
                    </a:graphicData>
                  </a:graphic>
                </wp:inline>
              </w:drawing>
            </w:r>
          </w:p>
        </w:tc>
      </w:tr>
      <w:tr w:rsidR="0017165A" w:rsidRPr="004A48CB" w14:paraId="07279ED3" w14:textId="77777777" w:rsidTr="0017165A">
        <w:trPr>
          <w:jc w:val="center"/>
        </w:trPr>
        <w:tc>
          <w:tcPr>
            <w:tcW w:w="8494" w:type="dxa"/>
            <w:gridSpan w:val="2"/>
            <w:vAlign w:val="center"/>
          </w:tcPr>
          <w:p w14:paraId="0AC6C95D" w14:textId="13401808" w:rsidR="0017165A" w:rsidRPr="0017165A" w:rsidRDefault="0017165A" w:rsidP="0017165A">
            <w:pPr>
              <w:pStyle w:val="CETCaption"/>
              <w:spacing w:before="0" w:after="0"/>
              <w:jc w:val="center"/>
              <w:rPr>
                <w:noProof/>
                <w:lang w:val="it-IT" w:eastAsia="it-IT"/>
              </w:rPr>
            </w:pPr>
            <w:r>
              <w:rPr>
                <w:noProof/>
                <w:lang w:val="it-IT" w:eastAsia="it-IT"/>
              </w:rPr>
              <w:t>a)</w:t>
            </w:r>
          </w:p>
        </w:tc>
      </w:tr>
      <w:tr w:rsidR="0017165A" w:rsidRPr="004A48CB" w14:paraId="58A30418" w14:textId="77777777" w:rsidTr="0017165A">
        <w:trPr>
          <w:jc w:val="center"/>
        </w:trPr>
        <w:tc>
          <w:tcPr>
            <w:tcW w:w="4247" w:type="dxa"/>
            <w:vAlign w:val="center"/>
          </w:tcPr>
          <w:p w14:paraId="4B4F2A51" w14:textId="6F4611EC" w:rsidR="0017165A" w:rsidRDefault="0017165A" w:rsidP="0017165A">
            <w:pPr>
              <w:pStyle w:val="CETCaption"/>
              <w:spacing w:before="0" w:after="0"/>
              <w:jc w:val="center"/>
              <w:rPr>
                <w:noProof/>
                <w:lang w:val="it-IT" w:eastAsia="it-IT"/>
              </w:rPr>
            </w:pPr>
            <w:r w:rsidRPr="0017165A">
              <w:rPr>
                <w:noProof/>
                <w:lang w:val="it-IT" w:eastAsia="it-IT"/>
              </w:rPr>
              <w:drawing>
                <wp:inline distT="0" distB="0" distL="0" distR="0" wp14:anchorId="6E2A7FEB" wp14:editId="6F7A5DDE">
                  <wp:extent cx="2519680" cy="1739524"/>
                  <wp:effectExtent l="19050" t="19050" r="13970" b="1333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6786" cy="1744430"/>
                          </a:xfrm>
                          <a:prstGeom prst="rect">
                            <a:avLst/>
                          </a:prstGeom>
                          <a:noFill/>
                          <a:ln>
                            <a:solidFill>
                              <a:schemeClr val="tx1"/>
                            </a:solidFill>
                          </a:ln>
                        </pic:spPr>
                      </pic:pic>
                    </a:graphicData>
                  </a:graphic>
                </wp:inline>
              </w:drawing>
            </w:r>
          </w:p>
        </w:tc>
        <w:tc>
          <w:tcPr>
            <w:tcW w:w="4247" w:type="dxa"/>
            <w:vAlign w:val="center"/>
          </w:tcPr>
          <w:p w14:paraId="58C6AB35" w14:textId="0DAA255C" w:rsidR="0017165A" w:rsidRDefault="0017165A" w:rsidP="0017165A">
            <w:pPr>
              <w:pStyle w:val="CETCaption"/>
              <w:spacing w:before="0" w:after="0"/>
              <w:jc w:val="center"/>
              <w:rPr>
                <w:noProof/>
                <w:lang w:val="it-IT" w:eastAsia="it-IT"/>
              </w:rPr>
            </w:pPr>
            <w:r w:rsidRPr="0017165A">
              <w:rPr>
                <w:noProof/>
                <w:lang w:val="it-IT" w:eastAsia="it-IT"/>
              </w:rPr>
              <w:drawing>
                <wp:inline distT="0" distB="0" distL="0" distR="0" wp14:anchorId="5367FC0F" wp14:editId="573DA9C8">
                  <wp:extent cx="2519092" cy="1733319"/>
                  <wp:effectExtent l="19050" t="19050" r="14605" b="1968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5466" cy="1737705"/>
                          </a:xfrm>
                          <a:prstGeom prst="rect">
                            <a:avLst/>
                          </a:prstGeom>
                          <a:noFill/>
                          <a:ln>
                            <a:solidFill>
                              <a:schemeClr val="tx1"/>
                            </a:solidFill>
                          </a:ln>
                        </pic:spPr>
                      </pic:pic>
                    </a:graphicData>
                  </a:graphic>
                </wp:inline>
              </w:drawing>
            </w:r>
          </w:p>
        </w:tc>
      </w:tr>
      <w:tr w:rsidR="0017165A" w:rsidRPr="004A48CB" w14:paraId="6277446E" w14:textId="77777777" w:rsidTr="0017165A">
        <w:trPr>
          <w:jc w:val="center"/>
        </w:trPr>
        <w:tc>
          <w:tcPr>
            <w:tcW w:w="8494" w:type="dxa"/>
            <w:gridSpan w:val="2"/>
            <w:vAlign w:val="center"/>
          </w:tcPr>
          <w:p w14:paraId="4DEB99C7" w14:textId="68BCC9F8" w:rsidR="0017165A" w:rsidRDefault="0017165A" w:rsidP="0017165A">
            <w:pPr>
              <w:pStyle w:val="CETCaption"/>
              <w:spacing w:before="0" w:after="0"/>
              <w:jc w:val="center"/>
              <w:rPr>
                <w:noProof/>
                <w:lang w:val="it-IT" w:eastAsia="it-IT"/>
              </w:rPr>
            </w:pPr>
            <w:r>
              <w:rPr>
                <w:noProof/>
                <w:lang w:val="it-IT" w:eastAsia="it-IT"/>
              </w:rPr>
              <w:t>b)</w:t>
            </w:r>
          </w:p>
        </w:tc>
      </w:tr>
    </w:tbl>
    <w:p w14:paraId="3AD4A48A" w14:textId="60D38773" w:rsidR="003B1A2A" w:rsidRPr="004A48CB" w:rsidRDefault="00B657CB" w:rsidP="001300CA">
      <w:pPr>
        <w:pStyle w:val="CETCaption"/>
        <w:jc w:val="center"/>
        <w:rPr>
          <w:lang w:eastAsia="it-IT"/>
        </w:rPr>
      </w:pPr>
      <w:bookmarkStart w:id="5" w:name="_Ref92975637"/>
      <w:bookmarkStart w:id="6" w:name="_Ref92365052"/>
      <w:r w:rsidRPr="0017165A">
        <w:t xml:space="preserve">Figure </w:t>
      </w:r>
      <w:bookmarkEnd w:id="5"/>
      <w:r w:rsidR="001300CA" w:rsidRPr="0017165A">
        <w:t>3</w:t>
      </w:r>
      <w:r w:rsidRPr="0017165A">
        <w:t>:</w:t>
      </w:r>
      <w:bookmarkEnd w:id="6"/>
      <w:r w:rsidR="003B1A2A" w:rsidRPr="0017165A">
        <w:t xml:space="preserve"> </w:t>
      </w:r>
      <w:r w:rsidR="00863B01" w:rsidRPr="0017165A">
        <w:t>CO (</w:t>
      </w:r>
      <w:r w:rsidR="001300CA" w:rsidRPr="0017165A">
        <w:t>a</w:t>
      </w:r>
      <w:r w:rsidR="00863B01" w:rsidRPr="0017165A">
        <w:t>) and NOx (</w:t>
      </w:r>
      <w:r w:rsidR="001300CA" w:rsidRPr="0017165A">
        <w:t>b</w:t>
      </w:r>
      <w:r w:rsidR="00863B01" w:rsidRPr="0017165A">
        <w:t>)</w:t>
      </w:r>
      <w:r w:rsidR="003B1A2A" w:rsidRPr="0017165A">
        <w:t xml:space="preserve"> for both processed feedstocks.</w:t>
      </w:r>
    </w:p>
    <w:p w14:paraId="0EFC9DA0" w14:textId="574BA9C2" w:rsidR="006E3ABB" w:rsidRPr="004A48CB" w:rsidRDefault="0017165A" w:rsidP="006E3ABB">
      <w:pPr>
        <w:pStyle w:val="CETBodytext"/>
        <w:rPr>
          <w:lang w:eastAsia="it-IT"/>
        </w:rPr>
      </w:pPr>
      <w:r w:rsidRPr="0017165A">
        <w:rPr>
          <w:rStyle w:val="CETBodytextCarattere"/>
        </w:rPr>
        <w:lastRenderedPageBreak/>
        <w:t xml:space="preserve">CO and NOx concentrations are not particularly variable with the ignition advance. For </w:t>
      </w:r>
      <w:r w:rsidR="00333CB0">
        <w:rPr>
          <w:rStyle w:val="CETBodytextCarattere"/>
        </w:rPr>
        <w:t>Biomass 1</w:t>
      </w:r>
      <w:r w:rsidRPr="0017165A">
        <w:rPr>
          <w:rStyle w:val="CETBodytextCarattere"/>
        </w:rPr>
        <w:t xml:space="preserve"> CO and NOX emissions are below 70 mg/m</w:t>
      </w:r>
      <w:r w:rsidRPr="0017165A">
        <w:rPr>
          <w:rStyle w:val="CETBodytextCarattere"/>
          <w:vertAlign w:val="superscript"/>
        </w:rPr>
        <w:t>3</w:t>
      </w:r>
      <w:r w:rsidRPr="0017165A">
        <w:rPr>
          <w:rStyle w:val="CETBodytextCarattere"/>
        </w:rPr>
        <w:t xml:space="preserve"> in all tested conditions, below the limits set by</w:t>
      </w:r>
      <w:r w:rsidRPr="0017165A">
        <w:t xml:space="preserve"> </w:t>
      </w:r>
      <w:proofErr w:type="spellStart"/>
      <w:r w:rsidRPr="0017165A">
        <w:t>Dlgs</w:t>
      </w:r>
      <w:proofErr w:type="spellEnd"/>
      <w:r w:rsidRPr="0017165A">
        <w:t>. no. 183</w:t>
      </w:r>
      <w:r>
        <w:t xml:space="preserve">. </w:t>
      </w:r>
      <w:r w:rsidR="00C316D0" w:rsidRPr="004A48CB">
        <w:t xml:space="preserve">Even in the most critical condition for CO, which occurred at M load and advance -15 ° with a sudden load variation, the CO remains below </w:t>
      </w:r>
      <w:r w:rsidR="00D31214">
        <w:t>the limits</w:t>
      </w:r>
      <w:r w:rsidR="00C316D0" w:rsidRPr="004A48CB">
        <w:t>.</w:t>
      </w:r>
      <w:r w:rsidR="006E3ABB">
        <w:t xml:space="preserve"> </w:t>
      </w:r>
      <w:r w:rsidR="006E3ABB" w:rsidRPr="004A48CB">
        <w:t xml:space="preserve">It should be noted that on the </w:t>
      </w:r>
      <w:r w:rsidR="00333CB0">
        <w:t>Biomass 2</w:t>
      </w:r>
      <w:r w:rsidR="006E3ABB" w:rsidRPr="004A48CB">
        <w:t xml:space="preserve"> test day there was a concurrence with a small fire in a close area (south) which influenced the air quality assessment (in terms of CO) and, therefore, also the air </w:t>
      </w:r>
      <w:r w:rsidR="006E3ABB">
        <w:t>sucked</w:t>
      </w:r>
      <w:r w:rsidR="006E3ABB" w:rsidRPr="004A48CB">
        <w:t xml:space="preserve"> by the system itself. Furthermore, there were problems on the lambda control which in some conditions dropped to 0.9.</w:t>
      </w:r>
      <w:r w:rsidR="006E3ABB">
        <w:t xml:space="preserve"> </w:t>
      </w:r>
      <w:r w:rsidR="006E3ABB" w:rsidRPr="004A48CB">
        <w:t xml:space="preserve">In the conducted analyses, it </w:t>
      </w:r>
      <w:r w:rsidR="006E3ABB">
        <w:t>is</w:t>
      </w:r>
      <w:r w:rsidR="006E3ABB" w:rsidRPr="004A48CB">
        <w:t xml:space="preserve"> not always possible to filter the data to eliminate these effects. This is highlighted in the </w:t>
      </w:r>
      <w:r w:rsidR="00333CB0">
        <w:t>Biomass 2</w:t>
      </w:r>
      <w:r w:rsidR="006E3ABB" w:rsidRPr="004A48CB">
        <w:t xml:space="preserve"> CO emission that presents high variability and, in some cases, also overtakes </w:t>
      </w:r>
      <w:r w:rsidR="006E3ABB">
        <w:t xml:space="preserve">Italian </w:t>
      </w:r>
      <w:r w:rsidR="006E3ABB" w:rsidRPr="004A48CB">
        <w:t xml:space="preserve">limits. </w:t>
      </w:r>
      <w:proofErr w:type="gramStart"/>
      <w:r w:rsidR="006E3ABB" w:rsidRPr="004A48CB">
        <w:rPr>
          <w:lang w:eastAsia="it-IT"/>
        </w:rPr>
        <w:t>NOx  for</w:t>
      </w:r>
      <w:proofErr w:type="gramEnd"/>
      <w:r w:rsidR="006E3ABB" w:rsidRPr="004A48CB">
        <w:rPr>
          <w:lang w:eastAsia="it-IT"/>
        </w:rPr>
        <w:t xml:space="preserve"> </w:t>
      </w:r>
      <w:r w:rsidR="00333CB0">
        <w:rPr>
          <w:lang w:eastAsia="it-IT"/>
        </w:rPr>
        <w:t>Biomass 2</w:t>
      </w:r>
      <w:r w:rsidR="006E3ABB" w:rsidRPr="004A48CB">
        <w:rPr>
          <w:lang w:eastAsia="it-IT"/>
        </w:rPr>
        <w:t xml:space="preserve"> </w:t>
      </w:r>
      <w:r w:rsidR="00881EDF" w:rsidRPr="004A48CB">
        <w:rPr>
          <w:lang w:eastAsia="it-IT"/>
        </w:rPr>
        <w:t>w</w:t>
      </w:r>
      <w:r w:rsidR="00881EDF">
        <w:rPr>
          <w:lang w:eastAsia="it-IT"/>
        </w:rPr>
        <w:t>as</w:t>
      </w:r>
      <w:r w:rsidR="00881EDF" w:rsidRPr="004A48CB">
        <w:rPr>
          <w:lang w:eastAsia="it-IT"/>
        </w:rPr>
        <w:t xml:space="preserve"> </w:t>
      </w:r>
      <w:r w:rsidR="006E3ABB" w:rsidRPr="004A48CB">
        <w:rPr>
          <w:lang w:eastAsia="it-IT"/>
        </w:rPr>
        <w:t>always below limits.</w:t>
      </w:r>
    </w:p>
    <w:p w14:paraId="6F1746C0" w14:textId="0570DF92" w:rsidR="003B1A2A" w:rsidRPr="00DC6A87" w:rsidRDefault="003B1A2A" w:rsidP="009D626A">
      <w:pPr>
        <w:pStyle w:val="CETHeading1"/>
      </w:pPr>
      <w:r w:rsidRPr="00DC6A87">
        <w:t xml:space="preserve">Engine sensibility analysis </w:t>
      </w:r>
    </w:p>
    <w:p w14:paraId="221B33EB" w14:textId="32B283F5" w:rsidR="003B1A2A" w:rsidRDefault="003B1A2A" w:rsidP="009D626A">
      <w:pPr>
        <w:pStyle w:val="CETBodytext"/>
        <w:rPr>
          <w:rFonts w:eastAsia="MS Mincho"/>
        </w:rPr>
      </w:pPr>
      <w:r w:rsidRPr="00FA3044">
        <w:rPr>
          <w:rFonts w:eastAsia="MS Mincho"/>
        </w:rPr>
        <w:t xml:space="preserve">The </w:t>
      </w:r>
      <w:r>
        <w:rPr>
          <w:rFonts w:eastAsia="MS Mincho"/>
        </w:rPr>
        <w:t xml:space="preserve">following </w:t>
      </w:r>
      <w:r w:rsidRPr="00FA3044">
        <w:rPr>
          <w:rFonts w:eastAsia="MS Mincho"/>
        </w:rPr>
        <w:t xml:space="preserve">analysis </w:t>
      </w:r>
      <w:r>
        <w:rPr>
          <w:rFonts w:eastAsia="MS Mincho"/>
        </w:rPr>
        <w:t xml:space="preserve">show the engine </w:t>
      </w:r>
      <w:r w:rsidR="00881EDF">
        <w:rPr>
          <w:rFonts w:eastAsia="MS Mincho"/>
        </w:rPr>
        <w:t>response varying</w:t>
      </w:r>
      <w:r>
        <w:rPr>
          <w:rFonts w:eastAsia="MS Mincho"/>
        </w:rPr>
        <w:t xml:space="preserve"> biomasses</w:t>
      </w:r>
      <w:r w:rsidR="00881EDF">
        <w:rPr>
          <w:rFonts w:eastAsia="MS Mincho"/>
        </w:rPr>
        <w:t>,</w:t>
      </w:r>
      <w:r>
        <w:rPr>
          <w:rFonts w:eastAsia="MS Mincho"/>
        </w:rPr>
        <w:t xml:space="preserve"> loads and spark </w:t>
      </w:r>
      <w:r w:rsidR="00881EDF">
        <w:rPr>
          <w:rFonts w:eastAsia="MS Mincho"/>
        </w:rPr>
        <w:t>timing</w:t>
      </w:r>
      <w:r w:rsidRPr="00FA3044">
        <w:rPr>
          <w:rFonts w:eastAsia="MS Mincho"/>
        </w:rPr>
        <w:t xml:space="preserve">. </w:t>
      </w:r>
      <w:r w:rsidR="00DA427A" w:rsidRPr="0017165A">
        <w:rPr>
          <w:rFonts w:eastAsia="MS Mincho"/>
        </w:rPr>
        <w:t>Figure 4</w:t>
      </w:r>
      <w:r w:rsidR="00DA427A" w:rsidRPr="0017165A">
        <w:rPr>
          <w:rFonts w:eastAsia="MS Mincho"/>
          <w:strike/>
        </w:rPr>
        <w:t xml:space="preserve"> </w:t>
      </w:r>
      <w:r w:rsidRPr="0017165A">
        <w:rPr>
          <w:rFonts w:eastAsia="MS Mincho"/>
        </w:rPr>
        <w:t>shows the trend of the Mean Indicated Pressure (IMEP), covariance of the IMEP (IMEP</w:t>
      </w:r>
      <w:r w:rsidRPr="0017165A">
        <w:rPr>
          <w:rFonts w:eastAsia="MS Mincho"/>
          <w:vertAlign w:val="subscript"/>
        </w:rPr>
        <w:t>COV</w:t>
      </w:r>
      <w:r w:rsidRPr="0017165A">
        <w:rPr>
          <w:rFonts w:eastAsia="MS Mincho"/>
        </w:rPr>
        <w:t>), the maximum pressure (P</w:t>
      </w:r>
      <w:r w:rsidRPr="0017165A">
        <w:rPr>
          <w:rFonts w:eastAsia="MS Mincho"/>
          <w:vertAlign w:val="subscript"/>
        </w:rPr>
        <w:t>max</w:t>
      </w:r>
      <w:r w:rsidRPr="0017165A">
        <w:rPr>
          <w:rFonts w:eastAsia="MS Mincho"/>
        </w:rPr>
        <w:t xml:space="preserve">), the combustion </w:t>
      </w:r>
      <w:r w:rsidR="00881EDF" w:rsidRPr="0017165A">
        <w:rPr>
          <w:rFonts w:eastAsia="MS Mincho"/>
        </w:rPr>
        <w:t>phasing</w:t>
      </w:r>
      <w:r w:rsidRPr="0017165A">
        <w:rPr>
          <w:rFonts w:eastAsia="MS Mincho"/>
        </w:rPr>
        <w:t xml:space="preserve"> (MFB50), and the combustion duration (MFB10-90) </w:t>
      </w:r>
      <w:r w:rsidR="00881EDF" w:rsidRPr="0017165A">
        <w:rPr>
          <w:rFonts w:eastAsia="MS Mincho"/>
        </w:rPr>
        <w:t xml:space="preserve">calculated </w:t>
      </w:r>
      <w:r w:rsidRPr="0017165A">
        <w:rPr>
          <w:rFonts w:eastAsia="MS Mincho"/>
        </w:rPr>
        <w:t>from the measured pressure curve in the combustion chamber. MFB50 is defined as the c</w:t>
      </w:r>
      <w:r w:rsidR="00881EDF" w:rsidRPr="0017165A">
        <w:rPr>
          <w:rFonts w:eastAsia="MS Mincho"/>
        </w:rPr>
        <w:t>rank</w:t>
      </w:r>
      <w:r w:rsidRPr="0017165A">
        <w:rPr>
          <w:rFonts w:eastAsia="MS Mincho"/>
        </w:rPr>
        <w:t xml:space="preserve"> angle in which 50% of the fuel is burned. MFB10-90 is the</w:t>
      </w:r>
      <w:r w:rsidR="00881EDF" w:rsidRPr="0017165A">
        <w:rPr>
          <w:rFonts w:eastAsia="MS Mincho"/>
        </w:rPr>
        <w:t xml:space="preserve"> crank angle interval</w:t>
      </w:r>
      <w:r w:rsidRPr="0017165A">
        <w:rPr>
          <w:rFonts w:eastAsia="MS Mincho"/>
        </w:rPr>
        <w:t xml:space="preserve"> between 10% and 90% of the burned </w:t>
      </w:r>
      <w:r w:rsidR="00881EDF" w:rsidRPr="0017165A">
        <w:rPr>
          <w:rFonts w:eastAsia="MS Mincho"/>
        </w:rPr>
        <w:t xml:space="preserve">fuel </w:t>
      </w:r>
      <w:r w:rsidRPr="0017165A">
        <w:rPr>
          <w:rFonts w:eastAsia="MS Mincho"/>
        </w:rPr>
        <w:t>mass.</w:t>
      </w:r>
      <w:r w:rsidR="00D31214" w:rsidRPr="0017165A">
        <w:rPr>
          <w:rFonts w:eastAsia="MS Mincho"/>
        </w:rPr>
        <w:t xml:space="preserve"> The IMEP values fluctuate in the range 1-1.5 bar with a maximum pressure value of about 10 bar</w:t>
      </w:r>
      <w:r w:rsidR="00881EDF" w:rsidRPr="0017165A">
        <w:rPr>
          <w:rFonts w:eastAsia="MS Mincho"/>
        </w:rPr>
        <w:t>, and due to the electrical real-time request from the municipal site</w:t>
      </w:r>
      <w:r w:rsidR="00D31214" w:rsidRPr="0017165A">
        <w:rPr>
          <w:rFonts w:eastAsia="MS Mincho"/>
        </w:rPr>
        <w:t xml:space="preserve">. As regards the </w:t>
      </w:r>
      <w:r w:rsidR="00881EDF" w:rsidRPr="0017165A">
        <w:rPr>
          <w:rFonts w:eastAsia="MS Mincho"/>
        </w:rPr>
        <w:t>IMEP</w:t>
      </w:r>
      <w:r w:rsidR="00881EDF" w:rsidRPr="0017165A">
        <w:rPr>
          <w:rFonts w:eastAsia="MS Mincho"/>
          <w:vertAlign w:val="subscript"/>
        </w:rPr>
        <w:t>COV</w:t>
      </w:r>
      <w:r w:rsidR="00D31214" w:rsidRPr="0017165A">
        <w:rPr>
          <w:rFonts w:eastAsia="MS Mincho"/>
        </w:rPr>
        <w:t xml:space="preserve">, as well as the </w:t>
      </w:r>
      <w:r w:rsidR="00881EDF" w:rsidRPr="0017165A">
        <w:rPr>
          <w:rFonts w:eastAsia="MS Mincho"/>
        </w:rPr>
        <w:t xml:space="preserve">MFB50 </w:t>
      </w:r>
      <w:r w:rsidR="00D31214" w:rsidRPr="0017165A">
        <w:rPr>
          <w:rFonts w:eastAsia="MS Mincho"/>
        </w:rPr>
        <w:t xml:space="preserve">and the </w:t>
      </w:r>
      <w:r w:rsidR="00881EDF" w:rsidRPr="0017165A">
        <w:rPr>
          <w:rFonts w:eastAsia="MS Mincho"/>
        </w:rPr>
        <w:t>MFB10-90</w:t>
      </w:r>
      <w:r w:rsidR="00D31214" w:rsidRPr="0017165A">
        <w:rPr>
          <w:rFonts w:eastAsia="MS Mincho"/>
        </w:rPr>
        <w:t>, an important variability is highlighted</w:t>
      </w:r>
      <w:r w:rsidR="00881EDF" w:rsidRPr="0017165A">
        <w:rPr>
          <w:rFonts w:eastAsia="MS Mincho"/>
        </w:rPr>
        <w:t xml:space="preserve">. They vary </w:t>
      </w:r>
      <w:r w:rsidR="00D31214" w:rsidRPr="0017165A">
        <w:rPr>
          <w:rFonts w:eastAsia="MS Mincho"/>
        </w:rPr>
        <w:t>due to the non-constant syngas composition. Indeed,</w:t>
      </w:r>
      <w:r w:rsidR="00D31214" w:rsidRPr="00FA3044">
        <w:rPr>
          <w:rFonts w:eastAsia="MS Mincho"/>
        </w:rPr>
        <w:t xml:space="preserve"> </w:t>
      </w:r>
      <w:r w:rsidR="00D31214">
        <w:rPr>
          <w:rFonts w:eastAsia="MS Mincho"/>
        </w:rPr>
        <w:t>the</w:t>
      </w:r>
      <w:r w:rsidR="00D31214" w:rsidRPr="00FA3044">
        <w:rPr>
          <w:rFonts w:eastAsia="MS Mincho"/>
        </w:rPr>
        <w:t xml:space="preserve"> covariance</w:t>
      </w:r>
      <w:r w:rsidR="00D31214">
        <w:rPr>
          <w:rFonts w:eastAsia="MS Mincho"/>
        </w:rPr>
        <w:t>, which is indicative of the combustion stability,</w:t>
      </w:r>
      <w:r w:rsidR="00D31214" w:rsidRPr="00FA3044">
        <w:rPr>
          <w:rFonts w:eastAsia="MS Mincho"/>
        </w:rPr>
        <w:t xml:space="preserve"> oscillates between 8-12%</w:t>
      </w:r>
      <w:r w:rsidR="00D31214">
        <w:rPr>
          <w:rFonts w:eastAsia="MS Mincho"/>
        </w:rPr>
        <w:t xml:space="preserve"> for </w:t>
      </w:r>
      <w:r w:rsidR="00333CB0">
        <w:rPr>
          <w:rFonts w:eastAsia="MS Mincho"/>
        </w:rPr>
        <w:t>Biomass 1</w:t>
      </w:r>
      <w:r w:rsidR="00D31214">
        <w:rPr>
          <w:rFonts w:eastAsia="MS Mincho"/>
        </w:rPr>
        <w:t xml:space="preserve"> and 10-13% for </w:t>
      </w:r>
      <w:r w:rsidR="00333CB0">
        <w:rPr>
          <w:rFonts w:eastAsia="MS Mincho"/>
        </w:rPr>
        <w:t>Biomass 2</w:t>
      </w:r>
      <w:r w:rsidR="00D31214">
        <w:rPr>
          <w:rFonts w:eastAsia="MS Mincho"/>
        </w:rPr>
        <w:t>, much higher values c</w:t>
      </w:r>
      <w:r w:rsidR="00D31214" w:rsidRPr="00FA3044">
        <w:rPr>
          <w:rFonts w:eastAsia="MS Mincho"/>
        </w:rPr>
        <w:t xml:space="preserve">ompared to automotive </w:t>
      </w:r>
      <w:r w:rsidR="00D31214">
        <w:rPr>
          <w:rFonts w:eastAsia="MS Mincho"/>
        </w:rPr>
        <w:t xml:space="preserve">or natural gases </w:t>
      </w:r>
      <w:r w:rsidR="00D31214" w:rsidRPr="00FA3044">
        <w:rPr>
          <w:rFonts w:eastAsia="MS Mincho"/>
        </w:rPr>
        <w:t xml:space="preserve">applications, whose maximum values </w:t>
      </w:r>
      <w:r w:rsidR="00D31214">
        <w:rPr>
          <w:rFonts w:eastAsia="MS Mincho"/>
        </w:rPr>
        <w:t>set about</w:t>
      </w:r>
      <w:r w:rsidR="00D31214" w:rsidRPr="00FA3044">
        <w:rPr>
          <w:rFonts w:eastAsia="MS Mincho"/>
        </w:rPr>
        <w:t xml:space="preserve"> 5%</w:t>
      </w:r>
      <w:r w:rsidR="00D31214">
        <w:rPr>
          <w:rFonts w:eastAsia="MS Mincho"/>
        </w:rPr>
        <w:t xml:space="preserve"> </w:t>
      </w:r>
      <w:r w:rsidR="00D31214">
        <w:rPr>
          <w:rFonts w:eastAsia="MS Mincho"/>
        </w:rPr>
        <w:fldChar w:fldCharType="begin"/>
      </w:r>
      <w:r w:rsidR="00005CAC">
        <w:rPr>
          <w:rFonts w:eastAsia="MS Mincho"/>
        </w:rPr>
        <w:instrText xml:space="preserve"> ADDIN ZOTERO_ITEM CSL_CITATION {"citationID":"feLNitdH","properties":{"formattedCitation":"(Heywood, 2018)","plainCitation":"(Heywood, 2018)","noteIndex":0},"citationItems":[{"id":256,"uris":["http://zotero.org/users/local/v2UwehSA/items/3ARMH3BP"],"uri":["http://zotero.org/users/local/v2UwehSA/items/3ARMH3BP"],"itemData":{"id":256,"type":"book","abstract":"&lt;p&gt;The long-awaited revision of the most respected resource on internal combustion engines—covering the basics through advanced operation of spark-ignition and diesel engines.&lt;/p&gt;&lt;p&gt;Written by one of the most recognized and highly regarded names in internal combustion engines, this trusted educational resource and professional reference covers the key physical and chemical processes that govern internal combustion engine operation and design. &lt;i&gt;Internal Combustion Engine Fundamentals,&lt;/i&gt; Second Edition, has been thoroughly revised to cover recent advances, including performance enhancement, efficiency improvements, and emission reduction technologies. Highly illustrated and cross-referenced, the book includes discussions of these engines9 environmental impacts and requirements. You will get complete explanations of spark-ignition and compression-ignition (diesel) engine operating characteristics as well as of engine flow and combustion phenomena and fuel requirements.&lt;/p&gt;&lt;p&gt;Coverage includes:&lt;/p&gt;&lt;p&gt;• Engine types and their operation&lt;/p&gt;&lt;p&gt;• Engine design and operating parameters&lt;/p&gt;&lt;p&gt;• Thermochemistry of fuel-air mixtures&lt;/p&gt;&lt;p&gt;• Properties of working fluids&lt;/p&gt;&lt;p&gt;• Ideal models of engine cycles&lt;/p&gt;&lt;p&gt;• Gas exchange processes&lt;/p&gt;&lt;p&gt;• Mixture preparation in spark-ignition engines&lt;/p&gt;&lt;p&gt;• Charge motion within the cylinder&lt;/p&gt;&lt;p&gt;• Combustion in spark-ignition engines&lt;/p&gt;&lt;p&gt;• Combustion in compression-ignition engines&lt;/p&gt;&lt;p&gt;• Pollutant formation and control&lt;/p&gt;&lt;p&gt;• Engine heat transfer&lt;/p&gt;&lt;p&gt;• Engine friction and lubrication&lt;/p&gt;&lt;p&gt;• Modeling real engine flow and combustion processes&lt;/p&gt;&lt;p&gt;• Engine operating characteristics&lt;/p&gt;","ISBN":"978-1-260-11610-6","language":"en","publisher":"McGraw-Hill Education","source":"www.accessengineeringlibrary.com","title":"Internal Combustion Engine Fundamentals","URL":"https://www.accessengineeringlibrary.com/content/book/9781260116106","author":[{"family":"Heywood","given":"John B."}],"accessed":{"date-parts":[["2021",12,20]]},"issued":{"date-parts":[["2018"]]}}}],"schema":"https://github.com/citation-style-language/schema/raw/master/csl-citation.json"} </w:instrText>
      </w:r>
      <w:r w:rsidR="00D31214">
        <w:rPr>
          <w:rFonts w:eastAsia="MS Mincho"/>
        </w:rPr>
        <w:fldChar w:fldCharType="separate"/>
      </w:r>
      <w:r w:rsidR="00005CAC" w:rsidRPr="00005CAC">
        <w:rPr>
          <w:rFonts w:cs="Arial"/>
        </w:rPr>
        <w:t>(Heywood, 2018)</w:t>
      </w:r>
      <w:r w:rsidR="00D31214">
        <w:rPr>
          <w:rFonts w:eastAsia="MS Mincho"/>
        </w:rPr>
        <w:fldChar w:fldCharType="end"/>
      </w:r>
      <w:r w:rsidR="00D31214" w:rsidRPr="00FA3044">
        <w:rPr>
          <w:rFonts w:eastAsia="MS Mincho"/>
        </w:rPr>
        <w:t xml:space="preserve">. </w:t>
      </w:r>
      <w:r w:rsidR="00881EDF">
        <w:rPr>
          <w:rFonts w:eastAsia="MS Mincho"/>
        </w:rPr>
        <w:t>T</w:t>
      </w:r>
      <w:r w:rsidR="00D31214" w:rsidRPr="00FA3044">
        <w:rPr>
          <w:rFonts w:eastAsia="MS Mincho"/>
        </w:rPr>
        <w:t xml:space="preserve">his </w:t>
      </w:r>
      <w:r w:rsidR="00D31214">
        <w:rPr>
          <w:rFonts w:eastAsia="MS Mincho"/>
        </w:rPr>
        <w:t>instability</w:t>
      </w:r>
      <w:r w:rsidR="00D31214" w:rsidRPr="00FA3044">
        <w:rPr>
          <w:rFonts w:eastAsia="MS Mincho"/>
        </w:rPr>
        <w:t xml:space="preserve"> is partially transferred </w:t>
      </w:r>
      <w:r w:rsidR="00D31214">
        <w:rPr>
          <w:rFonts w:eastAsia="MS Mincho"/>
        </w:rPr>
        <w:t>t</w:t>
      </w:r>
      <w:r w:rsidR="00D31214" w:rsidRPr="00FA3044">
        <w:rPr>
          <w:rFonts w:eastAsia="MS Mincho"/>
        </w:rPr>
        <w:t xml:space="preserve">o </w:t>
      </w:r>
      <w:r w:rsidR="00D31214">
        <w:rPr>
          <w:rFonts w:eastAsia="MS Mincho"/>
        </w:rPr>
        <w:t>M</w:t>
      </w:r>
      <w:r w:rsidR="003A7247">
        <w:rPr>
          <w:rFonts w:eastAsia="MS Mincho"/>
        </w:rPr>
        <w:t>BF</w:t>
      </w:r>
      <w:r w:rsidR="00D31214">
        <w:rPr>
          <w:rFonts w:eastAsia="MS Mincho"/>
        </w:rPr>
        <w:t>10-90 and M</w:t>
      </w:r>
      <w:r w:rsidR="003A7247">
        <w:rPr>
          <w:rFonts w:eastAsia="MS Mincho"/>
        </w:rPr>
        <w:t>BF</w:t>
      </w:r>
      <w:r w:rsidR="00D31214">
        <w:rPr>
          <w:rFonts w:eastAsia="MS Mincho"/>
        </w:rPr>
        <w:t xml:space="preserve">50 </w:t>
      </w:r>
      <w:r w:rsidR="00D31214" w:rsidRPr="00FA3044">
        <w:rPr>
          <w:rFonts w:eastAsia="MS Mincho"/>
        </w:rPr>
        <w:t>values</w:t>
      </w:r>
      <w:r w:rsidR="003A7247">
        <w:rPr>
          <w:rFonts w:eastAsia="MS Mincho"/>
        </w:rPr>
        <w:t>, which highlights a more delayed combustion phase in low loads</w:t>
      </w:r>
      <w:r w:rsidR="00D31214" w:rsidRPr="00FA3044">
        <w:rPr>
          <w:rFonts w:eastAsia="MS Mincho"/>
        </w:rPr>
        <w:t xml:space="preserve">. </w:t>
      </w:r>
    </w:p>
    <w:tbl>
      <w:tblPr>
        <w:tblStyle w:val="Grigliatabel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8"/>
        <w:gridCol w:w="427"/>
        <w:gridCol w:w="4392"/>
      </w:tblGrid>
      <w:tr w:rsidR="00FC002F" w14:paraId="34243988" w14:textId="77777777" w:rsidTr="00754BD7">
        <w:trPr>
          <w:trHeight w:val="4432"/>
        </w:trPr>
        <w:tc>
          <w:tcPr>
            <w:tcW w:w="2501" w:type="pct"/>
            <w:gridSpan w:val="2"/>
            <w:vAlign w:val="center"/>
          </w:tcPr>
          <w:p w14:paraId="0AF1218C" w14:textId="7329E8B1" w:rsidR="00FC002F" w:rsidRDefault="00FC002F" w:rsidP="00754BD7">
            <w:pPr>
              <w:pStyle w:val="CETBodytext"/>
              <w:jc w:val="center"/>
              <w:rPr>
                <w:rFonts w:eastAsia="MS Mincho"/>
              </w:rPr>
            </w:pPr>
            <w:r>
              <w:rPr>
                <w:rFonts w:eastAsia="MS Mincho"/>
                <w:noProof/>
                <w:lang w:val="it-IT" w:eastAsia="it-IT"/>
              </w:rPr>
              <w:drawing>
                <wp:inline distT="0" distB="0" distL="0" distR="0" wp14:anchorId="3661C53C" wp14:editId="4B8441D0">
                  <wp:extent cx="2298065" cy="3302684"/>
                  <wp:effectExtent l="19050" t="19050" r="26035" b="1206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a:picLocks noChangeAspect="1" noChangeArrowheads="1"/>
                          </pic:cNvPicPr>
                        </pic:nvPicPr>
                        <pic:blipFill>
                          <a:blip r:embed="rId23"/>
                          <a:stretch>
                            <a:fillRect/>
                          </a:stretch>
                        </pic:blipFill>
                        <pic:spPr bwMode="auto">
                          <a:xfrm>
                            <a:off x="0" y="0"/>
                            <a:ext cx="2300432" cy="3306085"/>
                          </a:xfrm>
                          <a:prstGeom prst="rect">
                            <a:avLst/>
                          </a:prstGeom>
                          <a:noFill/>
                          <a:ln>
                            <a:solidFill>
                              <a:schemeClr val="tx1"/>
                            </a:solidFill>
                          </a:ln>
                        </pic:spPr>
                      </pic:pic>
                    </a:graphicData>
                  </a:graphic>
                </wp:inline>
              </w:drawing>
            </w:r>
          </w:p>
        </w:tc>
        <w:tc>
          <w:tcPr>
            <w:tcW w:w="2499" w:type="pct"/>
            <w:vAlign w:val="center"/>
          </w:tcPr>
          <w:p w14:paraId="5FA0BA9E" w14:textId="7E9B4763" w:rsidR="00FC002F" w:rsidRDefault="00FC002F" w:rsidP="00754BD7">
            <w:pPr>
              <w:pStyle w:val="CETBodytext"/>
              <w:rPr>
                <w:rFonts w:eastAsia="MS Mincho"/>
              </w:rPr>
            </w:pPr>
            <w:r w:rsidRPr="004A48CB">
              <w:rPr>
                <w:noProof/>
                <w:szCs w:val="26"/>
                <w:lang w:val="it-IT" w:eastAsia="it-IT"/>
              </w:rPr>
              <w:drawing>
                <wp:inline distT="0" distB="0" distL="0" distR="0" wp14:anchorId="1815FB47" wp14:editId="0A1C9190">
                  <wp:extent cx="2081530" cy="3272991"/>
                  <wp:effectExtent l="19050" t="19050" r="13970" b="2286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24"/>
                          <a:stretch>
                            <a:fillRect/>
                          </a:stretch>
                        </pic:blipFill>
                        <pic:spPr bwMode="auto">
                          <a:xfrm>
                            <a:off x="0" y="0"/>
                            <a:ext cx="2104643" cy="3309333"/>
                          </a:xfrm>
                          <a:prstGeom prst="rect">
                            <a:avLst/>
                          </a:prstGeom>
                          <a:noFill/>
                          <a:ln w="12700">
                            <a:solidFill>
                              <a:schemeClr val="tx1"/>
                            </a:solidFill>
                          </a:ln>
                        </pic:spPr>
                      </pic:pic>
                    </a:graphicData>
                  </a:graphic>
                </wp:inline>
              </w:drawing>
            </w:r>
          </w:p>
        </w:tc>
      </w:tr>
      <w:tr w:rsidR="00FC002F" w14:paraId="5EDF0C89" w14:textId="77777777" w:rsidTr="00754BD7">
        <w:trPr>
          <w:trHeight w:val="234"/>
        </w:trPr>
        <w:tc>
          <w:tcPr>
            <w:tcW w:w="2258" w:type="pct"/>
            <w:vAlign w:val="center"/>
          </w:tcPr>
          <w:p w14:paraId="1ADDADA6" w14:textId="45AF6731" w:rsidR="00FC002F" w:rsidRDefault="00FC002F" w:rsidP="00083CAC">
            <w:pPr>
              <w:pStyle w:val="CETBodytext"/>
              <w:jc w:val="center"/>
              <w:rPr>
                <w:rFonts w:eastAsia="MS Mincho"/>
              </w:rPr>
            </w:pPr>
            <w:r>
              <w:rPr>
                <w:rFonts w:eastAsia="MS Mincho"/>
              </w:rPr>
              <w:t>Low load</w:t>
            </w:r>
          </w:p>
        </w:tc>
        <w:tc>
          <w:tcPr>
            <w:tcW w:w="2742" w:type="pct"/>
            <w:gridSpan w:val="2"/>
            <w:vAlign w:val="center"/>
          </w:tcPr>
          <w:p w14:paraId="455B692F" w14:textId="291CACAF" w:rsidR="00FC002F" w:rsidRDefault="00FC002F" w:rsidP="00083CAC">
            <w:pPr>
              <w:pStyle w:val="CETBodytext"/>
              <w:jc w:val="center"/>
              <w:rPr>
                <w:rFonts w:eastAsia="MS Mincho"/>
              </w:rPr>
            </w:pPr>
            <w:r>
              <w:rPr>
                <w:rFonts w:eastAsia="MS Mincho"/>
              </w:rPr>
              <w:t>Medium load</w:t>
            </w:r>
          </w:p>
        </w:tc>
      </w:tr>
    </w:tbl>
    <w:p w14:paraId="5E2E5EC0" w14:textId="654FFFA7" w:rsidR="003B1A2A" w:rsidRPr="004A48CB" w:rsidRDefault="006E3ABB" w:rsidP="00095CFC">
      <w:pPr>
        <w:pStyle w:val="CETCaption"/>
        <w:spacing w:before="0"/>
        <w:rPr>
          <w:rFonts w:eastAsia="MS Mincho"/>
          <w:szCs w:val="26"/>
        </w:rPr>
      </w:pPr>
      <w:bookmarkStart w:id="7" w:name="_Ref92975684"/>
      <w:bookmarkStart w:id="8" w:name="_Ref92529834"/>
      <w:r>
        <w:t xml:space="preserve">Figure </w:t>
      </w:r>
      <w:r>
        <w:fldChar w:fldCharType="begin"/>
      </w:r>
      <w:r>
        <w:instrText xml:space="preserve"> SEQ Figure \* ARABIC </w:instrText>
      </w:r>
      <w:r>
        <w:fldChar w:fldCharType="separate"/>
      </w:r>
      <w:r w:rsidR="00C346D3">
        <w:rPr>
          <w:noProof/>
        </w:rPr>
        <w:t>4</w:t>
      </w:r>
      <w:r>
        <w:fldChar w:fldCharType="end"/>
      </w:r>
      <w:bookmarkEnd w:id="7"/>
      <w:r>
        <w:t>:</w:t>
      </w:r>
      <w:bookmarkEnd w:id="8"/>
      <w:r w:rsidR="003B1A2A" w:rsidRPr="00AD5FF3">
        <w:t xml:space="preserve"> </w:t>
      </w:r>
      <w:r w:rsidR="003B1A2A" w:rsidRPr="00AD5FF3">
        <w:rPr>
          <w:szCs w:val="26"/>
        </w:rPr>
        <w:t>IMEP, IMEP</w:t>
      </w:r>
      <w:r w:rsidR="003B1A2A" w:rsidRPr="00AD5FF3">
        <w:rPr>
          <w:szCs w:val="26"/>
          <w:vertAlign w:val="subscript"/>
        </w:rPr>
        <w:t>COV</w:t>
      </w:r>
      <w:r w:rsidR="003B1A2A" w:rsidRPr="00AD5FF3">
        <w:rPr>
          <w:szCs w:val="26"/>
        </w:rPr>
        <w:t xml:space="preserve">, Pmax, MFB50 </w:t>
      </w:r>
      <w:r w:rsidR="003B1A2A">
        <w:rPr>
          <w:szCs w:val="26"/>
        </w:rPr>
        <w:t>and</w:t>
      </w:r>
      <w:r w:rsidR="003B1A2A" w:rsidRPr="00AD5FF3">
        <w:rPr>
          <w:szCs w:val="26"/>
        </w:rPr>
        <w:t xml:space="preserve"> MFB10-90</w:t>
      </w:r>
      <w:r w:rsidR="003B1A2A">
        <w:rPr>
          <w:szCs w:val="26"/>
        </w:rPr>
        <w:t xml:space="preserve"> for both biomasses (low </w:t>
      </w:r>
      <w:r w:rsidR="00083CAC">
        <w:rPr>
          <w:szCs w:val="26"/>
        </w:rPr>
        <w:t>and medium load</w:t>
      </w:r>
      <w:r w:rsidR="003B1A2A">
        <w:rPr>
          <w:szCs w:val="26"/>
        </w:rPr>
        <w:t>)</w:t>
      </w:r>
      <w:r w:rsidR="003B1A2A" w:rsidRPr="004A48CB">
        <w:rPr>
          <w:szCs w:val="26"/>
        </w:rPr>
        <w:t>.</w:t>
      </w:r>
    </w:p>
    <w:p w14:paraId="26F138C6" w14:textId="2433B41A" w:rsidR="003B1A2A" w:rsidRDefault="003B1A2A" w:rsidP="009D626A">
      <w:pPr>
        <w:pStyle w:val="CETBodytext"/>
        <w:rPr>
          <w:rFonts w:eastAsia="MS Mincho"/>
        </w:rPr>
      </w:pPr>
      <w:r w:rsidRPr="00FA3044">
        <w:rPr>
          <w:rFonts w:eastAsia="MS Mincho"/>
        </w:rPr>
        <w:t xml:space="preserve">For the medium load condition, the thermodynamic efficiency </w:t>
      </w:r>
      <w:r w:rsidR="00BF2CE3" w:rsidRPr="00FA3044">
        <w:rPr>
          <w:rFonts w:eastAsia="MS Mincho"/>
        </w:rPr>
        <w:t>trends,</w:t>
      </w:r>
      <w:r>
        <w:rPr>
          <w:rFonts w:eastAsia="MS Mincho"/>
        </w:rPr>
        <w:t xml:space="preserve"> and the combustion main parameters</w:t>
      </w:r>
      <w:r w:rsidRPr="00FA3044">
        <w:rPr>
          <w:rFonts w:eastAsia="MS Mincho"/>
        </w:rPr>
        <w:t xml:space="preserve"> </w:t>
      </w:r>
      <w:r>
        <w:rPr>
          <w:rFonts w:eastAsia="MS Mincho"/>
        </w:rPr>
        <w:t xml:space="preserve">at </w:t>
      </w:r>
      <w:r w:rsidR="00881EDF">
        <w:rPr>
          <w:rFonts w:eastAsia="MS Mincho"/>
        </w:rPr>
        <w:t xml:space="preserve">the </w:t>
      </w:r>
      <w:r>
        <w:rPr>
          <w:rFonts w:eastAsia="MS Mincho"/>
        </w:rPr>
        <w:t xml:space="preserve">different start of spark </w:t>
      </w:r>
      <w:r w:rsidRPr="00FA3044">
        <w:rPr>
          <w:rFonts w:eastAsia="MS Mincho"/>
        </w:rPr>
        <w:t>are shown in</w:t>
      </w:r>
      <w:r w:rsidR="0017165A">
        <w:rPr>
          <w:rFonts w:eastAsia="MS Mincho"/>
        </w:rPr>
        <w:t xml:space="preserve"> </w:t>
      </w:r>
      <w:r w:rsidR="00DA427A" w:rsidRPr="0017165A">
        <w:rPr>
          <w:rFonts w:eastAsia="MS Mincho"/>
        </w:rPr>
        <w:t>Figure 4 (on the right).</w:t>
      </w:r>
      <w:r w:rsidRPr="0017165A">
        <w:rPr>
          <w:rFonts w:eastAsia="MS Mincho"/>
        </w:rPr>
        <w:t xml:space="preserve"> There</w:t>
      </w:r>
      <w:r w:rsidRPr="00FA3044">
        <w:rPr>
          <w:rFonts w:eastAsia="MS Mincho"/>
        </w:rPr>
        <w:t xml:space="preserve"> are no </w:t>
      </w:r>
      <w:r>
        <w:rPr>
          <w:rFonts w:eastAsia="MS Mincho"/>
        </w:rPr>
        <w:t xml:space="preserve">radical </w:t>
      </w:r>
      <w:r w:rsidRPr="00FA3044">
        <w:rPr>
          <w:rFonts w:eastAsia="MS Mincho"/>
        </w:rPr>
        <w:t>differences between the two fuels</w:t>
      </w:r>
      <w:r>
        <w:rPr>
          <w:rFonts w:eastAsia="MS Mincho"/>
        </w:rPr>
        <w:t>; the</w:t>
      </w:r>
      <w:r w:rsidRPr="00FA3044">
        <w:rPr>
          <w:rFonts w:eastAsia="MS Mincho"/>
        </w:rPr>
        <w:t xml:space="preserve"> thermodynamic efficienc</w:t>
      </w:r>
      <w:r w:rsidR="00881EDF">
        <w:rPr>
          <w:rFonts w:eastAsia="MS Mincho"/>
        </w:rPr>
        <w:t>ies</w:t>
      </w:r>
      <w:r w:rsidRPr="00FA3044">
        <w:rPr>
          <w:rFonts w:eastAsia="MS Mincho"/>
        </w:rPr>
        <w:t xml:space="preserve"> are in line with those present in the literature</w:t>
      </w:r>
      <w:r>
        <w:rPr>
          <w:rFonts w:eastAsia="MS Mincho"/>
        </w:rPr>
        <w:t xml:space="preserve"> </w:t>
      </w:r>
      <w:r>
        <w:rPr>
          <w:rFonts w:eastAsia="MS Mincho"/>
        </w:rPr>
        <w:fldChar w:fldCharType="begin"/>
      </w:r>
      <w:r w:rsidR="00005CAC">
        <w:rPr>
          <w:rFonts w:eastAsia="MS Mincho"/>
        </w:rPr>
        <w:instrText xml:space="preserve"> ADDIN ZOTERO_ITEM CSL_CITATION {"citationID":"j2cEhGkW","properties":{"formattedCitation":"(Bates and D\\uc0\\u246{}lle, 2017; Caputo et al., 2019; Costa et al., 2020)","plainCitation":"(Bates and Dölle, 2017; Caputo et al., 2019; Costa et al., 2020)","dontUpdate":true,"noteIndex":0},"citationItems":[{"id":234,"uris":["http://zotero.org/users/local/v2UwehSA/items/YNL9ED5A"],"uri":["http://zotero.org/users/local/v2UwehSA/items/YNL9ED5A"],"itemData":{"id":234,"type":"report","abstract":"Syngas produced from biomass gasification is being increasingly considered as a promising alternative to traditional fuels in Spark-Ignition (SI) Internal Combustion Engines (ICEs). Due to the low energy density and extreme variability in the composition of this gaseous fuel, numerical modeling can","event-place":"Warrendale, PA","genre":"SAE Technical Paper","language":"English","note":"ISSN: 0148-7191, 2688-3627\nDOI: 10.4271/2019-24-0012","number":"2019-24-0012","publisher":"SAE International","publisher-place":"Warrendale, PA","source":"www.sae.org","title":"Multi-Level Modeling of Real Syngas Combustion in a Spark Ignition Engine and Experimental Validation","URL":"https://www.sae.org/publications/technical-papers/content/2019-24-0012/","author":[{"family":"Caputo","given":"Carmine"},{"family":"Cirillo","given":"Domenico"},{"family":"Costa","given":"Michela"},{"family":"Blasio","given":"Gabriele Di"},{"family":"Palma","given":"Maria Di"},{"family":"Piazzullo","given":"Daniele"},{"family":"Vujanović","given":"Milan"}],"accessed":{"date-parts":[["2021",11,16]]},"issued":{"date-parts":[["2019",9,9]]}}},{"id":149,"uris":["http://zotero.org/users/local/v2UwehSA/items/UGA544FS"],"uri":["http://zotero.org/users/local/v2UwehSA/items/UGA544FS"],"itemData":{"id":149,"type":"article-journal","abstract":"Syngas deriving from biomass gasification is receiving increased interest as an alternative fuel in spark ignition (SI) engines for power generation, despite problems related to the variability of its composition and the low energy density. Syngas release from gasifiers is indeed strongly affected by the quality of the feedstock and by the specific features and control strategy of the reactor. The paper considers the possibility to achieve, at the same time, high efficiency and low pollutant emissions of a syngas powered engine by acting on operating variables as the spark timing and the air-to-fuel ratio, with also the possible inclusion of exhaust gas recirculation (EGR). Model-based design and multi-objective optimization methods are applied as a feasible approach to address this issue, hence to improve the energetic and the environmental performances of power generation under a flexible fuel quality. A one-dimensional (1D) model of a naturally aspirated SI engine fuelled by syngas, properly developed and validated through a specific experimental campaign, is here presented to investigate the effect of the main controlling variables on power output and emissions. A proper design of experiment (DoE) space is considered. The 1D model is coupled with a genetic optimization algorithm for the search of the best compromise solution between maximum performance and minimum pollutants amount. The identified optimal solution allows a reduction up to the 50% for both nitrogen oxides and carbon monoxide emissions with a negligible worsening of the power output.","container-title":"Applied Energy","DOI":"10.1016/j.apenergy.2020.115418","ISSN":"0306-2619","journalAbbreviation":"Applied Energy","language":"en","page":"115418","source":"ScienceDirect","title":"Multi-objective optimization of a syngas powered reciprocating engine equipping a combined heat and power unit","URL":"https://www.sciencedirect.com/science/article/pii/S0306261920309302","volume":"275","author":[{"family":"Costa","given":"M."},{"family":"Di Blasio","given":"G."},{"family":"Prati","given":"M. V."},{"family":"Costagliola","given":"M. A."},{"family":"Cirillo","given":"D."},{"family":"La Villetta","given":"M."},{"family":"Caputo","given":"C."},{"family":"Martoriello","given":"G."}],"accessed":{"date-parts":[["2021",10,12]]},"issued":{"date-parts":[["2020",10,1]]}}},{"id":148,"uris":["http://zotero.org/users/local/v2UwehSA/items/3QPA3ACW"],"uri":["http://zotero.org/users/local/v2UwehSA/items/3QPA3ACW"],"itemData":{"id":148,"type":"article-journal","abstract":"Syngas is a comparatively low energy fuel gas that can be utilized in spark ignition and compression ignition (diesel) internal combustion engines manufactured to run on gasoline or diesel fuels to reduce or eliminate the petroleum fuel requirement for the engine. Syngas can be produced from any carbonaceous material including many forms of biomass. Engine power derating when operating with syngas is typically 15% - 40%, less than the difference in energy content between producer gas and petroleum fuel would indicate largely because of the disparity of stoichiometric air-fuel requirements of producer gas and gasoline or diesel fuel.","container-title":"Advances in Research","DOI":"10.9734/AIR/2017/32896","ISSN":"23480394","issue":"1","journalAbbreviation":"AIR","language":"en","page":"1-8","source":"DOI.org (Crossref)","title":"Syngas Use in Internal Combustion Engines - A Review","URL":"http://www.sciencedomain.org/abstract/19280","volume":"10","author":[{"family":"Bates","given":"Richard"},{"family":"Dölle","given":"Klaus"}],"accessed":{"date-parts":[["2021",10,12]]},"issued":{"date-parts":[["2017",1,10]]}}}],"schema":"https://github.com/citation-style-language/schema/raw/master/csl-citation.json"} </w:instrText>
      </w:r>
      <w:r>
        <w:rPr>
          <w:rFonts w:eastAsia="MS Mincho"/>
        </w:rPr>
        <w:fldChar w:fldCharType="separate"/>
      </w:r>
      <w:r w:rsidR="00005CAC" w:rsidRPr="00005CAC">
        <w:rPr>
          <w:rFonts w:cs="Arial"/>
          <w:szCs w:val="24"/>
        </w:rPr>
        <w:t>(Caputo et al., 2019; Costa et al., 2020)</w:t>
      </w:r>
      <w:r>
        <w:rPr>
          <w:rFonts w:eastAsia="MS Mincho"/>
        </w:rPr>
        <w:fldChar w:fldCharType="end"/>
      </w:r>
      <w:r w:rsidRPr="00FA3044">
        <w:rPr>
          <w:rFonts w:eastAsia="MS Mincho"/>
        </w:rPr>
        <w:t>.</w:t>
      </w:r>
      <w:r>
        <w:rPr>
          <w:rFonts w:eastAsia="MS Mincho"/>
        </w:rPr>
        <w:t xml:space="preserve"> T</w:t>
      </w:r>
      <w:r w:rsidRPr="00FA3044">
        <w:rPr>
          <w:rFonts w:eastAsia="MS Mincho"/>
        </w:rPr>
        <w:t xml:space="preserve">hermodynamic efficiency is sensitive to the ignition advance and has an optimal value for both biomasses for </w:t>
      </w:r>
      <w:r w:rsidR="00881EDF">
        <w:rPr>
          <w:rFonts w:eastAsia="MS Mincho"/>
        </w:rPr>
        <w:t>values around</w:t>
      </w:r>
      <w:r w:rsidRPr="00FA3044">
        <w:rPr>
          <w:rFonts w:eastAsia="MS Mincho"/>
        </w:rPr>
        <w:t xml:space="preserve"> 20</w:t>
      </w:r>
      <w:r w:rsidR="00881EDF">
        <w:rPr>
          <w:rFonts w:eastAsia="MS Mincho"/>
        </w:rPr>
        <w:t xml:space="preserve"> crank angle degrees</w:t>
      </w:r>
      <w:r w:rsidRPr="00FA3044">
        <w:rPr>
          <w:rFonts w:eastAsia="MS Mincho"/>
        </w:rPr>
        <w:t xml:space="preserve"> </w:t>
      </w:r>
      <w:proofErr w:type="spellStart"/>
      <w:r w:rsidRPr="00FA3044">
        <w:rPr>
          <w:rFonts w:eastAsia="MS Mincho"/>
        </w:rPr>
        <w:t>aTDC</w:t>
      </w:r>
      <w:proofErr w:type="spellEnd"/>
      <w:r w:rsidRPr="00FA3044">
        <w:rPr>
          <w:rFonts w:eastAsia="MS Mincho"/>
        </w:rPr>
        <w:t xml:space="preserve">. This </w:t>
      </w:r>
      <w:r>
        <w:rPr>
          <w:rFonts w:eastAsia="MS Mincho"/>
        </w:rPr>
        <w:t xml:space="preserve">demonstrates </w:t>
      </w:r>
      <w:r w:rsidRPr="00FA3044">
        <w:rPr>
          <w:rFonts w:eastAsia="MS Mincho"/>
        </w:rPr>
        <w:t xml:space="preserve">the optimal calibration obtained </w:t>
      </w:r>
      <w:r w:rsidR="00881EDF">
        <w:rPr>
          <w:rFonts w:eastAsia="MS Mincho"/>
        </w:rPr>
        <w:t>by</w:t>
      </w:r>
      <w:r w:rsidR="00881EDF" w:rsidRPr="00FA3044">
        <w:rPr>
          <w:rFonts w:eastAsia="MS Mincho"/>
        </w:rPr>
        <w:t xml:space="preserve"> </w:t>
      </w:r>
      <w:r>
        <w:rPr>
          <w:rFonts w:eastAsia="MS Mincho"/>
        </w:rPr>
        <w:t>both numerical models and experimental measurement</w:t>
      </w:r>
      <w:r w:rsidRPr="00FA3044">
        <w:rPr>
          <w:rFonts w:eastAsia="MS Mincho"/>
        </w:rPr>
        <w:t>.</w:t>
      </w:r>
      <w:r w:rsidR="00713976">
        <w:rPr>
          <w:rFonts w:eastAsia="MS Mincho"/>
        </w:rPr>
        <w:t xml:space="preserve"> </w:t>
      </w:r>
      <w:r w:rsidRPr="00FA3044">
        <w:rPr>
          <w:rFonts w:eastAsia="MS Mincho"/>
        </w:rPr>
        <w:t xml:space="preserve">The IMEP values </w:t>
      </w:r>
      <w:r>
        <w:rPr>
          <w:rFonts w:eastAsia="MS Mincho"/>
        </w:rPr>
        <w:t xml:space="preserve">for </w:t>
      </w:r>
      <w:r w:rsidR="00333CB0">
        <w:rPr>
          <w:rFonts w:eastAsia="MS Mincho"/>
        </w:rPr>
        <w:t>Biomass 2</w:t>
      </w:r>
      <w:r w:rsidRPr="00FA3044">
        <w:rPr>
          <w:rFonts w:eastAsia="MS Mincho"/>
        </w:rPr>
        <w:t xml:space="preserve"> are less sensitive to the variation of the </w:t>
      </w:r>
      <w:r>
        <w:rPr>
          <w:rFonts w:eastAsia="MS Mincho"/>
        </w:rPr>
        <w:t xml:space="preserve">spark </w:t>
      </w:r>
      <w:r w:rsidRPr="00FA3044">
        <w:rPr>
          <w:rFonts w:eastAsia="MS Mincho"/>
        </w:rPr>
        <w:t xml:space="preserve">advance. </w:t>
      </w:r>
      <w:r>
        <w:rPr>
          <w:rFonts w:eastAsia="MS Mincho"/>
        </w:rPr>
        <w:t>Indeed,</w:t>
      </w:r>
      <w:r w:rsidRPr="00FA3044">
        <w:rPr>
          <w:rFonts w:eastAsia="MS Mincho"/>
        </w:rPr>
        <w:t xml:space="preserve"> a rather flat trend is observed. Combustion stability, on the other hand, is markedly sensitive to early ignition</w:t>
      </w:r>
      <w:r>
        <w:rPr>
          <w:rFonts w:eastAsia="MS Mincho"/>
        </w:rPr>
        <w:t>s</w:t>
      </w:r>
      <w:r w:rsidRPr="00FA3044">
        <w:rPr>
          <w:rFonts w:eastAsia="MS Mincho"/>
        </w:rPr>
        <w:t xml:space="preserve">, with values almost in line with the previous case (sawdust), except for the most anticipated case. Regarding the maximum </w:t>
      </w:r>
      <w:r>
        <w:rPr>
          <w:rFonts w:eastAsia="MS Mincho"/>
        </w:rPr>
        <w:t xml:space="preserve">peak </w:t>
      </w:r>
      <w:r w:rsidRPr="00FA3044">
        <w:rPr>
          <w:rFonts w:eastAsia="MS Mincho"/>
        </w:rPr>
        <w:t xml:space="preserve">pressure, </w:t>
      </w:r>
      <w:proofErr w:type="gramStart"/>
      <w:r w:rsidRPr="00FA3044">
        <w:rPr>
          <w:rFonts w:eastAsia="MS Mincho"/>
        </w:rPr>
        <w:t>value</w:t>
      </w:r>
      <w:r>
        <w:rPr>
          <w:rFonts w:eastAsia="MS Mincho"/>
        </w:rPr>
        <w:t>s</w:t>
      </w:r>
      <w:proofErr w:type="gramEnd"/>
      <w:r w:rsidRPr="00FA3044">
        <w:rPr>
          <w:rFonts w:eastAsia="MS Mincho"/>
        </w:rPr>
        <w:t xml:space="preserve"> and trend</w:t>
      </w:r>
      <w:r>
        <w:rPr>
          <w:rFonts w:eastAsia="MS Mincho"/>
        </w:rPr>
        <w:t>s</w:t>
      </w:r>
      <w:r w:rsidRPr="00FA3044">
        <w:rPr>
          <w:rFonts w:eastAsia="MS Mincho"/>
        </w:rPr>
        <w:t xml:space="preserve"> between the two fuels </w:t>
      </w:r>
      <w:r w:rsidRPr="00FA3044">
        <w:rPr>
          <w:rFonts w:eastAsia="MS Mincho"/>
        </w:rPr>
        <w:lastRenderedPageBreak/>
        <w:t>are aligned</w:t>
      </w:r>
      <w:r>
        <w:rPr>
          <w:rFonts w:eastAsia="MS Mincho"/>
        </w:rPr>
        <w:t>.</w:t>
      </w:r>
      <w:r w:rsidRPr="00FA3044">
        <w:rPr>
          <w:rFonts w:eastAsia="MS Mincho"/>
        </w:rPr>
        <w:t xml:space="preserve"> </w:t>
      </w:r>
      <w:r>
        <w:rPr>
          <w:rFonts w:eastAsia="MS Mincho"/>
        </w:rPr>
        <w:t>MFB50 is in line with the low load cases</w:t>
      </w:r>
      <w:r w:rsidRPr="00FA3044">
        <w:rPr>
          <w:rFonts w:eastAsia="MS Mincho"/>
        </w:rPr>
        <w:t xml:space="preserve">. </w:t>
      </w:r>
      <w:r>
        <w:rPr>
          <w:rFonts w:eastAsia="MS Mincho"/>
        </w:rPr>
        <w:t xml:space="preserve">Syngas deriving from </w:t>
      </w:r>
      <w:r w:rsidR="00333CB0">
        <w:rPr>
          <w:rFonts w:eastAsia="MS Mincho"/>
        </w:rPr>
        <w:t>Biomass 1</w:t>
      </w:r>
      <w:r>
        <w:rPr>
          <w:rFonts w:eastAsia="MS Mincho"/>
        </w:rPr>
        <w:t xml:space="preserve"> presents a higher burn duration than </w:t>
      </w:r>
      <w:r w:rsidR="00333CB0">
        <w:rPr>
          <w:rFonts w:eastAsia="MS Mincho"/>
        </w:rPr>
        <w:t>Biomass 1</w:t>
      </w:r>
      <w:r>
        <w:rPr>
          <w:rFonts w:eastAsia="MS Mincho"/>
        </w:rPr>
        <w:t xml:space="preserve"> for all spark advances.</w:t>
      </w:r>
    </w:p>
    <w:p w14:paraId="54C5AAC7" w14:textId="2A986997" w:rsidR="00083CAC" w:rsidRDefault="00083CAC" w:rsidP="00083CAC">
      <w:pPr>
        <w:pStyle w:val="CETHeading1"/>
        <w:rPr>
          <w:rFonts w:eastAsia="MS Mincho"/>
        </w:rPr>
      </w:pPr>
      <w:r>
        <w:rPr>
          <w:rFonts w:eastAsia="MS Mincho"/>
        </w:rPr>
        <w:t xml:space="preserve">Air assessment analysis </w:t>
      </w:r>
    </w:p>
    <w:p w14:paraId="339F2D29" w14:textId="470D221B" w:rsidR="00C944C7" w:rsidRPr="00C50A18" w:rsidRDefault="00C944C7" w:rsidP="00C944C7">
      <w:pPr>
        <w:pStyle w:val="CETBodytext"/>
      </w:pPr>
      <w:r w:rsidRPr="00B70D67">
        <w:t xml:space="preserve">The </w:t>
      </w:r>
      <w:r>
        <w:t>air quality assessment analysis i</w:t>
      </w:r>
      <w:r w:rsidRPr="00B70D67">
        <w:t xml:space="preserve">s carried out </w:t>
      </w:r>
      <w:r>
        <w:t>for both test days</w:t>
      </w:r>
      <w:r w:rsidRPr="00B70D67">
        <w:t xml:space="preserve"> and </w:t>
      </w:r>
      <w:r>
        <w:t>ETL-One is leaved in its position</w:t>
      </w:r>
      <w:r w:rsidRPr="00B70D67">
        <w:t xml:space="preserve"> </w:t>
      </w:r>
      <w:r>
        <w:t>over</w:t>
      </w:r>
      <w:r w:rsidRPr="00B70D67">
        <w:t xml:space="preserve">night, with the system </w:t>
      </w:r>
      <w:r>
        <w:t xml:space="preserve">shut </w:t>
      </w:r>
      <w:r w:rsidRPr="00B70D67">
        <w:t xml:space="preserve">off, to have </w:t>
      </w:r>
      <w:r>
        <w:t>the full-scale</w:t>
      </w:r>
      <w:r w:rsidRPr="00B70D67">
        <w:t xml:space="preserve"> measurement</w:t>
      </w:r>
      <w:r>
        <w:t xml:space="preserve"> to understand the effect of the installation of </w:t>
      </w:r>
      <w:r w:rsidR="00BF2CE3">
        <w:t>the micro-cogeneration system</w:t>
      </w:r>
      <w:r>
        <w:t xml:space="preserve"> in the area</w:t>
      </w:r>
      <w:r w:rsidRPr="00B70D67">
        <w:t>.</w:t>
      </w:r>
      <w:r w:rsidR="00BF2CE3">
        <w:t xml:space="preserve"> </w:t>
      </w:r>
      <w:r w:rsidRPr="00B70D67">
        <w:t>The hourly average concentrations of carbon monoxide (CO), nitrogen dioxide (NO</w:t>
      </w:r>
      <w:r w:rsidRPr="006A1652">
        <w:rPr>
          <w:vertAlign w:val="subscript"/>
        </w:rPr>
        <w:t>2</w:t>
      </w:r>
      <w:r w:rsidRPr="00B70D67">
        <w:t>), benzene (C</w:t>
      </w:r>
      <w:r w:rsidRPr="006A1652">
        <w:rPr>
          <w:vertAlign w:val="subscript"/>
        </w:rPr>
        <w:t>6</w:t>
      </w:r>
      <w:r w:rsidRPr="00B70D67">
        <w:t>H</w:t>
      </w:r>
      <w:r w:rsidRPr="006A1652">
        <w:rPr>
          <w:vertAlign w:val="subscript"/>
        </w:rPr>
        <w:t>6</w:t>
      </w:r>
      <w:r w:rsidRPr="00B70D67">
        <w:t>), ozone (O</w:t>
      </w:r>
      <w:r w:rsidRPr="006A1652">
        <w:rPr>
          <w:vertAlign w:val="subscript"/>
        </w:rPr>
        <w:t>3</w:t>
      </w:r>
      <w:r w:rsidRPr="00B70D67">
        <w:t>) and dust (PM</w:t>
      </w:r>
      <w:r>
        <w:t>10</w:t>
      </w:r>
      <w:r w:rsidRPr="00B70D67">
        <w:t xml:space="preserve">) </w:t>
      </w:r>
      <w:r>
        <w:t>a</w:t>
      </w:r>
      <w:r w:rsidRPr="00B70D67">
        <w:t>re obtained</w:t>
      </w:r>
      <w:r>
        <w:t xml:space="preserve"> for both test </w:t>
      </w:r>
      <w:proofErr w:type="spellStart"/>
      <w:proofErr w:type="gramStart"/>
      <w:r>
        <w:t>days</w:t>
      </w:r>
      <w:r w:rsidRPr="00B70D67">
        <w:t>.</w:t>
      </w:r>
      <w:r w:rsidRPr="006A1652">
        <w:t>The</w:t>
      </w:r>
      <w:proofErr w:type="spellEnd"/>
      <w:proofErr w:type="gramEnd"/>
      <w:r w:rsidRPr="006A1652">
        <w:t xml:space="preserve"> following </w:t>
      </w:r>
      <w:r w:rsidR="00DA427A" w:rsidRPr="00C50A18">
        <w:t xml:space="preserve">Table 4 </w:t>
      </w:r>
      <w:r w:rsidRPr="00C50A18">
        <w:t xml:space="preserve">shows the hourly average measured concentrations measured in </w:t>
      </w:r>
      <w:r w:rsidRPr="00C50A18">
        <w:rPr>
          <w:rFonts w:ascii="Symbol" w:hAnsi="Symbol"/>
          <w:szCs w:val="26"/>
        </w:rPr>
        <w:t></w:t>
      </w:r>
      <w:r w:rsidRPr="00C50A18">
        <w:rPr>
          <w:szCs w:val="26"/>
        </w:rPr>
        <w:t>g/m</w:t>
      </w:r>
      <w:r w:rsidRPr="00C50A18">
        <w:rPr>
          <w:szCs w:val="26"/>
          <w:vertAlign w:val="superscript"/>
        </w:rPr>
        <w:t>3</w:t>
      </w:r>
      <w:r w:rsidRPr="00C50A18">
        <w:t>.</w:t>
      </w:r>
      <w:r w:rsidR="00C50A18" w:rsidRPr="00C50A18">
        <w:t xml:space="preserve"> A conclusion that can be drawn in relation to the environmental impact of the CMD ECO20x </w:t>
      </w:r>
      <w:proofErr w:type="spellStart"/>
      <w:r w:rsidR="00C50A18" w:rsidRPr="00C50A18">
        <w:t>mCHP</w:t>
      </w:r>
      <w:proofErr w:type="spellEnd"/>
      <w:r w:rsidR="00C50A18" w:rsidRPr="00C50A18">
        <w:t xml:space="preserve"> system, it seems not to influence the air quality. </w:t>
      </w:r>
    </w:p>
    <w:p w14:paraId="2AAD46B1" w14:textId="32057DB1" w:rsidR="00BF2CE3" w:rsidRPr="00C50A18" w:rsidRDefault="00BF2CE3" w:rsidP="00C50A18">
      <w:pPr>
        <w:pStyle w:val="CETTabletitle"/>
        <w:spacing w:before="200"/>
      </w:pPr>
      <w:bookmarkStart w:id="9" w:name="_Ref92978732"/>
      <w:r w:rsidRPr="00C50A18">
        <w:t xml:space="preserve">Table </w:t>
      </w:r>
      <w:bookmarkEnd w:id="9"/>
      <w:r w:rsidR="00DA427A" w:rsidRPr="00C50A18">
        <w:t>4</w:t>
      </w:r>
      <w:r w:rsidRPr="00C50A18">
        <w:t>: Air quality assessment during the two test days and full-scale measurement.</w:t>
      </w:r>
    </w:p>
    <w:tbl>
      <w:tblPr>
        <w:tblW w:w="0" w:type="auto"/>
        <w:jc w:val="center"/>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01"/>
        <w:gridCol w:w="1715"/>
        <w:gridCol w:w="1715"/>
        <w:gridCol w:w="1162"/>
        <w:gridCol w:w="1162"/>
        <w:gridCol w:w="1162"/>
      </w:tblGrid>
      <w:tr w:rsidR="00BF2CE3" w:rsidRPr="00C50A18" w14:paraId="142512DF" w14:textId="042E5381" w:rsidTr="00BF2CE3">
        <w:trPr>
          <w:trHeight w:val="237"/>
          <w:jc w:val="center"/>
        </w:trPr>
        <w:tc>
          <w:tcPr>
            <w:tcW w:w="1801" w:type="dxa"/>
            <w:tcBorders>
              <w:top w:val="single" w:sz="12" w:space="0" w:color="008000"/>
              <w:bottom w:val="single" w:sz="6" w:space="0" w:color="008000"/>
            </w:tcBorders>
            <w:shd w:val="clear" w:color="auto" w:fill="FFFFFF"/>
            <w:vAlign w:val="center"/>
          </w:tcPr>
          <w:p w14:paraId="3BD95439" w14:textId="650C4C20" w:rsidR="00BF2CE3" w:rsidRPr="00C50A18" w:rsidRDefault="00BF2CE3" w:rsidP="00C50A18">
            <w:pPr>
              <w:spacing w:line="240" w:lineRule="auto"/>
              <w:jc w:val="center"/>
            </w:pPr>
            <w:r w:rsidRPr="00C50A18">
              <w:t>-</w:t>
            </w:r>
          </w:p>
        </w:tc>
        <w:tc>
          <w:tcPr>
            <w:tcW w:w="1715" w:type="dxa"/>
            <w:tcBorders>
              <w:top w:val="single" w:sz="12" w:space="0" w:color="008000"/>
              <w:bottom w:val="single" w:sz="6" w:space="0" w:color="008000"/>
            </w:tcBorders>
            <w:shd w:val="clear" w:color="auto" w:fill="FFFFFF"/>
            <w:vAlign w:val="center"/>
          </w:tcPr>
          <w:p w14:paraId="1B80E15B" w14:textId="5DD7487B" w:rsidR="00BF2CE3" w:rsidRPr="00C50A18" w:rsidRDefault="00BF2CE3" w:rsidP="00C50A18">
            <w:pPr>
              <w:pStyle w:val="CETBodytext"/>
              <w:spacing w:line="240" w:lineRule="auto"/>
              <w:jc w:val="center"/>
              <w:rPr>
                <w:lang w:val="en-GB"/>
              </w:rPr>
            </w:pPr>
            <w:r w:rsidRPr="00C50A18">
              <w:t>CO (</w:t>
            </w:r>
            <w:r w:rsidRPr="00C50A18">
              <w:rPr>
                <w:rFonts w:ascii="Symbol" w:hAnsi="Symbol"/>
                <w:szCs w:val="26"/>
              </w:rPr>
              <w:t></w:t>
            </w:r>
            <w:r w:rsidRPr="00C50A18">
              <w:t>g/m</w:t>
            </w:r>
            <w:r w:rsidRPr="00C50A18">
              <w:rPr>
                <w:vertAlign w:val="superscript"/>
              </w:rPr>
              <w:t>3</w:t>
            </w:r>
            <w:r w:rsidRPr="00C50A18">
              <w:t>)</w:t>
            </w:r>
          </w:p>
        </w:tc>
        <w:tc>
          <w:tcPr>
            <w:tcW w:w="1715" w:type="dxa"/>
            <w:tcBorders>
              <w:top w:val="single" w:sz="12" w:space="0" w:color="008000"/>
              <w:bottom w:val="single" w:sz="6" w:space="0" w:color="008000"/>
            </w:tcBorders>
            <w:shd w:val="clear" w:color="auto" w:fill="FFFFFF"/>
            <w:vAlign w:val="center"/>
          </w:tcPr>
          <w:p w14:paraId="3A5220F2" w14:textId="718E48A4" w:rsidR="00BF2CE3" w:rsidRPr="00C50A18" w:rsidRDefault="00BF2CE3" w:rsidP="00C50A18">
            <w:pPr>
              <w:pStyle w:val="CETBodytext"/>
              <w:spacing w:line="240" w:lineRule="auto"/>
              <w:jc w:val="center"/>
              <w:rPr>
                <w:lang w:val="en-GB"/>
              </w:rPr>
            </w:pPr>
            <w:r w:rsidRPr="00C50A18">
              <w:t>NO</w:t>
            </w:r>
            <w:r w:rsidRPr="00C50A18">
              <w:rPr>
                <w:vertAlign w:val="subscript"/>
              </w:rPr>
              <w:t xml:space="preserve">2 </w:t>
            </w:r>
            <w:r w:rsidRPr="00C50A18">
              <w:t>(</w:t>
            </w:r>
            <w:r w:rsidRPr="00C50A18">
              <w:rPr>
                <w:rFonts w:ascii="Symbol" w:hAnsi="Symbol"/>
                <w:szCs w:val="26"/>
              </w:rPr>
              <w:t></w:t>
            </w:r>
            <w:r w:rsidRPr="00C50A18">
              <w:t>g/m</w:t>
            </w:r>
            <w:r w:rsidRPr="00C50A18">
              <w:rPr>
                <w:vertAlign w:val="superscript"/>
              </w:rPr>
              <w:t>3</w:t>
            </w:r>
            <w:r w:rsidRPr="00C50A18">
              <w:t>)</w:t>
            </w:r>
          </w:p>
        </w:tc>
        <w:tc>
          <w:tcPr>
            <w:tcW w:w="1162" w:type="dxa"/>
            <w:tcBorders>
              <w:top w:val="single" w:sz="12" w:space="0" w:color="008000"/>
              <w:bottom w:val="single" w:sz="6" w:space="0" w:color="008000"/>
            </w:tcBorders>
            <w:shd w:val="clear" w:color="auto" w:fill="FFFFFF"/>
            <w:vAlign w:val="center"/>
          </w:tcPr>
          <w:p w14:paraId="7BC6C94A" w14:textId="753753C8" w:rsidR="00BF2CE3" w:rsidRPr="00C50A18" w:rsidRDefault="00BF2CE3" w:rsidP="00C50A18">
            <w:pPr>
              <w:pStyle w:val="CETBodytext"/>
              <w:spacing w:line="240" w:lineRule="auto"/>
              <w:jc w:val="center"/>
              <w:rPr>
                <w:rFonts w:cs="Arial"/>
                <w:szCs w:val="18"/>
                <w:lang w:val="en-GB"/>
              </w:rPr>
            </w:pPr>
            <w:r w:rsidRPr="00C50A18">
              <w:t>C</w:t>
            </w:r>
            <w:r w:rsidRPr="00C50A18">
              <w:rPr>
                <w:vertAlign w:val="subscript"/>
              </w:rPr>
              <w:t>6</w:t>
            </w:r>
            <w:r w:rsidRPr="00C50A18">
              <w:t>H</w:t>
            </w:r>
            <w:r w:rsidRPr="00C50A18">
              <w:rPr>
                <w:vertAlign w:val="subscript"/>
              </w:rPr>
              <w:t xml:space="preserve">6 </w:t>
            </w:r>
            <w:r w:rsidRPr="00C50A18">
              <w:t>(</w:t>
            </w:r>
            <w:r w:rsidRPr="00C50A18">
              <w:rPr>
                <w:rFonts w:ascii="Symbol" w:hAnsi="Symbol"/>
                <w:szCs w:val="26"/>
              </w:rPr>
              <w:t></w:t>
            </w:r>
            <w:r w:rsidRPr="00C50A18">
              <w:t>g/m</w:t>
            </w:r>
            <w:r w:rsidRPr="00C50A18">
              <w:rPr>
                <w:vertAlign w:val="superscript"/>
              </w:rPr>
              <w:t>3</w:t>
            </w:r>
            <w:r w:rsidRPr="00C50A18">
              <w:t>)</w:t>
            </w:r>
          </w:p>
        </w:tc>
        <w:tc>
          <w:tcPr>
            <w:tcW w:w="1162" w:type="dxa"/>
            <w:tcBorders>
              <w:top w:val="single" w:sz="12" w:space="0" w:color="008000"/>
              <w:bottom w:val="single" w:sz="6" w:space="0" w:color="008000"/>
            </w:tcBorders>
            <w:shd w:val="clear" w:color="auto" w:fill="FFFFFF"/>
            <w:vAlign w:val="center"/>
          </w:tcPr>
          <w:p w14:paraId="29CB39CB" w14:textId="28CF86FB" w:rsidR="00BF2CE3" w:rsidRPr="00C50A18" w:rsidRDefault="00BF2CE3" w:rsidP="00C50A18">
            <w:pPr>
              <w:pStyle w:val="CETBodytext"/>
              <w:spacing w:line="240" w:lineRule="auto"/>
              <w:jc w:val="center"/>
              <w:rPr>
                <w:rFonts w:eastAsia="MS Mincho"/>
              </w:rPr>
            </w:pPr>
            <w:r w:rsidRPr="00C50A18">
              <w:t>O</w:t>
            </w:r>
            <w:r w:rsidRPr="00C50A18">
              <w:rPr>
                <w:vertAlign w:val="subscript"/>
              </w:rPr>
              <w:t xml:space="preserve">3 </w:t>
            </w:r>
            <w:r w:rsidRPr="00C50A18">
              <w:t>(</w:t>
            </w:r>
            <w:r w:rsidRPr="00C50A18">
              <w:rPr>
                <w:rFonts w:ascii="Symbol" w:hAnsi="Symbol"/>
                <w:szCs w:val="26"/>
              </w:rPr>
              <w:t></w:t>
            </w:r>
            <w:r w:rsidRPr="00C50A18">
              <w:t>g/m</w:t>
            </w:r>
            <w:r w:rsidRPr="00C50A18">
              <w:rPr>
                <w:vertAlign w:val="superscript"/>
              </w:rPr>
              <w:t>3</w:t>
            </w:r>
            <w:r w:rsidRPr="00C50A18">
              <w:t>)</w:t>
            </w:r>
          </w:p>
        </w:tc>
        <w:tc>
          <w:tcPr>
            <w:tcW w:w="1162" w:type="dxa"/>
            <w:tcBorders>
              <w:top w:val="single" w:sz="12" w:space="0" w:color="008000"/>
              <w:bottom w:val="single" w:sz="6" w:space="0" w:color="008000"/>
            </w:tcBorders>
            <w:shd w:val="clear" w:color="auto" w:fill="FFFFFF"/>
            <w:vAlign w:val="center"/>
          </w:tcPr>
          <w:p w14:paraId="00462CDF" w14:textId="31B7EDB6" w:rsidR="00BF2CE3" w:rsidRPr="00C50A18" w:rsidRDefault="00BF2CE3" w:rsidP="00C50A18">
            <w:pPr>
              <w:pStyle w:val="CETBodytext"/>
              <w:spacing w:line="240" w:lineRule="auto"/>
              <w:jc w:val="center"/>
              <w:rPr>
                <w:rFonts w:eastAsia="MS Mincho"/>
              </w:rPr>
            </w:pPr>
            <w:r w:rsidRPr="00C50A18">
              <w:t>PM10 (</w:t>
            </w:r>
            <w:r w:rsidRPr="00C50A18">
              <w:rPr>
                <w:rFonts w:ascii="Symbol" w:hAnsi="Symbol"/>
                <w:szCs w:val="26"/>
              </w:rPr>
              <w:t></w:t>
            </w:r>
            <w:r w:rsidRPr="00C50A18">
              <w:t>g/m</w:t>
            </w:r>
            <w:r w:rsidRPr="00C50A18">
              <w:rPr>
                <w:vertAlign w:val="superscript"/>
              </w:rPr>
              <w:t>3</w:t>
            </w:r>
            <w:r w:rsidRPr="00C50A18">
              <w:t>)</w:t>
            </w:r>
          </w:p>
        </w:tc>
      </w:tr>
      <w:tr w:rsidR="00BF2CE3" w:rsidRPr="00C50A18" w14:paraId="04B8AB89" w14:textId="1F34128C" w:rsidTr="00BF2CE3">
        <w:trPr>
          <w:trHeight w:val="231"/>
          <w:jc w:val="center"/>
        </w:trPr>
        <w:tc>
          <w:tcPr>
            <w:tcW w:w="1801" w:type="dxa"/>
            <w:shd w:val="clear" w:color="auto" w:fill="FFFFFF"/>
            <w:vAlign w:val="center"/>
          </w:tcPr>
          <w:p w14:paraId="6D51B992" w14:textId="05A39C90" w:rsidR="00BF2CE3" w:rsidRPr="00C50A18" w:rsidRDefault="00333CB0" w:rsidP="00C50A18">
            <w:pPr>
              <w:spacing w:line="240" w:lineRule="auto"/>
              <w:jc w:val="center"/>
            </w:pPr>
            <w:r>
              <w:t>Biomass 1</w:t>
            </w:r>
            <w:r w:rsidR="00BF2CE3" w:rsidRPr="00C50A18">
              <w:t xml:space="preserve"> test day</w:t>
            </w:r>
          </w:p>
        </w:tc>
        <w:tc>
          <w:tcPr>
            <w:tcW w:w="1715" w:type="dxa"/>
            <w:shd w:val="clear" w:color="auto" w:fill="FFFFFF"/>
            <w:vAlign w:val="center"/>
          </w:tcPr>
          <w:p w14:paraId="7348F798" w14:textId="369D89C6" w:rsidR="00BF2CE3" w:rsidRPr="00C50A18" w:rsidRDefault="00BF2CE3" w:rsidP="00C50A18">
            <w:pPr>
              <w:spacing w:line="240" w:lineRule="auto"/>
              <w:jc w:val="center"/>
            </w:pPr>
            <w:r w:rsidRPr="00C50A18">
              <w:t>350</w:t>
            </w:r>
          </w:p>
        </w:tc>
        <w:tc>
          <w:tcPr>
            <w:tcW w:w="1715" w:type="dxa"/>
            <w:shd w:val="clear" w:color="auto" w:fill="FFFFFF"/>
            <w:vAlign w:val="center"/>
          </w:tcPr>
          <w:p w14:paraId="514F6F3D" w14:textId="5824945B" w:rsidR="00BF2CE3" w:rsidRPr="00C50A18" w:rsidRDefault="00BF2CE3" w:rsidP="00C50A18">
            <w:pPr>
              <w:spacing w:line="240" w:lineRule="auto"/>
              <w:jc w:val="center"/>
            </w:pPr>
            <w:r w:rsidRPr="00C50A18">
              <w:t>44</w:t>
            </w:r>
            <w:r w:rsidR="00333CB0">
              <w:t>.</w:t>
            </w:r>
            <w:r w:rsidRPr="00C50A18">
              <w:t>2</w:t>
            </w:r>
          </w:p>
        </w:tc>
        <w:tc>
          <w:tcPr>
            <w:tcW w:w="1162" w:type="dxa"/>
            <w:shd w:val="clear" w:color="auto" w:fill="FFFFFF"/>
            <w:vAlign w:val="center"/>
          </w:tcPr>
          <w:p w14:paraId="6F6B5C16" w14:textId="7A017F89" w:rsidR="00BF2CE3" w:rsidRPr="00C50A18" w:rsidRDefault="00BF2CE3" w:rsidP="00C50A18">
            <w:pPr>
              <w:spacing w:line="240" w:lineRule="auto"/>
              <w:ind w:right="-1"/>
              <w:jc w:val="center"/>
              <w:rPr>
                <w:rFonts w:cs="Arial"/>
                <w:szCs w:val="18"/>
              </w:rPr>
            </w:pPr>
            <w:r w:rsidRPr="00C50A18">
              <w:t>0</w:t>
            </w:r>
            <w:r w:rsidR="00333CB0">
              <w:t>.</w:t>
            </w:r>
            <w:r w:rsidRPr="00C50A18">
              <w:t>50</w:t>
            </w:r>
          </w:p>
        </w:tc>
        <w:tc>
          <w:tcPr>
            <w:tcW w:w="1162" w:type="dxa"/>
            <w:shd w:val="clear" w:color="auto" w:fill="FFFFFF"/>
            <w:vAlign w:val="center"/>
          </w:tcPr>
          <w:p w14:paraId="46B85E6C" w14:textId="026AD96A" w:rsidR="00BF2CE3" w:rsidRPr="00C50A18" w:rsidRDefault="00BF2CE3" w:rsidP="00C50A18">
            <w:pPr>
              <w:spacing w:line="240" w:lineRule="auto"/>
              <w:ind w:right="-1"/>
              <w:jc w:val="center"/>
              <w:rPr>
                <w:rFonts w:cs="Arial"/>
                <w:szCs w:val="18"/>
              </w:rPr>
            </w:pPr>
            <w:r w:rsidRPr="00C50A18">
              <w:t>97</w:t>
            </w:r>
            <w:r w:rsidR="00333CB0">
              <w:t>.</w:t>
            </w:r>
            <w:r w:rsidRPr="00C50A18">
              <w:t>6</w:t>
            </w:r>
          </w:p>
        </w:tc>
        <w:tc>
          <w:tcPr>
            <w:tcW w:w="1162" w:type="dxa"/>
            <w:shd w:val="clear" w:color="auto" w:fill="FFFFFF"/>
            <w:vAlign w:val="center"/>
          </w:tcPr>
          <w:p w14:paraId="2BB84CCB" w14:textId="4855EC63" w:rsidR="00BF2CE3" w:rsidRPr="00C50A18" w:rsidRDefault="00BF2CE3" w:rsidP="00C50A18">
            <w:pPr>
              <w:spacing w:line="240" w:lineRule="auto"/>
              <w:ind w:right="-1"/>
              <w:jc w:val="center"/>
              <w:rPr>
                <w:rFonts w:cs="Arial"/>
                <w:szCs w:val="18"/>
              </w:rPr>
            </w:pPr>
            <w:r w:rsidRPr="00C50A18">
              <w:t>15</w:t>
            </w:r>
            <w:r w:rsidR="00333CB0">
              <w:t>.</w:t>
            </w:r>
            <w:r w:rsidRPr="00C50A18">
              <w:t>30</w:t>
            </w:r>
          </w:p>
        </w:tc>
      </w:tr>
      <w:tr w:rsidR="00BF2CE3" w:rsidRPr="00C50A18" w14:paraId="6BB81A36" w14:textId="77777777" w:rsidTr="00BF2CE3">
        <w:trPr>
          <w:trHeight w:val="231"/>
          <w:jc w:val="center"/>
        </w:trPr>
        <w:tc>
          <w:tcPr>
            <w:tcW w:w="1801" w:type="dxa"/>
            <w:shd w:val="clear" w:color="auto" w:fill="FFFFFF"/>
            <w:vAlign w:val="center"/>
          </w:tcPr>
          <w:p w14:paraId="39989B8F" w14:textId="4D7CE1CD" w:rsidR="00BF2CE3" w:rsidRPr="00C50A18" w:rsidRDefault="00333CB0" w:rsidP="00C50A18">
            <w:pPr>
              <w:spacing w:line="240" w:lineRule="auto"/>
              <w:jc w:val="center"/>
            </w:pPr>
            <w:r>
              <w:t>Biomass 2</w:t>
            </w:r>
            <w:r w:rsidR="00BF2CE3" w:rsidRPr="00C50A18">
              <w:t xml:space="preserve"> test day</w:t>
            </w:r>
          </w:p>
        </w:tc>
        <w:tc>
          <w:tcPr>
            <w:tcW w:w="1715" w:type="dxa"/>
            <w:shd w:val="clear" w:color="auto" w:fill="FFFFFF"/>
            <w:vAlign w:val="center"/>
          </w:tcPr>
          <w:p w14:paraId="2E949B6F" w14:textId="2D33C5B8" w:rsidR="00BF2CE3" w:rsidRPr="00C50A18" w:rsidRDefault="00BF2CE3" w:rsidP="00C50A18">
            <w:pPr>
              <w:spacing w:line="240" w:lineRule="auto"/>
              <w:jc w:val="center"/>
            </w:pPr>
            <w:r w:rsidRPr="00C50A18">
              <w:t>1150</w:t>
            </w:r>
          </w:p>
        </w:tc>
        <w:tc>
          <w:tcPr>
            <w:tcW w:w="1715" w:type="dxa"/>
            <w:shd w:val="clear" w:color="auto" w:fill="FFFFFF"/>
            <w:vAlign w:val="center"/>
          </w:tcPr>
          <w:p w14:paraId="161BCD0A" w14:textId="06D32AF8" w:rsidR="00BF2CE3" w:rsidRPr="00C50A18" w:rsidRDefault="00BF2CE3" w:rsidP="00C50A18">
            <w:pPr>
              <w:spacing w:line="240" w:lineRule="auto"/>
              <w:jc w:val="center"/>
            </w:pPr>
            <w:r w:rsidRPr="00C50A18">
              <w:t>67</w:t>
            </w:r>
            <w:r w:rsidR="00333CB0">
              <w:t>.</w:t>
            </w:r>
            <w:r w:rsidRPr="00C50A18">
              <w:t>0</w:t>
            </w:r>
          </w:p>
        </w:tc>
        <w:tc>
          <w:tcPr>
            <w:tcW w:w="1162" w:type="dxa"/>
            <w:shd w:val="clear" w:color="auto" w:fill="FFFFFF"/>
            <w:vAlign w:val="center"/>
          </w:tcPr>
          <w:p w14:paraId="4395B8B2" w14:textId="183FD9DC" w:rsidR="00BF2CE3" w:rsidRPr="00C50A18" w:rsidRDefault="00BF2CE3" w:rsidP="00C50A18">
            <w:pPr>
              <w:spacing w:line="240" w:lineRule="auto"/>
              <w:ind w:right="-1"/>
              <w:jc w:val="center"/>
              <w:rPr>
                <w:rFonts w:cs="Arial"/>
                <w:szCs w:val="18"/>
              </w:rPr>
            </w:pPr>
            <w:r w:rsidRPr="00C50A18">
              <w:t>0</w:t>
            </w:r>
            <w:r w:rsidR="00333CB0">
              <w:t>.</w:t>
            </w:r>
            <w:r w:rsidRPr="00C50A18">
              <w:t>60</w:t>
            </w:r>
          </w:p>
        </w:tc>
        <w:tc>
          <w:tcPr>
            <w:tcW w:w="1162" w:type="dxa"/>
            <w:shd w:val="clear" w:color="auto" w:fill="FFFFFF"/>
            <w:vAlign w:val="center"/>
          </w:tcPr>
          <w:p w14:paraId="61DB6A1D" w14:textId="5F39D4D6" w:rsidR="00BF2CE3" w:rsidRPr="00C50A18" w:rsidRDefault="00BF2CE3" w:rsidP="00C50A18">
            <w:pPr>
              <w:spacing w:line="240" w:lineRule="auto"/>
              <w:ind w:right="-1"/>
              <w:jc w:val="center"/>
              <w:rPr>
                <w:rFonts w:cs="Arial"/>
                <w:szCs w:val="18"/>
              </w:rPr>
            </w:pPr>
            <w:r w:rsidRPr="00C50A18">
              <w:t>26</w:t>
            </w:r>
            <w:r w:rsidR="00333CB0">
              <w:t>.</w:t>
            </w:r>
            <w:r w:rsidRPr="00C50A18">
              <w:t>4</w:t>
            </w:r>
          </w:p>
        </w:tc>
        <w:tc>
          <w:tcPr>
            <w:tcW w:w="1162" w:type="dxa"/>
            <w:shd w:val="clear" w:color="auto" w:fill="FFFFFF"/>
            <w:vAlign w:val="center"/>
          </w:tcPr>
          <w:p w14:paraId="3982D87E" w14:textId="3AEB5A40" w:rsidR="00BF2CE3" w:rsidRPr="00C50A18" w:rsidRDefault="00BF2CE3" w:rsidP="00C50A18">
            <w:pPr>
              <w:spacing w:line="240" w:lineRule="auto"/>
              <w:ind w:right="-1"/>
              <w:jc w:val="center"/>
              <w:rPr>
                <w:rFonts w:cs="Arial"/>
                <w:szCs w:val="18"/>
              </w:rPr>
            </w:pPr>
            <w:r w:rsidRPr="00C50A18">
              <w:t>1,5</w:t>
            </w:r>
          </w:p>
        </w:tc>
      </w:tr>
      <w:tr w:rsidR="00BF2CE3" w:rsidRPr="00C50A18" w14:paraId="08BF3045" w14:textId="77777777" w:rsidTr="00BF2CE3">
        <w:trPr>
          <w:trHeight w:val="115"/>
          <w:jc w:val="center"/>
        </w:trPr>
        <w:tc>
          <w:tcPr>
            <w:tcW w:w="1801" w:type="dxa"/>
            <w:shd w:val="clear" w:color="auto" w:fill="FFFFFF"/>
            <w:vAlign w:val="center"/>
          </w:tcPr>
          <w:p w14:paraId="64B6C2BD" w14:textId="71F214B3" w:rsidR="00BF2CE3" w:rsidRPr="00C50A18" w:rsidRDefault="00BF2CE3" w:rsidP="00C50A18">
            <w:pPr>
              <w:spacing w:line="240" w:lineRule="auto"/>
              <w:jc w:val="center"/>
            </w:pPr>
            <w:r w:rsidRPr="00C50A18">
              <w:t>Full-scale</w:t>
            </w:r>
          </w:p>
        </w:tc>
        <w:tc>
          <w:tcPr>
            <w:tcW w:w="1715" w:type="dxa"/>
            <w:shd w:val="clear" w:color="auto" w:fill="FFFFFF"/>
            <w:vAlign w:val="center"/>
          </w:tcPr>
          <w:p w14:paraId="5259B376" w14:textId="6F1113DB" w:rsidR="00BF2CE3" w:rsidRPr="00C50A18" w:rsidRDefault="00BF2CE3" w:rsidP="00C50A18">
            <w:pPr>
              <w:spacing w:line="240" w:lineRule="auto"/>
              <w:jc w:val="center"/>
            </w:pPr>
            <w:r w:rsidRPr="00C50A18">
              <w:t>300÷1700</w:t>
            </w:r>
          </w:p>
        </w:tc>
        <w:tc>
          <w:tcPr>
            <w:tcW w:w="1715" w:type="dxa"/>
            <w:shd w:val="clear" w:color="auto" w:fill="FFFFFF"/>
            <w:vAlign w:val="center"/>
          </w:tcPr>
          <w:p w14:paraId="564697CC" w14:textId="7D33AA12" w:rsidR="00BF2CE3" w:rsidRPr="00C50A18" w:rsidRDefault="00BF2CE3" w:rsidP="00C50A18">
            <w:pPr>
              <w:spacing w:line="240" w:lineRule="auto"/>
              <w:jc w:val="center"/>
            </w:pPr>
            <w:r w:rsidRPr="00C50A18">
              <w:t>37÷100</w:t>
            </w:r>
          </w:p>
        </w:tc>
        <w:tc>
          <w:tcPr>
            <w:tcW w:w="1162" w:type="dxa"/>
            <w:shd w:val="clear" w:color="auto" w:fill="FFFFFF"/>
            <w:vAlign w:val="center"/>
          </w:tcPr>
          <w:p w14:paraId="6D3A5675" w14:textId="59BB9493" w:rsidR="00BF2CE3" w:rsidRPr="00C50A18" w:rsidRDefault="00BF2CE3" w:rsidP="00C50A18">
            <w:pPr>
              <w:spacing w:line="240" w:lineRule="auto"/>
              <w:ind w:right="-1"/>
              <w:jc w:val="center"/>
              <w:rPr>
                <w:rFonts w:cs="Arial"/>
                <w:szCs w:val="18"/>
              </w:rPr>
            </w:pPr>
            <w:r w:rsidRPr="00C50A18">
              <w:t>0</w:t>
            </w:r>
            <w:r w:rsidR="00333CB0">
              <w:t>.</w:t>
            </w:r>
            <w:r w:rsidRPr="00C50A18">
              <w:t>3÷2,9</w:t>
            </w:r>
          </w:p>
        </w:tc>
        <w:tc>
          <w:tcPr>
            <w:tcW w:w="1162" w:type="dxa"/>
            <w:shd w:val="clear" w:color="auto" w:fill="FFFFFF"/>
            <w:vAlign w:val="center"/>
          </w:tcPr>
          <w:p w14:paraId="7213AF2D" w14:textId="0D6F625C" w:rsidR="00BF2CE3" w:rsidRPr="00C50A18" w:rsidRDefault="00BF2CE3" w:rsidP="00C50A18">
            <w:pPr>
              <w:spacing w:line="240" w:lineRule="auto"/>
              <w:ind w:right="-1"/>
              <w:jc w:val="center"/>
              <w:rPr>
                <w:rFonts w:cs="Arial"/>
                <w:szCs w:val="18"/>
              </w:rPr>
            </w:pPr>
            <w:r w:rsidRPr="00C50A18">
              <w:t>6÷95</w:t>
            </w:r>
          </w:p>
        </w:tc>
        <w:tc>
          <w:tcPr>
            <w:tcW w:w="1162" w:type="dxa"/>
            <w:shd w:val="clear" w:color="auto" w:fill="FFFFFF"/>
            <w:vAlign w:val="center"/>
          </w:tcPr>
          <w:p w14:paraId="7834481B" w14:textId="5D0964F9" w:rsidR="00BF2CE3" w:rsidRPr="00C50A18" w:rsidRDefault="00BF2CE3" w:rsidP="00C50A18">
            <w:pPr>
              <w:spacing w:line="240" w:lineRule="auto"/>
              <w:ind w:right="-1"/>
              <w:jc w:val="center"/>
              <w:rPr>
                <w:rFonts w:cs="Arial"/>
                <w:szCs w:val="18"/>
              </w:rPr>
            </w:pPr>
            <w:r w:rsidRPr="00C50A18">
              <w:t>0</w:t>
            </w:r>
            <w:r w:rsidR="00333CB0">
              <w:t>.</w:t>
            </w:r>
            <w:r w:rsidRPr="00C50A18">
              <w:t>6÷22</w:t>
            </w:r>
          </w:p>
        </w:tc>
      </w:tr>
      <w:tr w:rsidR="00BF2CE3" w:rsidRPr="00B57B36" w14:paraId="4C254CB1" w14:textId="77777777" w:rsidTr="00BF2CE3">
        <w:trPr>
          <w:trHeight w:val="341"/>
          <w:jc w:val="center"/>
        </w:trPr>
        <w:tc>
          <w:tcPr>
            <w:tcW w:w="1801" w:type="dxa"/>
            <w:shd w:val="clear" w:color="auto" w:fill="FFFFFF"/>
            <w:vAlign w:val="center"/>
          </w:tcPr>
          <w:p w14:paraId="473270AB" w14:textId="2024EEBF" w:rsidR="00BF2CE3" w:rsidRPr="00C50A18" w:rsidRDefault="00BF2CE3" w:rsidP="00C50A18">
            <w:pPr>
              <w:pStyle w:val="CETBodytext"/>
              <w:spacing w:line="240" w:lineRule="auto"/>
              <w:jc w:val="center"/>
            </w:pPr>
            <w:r w:rsidRPr="00C50A18">
              <w:t xml:space="preserve">Limit </w:t>
            </w:r>
            <w:r w:rsidRPr="00C50A18">
              <w:fldChar w:fldCharType="begin"/>
            </w:r>
            <w:r w:rsidR="00716E23" w:rsidRPr="00C50A18">
              <w:instrText xml:space="preserve"> ADDIN ZOTERO_ITEM CSL_CITATION {"citationID":"9MITXJO0","properties":{"formattedCitation":"({\\i{}DECRETO LEGISLATIVO 13 agosto 2010, n. 155 - Normattiva}, 2010)","plainCitation":"(DECRETO LEGISLATIVO 13 agosto 2010, n. 155 - Normattiva, 2010)","noteIndex":0},"citationItems":[{"id":318,"uris":["http://zotero.org/users/local/v2UwehSA/items/74WWN7ZR"],"uri":["http://zotero.org/users/local/v2UwehSA/items/74WWN7ZR"],"itemData":{"id":318,"type":"webpage","title":"DECRETO LEGISLATIVO 13 agosto 2010, n. 155 - Normattiva","URL":"https://www.normattiva.it/uri-res/N2Ls?urn:nir:stato:decreto.legislativo:2010;155","accessed":{"date-parts":[["2022",1,9]]},"issued":{"date-parts":[["2010"]]}}}],"schema":"https://github.com/citation-style-language/schema/raw/master/csl-citation.json"} </w:instrText>
            </w:r>
            <w:r w:rsidRPr="00C50A18">
              <w:fldChar w:fldCharType="separate"/>
            </w:r>
            <w:r w:rsidR="00716E23" w:rsidRPr="00C50A18">
              <w:rPr>
                <w:rFonts w:cs="Arial"/>
                <w:szCs w:val="24"/>
              </w:rPr>
              <w:t>(</w:t>
            </w:r>
            <w:r w:rsidR="00716E23" w:rsidRPr="00C50A18">
              <w:rPr>
                <w:rFonts w:cs="Arial"/>
                <w:i/>
                <w:iCs/>
                <w:szCs w:val="24"/>
              </w:rPr>
              <w:t>D</w:t>
            </w:r>
            <w:r w:rsidR="00095CFC" w:rsidRPr="00C50A18">
              <w:rPr>
                <w:rFonts w:cs="Arial"/>
                <w:i/>
                <w:iCs/>
                <w:szCs w:val="24"/>
              </w:rPr>
              <w:t>.lgs.</w:t>
            </w:r>
            <w:r w:rsidR="00716E23" w:rsidRPr="00C50A18">
              <w:rPr>
                <w:rFonts w:cs="Arial"/>
                <w:i/>
                <w:iCs/>
                <w:szCs w:val="24"/>
              </w:rPr>
              <w:t xml:space="preserve"> n. 155</w:t>
            </w:r>
            <w:r w:rsidR="00716E23" w:rsidRPr="00C50A18">
              <w:rPr>
                <w:rFonts w:cs="Arial"/>
                <w:szCs w:val="24"/>
              </w:rPr>
              <w:t>)</w:t>
            </w:r>
            <w:r w:rsidRPr="00C50A18">
              <w:fldChar w:fldCharType="end"/>
            </w:r>
          </w:p>
          <w:p w14:paraId="25A5BC12" w14:textId="75192370" w:rsidR="00BF2CE3" w:rsidRPr="00C50A18" w:rsidRDefault="00BF2CE3" w:rsidP="00C50A18">
            <w:pPr>
              <w:spacing w:line="240" w:lineRule="auto"/>
              <w:jc w:val="center"/>
            </w:pPr>
            <w:r w:rsidRPr="00C50A18">
              <w:t>(Sampling time)</w:t>
            </w:r>
          </w:p>
        </w:tc>
        <w:tc>
          <w:tcPr>
            <w:tcW w:w="1715" w:type="dxa"/>
            <w:shd w:val="clear" w:color="auto" w:fill="FFFFFF"/>
            <w:vAlign w:val="center"/>
          </w:tcPr>
          <w:p w14:paraId="77A22E81" w14:textId="62F0F3F7" w:rsidR="00BF2CE3" w:rsidRPr="00C50A18" w:rsidRDefault="00BF2CE3" w:rsidP="00C50A18">
            <w:pPr>
              <w:pStyle w:val="CETBodytext"/>
              <w:spacing w:line="240" w:lineRule="auto"/>
              <w:jc w:val="center"/>
            </w:pPr>
            <w:r w:rsidRPr="00C50A18">
              <w:t>10000</w:t>
            </w:r>
          </w:p>
          <w:p w14:paraId="622CB7A2" w14:textId="197DA948" w:rsidR="00BF2CE3" w:rsidRPr="00C50A18" w:rsidRDefault="00DA427A" w:rsidP="00C50A18">
            <w:pPr>
              <w:pStyle w:val="CETBodytext"/>
              <w:spacing w:line="240" w:lineRule="auto"/>
              <w:jc w:val="center"/>
            </w:pPr>
            <w:r w:rsidRPr="00C50A18">
              <w:t>(8</w:t>
            </w:r>
            <w:r w:rsidR="00BF2CE3" w:rsidRPr="00C50A18">
              <w:t xml:space="preserve">h </w:t>
            </w:r>
            <w:r w:rsidRPr="00C50A18">
              <w:t>Moving average</w:t>
            </w:r>
            <w:r w:rsidR="00BF2CE3" w:rsidRPr="00C50A18">
              <w:t>)</w:t>
            </w:r>
          </w:p>
        </w:tc>
        <w:tc>
          <w:tcPr>
            <w:tcW w:w="1715" w:type="dxa"/>
            <w:shd w:val="clear" w:color="auto" w:fill="FFFFFF"/>
            <w:vAlign w:val="center"/>
          </w:tcPr>
          <w:p w14:paraId="6D409DC1" w14:textId="50CC3880" w:rsidR="00BF2CE3" w:rsidRPr="00C50A18" w:rsidRDefault="00BF2CE3" w:rsidP="00C50A18">
            <w:pPr>
              <w:pStyle w:val="CETBodytext"/>
              <w:spacing w:line="240" w:lineRule="auto"/>
              <w:jc w:val="center"/>
            </w:pPr>
            <w:r w:rsidRPr="00C50A18">
              <w:t>200</w:t>
            </w:r>
          </w:p>
          <w:p w14:paraId="688DAB6C" w14:textId="3E2003DA" w:rsidR="00BF2CE3" w:rsidRPr="00C50A18" w:rsidRDefault="00BF2CE3" w:rsidP="00C50A18">
            <w:pPr>
              <w:pStyle w:val="CETBodytext"/>
              <w:spacing w:line="240" w:lineRule="auto"/>
              <w:jc w:val="center"/>
            </w:pPr>
            <w:r w:rsidRPr="00C50A18">
              <w:t>(1h)</w:t>
            </w:r>
          </w:p>
        </w:tc>
        <w:tc>
          <w:tcPr>
            <w:tcW w:w="1162" w:type="dxa"/>
            <w:shd w:val="clear" w:color="auto" w:fill="FFFFFF"/>
            <w:vAlign w:val="center"/>
          </w:tcPr>
          <w:p w14:paraId="243DC8D5" w14:textId="77777777" w:rsidR="00BF2CE3" w:rsidRPr="00C50A18" w:rsidRDefault="00BF2CE3" w:rsidP="00C50A18">
            <w:pPr>
              <w:pStyle w:val="CETBodytext"/>
              <w:spacing w:line="240" w:lineRule="auto"/>
              <w:jc w:val="center"/>
            </w:pPr>
            <w:r w:rsidRPr="00C50A18">
              <w:t>5</w:t>
            </w:r>
          </w:p>
          <w:p w14:paraId="1DF64BD1" w14:textId="714E5EFB" w:rsidR="00BF2CE3" w:rsidRPr="00C50A18" w:rsidRDefault="00BF2CE3" w:rsidP="00C50A18">
            <w:pPr>
              <w:spacing w:line="240" w:lineRule="auto"/>
              <w:ind w:right="-1"/>
              <w:jc w:val="center"/>
              <w:rPr>
                <w:rFonts w:cs="Arial"/>
                <w:szCs w:val="18"/>
              </w:rPr>
            </w:pPr>
            <w:r w:rsidRPr="00C50A18">
              <w:t>(1year)</w:t>
            </w:r>
          </w:p>
        </w:tc>
        <w:tc>
          <w:tcPr>
            <w:tcW w:w="1162" w:type="dxa"/>
            <w:shd w:val="clear" w:color="auto" w:fill="FFFFFF"/>
            <w:vAlign w:val="center"/>
          </w:tcPr>
          <w:p w14:paraId="0CC754E4" w14:textId="669EA796" w:rsidR="00BF2CE3" w:rsidRPr="00C50A18" w:rsidRDefault="00BF2CE3" w:rsidP="00C50A18">
            <w:pPr>
              <w:spacing w:line="240" w:lineRule="auto"/>
              <w:ind w:right="-1"/>
              <w:jc w:val="center"/>
              <w:rPr>
                <w:rFonts w:cs="Arial"/>
                <w:szCs w:val="18"/>
              </w:rPr>
            </w:pPr>
            <w:r w:rsidRPr="00C50A18">
              <w:t>-</w:t>
            </w:r>
          </w:p>
        </w:tc>
        <w:tc>
          <w:tcPr>
            <w:tcW w:w="1162" w:type="dxa"/>
            <w:shd w:val="clear" w:color="auto" w:fill="FFFFFF"/>
            <w:vAlign w:val="center"/>
          </w:tcPr>
          <w:p w14:paraId="6F900E9D" w14:textId="45A0644F" w:rsidR="00BF2CE3" w:rsidRPr="00C50A18" w:rsidRDefault="00BF2CE3" w:rsidP="00C50A18">
            <w:pPr>
              <w:pStyle w:val="CETBodytext"/>
              <w:spacing w:line="240" w:lineRule="auto"/>
              <w:jc w:val="center"/>
            </w:pPr>
            <w:r w:rsidRPr="00C50A18">
              <w:t>50</w:t>
            </w:r>
          </w:p>
          <w:p w14:paraId="561058A3" w14:textId="048D972C" w:rsidR="00BF2CE3" w:rsidRDefault="00BF2CE3" w:rsidP="00C50A18">
            <w:pPr>
              <w:spacing w:line="240" w:lineRule="auto"/>
              <w:ind w:right="-1"/>
              <w:jc w:val="center"/>
              <w:rPr>
                <w:rFonts w:cs="Arial"/>
                <w:szCs w:val="18"/>
              </w:rPr>
            </w:pPr>
            <w:r w:rsidRPr="00C50A18">
              <w:t>(24h)</w:t>
            </w:r>
          </w:p>
        </w:tc>
      </w:tr>
    </w:tbl>
    <w:p w14:paraId="6B4C63E5" w14:textId="58BB9184" w:rsidR="00600535" w:rsidRDefault="00CC24F4" w:rsidP="00083CAC">
      <w:pPr>
        <w:pStyle w:val="CETHeading1"/>
        <w:tabs>
          <w:tab w:val="clear" w:pos="360"/>
        </w:tabs>
      </w:pPr>
      <w:r w:rsidRPr="00C50A18">
        <w:t>Conclusions</w:t>
      </w:r>
    </w:p>
    <w:p w14:paraId="23FAEE0A" w14:textId="4ADC4A7C" w:rsidR="000000D3" w:rsidRDefault="000000D3" w:rsidP="000000D3">
      <w:pPr>
        <w:pStyle w:val="CETBodytext"/>
      </w:pPr>
      <w:r>
        <w:t>The experimental analysis of a micro-combined heat and power generation unit powered by biomass is discussed to estimate the effects of different feedstocks in terms of overall performances and reliable operation</w:t>
      </w:r>
      <w:r w:rsidR="00716E23">
        <w:t xml:space="preserve"> and the possibility of employment in a waste management and storage system in the locality of </w:t>
      </w:r>
      <w:proofErr w:type="spellStart"/>
      <w:r w:rsidR="00716E23">
        <w:t>Mugnano</w:t>
      </w:r>
      <w:proofErr w:type="spellEnd"/>
      <w:r w:rsidR="00716E23">
        <w:t>, Naples, Italy</w:t>
      </w:r>
      <w:r>
        <w:t xml:space="preserve">. The strict link between feedstock composition </w:t>
      </w:r>
      <w:r w:rsidR="00EB51B6">
        <w:t xml:space="preserve">and ICE performance in terms of efficiency, tar quantity and emissions </w:t>
      </w:r>
      <w:r w:rsidR="004E532C">
        <w:t>are</w:t>
      </w:r>
      <w:r w:rsidR="00EB51B6">
        <w:t xml:space="preserve"> found to underline the possibility of using biomass-based </w:t>
      </w:r>
      <w:proofErr w:type="spellStart"/>
      <w:r w:rsidR="00EB51B6">
        <w:t>microcogeneration</w:t>
      </w:r>
      <w:proofErr w:type="spellEnd"/>
      <w:r w:rsidR="00EB51B6">
        <w:t xml:space="preserve"> plant in </w:t>
      </w:r>
      <w:r w:rsidR="00881EDF">
        <w:t xml:space="preserve">a </w:t>
      </w:r>
      <w:r w:rsidR="00EB51B6">
        <w:t xml:space="preserve">real demonstrative environment. </w:t>
      </w:r>
      <w:r>
        <w:t xml:space="preserve">The here </w:t>
      </w:r>
      <w:proofErr w:type="spellStart"/>
      <w:r>
        <w:t>analysed</w:t>
      </w:r>
      <w:proofErr w:type="spellEnd"/>
      <w:r>
        <w:t xml:space="preserve"> system is shown to be a versatile plant as different biomasses can be processed. Through the proposed analysis, the following consideration</w:t>
      </w:r>
      <w:r w:rsidR="00716E23">
        <w:t>s</w:t>
      </w:r>
      <w:r>
        <w:t xml:space="preserve"> could be drawn:</w:t>
      </w:r>
    </w:p>
    <w:p w14:paraId="39807FB8" w14:textId="45847668" w:rsidR="00EB51B6" w:rsidRDefault="00EB51B6" w:rsidP="00EB51B6">
      <w:pPr>
        <w:pStyle w:val="CETListbullets"/>
        <w:numPr>
          <w:ilvl w:val="0"/>
          <w:numId w:val="35"/>
        </w:numPr>
      </w:pPr>
      <w:r>
        <w:t xml:space="preserve">Biomass composition influences tar percentages in syngas </w:t>
      </w:r>
      <w:proofErr w:type="gramStart"/>
      <w:r>
        <w:t>sampling</w:t>
      </w:r>
      <w:r w:rsidR="00C50A18">
        <w:t>;</w:t>
      </w:r>
      <w:proofErr w:type="gramEnd"/>
    </w:p>
    <w:p w14:paraId="5F56B22F" w14:textId="78B50454" w:rsidR="00EB51B6" w:rsidRDefault="00EB51B6" w:rsidP="00FD230E">
      <w:pPr>
        <w:pStyle w:val="CETListbullets"/>
        <w:numPr>
          <w:ilvl w:val="0"/>
          <w:numId w:val="35"/>
        </w:numPr>
      </w:pPr>
      <w:r>
        <w:t xml:space="preserve">CO and NOx emissions are below limits </w:t>
      </w:r>
      <w:r w:rsidR="00716E23">
        <w:t>when ICE syngas-air mixture is lean</w:t>
      </w:r>
      <w:r w:rsidR="004E532C">
        <w:t>.</w:t>
      </w:r>
    </w:p>
    <w:p w14:paraId="00244BA3" w14:textId="7C20F829" w:rsidR="00EB51B6" w:rsidRDefault="00EB51B6" w:rsidP="00FD230E">
      <w:pPr>
        <w:pStyle w:val="CETListbullets"/>
        <w:numPr>
          <w:ilvl w:val="0"/>
          <w:numId w:val="35"/>
        </w:numPr>
      </w:pPr>
      <w:r>
        <w:t>Engine</w:t>
      </w:r>
      <w:r w:rsidR="00881EDF">
        <w:t xml:space="preserve"> performance and operative conditions</w:t>
      </w:r>
      <w:r>
        <w:t xml:space="preserve"> </w:t>
      </w:r>
      <w:r w:rsidR="00881EDF">
        <w:t>are</w:t>
      </w:r>
      <w:r>
        <w:t xml:space="preserve"> reliable regardless of the initial feedstocks.</w:t>
      </w:r>
    </w:p>
    <w:p w14:paraId="7B98118F" w14:textId="11511E25" w:rsidR="00BF2CE3" w:rsidRDefault="00BF2CE3" w:rsidP="00FD230E">
      <w:pPr>
        <w:pStyle w:val="CETListbullets"/>
        <w:numPr>
          <w:ilvl w:val="0"/>
          <w:numId w:val="35"/>
        </w:numPr>
      </w:pPr>
      <w:r>
        <w:t>The micro-cogeneration system do</w:t>
      </w:r>
      <w:r w:rsidR="00716E23">
        <w:t>es</w:t>
      </w:r>
      <w:r>
        <w:t xml:space="preserve"> not </w:t>
      </w:r>
      <w:r w:rsidR="00716E23">
        <w:t xml:space="preserve">have an impact on the air </w:t>
      </w:r>
      <w:r>
        <w:t>quality.</w:t>
      </w:r>
    </w:p>
    <w:p w14:paraId="2ECA56D0" w14:textId="1DE66737" w:rsidR="000000D3" w:rsidRPr="00083CAC" w:rsidRDefault="00083CAC" w:rsidP="000000D3">
      <w:pPr>
        <w:pStyle w:val="CETBodytext"/>
        <w:rPr>
          <w:lang w:val="en-GB"/>
        </w:rPr>
      </w:pPr>
      <w:r>
        <w:t xml:space="preserve">The </w:t>
      </w:r>
      <w:r w:rsidRPr="00083CAC">
        <w:t xml:space="preserve">described methodology is </w:t>
      </w:r>
      <w:r>
        <w:t>universal and can show the potentiality of micro cogeneration system based on biomass gasification.</w:t>
      </w:r>
    </w:p>
    <w:p w14:paraId="459D05E6" w14:textId="77777777" w:rsidR="00600535" w:rsidRPr="00B57B36" w:rsidRDefault="00600535" w:rsidP="00600535">
      <w:pPr>
        <w:pStyle w:val="CETAcknowledgementstitle"/>
      </w:pPr>
      <w:r w:rsidRPr="00B57B36">
        <w:t>Acknowledgments</w:t>
      </w:r>
    </w:p>
    <w:p w14:paraId="1FBA24DD" w14:textId="139CC066" w:rsidR="0017346B" w:rsidRDefault="000000D3" w:rsidP="0017346B">
      <w:pPr>
        <w:pStyle w:val="CETBodytextItalic"/>
      </w:pPr>
      <w:r w:rsidRPr="000000D3">
        <w:t>Authors gratefully acknowledge the financial support of project</w:t>
      </w:r>
      <w:r>
        <w:t xml:space="preserve"> PROMETEO - </w:t>
      </w:r>
      <w:r w:rsidRPr="00DD30BC">
        <w:t xml:space="preserve">Production of electrical, thermal and cooling energy with m-CHP </w:t>
      </w:r>
      <w:proofErr w:type="spellStart"/>
      <w:r w:rsidRPr="00DD30BC">
        <w:t>fueled</w:t>
      </w:r>
      <w:proofErr w:type="spellEnd"/>
      <w:r w:rsidRPr="00DD30BC">
        <w:t xml:space="preserve"> by residual biomass</w:t>
      </w:r>
      <w:r>
        <w:t xml:space="preserve"> -</w:t>
      </w:r>
      <w:r w:rsidRPr="000000D3">
        <w:t xml:space="preserve"> by the Italian Ministry of Economic Development (MISE).</w:t>
      </w:r>
      <w:r>
        <w:t xml:space="preserve"> </w:t>
      </w:r>
      <w:r w:rsidRPr="000000D3">
        <w:t xml:space="preserve">A particular greeting goes </w:t>
      </w:r>
      <w:r w:rsidR="0017346B">
        <w:t>t</w:t>
      </w:r>
      <w:r w:rsidRPr="0017346B">
        <w:rPr>
          <w:lang w:val="en-US"/>
        </w:rPr>
        <w:t xml:space="preserve">o </w:t>
      </w:r>
      <w:r w:rsidR="00EB51B6">
        <w:rPr>
          <w:lang w:val="en-US"/>
        </w:rPr>
        <w:t xml:space="preserve">the </w:t>
      </w:r>
      <w:proofErr w:type="spellStart"/>
      <w:r w:rsidRPr="0017346B">
        <w:rPr>
          <w:lang w:val="en-US"/>
        </w:rPr>
        <w:t>Costruzioni</w:t>
      </w:r>
      <w:proofErr w:type="spellEnd"/>
      <w:r w:rsidRPr="0017346B">
        <w:rPr>
          <w:lang w:val="en-US"/>
        </w:rPr>
        <w:t xml:space="preserve"> </w:t>
      </w:r>
      <w:proofErr w:type="spellStart"/>
      <w:r w:rsidRPr="0017346B">
        <w:rPr>
          <w:lang w:val="en-US"/>
        </w:rPr>
        <w:t>Motori</w:t>
      </w:r>
      <w:proofErr w:type="spellEnd"/>
      <w:r w:rsidRPr="0017346B">
        <w:rPr>
          <w:lang w:val="en-US"/>
        </w:rPr>
        <w:t xml:space="preserve"> Diesel S.p.A.</w:t>
      </w:r>
      <w:r w:rsidR="009073BD">
        <w:rPr>
          <w:lang w:val="en-US"/>
        </w:rPr>
        <w:t xml:space="preserve"> and</w:t>
      </w:r>
      <w:r w:rsidRPr="0017346B">
        <w:rPr>
          <w:lang w:val="en-US"/>
        </w:rPr>
        <w:t xml:space="preserve"> </w:t>
      </w:r>
      <w:proofErr w:type="spellStart"/>
      <w:r w:rsidRPr="0017346B">
        <w:rPr>
          <w:lang w:val="en-US"/>
        </w:rPr>
        <w:t>eng.</w:t>
      </w:r>
      <w:proofErr w:type="spellEnd"/>
      <w:r w:rsidRPr="0017346B">
        <w:rPr>
          <w:lang w:val="en-US"/>
        </w:rPr>
        <w:t xml:space="preserve"> </w:t>
      </w:r>
      <w:r w:rsidRPr="000000D3">
        <w:rPr>
          <w:lang w:val="en-US"/>
        </w:rPr>
        <w:t>Domenico Cirillo</w:t>
      </w:r>
      <w:r>
        <w:rPr>
          <w:lang w:val="en-US"/>
        </w:rPr>
        <w:t>,</w:t>
      </w:r>
      <w:r w:rsidRPr="000000D3">
        <w:rPr>
          <w:lang w:val="en-US"/>
        </w:rPr>
        <w:t xml:space="preserve"> </w:t>
      </w:r>
      <w:r w:rsidRPr="000000D3">
        <w:t>for</w:t>
      </w:r>
      <w:r>
        <w:t xml:space="preserve"> their</w:t>
      </w:r>
      <w:r w:rsidRPr="000000D3">
        <w:t xml:space="preserve"> support</w:t>
      </w:r>
      <w:r w:rsidR="0017346B">
        <w:t>s</w:t>
      </w:r>
      <w:r w:rsidRPr="000000D3">
        <w:t xml:space="preserve"> to the experimental work</w:t>
      </w:r>
      <w:r>
        <w:t xml:space="preserve"> by using their</w:t>
      </w:r>
      <w:r w:rsidR="0017346B">
        <w:t xml:space="preserve"> micro-cogeneration system, the CMD ECO20x.</w:t>
      </w:r>
      <w:r>
        <w:t xml:space="preserve"> </w:t>
      </w:r>
    </w:p>
    <w:p w14:paraId="4F1327F8" w14:textId="432502D5" w:rsidR="00600535" w:rsidRPr="0017346B" w:rsidRDefault="00600535" w:rsidP="00EB51B6">
      <w:pPr>
        <w:pStyle w:val="CETAcknowledgementstitle"/>
        <w:rPr>
          <w:i/>
        </w:rPr>
      </w:pPr>
      <w:r w:rsidRPr="00B57B36">
        <w:t>References</w:t>
      </w:r>
    </w:p>
    <w:p w14:paraId="22814FB8" w14:textId="77777777" w:rsidR="002E53DB" w:rsidRPr="001F36A9" w:rsidRDefault="00005CAC" w:rsidP="002E53DB">
      <w:pPr>
        <w:pStyle w:val="Bibliografia"/>
        <w:rPr>
          <w:rFonts w:cs="Arial"/>
          <w:sz w:val="16"/>
          <w:szCs w:val="22"/>
        </w:rPr>
      </w:pPr>
      <w:r w:rsidRPr="001F36A9">
        <w:rPr>
          <w:sz w:val="16"/>
          <w:szCs w:val="18"/>
        </w:rPr>
        <w:fldChar w:fldCharType="begin"/>
      </w:r>
      <w:r w:rsidR="002E53DB" w:rsidRPr="001F36A9">
        <w:rPr>
          <w:sz w:val="16"/>
          <w:szCs w:val="18"/>
        </w:rPr>
        <w:instrText xml:space="preserve"> ADDIN ZOTERO_BIBL {"uncited":[],"omitted":[],"custom":[[["http://zotero.org/users/local/v2UwehSA/items/NKAN32Y7"],"Frankl, P., 2017. IEA Technology Roadmap: The need to scale up sustainable bioenergy."],[["http://zotero.org/users/local/v2UwehSA/items/F4D4BL39"],"Italian Legislation, Dlgs 15 novembre 2017, n. 183 - [Online] https://www.normattiva.it/uri-res/N2Ls?urn:nir:stato:decreto.legislativo:2017-11-15;183 , 2017 (accessed 11.12.21) - Italy."],[["http://zotero.org/users/local/v2UwehSA/items/74WWN7ZR"],"Italian Legislation, Dlgs 13 agosto 2010, n. 155 - Normattiva [Online], https://www.normattiva.it/uri-res/N2Ls?urn:nir:stato:decreto.legislativo:2010;155\\uc0\\u160{} , 2010 (accessed 1.9.22) - Italy."]]} CSL_BIBLIOGRAPHY </w:instrText>
      </w:r>
      <w:r w:rsidRPr="001F36A9">
        <w:rPr>
          <w:sz w:val="16"/>
          <w:szCs w:val="18"/>
        </w:rPr>
        <w:fldChar w:fldCharType="separate"/>
      </w:r>
      <w:r w:rsidR="002E53DB" w:rsidRPr="001F36A9">
        <w:rPr>
          <w:rFonts w:cs="Arial"/>
          <w:sz w:val="16"/>
          <w:szCs w:val="22"/>
        </w:rPr>
        <w:t xml:space="preserve">Bates, R. and Dölle, K. (2017) ‘Syngas Use in Internal Combustion Engines - A Review’, </w:t>
      </w:r>
      <w:r w:rsidR="002E53DB" w:rsidRPr="001F36A9">
        <w:rPr>
          <w:rFonts w:cs="Arial"/>
          <w:i/>
          <w:iCs/>
          <w:sz w:val="16"/>
          <w:szCs w:val="22"/>
        </w:rPr>
        <w:t>Advances in Research</w:t>
      </w:r>
      <w:r w:rsidR="002E53DB" w:rsidRPr="001F36A9">
        <w:rPr>
          <w:rFonts w:cs="Arial"/>
          <w:sz w:val="16"/>
          <w:szCs w:val="22"/>
        </w:rPr>
        <w:t>, 10(1), pp. 1–8. doi:10.9734/AIR/2017/32896.</w:t>
      </w:r>
    </w:p>
    <w:p w14:paraId="55DC1D95" w14:textId="77777777" w:rsidR="002E53DB" w:rsidRPr="001F36A9" w:rsidRDefault="002E53DB" w:rsidP="002E53DB">
      <w:pPr>
        <w:pStyle w:val="Bibliografia"/>
        <w:rPr>
          <w:rFonts w:cs="Arial"/>
          <w:sz w:val="16"/>
          <w:szCs w:val="22"/>
        </w:rPr>
      </w:pPr>
      <w:r w:rsidRPr="001F36A9">
        <w:rPr>
          <w:rFonts w:cs="Arial"/>
          <w:sz w:val="16"/>
          <w:szCs w:val="22"/>
        </w:rPr>
        <w:t xml:space="preserve">Caputo, C. </w:t>
      </w:r>
      <w:r w:rsidRPr="001F36A9">
        <w:rPr>
          <w:rFonts w:cs="Arial"/>
          <w:i/>
          <w:iCs/>
          <w:sz w:val="16"/>
          <w:szCs w:val="22"/>
        </w:rPr>
        <w:t>et al.</w:t>
      </w:r>
      <w:r w:rsidRPr="001F36A9">
        <w:rPr>
          <w:rFonts w:cs="Arial"/>
          <w:sz w:val="16"/>
          <w:szCs w:val="22"/>
        </w:rPr>
        <w:t xml:space="preserve"> (2019) </w:t>
      </w:r>
      <w:r w:rsidRPr="001F36A9">
        <w:rPr>
          <w:rFonts w:cs="Arial"/>
          <w:i/>
          <w:iCs/>
          <w:sz w:val="16"/>
          <w:szCs w:val="22"/>
        </w:rPr>
        <w:t>Multi-Level Modeling of Real Syngas Combustion in a Spark Ignition Engine and Experimental Validation</w:t>
      </w:r>
      <w:r w:rsidRPr="001F36A9">
        <w:rPr>
          <w:rFonts w:cs="Arial"/>
          <w:sz w:val="16"/>
          <w:szCs w:val="22"/>
        </w:rPr>
        <w:t>. SAE Technical Paper 2019-24–0012. Warrendale, PA: SAE International. doi:10.4271/2019-24-0012.</w:t>
      </w:r>
    </w:p>
    <w:p w14:paraId="7867D1DD" w14:textId="77777777" w:rsidR="002E53DB" w:rsidRPr="001F36A9" w:rsidRDefault="002E53DB" w:rsidP="002E53DB">
      <w:pPr>
        <w:pStyle w:val="Bibliografia"/>
        <w:rPr>
          <w:rFonts w:cs="Arial"/>
          <w:sz w:val="16"/>
          <w:szCs w:val="22"/>
        </w:rPr>
      </w:pPr>
      <w:r w:rsidRPr="001F36A9">
        <w:rPr>
          <w:rFonts w:cs="Arial"/>
          <w:sz w:val="16"/>
          <w:szCs w:val="22"/>
        </w:rPr>
        <w:t xml:space="preserve">Costa, M. </w:t>
      </w:r>
      <w:r w:rsidRPr="001F36A9">
        <w:rPr>
          <w:rFonts w:cs="Arial"/>
          <w:i/>
          <w:iCs/>
          <w:sz w:val="16"/>
          <w:szCs w:val="22"/>
        </w:rPr>
        <w:t>et al.</w:t>
      </w:r>
      <w:r w:rsidRPr="001F36A9">
        <w:rPr>
          <w:rFonts w:cs="Arial"/>
          <w:sz w:val="16"/>
          <w:szCs w:val="22"/>
        </w:rPr>
        <w:t xml:space="preserve"> (2020) ‘Multi-objective optimization of a syngas powered reciprocating engine equipping a combined heat and power unit’, </w:t>
      </w:r>
      <w:r w:rsidRPr="001F36A9">
        <w:rPr>
          <w:rFonts w:cs="Arial"/>
          <w:i/>
          <w:iCs/>
          <w:sz w:val="16"/>
          <w:szCs w:val="22"/>
        </w:rPr>
        <w:t>Applied Energy</w:t>
      </w:r>
      <w:r w:rsidRPr="001F36A9">
        <w:rPr>
          <w:rFonts w:cs="Arial"/>
          <w:sz w:val="16"/>
          <w:szCs w:val="22"/>
        </w:rPr>
        <w:t>, 275, p. 115418. doi:10.1016/j.apenergy.2020.115418.</w:t>
      </w:r>
    </w:p>
    <w:p w14:paraId="41EB0B56" w14:textId="77777777" w:rsidR="002E53DB" w:rsidRPr="001F36A9" w:rsidRDefault="002E53DB" w:rsidP="002E53DB">
      <w:pPr>
        <w:pStyle w:val="Bibliografia"/>
        <w:rPr>
          <w:rFonts w:cs="Arial"/>
          <w:sz w:val="16"/>
          <w:szCs w:val="22"/>
        </w:rPr>
      </w:pPr>
      <w:r w:rsidRPr="001F36A9">
        <w:rPr>
          <w:rFonts w:cs="Arial"/>
          <w:sz w:val="16"/>
          <w:szCs w:val="22"/>
        </w:rPr>
        <w:t>Italian Legislation, Dlgs 13 agosto 2010, n. 155 - Normattiva [Online], https://www.normattiva.it/uri-res/N2Ls?urn:nir:stato:decreto.legislativo:2010;155  , 2010 (accessed 1.9.22) - Italy.</w:t>
      </w:r>
    </w:p>
    <w:p w14:paraId="711ECC6A" w14:textId="77777777" w:rsidR="002E53DB" w:rsidRPr="001F36A9" w:rsidRDefault="002E53DB" w:rsidP="002E53DB">
      <w:pPr>
        <w:pStyle w:val="Bibliografia"/>
        <w:rPr>
          <w:rFonts w:cs="Arial"/>
          <w:sz w:val="16"/>
          <w:szCs w:val="22"/>
        </w:rPr>
      </w:pPr>
      <w:r w:rsidRPr="001F36A9">
        <w:rPr>
          <w:rFonts w:cs="Arial"/>
          <w:sz w:val="16"/>
          <w:szCs w:val="22"/>
        </w:rPr>
        <w:t>Italian Legislation, Dlgs 15 novembre 2017, n. 183 - [Online] https://www.normattiva.it/uri-res/N2Ls?urn:nir:stato:decreto.legislativo:2017-11-15;183 , 2017 (accessed 11.12.21) - Italy.</w:t>
      </w:r>
    </w:p>
    <w:p w14:paraId="4594E71C" w14:textId="43BA322F" w:rsidR="002E53DB" w:rsidRPr="001F36A9" w:rsidRDefault="002E53DB" w:rsidP="002E53DB">
      <w:pPr>
        <w:pStyle w:val="Bibliografia"/>
        <w:rPr>
          <w:rFonts w:cs="Arial"/>
          <w:sz w:val="16"/>
          <w:szCs w:val="22"/>
        </w:rPr>
      </w:pPr>
      <w:r w:rsidRPr="001F36A9">
        <w:rPr>
          <w:rFonts w:cs="Arial"/>
          <w:sz w:val="16"/>
          <w:szCs w:val="22"/>
        </w:rPr>
        <w:t xml:space="preserve">Frankl, P., </w:t>
      </w:r>
      <w:r w:rsidR="008141AB" w:rsidRPr="001F36A9">
        <w:rPr>
          <w:rFonts w:cs="Arial"/>
          <w:sz w:val="16"/>
          <w:szCs w:val="22"/>
        </w:rPr>
        <w:t>(</w:t>
      </w:r>
      <w:r w:rsidRPr="001F36A9">
        <w:rPr>
          <w:rFonts w:cs="Arial"/>
          <w:sz w:val="16"/>
          <w:szCs w:val="22"/>
        </w:rPr>
        <w:t>2017</w:t>
      </w:r>
      <w:r w:rsidR="008141AB" w:rsidRPr="001F36A9">
        <w:rPr>
          <w:rFonts w:cs="Arial"/>
          <w:sz w:val="16"/>
          <w:szCs w:val="22"/>
        </w:rPr>
        <w:t>)</w:t>
      </w:r>
      <w:r w:rsidRPr="001F36A9">
        <w:rPr>
          <w:rFonts w:cs="Arial"/>
          <w:sz w:val="16"/>
          <w:szCs w:val="22"/>
        </w:rPr>
        <w:t>. IEA Technology Roadmap: The need to scale up sustainable bioenergy.</w:t>
      </w:r>
    </w:p>
    <w:p w14:paraId="19C4FC68" w14:textId="4C6CD8E6" w:rsidR="004628D2" w:rsidRPr="001F36A9" w:rsidRDefault="002E53DB" w:rsidP="00095CFC">
      <w:pPr>
        <w:pStyle w:val="Bibliografia"/>
        <w:rPr>
          <w:sz w:val="16"/>
          <w:szCs w:val="18"/>
        </w:rPr>
      </w:pPr>
      <w:r w:rsidRPr="001F36A9">
        <w:rPr>
          <w:rFonts w:cs="Arial"/>
          <w:sz w:val="16"/>
          <w:szCs w:val="22"/>
        </w:rPr>
        <w:t xml:space="preserve">Heywood, J.B. (2018) </w:t>
      </w:r>
      <w:r w:rsidRPr="001F36A9">
        <w:rPr>
          <w:rFonts w:cs="Arial"/>
          <w:i/>
          <w:iCs/>
          <w:sz w:val="16"/>
          <w:szCs w:val="22"/>
        </w:rPr>
        <w:t>Internal Combustion Engine Fundamentals</w:t>
      </w:r>
      <w:r w:rsidRPr="001F36A9">
        <w:rPr>
          <w:rFonts w:cs="Arial"/>
          <w:sz w:val="16"/>
          <w:szCs w:val="22"/>
        </w:rPr>
        <w:t>. McGraw-Hill Education. Available at: https://www.accessengineeringlibrary.com/content/book/9781260116106 (Accessed: 20 December 2021).</w:t>
      </w:r>
      <w:r w:rsidR="00005CAC" w:rsidRPr="001F36A9">
        <w:rPr>
          <w:sz w:val="16"/>
          <w:szCs w:val="18"/>
        </w:rPr>
        <w:fldChar w:fldCharType="end"/>
      </w:r>
    </w:p>
    <w:p w14:paraId="06C9C414" w14:textId="67601727" w:rsidR="00164FDF" w:rsidRDefault="008141AB" w:rsidP="00095CFC">
      <w:pPr>
        <w:pStyle w:val="Bibliografia"/>
        <w:rPr>
          <w:rFonts w:cs="Arial"/>
          <w:sz w:val="16"/>
          <w:szCs w:val="22"/>
        </w:rPr>
      </w:pPr>
      <w:r w:rsidRPr="001F36A9">
        <w:rPr>
          <w:rFonts w:cs="Arial"/>
          <w:sz w:val="16"/>
          <w:szCs w:val="22"/>
        </w:rPr>
        <w:t>Lund, H., (2014)</w:t>
      </w:r>
      <w:proofErr w:type="gramStart"/>
      <w:r w:rsidRPr="001F36A9">
        <w:rPr>
          <w:rFonts w:cs="Arial"/>
          <w:sz w:val="16"/>
          <w:szCs w:val="22"/>
        </w:rPr>
        <w:t>.”Renewable</w:t>
      </w:r>
      <w:proofErr w:type="gramEnd"/>
      <w:r w:rsidRPr="001F36A9">
        <w:rPr>
          <w:rFonts w:cs="Arial"/>
          <w:sz w:val="16"/>
          <w:szCs w:val="22"/>
        </w:rPr>
        <w:t xml:space="preserve"> energy systems: a smart energy systems approach to the choice and </w:t>
      </w:r>
      <w:proofErr w:type="spellStart"/>
      <w:r w:rsidRPr="001F36A9">
        <w:rPr>
          <w:rFonts w:cs="Arial"/>
          <w:sz w:val="16"/>
          <w:szCs w:val="22"/>
        </w:rPr>
        <w:t>modeling</w:t>
      </w:r>
      <w:proofErr w:type="spellEnd"/>
      <w:r w:rsidRPr="001F36A9">
        <w:rPr>
          <w:rFonts w:cs="Arial"/>
          <w:sz w:val="16"/>
          <w:szCs w:val="22"/>
        </w:rPr>
        <w:t xml:space="preserve"> of 100% renewable solutions”. Chemical Engineering Transaction. </w:t>
      </w:r>
      <w:proofErr w:type="spellStart"/>
      <w:r w:rsidRPr="001F36A9">
        <w:rPr>
          <w:rFonts w:cs="Arial"/>
          <w:sz w:val="16"/>
          <w:szCs w:val="22"/>
        </w:rPr>
        <w:t>doi</w:t>
      </w:r>
      <w:proofErr w:type="spellEnd"/>
      <w:r w:rsidRPr="001F36A9">
        <w:rPr>
          <w:rFonts w:cs="Arial"/>
          <w:sz w:val="16"/>
          <w:szCs w:val="22"/>
        </w:rPr>
        <w:t>: https://doi.org/10.3303/CET1439001  2014.</w:t>
      </w:r>
    </w:p>
    <w:p w14:paraId="6C65310C" w14:textId="46AE07C9" w:rsidR="00E4308D" w:rsidRPr="001F36A9" w:rsidRDefault="00E4308D" w:rsidP="00E4308D">
      <w:pPr>
        <w:pStyle w:val="Bibliografia"/>
        <w:rPr>
          <w:rFonts w:cs="Arial"/>
          <w:sz w:val="16"/>
          <w:szCs w:val="22"/>
        </w:rPr>
      </w:pPr>
      <w:r w:rsidRPr="00E4308D">
        <w:rPr>
          <w:rFonts w:cs="Arial"/>
          <w:sz w:val="16"/>
          <w:szCs w:val="22"/>
        </w:rPr>
        <w:t>Stark, M</w:t>
      </w:r>
      <w:r>
        <w:rPr>
          <w:rFonts w:cs="Arial"/>
          <w:sz w:val="16"/>
          <w:szCs w:val="22"/>
        </w:rPr>
        <w:t>.</w:t>
      </w:r>
      <w:r w:rsidRPr="00E4308D">
        <w:rPr>
          <w:rFonts w:cs="Arial"/>
          <w:sz w:val="16"/>
          <w:szCs w:val="22"/>
        </w:rPr>
        <w:t>, et al. (2019)</w:t>
      </w:r>
      <w:r>
        <w:rPr>
          <w:rFonts w:cs="Arial"/>
          <w:sz w:val="16"/>
          <w:szCs w:val="22"/>
        </w:rPr>
        <w:t xml:space="preserve"> </w:t>
      </w:r>
      <w:r w:rsidRPr="00E4308D">
        <w:rPr>
          <w:rFonts w:cs="Arial"/>
          <w:sz w:val="16"/>
          <w:szCs w:val="22"/>
        </w:rPr>
        <w:t>"Design Parameters of Steam Accumulators for the Utilization in Industrial Solid Biomass-Fuelled CHP Plants." CHEMICAL ENGINEERING</w:t>
      </w:r>
      <w:r>
        <w:rPr>
          <w:rFonts w:cs="Arial"/>
          <w:sz w:val="16"/>
          <w:szCs w:val="22"/>
        </w:rPr>
        <w:t>,</w:t>
      </w:r>
      <w:r w:rsidRPr="00E4308D">
        <w:rPr>
          <w:rFonts w:cs="Arial"/>
          <w:sz w:val="16"/>
          <w:szCs w:val="22"/>
        </w:rPr>
        <w:t xml:space="preserve"> 76.</w:t>
      </w:r>
      <w:r>
        <w:rPr>
          <w:rFonts w:cs="Arial"/>
          <w:sz w:val="16"/>
          <w:szCs w:val="22"/>
        </w:rPr>
        <w:t xml:space="preserve"> </w:t>
      </w:r>
      <w:proofErr w:type="spellStart"/>
      <w:r w:rsidR="00864F1B">
        <w:rPr>
          <w:rFonts w:cs="Arial"/>
          <w:sz w:val="16"/>
          <w:szCs w:val="22"/>
        </w:rPr>
        <w:t>d</w:t>
      </w:r>
      <w:r>
        <w:rPr>
          <w:rFonts w:cs="Arial"/>
          <w:sz w:val="16"/>
          <w:szCs w:val="22"/>
        </w:rPr>
        <w:t>oi</w:t>
      </w:r>
      <w:proofErr w:type="spellEnd"/>
      <w:r>
        <w:rPr>
          <w:rFonts w:cs="Arial"/>
          <w:sz w:val="16"/>
          <w:szCs w:val="22"/>
        </w:rPr>
        <w:t xml:space="preserve">: </w:t>
      </w:r>
      <w:r w:rsidR="00864F1B" w:rsidRPr="00864F1B">
        <w:rPr>
          <w:rFonts w:cs="Arial"/>
          <w:sz w:val="16"/>
          <w:szCs w:val="22"/>
        </w:rPr>
        <w:t>https://doi.org/10.3303/CET1976137</w:t>
      </w:r>
    </w:p>
    <w:sectPr w:rsidR="00E4308D" w:rsidRPr="001F36A9"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04C58" w14:textId="77777777" w:rsidR="0011119B" w:rsidRDefault="0011119B" w:rsidP="004F5E36">
      <w:r>
        <w:separator/>
      </w:r>
    </w:p>
  </w:endnote>
  <w:endnote w:type="continuationSeparator" w:id="0">
    <w:p w14:paraId="2947A38C" w14:textId="77777777" w:rsidR="0011119B" w:rsidRDefault="0011119B"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5472894"/>
      <w:docPartObj>
        <w:docPartGallery w:val="Page Numbers (Bottom of Page)"/>
        <w:docPartUnique/>
      </w:docPartObj>
    </w:sdtPr>
    <w:sdtEndPr/>
    <w:sdtContent>
      <w:p w14:paraId="52D69313" w14:textId="5D800E82" w:rsidR="00C316D0" w:rsidRDefault="00C316D0">
        <w:pPr>
          <w:pStyle w:val="Pidipagina"/>
          <w:jc w:val="right"/>
        </w:pPr>
        <w:r>
          <w:fldChar w:fldCharType="begin"/>
        </w:r>
        <w:r>
          <w:instrText>PAGE   \* MERGEFORMAT</w:instrText>
        </w:r>
        <w:r>
          <w:fldChar w:fldCharType="separate"/>
        </w:r>
        <w:r w:rsidR="00BE6966" w:rsidRPr="00BE6966">
          <w:rPr>
            <w:noProof/>
            <w:lang w:val="it-IT"/>
          </w:rPr>
          <w:t>7</w:t>
        </w:r>
        <w:r>
          <w:fldChar w:fldCharType="end"/>
        </w:r>
      </w:p>
    </w:sdtContent>
  </w:sdt>
  <w:p w14:paraId="4750BADA" w14:textId="77777777" w:rsidR="00C316D0" w:rsidRDefault="00C316D0">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898406" w14:textId="77777777" w:rsidR="0011119B" w:rsidRDefault="0011119B" w:rsidP="004F5E36">
      <w:r>
        <w:separator/>
      </w:r>
    </w:p>
  </w:footnote>
  <w:footnote w:type="continuationSeparator" w:id="0">
    <w:p w14:paraId="5ECE8577" w14:textId="77777777" w:rsidR="0011119B" w:rsidRDefault="0011119B"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04624F3"/>
    <w:multiLevelType w:val="hybridMultilevel"/>
    <w:tmpl w:val="51CEC7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4DE72B3"/>
    <w:multiLevelType w:val="hybridMultilevel"/>
    <w:tmpl w:val="149622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43016F"/>
    <w:multiLevelType w:val="hybridMultilevel"/>
    <w:tmpl w:val="6A56DFE4"/>
    <w:lvl w:ilvl="0" w:tplc="04100001">
      <w:start w:val="1"/>
      <w:numFmt w:val="bullet"/>
      <w:lvlText w:val=""/>
      <w:lvlJc w:val="left"/>
      <w:pPr>
        <w:ind w:left="833" w:hanging="360"/>
      </w:pPr>
      <w:rPr>
        <w:rFonts w:ascii="Symbol" w:hAnsi="Symbol" w:hint="default"/>
      </w:rPr>
    </w:lvl>
    <w:lvl w:ilvl="1" w:tplc="04100003" w:tentative="1">
      <w:start w:val="1"/>
      <w:numFmt w:val="bullet"/>
      <w:lvlText w:val="o"/>
      <w:lvlJc w:val="left"/>
      <w:pPr>
        <w:ind w:left="1553" w:hanging="360"/>
      </w:pPr>
      <w:rPr>
        <w:rFonts w:ascii="Courier New" w:hAnsi="Courier New" w:cs="Courier New" w:hint="default"/>
      </w:rPr>
    </w:lvl>
    <w:lvl w:ilvl="2" w:tplc="04100005" w:tentative="1">
      <w:start w:val="1"/>
      <w:numFmt w:val="bullet"/>
      <w:lvlText w:val=""/>
      <w:lvlJc w:val="left"/>
      <w:pPr>
        <w:ind w:left="2273" w:hanging="360"/>
      </w:pPr>
      <w:rPr>
        <w:rFonts w:ascii="Wingdings" w:hAnsi="Wingdings" w:hint="default"/>
      </w:rPr>
    </w:lvl>
    <w:lvl w:ilvl="3" w:tplc="04100001" w:tentative="1">
      <w:start w:val="1"/>
      <w:numFmt w:val="bullet"/>
      <w:lvlText w:val=""/>
      <w:lvlJc w:val="left"/>
      <w:pPr>
        <w:ind w:left="2993" w:hanging="360"/>
      </w:pPr>
      <w:rPr>
        <w:rFonts w:ascii="Symbol" w:hAnsi="Symbol" w:hint="default"/>
      </w:rPr>
    </w:lvl>
    <w:lvl w:ilvl="4" w:tplc="04100003" w:tentative="1">
      <w:start w:val="1"/>
      <w:numFmt w:val="bullet"/>
      <w:lvlText w:val="o"/>
      <w:lvlJc w:val="left"/>
      <w:pPr>
        <w:ind w:left="3713" w:hanging="360"/>
      </w:pPr>
      <w:rPr>
        <w:rFonts w:ascii="Courier New" w:hAnsi="Courier New" w:cs="Courier New" w:hint="default"/>
      </w:rPr>
    </w:lvl>
    <w:lvl w:ilvl="5" w:tplc="04100005" w:tentative="1">
      <w:start w:val="1"/>
      <w:numFmt w:val="bullet"/>
      <w:lvlText w:val=""/>
      <w:lvlJc w:val="left"/>
      <w:pPr>
        <w:ind w:left="4433" w:hanging="360"/>
      </w:pPr>
      <w:rPr>
        <w:rFonts w:ascii="Wingdings" w:hAnsi="Wingdings" w:hint="default"/>
      </w:rPr>
    </w:lvl>
    <w:lvl w:ilvl="6" w:tplc="04100001" w:tentative="1">
      <w:start w:val="1"/>
      <w:numFmt w:val="bullet"/>
      <w:lvlText w:val=""/>
      <w:lvlJc w:val="left"/>
      <w:pPr>
        <w:ind w:left="5153" w:hanging="360"/>
      </w:pPr>
      <w:rPr>
        <w:rFonts w:ascii="Symbol" w:hAnsi="Symbol" w:hint="default"/>
      </w:rPr>
    </w:lvl>
    <w:lvl w:ilvl="7" w:tplc="04100003" w:tentative="1">
      <w:start w:val="1"/>
      <w:numFmt w:val="bullet"/>
      <w:lvlText w:val="o"/>
      <w:lvlJc w:val="left"/>
      <w:pPr>
        <w:ind w:left="5873" w:hanging="360"/>
      </w:pPr>
      <w:rPr>
        <w:rFonts w:ascii="Courier New" w:hAnsi="Courier New" w:cs="Courier New" w:hint="default"/>
      </w:rPr>
    </w:lvl>
    <w:lvl w:ilvl="8" w:tplc="04100005" w:tentative="1">
      <w:start w:val="1"/>
      <w:numFmt w:val="bullet"/>
      <w:lvlText w:val=""/>
      <w:lvlJc w:val="left"/>
      <w:pPr>
        <w:ind w:left="6593" w:hanging="360"/>
      </w:pPr>
      <w:rPr>
        <w:rFonts w:ascii="Wingdings" w:hAnsi="Wingdings" w:hint="default"/>
      </w:rPr>
    </w:lvl>
  </w:abstractNum>
  <w:abstractNum w:abstractNumId="13" w15:restartNumberingAfterBreak="0">
    <w:nsid w:val="0B875D77"/>
    <w:multiLevelType w:val="hybridMultilevel"/>
    <w:tmpl w:val="CDD01FB0"/>
    <w:lvl w:ilvl="0" w:tplc="B986E168">
      <w:start w:val="1"/>
      <w:numFmt w:val="decimal"/>
      <w:lvlText w:val="%1."/>
      <w:lvlJc w:val="left"/>
      <w:pPr>
        <w:ind w:left="473" w:hanging="360"/>
      </w:pPr>
      <w:rPr>
        <w:rFonts w:hint="default"/>
      </w:rPr>
    </w:lvl>
    <w:lvl w:ilvl="1" w:tplc="04100019">
      <w:start w:val="1"/>
      <w:numFmt w:val="lowerLetter"/>
      <w:lvlText w:val="%2."/>
      <w:lvlJc w:val="left"/>
      <w:pPr>
        <w:ind w:left="1193" w:hanging="360"/>
      </w:pPr>
    </w:lvl>
    <w:lvl w:ilvl="2" w:tplc="0410001B" w:tentative="1">
      <w:start w:val="1"/>
      <w:numFmt w:val="lowerRoman"/>
      <w:lvlText w:val="%3."/>
      <w:lvlJc w:val="right"/>
      <w:pPr>
        <w:ind w:left="1913" w:hanging="180"/>
      </w:pPr>
    </w:lvl>
    <w:lvl w:ilvl="3" w:tplc="0410000F" w:tentative="1">
      <w:start w:val="1"/>
      <w:numFmt w:val="decimal"/>
      <w:lvlText w:val="%4."/>
      <w:lvlJc w:val="left"/>
      <w:pPr>
        <w:ind w:left="2633" w:hanging="360"/>
      </w:pPr>
    </w:lvl>
    <w:lvl w:ilvl="4" w:tplc="04100019" w:tentative="1">
      <w:start w:val="1"/>
      <w:numFmt w:val="lowerLetter"/>
      <w:lvlText w:val="%5."/>
      <w:lvlJc w:val="left"/>
      <w:pPr>
        <w:ind w:left="3353" w:hanging="360"/>
      </w:pPr>
    </w:lvl>
    <w:lvl w:ilvl="5" w:tplc="0410001B" w:tentative="1">
      <w:start w:val="1"/>
      <w:numFmt w:val="lowerRoman"/>
      <w:lvlText w:val="%6."/>
      <w:lvlJc w:val="right"/>
      <w:pPr>
        <w:ind w:left="4073" w:hanging="180"/>
      </w:pPr>
    </w:lvl>
    <w:lvl w:ilvl="6" w:tplc="0410000F" w:tentative="1">
      <w:start w:val="1"/>
      <w:numFmt w:val="decimal"/>
      <w:lvlText w:val="%7."/>
      <w:lvlJc w:val="left"/>
      <w:pPr>
        <w:ind w:left="4793" w:hanging="360"/>
      </w:pPr>
    </w:lvl>
    <w:lvl w:ilvl="7" w:tplc="04100019" w:tentative="1">
      <w:start w:val="1"/>
      <w:numFmt w:val="lowerLetter"/>
      <w:lvlText w:val="%8."/>
      <w:lvlJc w:val="left"/>
      <w:pPr>
        <w:ind w:left="5513" w:hanging="360"/>
      </w:pPr>
    </w:lvl>
    <w:lvl w:ilvl="8" w:tplc="0410001B" w:tentative="1">
      <w:start w:val="1"/>
      <w:numFmt w:val="lowerRoman"/>
      <w:lvlText w:val="%9."/>
      <w:lvlJc w:val="right"/>
      <w:pPr>
        <w:ind w:left="6233" w:hanging="180"/>
      </w:pPr>
    </w:lvl>
  </w:abstractNum>
  <w:abstractNum w:abstractNumId="14" w15:restartNumberingAfterBreak="0">
    <w:nsid w:val="115F2A6E"/>
    <w:multiLevelType w:val="hybridMultilevel"/>
    <w:tmpl w:val="526429D6"/>
    <w:lvl w:ilvl="0" w:tplc="E0083D3A">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FF534A9"/>
    <w:multiLevelType w:val="hybridMultilevel"/>
    <w:tmpl w:val="FC56F17C"/>
    <w:lvl w:ilvl="0" w:tplc="E0083D3A">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7" w15:restartNumberingAfterBreak="0">
    <w:nsid w:val="29491639"/>
    <w:multiLevelType w:val="hybridMultilevel"/>
    <w:tmpl w:val="85F0BEB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2D135EB5"/>
    <w:multiLevelType w:val="hybridMultilevel"/>
    <w:tmpl w:val="25C429A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3F2239B5"/>
    <w:multiLevelType w:val="hybridMultilevel"/>
    <w:tmpl w:val="C226C0D0"/>
    <w:lvl w:ilvl="0" w:tplc="719860CA">
      <w:start w:val="1"/>
      <w:numFmt w:val="decimal"/>
      <w:lvlText w:val="%1."/>
      <w:lvlJc w:val="left"/>
      <w:pPr>
        <w:ind w:left="473" w:hanging="360"/>
      </w:pPr>
      <w:rPr>
        <w:rFonts w:hint="default"/>
      </w:rPr>
    </w:lvl>
    <w:lvl w:ilvl="1" w:tplc="04100019" w:tentative="1">
      <w:start w:val="1"/>
      <w:numFmt w:val="lowerLetter"/>
      <w:lvlText w:val="%2."/>
      <w:lvlJc w:val="left"/>
      <w:pPr>
        <w:ind w:left="1193" w:hanging="360"/>
      </w:pPr>
    </w:lvl>
    <w:lvl w:ilvl="2" w:tplc="0410001B" w:tentative="1">
      <w:start w:val="1"/>
      <w:numFmt w:val="lowerRoman"/>
      <w:lvlText w:val="%3."/>
      <w:lvlJc w:val="right"/>
      <w:pPr>
        <w:ind w:left="1913" w:hanging="180"/>
      </w:pPr>
    </w:lvl>
    <w:lvl w:ilvl="3" w:tplc="0410000F" w:tentative="1">
      <w:start w:val="1"/>
      <w:numFmt w:val="decimal"/>
      <w:lvlText w:val="%4."/>
      <w:lvlJc w:val="left"/>
      <w:pPr>
        <w:ind w:left="2633" w:hanging="360"/>
      </w:pPr>
    </w:lvl>
    <w:lvl w:ilvl="4" w:tplc="04100019" w:tentative="1">
      <w:start w:val="1"/>
      <w:numFmt w:val="lowerLetter"/>
      <w:lvlText w:val="%5."/>
      <w:lvlJc w:val="left"/>
      <w:pPr>
        <w:ind w:left="3353" w:hanging="360"/>
      </w:pPr>
    </w:lvl>
    <w:lvl w:ilvl="5" w:tplc="0410001B" w:tentative="1">
      <w:start w:val="1"/>
      <w:numFmt w:val="lowerRoman"/>
      <w:lvlText w:val="%6."/>
      <w:lvlJc w:val="right"/>
      <w:pPr>
        <w:ind w:left="4073" w:hanging="180"/>
      </w:pPr>
    </w:lvl>
    <w:lvl w:ilvl="6" w:tplc="0410000F" w:tentative="1">
      <w:start w:val="1"/>
      <w:numFmt w:val="decimal"/>
      <w:lvlText w:val="%7."/>
      <w:lvlJc w:val="left"/>
      <w:pPr>
        <w:ind w:left="4793" w:hanging="360"/>
      </w:pPr>
    </w:lvl>
    <w:lvl w:ilvl="7" w:tplc="04100019" w:tentative="1">
      <w:start w:val="1"/>
      <w:numFmt w:val="lowerLetter"/>
      <w:lvlText w:val="%8."/>
      <w:lvlJc w:val="left"/>
      <w:pPr>
        <w:ind w:left="5513" w:hanging="360"/>
      </w:pPr>
    </w:lvl>
    <w:lvl w:ilvl="8" w:tplc="0410001B" w:tentative="1">
      <w:start w:val="1"/>
      <w:numFmt w:val="lowerRoman"/>
      <w:lvlText w:val="%9."/>
      <w:lvlJc w:val="right"/>
      <w:pPr>
        <w:ind w:left="6233" w:hanging="180"/>
      </w:pPr>
    </w:lvl>
  </w:abstractNum>
  <w:abstractNum w:abstractNumId="24" w15:restartNumberingAfterBreak="0">
    <w:nsid w:val="401C397C"/>
    <w:multiLevelType w:val="hybridMultilevel"/>
    <w:tmpl w:val="045C8A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622F61C7"/>
    <w:multiLevelType w:val="hybridMultilevel"/>
    <w:tmpl w:val="020CD3D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73EA2F26"/>
    <w:multiLevelType w:val="hybridMultilevel"/>
    <w:tmpl w:val="17764BB8"/>
    <w:lvl w:ilvl="0" w:tplc="E0083D3A">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7B2806C6"/>
    <w:multiLevelType w:val="hybridMultilevel"/>
    <w:tmpl w:val="1B7CD7B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27"/>
  </w:num>
  <w:num w:numId="13">
    <w:abstractNumId w:val="20"/>
  </w:num>
  <w:num w:numId="14">
    <w:abstractNumId w:val="28"/>
  </w:num>
  <w:num w:numId="15">
    <w:abstractNumId w:val="31"/>
  </w:num>
  <w:num w:numId="16">
    <w:abstractNumId w:val="30"/>
  </w:num>
  <w:num w:numId="17">
    <w:abstractNumId w:val="19"/>
  </w:num>
  <w:num w:numId="18">
    <w:abstractNumId w:val="20"/>
    <w:lvlOverride w:ilvl="0">
      <w:startOverride w:val="1"/>
    </w:lvlOverride>
  </w:num>
  <w:num w:numId="19">
    <w:abstractNumId w:val="26"/>
  </w:num>
  <w:num w:numId="20">
    <w:abstractNumId w:val="25"/>
  </w:num>
  <w:num w:numId="21">
    <w:abstractNumId w:val="22"/>
  </w:num>
  <w:num w:numId="22">
    <w:abstractNumId w:val="21"/>
  </w:num>
  <w:num w:numId="23">
    <w:abstractNumId w:val="11"/>
  </w:num>
  <w:num w:numId="24">
    <w:abstractNumId w:val="14"/>
  </w:num>
  <w:num w:numId="25">
    <w:abstractNumId w:val="15"/>
  </w:num>
  <w:num w:numId="26">
    <w:abstractNumId w:val="32"/>
  </w:num>
  <w:num w:numId="27">
    <w:abstractNumId w:val="33"/>
  </w:num>
  <w:num w:numId="28">
    <w:abstractNumId w:val="17"/>
  </w:num>
  <w:num w:numId="29">
    <w:abstractNumId w:val="29"/>
  </w:num>
  <w:num w:numId="30">
    <w:abstractNumId w:val="18"/>
  </w:num>
  <w:num w:numId="31">
    <w:abstractNumId w:val="24"/>
  </w:num>
  <w:num w:numId="32">
    <w:abstractNumId w:val="10"/>
  </w:num>
  <w:num w:numId="33">
    <w:abstractNumId w:val="13"/>
  </w:num>
  <w:num w:numId="34">
    <w:abstractNumId w:val="12"/>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hideGrammaticalErrors/>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Titolo3Carattere"/>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kwNKwFACte/oUtAAAA"/>
  </w:docVars>
  <w:rsids>
    <w:rsidRoot w:val="000E414A"/>
    <w:rsid w:val="000000D3"/>
    <w:rsid w:val="000027C0"/>
    <w:rsid w:val="000052FB"/>
    <w:rsid w:val="00005CAC"/>
    <w:rsid w:val="000117CB"/>
    <w:rsid w:val="0003148D"/>
    <w:rsid w:val="00031EEC"/>
    <w:rsid w:val="00051566"/>
    <w:rsid w:val="00062A9A"/>
    <w:rsid w:val="00065058"/>
    <w:rsid w:val="00083CAC"/>
    <w:rsid w:val="00086C39"/>
    <w:rsid w:val="00095CFC"/>
    <w:rsid w:val="000A03B2"/>
    <w:rsid w:val="000D0268"/>
    <w:rsid w:val="000D34BE"/>
    <w:rsid w:val="000E0EE5"/>
    <w:rsid w:val="000E102F"/>
    <w:rsid w:val="000E36F1"/>
    <w:rsid w:val="000E3A73"/>
    <w:rsid w:val="000E414A"/>
    <w:rsid w:val="000F093C"/>
    <w:rsid w:val="000F787B"/>
    <w:rsid w:val="0011119B"/>
    <w:rsid w:val="0012091F"/>
    <w:rsid w:val="00124A1E"/>
    <w:rsid w:val="00126BC2"/>
    <w:rsid w:val="001300CA"/>
    <w:rsid w:val="001308B6"/>
    <w:rsid w:val="0013121F"/>
    <w:rsid w:val="00131FE6"/>
    <w:rsid w:val="0013263F"/>
    <w:rsid w:val="001331DF"/>
    <w:rsid w:val="00134DE4"/>
    <w:rsid w:val="0014034D"/>
    <w:rsid w:val="00144D16"/>
    <w:rsid w:val="00150E59"/>
    <w:rsid w:val="00152DE3"/>
    <w:rsid w:val="00161892"/>
    <w:rsid w:val="00164CF9"/>
    <w:rsid w:val="00164FDF"/>
    <w:rsid w:val="001667A6"/>
    <w:rsid w:val="0017106E"/>
    <w:rsid w:val="0017165A"/>
    <w:rsid w:val="0017346B"/>
    <w:rsid w:val="00184AD6"/>
    <w:rsid w:val="001A4AF7"/>
    <w:rsid w:val="001B0349"/>
    <w:rsid w:val="001B1E93"/>
    <w:rsid w:val="001B65C1"/>
    <w:rsid w:val="001C684B"/>
    <w:rsid w:val="001D0CFB"/>
    <w:rsid w:val="001D21AF"/>
    <w:rsid w:val="001D53FC"/>
    <w:rsid w:val="001F36A9"/>
    <w:rsid w:val="001F42A5"/>
    <w:rsid w:val="001F7B9D"/>
    <w:rsid w:val="00201C93"/>
    <w:rsid w:val="00214946"/>
    <w:rsid w:val="002224B4"/>
    <w:rsid w:val="00233A52"/>
    <w:rsid w:val="00234B7C"/>
    <w:rsid w:val="002447EF"/>
    <w:rsid w:val="00251550"/>
    <w:rsid w:val="00263B05"/>
    <w:rsid w:val="0027221A"/>
    <w:rsid w:val="00275B61"/>
    <w:rsid w:val="00280FAF"/>
    <w:rsid w:val="00282656"/>
    <w:rsid w:val="00296B83"/>
    <w:rsid w:val="002B4015"/>
    <w:rsid w:val="002B53B0"/>
    <w:rsid w:val="002B78CE"/>
    <w:rsid w:val="002C2FB6"/>
    <w:rsid w:val="002D2CB7"/>
    <w:rsid w:val="002E53DB"/>
    <w:rsid w:val="002E5FA7"/>
    <w:rsid w:val="002F05B1"/>
    <w:rsid w:val="002F3309"/>
    <w:rsid w:val="003008CE"/>
    <w:rsid w:val="003009B7"/>
    <w:rsid w:val="00300E56"/>
    <w:rsid w:val="0030469C"/>
    <w:rsid w:val="00321CA6"/>
    <w:rsid w:val="00323763"/>
    <w:rsid w:val="00333CB0"/>
    <w:rsid w:val="00333CE4"/>
    <w:rsid w:val="00334C09"/>
    <w:rsid w:val="003723D4"/>
    <w:rsid w:val="00381905"/>
    <w:rsid w:val="00384CC8"/>
    <w:rsid w:val="003871FD"/>
    <w:rsid w:val="003A1E30"/>
    <w:rsid w:val="003A2829"/>
    <w:rsid w:val="003A7247"/>
    <w:rsid w:val="003A7D1C"/>
    <w:rsid w:val="003B1A2A"/>
    <w:rsid w:val="003B304B"/>
    <w:rsid w:val="003B3146"/>
    <w:rsid w:val="003F015E"/>
    <w:rsid w:val="00400414"/>
    <w:rsid w:val="0041446B"/>
    <w:rsid w:val="0044071E"/>
    <w:rsid w:val="0044329C"/>
    <w:rsid w:val="00446432"/>
    <w:rsid w:val="00453E24"/>
    <w:rsid w:val="00457456"/>
    <w:rsid w:val="004577FE"/>
    <w:rsid w:val="00457B9C"/>
    <w:rsid w:val="0046164A"/>
    <w:rsid w:val="004628D2"/>
    <w:rsid w:val="00462DCD"/>
    <w:rsid w:val="004648AD"/>
    <w:rsid w:val="004703A9"/>
    <w:rsid w:val="004760DE"/>
    <w:rsid w:val="004763D7"/>
    <w:rsid w:val="00492414"/>
    <w:rsid w:val="004A004E"/>
    <w:rsid w:val="004A24CF"/>
    <w:rsid w:val="004B00AD"/>
    <w:rsid w:val="004C3D1D"/>
    <w:rsid w:val="004C7913"/>
    <w:rsid w:val="004E4DD6"/>
    <w:rsid w:val="004E532C"/>
    <w:rsid w:val="004F5E36"/>
    <w:rsid w:val="00507B47"/>
    <w:rsid w:val="00507BEF"/>
    <w:rsid w:val="00507CC9"/>
    <w:rsid w:val="00510C57"/>
    <w:rsid w:val="005119A5"/>
    <w:rsid w:val="005278B7"/>
    <w:rsid w:val="00532016"/>
    <w:rsid w:val="005346C8"/>
    <w:rsid w:val="00540D76"/>
    <w:rsid w:val="00543E7D"/>
    <w:rsid w:val="00547A68"/>
    <w:rsid w:val="005531C9"/>
    <w:rsid w:val="00570C43"/>
    <w:rsid w:val="0059124E"/>
    <w:rsid w:val="005A0F18"/>
    <w:rsid w:val="005B2110"/>
    <w:rsid w:val="005B61E6"/>
    <w:rsid w:val="005C77E1"/>
    <w:rsid w:val="005D668A"/>
    <w:rsid w:val="005D6A2F"/>
    <w:rsid w:val="005E1A82"/>
    <w:rsid w:val="005E794C"/>
    <w:rsid w:val="005F0A28"/>
    <w:rsid w:val="005F0E5E"/>
    <w:rsid w:val="00600535"/>
    <w:rsid w:val="00610CD6"/>
    <w:rsid w:val="00620DEE"/>
    <w:rsid w:val="00621F92"/>
    <w:rsid w:val="0062280A"/>
    <w:rsid w:val="00625639"/>
    <w:rsid w:val="00631B33"/>
    <w:rsid w:val="0064184D"/>
    <w:rsid w:val="006422CC"/>
    <w:rsid w:val="006512F3"/>
    <w:rsid w:val="00660E3E"/>
    <w:rsid w:val="00662E74"/>
    <w:rsid w:val="00680C23"/>
    <w:rsid w:val="00693766"/>
    <w:rsid w:val="006A3281"/>
    <w:rsid w:val="006B4888"/>
    <w:rsid w:val="006C2E45"/>
    <w:rsid w:val="006C359C"/>
    <w:rsid w:val="006C5579"/>
    <w:rsid w:val="006D6E8B"/>
    <w:rsid w:val="006E3ABB"/>
    <w:rsid w:val="006E737D"/>
    <w:rsid w:val="006F661C"/>
    <w:rsid w:val="00713973"/>
    <w:rsid w:val="00713976"/>
    <w:rsid w:val="00716E23"/>
    <w:rsid w:val="00720A24"/>
    <w:rsid w:val="00732386"/>
    <w:rsid w:val="0073514D"/>
    <w:rsid w:val="007447F3"/>
    <w:rsid w:val="007543F7"/>
    <w:rsid w:val="0075499F"/>
    <w:rsid w:val="00754BD7"/>
    <w:rsid w:val="00765BEC"/>
    <w:rsid w:val="007661C8"/>
    <w:rsid w:val="0077098D"/>
    <w:rsid w:val="007931FA"/>
    <w:rsid w:val="007A1D05"/>
    <w:rsid w:val="007A4861"/>
    <w:rsid w:val="007A7BBA"/>
    <w:rsid w:val="007B0C50"/>
    <w:rsid w:val="007B48F9"/>
    <w:rsid w:val="007C0C21"/>
    <w:rsid w:val="007C1A43"/>
    <w:rsid w:val="007C4949"/>
    <w:rsid w:val="007D02E6"/>
    <w:rsid w:val="007D67C0"/>
    <w:rsid w:val="007F4CF1"/>
    <w:rsid w:val="0080013E"/>
    <w:rsid w:val="00813288"/>
    <w:rsid w:val="008141AB"/>
    <w:rsid w:val="008168FC"/>
    <w:rsid w:val="00830996"/>
    <w:rsid w:val="008345F1"/>
    <w:rsid w:val="008423FA"/>
    <w:rsid w:val="00852007"/>
    <w:rsid w:val="008578EF"/>
    <w:rsid w:val="00863B01"/>
    <w:rsid w:val="00864F1B"/>
    <w:rsid w:val="00865B07"/>
    <w:rsid w:val="008667EA"/>
    <w:rsid w:val="008736F0"/>
    <w:rsid w:val="0087637F"/>
    <w:rsid w:val="00881EDF"/>
    <w:rsid w:val="00892AD5"/>
    <w:rsid w:val="008A1512"/>
    <w:rsid w:val="008B3E03"/>
    <w:rsid w:val="008D32B9"/>
    <w:rsid w:val="008D433B"/>
    <w:rsid w:val="008E566E"/>
    <w:rsid w:val="008F3AFD"/>
    <w:rsid w:val="0090161A"/>
    <w:rsid w:val="00901EB6"/>
    <w:rsid w:val="00904C62"/>
    <w:rsid w:val="009073BD"/>
    <w:rsid w:val="009157D4"/>
    <w:rsid w:val="00922BA8"/>
    <w:rsid w:val="00924DAC"/>
    <w:rsid w:val="00927058"/>
    <w:rsid w:val="00942750"/>
    <w:rsid w:val="009450CE"/>
    <w:rsid w:val="009464A8"/>
    <w:rsid w:val="00947179"/>
    <w:rsid w:val="0095164B"/>
    <w:rsid w:val="00954090"/>
    <w:rsid w:val="009573E7"/>
    <w:rsid w:val="00963E05"/>
    <w:rsid w:val="00964A45"/>
    <w:rsid w:val="0096708C"/>
    <w:rsid w:val="00967843"/>
    <w:rsid w:val="00967D54"/>
    <w:rsid w:val="00971028"/>
    <w:rsid w:val="00993B84"/>
    <w:rsid w:val="00996483"/>
    <w:rsid w:val="00996F5A"/>
    <w:rsid w:val="009B041A"/>
    <w:rsid w:val="009C37C3"/>
    <w:rsid w:val="009C7C86"/>
    <w:rsid w:val="009D2FF7"/>
    <w:rsid w:val="009D626A"/>
    <w:rsid w:val="009E11C0"/>
    <w:rsid w:val="009E7884"/>
    <w:rsid w:val="009E788A"/>
    <w:rsid w:val="009F0E08"/>
    <w:rsid w:val="00A1763D"/>
    <w:rsid w:val="00A17CEC"/>
    <w:rsid w:val="00A220E4"/>
    <w:rsid w:val="00A27EF0"/>
    <w:rsid w:val="00A42361"/>
    <w:rsid w:val="00A50B20"/>
    <w:rsid w:val="00A51390"/>
    <w:rsid w:val="00A55EC4"/>
    <w:rsid w:val="00A60B59"/>
    <w:rsid w:val="00A60D13"/>
    <w:rsid w:val="00A72745"/>
    <w:rsid w:val="00A76EFC"/>
    <w:rsid w:val="00A91010"/>
    <w:rsid w:val="00A97F29"/>
    <w:rsid w:val="00AA702E"/>
    <w:rsid w:val="00AB0964"/>
    <w:rsid w:val="00AB5011"/>
    <w:rsid w:val="00AC7368"/>
    <w:rsid w:val="00AD16B9"/>
    <w:rsid w:val="00AE377D"/>
    <w:rsid w:val="00AF0EBA"/>
    <w:rsid w:val="00AF1ABA"/>
    <w:rsid w:val="00AF3869"/>
    <w:rsid w:val="00B02C8A"/>
    <w:rsid w:val="00B17FBD"/>
    <w:rsid w:val="00B214A1"/>
    <w:rsid w:val="00B315A6"/>
    <w:rsid w:val="00B31813"/>
    <w:rsid w:val="00B33365"/>
    <w:rsid w:val="00B57B36"/>
    <w:rsid w:val="00B57E6F"/>
    <w:rsid w:val="00B657CB"/>
    <w:rsid w:val="00B86683"/>
    <w:rsid w:val="00B8686D"/>
    <w:rsid w:val="00B93F69"/>
    <w:rsid w:val="00BA7A8C"/>
    <w:rsid w:val="00BB1DDC"/>
    <w:rsid w:val="00BC30C9"/>
    <w:rsid w:val="00BD077D"/>
    <w:rsid w:val="00BE3E58"/>
    <w:rsid w:val="00BE6966"/>
    <w:rsid w:val="00BF2CE3"/>
    <w:rsid w:val="00C01616"/>
    <w:rsid w:val="00C0162B"/>
    <w:rsid w:val="00C068ED"/>
    <w:rsid w:val="00C22E0C"/>
    <w:rsid w:val="00C316D0"/>
    <w:rsid w:val="00C345B1"/>
    <w:rsid w:val="00C346D3"/>
    <w:rsid w:val="00C40142"/>
    <w:rsid w:val="00C50A18"/>
    <w:rsid w:val="00C52C3C"/>
    <w:rsid w:val="00C57182"/>
    <w:rsid w:val="00C57863"/>
    <w:rsid w:val="00C655FD"/>
    <w:rsid w:val="00C75407"/>
    <w:rsid w:val="00C870A8"/>
    <w:rsid w:val="00C94434"/>
    <w:rsid w:val="00C944C7"/>
    <w:rsid w:val="00C94855"/>
    <w:rsid w:val="00CA0D75"/>
    <w:rsid w:val="00CA1C95"/>
    <w:rsid w:val="00CA5A9C"/>
    <w:rsid w:val="00CA61D2"/>
    <w:rsid w:val="00CA7624"/>
    <w:rsid w:val="00CC24F4"/>
    <w:rsid w:val="00CC4C20"/>
    <w:rsid w:val="00CD3517"/>
    <w:rsid w:val="00CD5FE2"/>
    <w:rsid w:val="00CE7C68"/>
    <w:rsid w:val="00CF6074"/>
    <w:rsid w:val="00D02B4C"/>
    <w:rsid w:val="00D040C4"/>
    <w:rsid w:val="00D31214"/>
    <w:rsid w:val="00D46B7E"/>
    <w:rsid w:val="00D57C84"/>
    <w:rsid w:val="00D6057D"/>
    <w:rsid w:val="00D7130F"/>
    <w:rsid w:val="00D71640"/>
    <w:rsid w:val="00D836C5"/>
    <w:rsid w:val="00D84576"/>
    <w:rsid w:val="00DA1399"/>
    <w:rsid w:val="00DA24C6"/>
    <w:rsid w:val="00DA427A"/>
    <w:rsid w:val="00DA4D7B"/>
    <w:rsid w:val="00DE264A"/>
    <w:rsid w:val="00DF5072"/>
    <w:rsid w:val="00DF5606"/>
    <w:rsid w:val="00E02D18"/>
    <w:rsid w:val="00E041E7"/>
    <w:rsid w:val="00E23CA1"/>
    <w:rsid w:val="00E35B2F"/>
    <w:rsid w:val="00E409A8"/>
    <w:rsid w:val="00E4308D"/>
    <w:rsid w:val="00E50C12"/>
    <w:rsid w:val="00E65B91"/>
    <w:rsid w:val="00E7209D"/>
    <w:rsid w:val="00E72EAD"/>
    <w:rsid w:val="00E77223"/>
    <w:rsid w:val="00E8528B"/>
    <w:rsid w:val="00E85B94"/>
    <w:rsid w:val="00E978D0"/>
    <w:rsid w:val="00EA3AD8"/>
    <w:rsid w:val="00EA4613"/>
    <w:rsid w:val="00EA7F91"/>
    <w:rsid w:val="00EB1523"/>
    <w:rsid w:val="00EB4B60"/>
    <w:rsid w:val="00EB51B6"/>
    <w:rsid w:val="00EC0E49"/>
    <w:rsid w:val="00EC101F"/>
    <w:rsid w:val="00EC1D9F"/>
    <w:rsid w:val="00EE0131"/>
    <w:rsid w:val="00EE17B0"/>
    <w:rsid w:val="00EF06D9"/>
    <w:rsid w:val="00F07BAB"/>
    <w:rsid w:val="00F30C64"/>
    <w:rsid w:val="00F32BA2"/>
    <w:rsid w:val="00F32CDB"/>
    <w:rsid w:val="00F32D54"/>
    <w:rsid w:val="00F565FE"/>
    <w:rsid w:val="00F63A70"/>
    <w:rsid w:val="00F67944"/>
    <w:rsid w:val="00F7534E"/>
    <w:rsid w:val="00F93353"/>
    <w:rsid w:val="00FA1802"/>
    <w:rsid w:val="00FA21D0"/>
    <w:rsid w:val="00FA5A12"/>
    <w:rsid w:val="00FA5F5F"/>
    <w:rsid w:val="00FB730C"/>
    <w:rsid w:val="00FC002F"/>
    <w:rsid w:val="00FC2695"/>
    <w:rsid w:val="00FC3E03"/>
    <w:rsid w:val="00FC3FC1"/>
    <w:rsid w:val="00FF728B"/>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aliases w:val="Titolo Paragrafo,Capitolo"/>
    <w:basedOn w:val="CETHeading1"/>
    <w:next w:val="Normale"/>
    <w:link w:val="Titolo1Carattere"/>
    <w:uiPriority w:val="9"/>
    <w:qFormat/>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Heading1">
    <w:name w:val="CET Heading1"/>
    <w:next w:val="CETBodytext"/>
    <w:qFormat/>
    <w:rsid w:val="009E788A"/>
    <w:pPr>
      <w:keepNext/>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character" w:customStyle="1" w:styleId="Titolo1Carattere">
    <w:name w:val="Titolo 1 Carattere"/>
    <w:aliases w:val="Titolo Paragrafo Carattere,Capitolo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aliases w:val="Paragrafo"/>
    <w:basedOn w:val="Titolo1"/>
    <w:next w:val="Normale"/>
    <w:uiPriority w:val="39"/>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qFormat/>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aliases w:val="figures,Lista OBJETIVOS,Texto corrido,1st level - Bullet List Paragraph,Lettre d'introduction,List Paragraph1,Medium Grid 1 - Accent 21,FooterText,Paragraphe de liste1,Heading 2_sj,Numbered Para 1,Dot pt,List Paragraph Char Char Char"/>
    <w:basedOn w:val="Normale"/>
    <w:link w:val="ParagrafoelencoCarattere"/>
    <w:uiPriority w:val="34"/>
    <w:qFormat/>
    <w:rsid w:val="00280FAF"/>
    <w:pPr>
      <w:ind w:left="720"/>
      <w:contextualSpacing/>
    </w:pPr>
  </w:style>
  <w:style w:type="paragraph" w:styleId="Sottotitolo">
    <w:name w:val="Subtitle"/>
    <w:basedOn w:val="Normale"/>
    <w:next w:val="Normale"/>
    <w:link w:val="SottotitoloCarattere"/>
    <w:uiPriority w:val="11"/>
    <w:qFormat/>
    <w:rsid w:val="003B1A2A"/>
    <w:pPr>
      <w:numPr>
        <w:ilvl w:val="1"/>
      </w:numPr>
      <w:tabs>
        <w:tab w:val="clear" w:pos="7100"/>
      </w:tabs>
      <w:spacing w:after="160" w:line="360" w:lineRule="auto"/>
      <w:jc w:val="left"/>
    </w:pPr>
    <w:rPr>
      <w:rFonts w:asciiTheme="minorHAnsi" w:eastAsiaTheme="minorEastAsia" w:hAnsiTheme="minorHAnsi" w:cstheme="minorBidi"/>
      <w:color w:val="5A5A5A" w:themeColor="text1" w:themeTint="A5"/>
      <w:spacing w:val="15"/>
      <w:sz w:val="22"/>
      <w:szCs w:val="22"/>
    </w:rPr>
  </w:style>
  <w:style w:type="character" w:customStyle="1" w:styleId="SottotitoloCarattere">
    <w:name w:val="Sottotitolo Carattere"/>
    <w:basedOn w:val="Carpredefinitoparagrafo"/>
    <w:link w:val="Sottotitolo"/>
    <w:uiPriority w:val="11"/>
    <w:rsid w:val="003B1A2A"/>
    <w:rPr>
      <w:rFonts w:eastAsiaTheme="minorEastAsia"/>
      <w:color w:val="5A5A5A" w:themeColor="text1" w:themeTint="A5"/>
      <w:spacing w:val="15"/>
      <w:lang w:val="en-GB"/>
    </w:rPr>
  </w:style>
  <w:style w:type="paragraph" w:customStyle="1" w:styleId="Sottoparagrafo">
    <w:name w:val="Sottoparagrafo"/>
    <w:basedOn w:val="Titolo3"/>
    <w:link w:val="SottoparagrafoCarattere"/>
    <w:qFormat/>
    <w:rsid w:val="003B1A2A"/>
    <w:pPr>
      <w:tabs>
        <w:tab w:val="clear" w:pos="7100"/>
      </w:tabs>
      <w:spacing w:before="40" w:line="360" w:lineRule="auto"/>
      <w:jc w:val="left"/>
    </w:pPr>
    <w:rPr>
      <w:rFonts w:ascii="Times New Roman" w:hAnsi="Times New Roman"/>
      <w:b w:val="0"/>
      <w:bCs w:val="0"/>
      <w:i/>
      <w:color w:val="243F60" w:themeColor="accent1" w:themeShade="7F"/>
      <w:sz w:val="26"/>
      <w:szCs w:val="24"/>
    </w:rPr>
  </w:style>
  <w:style w:type="character" w:customStyle="1" w:styleId="SottoparagrafoCarattere">
    <w:name w:val="Sottoparagrafo Carattere"/>
    <w:basedOn w:val="Titolo3Carattere"/>
    <w:link w:val="Sottoparagrafo"/>
    <w:rsid w:val="003B1A2A"/>
    <w:rPr>
      <w:rFonts w:ascii="Times New Roman" w:eastAsiaTheme="majorEastAsia" w:hAnsi="Times New Roman" w:cstheme="majorBidi"/>
      <w:b w:val="0"/>
      <w:bCs w:val="0"/>
      <w:i/>
      <w:color w:val="243F60" w:themeColor="accent1" w:themeShade="7F"/>
      <w:sz w:val="26"/>
      <w:szCs w:val="24"/>
      <w:lang w:val="en-GB"/>
    </w:rPr>
  </w:style>
  <w:style w:type="character" w:styleId="Enfasicorsivo">
    <w:name w:val="Emphasis"/>
    <w:basedOn w:val="Carpredefinitoparagrafo"/>
    <w:uiPriority w:val="20"/>
    <w:qFormat/>
    <w:rsid w:val="003B1A2A"/>
    <w:rPr>
      <w:i/>
      <w:iCs/>
    </w:rPr>
  </w:style>
  <w:style w:type="character" w:styleId="Titolodellibro">
    <w:name w:val="Book Title"/>
    <w:basedOn w:val="Carpredefinitoparagrafo"/>
    <w:uiPriority w:val="33"/>
    <w:qFormat/>
    <w:rsid w:val="003B1A2A"/>
    <w:rPr>
      <w:b/>
      <w:bCs/>
      <w:i/>
      <w:iCs/>
      <w:spacing w:val="5"/>
    </w:rPr>
  </w:style>
  <w:style w:type="paragraph" w:styleId="Titolo">
    <w:name w:val="Title"/>
    <w:basedOn w:val="Normale"/>
    <w:next w:val="Normale"/>
    <w:link w:val="TitoloCarattere"/>
    <w:uiPriority w:val="10"/>
    <w:qFormat/>
    <w:rsid w:val="003B1A2A"/>
    <w:pPr>
      <w:tabs>
        <w:tab w:val="clear" w:pos="7100"/>
      </w:tabs>
      <w:spacing w:line="240" w:lineRule="auto"/>
      <w:contextualSpacing/>
      <w:jc w:val="center"/>
    </w:pPr>
    <w:rPr>
      <w:rFonts w:ascii="Times New Roman" w:eastAsiaTheme="majorEastAsia" w:hAnsi="Times New Roman" w:cstheme="majorBidi"/>
      <w:b/>
      <w:spacing w:val="-10"/>
      <w:kern w:val="28"/>
      <w:sz w:val="36"/>
      <w:szCs w:val="56"/>
    </w:rPr>
  </w:style>
  <w:style w:type="character" w:customStyle="1" w:styleId="TitoloCarattere">
    <w:name w:val="Titolo Carattere"/>
    <w:basedOn w:val="Carpredefinitoparagrafo"/>
    <w:link w:val="Titolo"/>
    <w:uiPriority w:val="10"/>
    <w:rsid w:val="003B1A2A"/>
    <w:rPr>
      <w:rFonts w:ascii="Times New Roman" w:eastAsiaTheme="majorEastAsia" w:hAnsi="Times New Roman" w:cstheme="majorBidi"/>
      <w:b/>
      <w:spacing w:val="-10"/>
      <w:kern w:val="28"/>
      <w:sz w:val="36"/>
      <w:szCs w:val="56"/>
      <w:lang w:val="en-GB"/>
    </w:rPr>
  </w:style>
  <w:style w:type="paragraph" w:customStyle="1" w:styleId="Default">
    <w:name w:val="Default"/>
    <w:rsid w:val="007D67C0"/>
    <w:pPr>
      <w:autoSpaceDE w:val="0"/>
      <w:autoSpaceDN w:val="0"/>
      <w:adjustRightInd w:val="0"/>
      <w:spacing w:after="0" w:line="240" w:lineRule="auto"/>
    </w:pPr>
    <w:rPr>
      <w:rFonts w:ascii="Arial" w:eastAsiaTheme="minorEastAsia" w:hAnsi="Arial" w:cs="Arial"/>
      <w:color w:val="000000"/>
      <w:sz w:val="24"/>
      <w:szCs w:val="24"/>
      <w:lang w:eastAsia="it-IT"/>
    </w:rPr>
  </w:style>
  <w:style w:type="character" w:customStyle="1" w:styleId="ParagrafoelencoCarattere">
    <w:name w:val="Paragrafo elenco Carattere"/>
    <w:aliases w:val="figures Carattere,Lista OBJETIVOS Carattere,Texto corrido Carattere,1st level - Bullet List Paragraph Carattere,Lettre d'introduction Carattere,List Paragraph1 Carattere,Medium Grid 1 - Accent 21 Carattere,FooterText Carattere"/>
    <w:link w:val="Paragrafoelenco"/>
    <w:uiPriority w:val="34"/>
    <w:qFormat/>
    <w:locked/>
    <w:rsid w:val="007D67C0"/>
    <w:rPr>
      <w:rFonts w:ascii="Arial" w:eastAsia="Times New Roman" w:hAnsi="Arial" w:cs="Times New Roman"/>
      <w:sz w:val="18"/>
      <w:szCs w:val="20"/>
      <w:lang w:val="en-GB"/>
    </w:rPr>
  </w:style>
  <w:style w:type="paragraph" w:styleId="Revisione">
    <w:name w:val="Revision"/>
    <w:hidden/>
    <w:uiPriority w:val="99"/>
    <w:semiHidden/>
    <w:rsid w:val="00881EDF"/>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8817319">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B546E1-266A-4DA0-8D1A-96AB0E609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6</Pages>
  <Words>5372</Words>
  <Characters>30626</Characters>
  <Application>Microsoft Office Word</Application>
  <DocSecurity>0</DocSecurity>
  <Lines>255</Lines>
  <Paragraphs>71</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35927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GAIA MARTORIELLO</cp:lastModifiedBy>
  <cp:revision>8</cp:revision>
  <cp:lastPrinted>2015-05-12T18:31:00Z</cp:lastPrinted>
  <dcterms:created xsi:type="dcterms:W3CDTF">2022-01-24T17:19:00Z</dcterms:created>
  <dcterms:modified xsi:type="dcterms:W3CDTF">2022-03-28T14:24:00Z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id="2ScPJ9n2"/&gt;&lt;style id="http://www.zotero.org/styles/harvard-cite-them-right" hasBibliography="1" bibliographyStyleHasBeenSet="1"/&gt;&lt;prefs&gt;&lt;pref name="fieldType" value="Field"/&gt;&lt;pref name="storeRe</vt:lpwstr>
  </property>
  <property fmtid="{D5CDD505-2E9C-101B-9397-08002B2CF9AE}" pid="3" name="ZOTERO_PREF_2">
    <vt:lpwstr>ferences" value="true"/&gt;&lt;/prefs&gt;&lt;/data&gt;</vt:lpwstr>
  </property>
</Properties>
</file>