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54E33" w:rsidRPr="00B57B36" w14:paraId="3904D160" w14:textId="77777777" w:rsidTr="00F539FD">
        <w:trPr>
          <w:trHeight w:val="852"/>
          <w:jc w:val="center"/>
        </w:trPr>
        <w:tc>
          <w:tcPr>
            <w:tcW w:w="6946" w:type="dxa"/>
            <w:vMerge w:val="restart"/>
            <w:tcBorders>
              <w:right w:val="single" w:sz="4" w:space="0" w:color="auto"/>
            </w:tcBorders>
          </w:tcPr>
          <w:p w14:paraId="7A787456" w14:textId="77777777" w:rsidR="00E54E33" w:rsidRPr="00B57B36" w:rsidRDefault="00E54E33" w:rsidP="00F539FD">
            <w:pPr>
              <w:tabs>
                <w:tab w:val="left" w:pos="-108"/>
              </w:tabs>
              <w:ind w:left="-108"/>
              <w:jc w:val="left"/>
              <w:rPr>
                <w:rFonts w:cs="Arial"/>
                <w:b/>
                <w:bCs/>
                <w:i/>
                <w:iCs/>
                <w:color w:val="000066"/>
                <w:sz w:val="12"/>
                <w:szCs w:val="12"/>
                <w:lang w:eastAsia="it-IT"/>
              </w:rPr>
            </w:pPr>
            <w:bookmarkStart w:id="0" w:name="_Hlk495475023"/>
            <w:r w:rsidRPr="00B57B36">
              <w:rPr>
                <w:rFonts w:ascii="AdvP6960" w:hAnsi="AdvP6960" w:cs="AdvP6960"/>
                <w:noProof/>
                <w:color w:val="241F20"/>
                <w:szCs w:val="18"/>
                <w:lang w:val="pt-BR" w:eastAsia="pt-BR"/>
              </w:rPr>
              <w:drawing>
                <wp:inline distT="0" distB="0" distL="0" distR="0" wp14:anchorId="58E8C364" wp14:editId="749CBC0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A140FD5" w14:textId="77777777" w:rsidR="00E54E33" w:rsidRPr="00B57B36" w:rsidRDefault="00E54E33" w:rsidP="00F539F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92, 2022</w:t>
            </w:r>
          </w:p>
        </w:tc>
        <w:tc>
          <w:tcPr>
            <w:tcW w:w="1843" w:type="dxa"/>
            <w:tcBorders>
              <w:left w:val="single" w:sz="4" w:space="0" w:color="auto"/>
              <w:bottom w:val="nil"/>
              <w:right w:val="single" w:sz="4" w:space="0" w:color="auto"/>
            </w:tcBorders>
          </w:tcPr>
          <w:p w14:paraId="6EB063AC" w14:textId="77777777" w:rsidR="00E54E33" w:rsidRPr="00B57B36" w:rsidRDefault="00E54E33" w:rsidP="00F539FD">
            <w:pPr>
              <w:spacing w:line="140" w:lineRule="atLeast"/>
              <w:jc w:val="right"/>
              <w:rPr>
                <w:rFonts w:cs="Arial"/>
                <w:sz w:val="14"/>
                <w:szCs w:val="14"/>
              </w:rPr>
            </w:pPr>
            <w:r w:rsidRPr="00B57B36">
              <w:rPr>
                <w:rFonts w:cs="Arial"/>
                <w:sz w:val="14"/>
                <w:szCs w:val="14"/>
              </w:rPr>
              <w:t>A publication of</w:t>
            </w:r>
          </w:p>
          <w:p w14:paraId="7FECC314" w14:textId="77777777" w:rsidR="00E54E33" w:rsidRPr="00B57B36" w:rsidRDefault="00E54E33" w:rsidP="00F539FD">
            <w:pPr>
              <w:jc w:val="right"/>
            </w:pPr>
            <w:r w:rsidRPr="00B57B36">
              <w:rPr>
                <w:noProof/>
                <w:lang w:val="pt-BR" w:eastAsia="pt-BR"/>
              </w:rPr>
              <w:drawing>
                <wp:inline distT="0" distB="0" distL="0" distR="0" wp14:anchorId="3BE542B0" wp14:editId="653C28F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54E33" w:rsidRPr="00B57B36" w14:paraId="3D5DB3D4" w14:textId="77777777" w:rsidTr="00F539FD">
        <w:trPr>
          <w:trHeight w:val="567"/>
          <w:jc w:val="center"/>
        </w:trPr>
        <w:tc>
          <w:tcPr>
            <w:tcW w:w="6946" w:type="dxa"/>
            <w:vMerge/>
            <w:tcBorders>
              <w:right w:val="single" w:sz="4" w:space="0" w:color="auto"/>
            </w:tcBorders>
          </w:tcPr>
          <w:p w14:paraId="08E11423" w14:textId="77777777" w:rsidR="00E54E33" w:rsidRPr="00B57B36" w:rsidRDefault="00E54E33" w:rsidP="00F539FD">
            <w:pPr>
              <w:tabs>
                <w:tab w:val="left" w:pos="-108"/>
              </w:tabs>
            </w:pPr>
          </w:p>
        </w:tc>
        <w:tc>
          <w:tcPr>
            <w:tcW w:w="1843" w:type="dxa"/>
            <w:tcBorders>
              <w:left w:val="single" w:sz="4" w:space="0" w:color="auto"/>
              <w:bottom w:val="nil"/>
              <w:right w:val="single" w:sz="4" w:space="0" w:color="auto"/>
            </w:tcBorders>
          </w:tcPr>
          <w:p w14:paraId="3DCE4866" w14:textId="77777777" w:rsidR="00E54E33" w:rsidRPr="00B57B36" w:rsidRDefault="00E54E33" w:rsidP="00F539FD">
            <w:pPr>
              <w:spacing w:line="140" w:lineRule="atLeast"/>
              <w:jc w:val="right"/>
              <w:rPr>
                <w:rFonts w:cs="Arial"/>
                <w:sz w:val="14"/>
                <w:szCs w:val="14"/>
              </w:rPr>
            </w:pPr>
            <w:r w:rsidRPr="00B57B36">
              <w:rPr>
                <w:rFonts w:cs="Arial"/>
                <w:sz w:val="14"/>
                <w:szCs w:val="14"/>
              </w:rPr>
              <w:t>The Italian Association</w:t>
            </w:r>
          </w:p>
          <w:p w14:paraId="2DBC480C" w14:textId="77777777" w:rsidR="00E54E33" w:rsidRPr="00B57B36" w:rsidRDefault="00E54E33" w:rsidP="00F539FD">
            <w:pPr>
              <w:spacing w:line="140" w:lineRule="atLeast"/>
              <w:jc w:val="right"/>
              <w:rPr>
                <w:rFonts w:cs="Arial"/>
                <w:sz w:val="14"/>
                <w:szCs w:val="14"/>
              </w:rPr>
            </w:pPr>
            <w:r w:rsidRPr="00B57B36">
              <w:rPr>
                <w:rFonts w:cs="Arial"/>
                <w:sz w:val="14"/>
                <w:szCs w:val="14"/>
              </w:rPr>
              <w:t>of Chemical Engineering</w:t>
            </w:r>
          </w:p>
          <w:p w14:paraId="2B24C9C7" w14:textId="77777777" w:rsidR="00E54E33" w:rsidRPr="000D0268" w:rsidRDefault="00E54E33" w:rsidP="00F539FD">
            <w:pPr>
              <w:spacing w:line="140" w:lineRule="atLeast"/>
              <w:jc w:val="right"/>
              <w:rPr>
                <w:rFonts w:cs="Arial"/>
                <w:sz w:val="13"/>
                <w:szCs w:val="13"/>
              </w:rPr>
            </w:pPr>
            <w:r w:rsidRPr="000D0268">
              <w:rPr>
                <w:rFonts w:cs="Arial"/>
                <w:sz w:val="13"/>
                <w:szCs w:val="13"/>
              </w:rPr>
              <w:t>Online at www.cetjournal.it</w:t>
            </w:r>
          </w:p>
        </w:tc>
      </w:tr>
      <w:tr w:rsidR="00E54E33" w:rsidRPr="00B57B36" w14:paraId="49258890" w14:textId="77777777" w:rsidTr="00F539FD">
        <w:trPr>
          <w:trHeight w:val="68"/>
          <w:jc w:val="center"/>
        </w:trPr>
        <w:tc>
          <w:tcPr>
            <w:tcW w:w="8789" w:type="dxa"/>
            <w:gridSpan w:val="2"/>
          </w:tcPr>
          <w:p w14:paraId="4EC8B25E" w14:textId="77777777" w:rsidR="00E54E33" w:rsidRPr="0044071E" w:rsidRDefault="00E54E33" w:rsidP="00F539FD">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046F9EA3" w14:textId="77777777" w:rsidR="00E54E33" w:rsidRPr="00B57B36" w:rsidRDefault="00E54E33" w:rsidP="00F539FD">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FF4E2BD" w14:textId="77777777" w:rsidR="00E54E33" w:rsidRPr="001C6DAE" w:rsidRDefault="00E54E33" w:rsidP="00E54E33">
      <w:pPr>
        <w:pStyle w:val="CETAuthors"/>
        <w:sectPr w:rsidR="00E54E33" w:rsidRPr="001C6DAE" w:rsidSect="00CD5FE2">
          <w:type w:val="continuous"/>
          <w:pgSz w:w="11906" w:h="16838" w:code="9"/>
          <w:pgMar w:top="1701" w:right="1418" w:bottom="1701" w:left="1701" w:header="1701" w:footer="0" w:gutter="0"/>
          <w:cols w:space="708"/>
          <w:titlePg/>
          <w:docGrid w:linePitch="360"/>
        </w:sectPr>
      </w:pPr>
    </w:p>
    <w:p w14:paraId="30AB521D" w14:textId="1352B56F" w:rsidR="00E54E33" w:rsidRPr="009C5052" w:rsidRDefault="00E54E33" w:rsidP="00E54E33">
      <w:pPr>
        <w:pStyle w:val="CETTitle"/>
      </w:pPr>
      <w:r w:rsidRPr="006F72B3">
        <w:t>A</w:t>
      </w:r>
      <w:r>
        <w:t xml:space="preserve">pplication of </w:t>
      </w:r>
      <w:r w:rsidR="005A0DB3">
        <w:t>P</w:t>
      </w:r>
      <w:r>
        <w:t xml:space="preserve">oly(acrylamide-co-acrylonitrile) </w:t>
      </w:r>
      <w:r w:rsidR="005A0DB3">
        <w:t>H</w:t>
      </w:r>
      <w:r>
        <w:t xml:space="preserve">ydrogel to </w:t>
      </w:r>
      <w:r w:rsidR="005A0DB3">
        <w:t>R</w:t>
      </w:r>
      <w:r>
        <w:t xml:space="preserve">emove </w:t>
      </w:r>
      <w:r w:rsidR="005A0DB3">
        <w:t>S</w:t>
      </w:r>
      <w:r>
        <w:t xml:space="preserve">oluble </w:t>
      </w:r>
      <w:r w:rsidR="005A0DB3">
        <w:t>W</w:t>
      </w:r>
      <w:r>
        <w:t xml:space="preserve">ater from </w:t>
      </w:r>
      <w:r w:rsidR="005A0DB3">
        <w:t>B</w:t>
      </w:r>
      <w:r>
        <w:t xml:space="preserve">iodiesel and </w:t>
      </w:r>
      <w:r w:rsidR="005A0DB3">
        <w:t>E</w:t>
      </w:r>
      <w:r>
        <w:t xml:space="preserve">valuation in the </w:t>
      </w:r>
      <w:r w:rsidR="005A0DB3">
        <w:t>C</w:t>
      </w:r>
      <w:r>
        <w:t xml:space="preserve">ontrol </w:t>
      </w:r>
      <w:r w:rsidR="005A0DB3">
        <w:t>M</w:t>
      </w:r>
      <w:r>
        <w:t xml:space="preserve">echanism of the </w:t>
      </w:r>
      <w:r w:rsidR="005A0DB3">
        <w:t>M</w:t>
      </w:r>
      <w:r>
        <w:t xml:space="preserve">ass </w:t>
      </w:r>
      <w:r w:rsidR="005A0DB3">
        <w:t>T</w:t>
      </w:r>
      <w:r>
        <w:t xml:space="preserve">ransfer </w:t>
      </w:r>
      <w:r w:rsidR="005A0DB3">
        <w:t>P</w:t>
      </w:r>
      <w:r>
        <w:t xml:space="preserve">rocess in an </w:t>
      </w:r>
      <w:r w:rsidR="005A0DB3">
        <w:t>A</w:t>
      </w:r>
      <w:r>
        <w:t xml:space="preserve">dsorption </w:t>
      </w:r>
      <w:r w:rsidR="005A0DB3">
        <w:t>P</w:t>
      </w:r>
      <w:r>
        <w:t xml:space="preserve">rocess </w:t>
      </w:r>
    </w:p>
    <w:p w14:paraId="3779FA21" w14:textId="7D424F25" w:rsidR="00E54E33" w:rsidRPr="00FE3353" w:rsidRDefault="00E54E33" w:rsidP="00E54E33">
      <w:pPr>
        <w:pStyle w:val="CETAuthors"/>
        <w:rPr>
          <w:lang w:val="pt-BR"/>
        </w:rPr>
      </w:pPr>
      <w:r w:rsidRPr="001C6DAE">
        <w:rPr>
          <w:lang w:val="pt-BR"/>
        </w:rPr>
        <w:t>Fernanda B. Santos</w:t>
      </w:r>
      <w:r w:rsidR="00FE3353" w:rsidRPr="00FE3353">
        <w:rPr>
          <w:vertAlign w:val="superscript"/>
          <w:lang w:val="pt-BR"/>
        </w:rPr>
        <w:t>a</w:t>
      </w:r>
      <w:r w:rsidRPr="001C6DAE">
        <w:rPr>
          <w:lang w:val="pt-BR"/>
        </w:rPr>
        <w:t>, Isadora D. Perez</w:t>
      </w:r>
      <w:r w:rsidR="00FE3353" w:rsidRPr="00FE3353">
        <w:rPr>
          <w:vertAlign w:val="superscript"/>
          <w:lang w:val="pt-BR"/>
        </w:rPr>
        <w:t>a</w:t>
      </w:r>
      <w:r w:rsidRPr="001C6DAE">
        <w:rPr>
          <w:lang w:val="pt-BR"/>
        </w:rPr>
        <w:t>,</w:t>
      </w:r>
      <w:r>
        <w:rPr>
          <w:lang w:val="pt-BR"/>
        </w:rPr>
        <w:t xml:space="preserve"> </w:t>
      </w:r>
      <w:r w:rsidRPr="001C6DAE">
        <w:rPr>
          <w:lang w:val="pt-BR"/>
        </w:rPr>
        <w:t>Leonardo V. Fregolente</w:t>
      </w:r>
      <w:r w:rsidR="00FE3353" w:rsidRPr="00FE3353">
        <w:rPr>
          <w:vertAlign w:val="superscript"/>
          <w:lang w:val="pt-BR"/>
        </w:rPr>
        <w:t>a,</w:t>
      </w:r>
      <w:r>
        <w:rPr>
          <w:lang w:val="pt-BR"/>
        </w:rPr>
        <w:t>*</w:t>
      </w:r>
      <w:r w:rsidRPr="001C6DAE">
        <w:rPr>
          <w:lang w:val="pt-BR"/>
        </w:rPr>
        <w:t>, Maria Regina W</w:t>
      </w:r>
      <w:r>
        <w:rPr>
          <w:lang w:val="pt-BR"/>
        </w:rPr>
        <w:t>olf</w:t>
      </w:r>
      <w:r w:rsidRPr="001C6DAE">
        <w:rPr>
          <w:lang w:val="pt-BR"/>
        </w:rPr>
        <w:t xml:space="preserve"> Maciel</w:t>
      </w:r>
      <w:r w:rsidR="00FE3353" w:rsidRPr="00FE3353">
        <w:rPr>
          <w:vertAlign w:val="superscript"/>
          <w:lang w:val="pt-BR"/>
        </w:rPr>
        <w:t>a</w:t>
      </w:r>
    </w:p>
    <w:p w14:paraId="5D7D846D" w14:textId="77777777" w:rsidR="00E54E33" w:rsidRPr="001C6DAE" w:rsidRDefault="00E54E33" w:rsidP="00E54E33">
      <w:pPr>
        <w:pStyle w:val="CETAddress"/>
      </w:pPr>
      <w:r w:rsidRPr="00BC6410">
        <w:t>School of Chemical Engineering, University of Campinas</w:t>
      </w:r>
      <w:r w:rsidRPr="001C6DAE">
        <w:t>, Brazil</w:t>
      </w:r>
    </w:p>
    <w:p w14:paraId="334E2B88" w14:textId="77777777" w:rsidR="00E54E33" w:rsidRPr="001C6DAE" w:rsidRDefault="00E54E33" w:rsidP="00E54E33">
      <w:pPr>
        <w:pStyle w:val="CETemail"/>
      </w:pPr>
      <w:r w:rsidRPr="00BC6410">
        <w:t>leonardo@feq.unicamp.br</w:t>
      </w:r>
    </w:p>
    <w:p w14:paraId="6FF8F8C3" w14:textId="66E5D5E1" w:rsidR="001D7BD0" w:rsidRDefault="001D7BD0" w:rsidP="00C16564">
      <w:pPr>
        <w:pStyle w:val="CETBodytext"/>
        <w:rPr>
          <w:lang w:val="en-GB"/>
        </w:rPr>
      </w:pPr>
      <w:r w:rsidRPr="001D7BD0">
        <w:rPr>
          <w:lang w:val="en-GB"/>
        </w:rPr>
        <w:t>Fuels are contaminated with gases, solvents, dirt, soot, and sealants. Water is always present in biodiesel and high-water content may impact negatively the performance of fuels, such as damaging injection systems and leading up to corrosion of metal surfaces and the growth of fungi and bacteria. The present work shows an alternative technology to remove water from biodiesel by polymeric material. In this context, this work aims to synthesize hydrogel and to evaluate the influence of contact time on the water removal from biodiesel. Poly(acrylamide-co-acrylonitrile) hydrogel was synthesized by means of free radical polymerization. Batch experiments were conducted using particles of this copolymer and saturated-commercial biodiesel at 200 rpm at 25 and 40 °C. The water content of the sample</w:t>
      </w:r>
      <w:r w:rsidR="00C11A23">
        <w:rPr>
          <w:lang w:val="en-GB"/>
        </w:rPr>
        <w:t xml:space="preserve">s </w:t>
      </w:r>
      <w:r w:rsidR="00431939">
        <w:rPr>
          <w:lang w:val="en-GB"/>
        </w:rPr>
        <w:t xml:space="preserve">was </w:t>
      </w:r>
      <w:r w:rsidRPr="001D7BD0">
        <w:rPr>
          <w:lang w:val="en-GB"/>
        </w:rPr>
        <w:t>measured using Karl Fischer technique. The control mechanism of the mass transfer process between the water present in the fuel and the hydrogel was studied</w:t>
      </w:r>
      <w:r w:rsidR="00431939">
        <w:rPr>
          <w:lang w:val="en-GB"/>
        </w:rPr>
        <w:t xml:space="preserve"> </w:t>
      </w:r>
      <w:r w:rsidR="00C11A23">
        <w:rPr>
          <w:lang w:val="en-GB"/>
        </w:rPr>
        <w:t>considering</w:t>
      </w:r>
      <w:r w:rsidR="00431939">
        <w:rPr>
          <w:lang w:val="en-GB"/>
        </w:rPr>
        <w:t xml:space="preserve"> </w:t>
      </w:r>
      <w:r w:rsidRPr="001D7BD0">
        <w:rPr>
          <w:lang w:val="en-GB"/>
        </w:rPr>
        <w:t>pseudo-first order and pseudo-second order kinetic models. The pseudo-second-order model</w:t>
      </w:r>
      <w:r w:rsidR="00431939">
        <w:rPr>
          <w:lang w:val="en-GB"/>
        </w:rPr>
        <w:t xml:space="preserve"> </w:t>
      </w:r>
      <w:r w:rsidR="00C11A23">
        <w:rPr>
          <w:lang w:val="en-GB"/>
        </w:rPr>
        <w:t>presented better</w:t>
      </w:r>
      <w:r w:rsidR="00431939">
        <w:rPr>
          <w:lang w:val="en-GB"/>
        </w:rPr>
        <w:t xml:space="preserve"> </w:t>
      </w:r>
      <w:r w:rsidRPr="001D7BD0">
        <w:rPr>
          <w:lang w:val="en-GB"/>
        </w:rPr>
        <w:t xml:space="preserve">fit from nonlinear experimental data for </w:t>
      </w:r>
      <w:proofErr w:type="gramStart"/>
      <w:r w:rsidRPr="001D7BD0">
        <w:rPr>
          <w:lang w:val="en-GB"/>
        </w:rPr>
        <w:t>poly(</w:t>
      </w:r>
      <w:proofErr w:type="spellStart"/>
      <w:proofErr w:type="gramEnd"/>
      <w:r w:rsidRPr="001D7BD0">
        <w:rPr>
          <w:lang w:val="en-GB"/>
        </w:rPr>
        <w:t>AAm</w:t>
      </w:r>
      <w:proofErr w:type="spellEnd"/>
      <w:r w:rsidRPr="001D7BD0">
        <w:rPr>
          <w:lang w:val="en-GB"/>
        </w:rPr>
        <w:t xml:space="preserve">-co-AC) hydrogel at 25 and 40 ºC. </w:t>
      </w:r>
      <w:r w:rsidR="00C11A23">
        <w:rPr>
          <w:lang w:val="en-GB"/>
        </w:rPr>
        <w:t>T</w:t>
      </w:r>
      <w:r w:rsidRPr="001D7BD0">
        <w:rPr>
          <w:lang w:val="en-GB"/>
        </w:rPr>
        <w:t>he latter had higher values of R</w:t>
      </w:r>
      <w:r w:rsidRPr="00B705B7">
        <w:rPr>
          <w:vertAlign w:val="superscript"/>
          <w:lang w:val="en-GB"/>
        </w:rPr>
        <w:t>2</w:t>
      </w:r>
      <w:r w:rsidRPr="001D7BD0">
        <w:rPr>
          <w:lang w:val="en-GB"/>
        </w:rPr>
        <w:t xml:space="preserve"> (0.9963) and maximum water removal capacity (</w:t>
      </w:r>
      <w:proofErr w:type="spellStart"/>
      <w:r w:rsidRPr="001D7BD0">
        <w:rPr>
          <w:lang w:val="en-GB"/>
        </w:rPr>
        <w:t>q</w:t>
      </w:r>
      <w:r w:rsidRPr="00B705B7">
        <w:rPr>
          <w:vertAlign w:val="subscript"/>
          <w:lang w:val="en-GB"/>
        </w:rPr>
        <w:t>e</w:t>
      </w:r>
      <w:proofErr w:type="spellEnd"/>
      <w:r w:rsidRPr="001D7BD0">
        <w:rPr>
          <w:lang w:val="en-GB"/>
        </w:rPr>
        <w:t xml:space="preserve"> = 247.7 mg/g). The tests carried out in this research pointed out the ability of the hydrogel to reduce water content from biodiesel and to be applied on an industrial scale.</w:t>
      </w:r>
    </w:p>
    <w:bookmarkEnd w:id="0"/>
    <w:p w14:paraId="4E0F3D07" w14:textId="05016948" w:rsidR="00600535" w:rsidRPr="001C6DAE" w:rsidRDefault="00600535" w:rsidP="00600535">
      <w:pPr>
        <w:pStyle w:val="CETHeading1"/>
        <w:rPr>
          <w:lang w:val="en-GB"/>
        </w:rPr>
      </w:pPr>
      <w:r w:rsidRPr="001C6DAE">
        <w:rPr>
          <w:lang w:val="en-GB"/>
        </w:rPr>
        <w:t>Introduction</w:t>
      </w:r>
    </w:p>
    <w:p w14:paraId="0B26C178" w14:textId="42671718" w:rsidR="004C747D" w:rsidRPr="001C6DAE" w:rsidRDefault="004C747D" w:rsidP="004C747D">
      <w:pPr>
        <w:pStyle w:val="CETBodytext"/>
        <w:rPr>
          <w:lang w:val="en-GB"/>
        </w:rPr>
      </w:pPr>
      <w:r w:rsidRPr="001C6DAE">
        <w:rPr>
          <w:lang w:val="en-GB"/>
        </w:rPr>
        <w:t>Fuels are contaminated with gases, solvents, dirt, soot and sealants</w:t>
      </w:r>
      <w:r w:rsidR="00392DE8">
        <w:rPr>
          <w:lang w:val="en-GB"/>
        </w:rPr>
        <w:t xml:space="preserve">. </w:t>
      </w:r>
      <w:r w:rsidRPr="001C6DAE">
        <w:rPr>
          <w:lang w:val="en-GB"/>
        </w:rPr>
        <w:t xml:space="preserve">Water is also one of the main sources of oil contamination and presents one of the biggest challenges of the production process, as its presence significantly compromises the </w:t>
      </w:r>
      <w:r w:rsidRPr="00F10DE0">
        <w:rPr>
          <w:lang w:val="en-GB"/>
        </w:rPr>
        <w:t>quality of the same (</w:t>
      </w:r>
      <w:r w:rsidR="0018221E" w:rsidRPr="00F10DE0">
        <w:rPr>
          <w:lang w:val="en-GB"/>
        </w:rPr>
        <w:t>Li et al., 2021</w:t>
      </w:r>
      <w:r w:rsidRPr="00F10DE0">
        <w:rPr>
          <w:lang w:val="en-GB"/>
        </w:rPr>
        <w:t>).</w:t>
      </w:r>
      <w:r w:rsidR="00E06707" w:rsidRPr="00F10DE0">
        <w:rPr>
          <w:lang w:val="en-GB"/>
        </w:rPr>
        <w:t xml:space="preserve"> It is present in fuels as the three following forms: soluble, emulsified, and free</w:t>
      </w:r>
      <w:r w:rsidR="002B13BA" w:rsidRPr="00F10DE0">
        <w:rPr>
          <w:lang w:val="en-GB"/>
        </w:rPr>
        <w:t xml:space="preserve">. </w:t>
      </w:r>
      <w:r w:rsidR="00E06707" w:rsidRPr="00F10DE0">
        <w:rPr>
          <w:lang w:val="en-GB"/>
        </w:rPr>
        <w:t xml:space="preserve">Usually, water contamination of fuels is associated with poor seals during the storage step </w:t>
      </w:r>
      <w:r w:rsidR="003D08C6" w:rsidRPr="00F10DE0">
        <w:rPr>
          <w:lang w:val="en-GB"/>
        </w:rPr>
        <w:t xml:space="preserve">or contact with </w:t>
      </w:r>
      <w:r w:rsidR="00E06707" w:rsidRPr="00F10DE0">
        <w:rPr>
          <w:lang w:val="en-GB"/>
        </w:rPr>
        <w:t>the external environment</w:t>
      </w:r>
      <w:r w:rsidR="00392DE8" w:rsidRPr="00F10DE0">
        <w:rPr>
          <w:lang w:val="en-GB"/>
        </w:rPr>
        <w:t xml:space="preserve">. </w:t>
      </w:r>
      <w:r w:rsidR="00E06707" w:rsidRPr="00F10DE0">
        <w:rPr>
          <w:lang w:val="en-GB"/>
        </w:rPr>
        <w:t>For instance, biodiesel stored in floating roof tanks allows rainwater to enter (Santos et al., 2019).</w:t>
      </w:r>
      <w:r w:rsidR="003D08C6" w:rsidRPr="00F10DE0">
        <w:rPr>
          <w:lang w:val="en-GB"/>
        </w:rPr>
        <w:t xml:space="preserve"> In fixed roof tanks, wet air may enter</w:t>
      </w:r>
      <w:r w:rsidR="00431939" w:rsidRPr="00F10DE0">
        <w:rPr>
          <w:lang w:val="en-GB"/>
        </w:rPr>
        <w:t xml:space="preserve"> </w:t>
      </w:r>
      <w:r w:rsidR="003D08C6" w:rsidRPr="00F10DE0">
        <w:rPr>
          <w:lang w:val="en-GB"/>
        </w:rPr>
        <w:t xml:space="preserve">through vacuum breaker valves. </w:t>
      </w:r>
      <w:r w:rsidR="00E06707" w:rsidRPr="00F10DE0">
        <w:rPr>
          <w:lang w:val="en-GB"/>
        </w:rPr>
        <w:t xml:space="preserve"> </w:t>
      </w:r>
      <w:r w:rsidRPr="00F10DE0">
        <w:rPr>
          <w:lang w:val="en-GB"/>
        </w:rPr>
        <w:t>For biodiesel, a significant amount of water is added to wash and remove the excess catalyst, alcohol, soap, oils, greases</w:t>
      </w:r>
      <w:r w:rsidR="00FE3309" w:rsidRPr="00F10DE0">
        <w:rPr>
          <w:lang w:val="en-GB"/>
        </w:rPr>
        <w:t>,</w:t>
      </w:r>
      <w:r w:rsidRPr="00F10DE0">
        <w:rPr>
          <w:lang w:val="en-GB"/>
        </w:rPr>
        <w:t xml:space="preserve"> and residual glycerol (</w:t>
      </w:r>
      <w:proofErr w:type="spellStart"/>
      <w:r w:rsidR="00CA0C02" w:rsidRPr="00F10DE0">
        <w:t>Dourado</w:t>
      </w:r>
      <w:proofErr w:type="spellEnd"/>
      <w:r w:rsidR="00CA0C02" w:rsidRPr="00F10DE0">
        <w:t xml:space="preserve"> et al., 2021</w:t>
      </w:r>
      <w:r w:rsidR="0033603B" w:rsidRPr="00F10DE0">
        <w:t>).</w:t>
      </w:r>
      <w:r w:rsidR="0033603B">
        <w:t xml:space="preserve"> </w:t>
      </w:r>
    </w:p>
    <w:p w14:paraId="68D8C9F8" w14:textId="09C64EF9" w:rsidR="004C747D" w:rsidRPr="00A37675" w:rsidRDefault="004C747D" w:rsidP="004C747D">
      <w:pPr>
        <w:pStyle w:val="CETBodytext"/>
        <w:rPr>
          <w:lang w:val="en-GB"/>
        </w:rPr>
      </w:pPr>
      <w:r w:rsidRPr="001C6DAE">
        <w:rPr>
          <w:lang w:val="en-GB"/>
        </w:rPr>
        <w:t xml:space="preserve">Biodiesel is more hydrophilic </w:t>
      </w:r>
      <w:r w:rsidR="00FE3309" w:rsidRPr="001C6DAE">
        <w:rPr>
          <w:lang w:val="en-GB"/>
        </w:rPr>
        <w:t xml:space="preserve">than </w:t>
      </w:r>
      <w:r w:rsidRPr="001C6DAE">
        <w:rPr>
          <w:lang w:val="en-GB"/>
        </w:rPr>
        <w:t>fossil diesel, significantly increasing its water content upon contact with air humidity</w:t>
      </w:r>
      <w:r w:rsidR="002B13BA">
        <w:rPr>
          <w:lang w:val="en-GB"/>
        </w:rPr>
        <w:t xml:space="preserve">. </w:t>
      </w:r>
      <w:r w:rsidR="00415430">
        <w:rPr>
          <w:lang w:val="en-GB"/>
        </w:rPr>
        <w:t>T</w:t>
      </w:r>
      <w:r w:rsidRPr="001C6DAE">
        <w:rPr>
          <w:lang w:val="en-GB"/>
        </w:rPr>
        <w:t xml:space="preserve">he </w:t>
      </w:r>
      <w:r w:rsidRPr="00A37675">
        <w:rPr>
          <w:lang w:val="en-GB"/>
        </w:rPr>
        <w:t>high hydrophilicity of biodiesel</w:t>
      </w:r>
      <w:r w:rsidR="00415430" w:rsidRPr="00A37675">
        <w:rPr>
          <w:lang w:val="en-GB"/>
        </w:rPr>
        <w:t xml:space="preserve"> is attributed</w:t>
      </w:r>
      <w:r w:rsidRPr="00A37675">
        <w:rPr>
          <w:lang w:val="en-GB"/>
        </w:rPr>
        <w:t xml:space="preserve"> to the presence of polar methyl or ethyl esters. Thus, the affinity of biodiesel with water may vary according to its composition, and the higher the polarity, the higher the hydrophilicity of the fuel</w:t>
      </w:r>
      <w:r w:rsidR="00415430" w:rsidRPr="00A37675">
        <w:rPr>
          <w:lang w:val="en-GB"/>
        </w:rPr>
        <w:t xml:space="preserve"> (Gonçalves et al., 2020)</w:t>
      </w:r>
      <w:r w:rsidRPr="00A37675">
        <w:rPr>
          <w:lang w:val="en-GB"/>
        </w:rPr>
        <w:t>.</w:t>
      </w:r>
    </w:p>
    <w:p w14:paraId="5FC923D5" w14:textId="354CD178" w:rsidR="004C747D" w:rsidRPr="001C6DAE" w:rsidRDefault="00E06707" w:rsidP="00E06707">
      <w:pPr>
        <w:pStyle w:val="CETBodytext"/>
        <w:rPr>
          <w:lang w:val="en-GB"/>
        </w:rPr>
      </w:pPr>
      <w:r w:rsidRPr="00A37675">
        <w:rPr>
          <w:lang w:val="en-GB"/>
        </w:rPr>
        <w:t xml:space="preserve">High water contents may impact negatively the performance of fuels, damaging injection systems and leading to corrosion of metal surfaces and the growth of fungi and </w:t>
      </w:r>
      <w:r w:rsidR="004C747D" w:rsidRPr="00A37675">
        <w:rPr>
          <w:lang w:val="en-GB"/>
        </w:rPr>
        <w:t>bacteria</w:t>
      </w:r>
      <w:r w:rsidR="00392DE8" w:rsidRPr="00A37675">
        <w:rPr>
          <w:lang w:val="en-GB"/>
        </w:rPr>
        <w:t xml:space="preserve"> (Gonçalves et al., 2020). </w:t>
      </w:r>
      <w:r w:rsidR="004C747D" w:rsidRPr="00A37675">
        <w:rPr>
          <w:lang w:val="en-GB"/>
        </w:rPr>
        <w:t xml:space="preserve">Therefore, Brazilian and international standards </w:t>
      </w:r>
      <w:r w:rsidRPr="00A37675">
        <w:rPr>
          <w:lang w:val="en-GB"/>
        </w:rPr>
        <w:t>define specifications of maximum water content in biodiesel to be</w:t>
      </w:r>
      <w:r>
        <w:rPr>
          <w:lang w:val="en-GB"/>
        </w:rPr>
        <w:t xml:space="preserve"> marketed. </w:t>
      </w:r>
      <w:r w:rsidR="004C747D" w:rsidRPr="001C6DAE">
        <w:rPr>
          <w:lang w:val="en-GB"/>
        </w:rPr>
        <w:t>In Brazil, the ANP (</w:t>
      </w:r>
      <w:r w:rsidR="00FE3309" w:rsidRPr="001C6DAE">
        <w:rPr>
          <w:bCs/>
          <w:szCs w:val="24"/>
          <w:lang w:val="en-GB"/>
        </w:rPr>
        <w:t xml:space="preserve">National </w:t>
      </w:r>
      <w:r w:rsidR="00FE3309" w:rsidRPr="001C3A20">
        <w:rPr>
          <w:bCs/>
          <w:szCs w:val="24"/>
          <w:lang w:val="en-GB"/>
        </w:rPr>
        <w:t>Oil Agency</w:t>
      </w:r>
      <w:r w:rsidR="00FE3309" w:rsidRPr="001C3A20">
        <w:rPr>
          <w:lang w:val="en-GB"/>
        </w:rPr>
        <w:t xml:space="preserve"> </w:t>
      </w:r>
      <w:r w:rsidR="004C747D" w:rsidRPr="001C3A20">
        <w:rPr>
          <w:lang w:val="en-GB"/>
        </w:rPr>
        <w:t>- Resolution 45/2014)</w:t>
      </w:r>
      <w:r w:rsidR="00505DF9" w:rsidRPr="001C3A20">
        <w:rPr>
          <w:lang w:val="en-GB"/>
        </w:rPr>
        <w:t xml:space="preserve"> defined the upper limit in 350 ppm</w:t>
      </w:r>
      <w:r w:rsidR="00434F2A" w:rsidRPr="001C3A20">
        <w:rPr>
          <w:lang w:val="en-GB"/>
        </w:rPr>
        <w:t xml:space="preserve"> and in Europe, </w:t>
      </w:r>
      <w:r w:rsidR="00434F2A" w:rsidRPr="001C3A20">
        <w:rPr>
          <w:lang w:val="en-GB"/>
        </w:rPr>
        <w:lastRenderedPageBreak/>
        <w:t>the upper limit is 500 ppm</w:t>
      </w:r>
      <w:r w:rsidR="00905AC7" w:rsidRPr="001C3A20">
        <w:rPr>
          <w:lang w:val="en-GB"/>
        </w:rPr>
        <w:t xml:space="preserve"> </w:t>
      </w:r>
      <w:r w:rsidR="00434F2A" w:rsidRPr="001C3A20">
        <w:rPr>
          <w:lang w:val="en-GB"/>
        </w:rPr>
        <w:t xml:space="preserve">(ANP, 2014; EN 14214). </w:t>
      </w:r>
      <w:r w:rsidR="004C747D" w:rsidRPr="001C3A20">
        <w:rPr>
          <w:lang w:val="en-GB"/>
        </w:rPr>
        <w:t xml:space="preserve">The </w:t>
      </w:r>
      <w:r w:rsidR="00505DF9" w:rsidRPr="001C3A20">
        <w:rPr>
          <w:lang w:val="en-GB"/>
        </w:rPr>
        <w:t>analytical</w:t>
      </w:r>
      <w:r w:rsidR="00505DF9">
        <w:rPr>
          <w:lang w:val="en-GB"/>
        </w:rPr>
        <w:t xml:space="preserve"> method for water content determination is</w:t>
      </w:r>
      <w:r w:rsidR="003D08C6">
        <w:rPr>
          <w:lang w:val="en-GB"/>
        </w:rPr>
        <w:t xml:space="preserve"> </w:t>
      </w:r>
      <w:r w:rsidR="00431939">
        <w:rPr>
          <w:lang w:val="en-GB"/>
        </w:rPr>
        <w:t xml:space="preserve">defined </w:t>
      </w:r>
      <w:r w:rsidR="00505DF9">
        <w:rPr>
          <w:lang w:val="en-GB"/>
        </w:rPr>
        <w:t>according to</w:t>
      </w:r>
      <w:bookmarkStart w:id="1" w:name="_Hlk25696865"/>
      <w:r w:rsidR="00505DF9">
        <w:rPr>
          <w:lang w:val="en-GB"/>
        </w:rPr>
        <w:t xml:space="preserve"> </w:t>
      </w:r>
      <w:r w:rsidR="004C747D" w:rsidRPr="001C6DAE">
        <w:rPr>
          <w:lang w:val="en-GB"/>
        </w:rPr>
        <w:t xml:space="preserve">ASTM (American Society for Testing and Materials) D6304 (ASTM, 2014).   </w:t>
      </w:r>
      <w:bookmarkEnd w:id="1"/>
    </w:p>
    <w:p w14:paraId="70548246" w14:textId="0F7BD0F6" w:rsidR="004C747D" w:rsidRPr="00DB10FA" w:rsidRDefault="00505DF9" w:rsidP="004C747D">
      <w:pPr>
        <w:pStyle w:val="CETBodytext"/>
        <w:rPr>
          <w:lang w:val="en-GB"/>
        </w:rPr>
      </w:pPr>
      <w:r>
        <w:rPr>
          <w:lang w:val="en-GB"/>
        </w:rPr>
        <w:t>Industrially</w:t>
      </w:r>
      <w:r w:rsidR="004C747D" w:rsidRPr="001C6DAE">
        <w:rPr>
          <w:lang w:val="en-GB"/>
        </w:rPr>
        <w:t xml:space="preserve">, different technologies </w:t>
      </w:r>
      <w:r>
        <w:rPr>
          <w:lang w:val="en-GB"/>
        </w:rPr>
        <w:t xml:space="preserve">are applied </w:t>
      </w:r>
      <w:r w:rsidR="004C747D" w:rsidRPr="001C6DAE">
        <w:rPr>
          <w:lang w:val="en-GB"/>
        </w:rPr>
        <w:t>to remove water from fuels such as coalescing filters, distillation</w:t>
      </w:r>
      <w:r w:rsidR="00FE3309" w:rsidRPr="001C6DAE">
        <w:rPr>
          <w:lang w:val="en-GB"/>
        </w:rPr>
        <w:t>,</w:t>
      </w:r>
      <w:r w:rsidR="004C747D" w:rsidRPr="001C6DAE">
        <w:rPr>
          <w:lang w:val="en-GB"/>
        </w:rPr>
        <w:t xml:space="preserve"> and salt </w:t>
      </w:r>
      <w:r w:rsidR="004C747D" w:rsidRPr="00DB10FA">
        <w:rPr>
          <w:lang w:val="en-GB"/>
        </w:rPr>
        <w:t>beds (S</w:t>
      </w:r>
      <w:r w:rsidR="00D30EA8" w:rsidRPr="00DB10FA">
        <w:rPr>
          <w:lang w:val="en-GB"/>
        </w:rPr>
        <w:t>antos</w:t>
      </w:r>
      <w:r w:rsidR="004C747D" w:rsidRPr="00DB10FA">
        <w:rPr>
          <w:lang w:val="en-GB"/>
        </w:rPr>
        <w:t xml:space="preserve"> et al., 2019). Although these techniques are widely used, </w:t>
      </w:r>
      <w:r w:rsidRPr="00DB10FA">
        <w:rPr>
          <w:lang w:val="en-GB"/>
        </w:rPr>
        <w:t xml:space="preserve">each one has its own disadvantage </w:t>
      </w:r>
      <w:r w:rsidR="004C747D" w:rsidRPr="00DB10FA">
        <w:rPr>
          <w:lang w:val="en-GB"/>
        </w:rPr>
        <w:t>such as high investment, excessive energy expenditure, complexity of operation, fuel contamination</w:t>
      </w:r>
      <w:r w:rsidR="00FE3309" w:rsidRPr="00DB10FA">
        <w:rPr>
          <w:lang w:val="en-GB"/>
        </w:rPr>
        <w:t>,</w:t>
      </w:r>
      <w:r w:rsidR="004C747D" w:rsidRPr="00DB10FA">
        <w:rPr>
          <w:lang w:val="en-GB"/>
        </w:rPr>
        <w:t xml:space="preserve"> and saline effluent generation (</w:t>
      </w:r>
      <w:proofErr w:type="spellStart"/>
      <w:r w:rsidR="00DE396E" w:rsidRPr="00DB10FA">
        <w:rPr>
          <w:lang w:val="en-GB"/>
        </w:rPr>
        <w:t>Palanisamy</w:t>
      </w:r>
      <w:proofErr w:type="spellEnd"/>
      <w:r w:rsidR="00DE396E" w:rsidRPr="00DB10FA">
        <w:rPr>
          <w:lang w:val="en-GB"/>
        </w:rPr>
        <w:t xml:space="preserve"> et al., 2021</w:t>
      </w:r>
      <w:r w:rsidR="00CB4E39" w:rsidRPr="00DB10FA">
        <w:rPr>
          <w:lang w:val="en-GB"/>
        </w:rPr>
        <w:t>). Polymeric h</w:t>
      </w:r>
      <w:r w:rsidRPr="00DB10FA">
        <w:rPr>
          <w:lang w:val="en-GB"/>
        </w:rPr>
        <w:t xml:space="preserve">ydrogels have been studied as a new technology to </w:t>
      </w:r>
      <w:r w:rsidR="004C747D" w:rsidRPr="00DB10FA">
        <w:rPr>
          <w:lang w:val="en-GB"/>
        </w:rPr>
        <w:t>remove water from</w:t>
      </w:r>
      <w:r w:rsidRPr="00DB10FA">
        <w:rPr>
          <w:lang w:val="en-GB"/>
        </w:rPr>
        <w:t xml:space="preserve"> fuels.</w:t>
      </w:r>
      <w:r w:rsidR="00CB4E39" w:rsidRPr="00DB10FA">
        <w:rPr>
          <w:lang w:val="en-GB"/>
        </w:rPr>
        <w:t xml:space="preserve"> </w:t>
      </w:r>
      <w:r w:rsidRPr="00DB10FA">
        <w:rPr>
          <w:lang w:val="en-GB"/>
        </w:rPr>
        <w:t>The</w:t>
      </w:r>
      <w:r w:rsidR="00CB4E39" w:rsidRPr="00DB10FA">
        <w:rPr>
          <w:lang w:val="en-GB"/>
        </w:rPr>
        <w:t>se</w:t>
      </w:r>
      <w:r w:rsidR="00431939" w:rsidRPr="00DB10FA">
        <w:rPr>
          <w:lang w:val="en-GB"/>
        </w:rPr>
        <w:t xml:space="preserve"> </w:t>
      </w:r>
      <w:r w:rsidR="004C747D" w:rsidRPr="00DB10FA">
        <w:rPr>
          <w:lang w:val="en-GB"/>
        </w:rPr>
        <w:t>material</w:t>
      </w:r>
      <w:r w:rsidRPr="00DB10FA">
        <w:rPr>
          <w:lang w:val="en-GB"/>
        </w:rPr>
        <w:t>s</w:t>
      </w:r>
      <w:r w:rsidR="004C747D" w:rsidRPr="00DB10FA">
        <w:rPr>
          <w:lang w:val="en-GB"/>
        </w:rPr>
        <w:t xml:space="preserve"> </w:t>
      </w:r>
      <w:r w:rsidR="00CB4E39" w:rsidRPr="00DB10FA">
        <w:rPr>
          <w:lang w:val="en-GB"/>
        </w:rPr>
        <w:t xml:space="preserve">have </w:t>
      </w:r>
      <w:r w:rsidR="004C747D" w:rsidRPr="00DB10FA">
        <w:rPr>
          <w:lang w:val="en-GB"/>
        </w:rPr>
        <w:t>hydrophilic structure and three-dimensional networks capable of holding large amounts of water (</w:t>
      </w:r>
      <w:r w:rsidR="00EF018A" w:rsidRPr="00DB10FA">
        <w:rPr>
          <w:lang w:val="en-GB"/>
        </w:rPr>
        <w:t>Sharma et al., 2022</w:t>
      </w:r>
      <w:r w:rsidR="004C747D" w:rsidRPr="00DB10FA">
        <w:rPr>
          <w:lang w:val="en-GB"/>
        </w:rPr>
        <w:t>).</w:t>
      </w:r>
      <w:r w:rsidR="00905AC7" w:rsidRPr="00DB10FA">
        <w:rPr>
          <w:lang w:val="en-GB"/>
        </w:rPr>
        <w:t xml:space="preserve"> </w:t>
      </w:r>
      <w:r w:rsidR="004C747D" w:rsidRPr="00DB10FA">
        <w:rPr>
          <w:lang w:val="en-GB"/>
        </w:rPr>
        <w:t>The polymer is synthesized based on natural or synthetic products. Synthetic materials have advantages such as increased water holding capacity, longer service life</w:t>
      </w:r>
      <w:r w:rsidR="00FE3309" w:rsidRPr="00DB10FA">
        <w:rPr>
          <w:lang w:val="en-GB"/>
        </w:rPr>
        <w:t>,</w:t>
      </w:r>
      <w:r w:rsidR="004C747D" w:rsidRPr="00DB10FA">
        <w:rPr>
          <w:lang w:val="en-GB"/>
        </w:rPr>
        <w:t xml:space="preserve"> and diverse applications</w:t>
      </w:r>
      <w:r w:rsidR="00A66B74" w:rsidRPr="00DB10FA">
        <w:rPr>
          <w:lang w:val="en-GB"/>
        </w:rPr>
        <w:t xml:space="preserve">. </w:t>
      </w:r>
      <w:r w:rsidR="004C747D" w:rsidRPr="00DB10FA">
        <w:rPr>
          <w:lang w:val="en-GB"/>
        </w:rPr>
        <w:t xml:space="preserve">The polymer </w:t>
      </w:r>
      <w:r w:rsidR="00CB4E39" w:rsidRPr="00DB10FA">
        <w:rPr>
          <w:lang w:val="en-GB"/>
        </w:rPr>
        <w:t xml:space="preserve">can be </w:t>
      </w:r>
      <w:r w:rsidR="004C747D" w:rsidRPr="00DB10FA">
        <w:rPr>
          <w:lang w:val="en-GB"/>
        </w:rPr>
        <w:t>classified according to</w:t>
      </w:r>
      <w:r w:rsidR="00CB4E39" w:rsidRPr="00DB10FA">
        <w:rPr>
          <w:lang w:val="en-GB"/>
        </w:rPr>
        <w:t xml:space="preserve"> different forms, including</w:t>
      </w:r>
      <w:r w:rsidR="004C747D" w:rsidRPr="00DB10FA">
        <w:rPr>
          <w:lang w:val="en-GB"/>
        </w:rPr>
        <w:t xml:space="preserve"> the charge of the groups linked to the polymer chains and the preparation methods (homopolymer, copolymer</w:t>
      </w:r>
      <w:r w:rsidR="00FE3309" w:rsidRPr="00DB10FA">
        <w:rPr>
          <w:lang w:val="en-GB"/>
        </w:rPr>
        <w:t>,</w:t>
      </w:r>
      <w:r w:rsidR="004C747D" w:rsidRPr="00DB10FA">
        <w:rPr>
          <w:lang w:val="en-GB"/>
        </w:rPr>
        <w:t xml:space="preserve"> and interpenetrating network)</w:t>
      </w:r>
      <w:r w:rsidR="00D30EA8" w:rsidRPr="00DB10FA">
        <w:rPr>
          <w:lang w:val="en-GB"/>
        </w:rPr>
        <w:t xml:space="preserve"> </w:t>
      </w:r>
      <w:r w:rsidR="00A66B74" w:rsidRPr="00DB10FA">
        <w:rPr>
          <w:lang w:val="en-GB"/>
        </w:rPr>
        <w:t>(</w:t>
      </w:r>
      <w:r w:rsidR="00EF018A" w:rsidRPr="00DB10FA">
        <w:rPr>
          <w:lang w:val="en-GB"/>
        </w:rPr>
        <w:t>Sharma et al., 2022</w:t>
      </w:r>
      <w:r w:rsidR="00D30EA8" w:rsidRPr="00DB10FA">
        <w:rPr>
          <w:lang w:val="en-GB"/>
        </w:rPr>
        <w:t xml:space="preserve">). </w:t>
      </w:r>
    </w:p>
    <w:p w14:paraId="7EFAC85C" w14:textId="4358EAF1" w:rsidR="004C747D" w:rsidRPr="001C6DAE" w:rsidRDefault="004C747D" w:rsidP="004C747D">
      <w:pPr>
        <w:pStyle w:val="CETBodytext"/>
        <w:rPr>
          <w:lang w:val="en-GB"/>
        </w:rPr>
      </w:pPr>
      <w:r w:rsidRPr="00DB10FA">
        <w:rPr>
          <w:lang w:val="en-GB"/>
        </w:rPr>
        <w:t>Hydrogel application occurs in different segments with emphasis on application in agriculture, medicine, hygiene products</w:t>
      </w:r>
      <w:r w:rsidR="00FE3309" w:rsidRPr="00DB10FA">
        <w:rPr>
          <w:lang w:val="en-GB"/>
        </w:rPr>
        <w:t>,</w:t>
      </w:r>
      <w:r w:rsidRPr="00DB10FA">
        <w:rPr>
          <w:lang w:val="en-GB"/>
        </w:rPr>
        <w:t xml:space="preserve"> and food additives (</w:t>
      </w:r>
      <w:r w:rsidR="00EF018A" w:rsidRPr="00DB10FA">
        <w:rPr>
          <w:lang w:val="en-GB"/>
        </w:rPr>
        <w:t>Sharma et al., 2022</w:t>
      </w:r>
      <w:r w:rsidRPr="00DB10FA">
        <w:rPr>
          <w:lang w:val="en-GB"/>
        </w:rPr>
        <w:t>).</w:t>
      </w:r>
      <w:r w:rsidR="00905AC7" w:rsidRPr="00DB10FA">
        <w:rPr>
          <w:lang w:val="en-GB"/>
        </w:rPr>
        <w:t xml:space="preserve"> </w:t>
      </w:r>
      <w:r w:rsidRPr="00DB10FA">
        <w:rPr>
          <w:lang w:val="en-GB"/>
        </w:rPr>
        <w:t>Based on previous work by our research team</w:t>
      </w:r>
      <w:r w:rsidR="002B13BA" w:rsidRPr="00DB10FA">
        <w:rPr>
          <w:lang w:val="en-GB"/>
        </w:rPr>
        <w:t xml:space="preserve">, </w:t>
      </w:r>
      <w:r w:rsidRPr="00DB10FA">
        <w:rPr>
          <w:lang w:val="en-GB"/>
        </w:rPr>
        <w:t>Santos et al. (2019)</w:t>
      </w:r>
      <w:r w:rsidR="00EF018A" w:rsidRPr="00DB10FA">
        <w:rPr>
          <w:lang w:val="en-GB"/>
        </w:rPr>
        <w:t xml:space="preserve">, Gonçalves et al. (2020) and </w:t>
      </w:r>
      <w:proofErr w:type="spellStart"/>
      <w:r w:rsidR="00EF018A" w:rsidRPr="00DB10FA">
        <w:t>Dourado</w:t>
      </w:r>
      <w:proofErr w:type="spellEnd"/>
      <w:r w:rsidR="00EF018A" w:rsidRPr="00DB10FA">
        <w:t xml:space="preserve"> et al. (2021) </w:t>
      </w:r>
      <w:r w:rsidRPr="00DB10FA">
        <w:rPr>
          <w:lang w:val="en-GB"/>
        </w:rPr>
        <w:t>expanded the use of hydrogel to remove water from biodiesel.</w:t>
      </w:r>
      <w:r w:rsidR="00DC75CA" w:rsidRPr="00DB10FA">
        <w:rPr>
          <w:lang w:val="en-GB"/>
        </w:rPr>
        <w:t xml:space="preserve"> </w:t>
      </w:r>
      <w:r w:rsidRPr="00DB10FA">
        <w:rPr>
          <w:lang w:val="en-GB"/>
        </w:rPr>
        <w:t xml:space="preserve">Santos et al. (2019) evaluated the application of </w:t>
      </w:r>
      <w:proofErr w:type="gramStart"/>
      <w:r w:rsidRPr="00DB10FA">
        <w:rPr>
          <w:lang w:val="en-GB"/>
        </w:rPr>
        <w:t>poly(</w:t>
      </w:r>
      <w:proofErr w:type="gramEnd"/>
      <w:r w:rsidRPr="00DB10FA">
        <w:rPr>
          <w:lang w:val="en-GB"/>
        </w:rPr>
        <w:t>acrylic acid-co-acrylamide) and poly(sodium acrylate-co-acrylamide) hydrogels for the removal of water from commercial biodiesel. The polymers were able to remove approximately 80</w:t>
      </w:r>
      <w:r w:rsidR="00FE3309" w:rsidRPr="00DB10FA">
        <w:rPr>
          <w:lang w:val="en-GB"/>
        </w:rPr>
        <w:t xml:space="preserve"> </w:t>
      </w:r>
      <w:r w:rsidRPr="00DB10FA">
        <w:rPr>
          <w:lang w:val="en-GB"/>
        </w:rPr>
        <w:t xml:space="preserve">% of the water at 40 °C </w:t>
      </w:r>
      <w:r w:rsidR="00FE3309" w:rsidRPr="00DB10FA">
        <w:rPr>
          <w:lang w:val="en-GB"/>
        </w:rPr>
        <w:t>from</w:t>
      </w:r>
      <w:r w:rsidRPr="00DB10FA">
        <w:rPr>
          <w:lang w:val="en-GB"/>
        </w:rPr>
        <w:t xml:space="preserve"> 1650 ppm being the initial water content.</w:t>
      </w:r>
      <w:r w:rsidR="00DC75CA" w:rsidRPr="00DB10FA">
        <w:rPr>
          <w:lang w:val="en-GB"/>
        </w:rPr>
        <w:t xml:space="preserve"> Gonçalves et al. (2020) used the </w:t>
      </w:r>
      <w:proofErr w:type="gramStart"/>
      <w:r w:rsidR="00DC75CA" w:rsidRPr="00DB10FA">
        <w:rPr>
          <w:lang w:val="en-GB"/>
        </w:rPr>
        <w:t>poly(</w:t>
      </w:r>
      <w:proofErr w:type="gramEnd"/>
      <w:r w:rsidR="00DC75CA" w:rsidRPr="00DB10FA">
        <w:rPr>
          <w:lang w:val="en-GB"/>
        </w:rPr>
        <w:t>acrylamide-co-acid acrylic) obtaining 53 % water removal.</w:t>
      </w:r>
      <w:r w:rsidR="00DC75CA" w:rsidRPr="00DB10FA">
        <w:t xml:space="preserve"> </w:t>
      </w:r>
      <w:proofErr w:type="spellStart"/>
      <w:r w:rsidR="00DC75CA" w:rsidRPr="00DB10FA">
        <w:t>Dourado</w:t>
      </w:r>
      <w:proofErr w:type="spellEnd"/>
      <w:r w:rsidR="00DC75CA" w:rsidRPr="00DB10FA">
        <w:t xml:space="preserve"> et al. (2021) applied polyacrylic acid and sodium polyacrylate </w:t>
      </w:r>
      <w:r w:rsidR="00B22D44" w:rsidRPr="00DB10FA">
        <w:t>and the results showed that the final water content was lower than 1100 ppm from 6977 ppm (initial water content). T</w:t>
      </w:r>
      <w:proofErr w:type="spellStart"/>
      <w:r w:rsidRPr="00DB10FA">
        <w:rPr>
          <w:lang w:val="en-GB"/>
        </w:rPr>
        <w:t>hus</w:t>
      </w:r>
      <w:proofErr w:type="spellEnd"/>
      <w:r w:rsidRPr="00DB10FA">
        <w:rPr>
          <w:lang w:val="en-GB"/>
        </w:rPr>
        <w:t>, the present work proposes the synthesis of poly(acrylonitrile-co-acrylamide) hydrogel to remove water from biodiesel</w:t>
      </w:r>
      <w:r w:rsidRPr="001C6DAE">
        <w:rPr>
          <w:lang w:val="en-GB"/>
        </w:rPr>
        <w:t xml:space="preserve"> and obtain biodiesel with reduced water content </w:t>
      </w:r>
      <w:r w:rsidRPr="00431939">
        <w:rPr>
          <w:color w:val="000000" w:themeColor="text1"/>
          <w:lang w:val="en-GB"/>
        </w:rPr>
        <w:t>(</w:t>
      </w:r>
      <w:r w:rsidR="00A00300" w:rsidRPr="00431939">
        <w:rPr>
          <w:rFonts w:cs="Arial"/>
          <w:color w:val="000000" w:themeColor="text1"/>
          <w:lang w:val="en-GB"/>
        </w:rPr>
        <w:t>≤</w:t>
      </w:r>
      <w:r w:rsidR="00F47308" w:rsidRPr="00431939">
        <w:rPr>
          <w:color w:val="000000" w:themeColor="text1"/>
          <w:lang w:val="en-GB"/>
        </w:rPr>
        <w:t xml:space="preserve"> </w:t>
      </w:r>
      <w:r w:rsidRPr="00431939">
        <w:rPr>
          <w:color w:val="000000" w:themeColor="text1"/>
          <w:lang w:val="en-GB"/>
        </w:rPr>
        <w:t xml:space="preserve">350 ppm). </w:t>
      </w:r>
      <w:r w:rsidRPr="001C6DAE">
        <w:rPr>
          <w:lang w:val="en-GB"/>
        </w:rPr>
        <w:t>The</w:t>
      </w:r>
      <w:r w:rsidR="0070657A">
        <w:rPr>
          <w:lang w:val="en-GB"/>
        </w:rPr>
        <w:t xml:space="preserve"> </w:t>
      </w:r>
      <w:r w:rsidR="0070657A" w:rsidRPr="001C6DAE">
        <w:rPr>
          <w:lang w:val="en-GB"/>
        </w:rPr>
        <w:t>batch</w:t>
      </w:r>
      <w:r w:rsidRPr="001C6DAE">
        <w:rPr>
          <w:lang w:val="en-GB"/>
        </w:rPr>
        <w:t xml:space="preserve"> experiments were </w:t>
      </w:r>
      <w:r w:rsidR="0070657A">
        <w:rPr>
          <w:lang w:val="en-GB"/>
        </w:rPr>
        <w:t xml:space="preserve">designed </w:t>
      </w:r>
      <w:r w:rsidRPr="001C6DAE">
        <w:rPr>
          <w:lang w:val="en-GB"/>
        </w:rPr>
        <w:t xml:space="preserve">to </w:t>
      </w:r>
      <w:r w:rsidR="0070657A">
        <w:rPr>
          <w:lang w:val="en-GB"/>
        </w:rPr>
        <w:t xml:space="preserve">allow the </w:t>
      </w:r>
      <w:r w:rsidR="0070657A" w:rsidRPr="001C6DAE">
        <w:rPr>
          <w:lang w:val="en-GB"/>
        </w:rPr>
        <w:t>analys</w:t>
      </w:r>
      <w:r w:rsidR="0070657A">
        <w:rPr>
          <w:lang w:val="en-GB"/>
        </w:rPr>
        <w:t>is of</w:t>
      </w:r>
      <w:r w:rsidRPr="001C6DAE">
        <w:rPr>
          <w:lang w:val="en-GB"/>
        </w:rPr>
        <w:t xml:space="preserve"> the effect of contact time between hydrogel and biodiesel</w:t>
      </w:r>
      <w:r w:rsidR="0070657A">
        <w:rPr>
          <w:lang w:val="en-GB"/>
        </w:rPr>
        <w:t xml:space="preserve"> on the water removal and to understand </w:t>
      </w:r>
      <w:r w:rsidRPr="001C6DAE">
        <w:rPr>
          <w:lang w:val="en-GB"/>
        </w:rPr>
        <w:t xml:space="preserve">the mass transfer mechanisms involved. Mathematical models of adsorption kinetics allow the kinetic </w:t>
      </w:r>
      <w:r w:rsidR="00434F2A" w:rsidRPr="001C6DAE">
        <w:rPr>
          <w:lang w:val="en-GB"/>
        </w:rPr>
        <w:t>behaviour</w:t>
      </w:r>
      <w:r w:rsidRPr="001C6DAE">
        <w:rPr>
          <w:lang w:val="en-GB"/>
        </w:rPr>
        <w:t xml:space="preserve"> of the solid-liquid system to be known, and therefore kinetic models of the pseudo</w:t>
      </w:r>
      <w:r w:rsidR="00FE3309" w:rsidRPr="001C6DAE">
        <w:rPr>
          <w:lang w:val="en-GB"/>
        </w:rPr>
        <w:t>-</w:t>
      </w:r>
      <w:r w:rsidRPr="001C6DAE">
        <w:rPr>
          <w:lang w:val="en-GB"/>
        </w:rPr>
        <w:t>first</w:t>
      </w:r>
      <w:r w:rsidR="00FE3309" w:rsidRPr="001C6DAE">
        <w:rPr>
          <w:lang w:val="en-GB"/>
        </w:rPr>
        <w:t xml:space="preserve"> </w:t>
      </w:r>
      <w:r w:rsidRPr="001C6DAE">
        <w:rPr>
          <w:lang w:val="en-GB"/>
        </w:rPr>
        <w:t>order and pseudo</w:t>
      </w:r>
      <w:r w:rsidR="00FE3309" w:rsidRPr="001C6DAE">
        <w:rPr>
          <w:lang w:val="en-GB"/>
        </w:rPr>
        <w:t>-</w:t>
      </w:r>
      <w:r w:rsidRPr="001C6DAE">
        <w:rPr>
          <w:lang w:val="en-GB"/>
        </w:rPr>
        <w:t xml:space="preserve"> second</w:t>
      </w:r>
      <w:r w:rsidR="00FE3309" w:rsidRPr="001C6DAE">
        <w:rPr>
          <w:lang w:val="en-GB"/>
        </w:rPr>
        <w:t xml:space="preserve"> </w:t>
      </w:r>
      <w:r w:rsidRPr="001C6DAE">
        <w:rPr>
          <w:lang w:val="en-GB"/>
        </w:rPr>
        <w:t>order were evaluated.</w:t>
      </w:r>
    </w:p>
    <w:p w14:paraId="75E5719F" w14:textId="77777777" w:rsidR="00905AC7" w:rsidRPr="001C6DAE" w:rsidRDefault="00905AC7" w:rsidP="00905AC7">
      <w:pPr>
        <w:pStyle w:val="CETHeading1"/>
        <w:tabs>
          <w:tab w:val="num" w:pos="360"/>
        </w:tabs>
        <w:rPr>
          <w:lang w:val="en-GB"/>
        </w:rPr>
      </w:pPr>
      <w:r w:rsidRPr="001C6DAE">
        <w:rPr>
          <w:lang w:val="en-GB"/>
        </w:rPr>
        <w:t xml:space="preserve">Methodology  </w:t>
      </w:r>
    </w:p>
    <w:p w14:paraId="7E44D8DE" w14:textId="77777777" w:rsidR="00905AC7" w:rsidRPr="001C6DAE" w:rsidRDefault="00905AC7" w:rsidP="00905AC7">
      <w:pPr>
        <w:pStyle w:val="CETheadingx"/>
      </w:pPr>
      <w:r w:rsidRPr="001C6DAE">
        <w:t>Materials</w:t>
      </w:r>
    </w:p>
    <w:p w14:paraId="3240C372" w14:textId="77777777" w:rsidR="00905AC7" w:rsidRPr="001C6DAE" w:rsidRDefault="00905AC7" w:rsidP="00905AC7">
      <w:pPr>
        <w:pStyle w:val="CETBodytext"/>
        <w:rPr>
          <w:lang w:val="en-GB"/>
        </w:rPr>
      </w:pPr>
      <w:r w:rsidRPr="001C6DAE">
        <w:rPr>
          <w:lang w:val="en-GB"/>
        </w:rPr>
        <w:t>Reagents used in the experimental procedures were acrylamide (</w:t>
      </w:r>
      <w:proofErr w:type="spellStart"/>
      <w:r w:rsidRPr="001C6DAE">
        <w:rPr>
          <w:lang w:val="en-GB"/>
        </w:rPr>
        <w:t>AAm</w:t>
      </w:r>
      <w:proofErr w:type="spellEnd"/>
      <w:r w:rsidRPr="001C6DAE">
        <w:rPr>
          <w:lang w:val="en-GB"/>
        </w:rPr>
        <w:t>) ultrapure (</w:t>
      </w:r>
      <w:proofErr w:type="spellStart"/>
      <w:r w:rsidRPr="001C6DAE">
        <w:rPr>
          <w:lang w:val="en-GB"/>
        </w:rPr>
        <w:t>Amresco</w:t>
      </w:r>
      <w:proofErr w:type="spellEnd"/>
      <w:r w:rsidRPr="001C6DAE">
        <w:rPr>
          <w:lang w:val="en-GB"/>
        </w:rPr>
        <w:t>), acrylonitrile (AC) (</w:t>
      </w:r>
      <w:proofErr w:type="spellStart"/>
      <w:r w:rsidRPr="001C6DAE">
        <w:rPr>
          <w:lang w:val="en-GB"/>
        </w:rPr>
        <w:t>Dinamica</w:t>
      </w:r>
      <w:proofErr w:type="spellEnd"/>
      <w:r w:rsidRPr="001C6DAE">
        <w:rPr>
          <w:lang w:val="en-GB"/>
        </w:rPr>
        <w:t xml:space="preserve"> 99</w:t>
      </w:r>
      <w:r w:rsidR="00FE3309" w:rsidRPr="001C6DAE">
        <w:rPr>
          <w:lang w:val="en-GB"/>
        </w:rPr>
        <w:t xml:space="preserve"> </w:t>
      </w:r>
      <w:r w:rsidRPr="001C6DAE">
        <w:rPr>
          <w:lang w:val="en-GB"/>
        </w:rPr>
        <w:t xml:space="preserve">%), </w:t>
      </w:r>
      <w:proofErr w:type="gramStart"/>
      <w:r w:rsidRPr="001C6DAE">
        <w:rPr>
          <w:lang w:val="en-GB"/>
        </w:rPr>
        <w:t>N,N</w:t>
      </w:r>
      <w:proofErr w:type="gramEnd"/>
      <w:r w:rsidRPr="001C6DAE">
        <w:rPr>
          <w:lang w:val="en-GB"/>
        </w:rPr>
        <w:t>'-methylene-bis-acrylamide (</w:t>
      </w:r>
      <w:proofErr w:type="spellStart"/>
      <w:r w:rsidRPr="001C6DAE">
        <w:rPr>
          <w:lang w:val="en-GB"/>
        </w:rPr>
        <w:t>mBAAm</w:t>
      </w:r>
      <w:proofErr w:type="spellEnd"/>
      <w:r w:rsidRPr="001C6DAE">
        <w:rPr>
          <w:lang w:val="en-GB"/>
        </w:rPr>
        <w:t>) (USB 99</w:t>
      </w:r>
      <w:r w:rsidR="00FE3309" w:rsidRPr="001C6DAE">
        <w:rPr>
          <w:lang w:val="en-GB"/>
        </w:rPr>
        <w:t xml:space="preserve"> </w:t>
      </w:r>
      <w:r w:rsidRPr="001C6DAE">
        <w:rPr>
          <w:lang w:val="en-GB"/>
        </w:rPr>
        <w:t>%), N,N,N,N'-tetramethyl-ethylenediamine (TEMED) (Sigma-Aldrich 99</w:t>
      </w:r>
      <w:r w:rsidR="00FE3309" w:rsidRPr="001C6DAE">
        <w:rPr>
          <w:lang w:val="en-GB"/>
        </w:rPr>
        <w:t xml:space="preserve"> </w:t>
      </w:r>
      <w:r w:rsidRPr="001C6DAE">
        <w:rPr>
          <w:lang w:val="en-GB"/>
        </w:rPr>
        <w:t>%), potassium persulfate (Fisher Scientific 99</w:t>
      </w:r>
      <w:r w:rsidR="00FE3309" w:rsidRPr="001C6DAE">
        <w:rPr>
          <w:lang w:val="en-GB"/>
        </w:rPr>
        <w:t xml:space="preserve"> </w:t>
      </w:r>
      <w:r w:rsidRPr="001C6DAE">
        <w:rPr>
          <w:lang w:val="en-GB"/>
        </w:rPr>
        <w:t>%). The biodiesel used to perform the experimental procedures was purchased from local businesses. The water content of biodiesel before saturation was 585 ppm.</w:t>
      </w:r>
    </w:p>
    <w:p w14:paraId="7996BD8F" w14:textId="77777777" w:rsidR="00905AC7" w:rsidRPr="001C6DAE" w:rsidRDefault="00905AC7" w:rsidP="00905AC7">
      <w:pPr>
        <w:pStyle w:val="CETheadingx"/>
      </w:pPr>
      <w:r w:rsidRPr="001C6DAE">
        <w:t>Synthesis of acrylamide hydrogel copolymerized with acrylonitrile via free radical</w:t>
      </w:r>
    </w:p>
    <w:p w14:paraId="26F30C4A" w14:textId="5BD33DB1" w:rsidR="00905AC7" w:rsidRPr="001C6DAE" w:rsidRDefault="00905AC7" w:rsidP="00905AC7">
      <w:pPr>
        <w:pStyle w:val="CETBodytext"/>
        <w:rPr>
          <w:lang w:val="en-GB"/>
        </w:rPr>
      </w:pPr>
      <w:r w:rsidRPr="001C6DAE">
        <w:rPr>
          <w:lang w:val="en-GB"/>
        </w:rPr>
        <w:t xml:space="preserve">Hydrogel synthesis was performed using 2.5 g AC, 3 g </w:t>
      </w:r>
      <w:proofErr w:type="spellStart"/>
      <w:r w:rsidRPr="001C6DAE">
        <w:rPr>
          <w:lang w:val="en-GB"/>
        </w:rPr>
        <w:t>AAm</w:t>
      </w:r>
      <w:proofErr w:type="spellEnd"/>
      <w:r w:rsidRPr="001C6DAE">
        <w:rPr>
          <w:lang w:val="en-GB"/>
        </w:rPr>
        <w:t xml:space="preserve"> and 0.015 mol of crosslinking agent </w:t>
      </w:r>
      <w:proofErr w:type="spellStart"/>
      <w:r w:rsidRPr="001C6DAE">
        <w:rPr>
          <w:lang w:val="en-GB"/>
        </w:rPr>
        <w:t>MBAAm</w:t>
      </w:r>
      <w:proofErr w:type="spellEnd"/>
      <w:r w:rsidRPr="001C6DAE">
        <w:rPr>
          <w:lang w:val="en-GB"/>
        </w:rPr>
        <w:t>. To the respective mixture</w:t>
      </w:r>
      <w:r w:rsidR="00431939">
        <w:rPr>
          <w:lang w:val="en-GB"/>
        </w:rPr>
        <w:t xml:space="preserve"> </w:t>
      </w:r>
      <w:r w:rsidR="0070657A">
        <w:rPr>
          <w:lang w:val="en-GB"/>
        </w:rPr>
        <w:t xml:space="preserve">it </w:t>
      </w:r>
      <w:r w:rsidRPr="001C6DAE">
        <w:rPr>
          <w:lang w:val="en-GB"/>
        </w:rPr>
        <w:t xml:space="preserve">was added 0.057 mol/L TEMED, 0.02 g of sodium persulfate as a polymerization reaction initiator and water to allow solubilization of the medium. After the aqueous mixture was prepared, nitrogen was bubbled into the reaction medium until completion of the reaction, where it was possible to visualize the </w:t>
      </w:r>
      <w:r w:rsidR="0070657A">
        <w:rPr>
          <w:lang w:val="en-GB"/>
        </w:rPr>
        <w:t xml:space="preserve">gel </w:t>
      </w:r>
      <w:r w:rsidRPr="001C6DAE">
        <w:rPr>
          <w:lang w:val="en-GB"/>
        </w:rPr>
        <w:t xml:space="preserve">formation. After approximately 24 hours (relative to the end of the reaction), </w:t>
      </w:r>
      <w:r w:rsidR="0070657A">
        <w:rPr>
          <w:lang w:val="en-GB"/>
        </w:rPr>
        <w:t xml:space="preserve">the </w:t>
      </w:r>
      <w:r w:rsidRPr="001C6DAE">
        <w:rPr>
          <w:lang w:val="en-GB"/>
        </w:rPr>
        <w:t xml:space="preserve">excess </w:t>
      </w:r>
      <w:r w:rsidR="0070657A">
        <w:rPr>
          <w:lang w:val="en-GB"/>
        </w:rPr>
        <w:t xml:space="preserve">of </w:t>
      </w:r>
      <w:r w:rsidRPr="001C6DAE">
        <w:rPr>
          <w:lang w:val="en-GB"/>
        </w:rPr>
        <w:t xml:space="preserve">monomers </w:t>
      </w:r>
      <w:r w:rsidR="0070657A">
        <w:rPr>
          <w:lang w:val="en-GB"/>
        </w:rPr>
        <w:t xml:space="preserve">was </w:t>
      </w:r>
      <w:r w:rsidRPr="001C6DAE">
        <w:rPr>
          <w:lang w:val="en-GB"/>
        </w:rPr>
        <w:t>removed</w:t>
      </w:r>
      <w:r w:rsidR="0070657A">
        <w:rPr>
          <w:lang w:val="en-GB"/>
        </w:rPr>
        <w:t xml:space="preserve"> by washing procedure </w:t>
      </w:r>
      <w:r w:rsidRPr="001C6DAE">
        <w:rPr>
          <w:lang w:val="en-GB"/>
        </w:rPr>
        <w:t>with distilled water and the sample was</w:t>
      </w:r>
      <w:r w:rsidR="0070657A">
        <w:rPr>
          <w:lang w:val="en-GB"/>
        </w:rPr>
        <w:t xml:space="preserve"> oven dried</w:t>
      </w:r>
      <w:r w:rsidRPr="001C6DAE">
        <w:rPr>
          <w:lang w:val="en-GB"/>
        </w:rPr>
        <w:t xml:space="preserve"> at 70 ° C until a constant mass was obtained (</w:t>
      </w:r>
      <w:r w:rsidRPr="0039796B">
        <w:rPr>
          <w:lang w:val="en-GB"/>
        </w:rPr>
        <w:t>S</w:t>
      </w:r>
      <w:r w:rsidR="00D30EA8" w:rsidRPr="0039796B">
        <w:rPr>
          <w:lang w:val="en-GB"/>
        </w:rPr>
        <w:t>antos</w:t>
      </w:r>
      <w:r w:rsidRPr="0039796B">
        <w:rPr>
          <w:lang w:val="en-GB"/>
        </w:rPr>
        <w:t xml:space="preserve"> et al., 2019). Figure </w:t>
      </w:r>
      <w:r w:rsidR="00D30EA8" w:rsidRPr="0039796B">
        <w:rPr>
          <w:lang w:val="en-GB"/>
        </w:rPr>
        <w:t>1</w:t>
      </w:r>
      <w:r w:rsidRPr="001C6DAE">
        <w:rPr>
          <w:lang w:val="en-GB"/>
        </w:rPr>
        <w:t xml:space="preserve"> </w:t>
      </w:r>
      <w:r w:rsidR="0070657A" w:rsidRPr="001C6DAE">
        <w:rPr>
          <w:lang w:val="en-GB"/>
        </w:rPr>
        <w:t>shows</w:t>
      </w:r>
      <w:r w:rsidR="0070657A">
        <w:rPr>
          <w:lang w:val="en-GB"/>
        </w:rPr>
        <w:t xml:space="preserve"> the dry </w:t>
      </w:r>
      <w:r w:rsidRPr="001C6DAE">
        <w:rPr>
          <w:lang w:val="en-GB"/>
        </w:rPr>
        <w:t>poly (</w:t>
      </w:r>
      <w:proofErr w:type="spellStart"/>
      <w:r w:rsidRPr="001C6DAE">
        <w:rPr>
          <w:lang w:val="en-GB"/>
        </w:rPr>
        <w:t>AAm</w:t>
      </w:r>
      <w:proofErr w:type="spellEnd"/>
      <w:r w:rsidRPr="001C6DAE">
        <w:rPr>
          <w:lang w:val="en-GB"/>
        </w:rPr>
        <w:t>-co-AC) hydrogel.</w:t>
      </w:r>
    </w:p>
    <w:p w14:paraId="552B37BE" w14:textId="77777777" w:rsidR="00905AC7" w:rsidRPr="001C6DAE" w:rsidRDefault="00905AC7" w:rsidP="00905AC7">
      <w:pPr>
        <w:pStyle w:val="CETBodytext"/>
        <w:rPr>
          <w:lang w:val="en-GB"/>
        </w:rPr>
      </w:pPr>
    </w:p>
    <w:p w14:paraId="76064B16" w14:textId="77777777" w:rsidR="00905AC7" w:rsidRPr="001C6DAE" w:rsidRDefault="00905AC7" w:rsidP="00905AC7">
      <w:pPr>
        <w:pStyle w:val="CETBodytext"/>
        <w:keepNext/>
        <w:keepLines/>
        <w:rPr>
          <w:lang w:val="en-GB"/>
        </w:rPr>
      </w:pPr>
      <w:r w:rsidRPr="001C6DAE">
        <w:rPr>
          <w:rFonts w:cs="Arial"/>
          <w:noProof/>
          <w:sz w:val="24"/>
          <w:szCs w:val="24"/>
          <w:lang w:val="pt-BR" w:eastAsia="pt-BR"/>
        </w:rPr>
        <w:drawing>
          <wp:inline distT="0" distB="0" distL="0" distR="0" wp14:anchorId="3A48632F" wp14:editId="6275AE2D">
            <wp:extent cx="1057524" cy="945644"/>
            <wp:effectExtent l="0" t="0" r="9525" b="6985"/>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Lst>
                    </a:blip>
                    <a:srcRect l="15522" t="28442" r="14452" b="24597"/>
                    <a:stretch/>
                  </pic:blipFill>
                  <pic:spPr bwMode="auto">
                    <a:xfrm>
                      <a:off x="0" y="0"/>
                      <a:ext cx="1067032" cy="954146"/>
                    </a:xfrm>
                    <a:prstGeom prst="ellipse">
                      <a:avLst/>
                    </a:prstGeom>
                    <a:ln>
                      <a:noFill/>
                    </a:ln>
                    <a:extLst>
                      <a:ext uri="{53640926-AAD7-44D8-BBD7-CCE9431645EC}">
                        <a14:shadowObscured xmlns:a14="http://schemas.microsoft.com/office/drawing/2010/main"/>
                      </a:ext>
                    </a:extLst>
                  </pic:spPr>
                </pic:pic>
              </a:graphicData>
            </a:graphic>
          </wp:inline>
        </w:drawing>
      </w:r>
    </w:p>
    <w:p w14:paraId="6A7B8DBD" w14:textId="77777777" w:rsidR="00905AC7" w:rsidRPr="001C6DAE" w:rsidRDefault="00905AC7" w:rsidP="00905AC7">
      <w:pPr>
        <w:pStyle w:val="CETBodytext"/>
        <w:keepNext/>
        <w:keepLines/>
        <w:rPr>
          <w:lang w:val="en-GB"/>
        </w:rPr>
      </w:pPr>
    </w:p>
    <w:p w14:paraId="20F98A84" w14:textId="4CD149E4" w:rsidR="00905AC7" w:rsidRPr="001C6DAE" w:rsidRDefault="00905AC7" w:rsidP="00430BA1">
      <w:pPr>
        <w:pStyle w:val="CETCaption"/>
      </w:pPr>
      <w:r w:rsidRPr="001C6DAE">
        <w:t>Figure 1: Poly (</w:t>
      </w:r>
      <w:proofErr w:type="spellStart"/>
      <w:r w:rsidRPr="001C6DAE">
        <w:t>AAm</w:t>
      </w:r>
      <w:proofErr w:type="spellEnd"/>
      <w:r w:rsidRPr="001C6DAE">
        <w:t xml:space="preserve">-co-AC) </w:t>
      </w:r>
      <w:r w:rsidRPr="00430BA1">
        <w:t>hydrogel</w:t>
      </w:r>
      <w:r w:rsidRPr="001C6DAE">
        <w:t xml:space="preserve"> particles</w:t>
      </w:r>
      <w:r w:rsidR="00E54E33">
        <w:t>.</w:t>
      </w:r>
    </w:p>
    <w:p w14:paraId="2043B14A" w14:textId="334F7059" w:rsidR="00905AC7" w:rsidRPr="001C6DAE" w:rsidRDefault="00B76F36" w:rsidP="00905AC7">
      <w:pPr>
        <w:pStyle w:val="CETheadingx"/>
      </w:pPr>
      <w:r>
        <w:lastRenderedPageBreak/>
        <w:t>T</w:t>
      </w:r>
      <w:r w:rsidRPr="001C6DAE">
        <w:t xml:space="preserve">ests </w:t>
      </w:r>
      <w:r>
        <w:t>of w</w:t>
      </w:r>
      <w:r w:rsidR="00905AC7" w:rsidRPr="001C6DAE">
        <w:t>ater removal from biodiesel</w:t>
      </w:r>
    </w:p>
    <w:p w14:paraId="7319B2EC" w14:textId="77777777" w:rsidR="00B76F36" w:rsidRPr="001C6DAE" w:rsidRDefault="00905AC7" w:rsidP="00B76F36">
      <w:pPr>
        <w:pStyle w:val="CETBodytext"/>
      </w:pPr>
      <w:r w:rsidRPr="001C6DAE">
        <w:rPr>
          <w:lang w:val="en-GB"/>
        </w:rPr>
        <w:t>For water removal experiments, commercial biodiesel was initially saturated with distilled water for 1 hour. After this time, the aqueous and oily phases were expected to separate</w:t>
      </w:r>
      <w:r w:rsidR="00FE3309" w:rsidRPr="001C6DAE">
        <w:rPr>
          <w:lang w:val="en-GB"/>
        </w:rPr>
        <w:t>,</w:t>
      </w:r>
      <w:r w:rsidRPr="001C6DAE">
        <w:rPr>
          <w:lang w:val="en-GB"/>
        </w:rPr>
        <w:t xml:space="preserve"> and a separatory funnel was used to obtain saturated biodiesel. 100 mL of saturated biodiesel was added to an erlenmeyer and placed in contact with 0.4 g of hydrogel. The tests were carried out in a batch system with controlled temperatures of 25 and 40 °C and performed in triplicate. The samples were agitated using a shaker (IKA Model KS 4000 </w:t>
      </w:r>
      <w:proofErr w:type="spellStart"/>
      <w:r w:rsidRPr="001C6DAE">
        <w:rPr>
          <w:lang w:val="en-GB"/>
        </w:rPr>
        <w:t>ic</w:t>
      </w:r>
      <w:proofErr w:type="spellEnd"/>
      <w:r w:rsidRPr="001C6DAE">
        <w:rPr>
          <w:lang w:val="en-GB"/>
        </w:rPr>
        <w:t xml:space="preserve"> control) with a constant speed of 200 rpm. </w:t>
      </w:r>
      <w:r w:rsidR="00B76F36" w:rsidRPr="001C6DAE">
        <w:t>Biodiesel water content was determined by automatic coulometric titration (</w:t>
      </w:r>
      <w:proofErr w:type="spellStart"/>
      <w:r w:rsidR="00B76F36" w:rsidRPr="001C6DAE">
        <w:t>Metrohm</w:t>
      </w:r>
      <w:proofErr w:type="spellEnd"/>
      <w:r w:rsidR="00B76F36" w:rsidRPr="001C6DAE">
        <w:t xml:space="preserve">, model 860 KF </w:t>
      </w:r>
      <w:proofErr w:type="spellStart"/>
      <w:r w:rsidR="00B76F36" w:rsidRPr="001C6DAE">
        <w:t>Thermoprep</w:t>
      </w:r>
      <w:proofErr w:type="spellEnd"/>
      <w:r w:rsidR="00B76F36" w:rsidRPr="001C6DAE">
        <w:t>), according to EN</w:t>
      </w:r>
      <w:r w:rsidR="00B76F36">
        <w:t xml:space="preserve"> </w:t>
      </w:r>
      <w:r w:rsidR="00B76F36" w:rsidRPr="001C6DAE">
        <w:t>ISO 12937.</w:t>
      </w:r>
    </w:p>
    <w:p w14:paraId="581AFB44" w14:textId="52D449F6" w:rsidR="00F31C5E" w:rsidRPr="005F16BE" w:rsidRDefault="00905AC7" w:rsidP="00905AC7">
      <w:pPr>
        <w:pStyle w:val="CETBodytext"/>
        <w:rPr>
          <w:lang w:val="en-GB"/>
        </w:rPr>
      </w:pPr>
      <w:r w:rsidRPr="001C6DAE">
        <w:rPr>
          <w:lang w:val="en-GB"/>
        </w:rPr>
        <w:t>Eq</w:t>
      </w:r>
      <w:r w:rsidR="004077DC">
        <w:rPr>
          <w:lang w:val="en-GB"/>
        </w:rPr>
        <w:t xml:space="preserve">uation </w:t>
      </w:r>
      <w:r w:rsidRPr="001C6DAE">
        <w:rPr>
          <w:lang w:val="en-GB"/>
        </w:rPr>
        <w:t>1 and Eq</w:t>
      </w:r>
      <w:r w:rsidR="004077DC">
        <w:rPr>
          <w:lang w:val="en-GB"/>
        </w:rPr>
        <w:t xml:space="preserve">uation </w:t>
      </w:r>
      <w:r w:rsidRPr="001C6DAE">
        <w:rPr>
          <w:lang w:val="en-GB"/>
        </w:rPr>
        <w:t>2 were used to quantify the hydrogel water removal capacity (</w:t>
      </w:r>
      <w:proofErr w:type="spellStart"/>
      <w:r w:rsidRPr="001C6DAE">
        <w:rPr>
          <w:lang w:val="en-GB"/>
        </w:rPr>
        <w:t>q</w:t>
      </w:r>
      <w:r w:rsidRPr="001C6DAE">
        <w:rPr>
          <w:vertAlign w:val="subscript"/>
          <w:lang w:val="en-GB"/>
        </w:rPr>
        <w:t>e</w:t>
      </w:r>
      <w:proofErr w:type="spellEnd"/>
      <w:r w:rsidRPr="001C6DAE">
        <w:rPr>
          <w:lang w:val="en-GB"/>
        </w:rPr>
        <w:t xml:space="preserve">) and the percentage removal of water from biodiesel (%R), </w:t>
      </w:r>
      <w:r w:rsidRPr="005F16BE">
        <w:rPr>
          <w:lang w:val="en-GB"/>
        </w:rPr>
        <w:t>respectively (</w:t>
      </w:r>
      <w:r w:rsidR="006C2839" w:rsidRPr="005F16BE">
        <w:t>Ramos et al., 2022</w:t>
      </w:r>
      <w:r w:rsidRPr="005F16BE">
        <w:rPr>
          <w:lang w:val="en-GB"/>
        </w:rPr>
        <w:t>).</w:t>
      </w:r>
    </w:p>
    <w:p w14:paraId="4D47FCC3" w14:textId="77777777" w:rsidR="00BB7AAD" w:rsidRPr="005F16BE" w:rsidRDefault="00BB7AAD" w:rsidP="00905AC7">
      <w:pPr>
        <w:pStyle w:val="CETBodytext"/>
        <w:rPr>
          <w:lang w:val="en-GB"/>
        </w:rPr>
      </w:pPr>
    </w:p>
    <w:tbl>
      <w:tblPr>
        <w:tblStyle w:val="TableGrid"/>
        <w:tblW w:w="8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1"/>
        <w:gridCol w:w="192"/>
        <w:gridCol w:w="436"/>
      </w:tblGrid>
      <w:tr w:rsidR="00905AC7" w:rsidRPr="005F16BE" w14:paraId="4430BE0C" w14:textId="77777777" w:rsidTr="00905AC7">
        <w:tc>
          <w:tcPr>
            <w:tcW w:w="8133" w:type="dxa"/>
          </w:tcPr>
          <w:p w14:paraId="765A009E" w14:textId="77777777" w:rsidR="00905AC7" w:rsidRPr="005F16BE" w:rsidRDefault="00325116" w:rsidP="00430BA1">
            <w:pPr>
              <w:pStyle w:val="CETEquation"/>
              <w:rPr>
                <w:rFonts w:cs="Arial"/>
              </w:rPr>
            </w:pPr>
            <m:oMathPara>
              <m:oMathParaPr>
                <m:jc m:val="left"/>
              </m:oMathParaPr>
              <m:oMath>
                <m:sSub>
                  <m:sSubPr>
                    <m:ctrlPr>
                      <w:rPr>
                        <w:rFonts w:ascii="Cambria Math" w:hAnsi="Cambria Math" w:cs="Arial"/>
                      </w:rPr>
                    </m:ctrlPr>
                  </m:sSubPr>
                  <m:e>
                    <m:r>
                      <w:rPr>
                        <w:rFonts w:ascii="Cambria Math" w:hAnsi="Cambria Math" w:cs="Arial"/>
                      </w:rPr>
                      <m:t>q</m:t>
                    </m:r>
                  </m:e>
                  <m:sub>
                    <m:r>
                      <w:rPr>
                        <w:rFonts w:ascii="Cambria Math" w:hAnsi="Cambria Math" w:cs="Arial"/>
                      </w:rPr>
                      <m:t>e</m:t>
                    </m:r>
                  </m:sub>
                </m:sSub>
                <m:r>
                  <m:rPr>
                    <m:sty m:val="p"/>
                  </m:rPr>
                  <w:rPr>
                    <w:rFonts w:ascii="Cambria Math" w:hAnsi="Cambria Math" w:cs="Arial"/>
                  </w:rPr>
                  <m:t>=</m:t>
                </m:r>
                <m:d>
                  <m:dPr>
                    <m:ctrlPr>
                      <w:rPr>
                        <w:rFonts w:ascii="Cambria Math" w:hAnsi="Cambria Math" w:cs="Arial"/>
                      </w:rPr>
                    </m:ctrlPr>
                  </m:dPr>
                  <m:e>
                    <m:sSub>
                      <m:sSubPr>
                        <m:ctrlPr>
                          <w:rPr>
                            <w:rFonts w:ascii="Cambria Math" w:hAnsi="Cambria Math" w:cs="Arial"/>
                          </w:rPr>
                        </m:ctrlPr>
                      </m:sSubPr>
                      <m:e>
                        <m:r>
                          <w:rPr>
                            <w:rFonts w:ascii="Cambria Math" w:hAnsi="Cambria Math" w:cs="Arial"/>
                          </w:rPr>
                          <m:t>C</m:t>
                        </m:r>
                      </m:e>
                      <m:sub>
                        <m:r>
                          <w:rPr>
                            <w:rFonts w:ascii="Cambria Math" w:hAnsi="Cambria Math" w:cs="Arial"/>
                          </w:rPr>
                          <m:t>o</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C</m:t>
                        </m:r>
                      </m:e>
                      <m:sub>
                        <m:r>
                          <w:rPr>
                            <w:rFonts w:ascii="Cambria Math" w:hAnsi="Cambria Math" w:cs="Arial"/>
                          </w:rPr>
                          <m:t>e</m:t>
                        </m:r>
                      </m:sub>
                    </m:sSub>
                  </m:e>
                </m:d>
                <m:r>
                  <w:rPr>
                    <w:rFonts w:ascii="Cambria Math" w:hAnsi="Cambria Math" w:cs="Arial"/>
                  </w:rPr>
                  <m:t>x</m:t>
                </m:r>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V</m:t>
                    </m:r>
                  </m:num>
                  <m:den>
                    <m:r>
                      <w:rPr>
                        <w:rFonts w:ascii="Cambria Math" w:hAnsi="Cambria Math" w:cs="Arial"/>
                      </w:rPr>
                      <m:t>M</m:t>
                    </m:r>
                  </m:den>
                </m:f>
              </m:oMath>
            </m:oMathPara>
          </w:p>
          <w:p w14:paraId="1E26447C" w14:textId="6D411F48" w:rsidR="00BB7AAD" w:rsidRPr="005F16BE" w:rsidRDefault="00BB7AAD" w:rsidP="00430BA1">
            <w:pPr>
              <w:pStyle w:val="CETEquation"/>
              <w:rPr>
                <w:bCs/>
              </w:rPr>
            </w:pPr>
          </w:p>
        </w:tc>
        <w:tc>
          <w:tcPr>
            <w:tcW w:w="436" w:type="dxa"/>
            <w:gridSpan w:val="2"/>
          </w:tcPr>
          <w:p w14:paraId="3D1E0849" w14:textId="5934A128" w:rsidR="00905AC7" w:rsidRPr="005F16BE" w:rsidRDefault="00430BA1" w:rsidP="00430BA1">
            <w:pPr>
              <w:pStyle w:val="CETEquation"/>
            </w:pPr>
            <w:r w:rsidRPr="005F16BE">
              <w:t xml:space="preserve">  </w:t>
            </w:r>
            <w:r w:rsidR="00905AC7" w:rsidRPr="005F16BE">
              <w:t xml:space="preserve"> (1)</w:t>
            </w:r>
          </w:p>
        </w:tc>
      </w:tr>
      <w:tr w:rsidR="00905AC7" w:rsidRPr="005F16BE" w14:paraId="0ACD7708" w14:textId="77777777" w:rsidTr="00905AC7">
        <w:tc>
          <w:tcPr>
            <w:tcW w:w="8330" w:type="dxa"/>
            <w:gridSpan w:val="2"/>
          </w:tcPr>
          <w:p w14:paraId="1CF7B0EC" w14:textId="77777777" w:rsidR="00905AC7" w:rsidRPr="005F16BE" w:rsidRDefault="00905AC7" w:rsidP="00430BA1">
            <w:pPr>
              <w:pStyle w:val="CETEquation"/>
              <w:rPr>
                <w:bCs/>
                <w:sz w:val="24"/>
                <w:szCs w:val="24"/>
              </w:rPr>
            </w:pPr>
            <m:oMathPara>
              <m:oMathParaPr>
                <m:jc m:val="left"/>
              </m:oMathParaPr>
              <m:oMath>
                <m:r>
                  <m:rPr>
                    <m:sty m:val="p"/>
                  </m:rPr>
                  <w:rPr>
                    <w:rFonts w:ascii="Cambria Math" w:hAnsi="Cambria Math"/>
                  </w:rPr>
                  <m:t xml:space="preserve">% </m:t>
                </m:r>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r>
                      <m:rPr>
                        <m:sty m:val="p"/>
                      </m:rPr>
                      <w:rPr>
                        <w:rFonts w:ascii="Cambria Math" w:hAnsi="Cambria Math"/>
                      </w:rPr>
                      <m:t>)</m:t>
                    </m:r>
                  </m:num>
                  <m:den>
                    <m:sSub>
                      <m:sSubPr>
                        <m:ctrlPr>
                          <w:rPr>
                            <w:rFonts w:ascii="Cambria Math" w:hAnsi="Cambria Math"/>
                          </w:rPr>
                        </m:ctrlPr>
                      </m:sSubPr>
                      <m:e>
                        <m:r>
                          <w:rPr>
                            <w:rFonts w:ascii="Cambria Math" w:hAnsi="Cambria Math"/>
                          </w:rPr>
                          <m:t>C</m:t>
                        </m:r>
                      </m:e>
                      <m:sub>
                        <m:r>
                          <w:rPr>
                            <w:rFonts w:ascii="Cambria Math" w:hAnsi="Cambria Math"/>
                          </w:rPr>
                          <m:t>o</m:t>
                        </m:r>
                      </m:sub>
                    </m:sSub>
                  </m:den>
                </m:f>
                <m:r>
                  <w:rPr>
                    <w:rFonts w:ascii="Cambria Math" w:hAnsi="Cambria Math"/>
                  </w:rPr>
                  <m:t>x</m:t>
                </m:r>
                <m:r>
                  <m:rPr>
                    <m:sty m:val="p"/>
                  </m:rPr>
                  <w:rPr>
                    <w:rFonts w:ascii="Cambria Math" w:hAnsi="Cambria Math"/>
                  </w:rPr>
                  <m:t xml:space="preserve"> 100</m:t>
                </m:r>
              </m:oMath>
            </m:oMathPara>
          </w:p>
        </w:tc>
        <w:tc>
          <w:tcPr>
            <w:tcW w:w="239" w:type="dxa"/>
          </w:tcPr>
          <w:p w14:paraId="654B0A0D" w14:textId="441E4D8F" w:rsidR="00905AC7" w:rsidRPr="005F16BE" w:rsidRDefault="00905AC7" w:rsidP="00430BA1">
            <w:pPr>
              <w:pStyle w:val="CETEquation"/>
            </w:pPr>
            <w:r w:rsidRPr="005F16BE">
              <w:t>(2)</w:t>
            </w:r>
          </w:p>
        </w:tc>
      </w:tr>
    </w:tbl>
    <w:p w14:paraId="263A1694" w14:textId="77777777" w:rsidR="003929CE" w:rsidRPr="005F16BE" w:rsidRDefault="003929CE" w:rsidP="00D92677">
      <w:pPr>
        <w:pStyle w:val="CETBodytext"/>
      </w:pPr>
    </w:p>
    <w:p w14:paraId="075C2D60" w14:textId="32273C1E" w:rsidR="00D92677" w:rsidRPr="005F16BE" w:rsidRDefault="00D92677" w:rsidP="00D92677">
      <w:pPr>
        <w:pStyle w:val="CETBodytext"/>
      </w:pPr>
      <w:r w:rsidRPr="005F16BE">
        <w:t xml:space="preserve">Where </w:t>
      </w:r>
      <w:proofErr w:type="spellStart"/>
      <w:r w:rsidRPr="005F16BE">
        <w:t>q</w:t>
      </w:r>
      <w:r w:rsidRPr="005F16BE">
        <w:rPr>
          <w:vertAlign w:val="subscript"/>
        </w:rPr>
        <w:t>e</w:t>
      </w:r>
      <w:proofErr w:type="spellEnd"/>
      <w:r w:rsidRPr="005F16BE">
        <w:t xml:space="preserve"> is the water removal capacity at equilibrium (</w:t>
      </w:r>
      <w:proofErr w:type="gramStart"/>
      <w:r w:rsidRPr="005F16BE">
        <w:t>mg.g</w:t>
      </w:r>
      <w:proofErr w:type="gramEnd"/>
      <w:r w:rsidRPr="005F16BE">
        <w:rPr>
          <w:vertAlign w:val="superscript"/>
        </w:rPr>
        <w:t>-1</w:t>
      </w:r>
      <w:r w:rsidRPr="005F16BE">
        <w:t>), V is the biodiesel volume (L), M is the amount of hydrogel (g), Co and Ce is the initial and equilibrium water concentration in the biodiesel (mg.L</w:t>
      </w:r>
      <w:r w:rsidRPr="005F16BE">
        <w:rPr>
          <w:vertAlign w:val="superscript"/>
        </w:rPr>
        <w:t>-1</w:t>
      </w:r>
      <w:r w:rsidRPr="005F16BE">
        <w:t xml:space="preserve">), respectively. </w:t>
      </w:r>
    </w:p>
    <w:p w14:paraId="53E0F737" w14:textId="196B38E9" w:rsidR="00BB7AAD" w:rsidRPr="005F16BE" w:rsidRDefault="00D92677" w:rsidP="00D92677">
      <w:pPr>
        <w:pStyle w:val="CETBodytext"/>
      </w:pPr>
      <w:r w:rsidRPr="005F16BE">
        <w:t>To evaluate the controlling mechanism of the mass transfer process between the water present in the fuel and the hydrogel, the pseudo-first order (Eq3) and pseudo-second order (Eq4) kinetic models were studied</w:t>
      </w:r>
      <w:r w:rsidR="00A66B74" w:rsidRPr="005F16BE">
        <w:t xml:space="preserve"> </w:t>
      </w:r>
      <w:r w:rsidR="00420FC7" w:rsidRPr="005F16BE">
        <w:t>(Ramos et al.,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448"/>
      </w:tblGrid>
      <w:tr w:rsidR="00B930F4" w:rsidRPr="001C6DAE" w14:paraId="16F70FA8" w14:textId="77777777" w:rsidTr="00B930F4">
        <w:tc>
          <w:tcPr>
            <w:tcW w:w="8046" w:type="dxa"/>
            <w:vAlign w:val="center"/>
          </w:tcPr>
          <w:p w14:paraId="6A2D7728" w14:textId="77777777" w:rsidR="00B930F4" w:rsidRPr="005F16BE" w:rsidRDefault="00325116" w:rsidP="00430BA1">
            <w:pPr>
              <w:pStyle w:val="CETEquation"/>
            </w:pPr>
            <m:oMathPara>
              <m:oMathParaPr>
                <m:jc m:val="left"/>
              </m:oMathParaPr>
              <m:oMath>
                <m:f>
                  <m:fPr>
                    <m:ctrlPr>
                      <w:rPr>
                        <w:rFonts w:ascii="Cambria Math" w:eastAsiaTheme="minorHAnsi" w:hAnsi="Cambria Math"/>
                        <w:bCs/>
                      </w:rPr>
                    </m:ctrlPr>
                  </m:fPr>
                  <m:num>
                    <m:sSub>
                      <m:sSubPr>
                        <m:ctrlPr>
                          <w:rPr>
                            <w:rFonts w:ascii="Cambria Math" w:eastAsiaTheme="minorHAnsi" w:hAnsi="Cambria Math"/>
                            <w:bCs/>
                          </w:rPr>
                        </m:ctrlPr>
                      </m:sSubPr>
                      <m:e>
                        <m:r>
                          <w:rPr>
                            <w:rFonts w:ascii="Cambria Math" w:hAnsi="Cambria Math"/>
                          </w:rPr>
                          <m:t>dq</m:t>
                        </m:r>
                      </m:e>
                      <m:sub>
                        <m:r>
                          <w:rPr>
                            <w:rFonts w:ascii="Cambria Math" w:hAnsi="Cambria Math"/>
                          </w:rPr>
                          <m:t>t</m:t>
                        </m:r>
                      </m:sub>
                    </m:sSub>
                  </m:num>
                  <m:den>
                    <m:r>
                      <w:rPr>
                        <w:rFonts w:ascii="Cambria Math" w:hAnsi="Cambria Math"/>
                      </w:rPr>
                      <m:t>dt</m:t>
                    </m:r>
                  </m:den>
                </m:f>
                <m:r>
                  <m:rPr>
                    <m:sty m:val="p"/>
                  </m:rPr>
                  <w:rPr>
                    <w:rFonts w:ascii="Cambria Math" w:hAnsi="Cambria Math"/>
                  </w:rPr>
                  <m:t>=</m:t>
                </m:r>
                <m:sSub>
                  <m:sSubPr>
                    <m:ctrlPr>
                      <w:rPr>
                        <w:rFonts w:ascii="Cambria Math" w:eastAsiaTheme="minorHAnsi" w:hAnsi="Cambria Math"/>
                        <w:bCs/>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eastAsiaTheme="minorHAnsi" w:hAnsi="Cambria Math"/>
                        <w:bCs/>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eastAsiaTheme="minorHAnsi" w:hAnsi="Cambria Math"/>
                        <w:bCs/>
                      </w:rPr>
                    </m:ctrlPr>
                  </m:sSubPr>
                  <m:e>
                    <m:r>
                      <w:rPr>
                        <w:rFonts w:ascii="Cambria Math" w:hAnsi="Cambria Math"/>
                      </w:rPr>
                      <m:t>q</m:t>
                    </m:r>
                  </m:e>
                  <m:sub>
                    <m:r>
                      <w:rPr>
                        <w:rFonts w:ascii="Cambria Math" w:hAnsi="Cambria Math"/>
                      </w:rPr>
                      <m:t>t</m:t>
                    </m:r>
                  </m:sub>
                </m:sSub>
                <m:r>
                  <m:rPr>
                    <m:sty m:val="p"/>
                  </m:rPr>
                  <w:rPr>
                    <w:rFonts w:ascii="Cambria Math" w:hAnsi="Cambria Math"/>
                  </w:rPr>
                  <m:t>)</m:t>
                </m:r>
              </m:oMath>
            </m:oMathPara>
          </w:p>
          <w:p w14:paraId="20869309" w14:textId="391EB5B3" w:rsidR="0039796B" w:rsidRPr="005F16BE" w:rsidRDefault="0039796B" w:rsidP="00430BA1">
            <w:pPr>
              <w:pStyle w:val="CETEquation"/>
              <w:rPr>
                <w:bCs/>
              </w:rPr>
            </w:pPr>
          </w:p>
        </w:tc>
        <w:tc>
          <w:tcPr>
            <w:tcW w:w="448" w:type="dxa"/>
            <w:vAlign w:val="center"/>
          </w:tcPr>
          <w:p w14:paraId="0D2E2E04" w14:textId="77777777" w:rsidR="00B930F4" w:rsidRDefault="00B930F4" w:rsidP="00430BA1">
            <w:pPr>
              <w:pStyle w:val="CETEquation"/>
              <w:rPr>
                <w:bCs/>
              </w:rPr>
            </w:pPr>
            <w:r w:rsidRPr="005F16BE">
              <w:rPr>
                <w:bCs/>
              </w:rPr>
              <w:t xml:space="preserve"> (3)</w:t>
            </w:r>
          </w:p>
          <w:p w14:paraId="71104B69" w14:textId="77777777" w:rsidR="00BB7AAD" w:rsidRDefault="00BB7AAD" w:rsidP="00430BA1">
            <w:pPr>
              <w:pStyle w:val="CETEquation"/>
              <w:rPr>
                <w:bCs/>
              </w:rPr>
            </w:pPr>
          </w:p>
          <w:p w14:paraId="65C3789D" w14:textId="77777777" w:rsidR="00BB7AAD" w:rsidRPr="001C6DAE" w:rsidRDefault="00BB7AAD" w:rsidP="00430BA1">
            <w:pPr>
              <w:pStyle w:val="CETEquation"/>
              <w:rPr>
                <w:b/>
                <w:bCs/>
              </w:rPr>
            </w:pPr>
          </w:p>
        </w:tc>
      </w:tr>
      <w:tr w:rsidR="00B930F4" w:rsidRPr="001C6DAE" w14:paraId="46AE559E" w14:textId="77777777" w:rsidTr="00B930F4">
        <w:tc>
          <w:tcPr>
            <w:tcW w:w="8046" w:type="dxa"/>
            <w:vAlign w:val="center"/>
          </w:tcPr>
          <w:p w14:paraId="1F2053BC" w14:textId="77777777" w:rsidR="00B930F4" w:rsidRPr="001C6DAE" w:rsidRDefault="00325116" w:rsidP="00430BA1">
            <w:pPr>
              <w:pStyle w:val="CETEquation"/>
              <w:rPr>
                <w:bCs/>
              </w:rPr>
            </w:pPr>
            <m:oMathPara>
              <m:oMathParaPr>
                <m:jc m:val="left"/>
              </m:oMathParaPr>
              <m:oMath>
                <m:f>
                  <m:fPr>
                    <m:ctrlPr>
                      <w:rPr>
                        <w:rFonts w:ascii="Cambria Math" w:eastAsiaTheme="minorHAnsi" w:hAnsi="Cambria Math"/>
                        <w:bCs/>
                      </w:rPr>
                    </m:ctrlPr>
                  </m:fPr>
                  <m:num>
                    <m:sSub>
                      <m:sSubPr>
                        <m:ctrlPr>
                          <w:rPr>
                            <w:rFonts w:ascii="Cambria Math" w:eastAsiaTheme="minorHAnsi" w:hAnsi="Cambria Math"/>
                            <w:bCs/>
                          </w:rPr>
                        </m:ctrlPr>
                      </m:sSubPr>
                      <m:e>
                        <m:r>
                          <w:rPr>
                            <w:rFonts w:ascii="Cambria Math" w:hAnsi="Cambria Math"/>
                          </w:rPr>
                          <m:t>dq</m:t>
                        </m:r>
                      </m:e>
                      <m:sub>
                        <m:r>
                          <w:rPr>
                            <w:rFonts w:ascii="Cambria Math" w:hAnsi="Cambria Math"/>
                          </w:rPr>
                          <m:t>t</m:t>
                        </m:r>
                      </m:sub>
                    </m:sSub>
                  </m:num>
                  <m:den>
                    <m:r>
                      <w:rPr>
                        <w:rFonts w:ascii="Cambria Math" w:hAnsi="Cambria Math"/>
                      </w:rPr>
                      <m:t>dt</m:t>
                    </m:r>
                  </m:den>
                </m:f>
                <m:r>
                  <m:rPr>
                    <m:sty m:val="p"/>
                  </m:rPr>
                  <w:rPr>
                    <w:rFonts w:ascii="Cambria Math" w:hAnsi="Cambria Math"/>
                  </w:rPr>
                  <m:t>=</m:t>
                </m:r>
                <m:sSub>
                  <m:sSubPr>
                    <m:ctrlPr>
                      <w:rPr>
                        <w:rFonts w:ascii="Cambria Math" w:eastAsiaTheme="minorHAnsi" w:hAnsi="Cambria Math"/>
                        <w:bCs/>
                      </w:rPr>
                    </m:ctrlPr>
                  </m:sSubPr>
                  <m:e>
                    <m:r>
                      <w:rPr>
                        <w:rFonts w:ascii="Cambria Math" w:hAnsi="Cambria Math"/>
                      </w:rPr>
                      <m:t>k</m:t>
                    </m:r>
                  </m:e>
                  <m:sub>
                    <m:r>
                      <m:rPr>
                        <m:sty m:val="p"/>
                      </m:rPr>
                      <w:rPr>
                        <w:rFonts w:ascii="Cambria Math" w:hAnsi="Cambria Math"/>
                      </w:rPr>
                      <m:t>2</m:t>
                    </m:r>
                  </m:sub>
                </m:sSub>
                <m:sSup>
                  <m:sSupPr>
                    <m:ctrlPr>
                      <w:rPr>
                        <w:rFonts w:ascii="Cambria Math" w:eastAsiaTheme="minorHAnsi" w:hAnsi="Cambria Math"/>
                        <w:bCs/>
                      </w:rPr>
                    </m:ctrlPr>
                  </m:sSupPr>
                  <m:e>
                    <m:r>
                      <m:rPr>
                        <m:sty m:val="p"/>
                      </m:rPr>
                      <w:rPr>
                        <w:rFonts w:ascii="Cambria Math" w:hAnsi="Cambria Math"/>
                      </w:rPr>
                      <m:t>(</m:t>
                    </m:r>
                    <m:sSub>
                      <m:sSubPr>
                        <m:ctrlPr>
                          <w:rPr>
                            <w:rFonts w:ascii="Cambria Math" w:eastAsiaTheme="minorHAnsi" w:hAnsi="Cambria Math"/>
                            <w:bCs/>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eastAsiaTheme="minorHAnsi" w:hAnsi="Cambria Math"/>
                            <w:bCs/>
                          </w:rPr>
                        </m:ctrlPr>
                      </m:sSubPr>
                      <m:e>
                        <m:r>
                          <w:rPr>
                            <w:rFonts w:ascii="Cambria Math" w:hAnsi="Cambria Math"/>
                          </w:rPr>
                          <m:t>q</m:t>
                        </m:r>
                      </m:e>
                      <m:sub>
                        <m:r>
                          <w:rPr>
                            <w:rFonts w:ascii="Cambria Math" w:hAnsi="Cambria Math"/>
                          </w:rPr>
                          <m:t>t</m:t>
                        </m:r>
                      </m:sub>
                    </m:sSub>
                    <m:r>
                      <m:rPr>
                        <m:sty m:val="p"/>
                      </m:rPr>
                      <w:rPr>
                        <w:rFonts w:ascii="Cambria Math" w:hAnsi="Cambria Math"/>
                      </w:rPr>
                      <m:t>)</m:t>
                    </m:r>
                  </m:e>
                  <m:sup>
                    <m:r>
                      <m:rPr>
                        <m:sty m:val="p"/>
                      </m:rPr>
                      <w:rPr>
                        <w:rFonts w:ascii="Cambria Math" w:hAnsi="Cambria Math"/>
                      </w:rPr>
                      <m:t>2</m:t>
                    </m:r>
                  </m:sup>
                </m:sSup>
              </m:oMath>
            </m:oMathPara>
          </w:p>
        </w:tc>
        <w:tc>
          <w:tcPr>
            <w:tcW w:w="448" w:type="dxa"/>
            <w:vAlign w:val="center"/>
          </w:tcPr>
          <w:p w14:paraId="36391383" w14:textId="77777777" w:rsidR="00B930F4" w:rsidRPr="001C6DAE" w:rsidRDefault="00B930F4" w:rsidP="00430BA1">
            <w:pPr>
              <w:pStyle w:val="CETEquation"/>
              <w:rPr>
                <w:rFonts w:eastAsiaTheme="minorEastAsia"/>
                <w:b/>
                <w:bCs/>
              </w:rPr>
            </w:pPr>
            <w:r w:rsidRPr="001C6DAE">
              <w:rPr>
                <w:rFonts w:eastAsiaTheme="minorEastAsia"/>
                <w:bCs/>
              </w:rPr>
              <w:t xml:space="preserve"> (4)</w:t>
            </w:r>
          </w:p>
        </w:tc>
      </w:tr>
    </w:tbl>
    <w:p w14:paraId="76A1C0EE" w14:textId="77777777" w:rsidR="003929CE" w:rsidRDefault="003929CE" w:rsidP="00905AC7">
      <w:pPr>
        <w:pStyle w:val="CETBodytext"/>
      </w:pPr>
    </w:p>
    <w:p w14:paraId="00744FF1" w14:textId="00C2A993" w:rsidR="00905AC7" w:rsidRPr="001C6DAE" w:rsidRDefault="00A95288" w:rsidP="00905AC7">
      <w:pPr>
        <w:pStyle w:val="CETBodytext"/>
      </w:pPr>
      <w:r w:rsidRPr="001C6DAE">
        <w:t xml:space="preserve">Where </w:t>
      </w:r>
      <w:proofErr w:type="spellStart"/>
      <w:r w:rsidRPr="001C6DAE">
        <w:t>q</w:t>
      </w:r>
      <w:r w:rsidRPr="001C6DAE">
        <w:rPr>
          <w:vertAlign w:val="subscript"/>
        </w:rPr>
        <w:t>e</w:t>
      </w:r>
      <w:proofErr w:type="spellEnd"/>
      <w:r w:rsidRPr="001C6DAE">
        <w:t xml:space="preserve"> and q</w:t>
      </w:r>
      <w:r w:rsidRPr="001C6DAE">
        <w:rPr>
          <w:vertAlign w:val="subscript"/>
        </w:rPr>
        <w:t>t</w:t>
      </w:r>
      <w:r w:rsidRPr="001C6DAE">
        <w:t xml:space="preserve"> are the amounts of water adsorbed per gram of adsorbent at equilibrium and time t, respectively (</w:t>
      </w:r>
      <w:proofErr w:type="gramStart"/>
      <w:r w:rsidRPr="001C6DAE">
        <w:t>mg.g</w:t>
      </w:r>
      <w:proofErr w:type="gramEnd"/>
      <w:r w:rsidRPr="001C6DAE">
        <w:rPr>
          <w:vertAlign w:val="superscript"/>
        </w:rPr>
        <w:t>-1</w:t>
      </w:r>
      <w:r w:rsidRPr="001C6DAE">
        <w:t>), k</w:t>
      </w:r>
      <w:r w:rsidRPr="001C6DAE">
        <w:rPr>
          <w:vertAlign w:val="subscript"/>
        </w:rPr>
        <w:t>1</w:t>
      </w:r>
      <w:r w:rsidRPr="001C6DAE">
        <w:t xml:space="preserve"> is the pseudo-first order rate constant (min</w:t>
      </w:r>
      <w:r w:rsidRPr="001C6DAE">
        <w:rPr>
          <w:vertAlign w:val="superscript"/>
        </w:rPr>
        <w:t>-1</w:t>
      </w:r>
      <w:r w:rsidRPr="001C6DAE">
        <w:t>) and k</w:t>
      </w:r>
      <w:r w:rsidRPr="001C6DAE">
        <w:rPr>
          <w:vertAlign w:val="subscript"/>
        </w:rPr>
        <w:t>2</w:t>
      </w:r>
      <w:r w:rsidRPr="001C6DAE">
        <w:t xml:space="preserve"> is the pseudo-second order rate constant (g. mg</w:t>
      </w:r>
      <w:r w:rsidRPr="001C6DAE">
        <w:rPr>
          <w:vertAlign w:val="superscript"/>
        </w:rPr>
        <w:t>-1</w:t>
      </w:r>
      <w:r w:rsidRPr="001C6DAE">
        <w:t>min</w:t>
      </w:r>
      <w:r w:rsidRPr="001C6DAE">
        <w:rPr>
          <w:vertAlign w:val="superscript"/>
        </w:rPr>
        <w:t>-1</w:t>
      </w:r>
      <w:r w:rsidRPr="005F16BE">
        <w:t>)</w:t>
      </w:r>
      <w:r w:rsidR="00956507" w:rsidRPr="005F16BE">
        <w:t xml:space="preserve"> </w:t>
      </w:r>
      <w:r w:rsidR="00420FC7" w:rsidRPr="005F16BE">
        <w:t>(Ramos et al., 2022).</w:t>
      </w:r>
    </w:p>
    <w:p w14:paraId="558B3757" w14:textId="77777777" w:rsidR="005E69F7" w:rsidRPr="001C6DAE" w:rsidRDefault="005E69F7" w:rsidP="005E69F7">
      <w:pPr>
        <w:pStyle w:val="CETHeading1"/>
        <w:tabs>
          <w:tab w:val="right" w:pos="7100"/>
        </w:tabs>
        <w:jc w:val="both"/>
        <w:rPr>
          <w:lang w:val="en-GB"/>
        </w:rPr>
      </w:pPr>
      <w:r w:rsidRPr="001C6DAE">
        <w:rPr>
          <w:lang w:val="en-GB"/>
        </w:rPr>
        <w:t>Results</w:t>
      </w:r>
    </w:p>
    <w:p w14:paraId="58D6E6C3" w14:textId="77777777" w:rsidR="005E69F7" w:rsidRPr="001C6DAE" w:rsidRDefault="005E69F7" w:rsidP="005E69F7">
      <w:pPr>
        <w:pStyle w:val="CETheadingx"/>
      </w:pPr>
      <w:r w:rsidRPr="001C6DAE">
        <w:t>Effect of contact time between hydrogel and biodiesel</w:t>
      </w:r>
    </w:p>
    <w:p w14:paraId="475F9EBB" w14:textId="1F783D1E" w:rsidR="005E69F7" w:rsidRDefault="005E69F7" w:rsidP="00443F0F">
      <w:pPr>
        <w:pStyle w:val="CETBodytext"/>
      </w:pPr>
      <w:r w:rsidRPr="001C6DAE">
        <w:t>Contact time is one of the factors that can influence the hydrogel's ability to remove water</w:t>
      </w:r>
      <w:r w:rsidR="00A66B74">
        <w:t>. T</w:t>
      </w:r>
      <w:r w:rsidRPr="001C6DAE">
        <w:t>able 1 presents the results obtained by the poly (AAm-co-AC) hydrogel to remove water from biodiesel as a function of time. The initial water content for saturated biodiesel was 1333 ppm.</w:t>
      </w:r>
    </w:p>
    <w:p w14:paraId="276E0E7C" w14:textId="77777777" w:rsidR="00A00300" w:rsidRDefault="00A00300" w:rsidP="00443F0F">
      <w:pPr>
        <w:pStyle w:val="CETBodytext"/>
      </w:pPr>
    </w:p>
    <w:p w14:paraId="0E356A56" w14:textId="5358BD1B" w:rsidR="00443F0F" w:rsidRPr="001C6DAE" w:rsidRDefault="00443F0F" w:rsidP="00443F0F">
      <w:pPr>
        <w:pStyle w:val="CETTabletitle"/>
        <w:spacing w:before="0" w:after="0" w:line="264" w:lineRule="auto"/>
      </w:pPr>
      <w:r w:rsidRPr="001C6DAE">
        <w:t>Table 1: Experimental data on the hydrogel water removal capacity (</w:t>
      </w:r>
      <w:r w:rsidR="00B76F36" w:rsidRPr="001C6DAE">
        <w:t>q</w:t>
      </w:r>
      <w:r w:rsidR="00B76F36">
        <w:rPr>
          <w:vertAlign w:val="subscript"/>
        </w:rPr>
        <w:t>t</w:t>
      </w:r>
      <w:r w:rsidRPr="001C6DAE">
        <w:t>) and the percentage removal of water from biodiesel (%R) by poly (AAm-co-AC) hydrogel as a function of time at 25 °C and 40 °C</w:t>
      </w:r>
      <w:r w:rsidR="00E54E33">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443F0F" w:rsidRPr="001C6DAE" w14:paraId="34C4B286" w14:textId="77777777" w:rsidTr="00443F0F">
        <w:tc>
          <w:tcPr>
            <w:tcW w:w="1134" w:type="dxa"/>
            <w:vMerge w:val="restart"/>
            <w:tcBorders>
              <w:top w:val="single" w:sz="12" w:space="0" w:color="008000"/>
            </w:tcBorders>
            <w:shd w:val="clear" w:color="auto" w:fill="FFFFFF"/>
            <w:vAlign w:val="center"/>
          </w:tcPr>
          <w:p w14:paraId="323D29BA" w14:textId="77777777" w:rsidR="00443F0F" w:rsidRPr="001C6DAE" w:rsidRDefault="00443F0F" w:rsidP="00443F0F">
            <w:pPr>
              <w:pStyle w:val="CETBodytext"/>
              <w:jc w:val="center"/>
              <w:rPr>
                <w:lang w:val="en-GB"/>
              </w:rPr>
            </w:pPr>
            <w:r w:rsidRPr="001C6DAE">
              <w:rPr>
                <w:lang w:val="en-GB"/>
              </w:rPr>
              <w:t>Time (hours)</w:t>
            </w:r>
          </w:p>
        </w:tc>
        <w:tc>
          <w:tcPr>
            <w:tcW w:w="4536" w:type="dxa"/>
            <w:gridSpan w:val="4"/>
            <w:tcBorders>
              <w:top w:val="single" w:sz="12" w:space="0" w:color="008000"/>
              <w:bottom w:val="single" w:sz="6" w:space="0" w:color="008000"/>
            </w:tcBorders>
            <w:shd w:val="clear" w:color="auto" w:fill="FFFFFF"/>
            <w:vAlign w:val="center"/>
          </w:tcPr>
          <w:p w14:paraId="6F769F28" w14:textId="77777777" w:rsidR="00443F0F" w:rsidRPr="001C6DAE" w:rsidRDefault="00443F0F" w:rsidP="00443F0F">
            <w:pPr>
              <w:pStyle w:val="CETBodytext"/>
              <w:ind w:right="-1"/>
              <w:jc w:val="center"/>
              <w:rPr>
                <w:rFonts w:cs="Arial"/>
                <w:szCs w:val="18"/>
                <w:lang w:val="en-GB"/>
              </w:rPr>
            </w:pPr>
            <w:proofErr w:type="gramStart"/>
            <w:r w:rsidRPr="001C6DAE">
              <w:rPr>
                <w:lang w:val="en-GB"/>
              </w:rPr>
              <w:t>poly(</w:t>
            </w:r>
            <w:proofErr w:type="gramEnd"/>
            <w:r w:rsidRPr="001C6DAE">
              <w:rPr>
                <w:lang w:val="en-GB"/>
              </w:rPr>
              <w:t>AAm-co-AC)</w:t>
            </w:r>
          </w:p>
        </w:tc>
      </w:tr>
      <w:tr w:rsidR="00443F0F" w:rsidRPr="001C6DAE" w14:paraId="52E41504" w14:textId="77777777" w:rsidTr="00443F0F">
        <w:tc>
          <w:tcPr>
            <w:tcW w:w="1134" w:type="dxa"/>
            <w:vMerge/>
            <w:shd w:val="clear" w:color="auto" w:fill="FFFFFF"/>
          </w:tcPr>
          <w:p w14:paraId="79019538" w14:textId="77777777" w:rsidR="00443F0F" w:rsidRPr="001C6DAE" w:rsidRDefault="00443F0F" w:rsidP="00651986">
            <w:pPr>
              <w:pStyle w:val="CETBodytext"/>
              <w:rPr>
                <w:lang w:val="en-GB"/>
              </w:rPr>
            </w:pPr>
          </w:p>
        </w:tc>
        <w:tc>
          <w:tcPr>
            <w:tcW w:w="2268" w:type="dxa"/>
            <w:gridSpan w:val="2"/>
            <w:tcBorders>
              <w:top w:val="single" w:sz="12" w:space="0" w:color="008000"/>
              <w:bottom w:val="single" w:sz="6" w:space="0" w:color="008000"/>
            </w:tcBorders>
            <w:shd w:val="clear" w:color="auto" w:fill="FFFFFF"/>
            <w:vAlign w:val="center"/>
          </w:tcPr>
          <w:p w14:paraId="4CC67DAE" w14:textId="77777777" w:rsidR="00443F0F" w:rsidRPr="001C6DAE" w:rsidRDefault="00443F0F" w:rsidP="00443F0F">
            <w:pPr>
              <w:pStyle w:val="CETBodytext"/>
              <w:jc w:val="center"/>
              <w:rPr>
                <w:lang w:val="en-GB"/>
              </w:rPr>
            </w:pPr>
            <w:r w:rsidRPr="001C6DAE">
              <w:rPr>
                <w:lang w:val="en-GB"/>
              </w:rPr>
              <w:t>25 °C</w:t>
            </w:r>
          </w:p>
        </w:tc>
        <w:tc>
          <w:tcPr>
            <w:tcW w:w="2268" w:type="dxa"/>
            <w:gridSpan w:val="2"/>
            <w:tcBorders>
              <w:top w:val="single" w:sz="12" w:space="0" w:color="008000"/>
              <w:bottom w:val="single" w:sz="6" w:space="0" w:color="008000"/>
            </w:tcBorders>
            <w:shd w:val="clear" w:color="auto" w:fill="FFFFFF"/>
            <w:vAlign w:val="center"/>
          </w:tcPr>
          <w:p w14:paraId="75D04B42" w14:textId="77777777" w:rsidR="00443F0F" w:rsidRPr="001C6DAE" w:rsidRDefault="00443F0F" w:rsidP="00443F0F">
            <w:pPr>
              <w:pStyle w:val="CETBodytext"/>
              <w:ind w:right="-1"/>
              <w:jc w:val="center"/>
              <w:rPr>
                <w:rFonts w:cs="Arial"/>
                <w:szCs w:val="18"/>
                <w:lang w:val="en-GB"/>
              </w:rPr>
            </w:pPr>
            <w:r w:rsidRPr="001C6DAE">
              <w:rPr>
                <w:rFonts w:cs="Arial"/>
                <w:szCs w:val="18"/>
                <w:lang w:val="en-GB"/>
              </w:rPr>
              <w:t>40 °C</w:t>
            </w:r>
          </w:p>
        </w:tc>
      </w:tr>
      <w:tr w:rsidR="00443F0F" w:rsidRPr="001C6DAE" w14:paraId="4210805C" w14:textId="77777777" w:rsidTr="00651986">
        <w:tc>
          <w:tcPr>
            <w:tcW w:w="1134" w:type="dxa"/>
            <w:vMerge/>
            <w:tcBorders>
              <w:bottom w:val="single" w:sz="6" w:space="0" w:color="008000"/>
            </w:tcBorders>
            <w:shd w:val="clear" w:color="auto" w:fill="FFFFFF"/>
          </w:tcPr>
          <w:p w14:paraId="130725FA" w14:textId="77777777" w:rsidR="00443F0F" w:rsidRPr="001C6DAE" w:rsidRDefault="00443F0F" w:rsidP="00443F0F">
            <w:pPr>
              <w:pStyle w:val="CETBodytext"/>
              <w:rPr>
                <w:lang w:val="en-GB"/>
              </w:rPr>
            </w:pPr>
          </w:p>
        </w:tc>
        <w:tc>
          <w:tcPr>
            <w:tcW w:w="1134" w:type="dxa"/>
            <w:tcBorders>
              <w:top w:val="single" w:sz="12" w:space="0" w:color="008000"/>
              <w:bottom w:val="single" w:sz="6" w:space="0" w:color="008000"/>
            </w:tcBorders>
            <w:shd w:val="clear" w:color="auto" w:fill="FFFFFF"/>
            <w:vAlign w:val="center"/>
          </w:tcPr>
          <w:p w14:paraId="1448B466" w14:textId="77777777" w:rsidR="00443F0F" w:rsidRPr="001C6DAE" w:rsidRDefault="00443F0F" w:rsidP="00443F0F">
            <w:pPr>
              <w:pStyle w:val="CETBodytext"/>
              <w:rPr>
                <w:lang w:val="en-GB"/>
              </w:rPr>
            </w:pPr>
            <w:r w:rsidRPr="001C6DAE">
              <w:rPr>
                <w:lang w:val="en-GB"/>
              </w:rPr>
              <w:t>% R</w:t>
            </w:r>
          </w:p>
        </w:tc>
        <w:tc>
          <w:tcPr>
            <w:tcW w:w="1134" w:type="dxa"/>
            <w:tcBorders>
              <w:top w:val="single" w:sz="12" w:space="0" w:color="008000"/>
              <w:bottom w:val="single" w:sz="6" w:space="0" w:color="008000"/>
            </w:tcBorders>
            <w:shd w:val="clear" w:color="auto" w:fill="FFFFFF"/>
            <w:vAlign w:val="center"/>
          </w:tcPr>
          <w:p w14:paraId="443D78F5" w14:textId="2343E5D1" w:rsidR="00443F0F" w:rsidRPr="001C6DAE" w:rsidRDefault="00B76F36" w:rsidP="00B76F36">
            <w:pPr>
              <w:pStyle w:val="CETBodytext"/>
              <w:rPr>
                <w:lang w:val="en-GB"/>
              </w:rPr>
            </w:pPr>
            <w:r w:rsidRPr="001C6DAE">
              <w:rPr>
                <w:lang w:val="en-GB"/>
              </w:rPr>
              <w:t>q</w:t>
            </w:r>
            <w:r>
              <w:rPr>
                <w:vertAlign w:val="subscript"/>
                <w:lang w:val="en-GB"/>
              </w:rPr>
              <w:t>t</w:t>
            </w:r>
            <w:r w:rsidR="00443F0F" w:rsidRPr="001C6DAE">
              <w:rPr>
                <w:lang w:val="en-GB"/>
              </w:rPr>
              <w:t>(mg/g)</w:t>
            </w:r>
          </w:p>
        </w:tc>
        <w:tc>
          <w:tcPr>
            <w:tcW w:w="1134" w:type="dxa"/>
            <w:tcBorders>
              <w:top w:val="single" w:sz="12" w:space="0" w:color="008000"/>
              <w:bottom w:val="single" w:sz="6" w:space="0" w:color="008000"/>
            </w:tcBorders>
            <w:shd w:val="clear" w:color="auto" w:fill="FFFFFF"/>
            <w:vAlign w:val="center"/>
          </w:tcPr>
          <w:p w14:paraId="055628EC" w14:textId="77777777" w:rsidR="00443F0F" w:rsidRPr="001C6DAE" w:rsidRDefault="00443F0F" w:rsidP="00443F0F">
            <w:pPr>
              <w:pStyle w:val="CETBodytext"/>
              <w:ind w:right="-1"/>
              <w:rPr>
                <w:rFonts w:cs="Arial"/>
                <w:szCs w:val="18"/>
                <w:lang w:val="en-GB"/>
              </w:rPr>
            </w:pPr>
            <w:r w:rsidRPr="001C6DAE">
              <w:rPr>
                <w:lang w:val="en-GB"/>
              </w:rPr>
              <w:t>% R</w:t>
            </w:r>
          </w:p>
        </w:tc>
        <w:tc>
          <w:tcPr>
            <w:tcW w:w="1134" w:type="dxa"/>
            <w:tcBorders>
              <w:top w:val="single" w:sz="12" w:space="0" w:color="008000"/>
              <w:bottom w:val="single" w:sz="6" w:space="0" w:color="008000"/>
            </w:tcBorders>
            <w:shd w:val="clear" w:color="auto" w:fill="FFFFFF"/>
            <w:vAlign w:val="center"/>
          </w:tcPr>
          <w:p w14:paraId="556C9803" w14:textId="65AF1609" w:rsidR="00443F0F" w:rsidRPr="001C6DAE" w:rsidRDefault="00443F0F" w:rsidP="00443F0F">
            <w:pPr>
              <w:pStyle w:val="CETBodytext"/>
              <w:ind w:right="-1"/>
              <w:rPr>
                <w:rFonts w:cs="Arial"/>
                <w:szCs w:val="18"/>
                <w:lang w:val="en-GB"/>
              </w:rPr>
            </w:pPr>
            <w:r w:rsidRPr="001C6DAE">
              <w:rPr>
                <w:lang w:val="en-GB"/>
              </w:rPr>
              <w:t>q</w:t>
            </w:r>
            <w:r w:rsidR="00232257">
              <w:rPr>
                <w:vertAlign w:val="subscript"/>
                <w:lang w:val="en-GB"/>
              </w:rPr>
              <w:t>t</w:t>
            </w:r>
            <w:r w:rsidRPr="001C6DAE">
              <w:rPr>
                <w:lang w:val="en-GB"/>
              </w:rPr>
              <w:t xml:space="preserve"> (mg/g)</w:t>
            </w:r>
          </w:p>
        </w:tc>
      </w:tr>
      <w:tr w:rsidR="00443F0F" w:rsidRPr="001C6DAE" w14:paraId="5D6EE3D3" w14:textId="77777777" w:rsidTr="00651986">
        <w:tc>
          <w:tcPr>
            <w:tcW w:w="1134" w:type="dxa"/>
            <w:shd w:val="clear" w:color="auto" w:fill="FFFFFF"/>
            <w:vAlign w:val="center"/>
          </w:tcPr>
          <w:p w14:paraId="0E191806" w14:textId="77777777" w:rsidR="00443F0F" w:rsidRPr="001C6DAE" w:rsidRDefault="00443F0F" w:rsidP="00443F0F">
            <w:pPr>
              <w:pStyle w:val="CETBodytext"/>
              <w:rPr>
                <w:lang w:val="en-GB"/>
              </w:rPr>
            </w:pPr>
            <w:r w:rsidRPr="001C6DAE">
              <w:rPr>
                <w:lang w:val="en-GB"/>
              </w:rPr>
              <w:t>1</w:t>
            </w:r>
          </w:p>
        </w:tc>
        <w:tc>
          <w:tcPr>
            <w:tcW w:w="1134" w:type="dxa"/>
            <w:shd w:val="clear" w:color="auto" w:fill="FFFFFF"/>
            <w:vAlign w:val="center"/>
          </w:tcPr>
          <w:p w14:paraId="73BB6668" w14:textId="77777777" w:rsidR="00443F0F" w:rsidRPr="001C6DAE" w:rsidRDefault="00443F0F" w:rsidP="00443F0F">
            <w:pPr>
              <w:pStyle w:val="CETBodytext"/>
              <w:rPr>
                <w:lang w:val="en-GB"/>
              </w:rPr>
            </w:pPr>
            <w:r w:rsidRPr="001C6DAE">
              <w:rPr>
                <w:lang w:val="en-GB"/>
              </w:rPr>
              <w:t>18.28</w:t>
            </w:r>
          </w:p>
        </w:tc>
        <w:tc>
          <w:tcPr>
            <w:tcW w:w="1134" w:type="dxa"/>
            <w:shd w:val="clear" w:color="auto" w:fill="FFFFFF"/>
            <w:vAlign w:val="center"/>
          </w:tcPr>
          <w:p w14:paraId="7754A7E0" w14:textId="77777777" w:rsidR="00443F0F" w:rsidRPr="001C6DAE" w:rsidRDefault="00443F0F" w:rsidP="00443F0F">
            <w:pPr>
              <w:pStyle w:val="CETBodytext"/>
              <w:rPr>
                <w:lang w:val="en-GB"/>
              </w:rPr>
            </w:pPr>
            <w:r w:rsidRPr="001C6DAE">
              <w:rPr>
                <w:lang w:val="en-GB"/>
              </w:rPr>
              <w:t>59.32</w:t>
            </w:r>
          </w:p>
        </w:tc>
        <w:tc>
          <w:tcPr>
            <w:tcW w:w="1134" w:type="dxa"/>
            <w:shd w:val="clear" w:color="auto" w:fill="FFFFFF"/>
            <w:vAlign w:val="center"/>
          </w:tcPr>
          <w:p w14:paraId="05B94593" w14:textId="77777777" w:rsidR="00443F0F" w:rsidRPr="001C6DAE" w:rsidRDefault="00443F0F" w:rsidP="00443F0F">
            <w:pPr>
              <w:pStyle w:val="CETBodytext"/>
              <w:ind w:right="-1"/>
              <w:rPr>
                <w:rFonts w:cs="Arial"/>
                <w:szCs w:val="18"/>
                <w:lang w:val="en-GB"/>
              </w:rPr>
            </w:pPr>
            <w:r w:rsidRPr="001C6DAE">
              <w:rPr>
                <w:lang w:val="en-GB"/>
              </w:rPr>
              <w:t>10.09</w:t>
            </w:r>
          </w:p>
        </w:tc>
        <w:tc>
          <w:tcPr>
            <w:tcW w:w="1134" w:type="dxa"/>
            <w:shd w:val="clear" w:color="auto" w:fill="FFFFFF"/>
            <w:vAlign w:val="center"/>
          </w:tcPr>
          <w:p w14:paraId="2FAEBBFF" w14:textId="77777777" w:rsidR="00443F0F" w:rsidRPr="001C6DAE" w:rsidRDefault="00443F0F" w:rsidP="00443F0F">
            <w:pPr>
              <w:pStyle w:val="CETBodytext"/>
              <w:ind w:right="-1"/>
              <w:rPr>
                <w:rFonts w:cs="Arial"/>
                <w:szCs w:val="18"/>
                <w:lang w:val="en-GB"/>
              </w:rPr>
            </w:pPr>
            <w:r w:rsidRPr="001C6DAE">
              <w:rPr>
                <w:lang w:val="en-GB"/>
              </w:rPr>
              <w:t>36.54</w:t>
            </w:r>
          </w:p>
        </w:tc>
      </w:tr>
      <w:tr w:rsidR="00443F0F" w:rsidRPr="001C6DAE" w14:paraId="43271E99" w14:textId="77777777" w:rsidTr="00651986">
        <w:tc>
          <w:tcPr>
            <w:tcW w:w="1134" w:type="dxa"/>
            <w:shd w:val="clear" w:color="auto" w:fill="FFFFFF"/>
            <w:vAlign w:val="center"/>
          </w:tcPr>
          <w:p w14:paraId="02270CB8" w14:textId="77777777" w:rsidR="00443F0F" w:rsidRPr="001C6DAE" w:rsidRDefault="00443F0F" w:rsidP="00443F0F">
            <w:pPr>
              <w:pStyle w:val="CETBodytext"/>
              <w:rPr>
                <w:lang w:val="en-GB"/>
              </w:rPr>
            </w:pPr>
            <w:r w:rsidRPr="001C6DAE">
              <w:rPr>
                <w:lang w:val="en-GB"/>
              </w:rPr>
              <w:t>8</w:t>
            </w:r>
          </w:p>
        </w:tc>
        <w:tc>
          <w:tcPr>
            <w:tcW w:w="1134" w:type="dxa"/>
            <w:shd w:val="clear" w:color="auto" w:fill="FFFFFF"/>
            <w:vAlign w:val="center"/>
          </w:tcPr>
          <w:p w14:paraId="2F1F9402" w14:textId="77777777" w:rsidR="00443F0F" w:rsidRPr="001C6DAE" w:rsidRDefault="00443F0F" w:rsidP="00443F0F">
            <w:pPr>
              <w:pStyle w:val="CETBodytext"/>
              <w:rPr>
                <w:lang w:val="en-GB"/>
              </w:rPr>
            </w:pPr>
            <w:r w:rsidRPr="001C6DAE">
              <w:rPr>
                <w:lang w:val="en-GB"/>
              </w:rPr>
              <w:t>38.75</w:t>
            </w:r>
          </w:p>
        </w:tc>
        <w:tc>
          <w:tcPr>
            <w:tcW w:w="1134" w:type="dxa"/>
            <w:shd w:val="clear" w:color="auto" w:fill="FFFFFF"/>
            <w:vAlign w:val="center"/>
          </w:tcPr>
          <w:p w14:paraId="697DEE2A" w14:textId="77777777" w:rsidR="00443F0F" w:rsidRPr="001C6DAE" w:rsidRDefault="00443F0F" w:rsidP="00443F0F">
            <w:pPr>
              <w:pStyle w:val="CETBodytext"/>
              <w:rPr>
                <w:lang w:val="en-GB"/>
              </w:rPr>
            </w:pPr>
            <w:r w:rsidRPr="001C6DAE">
              <w:rPr>
                <w:lang w:val="en-GB"/>
              </w:rPr>
              <w:t>126.00</w:t>
            </w:r>
          </w:p>
        </w:tc>
        <w:tc>
          <w:tcPr>
            <w:tcW w:w="1134" w:type="dxa"/>
            <w:shd w:val="clear" w:color="auto" w:fill="FFFFFF"/>
            <w:vAlign w:val="center"/>
          </w:tcPr>
          <w:p w14:paraId="1F269F25" w14:textId="77777777" w:rsidR="00443F0F" w:rsidRPr="001C6DAE" w:rsidRDefault="00443F0F" w:rsidP="00443F0F">
            <w:pPr>
              <w:pStyle w:val="CETBodytext"/>
              <w:ind w:right="-1"/>
              <w:rPr>
                <w:rFonts w:cs="Arial"/>
                <w:szCs w:val="18"/>
                <w:lang w:val="en-GB"/>
              </w:rPr>
            </w:pPr>
            <w:r w:rsidRPr="001C6DAE">
              <w:rPr>
                <w:lang w:val="en-GB"/>
              </w:rPr>
              <w:t>41.85</w:t>
            </w:r>
          </w:p>
        </w:tc>
        <w:tc>
          <w:tcPr>
            <w:tcW w:w="1134" w:type="dxa"/>
            <w:shd w:val="clear" w:color="auto" w:fill="FFFFFF"/>
            <w:vAlign w:val="center"/>
          </w:tcPr>
          <w:p w14:paraId="27B418C6" w14:textId="77777777" w:rsidR="00443F0F" w:rsidRPr="001C6DAE" w:rsidRDefault="00443F0F" w:rsidP="00443F0F">
            <w:pPr>
              <w:pStyle w:val="CETBodytext"/>
              <w:ind w:right="-1"/>
              <w:rPr>
                <w:rFonts w:cs="Arial"/>
                <w:szCs w:val="18"/>
                <w:lang w:val="en-GB"/>
              </w:rPr>
            </w:pPr>
            <w:r w:rsidRPr="001C6DAE">
              <w:rPr>
                <w:lang w:val="en-GB"/>
              </w:rPr>
              <w:t>150.64</w:t>
            </w:r>
          </w:p>
        </w:tc>
      </w:tr>
      <w:tr w:rsidR="00443F0F" w:rsidRPr="001C6DAE" w14:paraId="2E78E03B" w14:textId="77777777" w:rsidTr="00651986">
        <w:tc>
          <w:tcPr>
            <w:tcW w:w="1134" w:type="dxa"/>
            <w:shd w:val="clear" w:color="auto" w:fill="FFFFFF"/>
            <w:vAlign w:val="center"/>
          </w:tcPr>
          <w:p w14:paraId="4ECDB60A" w14:textId="77777777" w:rsidR="00443F0F" w:rsidRPr="001C6DAE" w:rsidRDefault="00443F0F" w:rsidP="00443F0F">
            <w:pPr>
              <w:pStyle w:val="CETBodytext"/>
              <w:rPr>
                <w:lang w:val="en-GB"/>
              </w:rPr>
            </w:pPr>
            <w:r w:rsidRPr="001C6DAE">
              <w:rPr>
                <w:lang w:val="en-GB"/>
              </w:rPr>
              <w:t>16</w:t>
            </w:r>
          </w:p>
        </w:tc>
        <w:tc>
          <w:tcPr>
            <w:tcW w:w="1134" w:type="dxa"/>
            <w:shd w:val="clear" w:color="auto" w:fill="FFFFFF"/>
            <w:vAlign w:val="center"/>
          </w:tcPr>
          <w:p w14:paraId="44CD6B09" w14:textId="77777777" w:rsidR="00443F0F" w:rsidRPr="001C6DAE" w:rsidRDefault="00443F0F" w:rsidP="00443F0F">
            <w:pPr>
              <w:pStyle w:val="CETBodytext"/>
              <w:rPr>
                <w:lang w:val="en-GB"/>
              </w:rPr>
            </w:pPr>
            <w:r w:rsidRPr="001C6DAE">
              <w:rPr>
                <w:lang w:val="en-GB"/>
              </w:rPr>
              <w:t>46.33</w:t>
            </w:r>
          </w:p>
        </w:tc>
        <w:tc>
          <w:tcPr>
            <w:tcW w:w="1134" w:type="dxa"/>
            <w:shd w:val="clear" w:color="auto" w:fill="FFFFFF"/>
            <w:vAlign w:val="center"/>
          </w:tcPr>
          <w:p w14:paraId="1790041A" w14:textId="77777777" w:rsidR="00443F0F" w:rsidRPr="001C6DAE" w:rsidRDefault="00443F0F" w:rsidP="00443F0F">
            <w:pPr>
              <w:pStyle w:val="CETBodytext"/>
              <w:rPr>
                <w:lang w:val="en-GB"/>
              </w:rPr>
            </w:pPr>
            <w:r w:rsidRPr="001C6DAE">
              <w:rPr>
                <w:lang w:val="en-GB"/>
              </w:rPr>
              <w:t>150.03</w:t>
            </w:r>
          </w:p>
        </w:tc>
        <w:tc>
          <w:tcPr>
            <w:tcW w:w="1134" w:type="dxa"/>
            <w:shd w:val="clear" w:color="auto" w:fill="FFFFFF"/>
            <w:vAlign w:val="center"/>
          </w:tcPr>
          <w:p w14:paraId="0AFA0608" w14:textId="77777777" w:rsidR="00443F0F" w:rsidRPr="001C6DAE" w:rsidRDefault="00443F0F" w:rsidP="00443F0F">
            <w:pPr>
              <w:pStyle w:val="CETBodytext"/>
              <w:ind w:right="-1"/>
              <w:rPr>
                <w:rFonts w:cs="Arial"/>
                <w:szCs w:val="18"/>
                <w:lang w:val="en-GB"/>
              </w:rPr>
            </w:pPr>
            <w:r w:rsidRPr="001C6DAE">
              <w:rPr>
                <w:lang w:val="en-GB"/>
              </w:rPr>
              <w:t>65.65</w:t>
            </w:r>
          </w:p>
        </w:tc>
        <w:tc>
          <w:tcPr>
            <w:tcW w:w="1134" w:type="dxa"/>
            <w:shd w:val="clear" w:color="auto" w:fill="FFFFFF"/>
            <w:vAlign w:val="center"/>
          </w:tcPr>
          <w:p w14:paraId="34C6174E" w14:textId="77777777" w:rsidR="00443F0F" w:rsidRPr="001C6DAE" w:rsidRDefault="00443F0F" w:rsidP="00443F0F">
            <w:pPr>
              <w:pStyle w:val="CETBodytext"/>
              <w:ind w:right="-1"/>
              <w:rPr>
                <w:rFonts w:cs="Arial"/>
                <w:szCs w:val="18"/>
                <w:lang w:val="en-GB"/>
              </w:rPr>
            </w:pPr>
            <w:r w:rsidRPr="001C6DAE">
              <w:rPr>
                <w:lang w:val="en-GB"/>
              </w:rPr>
              <w:t>199.72</w:t>
            </w:r>
          </w:p>
        </w:tc>
      </w:tr>
      <w:tr w:rsidR="00443F0F" w:rsidRPr="001C6DAE" w14:paraId="2429BFBA" w14:textId="77777777" w:rsidTr="00651986">
        <w:tc>
          <w:tcPr>
            <w:tcW w:w="1134" w:type="dxa"/>
            <w:shd w:val="clear" w:color="auto" w:fill="FFFFFF"/>
            <w:vAlign w:val="center"/>
          </w:tcPr>
          <w:p w14:paraId="6E3F098D" w14:textId="77777777" w:rsidR="00443F0F" w:rsidRPr="001C6DAE" w:rsidRDefault="00443F0F" w:rsidP="00443F0F">
            <w:pPr>
              <w:pStyle w:val="CETBodytext"/>
              <w:rPr>
                <w:lang w:val="en-GB"/>
              </w:rPr>
            </w:pPr>
            <w:r w:rsidRPr="001C6DAE">
              <w:rPr>
                <w:lang w:val="en-GB"/>
              </w:rPr>
              <w:t>24</w:t>
            </w:r>
          </w:p>
        </w:tc>
        <w:tc>
          <w:tcPr>
            <w:tcW w:w="1134" w:type="dxa"/>
            <w:shd w:val="clear" w:color="auto" w:fill="FFFFFF"/>
            <w:vAlign w:val="center"/>
          </w:tcPr>
          <w:p w14:paraId="035E696D" w14:textId="77777777" w:rsidR="00443F0F" w:rsidRPr="001C6DAE" w:rsidRDefault="00443F0F" w:rsidP="00443F0F">
            <w:pPr>
              <w:pStyle w:val="CETBodytext"/>
              <w:rPr>
                <w:lang w:val="en-GB"/>
              </w:rPr>
            </w:pPr>
            <w:r w:rsidRPr="001C6DAE">
              <w:rPr>
                <w:lang w:val="en-GB"/>
              </w:rPr>
              <w:t>51.65</w:t>
            </w:r>
          </w:p>
        </w:tc>
        <w:tc>
          <w:tcPr>
            <w:tcW w:w="1134" w:type="dxa"/>
            <w:shd w:val="clear" w:color="auto" w:fill="FFFFFF"/>
            <w:vAlign w:val="center"/>
          </w:tcPr>
          <w:p w14:paraId="57FF302C" w14:textId="77777777" w:rsidR="00443F0F" w:rsidRPr="001C6DAE" w:rsidRDefault="00443F0F" w:rsidP="00443F0F">
            <w:pPr>
              <w:pStyle w:val="CETBodytext"/>
              <w:rPr>
                <w:lang w:val="en-GB"/>
              </w:rPr>
            </w:pPr>
            <w:r w:rsidRPr="001C6DAE">
              <w:rPr>
                <w:lang w:val="en-GB"/>
              </w:rPr>
              <w:t>167.48</w:t>
            </w:r>
          </w:p>
        </w:tc>
        <w:tc>
          <w:tcPr>
            <w:tcW w:w="1134" w:type="dxa"/>
            <w:shd w:val="clear" w:color="auto" w:fill="FFFFFF"/>
            <w:vAlign w:val="center"/>
          </w:tcPr>
          <w:p w14:paraId="73E7DCF3" w14:textId="77777777" w:rsidR="00443F0F" w:rsidRPr="001C6DAE" w:rsidRDefault="00443F0F" w:rsidP="00443F0F">
            <w:pPr>
              <w:pStyle w:val="CETBodytext"/>
              <w:ind w:right="-1"/>
              <w:rPr>
                <w:rFonts w:cs="Arial"/>
                <w:szCs w:val="18"/>
                <w:lang w:val="en-GB"/>
              </w:rPr>
            </w:pPr>
            <w:r w:rsidRPr="001C6DAE">
              <w:rPr>
                <w:lang w:val="en-GB"/>
              </w:rPr>
              <w:t>68.79</w:t>
            </w:r>
          </w:p>
        </w:tc>
        <w:tc>
          <w:tcPr>
            <w:tcW w:w="1134" w:type="dxa"/>
            <w:shd w:val="clear" w:color="auto" w:fill="FFFFFF"/>
            <w:vAlign w:val="center"/>
          </w:tcPr>
          <w:p w14:paraId="211455BC" w14:textId="77777777" w:rsidR="00443F0F" w:rsidRPr="001C6DAE" w:rsidRDefault="00443F0F" w:rsidP="00443F0F">
            <w:pPr>
              <w:pStyle w:val="CETBodytext"/>
              <w:ind w:right="-1"/>
              <w:rPr>
                <w:rFonts w:cs="Arial"/>
                <w:szCs w:val="18"/>
                <w:lang w:val="en-GB"/>
              </w:rPr>
            </w:pPr>
            <w:r w:rsidRPr="001C6DAE">
              <w:rPr>
                <w:lang w:val="en-GB"/>
              </w:rPr>
              <w:t>208.83</w:t>
            </w:r>
          </w:p>
        </w:tc>
      </w:tr>
      <w:tr w:rsidR="00443F0F" w:rsidRPr="001C6DAE" w14:paraId="578F899F" w14:textId="77777777" w:rsidTr="00651986">
        <w:tc>
          <w:tcPr>
            <w:tcW w:w="1134" w:type="dxa"/>
            <w:shd w:val="clear" w:color="auto" w:fill="FFFFFF"/>
            <w:vAlign w:val="center"/>
          </w:tcPr>
          <w:p w14:paraId="70ACFF69" w14:textId="77777777" w:rsidR="00443F0F" w:rsidRPr="001C6DAE" w:rsidRDefault="00443F0F" w:rsidP="00443F0F">
            <w:pPr>
              <w:pStyle w:val="CETBodytext"/>
              <w:rPr>
                <w:lang w:val="en-GB"/>
              </w:rPr>
            </w:pPr>
            <w:r w:rsidRPr="001C6DAE">
              <w:rPr>
                <w:lang w:val="en-GB"/>
              </w:rPr>
              <w:t>32</w:t>
            </w:r>
          </w:p>
        </w:tc>
        <w:tc>
          <w:tcPr>
            <w:tcW w:w="1134" w:type="dxa"/>
            <w:shd w:val="clear" w:color="auto" w:fill="FFFFFF"/>
            <w:vAlign w:val="center"/>
          </w:tcPr>
          <w:p w14:paraId="37CF4BDE" w14:textId="77777777" w:rsidR="00443F0F" w:rsidRPr="001C6DAE" w:rsidRDefault="00443F0F" w:rsidP="00443F0F">
            <w:pPr>
              <w:pStyle w:val="CETBodytext"/>
              <w:rPr>
                <w:lang w:val="en-GB"/>
              </w:rPr>
            </w:pPr>
            <w:r w:rsidRPr="001C6DAE">
              <w:rPr>
                <w:lang w:val="en-GB"/>
              </w:rPr>
              <w:t>55.42</w:t>
            </w:r>
          </w:p>
        </w:tc>
        <w:tc>
          <w:tcPr>
            <w:tcW w:w="1134" w:type="dxa"/>
            <w:shd w:val="clear" w:color="auto" w:fill="FFFFFF"/>
            <w:vAlign w:val="center"/>
          </w:tcPr>
          <w:p w14:paraId="269E4CB5" w14:textId="77777777" w:rsidR="00443F0F" w:rsidRPr="001C6DAE" w:rsidRDefault="00443F0F" w:rsidP="00443F0F">
            <w:pPr>
              <w:pStyle w:val="CETBodytext"/>
              <w:rPr>
                <w:lang w:val="en-GB"/>
              </w:rPr>
            </w:pPr>
            <w:r w:rsidRPr="001C6DAE">
              <w:rPr>
                <w:lang w:val="en-GB"/>
              </w:rPr>
              <w:t>179.57</w:t>
            </w:r>
          </w:p>
        </w:tc>
        <w:tc>
          <w:tcPr>
            <w:tcW w:w="1134" w:type="dxa"/>
            <w:shd w:val="clear" w:color="auto" w:fill="FFFFFF"/>
            <w:vAlign w:val="center"/>
          </w:tcPr>
          <w:p w14:paraId="21F1730E" w14:textId="77777777" w:rsidR="00443F0F" w:rsidRPr="001C6DAE" w:rsidRDefault="00443F0F" w:rsidP="00443F0F">
            <w:pPr>
              <w:pStyle w:val="CETBodytext"/>
              <w:ind w:right="-1"/>
              <w:rPr>
                <w:rFonts w:cs="Arial"/>
                <w:szCs w:val="18"/>
                <w:lang w:val="en-GB"/>
              </w:rPr>
            </w:pPr>
            <w:r w:rsidRPr="001C6DAE">
              <w:rPr>
                <w:lang w:val="en-GB"/>
              </w:rPr>
              <w:t>72.17</w:t>
            </w:r>
          </w:p>
        </w:tc>
        <w:tc>
          <w:tcPr>
            <w:tcW w:w="1134" w:type="dxa"/>
            <w:shd w:val="clear" w:color="auto" w:fill="FFFFFF"/>
            <w:vAlign w:val="center"/>
          </w:tcPr>
          <w:p w14:paraId="46D79582" w14:textId="77777777" w:rsidR="00443F0F" w:rsidRPr="001C6DAE" w:rsidRDefault="00443F0F" w:rsidP="00443F0F">
            <w:pPr>
              <w:pStyle w:val="CETBodytext"/>
              <w:ind w:right="-1"/>
              <w:rPr>
                <w:rFonts w:cs="Arial"/>
                <w:szCs w:val="18"/>
                <w:lang w:val="en-GB"/>
              </w:rPr>
            </w:pPr>
            <w:r w:rsidRPr="001C6DAE">
              <w:rPr>
                <w:lang w:val="en-GB"/>
              </w:rPr>
              <w:t>219.20</w:t>
            </w:r>
          </w:p>
        </w:tc>
      </w:tr>
      <w:tr w:rsidR="00443F0F" w:rsidRPr="001C6DAE" w14:paraId="27C0484C" w14:textId="77777777" w:rsidTr="00651986">
        <w:tc>
          <w:tcPr>
            <w:tcW w:w="1134" w:type="dxa"/>
            <w:shd w:val="clear" w:color="auto" w:fill="FFFFFF"/>
            <w:vAlign w:val="center"/>
          </w:tcPr>
          <w:p w14:paraId="389F7A18" w14:textId="77777777" w:rsidR="00443F0F" w:rsidRPr="001C6DAE" w:rsidRDefault="00443F0F" w:rsidP="00443F0F">
            <w:pPr>
              <w:pStyle w:val="CETBodytext"/>
              <w:rPr>
                <w:lang w:val="en-GB"/>
              </w:rPr>
            </w:pPr>
            <w:r w:rsidRPr="001C6DAE">
              <w:rPr>
                <w:lang w:val="en-GB"/>
              </w:rPr>
              <w:t>40</w:t>
            </w:r>
          </w:p>
        </w:tc>
        <w:tc>
          <w:tcPr>
            <w:tcW w:w="1134" w:type="dxa"/>
            <w:shd w:val="clear" w:color="auto" w:fill="FFFFFF"/>
            <w:vAlign w:val="center"/>
          </w:tcPr>
          <w:p w14:paraId="591BC2AF" w14:textId="77777777" w:rsidR="00443F0F" w:rsidRPr="001C6DAE" w:rsidRDefault="00443F0F" w:rsidP="00443F0F">
            <w:pPr>
              <w:pStyle w:val="CETBodytext"/>
              <w:rPr>
                <w:lang w:val="en-GB"/>
              </w:rPr>
            </w:pPr>
            <w:r w:rsidRPr="001C6DAE">
              <w:rPr>
                <w:lang w:val="en-GB"/>
              </w:rPr>
              <w:t>57.90</w:t>
            </w:r>
          </w:p>
        </w:tc>
        <w:tc>
          <w:tcPr>
            <w:tcW w:w="1134" w:type="dxa"/>
            <w:shd w:val="clear" w:color="auto" w:fill="FFFFFF"/>
            <w:vAlign w:val="center"/>
          </w:tcPr>
          <w:p w14:paraId="190896DB" w14:textId="77777777" w:rsidR="00443F0F" w:rsidRPr="001C6DAE" w:rsidRDefault="00443F0F" w:rsidP="00443F0F">
            <w:pPr>
              <w:pStyle w:val="CETBodytext"/>
              <w:rPr>
                <w:lang w:val="en-GB"/>
              </w:rPr>
            </w:pPr>
            <w:r w:rsidRPr="001C6DAE">
              <w:rPr>
                <w:lang w:val="en-GB"/>
              </w:rPr>
              <w:t>187.28</w:t>
            </w:r>
          </w:p>
        </w:tc>
        <w:tc>
          <w:tcPr>
            <w:tcW w:w="1134" w:type="dxa"/>
            <w:shd w:val="clear" w:color="auto" w:fill="FFFFFF"/>
            <w:vAlign w:val="center"/>
          </w:tcPr>
          <w:p w14:paraId="79901CE2" w14:textId="77777777" w:rsidR="00443F0F" w:rsidRPr="001C6DAE" w:rsidRDefault="00443F0F" w:rsidP="00443F0F">
            <w:pPr>
              <w:pStyle w:val="CETBodytext"/>
              <w:ind w:right="-1"/>
              <w:rPr>
                <w:rFonts w:cs="Arial"/>
                <w:szCs w:val="18"/>
                <w:lang w:val="en-GB"/>
              </w:rPr>
            </w:pPr>
            <w:r w:rsidRPr="001C6DAE">
              <w:rPr>
                <w:lang w:val="en-GB"/>
              </w:rPr>
              <w:t>73.80</w:t>
            </w:r>
          </w:p>
        </w:tc>
        <w:tc>
          <w:tcPr>
            <w:tcW w:w="1134" w:type="dxa"/>
            <w:shd w:val="clear" w:color="auto" w:fill="FFFFFF"/>
            <w:vAlign w:val="center"/>
          </w:tcPr>
          <w:p w14:paraId="28B0F553" w14:textId="77777777" w:rsidR="00443F0F" w:rsidRPr="001C6DAE" w:rsidRDefault="00443F0F" w:rsidP="00443F0F">
            <w:pPr>
              <w:pStyle w:val="CETBodytext"/>
              <w:ind w:right="-1"/>
              <w:rPr>
                <w:rFonts w:cs="Arial"/>
                <w:szCs w:val="18"/>
                <w:lang w:val="en-GB"/>
              </w:rPr>
            </w:pPr>
            <w:r w:rsidRPr="001C6DAE">
              <w:rPr>
                <w:lang w:val="en-GB"/>
              </w:rPr>
              <w:t>224.21</w:t>
            </w:r>
          </w:p>
        </w:tc>
      </w:tr>
      <w:tr w:rsidR="00443F0F" w:rsidRPr="001C6DAE" w14:paraId="5993B57D" w14:textId="77777777" w:rsidTr="00651986">
        <w:tc>
          <w:tcPr>
            <w:tcW w:w="1134" w:type="dxa"/>
            <w:shd w:val="clear" w:color="auto" w:fill="FFFFFF"/>
            <w:vAlign w:val="center"/>
          </w:tcPr>
          <w:p w14:paraId="16A2489B" w14:textId="77777777" w:rsidR="00443F0F" w:rsidRPr="001C6DAE" w:rsidRDefault="00443F0F" w:rsidP="00443F0F">
            <w:pPr>
              <w:pStyle w:val="CETBodytext"/>
              <w:rPr>
                <w:lang w:val="en-GB"/>
              </w:rPr>
            </w:pPr>
            <w:r w:rsidRPr="001C6DAE">
              <w:rPr>
                <w:lang w:val="en-GB"/>
              </w:rPr>
              <w:t>48</w:t>
            </w:r>
          </w:p>
        </w:tc>
        <w:tc>
          <w:tcPr>
            <w:tcW w:w="1134" w:type="dxa"/>
            <w:shd w:val="clear" w:color="auto" w:fill="FFFFFF"/>
            <w:vAlign w:val="center"/>
          </w:tcPr>
          <w:p w14:paraId="6AC8103D" w14:textId="77777777" w:rsidR="00443F0F" w:rsidRPr="001C6DAE" w:rsidRDefault="00443F0F" w:rsidP="00443F0F">
            <w:pPr>
              <w:pStyle w:val="CETBodytext"/>
              <w:rPr>
                <w:lang w:val="en-GB"/>
              </w:rPr>
            </w:pPr>
            <w:r w:rsidRPr="001C6DAE">
              <w:rPr>
                <w:lang w:val="en-GB"/>
              </w:rPr>
              <w:t>60.34</w:t>
            </w:r>
          </w:p>
        </w:tc>
        <w:tc>
          <w:tcPr>
            <w:tcW w:w="1134" w:type="dxa"/>
            <w:shd w:val="clear" w:color="auto" w:fill="FFFFFF"/>
            <w:vAlign w:val="center"/>
          </w:tcPr>
          <w:p w14:paraId="1823DB44" w14:textId="77777777" w:rsidR="00443F0F" w:rsidRPr="001C6DAE" w:rsidRDefault="00443F0F" w:rsidP="00443F0F">
            <w:pPr>
              <w:pStyle w:val="CETBodytext"/>
              <w:rPr>
                <w:lang w:val="en-GB"/>
              </w:rPr>
            </w:pPr>
            <w:r w:rsidRPr="001C6DAE">
              <w:rPr>
                <w:lang w:val="en-GB"/>
              </w:rPr>
              <w:t>194.79</w:t>
            </w:r>
          </w:p>
        </w:tc>
        <w:tc>
          <w:tcPr>
            <w:tcW w:w="1134" w:type="dxa"/>
            <w:shd w:val="clear" w:color="auto" w:fill="FFFFFF"/>
            <w:vAlign w:val="center"/>
          </w:tcPr>
          <w:p w14:paraId="329F70C8" w14:textId="77777777" w:rsidR="00443F0F" w:rsidRPr="001C6DAE" w:rsidRDefault="00443F0F" w:rsidP="00443F0F">
            <w:pPr>
              <w:pStyle w:val="CETBodytext"/>
              <w:ind w:right="-1"/>
              <w:rPr>
                <w:rFonts w:cs="Arial"/>
                <w:szCs w:val="18"/>
                <w:lang w:val="en-GB"/>
              </w:rPr>
            </w:pPr>
            <w:r w:rsidRPr="001C6DAE">
              <w:rPr>
                <w:lang w:val="en-GB"/>
              </w:rPr>
              <w:t>73.53</w:t>
            </w:r>
          </w:p>
        </w:tc>
        <w:tc>
          <w:tcPr>
            <w:tcW w:w="1134" w:type="dxa"/>
            <w:shd w:val="clear" w:color="auto" w:fill="FFFFFF"/>
            <w:vAlign w:val="center"/>
          </w:tcPr>
          <w:p w14:paraId="29B68186" w14:textId="77777777" w:rsidR="00443F0F" w:rsidRPr="001C6DAE" w:rsidRDefault="00443F0F" w:rsidP="00443F0F">
            <w:pPr>
              <w:pStyle w:val="CETBodytext"/>
              <w:ind w:right="-1"/>
              <w:rPr>
                <w:rFonts w:cs="Arial"/>
                <w:szCs w:val="18"/>
                <w:lang w:val="en-GB"/>
              </w:rPr>
            </w:pPr>
            <w:r w:rsidRPr="001C6DAE">
              <w:rPr>
                <w:lang w:val="en-GB"/>
              </w:rPr>
              <w:t>222.30</w:t>
            </w:r>
          </w:p>
        </w:tc>
      </w:tr>
      <w:tr w:rsidR="00443F0F" w:rsidRPr="001C6DAE" w14:paraId="5EE24AD2" w14:textId="77777777" w:rsidTr="00651986">
        <w:tc>
          <w:tcPr>
            <w:tcW w:w="1134" w:type="dxa"/>
            <w:shd w:val="clear" w:color="auto" w:fill="FFFFFF"/>
            <w:vAlign w:val="center"/>
          </w:tcPr>
          <w:p w14:paraId="12A66503" w14:textId="77777777" w:rsidR="00443F0F" w:rsidRPr="001C6DAE" w:rsidRDefault="00443F0F" w:rsidP="00443F0F">
            <w:pPr>
              <w:pStyle w:val="CETBodytext"/>
              <w:ind w:right="-1"/>
              <w:rPr>
                <w:rFonts w:cs="Arial"/>
                <w:szCs w:val="18"/>
                <w:lang w:val="en-GB"/>
              </w:rPr>
            </w:pPr>
            <w:r w:rsidRPr="001C6DAE">
              <w:rPr>
                <w:lang w:val="en-GB"/>
              </w:rPr>
              <w:lastRenderedPageBreak/>
              <w:t>72</w:t>
            </w:r>
          </w:p>
        </w:tc>
        <w:tc>
          <w:tcPr>
            <w:tcW w:w="1134" w:type="dxa"/>
            <w:shd w:val="clear" w:color="auto" w:fill="FFFFFF"/>
            <w:vAlign w:val="center"/>
          </w:tcPr>
          <w:p w14:paraId="147DED73" w14:textId="77777777" w:rsidR="00443F0F" w:rsidRPr="001C6DAE" w:rsidRDefault="00443F0F" w:rsidP="00443F0F">
            <w:pPr>
              <w:pStyle w:val="CETBodytext"/>
              <w:ind w:right="-1"/>
              <w:rPr>
                <w:rFonts w:cs="Arial"/>
                <w:szCs w:val="18"/>
                <w:lang w:val="en-GB"/>
              </w:rPr>
            </w:pPr>
            <w:r w:rsidRPr="001C6DAE">
              <w:rPr>
                <w:lang w:val="en-GB"/>
              </w:rPr>
              <w:t>61.45</w:t>
            </w:r>
          </w:p>
        </w:tc>
        <w:tc>
          <w:tcPr>
            <w:tcW w:w="1134" w:type="dxa"/>
            <w:shd w:val="clear" w:color="auto" w:fill="FFFFFF"/>
            <w:vAlign w:val="center"/>
          </w:tcPr>
          <w:p w14:paraId="3E0B0196" w14:textId="77777777" w:rsidR="00443F0F" w:rsidRPr="001C6DAE" w:rsidRDefault="00443F0F" w:rsidP="00443F0F">
            <w:pPr>
              <w:pStyle w:val="CETBodytext"/>
              <w:ind w:right="-1"/>
              <w:rPr>
                <w:rFonts w:cs="Arial"/>
                <w:szCs w:val="18"/>
                <w:lang w:val="en-GB"/>
              </w:rPr>
            </w:pPr>
            <w:r w:rsidRPr="001C6DAE">
              <w:rPr>
                <w:lang w:val="en-GB"/>
              </w:rPr>
              <w:t>199.04</w:t>
            </w:r>
          </w:p>
        </w:tc>
        <w:tc>
          <w:tcPr>
            <w:tcW w:w="1134" w:type="dxa"/>
            <w:shd w:val="clear" w:color="auto" w:fill="FFFFFF"/>
            <w:vAlign w:val="center"/>
          </w:tcPr>
          <w:p w14:paraId="4748A2CC" w14:textId="77777777" w:rsidR="00443F0F" w:rsidRPr="001C6DAE" w:rsidRDefault="00443F0F" w:rsidP="00443F0F">
            <w:pPr>
              <w:pStyle w:val="CETBodytext"/>
              <w:ind w:right="-1"/>
              <w:rPr>
                <w:rFonts w:cs="Arial"/>
                <w:szCs w:val="18"/>
                <w:lang w:val="en-GB"/>
              </w:rPr>
            </w:pPr>
            <w:r w:rsidRPr="001C6DAE">
              <w:rPr>
                <w:lang w:val="en-GB"/>
              </w:rPr>
              <w:t>73.72</w:t>
            </w:r>
          </w:p>
        </w:tc>
        <w:tc>
          <w:tcPr>
            <w:tcW w:w="1134" w:type="dxa"/>
            <w:shd w:val="clear" w:color="auto" w:fill="FFFFFF"/>
            <w:vAlign w:val="center"/>
          </w:tcPr>
          <w:p w14:paraId="489A34A4" w14:textId="77777777" w:rsidR="00443F0F" w:rsidRPr="001C6DAE" w:rsidRDefault="00443F0F" w:rsidP="00443F0F">
            <w:pPr>
              <w:pStyle w:val="CETBodytext"/>
              <w:ind w:right="-1"/>
              <w:rPr>
                <w:rFonts w:cs="Arial"/>
                <w:szCs w:val="18"/>
                <w:lang w:val="en-GB"/>
              </w:rPr>
            </w:pPr>
            <w:r w:rsidRPr="001C6DAE">
              <w:rPr>
                <w:lang w:val="en-GB"/>
              </w:rPr>
              <w:t>223.04</w:t>
            </w:r>
          </w:p>
        </w:tc>
      </w:tr>
    </w:tbl>
    <w:p w14:paraId="2A5D52ED" w14:textId="77777777" w:rsidR="00A95288" w:rsidRPr="001C6DAE" w:rsidRDefault="00A95288" w:rsidP="00A95288">
      <w:pPr>
        <w:pStyle w:val="CETBodytext"/>
        <w:rPr>
          <w:lang w:val="en-GB"/>
        </w:rPr>
      </w:pPr>
    </w:p>
    <w:p w14:paraId="59431282" w14:textId="23217781" w:rsidR="00322EB8" w:rsidRPr="005F16BE" w:rsidRDefault="00322EB8" w:rsidP="00322EB8">
      <w:pPr>
        <w:pStyle w:val="CETBodytext"/>
      </w:pPr>
      <w:r w:rsidRPr="001C6DAE">
        <w:t xml:space="preserve">As can be seen, the water was removed during all the assessed contact time. Removal was gradually increased and the equilibrium time achieved by the hydrogel was </w:t>
      </w:r>
      <w:r w:rsidR="00F47308" w:rsidRPr="001C6DAE">
        <w:t>48</w:t>
      </w:r>
      <w:r w:rsidRPr="001C6DAE">
        <w:t xml:space="preserve"> h at 25 °C and </w:t>
      </w:r>
      <w:r w:rsidR="00F47308" w:rsidRPr="001C6DAE">
        <w:t xml:space="preserve">32 h at </w:t>
      </w:r>
      <w:r w:rsidRPr="001C6DAE">
        <w:t xml:space="preserve">40 °C. For </w:t>
      </w:r>
      <w:r w:rsidR="00F47308" w:rsidRPr="001C6DAE">
        <w:t>48</w:t>
      </w:r>
      <w:r w:rsidRPr="001C6DAE">
        <w:t xml:space="preserve"> h at 25 °C, the water removal percentage was </w:t>
      </w:r>
      <w:r w:rsidR="00F47308" w:rsidRPr="001C6DAE">
        <w:t>60.34</w:t>
      </w:r>
      <w:r w:rsidR="00FE3309" w:rsidRPr="001C6DAE">
        <w:t xml:space="preserve"> </w:t>
      </w:r>
      <w:r w:rsidRPr="001C6DAE">
        <w:t>% and</w:t>
      </w:r>
      <w:r w:rsidR="00EB283D">
        <w:t xml:space="preserve"> the removal capacity was</w:t>
      </w:r>
      <w:r w:rsidRPr="001C6DAE">
        <w:t xml:space="preserve"> 19</w:t>
      </w:r>
      <w:r w:rsidR="00F47308" w:rsidRPr="001C6DAE">
        <w:t>4.79</w:t>
      </w:r>
      <w:r w:rsidRPr="001C6DAE">
        <w:t xml:space="preserve"> mg of water</w:t>
      </w:r>
      <w:r w:rsidR="00EB283D">
        <w:t>/g</w:t>
      </w:r>
      <w:r w:rsidR="00F47308" w:rsidRPr="001C6DAE">
        <w:t xml:space="preserve"> of hydrogel. </w:t>
      </w:r>
      <w:r w:rsidRPr="001C6DAE">
        <w:t xml:space="preserve">At 40 °C for </w:t>
      </w:r>
      <w:r w:rsidR="00F47308" w:rsidRPr="001C6DAE">
        <w:t>32</w:t>
      </w:r>
      <w:r w:rsidRPr="001C6DAE">
        <w:t xml:space="preserve"> h, the percentage was higher than at 25 °C and 7</w:t>
      </w:r>
      <w:r w:rsidR="00F47308" w:rsidRPr="001C6DAE">
        <w:t xml:space="preserve">2.17 </w:t>
      </w:r>
      <w:r w:rsidRPr="001C6DAE">
        <w:t>% of water was removed and the removal capacity was 2</w:t>
      </w:r>
      <w:r w:rsidR="00F47308" w:rsidRPr="001C6DAE">
        <w:t>19.20</w:t>
      </w:r>
      <w:r w:rsidRPr="001C6DAE">
        <w:t xml:space="preserve"> mg of water</w:t>
      </w:r>
      <w:r w:rsidR="00F47308" w:rsidRPr="001C6DAE">
        <w:t xml:space="preserve">/g of </w:t>
      </w:r>
      <w:r w:rsidRPr="001C6DAE">
        <w:t xml:space="preserve">hydrogel. </w:t>
      </w:r>
      <w:r w:rsidR="00F47308" w:rsidRPr="001C6DAE">
        <w:t xml:space="preserve">From equilibrium, it is said that the hydrogel reached its maximum saturation, not removing more water </w:t>
      </w:r>
      <w:r w:rsidR="00F47308" w:rsidRPr="005F16BE">
        <w:t>from biodiesel (</w:t>
      </w:r>
      <w:proofErr w:type="spellStart"/>
      <w:r w:rsidR="00F47308" w:rsidRPr="005F16BE">
        <w:t>Ilaiyaraja</w:t>
      </w:r>
      <w:proofErr w:type="spellEnd"/>
      <w:r w:rsidR="00F47308" w:rsidRPr="005F16BE">
        <w:t xml:space="preserve"> et al., 2017). </w:t>
      </w:r>
    </w:p>
    <w:p w14:paraId="7D29D8D8" w14:textId="77777777" w:rsidR="00322EB8" w:rsidRPr="005F16BE" w:rsidRDefault="00322EB8" w:rsidP="00322EB8">
      <w:pPr>
        <w:pStyle w:val="CETBodytext"/>
      </w:pPr>
      <w:r w:rsidRPr="005F16BE">
        <w:t xml:space="preserve">It was found that the increase in temperature allowed larger amounts of water to be retained by the hydrogel. In the literature, it is easy to find systems directly dependent on temperature, contributing positively to the adsorption processes. According to Santos et al. (2019), through statistical analysis, the authors reported that temperature has a significant effect on the dependent variable (water content), obtaining greater removal of water from biodiesel when the temperature increased from 25 °C to 40 °C. Thus, the authors verified an endothermic process during water removal between biodiesel and hydrogel. </w:t>
      </w:r>
    </w:p>
    <w:p w14:paraId="4970CB95" w14:textId="62CD5C6C" w:rsidR="00322EB8" w:rsidRPr="005F16BE" w:rsidRDefault="00322EB8" w:rsidP="00322EB8">
      <w:pPr>
        <w:pStyle w:val="CETBodytext"/>
      </w:pPr>
      <w:r w:rsidRPr="005F16BE">
        <w:t>The same behavior was analyzed in the present work. When the temperature ranged from 25 to 40 °C, the percentage of removal increased from 62</w:t>
      </w:r>
      <w:r w:rsidR="00F47308" w:rsidRPr="005F16BE">
        <w:t xml:space="preserve"> </w:t>
      </w:r>
      <w:r w:rsidRPr="005F16BE">
        <w:t>% to 74</w:t>
      </w:r>
      <w:r w:rsidR="00F47308" w:rsidRPr="005F16BE">
        <w:t xml:space="preserve"> </w:t>
      </w:r>
      <w:r w:rsidRPr="005F16BE">
        <w:t>%</w:t>
      </w:r>
      <w:r w:rsidR="00F47308" w:rsidRPr="005F16BE">
        <w:t xml:space="preserve"> for 72 h</w:t>
      </w:r>
      <w:r w:rsidRPr="005F16BE">
        <w:t>, also indicating an endothermic process. Also, the increase in temperature allows the crosslinked hydrogel bonds to expand, favoring the incorporation of larger amounts of water (S</w:t>
      </w:r>
      <w:r w:rsidR="006D5FF4" w:rsidRPr="005F16BE">
        <w:t>antos</w:t>
      </w:r>
      <w:r w:rsidRPr="005F16BE">
        <w:t xml:space="preserve"> et al., 2019). In addition, fuel viscosity decreases and water solubility in fuel increases with</w:t>
      </w:r>
      <w:r w:rsidR="00EB283D" w:rsidRPr="005F16BE">
        <w:t xml:space="preserve"> </w:t>
      </w:r>
      <w:r w:rsidRPr="005F16BE">
        <w:t>temperature</w:t>
      </w:r>
      <w:r w:rsidR="00EB283D" w:rsidRPr="005F16BE">
        <w:t xml:space="preserve"> increasing</w:t>
      </w:r>
      <w:r w:rsidRPr="005F16BE">
        <w:t xml:space="preserve"> (R</w:t>
      </w:r>
      <w:r w:rsidR="006D5FF4" w:rsidRPr="005F16BE">
        <w:t>omanova</w:t>
      </w:r>
      <w:r w:rsidRPr="005F16BE">
        <w:t xml:space="preserve"> et al., 2019). Thus, hydrogels had a greater ability to remove water from biofuel at 40°C.</w:t>
      </w:r>
    </w:p>
    <w:p w14:paraId="073EE960" w14:textId="41D5A466" w:rsidR="00443F0F" w:rsidRPr="001C6DAE" w:rsidRDefault="00322EB8" w:rsidP="00322EB8">
      <w:pPr>
        <w:pStyle w:val="CETBodytext"/>
      </w:pPr>
      <w:r w:rsidRPr="005F16BE">
        <w:t>Regarding the 350 ppm</w:t>
      </w:r>
      <w:r w:rsidR="00434F2A" w:rsidRPr="005F16BE">
        <w:t xml:space="preserve"> and 500 ppm</w:t>
      </w:r>
      <w:r w:rsidRPr="005F16BE">
        <w:t xml:space="preserve"> limit of water established by ANP 45/2014</w:t>
      </w:r>
      <w:r w:rsidR="00434F2A" w:rsidRPr="005F16BE">
        <w:t xml:space="preserve"> and EN 14214/2008</w:t>
      </w:r>
      <w:r w:rsidRPr="005F16BE">
        <w:t>,</w:t>
      </w:r>
      <w:r w:rsidR="00434F2A" w:rsidRPr="005F16BE">
        <w:t xml:space="preserve"> respectively,</w:t>
      </w:r>
      <w:r w:rsidRPr="005F16BE">
        <w:t xml:space="preserve"> the hydrogel </w:t>
      </w:r>
      <w:r w:rsidR="00BB7AAD" w:rsidRPr="005F16BE">
        <w:t xml:space="preserve">operating </w:t>
      </w:r>
      <w:r w:rsidRPr="005F16BE">
        <w:t xml:space="preserve">at 25 °C was not effective </w:t>
      </w:r>
      <w:r w:rsidR="00BB7AAD" w:rsidRPr="005F16BE">
        <w:t xml:space="preserve">enough </w:t>
      </w:r>
      <w:r w:rsidRPr="005F16BE">
        <w:t>to remove water</w:t>
      </w:r>
      <w:r w:rsidR="00BB7AAD" w:rsidRPr="005F16BE">
        <w:t xml:space="preserve">, so that the water </w:t>
      </w:r>
      <w:r w:rsidRPr="005F16BE">
        <w:t>concentration</w:t>
      </w:r>
      <w:r w:rsidR="00A14F0C" w:rsidRPr="005F16BE">
        <w:t xml:space="preserve"> </w:t>
      </w:r>
      <w:r w:rsidR="00BB7AAD" w:rsidRPr="005F16BE">
        <w:t>specifications are met.</w:t>
      </w:r>
      <w:r w:rsidR="00A14F0C" w:rsidRPr="005F16BE">
        <w:t xml:space="preserve"> </w:t>
      </w:r>
      <w:r w:rsidR="00BB7AAD" w:rsidRPr="005F16BE">
        <w:t xml:space="preserve">At </w:t>
      </w:r>
      <w:r w:rsidR="00017615" w:rsidRPr="005F16BE">
        <w:t>this temperature</w:t>
      </w:r>
      <w:r w:rsidR="00017615" w:rsidRPr="001C6DAE">
        <w:t xml:space="preserve"> and considering 72 h, the water content in the fuel was 502.37 ppm. </w:t>
      </w:r>
      <w:r w:rsidRPr="001C6DAE">
        <w:t xml:space="preserve">However, when the </w:t>
      </w:r>
      <w:r w:rsidR="00EB283D">
        <w:t>t</w:t>
      </w:r>
      <w:r w:rsidRPr="001C6DAE">
        <w:t>emperature</w:t>
      </w:r>
      <w:r w:rsidR="00EB283D">
        <w:t xml:space="preserve"> of the experiment</w:t>
      </w:r>
      <w:r w:rsidRPr="001C6DAE">
        <w:t xml:space="preserve"> was </w:t>
      </w:r>
      <w:r w:rsidR="00BB7AAD">
        <w:t>increased</w:t>
      </w:r>
      <w:r w:rsidRPr="001C6DAE">
        <w:t xml:space="preserve"> to 40 °C</w:t>
      </w:r>
      <w:r w:rsidR="00017615" w:rsidRPr="001C6DAE">
        <w:t xml:space="preserve"> and the contact time was 72 h</w:t>
      </w:r>
      <w:r w:rsidRPr="001C6DAE">
        <w:t>, the biodiesel water content was</w:t>
      </w:r>
      <w:r w:rsidR="00017615" w:rsidRPr="001C6DAE">
        <w:t xml:space="preserve"> 320 ppm and this value is</w:t>
      </w:r>
      <w:r w:rsidRPr="001C6DAE">
        <w:t xml:space="preserve"> lower than</w:t>
      </w:r>
      <w:r w:rsidR="00434F2A">
        <w:t xml:space="preserve"> </w:t>
      </w:r>
      <w:r w:rsidRPr="001C6DAE">
        <w:t>require</w:t>
      </w:r>
      <w:r w:rsidR="00434F2A">
        <w:t>d by the standards</w:t>
      </w:r>
      <w:r w:rsidRPr="001C6DAE">
        <w:t>. It was possible to verify that the hydrogel had potential to remove water present in biodiesel.</w:t>
      </w:r>
      <w:r w:rsidR="006E117A">
        <w:t xml:space="preserve"> Although this temperature is not usual room temperature, it is not distant from </w:t>
      </w:r>
      <w:r w:rsidR="006E117A" w:rsidRPr="005F16BE">
        <w:t>25 °C</w:t>
      </w:r>
      <w:r w:rsidR="006E117A">
        <w:t xml:space="preserve">. Besides, when we consider that this polymer can be applied in storage oil tanks, longs times, as 72 h, may not be a technical problem. </w:t>
      </w:r>
      <w:r w:rsidRPr="001C6DAE">
        <w:t xml:space="preserve">For future experiments, it is </w:t>
      </w:r>
      <w:r w:rsidR="0000489C">
        <w:t xml:space="preserve">expected </w:t>
      </w:r>
      <w:r w:rsidRPr="001C6DAE">
        <w:t xml:space="preserve">that hydrogel application </w:t>
      </w:r>
      <w:r w:rsidR="0000489C">
        <w:t xml:space="preserve">can </w:t>
      </w:r>
      <w:r w:rsidRPr="001C6DAE">
        <w:t>be optimized so that even low water contents will be removed</w:t>
      </w:r>
      <w:r w:rsidR="006E117A">
        <w:t xml:space="preserve"> in low temperatures</w:t>
      </w:r>
      <w:r w:rsidR="0000489C">
        <w:t>, making the technology even more competitive</w:t>
      </w:r>
      <w:r w:rsidRPr="001C6DAE">
        <w:t>.</w:t>
      </w:r>
      <w:r w:rsidR="00A14F0C">
        <w:t xml:space="preserve"> </w:t>
      </w:r>
      <w:r w:rsidR="0000489C" w:rsidRPr="001C6DAE">
        <w:t>Regarding the 350 ppm</w:t>
      </w:r>
      <w:r w:rsidR="0000489C">
        <w:t xml:space="preserve"> and 500 ppm</w:t>
      </w:r>
      <w:r w:rsidR="0000489C" w:rsidRPr="001C6DAE">
        <w:t xml:space="preserve"> limit of water established by </w:t>
      </w:r>
      <w:r w:rsidR="0000489C" w:rsidRPr="001C3A20">
        <w:t>ANP 45/2014 and EN 14214/2008,</w:t>
      </w:r>
      <w:r w:rsidR="0000489C">
        <w:t xml:space="preserve"> respectively,</w:t>
      </w:r>
      <w:r w:rsidR="0000489C" w:rsidRPr="001C6DAE">
        <w:t xml:space="preserve"> the hydrogel </w:t>
      </w:r>
      <w:r w:rsidR="0000489C">
        <w:t xml:space="preserve">operating </w:t>
      </w:r>
      <w:r w:rsidR="0000489C" w:rsidRPr="001C6DAE">
        <w:t xml:space="preserve">at 25 °C was not effective </w:t>
      </w:r>
      <w:r w:rsidR="0000489C">
        <w:t xml:space="preserve">enough </w:t>
      </w:r>
      <w:r w:rsidR="0000489C" w:rsidRPr="001C6DAE">
        <w:t>to remove water</w:t>
      </w:r>
      <w:r w:rsidR="0000489C">
        <w:t xml:space="preserve">, so that the water </w:t>
      </w:r>
      <w:r w:rsidR="00A626C4" w:rsidRPr="001C6DAE">
        <w:t xml:space="preserve">concentration </w:t>
      </w:r>
      <w:r w:rsidR="00A626C4">
        <w:t>specifications</w:t>
      </w:r>
      <w:r w:rsidR="0000489C">
        <w:t xml:space="preserve"> are met. </w:t>
      </w:r>
      <w:r w:rsidR="0000489C" w:rsidRPr="001C6DAE">
        <w:t xml:space="preserve"> </w:t>
      </w:r>
    </w:p>
    <w:p w14:paraId="138BBDFA" w14:textId="77777777" w:rsidR="007A2F3F" w:rsidRPr="001C6DAE" w:rsidRDefault="007A2F3F" w:rsidP="007A2F3F">
      <w:pPr>
        <w:pStyle w:val="CETheadingx"/>
      </w:pPr>
      <w:r w:rsidRPr="001C6DAE">
        <w:t>Kinetic Mathematical Modeling</w:t>
      </w:r>
    </w:p>
    <w:p w14:paraId="7303D8D7" w14:textId="29CD8F0C" w:rsidR="007A2F3F" w:rsidRPr="001C6DAE" w:rsidRDefault="007A2F3F" w:rsidP="007A2F3F">
      <w:pPr>
        <w:pStyle w:val="CETBodytext"/>
      </w:pPr>
      <w:r w:rsidRPr="001C6DAE">
        <w:t xml:space="preserve">The </w:t>
      </w:r>
      <w:r w:rsidR="0027406E">
        <w:t>experimental data from Table 1</w:t>
      </w:r>
      <w:r w:rsidRPr="001C6DAE">
        <w:t xml:space="preserve"> were used </w:t>
      </w:r>
      <w:r w:rsidR="0000489C">
        <w:t xml:space="preserve">to adjust the </w:t>
      </w:r>
      <w:r w:rsidRPr="001C6DAE">
        <w:t>adsorption kinetics</w:t>
      </w:r>
      <w:r w:rsidR="0000489C">
        <w:t xml:space="preserve"> parameters of the proposed </w:t>
      </w:r>
      <w:r w:rsidRPr="001C6DAE">
        <w:t>models.</w:t>
      </w:r>
      <w:r w:rsidR="006C2839">
        <w:t xml:space="preserve"> S</w:t>
      </w:r>
      <w:r w:rsidRPr="001C6DAE">
        <w:t xml:space="preserve">ome mechanisms interfere with the adsorption process, highlighting mass transfer and chemical reactions. Therefore, two kinetic models were studied, </w:t>
      </w:r>
      <w:proofErr w:type="spellStart"/>
      <w:r w:rsidRPr="001C6DAE">
        <w:t>Largergren's</w:t>
      </w:r>
      <w:proofErr w:type="spellEnd"/>
      <w:r w:rsidRPr="001C6DAE">
        <w:t xml:space="preserve"> pseudo-first order and pseudo-second order, in order to know the kinetic behavior of the solid-liquid </w:t>
      </w:r>
      <w:r w:rsidRPr="005F16BE">
        <w:t>system</w:t>
      </w:r>
      <w:r w:rsidR="009249DC" w:rsidRPr="005F16BE">
        <w:t xml:space="preserve"> (</w:t>
      </w:r>
      <w:r w:rsidR="006C2839" w:rsidRPr="005F16BE">
        <w:t>Ramos et al., 2022</w:t>
      </w:r>
      <w:r w:rsidR="00E00A29" w:rsidRPr="005F16BE">
        <w:rPr>
          <w:rFonts w:cs="Arial"/>
        </w:rPr>
        <w:t>)</w:t>
      </w:r>
      <w:r w:rsidR="009249DC" w:rsidRPr="005F16BE">
        <w:rPr>
          <w:rFonts w:cs="Arial"/>
        </w:rPr>
        <w:t>.</w:t>
      </w:r>
    </w:p>
    <w:p w14:paraId="75A292B5" w14:textId="46723BCF" w:rsidR="007A2F3F" w:rsidRPr="001C6DAE" w:rsidRDefault="007A2F3F" w:rsidP="007A2F3F">
      <w:pPr>
        <w:pStyle w:val="CETBodytext"/>
      </w:pPr>
      <w:proofErr w:type="spellStart"/>
      <w:r w:rsidRPr="001C6DAE">
        <w:t>Lagergren's</w:t>
      </w:r>
      <w:proofErr w:type="spellEnd"/>
      <w:r w:rsidRPr="001C6DAE">
        <w:t xml:space="preserve"> pseudo-first</w:t>
      </w:r>
      <w:r w:rsidR="00017615" w:rsidRPr="001C6DAE">
        <w:t xml:space="preserve"> </w:t>
      </w:r>
      <w:r w:rsidRPr="001C6DAE">
        <w:t>order kinetic equation (Eq3) is one of the most widely used models in the literature to describe the adsorption mechanism</w:t>
      </w:r>
      <w:r w:rsidR="006C2839">
        <w:t xml:space="preserve">. </w:t>
      </w:r>
      <w:r w:rsidRPr="001C6DAE">
        <w:t>The pseudo-first-order model assumes that adsorption is reversible and occurs on a heterogeneous surface.</w:t>
      </w:r>
      <w:r w:rsidR="006C2839">
        <w:t xml:space="preserve"> </w:t>
      </w:r>
      <w:r w:rsidRPr="001C6DAE">
        <w:t xml:space="preserve">The pseudo-second order model describes the sorption process considering chemisorption as a limiting step of the </w:t>
      </w:r>
      <w:r w:rsidRPr="005F16BE">
        <w:t>adsorption rate</w:t>
      </w:r>
      <w:r w:rsidR="00A66B74" w:rsidRPr="005F16BE">
        <w:t xml:space="preserve"> </w:t>
      </w:r>
      <w:r w:rsidR="001B5E35" w:rsidRPr="005F16BE">
        <w:t>(</w:t>
      </w:r>
      <w:proofErr w:type="spellStart"/>
      <w:r w:rsidR="001B5E35" w:rsidRPr="005F16BE">
        <w:t>Aliprandini</w:t>
      </w:r>
      <w:proofErr w:type="spellEnd"/>
      <w:r w:rsidR="001B5E35" w:rsidRPr="005F16BE">
        <w:t xml:space="preserve"> et al., 2020)</w:t>
      </w:r>
      <w:r w:rsidRPr="005F16BE">
        <w:t>.</w:t>
      </w:r>
      <w:r w:rsidRPr="001C6DAE">
        <w:t xml:space="preserve"> Eq</w:t>
      </w:r>
      <w:r w:rsidR="004077DC">
        <w:t>uation</w:t>
      </w:r>
      <w:r w:rsidR="009E47F4">
        <w:t xml:space="preserve"> </w:t>
      </w:r>
      <w:r w:rsidRPr="001C6DAE">
        <w:t>4 describes the pseudo-second</w:t>
      </w:r>
      <w:r w:rsidR="00017615" w:rsidRPr="001C6DAE">
        <w:t xml:space="preserve"> </w:t>
      </w:r>
      <w:r w:rsidRPr="001C6DAE">
        <w:t>order model equation.</w:t>
      </w:r>
    </w:p>
    <w:p w14:paraId="78E32B74" w14:textId="03899B32" w:rsidR="007A2F3F" w:rsidRDefault="00FE3309" w:rsidP="00034DAF">
      <w:pPr>
        <w:pStyle w:val="CETBodytext"/>
      </w:pPr>
      <w:r w:rsidRPr="001C6DAE">
        <w:t xml:space="preserve">Table 2 </w:t>
      </w:r>
      <w:r w:rsidR="0000489C">
        <w:t>presents</w:t>
      </w:r>
      <w:r w:rsidR="00A14F0C">
        <w:t xml:space="preserve"> </w:t>
      </w:r>
      <w:r w:rsidRPr="001C6DAE">
        <w:t xml:space="preserve">the </w:t>
      </w:r>
      <w:r w:rsidR="0000489C">
        <w:t>model</w:t>
      </w:r>
      <w:r w:rsidR="00482118">
        <w:t xml:space="preserve"> kinetic </w:t>
      </w:r>
      <w:r w:rsidR="007A2F3F" w:rsidRPr="001C6DAE">
        <w:t>parameters for water removal in biodiesel</w:t>
      </w:r>
      <w:r w:rsidRPr="001C6DAE">
        <w:t>.</w:t>
      </w:r>
    </w:p>
    <w:p w14:paraId="541F08BC" w14:textId="42269E7B" w:rsidR="00D84B94" w:rsidRPr="001C6DAE" w:rsidRDefault="00BB7F1F" w:rsidP="00D84B94">
      <w:pPr>
        <w:pStyle w:val="CETTabletitle"/>
        <w:keepNext w:val="0"/>
      </w:pPr>
      <w:r w:rsidRPr="001C6DAE">
        <w:t xml:space="preserve">Table 2:  Kinetic parameters for </w:t>
      </w:r>
      <w:proofErr w:type="gramStart"/>
      <w:r w:rsidRPr="001C6DAE">
        <w:t>poly(</w:t>
      </w:r>
      <w:proofErr w:type="spellStart"/>
      <w:proofErr w:type="gramEnd"/>
      <w:r w:rsidRPr="001C6DAE">
        <w:t>AAm</w:t>
      </w:r>
      <w:proofErr w:type="spellEnd"/>
      <w:r w:rsidRPr="001C6DAE">
        <w:t>-co-AC) hydrogel</w:t>
      </w:r>
      <w:r w:rsidR="00E54E33">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560"/>
        <w:gridCol w:w="1701"/>
        <w:gridCol w:w="1134"/>
        <w:gridCol w:w="1134"/>
      </w:tblGrid>
      <w:tr w:rsidR="00BB7F1F" w:rsidRPr="001C6DAE" w14:paraId="298ADDBE" w14:textId="77777777" w:rsidTr="00F42B05">
        <w:tc>
          <w:tcPr>
            <w:tcW w:w="1134" w:type="dxa"/>
            <w:tcBorders>
              <w:top w:val="single" w:sz="12" w:space="0" w:color="008000"/>
              <w:bottom w:val="single" w:sz="6" w:space="0" w:color="008000"/>
            </w:tcBorders>
            <w:shd w:val="clear" w:color="auto" w:fill="FFFFFF"/>
          </w:tcPr>
          <w:p w14:paraId="12D380F6" w14:textId="77777777" w:rsidR="00BB7F1F" w:rsidRPr="001C6DAE" w:rsidRDefault="00BB7F1F" w:rsidP="00D84B94">
            <w:pPr>
              <w:pStyle w:val="CETBodytext"/>
              <w:rPr>
                <w:lang w:val="en-GB"/>
              </w:rPr>
            </w:pPr>
            <w:r w:rsidRPr="001C6DAE">
              <w:rPr>
                <w:lang w:val="en-GB"/>
              </w:rPr>
              <w:t xml:space="preserve">Temperature </w:t>
            </w:r>
          </w:p>
        </w:tc>
        <w:tc>
          <w:tcPr>
            <w:tcW w:w="1134" w:type="dxa"/>
            <w:tcBorders>
              <w:top w:val="single" w:sz="12" w:space="0" w:color="008000"/>
              <w:bottom w:val="single" w:sz="6" w:space="0" w:color="008000"/>
            </w:tcBorders>
            <w:shd w:val="clear" w:color="auto" w:fill="FFFFFF"/>
          </w:tcPr>
          <w:p w14:paraId="57072440" w14:textId="77777777" w:rsidR="00BB7F1F" w:rsidRPr="001C6DAE" w:rsidRDefault="00BB7F1F" w:rsidP="00D84B94">
            <w:pPr>
              <w:pStyle w:val="CETBodytext"/>
              <w:rPr>
                <w:lang w:val="en-GB"/>
              </w:rPr>
            </w:pPr>
            <w:r w:rsidRPr="001C6DAE">
              <w:rPr>
                <w:lang w:val="en-GB"/>
              </w:rPr>
              <w:t>Model</w:t>
            </w:r>
          </w:p>
        </w:tc>
        <w:tc>
          <w:tcPr>
            <w:tcW w:w="1560" w:type="dxa"/>
            <w:tcBorders>
              <w:top w:val="single" w:sz="12" w:space="0" w:color="008000"/>
              <w:bottom w:val="single" w:sz="6" w:space="0" w:color="008000"/>
            </w:tcBorders>
            <w:shd w:val="clear" w:color="auto" w:fill="FFFFFF"/>
          </w:tcPr>
          <w:p w14:paraId="48067EA5" w14:textId="77777777" w:rsidR="00BB7F1F" w:rsidRPr="001C6DAE" w:rsidRDefault="00BB7F1F" w:rsidP="00D84B94">
            <w:pPr>
              <w:pStyle w:val="CETBodytext"/>
              <w:rPr>
                <w:lang w:val="en-GB"/>
              </w:rPr>
            </w:pPr>
            <w:r w:rsidRPr="001C6DAE">
              <w:rPr>
                <w:lang w:val="en-GB"/>
              </w:rPr>
              <w:t>k</w:t>
            </w:r>
            <w:r w:rsidRPr="001C6DAE">
              <w:rPr>
                <w:vertAlign w:val="subscript"/>
                <w:lang w:val="en-GB"/>
              </w:rPr>
              <w:t>1</w:t>
            </w:r>
            <w:r w:rsidRPr="001C6DAE">
              <w:rPr>
                <w:lang w:val="en-GB"/>
              </w:rPr>
              <w:t>(h</w:t>
            </w:r>
            <w:r w:rsidRPr="001C6DAE">
              <w:rPr>
                <w:vertAlign w:val="superscript"/>
                <w:lang w:val="en-GB"/>
              </w:rPr>
              <w:t>-1</w:t>
            </w:r>
            <w:r w:rsidRPr="001C6DAE">
              <w:rPr>
                <w:lang w:val="en-GB"/>
              </w:rPr>
              <w:t>)</w:t>
            </w:r>
          </w:p>
        </w:tc>
        <w:tc>
          <w:tcPr>
            <w:tcW w:w="1701" w:type="dxa"/>
            <w:tcBorders>
              <w:top w:val="single" w:sz="12" w:space="0" w:color="008000"/>
              <w:bottom w:val="single" w:sz="6" w:space="0" w:color="008000"/>
            </w:tcBorders>
            <w:shd w:val="clear" w:color="auto" w:fill="FFFFFF"/>
          </w:tcPr>
          <w:p w14:paraId="3C356026" w14:textId="77777777" w:rsidR="00BB7F1F" w:rsidRPr="001C6DAE" w:rsidRDefault="00BB7F1F" w:rsidP="00D84B94">
            <w:pPr>
              <w:pStyle w:val="CETBodytext"/>
              <w:ind w:right="-1"/>
              <w:rPr>
                <w:rFonts w:cs="Arial"/>
                <w:szCs w:val="18"/>
                <w:lang w:val="en-GB"/>
              </w:rPr>
            </w:pPr>
            <w:r w:rsidRPr="001C6DAE">
              <w:rPr>
                <w:rFonts w:cs="Arial"/>
                <w:szCs w:val="18"/>
                <w:lang w:val="en-GB"/>
              </w:rPr>
              <w:t>k</w:t>
            </w:r>
            <w:r w:rsidRPr="001C6DAE">
              <w:rPr>
                <w:rFonts w:cs="Arial"/>
                <w:szCs w:val="18"/>
                <w:vertAlign w:val="subscript"/>
                <w:lang w:val="en-GB"/>
              </w:rPr>
              <w:t>2</w:t>
            </w:r>
            <w:r w:rsidRPr="001C6DAE">
              <w:rPr>
                <w:rFonts w:cs="Arial"/>
                <w:szCs w:val="18"/>
                <w:lang w:val="en-GB"/>
              </w:rPr>
              <w:t>(g/mg.h)</w:t>
            </w:r>
          </w:p>
        </w:tc>
        <w:tc>
          <w:tcPr>
            <w:tcW w:w="1134" w:type="dxa"/>
            <w:tcBorders>
              <w:top w:val="single" w:sz="12" w:space="0" w:color="008000"/>
              <w:bottom w:val="single" w:sz="6" w:space="0" w:color="008000"/>
            </w:tcBorders>
            <w:shd w:val="clear" w:color="auto" w:fill="FFFFFF"/>
          </w:tcPr>
          <w:p w14:paraId="66B67455" w14:textId="77777777" w:rsidR="00BB7F1F" w:rsidRPr="001C6DAE" w:rsidRDefault="00BB7F1F" w:rsidP="00D84B94">
            <w:pPr>
              <w:pStyle w:val="CETBodytext"/>
              <w:ind w:right="-1"/>
              <w:rPr>
                <w:rFonts w:cs="Arial"/>
                <w:szCs w:val="18"/>
                <w:lang w:val="en-GB"/>
              </w:rPr>
            </w:pPr>
            <w:r w:rsidRPr="001C6DAE">
              <w:rPr>
                <w:rFonts w:cs="Arial"/>
                <w:szCs w:val="18"/>
                <w:lang w:val="en-GB"/>
              </w:rPr>
              <w:t>q</w:t>
            </w:r>
            <w:r w:rsidRPr="001C6DAE">
              <w:rPr>
                <w:rFonts w:cs="Arial"/>
                <w:szCs w:val="18"/>
                <w:vertAlign w:val="subscript"/>
                <w:lang w:val="en-GB"/>
              </w:rPr>
              <w:t>e</w:t>
            </w:r>
            <w:r w:rsidRPr="001C6DAE">
              <w:rPr>
                <w:rFonts w:cs="Arial"/>
                <w:szCs w:val="18"/>
                <w:lang w:val="en-GB"/>
              </w:rPr>
              <w:t xml:space="preserve"> (mg/g)</w:t>
            </w:r>
          </w:p>
        </w:tc>
        <w:tc>
          <w:tcPr>
            <w:tcW w:w="1134" w:type="dxa"/>
            <w:tcBorders>
              <w:top w:val="single" w:sz="12" w:space="0" w:color="008000"/>
              <w:bottom w:val="single" w:sz="6" w:space="0" w:color="008000"/>
            </w:tcBorders>
            <w:shd w:val="clear" w:color="auto" w:fill="FFFFFF"/>
          </w:tcPr>
          <w:p w14:paraId="0099DB9E" w14:textId="77777777" w:rsidR="00BB7F1F" w:rsidRPr="001C6DAE" w:rsidRDefault="00BB7F1F" w:rsidP="00D84B94">
            <w:pPr>
              <w:pStyle w:val="CETBodytext"/>
              <w:ind w:right="-1"/>
              <w:rPr>
                <w:rFonts w:cs="Arial"/>
                <w:szCs w:val="18"/>
                <w:lang w:val="en-GB"/>
              </w:rPr>
            </w:pPr>
            <w:r w:rsidRPr="001C6DAE">
              <w:rPr>
                <w:rFonts w:cs="Arial"/>
                <w:szCs w:val="18"/>
                <w:lang w:val="en-GB"/>
              </w:rPr>
              <w:t>R</w:t>
            </w:r>
            <w:r w:rsidRPr="001C6DAE">
              <w:rPr>
                <w:rFonts w:cs="Arial"/>
                <w:szCs w:val="18"/>
                <w:vertAlign w:val="superscript"/>
                <w:lang w:val="en-GB"/>
              </w:rPr>
              <w:t>2</w:t>
            </w:r>
          </w:p>
        </w:tc>
      </w:tr>
      <w:tr w:rsidR="00F42B05" w:rsidRPr="001C6DAE" w14:paraId="6A2C0D36" w14:textId="77777777" w:rsidTr="00F42B05">
        <w:tc>
          <w:tcPr>
            <w:tcW w:w="1134" w:type="dxa"/>
            <w:shd w:val="clear" w:color="auto" w:fill="FFFFFF"/>
          </w:tcPr>
          <w:p w14:paraId="4F699558" w14:textId="77777777" w:rsidR="00F42B05" w:rsidRPr="001C6DAE" w:rsidRDefault="00F42B05" w:rsidP="00D84B94">
            <w:pPr>
              <w:pStyle w:val="CETBodytext"/>
              <w:rPr>
                <w:lang w:val="en-GB"/>
              </w:rPr>
            </w:pPr>
            <w:r w:rsidRPr="001C6DAE">
              <w:rPr>
                <w:lang w:val="en-GB"/>
              </w:rPr>
              <w:t>25 °C</w:t>
            </w:r>
          </w:p>
        </w:tc>
        <w:tc>
          <w:tcPr>
            <w:tcW w:w="1134" w:type="dxa"/>
            <w:shd w:val="clear" w:color="auto" w:fill="FFFFFF"/>
            <w:vAlign w:val="center"/>
          </w:tcPr>
          <w:p w14:paraId="209335B6" w14:textId="77777777" w:rsidR="00F42B05" w:rsidRPr="001C6DAE" w:rsidRDefault="00F42B05" w:rsidP="00D84B94">
            <w:pPr>
              <w:pStyle w:val="CETBodytext"/>
              <w:rPr>
                <w:lang w:val="en-GB"/>
              </w:rPr>
            </w:pPr>
            <w:r w:rsidRPr="001C6DAE">
              <w:rPr>
                <w:lang w:val="en-GB"/>
              </w:rPr>
              <w:t>Experimental</w:t>
            </w:r>
          </w:p>
        </w:tc>
        <w:tc>
          <w:tcPr>
            <w:tcW w:w="1560" w:type="dxa"/>
            <w:shd w:val="clear" w:color="auto" w:fill="FFFFFF"/>
            <w:vAlign w:val="center"/>
          </w:tcPr>
          <w:p w14:paraId="4A805617" w14:textId="77777777" w:rsidR="00F42B05" w:rsidRPr="001C6DAE" w:rsidRDefault="00F42B05" w:rsidP="00D84B94">
            <w:pPr>
              <w:pStyle w:val="CETBodytext"/>
              <w:rPr>
                <w:lang w:val="en-GB"/>
              </w:rPr>
            </w:pPr>
            <w:r w:rsidRPr="001C6DAE">
              <w:rPr>
                <w:lang w:val="en-GB"/>
              </w:rPr>
              <w:t>--</w:t>
            </w:r>
          </w:p>
        </w:tc>
        <w:tc>
          <w:tcPr>
            <w:tcW w:w="1701" w:type="dxa"/>
            <w:shd w:val="clear" w:color="auto" w:fill="FFFFFF"/>
          </w:tcPr>
          <w:p w14:paraId="38739B6E" w14:textId="77777777" w:rsidR="00F42B05" w:rsidRPr="001C6DAE" w:rsidRDefault="00F42B05" w:rsidP="00D84B94">
            <w:pPr>
              <w:pStyle w:val="CETBodytext"/>
              <w:ind w:right="-1"/>
              <w:rPr>
                <w:lang w:val="en-GB"/>
              </w:rPr>
            </w:pPr>
            <w:r w:rsidRPr="001C6DAE">
              <w:rPr>
                <w:lang w:val="en-GB"/>
              </w:rPr>
              <w:t>--</w:t>
            </w:r>
          </w:p>
        </w:tc>
        <w:tc>
          <w:tcPr>
            <w:tcW w:w="1134" w:type="dxa"/>
            <w:shd w:val="clear" w:color="auto" w:fill="FFFFFF"/>
            <w:vAlign w:val="center"/>
          </w:tcPr>
          <w:p w14:paraId="461E9417" w14:textId="77777777" w:rsidR="00F42B05" w:rsidRPr="001C6DAE" w:rsidRDefault="00F42B05" w:rsidP="00D84B94">
            <w:pPr>
              <w:pStyle w:val="CETBodytext"/>
              <w:ind w:right="-1"/>
              <w:rPr>
                <w:lang w:val="en-GB"/>
              </w:rPr>
            </w:pPr>
            <w:r w:rsidRPr="001C6DAE">
              <w:rPr>
                <w:lang w:val="en-GB"/>
              </w:rPr>
              <w:t>199.04</w:t>
            </w:r>
          </w:p>
        </w:tc>
        <w:tc>
          <w:tcPr>
            <w:tcW w:w="1134" w:type="dxa"/>
            <w:shd w:val="clear" w:color="auto" w:fill="FFFFFF"/>
          </w:tcPr>
          <w:p w14:paraId="1E241AFD" w14:textId="77777777" w:rsidR="00F42B05" w:rsidRPr="001C6DAE" w:rsidRDefault="00F42B05" w:rsidP="00D84B94">
            <w:pPr>
              <w:pStyle w:val="CETBodytext"/>
              <w:ind w:right="-1"/>
              <w:rPr>
                <w:lang w:val="en-GB"/>
              </w:rPr>
            </w:pPr>
            <w:r w:rsidRPr="001C6DAE">
              <w:rPr>
                <w:lang w:val="en-GB"/>
              </w:rPr>
              <w:t>--</w:t>
            </w:r>
          </w:p>
        </w:tc>
      </w:tr>
      <w:tr w:rsidR="00F42B05" w:rsidRPr="001C6DAE" w14:paraId="340666C2" w14:textId="77777777" w:rsidTr="00F42B05">
        <w:trPr>
          <w:trHeight w:val="201"/>
        </w:trPr>
        <w:tc>
          <w:tcPr>
            <w:tcW w:w="1134" w:type="dxa"/>
            <w:shd w:val="clear" w:color="auto" w:fill="FFFFFF"/>
          </w:tcPr>
          <w:p w14:paraId="3703BE63" w14:textId="77777777" w:rsidR="00F42B05" w:rsidRPr="001C6DAE" w:rsidRDefault="00F42B05" w:rsidP="00D84B94">
            <w:pPr>
              <w:pStyle w:val="CETBodytext"/>
              <w:rPr>
                <w:lang w:val="en-GB"/>
              </w:rPr>
            </w:pPr>
          </w:p>
        </w:tc>
        <w:tc>
          <w:tcPr>
            <w:tcW w:w="1134" w:type="dxa"/>
            <w:shd w:val="clear" w:color="auto" w:fill="FFFFFF"/>
            <w:vAlign w:val="center"/>
          </w:tcPr>
          <w:p w14:paraId="25ABB9C7" w14:textId="77777777" w:rsidR="00F42B05" w:rsidRPr="001C6DAE" w:rsidRDefault="00F42B05" w:rsidP="00D84B94">
            <w:pPr>
              <w:pStyle w:val="CETBodytext"/>
              <w:rPr>
                <w:lang w:val="en-GB"/>
              </w:rPr>
            </w:pPr>
            <w:r w:rsidRPr="001C6DAE">
              <w:rPr>
                <w:lang w:val="en-GB"/>
              </w:rPr>
              <w:t>1</w:t>
            </w:r>
            <w:r w:rsidRPr="001C6DAE">
              <w:rPr>
                <w:vertAlign w:val="superscript"/>
                <w:lang w:val="en-GB"/>
              </w:rPr>
              <w:t>(a)</w:t>
            </w:r>
          </w:p>
        </w:tc>
        <w:tc>
          <w:tcPr>
            <w:tcW w:w="1560" w:type="dxa"/>
            <w:shd w:val="clear" w:color="auto" w:fill="FFFFFF"/>
            <w:vAlign w:val="center"/>
          </w:tcPr>
          <w:p w14:paraId="4802CAA7" w14:textId="77777777" w:rsidR="00F42B05" w:rsidRPr="001C6DAE" w:rsidRDefault="00F42B05" w:rsidP="00D84B94">
            <w:pPr>
              <w:pStyle w:val="CETBodytext"/>
              <w:rPr>
                <w:lang w:val="en-GB"/>
              </w:rPr>
            </w:pPr>
            <w:r w:rsidRPr="001C6DAE">
              <w:rPr>
                <w:lang w:val="en-GB"/>
              </w:rPr>
              <w:t>(1.34 ± 0.3).10</w:t>
            </w:r>
            <w:r w:rsidRPr="001C6DAE">
              <w:rPr>
                <w:vertAlign w:val="superscript"/>
                <w:lang w:val="en-GB"/>
              </w:rPr>
              <w:t>-1</w:t>
            </w:r>
          </w:p>
        </w:tc>
        <w:tc>
          <w:tcPr>
            <w:tcW w:w="1701" w:type="dxa"/>
            <w:shd w:val="clear" w:color="auto" w:fill="FFFFFF"/>
          </w:tcPr>
          <w:p w14:paraId="2E254DD3" w14:textId="77777777" w:rsidR="00F42B05" w:rsidRPr="001C6DAE" w:rsidRDefault="00F42B05" w:rsidP="00D84B94">
            <w:pPr>
              <w:pStyle w:val="CETBodytext"/>
              <w:ind w:right="-1"/>
              <w:rPr>
                <w:lang w:val="en-GB"/>
              </w:rPr>
            </w:pPr>
            <w:r w:rsidRPr="001C6DAE">
              <w:rPr>
                <w:lang w:val="en-GB"/>
              </w:rPr>
              <w:t>--</w:t>
            </w:r>
          </w:p>
        </w:tc>
        <w:tc>
          <w:tcPr>
            <w:tcW w:w="1134" w:type="dxa"/>
            <w:shd w:val="clear" w:color="auto" w:fill="FFFFFF"/>
            <w:vAlign w:val="center"/>
          </w:tcPr>
          <w:p w14:paraId="6827535E" w14:textId="77777777" w:rsidR="00F42B05" w:rsidRPr="001C6DAE" w:rsidRDefault="00F42B05" w:rsidP="00D84B94">
            <w:pPr>
              <w:pStyle w:val="CETBodytext"/>
              <w:ind w:right="-1"/>
              <w:rPr>
                <w:lang w:val="en-GB"/>
              </w:rPr>
            </w:pPr>
            <w:r w:rsidRPr="001C6DAE">
              <w:rPr>
                <w:lang w:val="en-GB"/>
              </w:rPr>
              <w:t>186.6 ± 8.8</w:t>
            </w:r>
          </w:p>
        </w:tc>
        <w:tc>
          <w:tcPr>
            <w:tcW w:w="1134" w:type="dxa"/>
            <w:shd w:val="clear" w:color="auto" w:fill="FFFFFF"/>
            <w:vAlign w:val="center"/>
          </w:tcPr>
          <w:p w14:paraId="47B6346F" w14:textId="77777777" w:rsidR="00F42B05" w:rsidRPr="001C6DAE" w:rsidRDefault="00F42B05" w:rsidP="00D84B94">
            <w:pPr>
              <w:pStyle w:val="CETBodytext"/>
              <w:ind w:right="-1"/>
              <w:rPr>
                <w:lang w:val="en-GB"/>
              </w:rPr>
            </w:pPr>
            <w:r w:rsidRPr="001C6DAE">
              <w:rPr>
                <w:lang w:val="en-GB"/>
              </w:rPr>
              <w:t>0.8548</w:t>
            </w:r>
          </w:p>
        </w:tc>
      </w:tr>
      <w:tr w:rsidR="00F42B05" w:rsidRPr="001C6DAE" w14:paraId="392A2F53" w14:textId="77777777" w:rsidTr="00F42B05">
        <w:tc>
          <w:tcPr>
            <w:tcW w:w="1134" w:type="dxa"/>
            <w:shd w:val="clear" w:color="auto" w:fill="FFFFFF"/>
          </w:tcPr>
          <w:p w14:paraId="74A0F18C" w14:textId="77777777" w:rsidR="00F42B05" w:rsidRPr="001C6DAE" w:rsidRDefault="00F42B05" w:rsidP="00D84B94">
            <w:pPr>
              <w:pStyle w:val="CETBodytext"/>
              <w:rPr>
                <w:lang w:val="en-GB"/>
              </w:rPr>
            </w:pPr>
          </w:p>
        </w:tc>
        <w:tc>
          <w:tcPr>
            <w:tcW w:w="1134" w:type="dxa"/>
            <w:shd w:val="clear" w:color="auto" w:fill="FFFFFF"/>
            <w:vAlign w:val="center"/>
          </w:tcPr>
          <w:p w14:paraId="5D5F763A" w14:textId="77777777" w:rsidR="00F42B05" w:rsidRPr="001C6DAE" w:rsidRDefault="00F42B05" w:rsidP="00D84B94">
            <w:pPr>
              <w:pStyle w:val="CETBodytext"/>
              <w:rPr>
                <w:lang w:val="en-GB"/>
              </w:rPr>
            </w:pPr>
            <w:r w:rsidRPr="001C6DAE">
              <w:rPr>
                <w:lang w:val="en-GB"/>
              </w:rPr>
              <w:t>2</w:t>
            </w:r>
            <w:r w:rsidRPr="001C6DAE">
              <w:rPr>
                <w:vertAlign w:val="superscript"/>
                <w:lang w:val="en-GB"/>
              </w:rPr>
              <w:t>(b)</w:t>
            </w:r>
          </w:p>
        </w:tc>
        <w:tc>
          <w:tcPr>
            <w:tcW w:w="1560" w:type="dxa"/>
            <w:shd w:val="clear" w:color="auto" w:fill="FFFFFF"/>
            <w:vAlign w:val="center"/>
          </w:tcPr>
          <w:p w14:paraId="32477E57" w14:textId="77777777" w:rsidR="00F42B05" w:rsidRPr="001C6DAE" w:rsidRDefault="00F42B05" w:rsidP="00D84B94">
            <w:pPr>
              <w:pStyle w:val="CETBodytext"/>
              <w:rPr>
                <w:lang w:val="en-GB"/>
              </w:rPr>
            </w:pPr>
            <w:r w:rsidRPr="001C6DAE">
              <w:rPr>
                <w:lang w:val="en-GB"/>
              </w:rPr>
              <w:t>--</w:t>
            </w:r>
          </w:p>
        </w:tc>
        <w:tc>
          <w:tcPr>
            <w:tcW w:w="1701" w:type="dxa"/>
            <w:shd w:val="clear" w:color="auto" w:fill="FFFFFF"/>
            <w:vAlign w:val="center"/>
          </w:tcPr>
          <w:p w14:paraId="7BC69F53" w14:textId="77777777" w:rsidR="00F42B05" w:rsidRPr="001C6DAE" w:rsidRDefault="00F42B05" w:rsidP="00D84B94">
            <w:pPr>
              <w:pStyle w:val="CETBodytext"/>
              <w:ind w:right="-1"/>
              <w:rPr>
                <w:lang w:val="en-GB"/>
              </w:rPr>
            </w:pPr>
            <w:r w:rsidRPr="001C6DAE">
              <w:rPr>
                <w:lang w:val="en-GB"/>
              </w:rPr>
              <w:t>(1.14 ± 3.8).10</w:t>
            </w:r>
            <w:r w:rsidRPr="001C6DAE">
              <w:rPr>
                <w:vertAlign w:val="superscript"/>
                <w:lang w:val="en-GB"/>
              </w:rPr>
              <w:t>-3</w:t>
            </w:r>
          </w:p>
        </w:tc>
        <w:tc>
          <w:tcPr>
            <w:tcW w:w="1134" w:type="dxa"/>
            <w:shd w:val="clear" w:color="auto" w:fill="FFFFFF"/>
            <w:vAlign w:val="center"/>
          </w:tcPr>
          <w:p w14:paraId="0DDB3D8C" w14:textId="77777777" w:rsidR="00F42B05" w:rsidRPr="001C6DAE" w:rsidRDefault="00F42B05" w:rsidP="00D84B94">
            <w:pPr>
              <w:pStyle w:val="CETBodytext"/>
              <w:ind w:right="-1"/>
              <w:rPr>
                <w:lang w:val="en-GB"/>
              </w:rPr>
            </w:pPr>
            <w:r w:rsidRPr="001C6DAE">
              <w:rPr>
                <w:lang w:val="en-GB"/>
              </w:rPr>
              <w:t>204.4 ± 8.4</w:t>
            </w:r>
          </w:p>
        </w:tc>
        <w:tc>
          <w:tcPr>
            <w:tcW w:w="1134" w:type="dxa"/>
            <w:shd w:val="clear" w:color="auto" w:fill="FFFFFF"/>
            <w:vAlign w:val="center"/>
          </w:tcPr>
          <w:p w14:paraId="2ED4EA38" w14:textId="77777777" w:rsidR="00F42B05" w:rsidRPr="001C6DAE" w:rsidRDefault="00F42B05" w:rsidP="00D84B94">
            <w:pPr>
              <w:pStyle w:val="CETBodytext"/>
              <w:ind w:right="-1"/>
              <w:rPr>
                <w:lang w:val="en-GB"/>
              </w:rPr>
            </w:pPr>
            <w:r w:rsidRPr="001C6DAE">
              <w:rPr>
                <w:lang w:val="en-GB"/>
              </w:rPr>
              <w:t>0.9440</w:t>
            </w:r>
          </w:p>
        </w:tc>
      </w:tr>
      <w:tr w:rsidR="00F42B05" w:rsidRPr="001C6DAE" w14:paraId="39F1D66F" w14:textId="77777777" w:rsidTr="00651986">
        <w:tc>
          <w:tcPr>
            <w:tcW w:w="1134" w:type="dxa"/>
            <w:shd w:val="clear" w:color="auto" w:fill="FFFFFF"/>
          </w:tcPr>
          <w:p w14:paraId="226659D9" w14:textId="77777777" w:rsidR="00F42B05" w:rsidRPr="001C6DAE" w:rsidRDefault="00F42B05" w:rsidP="00D84B94">
            <w:pPr>
              <w:pStyle w:val="CETBodytext"/>
              <w:rPr>
                <w:lang w:val="en-GB"/>
              </w:rPr>
            </w:pPr>
            <w:r w:rsidRPr="001C6DAE">
              <w:rPr>
                <w:lang w:val="en-GB"/>
              </w:rPr>
              <w:t xml:space="preserve">40 °C </w:t>
            </w:r>
          </w:p>
        </w:tc>
        <w:tc>
          <w:tcPr>
            <w:tcW w:w="1134" w:type="dxa"/>
            <w:shd w:val="clear" w:color="auto" w:fill="FFFFFF"/>
            <w:vAlign w:val="center"/>
          </w:tcPr>
          <w:p w14:paraId="4B919360" w14:textId="77777777" w:rsidR="00F42B05" w:rsidRPr="001C6DAE" w:rsidRDefault="00F42B05" w:rsidP="00D84B94">
            <w:pPr>
              <w:pStyle w:val="CETBodytext"/>
              <w:rPr>
                <w:lang w:val="en-GB"/>
              </w:rPr>
            </w:pPr>
            <w:r w:rsidRPr="001C6DAE">
              <w:rPr>
                <w:lang w:val="en-GB"/>
              </w:rPr>
              <w:t>Experimental</w:t>
            </w:r>
          </w:p>
        </w:tc>
        <w:tc>
          <w:tcPr>
            <w:tcW w:w="1560" w:type="dxa"/>
            <w:shd w:val="clear" w:color="auto" w:fill="FFFFFF"/>
            <w:vAlign w:val="center"/>
          </w:tcPr>
          <w:p w14:paraId="2ACFB6E6" w14:textId="77777777" w:rsidR="00F42B05" w:rsidRPr="001C6DAE" w:rsidRDefault="00F42B05" w:rsidP="00D84B94">
            <w:pPr>
              <w:pStyle w:val="CETBodytext"/>
              <w:rPr>
                <w:lang w:val="en-GB"/>
              </w:rPr>
            </w:pPr>
            <w:r w:rsidRPr="001C6DAE">
              <w:rPr>
                <w:lang w:val="en-GB"/>
              </w:rPr>
              <w:t>--</w:t>
            </w:r>
          </w:p>
        </w:tc>
        <w:tc>
          <w:tcPr>
            <w:tcW w:w="1701" w:type="dxa"/>
            <w:shd w:val="clear" w:color="auto" w:fill="FFFFFF"/>
          </w:tcPr>
          <w:p w14:paraId="7DA8540B" w14:textId="77777777" w:rsidR="00F42B05" w:rsidRPr="001C6DAE" w:rsidRDefault="00F42B05" w:rsidP="00D84B94">
            <w:pPr>
              <w:pStyle w:val="CETBodytext"/>
              <w:ind w:right="-1"/>
              <w:rPr>
                <w:lang w:val="en-GB"/>
              </w:rPr>
            </w:pPr>
            <w:r w:rsidRPr="001C6DAE">
              <w:rPr>
                <w:lang w:val="en-GB"/>
              </w:rPr>
              <w:t>--</w:t>
            </w:r>
          </w:p>
        </w:tc>
        <w:tc>
          <w:tcPr>
            <w:tcW w:w="1134" w:type="dxa"/>
            <w:shd w:val="clear" w:color="auto" w:fill="FFFFFF"/>
            <w:vAlign w:val="center"/>
          </w:tcPr>
          <w:p w14:paraId="3DAD1691" w14:textId="77777777" w:rsidR="00F42B05" w:rsidRPr="001C6DAE" w:rsidRDefault="00F42B05" w:rsidP="00D84B94">
            <w:pPr>
              <w:pStyle w:val="CETBodytext"/>
              <w:ind w:right="-1"/>
              <w:rPr>
                <w:lang w:val="en-GB"/>
              </w:rPr>
            </w:pPr>
            <w:r w:rsidRPr="001C6DAE">
              <w:rPr>
                <w:lang w:val="en-GB"/>
              </w:rPr>
              <w:t>223.04</w:t>
            </w:r>
          </w:p>
        </w:tc>
        <w:tc>
          <w:tcPr>
            <w:tcW w:w="1134" w:type="dxa"/>
            <w:shd w:val="clear" w:color="auto" w:fill="FFFFFF"/>
          </w:tcPr>
          <w:p w14:paraId="34479A29" w14:textId="77777777" w:rsidR="00F42B05" w:rsidRPr="001C6DAE" w:rsidRDefault="00F42B05" w:rsidP="00D84B94">
            <w:pPr>
              <w:pStyle w:val="CETBodytext"/>
              <w:ind w:right="-1"/>
              <w:rPr>
                <w:lang w:val="en-GB"/>
              </w:rPr>
            </w:pPr>
            <w:r w:rsidRPr="001C6DAE">
              <w:rPr>
                <w:lang w:val="en-GB"/>
              </w:rPr>
              <w:t>--</w:t>
            </w:r>
          </w:p>
        </w:tc>
      </w:tr>
      <w:tr w:rsidR="00F42B05" w:rsidRPr="001C6DAE" w14:paraId="5394D8D1" w14:textId="77777777" w:rsidTr="00651986">
        <w:tc>
          <w:tcPr>
            <w:tcW w:w="1134" w:type="dxa"/>
            <w:shd w:val="clear" w:color="auto" w:fill="FFFFFF"/>
          </w:tcPr>
          <w:p w14:paraId="0DBC3B5E" w14:textId="77777777" w:rsidR="00F42B05" w:rsidRPr="001C6DAE" w:rsidRDefault="00F42B05" w:rsidP="00D84B94">
            <w:pPr>
              <w:pStyle w:val="CETBodytext"/>
              <w:rPr>
                <w:lang w:val="en-GB"/>
              </w:rPr>
            </w:pPr>
          </w:p>
        </w:tc>
        <w:tc>
          <w:tcPr>
            <w:tcW w:w="1134" w:type="dxa"/>
            <w:shd w:val="clear" w:color="auto" w:fill="FFFFFF"/>
            <w:vAlign w:val="center"/>
          </w:tcPr>
          <w:p w14:paraId="093E2CDD" w14:textId="77777777" w:rsidR="00F42B05" w:rsidRPr="001C6DAE" w:rsidRDefault="00F42B05" w:rsidP="00D84B94">
            <w:pPr>
              <w:pStyle w:val="CETBodytext"/>
              <w:rPr>
                <w:lang w:val="en-GB"/>
              </w:rPr>
            </w:pPr>
            <w:r w:rsidRPr="001C6DAE">
              <w:rPr>
                <w:lang w:val="en-GB"/>
              </w:rPr>
              <w:t>1</w:t>
            </w:r>
            <w:r w:rsidRPr="001C6DAE">
              <w:rPr>
                <w:vertAlign w:val="superscript"/>
                <w:lang w:val="en-GB"/>
              </w:rPr>
              <w:t>(a)</w:t>
            </w:r>
          </w:p>
        </w:tc>
        <w:tc>
          <w:tcPr>
            <w:tcW w:w="1560" w:type="dxa"/>
            <w:shd w:val="clear" w:color="auto" w:fill="FFFFFF"/>
            <w:vAlign w:val="center"/>
          </w:tcPr>
          <w:p w14:paraId="314BD81A" w14:textId="77777777" w:rsidR="00F42B05" w:rsidRPr="001C6DAE" w:rsidRDefault="00F42B05" w:rsidP="00D84B94">
            <w:pPr>
              <w:pStyle w:val="CETBodytext"/>
              <w:rPr>
                <w:lang w:val="en-GB"/>
              </w:rPr>
            </w:pPr>
            <w:r w:rsidRPr="001C6DAE">
              <w:rPr>
                <w:lang w:val="en-GB"/>
              </w:rPr>
              <w:t>0,1438</w:t>
            </w:r>
          </w:p>
        </w:tc>
        <w:tc>
          <w:tcPr>
            <w:tcW w:w="1701" w:type="dxa"/>
            <w:shd w:val="clear" w:color="auto" w:fill="FFFFFF"/>
          </w:tcPr>
          <w:p w14:paraId="45AE31AA" w14:textId="77777777" w:rsidR="00F42B05" w:rsidRPr="001C6DAE" w:rsidRDefault="00F42B05" w:rsidP="00D84B94">
            <w:pPr>
              <w:pStyle w:val="CETBodytext"/>
              <w:ind w:right="-1"/>
              <w:rPr>
                <w:lang w:val="en-GB"/>
              </w:rPr>
            </w:pPr>
            <w:r w:rsidRPr="001C6DAE">
              <w:rPr>
                <w:lang w:val="en-GB"/>
              </w:rPr>
              <w:t>--</w:t>
            </w:r>
          </w:p>
        </w:tc>
        <w:tc>
          <w:tcPr>
            <w:tcW w:w="1134" w:type="dxa"/>
            <w:shd w:val="clear" w:color="auto" w:fill="FFFFFF"/>
            <w:vAlign w:val="center"/>
          </w:tcPr>
          <w:p w14:paraId="46B426E4" w14:textId="77777777" w:rsidR="00F42B05" w:rsidRPr="001C6DAE" w:rsidRDefault="00F42B05" w:rsidP="00D84B94">
            <w:pPr>
              <w:pStyle w:val="CETBodytext"/>
              <w:ind w:right="-1"/>
              <w:rPr>
                <w:lang w:val="en-GB"/>
              </w:rPr>
            </w:pPr>
            <w:r w:rsidRPr="001C6DAE">
              <w:rPr>
                <w:lang w:val="en-GB"/>
              </w:rPr>
              <w:t>221.7</w:t>
            </w:r>
          </w:p>
        </w:tc>
        <w:tc>
          <w:tcPr>
            <w:tcW w:w="1134" w:type="dxa"/>
            <w:shd w:val="clear" w:color="auto" w:fill="FFFFFF"/>
          </w:tcPr>
          <w:p w14:paraId="0844D465" w14:textId="77777777" w:rsidR="00F42B05" w:rsidRPr="001C6DAE" w:rsidRDefault="00F42B05" w:rsidP="00D84B94">
            <w:pPr>
              <w:pStyle w:val="CETBodytext"/>
              <w:ind w:right="-1"/>
              <w:rPr>
                <w:lang w:val="en-GB"/>
              </w:rPr>
            </w:pPr>
            <w:r w:rsidRPr="001C6DAE">
              <w:rPr>
                <w:lang w:val="en-GB"/>
              </w:rPr>
              <w:t>0.9897</w:t>
            </w:r>
          </w:p>
        </w:tc>
      </w:tr>
      <w:tr w:rsidR="00F42B05" w:rsidRPr="001C6DAE" w14:paraId="55DF2F51" w14:textId="77777777" w:rsidTr="00651986">
        <w:tc>
          <w:tcPr>
            <w:tcW w:w="1134" w:type="dxa"/>
            <w:shd w:val="clear" w:color="auto" w:fill="FFFFFF"/>
          </w:tcPr>
          <w:p w14:paraId="104EB7A0" w14:textId="77777777" w:rsidR="00F42B05" w:rsidRPr="001C6DAE" w:rsidRDefault="00F42B05" w:rsidP="00D84B94">
            <w:pPr>
              <w:pStyle w:val="CETBodytext"/>
              <w:ind w:right="-1"/>
              <w:rPr>
                <w:rFonts w:cs="Arial"/>
                <w:szCs w:val="18"/>
                <w:lang w:val="en-GB"/>
              </w:rPr>
            </w:pPr>
          </w:p>
        </w:tc>
        <w:tc>
          <w:tcPr>
            <w:tcW w:w="1134" w:type="dxa"/>
            <w:shd w:val="clear" w:color="auto" w:fill="FFFFFF"/>
            <w:vAlign w:val="center"/>
          </w:tcPr>
          <w:p w14:paraId="36E7259B" w14:textId="77777777" w:rsidR="00F42B05" w:rsidRPr="001C6DAE" w:rsidRDefault="00F42B05" w:rsidP="00D84B94">
            <w:pPr>
              <w:pStyle w:val="CETBodytext"/>
              <w:rPr>
                <w:lang w:val="en-GB"/>
              </w:rPr>
            </w:pPr>
            <w:r w:rsidRPr="001C6DAE">
              <w:rPr>
                <w:lang w:val="en-GB"/>
              </w:rPr>
              <w:t>2</w:t>
            </w:r>
            <w:r w:rsidRPr="001C6DAE">
              <w:rPr>
                <w:vertAlign w:val="superscript"/>
                <w:lang w:val="en-GB"/>
              </w:rPr>
              <w:t>(b)</w:t>
            </w:r>
          </w:p>
        </w:tc>
        <w:tc>
          <w:tcPr>
            <w:tcW w:w="1560" w:type="dxa"/>
            <w:shd w:val="clear" w:color="auto" w:fill="FFFFFF"/>
            <w:vAlign w:val="center"/>
          </w:tcPr>
          <w:p w14:paraId="5C9A72CA" w14:textId="77777777" w:rsidR="00F42B05" w:rsidRPr="001C6DAE" w:rsidRDefault="00F42B05" w:rsidP="00D84B94">
            <w:pPr>
              <w:pStyle w:val="CETBodytext"/>
              <w:rPr>
                <w:lang w:val="en-GB"/>
              </w:rPr>
            </w:pPr>
            <w:r w:rsidRPr="001C6DAE">
              <w:rPr>
                <w:lang w:val="en-GB"/>
              </w:rPr>
              <w:t>--</w:t>
            </w:r>
          </w:p>
        </w:tc>
        <w:tc>
          <w:tcPr>
            <w:tcW w:w="1701" w:type="dxa"/>
            <w:shd w:val="clear" w:color="auto" w:fill="FFFFFF"/>
          </w:tcPr>
          <w:p w14:paraId="2C32942A" w14:textId="77777777" w:rsidR="00F42B05" w:rsidRPr="001C6DAE" w:rsidRDefault="00F42B05" w:rsidP="00D84B94">
            <w:pPr>
              <w:pStyle w:val="CETBodytext"/>
              <w:rPr>
                <w:lang w:val="en-GB"/>
              </w:rPr>
            </w:pPr>
            <w:r w:rsidRPr="001C6DAE">
              <w:rPr>
                <w:lang w:val="en-GB"/>
              </w:rPr>
              <w:t>(8,4 ± 1,2).10</w:t>
            </w:r>
            <w:r w:rsidRPr="001C6DAE">
              <w:rPr>
                <w:vertAlign w:val="superscript"/>
                <w:lang w:val="en-GB"/>
              </w:rPr>
              <w:t>-4</w:t>
            </w:r>
          </w:p>
        </w:tc>
        <w:tc>
          <w:tcPr>
            <w:tcW w:w="1134" w:type="dxa"/>
            <w:shd w:val="clear" w:color="auto" w:fill="FFFFFF"/>
            <w:vAlign w:val="center"/>
          </w:tcPr>
          <w:p w14:paraId="2B6ACE80" w14:textId="77777777" w:rsidR="00F42B05" w:rsidRPr="001C6DAE" w:rsidRDefault="00F42B05" w:rsidP="00D84B94">
            <w:pPr>
              <w:pStyle w:val="CETBodytext"/>
              <w:rPr>
                <w:lang w:val="en-GB"/>
              </w:rPr>
            </w:pPr>
            <w:r w:rsidRPr="001C6DAE">
              <w:rPr>
                <w:lang w:val="en-GB"/>
              </w:rPr>
              <w:t>247.7</w:t>
            </w:r>
          </w:p>
        </w:tc>
        <w:tc>
          <w:tcPr>
            <w:tcW w:w="1134" w:type="dxa"/>
            <w:shd w:val="clear" w:color="auto" w:fill="FFFFFF"/>
          </w:tcPr>
          <w:p w14:paraId="3B80C3AA" w14:textId="77777777" w:rsidR="00F42B05" w:rsidRPr="001C6DAE" w:rsidRDefault="00F42B05" w:rsidP="00D84B94">
            <w:pPr>
              <w:pStyle w:val="CETBodytext"/>
              <w:rPr>
                <w:lang w:val="en-GB"/>
              </w:rPr>
            </w:pPr>
            <w:r w:rsidRPr="001C6DAE">
              <w:rPr>
                <w:lang w:val="en-GB"/>
              </w:rPr>
              <w:t>0.9963</w:t>
            </w:r>
          </w:p>
        </w:tc>
      </w:tr>
    </w:tbl>
    <w:p w14:paraId="6E27191B" w14:textId="77777777" w:rsidR="00FE5323" w:rsidRPr="001C6DAE" w:rsidRDefault="00FE5323" w:rsidP="00D84B94">
      <w:pPr>
        <w:rPr>
          <w:i/>
        </w:rPr>
      </w:pPr>
      <w:r w:rsidRPr="001C6DAE">
        <w:rPr>
          <w:i/>
        </w:rPr>
        <w:t>(a) pseudo-first order and (b) pseudo-second order</w:t>
      </w:r>
    </w:p>
    <w:p w14:paraId="6CFB031D" w14:textId="77777777" w:rsidR="00FE3309" w:rsidRPr="001C6DAE" w:rsidRDefault="00FE3309" w:rsidP="001B75B3">
      <w:pPr>
        <w:pStyle w:val="CETBodytext"/>
        <w:rPr>
          <w:lang w:val="en-GB"/>
        </w:rPr>
      </w:pPr>
    </w:p>
    <w:p w14:paraId="64FD4445" w14:textId="053276F2" w:rsidR="008A7675" w:rsidRPr="001C6DAE" w:rsidRDefault="001B75B3" w:rsidP="001B75B3">
      <w:pPr>
        <w:pStyle w:val="CETBodytext"/>
        <w:rPr>
          <w:lang w:val="en-GB"/>
        </w:rPr>
      </w:pPr>
      <w:r w:rsidRPr="001C6DAE">
        <w:rPr>
          <w:lang w:val="en-GB"/>
        </w:rPr>
        <w:t>Based on the values presented for the adjustment coefficients (R</w:t>
      </w:r>
      <w:r w:rsidRPr="001C6DAE">
        <w:rPr>
          <w:vertAlign w:val="superscript"/>
          <w:lang w:val="en-GB"/>
        </w:rPr>
        <w:t>2</w:t>
      </w:r>
      <w:r w:rsidRPr="001C6DAE">
        <w:rPr>
          <w:lang w:val="en-GB"/>
        </w:rPr>
        <w:t xml:space="preserve">) (Table 2), </w:t>
      </w:r>
      <w:r w:rsidR="00482118">
        <w:rPr>
          <w:lang w:val="en-GB"/>
        </w:rPr>
        <w:t xml:space="preserve">it was </w:t>
      </w:r>
      <w:r w:rsidR="00FE3309" w:rsidRPr="001C6DAE">
        <w:rPr>
          <w:lang w:val="en-GB"/>
        </w:rPr>
        <w:t xml:space="preserve">identified </w:t>
      </w:r>
      <w:r w:rsidRPr="001C6DAE">
        <w:rPr>
          <w:lang w:val="en-GB"/>
        </w:rPr>
        <w:t xml:space="preserve">the mathematical equation that best described the proposed separation process. The pseudo-second order model </w:t>
      </w:r>
      <w:r w:rsidR="00482118">
        <w:rPr>
          <w:lang w:val="en-GB"/>
        </w:rPr>
        <w:t xml:space="preserve">presented the best </w:t>
      </w:r>
      <w:r w:rsidRPr="001C6DAE">
        <w:rPr>
          <w:lang w:val="en-GB"/>
        </w:rPr>
        <w:t>adjustment (</w:t>
      </w:r>
      <w:r w:rsidR="00482118">
        <w:rPr>
          <w:lang w:val="en-GB"/>
        </w:rPr>
        <w:t xml:space="preserve">greater </w:t>
      </w:r>
      <w:r w:rsidRPr="001C6DAE">
        <w:rPr>
          <w:lang w:val="en-GB"/>
        </w:rPr>
        <w:t>R</w:t>
      </w:r>
      <w:r w:rsidRPr="001C6DAE">
        <w:rPr>
          <w:vertAlign w:val="superscript"/>
          <w:lang w:val="en-GB"/>
        </w:rPr>
        <w:t>2</w:t>
      </w:r>
      <w:r w:rsidRPr="001C6DAE">
        <w:rPr>
          <w:lang w:val="en-GB"/>
        </w:rPr>
        <w:t>)</w:t>
      </w:r>
      <w:r w:rsidR="008C0EC6" w:rsidRPr="001C6DAE">
        <w:rPr>
          <w:lang w:val="en-GB"/>
        </w:rPr>
        <w:t xml:space="preserve"> </w:t>
      </w:r>
      <w:r w:rsidR="00482118">
        <w:rPr>
          <w:lang w:val="en-GB"/>
        </w:rPr>
        <w:t xml:space="preserve">to the </w:t>
      </w:r>
      <w:r w:rsidRPr="001C6DAE">
        <w:rPr>
          <w:lang w:val="en-GB"/>
        </w:rPr>
        <w:t xml:space="preserve">nonlinear experimental data for </w:t>
      </w:r>
      <w:proofErr w:type="gramStart"/>
      <w:r w:rsidRPr="001C6DAE">
        <w:rPr>
          <w:lang w:val="en-GB"/>
        </w:rPr>
        <w:t>poly(</w:t>
      </w:r>
      <w:proofErr w:type="gramEnd"/>
      <w:r w:rsidRPr="001C6DAE">
        <w:rPr>
          <w:lang w:val="en-GB"/>
        </w:rPr>
        <w:t xml:space="preserve">AAm-co-AC) hydrogel at 25 and 40 ºC. </w:t>
      </w:r>
      <w:r w:rsidRPr="001C6DAE">
        <w:rPr>
          <w:lang w:val="en-GB"/>
        </w:rPr>
        <w:lastRenderedPageBreak/>
        <w:t>Notably, at 40 ºC higher values of R</w:t>
      </w:r>
      <w:r w:rsidRPr="001C6DAE">
        <w:rPr>
          <w:vertAlign w:val="superscript"/>
          <w:lang w:val="en-GB"/>
        </w:rPr>
        <w:t>2</w:t>
      </w:r>
      <w:r w:rsidRPr="001C6DAE">
        <w:rPr>
          <w:lang w:val="en-GB"/>
        </w:rPr>
        <w:t xml:space="preserve"> and maximum water removal capacity (</w:t>
      </w:r>
      <w:proofErr w:type="spellStart"/>
      <w:r w:rsidRPr="001C6DAE">
        <w:rPr>
          <w:lang w:val="en-GB"/>
        </w:rPr>
        <w:t>q</w:t>
      </w:r>
      <w:r w:rsidRPr="001C6DAE">
        <w:rPr>
          <w:vertAlign w:val="subscript"/>
          <w:lang w:val="en-GB"/>
        </w:rPr>
        <w:t>e</w:t>
      </w:r>
      <w:proofErr w:type="spellEnd"/>
      <w:r w:rsidRPr="001C6DAE">
        <w:rPr>
          <w:lang w:val="en-GB"/>
        </w:rPr>
        <w:t>) were obtained.</w:t>
      </w:r>
      <w:r w:rsidR="008A7675">
        <w:rPr>
          <w:lang w:val="en-GB"/>
        </w:rPr>
        <w:t xml:space="preserve"> If adsorption increases with increasing temperature</w:t>
      </w:r>
      <w:r w:rsidR="00D93BDD">
        <w:rPr>
          <w:lang w:val="en-GB"/>
        </w:rPr>
        <w:t>, so,</w:t>
      </w:r>
      <w:r w:rsidR="008A7675">
        <w:rPr>
          <w:lang w:val="en-GB"/>
        </w:rPr>
        <w:t xml:space="preserve"> the system is better fitted by pseudo-second order</w:t>
      </w:r>
      <w:r w:rsidR="00D93BDD">
        <w:rPr>
          <w:lang w:val="en-GB"/>
        </w:rPr>
        <w:t>. This conclusion</w:t>
      </w:r>
      <w:r w:rsidR="008A7675">
        <w:rPr>
          <w:lang w:val="en-GB"/>
        </w:rPr>
        <w:t xml:space="preserve"> may be indicative of </w:t>
      </w:r>
      <w:r w:rsidR="008A7675" w:rsidRPr="008A7675">
        <w:rPr>
          <w:lang w:val="en-GB"/>
        </w:rPr>
        <w:t>chemisorption</w:t>
      </w:r>
      <w:r w:rsidR="00A66B74">
        <w:rPr>
          <w:lang w:val="en-GB"/>
        </w:rPr>
        <w:t xml:space="preserve">. </w:t>
      </w:r>
      <w:r w:rsidR="008A7675">
        <w:rPr>
          <w:lang w:val="en-GB"/>
        </w:rPr>
        <w:t xml:space="preserve"> </w:t>
      </w:r>
    </w:p>
    <w:p w14:paraId="1EDEA4EF" w14:textId="77777777" w:rsidR="001B75B3" w:rsidRPr="001C6DAE" w:rsidRDefault="001B75B3" w:rsidP="001B75B3">
      <w:pPr>
        <w:pStyle w:val="CETHeading1"/>
        <w:rPr>
          <w:lang w:val="en-GB"/>
        </w:rPr>
      </w:pPr>
      <w:r w:rsidRPr="001C6DAE">
        <w:rPr>
          <w:lang w:val="en-GB"/>
        </w:rPr>
        <w:t>Conclusion</w:t>
      </w:r>
    </w:p>
    <w:p w14:paraId="5E6A17B3" w14:textId="355ACEF5" w:rsidR="001B75B3" w:rsidRPr="001C6DAE" w:rsidRDefault="00482118" w:rsidP="001B75B3">
      <w:pPr>
        <w:pStyle w:val="CETBodytext"/>
      </w:pPr>
      <w:proofErr w:type="gramStart"/>
      <w:r>
        <w:t>P</w:t>
      </w:r>
      <w:r w:rsidR="001B75B3" w:rsidRPr="001C6DAE">
        <w:t>oly(</w:t>
      </w:r>
      <w:proofErr w:type="spellStart"/>
      <w:proofErr w:type="gramEnd"/>
      <w:r w:rsidR="001B75B3" w:rsidRPr="001C6DAE">
        <w:t>AAm</w:t>
      </w:r>
      <w:proofErr w:type="spellEnd"/>
      <w:r w:rsidR="001B75B3" w:rsidRPr="001C6DAE">
        <w:t xml:space="preserve">-co-AC) hydrogel showed efficiency in removing water </w:t>
      </w:r>
      <w:r>
        <w:t>from</w:t>
      </w:r>
      <w:r w:rsidR="001B75B3" w:rsidRPr="001C6DAE">
        <w:t xml:space="preserve"> commercial biodiesel. The hydrogel had its capacity maximized when the temperature </w:t>
      </w:r>
      <w:r>
        <w:t xml:space="preserve">was </w:t>
      </w:r>
      <w:r w:rsidR="001B75B3" w:rsidRPr="001C6DAE">
        <w:t xml:space="preserve">increased from 25 °C to 40 °C, demonstrating its significant effect on water retention by the hydrogel. </w:t>
      </w:r>
      <w:r w:rsidR="00017615" w:rsidRPr="001C6DAE">
        <w:t xml:space="preserve">The longest contact time </w:t>
      </w:r>
      <w:r w:rsidR="00EB283D">
        <w:t>led to</w:t>
      </w:r>
      <w:r w:rsidR="00017615" w:rsidRPr="001C6DAE">
        <w:t xml:space="preserve"> the highest removal percentages, so in </w:t>
      </w:r>
      <w:r w:rsidR="001B75B3" w:rsidRPr="001C6DAE">
        <w:t>72 hours</w:t>
      </w:r>
      <w:r w:rsidR="00017615" w:rsidRPr="001C6DAE">
        <w:t xml:space="preserve">, </w:t>
      </w:r>
      <w:r w:rsidR="001B75B3" w:rsidRPr="001C6DAE">
        <w:t xml:space="preserve">62% (25 °C) and 74% (40 °C) of water were adsorbed. The adsorption kinetics </w:t>
      </w:r>
      <w:r w:rsidR="001B75B3" w:rsidRPr="008A52B5">
        <w:t>of the system followed the pseudo-second order model, so the rate limiting step was chemisorption. The concentration</w:t>
      </w:r>
      <w:r w:rsidR="001B75B3" w:rsidRPr="001C6DAE">
        <w:t xml:space="preserve"> of water remaining in biodiesel after treatment at 40 °C meets the specification </w:t>
      </w:r>
      <w:r>
        <w:t>defined</w:t>
      </w:r>
      <w:r w:rsidRPr="001C6DAE">
        <w:t xml:space="preserve"> </w:t>
      </w:r>
      <w:r w:rsidR="001B75B3" w:rsidRPr="001C6DAE">
        <w:t xml:space="preserve">by the ANP following </w:t>
      </w:r>
      <w:r w:rsidR="00DA51B8" w:rsidRPr="001C6DAE">
        <w:t>ENISO 12937</w:t>
      </w:r>
      <w:r w:rsidR="001B75B3" w:rsidRPr="001C6DAE">
        <w:t xml:space="preserve">. </w:t>
      </w:r>
      <w:r w:rsidR="00FE3309" w:rsidRPr="001C6DAE">
        <w:t>It</w:t>
      </w:r>
      <w:r w:rsidR="001B75B3" w:rsidRPr="001C6DAE">
        <w:t xml:space="preserve"> means that the final water content was less</w:t>
      </w:r>
      <w:r w:rsidR="00EB283D">
        <w:t xml:space="preserve">er </w:t>
      </w:r>
      <w:r w:rsidR="001B75B3" w:rsidRPr="001C6DAE">
        <w:t xml:space="preserve">than 350 ppm, corresponding to </w:t>
      </w:r>
      <w:r w:rsidR="00EB283D">
        <w:t>approximately</w:t>
      </w:r>
      <w:r w:rsidR="001B75B3" w:rsidRPr="001C6DAE">
        <w:t xml:space="preserve"> 320 ppm. </w:t>
      </w:r>
    </w:p>
    <w:p w14:paraId="271C14AE" w14:textId="77777777" w:rsidR="001B75B3" w:rsidRPr="001C6DAE" w:rsidRDefault="001B75B3" w:rsidP="0044262B">
      <w:pPr>
        <w:pStyle w:val="CETAcknowledgementstitle"/>
      </w:pPr>
      <w:r w:rsidRPr="001C6DAE">
        <w:t>Acknowledgments</w:t>
      </w:r>
    </w:p>
    <w:p w14:paraId="7B522B34" w14:textId="7F6D236C" w:rsidR="001B75B3" w:rsidRPr="001C6DAE" w:rsidRDefault="001B75B3" w:rsidP="0044262B">
      <w:pPr>
        <w:pStyle w:val="CETBodytext"/>
        <w:rPr>
          <w:lang w:val="en-GB"/>
        </w:rPr>
      </w:pPr>
      <w:r w:rsidRPr="001C6DAE">
        <w:rPr>
          <w:lang w:val="en-GB"/>
        </w:rPr>
        <w:t>To the São Paulo Research Foundation (FAPESP) for financial support through the research project – processes #2015/20630-4, #2017/12120-1</w:t>
      </w:r>
      <w:r w:rsidR="00FE3309" w:rsidRPr="001C6DAE">
        <w:rPr>
          <w:lang w:val="en-GB"/>
        </w:rPr>
        <w:t>,</w:t>
      </w:r>
      <w:r w:rsidRPr="001C6DAE">
        <w:rPr>
          <w:lang w:val="en-GB"/>
        </w:rPr>
        <w:t xml:space="preserve"> #2018/16269-2</w:t>
      </w:r>
      <w:r w:rsidR="00534EFE">
        <w:rPr>
          <w:lang w:val="en-GB"/>
        </w:rPr>
        <w:t xml:space="preserve"> and</w:t>
      </w:r>
      <w:r w:rsidR="00373EBF">
        <w:rPr>
          <w:lang w:val="en-GB"/>
        </w:rPr>
        <w:t xml:space="preserve"> #2021/03472-7</w:t>
      </w:r>
      <w:r w:rsidRPr="001C6DAE">
        <w:rPr>
          <w:lang w:val="en-GB"/>
        </w:rPr>
        <w:t xml:space="preserve">. </w:t>
      </w:r>
    </w:p>
    <w:p w14:paraId="1A505B7C" w14:textId="77777777" w:rsidR="00600535" w:rsidRPr="001C6DAE" w:rsidRDefault="00600535" w:rsidP="00600535">
      <w:pPr>
        <w:pStyle w:val="CETReference"/>
      </w:pPr>
      <w:r w:rsidRPr="001C6DAE">
        <w:t>References</w:t>
      </w:r>
    </w:p>
    <w:p w14:paraId="3BB5BAAD" w14:textId="56CD7A9E" w:rsidR="005F16BE" w:rsidRPr="005F16BE" w:rsidRDefault="005F16BE" w:rsidP="005550A0">
      <w:pPr>
        <w:pStyle w:val="CETReferencetext"/>
      </w:pPr>
      <w:proofErr w:type="spellStart"/>
      <w:r w:rsidRPr="005F16BE">
        <w:t>Aliprandini</w:t>
      </w:r>
      <w:proofErr w:type="spellEnd"/>
      <w:r w:rsidRPr="005F16BE">
        <w:t xml:space="preserve"> P., </w:t>
      </w:r>
      <w:proofErr w:type="spellStart"/>
      <w:r w:rsidRPr="005F16BE">
        <w:t>Veiga</w:t>
      </w:r>
      <w:proofErr w:type="spellEnd"/>
      <w:r w:rsidRPr="005F16BE">
        <w:t xml:space="preserve"> M.M., Marshall B.G., </w:t>
      </w:r>
      <w:proofErr w:type="spellStart"/>
      <w:r w:rsidRPr="005F16BE">
        <w:t>Scarazzato</w:t>
      </w:r>
      <w:proofErr w:type="spellEnd"/>
      <w:r w:rsidRPr="005F16BE">
        <w:t xml:space="preserve"> T., Espinosa D.C.R</w:t>
      </w:r>
      <w:r>
        <w:t xml:space="preserve">., 2020, </w:t>
      </w:r>
      <w:r w:rsidRPr="005F16BE">
        <w:t>Investigation of mercury cyanide adsorption from synthetic wastewater aqueous solution on granular activated carbon</w:t>
      </w:r>
      <w:r>
        <w:t xml:space="preserve">, </w:t>
      </w:r>
      <w:r w:rsidRPr="005F16BE">
        <w:t>Journal of Water Process Engineering</w:t>
      </w:r>
      <w:r>
        <w:t xml:space="preserve">, 34, 101154. </w:t>
      </w:r>
    </w:p>
    <w:p w14:paraId="3B48F688" w14:textId="35313472" w:rsidR="005550A0" w:rsidRPr="001C6DAE" w:rsidRDefault="005550A0" w:rsidP="005550A0">
      <w:pPr>
        <w:pStyle w:val="CETReferencetext"/>
      </w:pPr>
      <w:r w:rsidRPr="001C6DAE">
        <w:t>ANP, National Oil Agency. Resolution n° 45 of 25.8.2014 &lt;legislacao.anp.gov.br/?path=legislacao-anp/resol-anp/2014/agosto&amp;item=ranp-45-2014&gt; accessed 01.02.2019.</w:t>
      </w:r>
    </w:p>
    <w:p w14:paraId="79268769" w14:textId="77777777" w:rsidR="005550A0" w:rsidRPr="001C6DAE" w:rsidRDefault="005550A0" w:rsidP="005550A0">
      <w:pPr>
        <w:pStyle w:val="CETReferencetext"/>
      </w:pPr>
      <w:r w:rsidRPr="001C6DAE">
        <w:t xml:space="preserve">ASTM D6304 (2014), Standard Test Method for Determination of Water in Petroleum Products, Lubricating Oils, and Additives by Coulometric Karl Fischer Titration, ASTM International, West Conshohocken, PA, 2016. </w:t>
      </w:r>
    </w:p>
    <w:p w14:paraId="7CEDC67B" w14:textId="0206AD92" w:rsidR="00E51686" w:rsidRPr="00E51686" w:rsidRDefault="00E51686" w:rsidP="005550A0">
      <w:pPr>
        <w:pStyle w:val="CETReferencetext"/>
        <w:rPr>
          <w:lang w:val="en-US"/>
        </w:rPr>
      </w:pPr>
      <w:proofErr w:type="spellStart"/>
      <w:r w:rsidRPr="00E51686">
        <w:rPr>
          <w:lang w:val="en-US"/>
        </w:rPr>
        <w:t>Dourado</w:t>
      </w:r>
      <w:proofErr w:type="spellEnd"/>
      <w:r w:rsidRPr="00E51686">
        <w:rPr>
          <w:lang w:val="en-US"/>
        </w:rPr>
        <w:t xml:space="preserve"> M.D.L., </w:t>
      </w:r>
      <w:proofErr w:type="spellStart"/>
      <w:r w:rsidRPr="00E51686">
        <w:rPr>
          <w:lang w:val="en-US"/>
        </w:rPr>
        <w:t>Fregolente</w:t>
      </w:r>
      <w:proofErr w:type="spellEnd"/>
      <w:r w:rsidRPr="00E51686">
        <w:rPr>
          <w:lang w:val="en-US"/>
        </w:rPr>
        <w:t xml:space="preserve"> P.B.L., Wolf </w:t>
      </w:r>
      <w:proofErr w:type="spellStart"/>
      <w:r w:rsidRPr="00E51686">
        <w:rPr>
          <w:lang w:val="en-US"/>
        </w:rPr>
        <w:t>Maciel</w:t>
      </w:r>
      <w:proofErr w:type="spellEnd"/>
      <w:r w:rsidRPr="00E51686">
        <w:rPr>
          <w:lang w:val="en-US"/>
        </w:rPr>
        <w:t xml:space="preserve"> M.R., </w:t>
      </w:r>
      <w:proofErr w:type="spellStart"/>
      <w:r w:rsidRPr="00E51686">
        <w:rPr>
          <w:lang w:val="en-US"/>
        </w:rPr>
        <w:t>Fregolente</w:t>
      </w:r>
      <w:proofErr w:type="spellEnd"/>
      <w:r w:rsidRPr="00E51686">
        <w:rPr>
          <w:lang w:val="en-US"/>
        </w:rPr>
        <w:t xml:space="preserve"> L.V.,</w:t>
      </w:r>
      <w:r>
        <w:rPr>
          <w:lang w:val="en-US"/>
        </w:rPr>
        <w:t xml:space="preserve"> 2021,</w:t>
      </w:r>
      <w:r w:rsidRPr="00E51686">
        <w:rPr>
          <w:lang w:val="en-US"/>
        </w:rPr>
        <w:t xml:space="preserve"> Screening of hydrogels for water adsorption in biodiesel using crosslinked homopolymers</w:t>
      </w:r>
      <w:r>
        <w:rPr>
          <w:lang w:val="en-US"/>
        </w:rPr>
        <w:t xml:space="preserve">, </w:t>
      </w:r>
      <w:r w:rsidRPr="00E51686">
        <w:rPr>
          <w:lang w:val="en-US"/>
        </w:rPr>
        <w:t>Chemical Engineering Transactions</w:t>
      </w:r>
      <w:r>
        <w:rPr>
          <w:lang w:val="en-US"/>
        </w:rPr>
        <w:t>, 86, 1129-1134.</w:t>
      </w:r>
    </w:p>
    <w:p w14:paraId="3767A457" w14:textId="4BC5B568" w:rsidR="005550A0" w:rsidRDefault="005550A0" w:rsidP="005550A0">
      <w:pPr>
        <w:pStyle w:val="CETReferencetext"/>
      </w:pPr>
      <w:r w:rsidRPr="001C6DAE">
        <w:t xml:space="preserve">EN ISO 12937 (2000), I Petroleum products – Determination of water – Coulometric Karl Fischer titration method. </w:t>
      </w:r>
    </w:p>
    <w:p w14:paraId="7ACD3DF4" w14:textId="19078EA6" w:rsidR="008A52B5" w:rsidRDefault="001C3A20" w:rsidP="005550A0">
      <w:pPr>
        <w:pStyle w:val="CETReferencetext"/>
      </w:pPr>
      <w:r w:rsidRPr="001C3A20">
        <w:t>EN 14214 (2012), Automotive fuels -Fatty acid methyl esters (FAME) for diesel engines - Requirements and test methods.</w:t>
      </w:r>
    </w:p>
    <w:p w14:paraId="51F844E7" w14:textId="7258A506" w:rsidR="00F10DE0" w:rsidRPr="005F16BE" w:rsidRDefault="00F10DE0" w:rsidP="005550A0">
      <w:pPr>
        <w:pStyle w:val="CETReferencetext"/>
      </w:pPr>
      <w:r w:rsidRPr="00F10DE0">
        <w:t>Gonçalves</w:t>
      </w:r>
      <w:r>
        <w:t xml:space="preserve"> H.L.</w:t>
      </w:r>
      <w:r w:rsidRPr="00F10DE0">
        <w:t xml:space="preserve">, </w:t>
      </w:r>
      <w:proofErr w:type="spellStart"/>
      <w:r>
        <w:t>Fregolente</w:t>
      </w:r>
      <w:proofErr w:type="spellEnd"/>
      <w:r>
        <w:t xml:space="preserve"> P.B.</w:t>
      </w:r>
      <w:r w:rsidRPr="00F10DE0">
        <w:t>,</w:t>
      </w:r>
      <w:r>
        <w:t xml:space="preserve"> </w:t>
      </w:r>
      <w:r w:rsidRPr="00F10DE0">
        <w:t>W</w:t>
      </w:r>
      <w:r>
        <w:t xml:space="preserve">olf </w:t>
      </w:r>
      <w:proofErr w:type="spellStart"/>
      <w:r w:rsidRPr="00F10DE0">
        <w:t>Maciel</w:t>
      </w:r>
      <w:proofErr w:type="spellEnd"/>
      <w:r>
        <w:t xml:space="preserve"> M.R.</w:t>
      </w:r>
      <w:r w:rsidRPr="00F10DE0">
        <w:t xml:space="preserve">, </w:t>
      </w:r>
      <w:proofErr w:type="spellStart"/>
      <w:r w:rsidRPr="00F10DE0">
        <w:t>Fregolente</w:t>
      </w:r>
      <w:proofErr w:type="spellEnd"/>
      <w:r>
        <w:t xml:space="preserve"> L.V.</w:t>
      </w:r>
      <w:r w:rsidRPr="00F10DE0">
        <w:t>,</w:t>
      </w:r>
      <w:r w:rsidR="005076C5">
        <w:t xml:space="preserve"> 2020,</w:t>
      </w:r>
      <w:r w:rsidRPr="00F10DE0">
        <w:t xml:space="preserve"> Formulation of hydrogels for water </w:t>
      </w:r>
      <w:r w:rsidRPr="005F16BE">
        <w:t xml:space="preserve">removal from diesel and biodiesel, </w:t>
      </w:r>
      <w:r w:rsidR="005076C5" w:rsidRPr="005F16BE">
        <w:t xml:space="preserve">Separation Science and Technology, </w:t>
      </w:r>
      <w:r w:rsidRPr="005F16BE">
        <w:t>56</w:t>
      </w:r>
      <w:r w:rsidR="005076C5" w:rsidRPr="005F16BE">
        <w:t xml:space="preserve">, 02, 374-388. </w:t>
      </w:r>
    </w:p>
    <w:p w14:paraId="2AF77293" w14:textId="2B318E99" w:rsidR="005550A0" w:rsidRDefault="005550A0" w:rsidP="005550A0">
      <w:pPr>
        <w:pStyle w:val="CETReferencetext"/>
      </w:pPr>
      <w:proofErr w:type="spellStart"/>
      <w:r w:rsidRPr="005F16BE">
        <w:t>Ilaiyaraja</w:t>
      </w:r>
      <w:proofErr w:type="spellEnd"/>
      <w:r w:rsidRPr="005F16BE">
        <w:t xml:space="preserve">, P., Deb A.K.S., </w:t>
      </w:r>
      <w:proofErr w:type="spellStart"/>
      <w:r w:rsidRPr="005F16BE">
        <w:t>Ponraju</w:t>
      </w:r>
      <w:proofErr w:type="spellEnd"/>
      <w:r w:rsidRPr="005F16BE">
        <w:t xml:space="preserve"> D., Ali S.M., Venkatraman B., 2017, Surface Engineering of PAMAM-SDB Chelating Resin</w:t>
      </w:r>
      <w:r w:rsidRPr="001C6DAE">
        <w:t xml:space="preserve"> with </w:t>
      </w:r>
      <w:proofErr w:type="spellStart"/>
      <w:r w:rsidRPr="001C6DAE">
        <w:t>Diglycolamic</w:t>
      </w:r>
      <w:proofErr w:type="spellEnd"/>
      <w:r w:rsidRPr="001C6DAE">
        <w:t xml:space="preserve"> Acid (DGA) Functional Group for Efficient Sorption of U(VI) and </w:t>
      </w:r>
      <w:proofErr w:type="gramStart"/>
      <w:r w:rsidRPr="001C6DAE">
        <w:t>Th(</w:t>
      </w:r>
      <w:proofErr w:type="gramEnd"/>
      <w:r w:rsidRPr="001C6DAE">
        <w:t>IV) from Aqueous Medium, Journal of Hazardous Materials, 328, 1–11.</w:t>
      </w:r>
    </w:p>
    <w:p w14:paraId="2DAD7518" w14:textId="384E05AB" w:rsidR="00A66B74" w:rsidRDefault="00A66B74" w:rsidP="005550A0">
      <w:pPr>
        <w:pStyle w:val="CETReferencetext"/>
      </w:pPr>
      <w:r w:rsidRPr="00A66B74">
        <w:t>Li</w:t>
      </w:r>
      <w:r w:rsidR="00E51686">
        <w:t xml:space="preserve"> H.</w:t>
      </w:r>
      <w:r w:rsidRPr="00A66B74">
        <w:t>,</w:t>
      </w:r>
      <w:r w:rsidR="00E51686">
        <w:t xml:space="preserve"> </w:t>
      </w:r>
      <w:r w:rsidRPr="00A66B74">
        <w:t>Yang</w:t>
      </w:r>
      <w:r w:rsidR="00E51686">
        <w:t xml:space="preserve"> H.</w:t>
      </w:r>
      <w:r w:rsidRPr="00A66B74">
        <w:t xml:space="preserve">, </w:t>
      </w:r>
      <w:proofErr w:type="spellStart"/>
      <w:r w:rsidRPr="00A66B74">
        <w:t>Lv</w:t>
      </w:r>
      <w:proofErr w:type="spellEnd"/>
      <w:r w:rsidR="00E51686">
        <w:t xml:space="preserve"> W.</w:t>
      </w:r>
      <w:r w:rsidRPr="00A66B74">
        <w:t>,</w:t>
      </w:r>
      <w:r w:rsidR="00E51686">
        <w:t xml:space="preserve"> </w:t>
      </w:r>
      <w:r w:rsidRPr="00A66B74">
        <w:t>Liu</w:t>
      </w:r>
      <w:r w:rsidR="00E51686">
        <w:t xml:space="preserve"> X.</w:t>
      </w:r>
      <w:r w:rsidRPr="00A66B74">
        <w:t>, Bai</w:t>
      </w:r>
      <w:r w:rsidR="00E51686">
        <w:t xml:space="preserve"> S.</w:t>
      </w:r>
      <w:r w:rsidRPr="00A66B74">
        <w:t>, Li</w:t>
      </w:r>
      <w:r w:rsidR="00E51686">
        <w:t xml:space="preserve"> L.</w:t>
      </w:r>
      <w:r w:rsidRPr="00A66B74">
        <w:t>, Zhao</w:t>
      </w:r>
      <w:r w:rsidR="00E51686">
        <w:t xml:space="preserve"> S.</w:t>
      </w:r>
      <w:r w:rsidRPr="00A66B74">
        <w:t>, Wang</w:t>
      </w:r>
      <w:r w:rsidR="00E51686">
        <w:t xml:space="preserve"> Y.</w:t>
      </w:r>
      <w:r w:rsidRPr="00A66B74">
        <w:t>, Guo</w:t>
      </w:r>
      <w:r w:rsidR="00E51686">
        <w:t xml:space="preserve"> X.</w:t>
      </w:r>
      <w:r w:rsidRPr="00A66B74">
        <w:t>,</w:t>
      </w:r>
      <w:r w:rsidR="00E51686">
        <w:t xml:space="preserve"> 2021,</w:t>
      </w:r>
      <w:r w:rsidRPr="00A66B74">
        <w:t xml:space="preserve"> Hygroscopic Hydrogels for Removal of Trace Water from Liquid Fuels, </w:t>
      </w:r>
      <w:r w:rsidR="00E51686" w:rsidRPr="00E51686">
        <w:t>Industrial &amp; Engineering Chemistry Research</w:t>
      </w:r>
      <w:r w:rsidR="00E51686">
        <w:t xml:space="preserve">, 60, 47, </w:t>
      </w:r>
      <w:r w:rsidR="00E51686" w:rsidRPr="00E51686">
        <w:t>17065–17071</w:t>
      </w:r>
      <w:r w:rsidRPr="00A66B74">
        <w:t>.</w:t>
      </w:r>
    </w:p>
    <w:p w14:paraId="439EC55E" w14:textId="21D140E4" w:rsidR="00A37675" w:rsidRDefault="00A37675" w:rsidP="005550A0">
      <w:pPr>
        <w:pStyle w:val="CETReferencetext"/>
      </w:pPr>
      <w:proofErr w:type="spellStart"/>
      <w:r w:rsidRPr="00A37675">
        <w:t>Palanisamy</w:t>
      </w:r>
      <w:proofErr w:type="spellEnd"/>
      <w:r>
        <w:t xml:space="preserve"> P.</w:t>
      </w:r>
      <w:r w:rsidRPr="00A37675">
        <w:t>,</w:t>
      </w:r>
      <w:r>
        <w:t xml:space="preserve"> </w:t>
      </w:r>
      <w:proofErr w:type="spellStart"/>
      <w:r w:rsidRPr="00A37675">
        <w:t>Pavadai</w:t>
      </w:r>
      <w:proofErr w:type="spellEnd"/>
      <w:r>
        <w:t xml:space="preserve"> P.</w:t>
      </w:r>
      <w:r w:rsidRPr="00A37675">
        <w:t>, Arunachalam</w:t>
      </w:r>
      <w:r>
        <w:t xml:space="preserve"> S.</w:t>
      </w:r>
      <w:r w:rsidRPr="00A37675">
        <w:t>, Pandian</w:t>
      </w:r>
      <w:r>
        <w:t xml:space="preserve"> </w:t>
      </w:r>
      <w:r w:rsidRPr="00A37675">
        <w:t>S.R.K., Ravishankar</w:t>
      </w:r>
      <w:r>
        <w:t xml:space="preserve"> V.</w:t>
      </w:r>
      <w:r w:rsidRPr="00A37675">
        <w:t xml:space="preserve">, </w:t>
      </w:r>
      <w:proofErr w:type="spellStart"/>
      <w:r w:rsidRPr="00A37675">
        <w:t>Govindaraj</w:t>
      </w:r>
      <w:proofErr w:type="spellEnd"/>
      <w:r>
        <w:t xml:space="preserve"> S.</w:t>
      </w:r>
      <w:r w:rsidRPr="00A37675">
        <w:t>,</w:t>
      </w:r>
      <w:r>
        <w:t xml:space="preserve"> </w:t>
      </w:r>
      <w:r w:rsidRPr="00A37675">
        <w:t>Somasundaram</w:t>
      </w:r>
      <w:r>
        <w:t xml:space="preserve"> S.</w:t>
      </w:r>
      <w:r w:rsidRPr="00A37675">
        <w:t xml:space="preserve">, </w:t>
      </w:r>
      <w:proofErr w:type="spellStart"/>
      <w:r w:rsidRPr="00A37675">
        <w:t>Panneerselvam</w:t>
      </w:r>
      <w:proofErr w:type="spellEnd"/>
      <w:r>
        <w:t xml:space="preserve"> T.</w:t>
      </w:r>
      <w:r w:rsidRPr="00A37675">
        <w:t xml:space="preserve">, </w:t>
      </w:r>
      <w:proofErr w:type="spellStart"/>
      <w:r w:rsidRPr="00A37675">
        <w:t>Kunjiappan</w:t>
      </w:r>
      <w:proofErr w:type="spellEnd"/>
      <w:r>
        <w:t xml:space="preserve"> S.</w:t>
      </w:r>
      <w:r w:rsidRPr="00A37675">
        <w:t>,</w:t>
      </w:r>
      <w:r>
        <w:t xml:space="preserve"> 2021,</w:t>
      </w:r>
      <w:r w:rsidRPr="00A37675">
        <w:t xml:space="preserve"> Removal of water and their soluble materials from fuels using Moringa oleifera loaded keratin-co-sodium acrylate hydrogel, </w:t>
      </w:r>
      <w:r w:rsidR="00AB2526" w:rsidRPr="00AB2526">
        <w:t>Journal of Porous Materials</w:t>
      </w:r>
      <w:r w:rsidR="00AB2526">
        <w:t xml:space="preserve">, </w:t>
      </w:r>
      <w:r w:rsidRPr="00A37675">
        <w:t>28</w:t>
      </w:r>
      <w:r w:rsidR="00AB2526">
        <w:t xml:space="preserve">, </w:t>
      </w:r>
      <w:r w:rsidRPr="00A37675">
        <w:t>515–527</w:t>
      </w:r>
      <w:r w:rsidR="00AB2526">
        <w:t>.</w:t>
      </w:r>
    </w:p>
    <w:p w14:paraId="24B56AB5" w14:textId="7B85F510" w:rsidR="00DB10FA" w:rsidRPr="005F16BE" w:rsidRDefault="00DB10FA" w:rsidP="005550A0">
      <w:pPr>
        <w:pStyle w:val="CETReferencetext"/>
        <w:rPr>
          <w:lang w:val="en-US"/>
        </w:rPr>
      </w:pPr>
      <w:r w:rsidRPr="00DB10FA">
        <w:rPr>
          <w:lang w:val="en-US"/>
        </w:rPr>
        <w:t xml:space="preserve">Ramos P.B., Perez I.D., </w:t>
      </w:r>
      <w:proofErr w:type="spellStart"/>
      <w:r w:rsidRPr="00DB10FA">
        <w:rPr>
          <w:lang w:val="en-US"/>
        </w:rPr>
        <w:t>Aliprandini</w:t>
      </w:r>
      <w:proofErr w:type="spellEnd"/>
      <w:r w:rsidRPr="00DB10FA">
        <w:rPr>
          <w:lang w:val="en-US"/>
        </w:rPr>
        <w:t xml:space="preserve"> P., </w:t>
      </w:r>
      <w:proofErr w:type="spellStart"/>
      <w:r w:rsidRPr="00DB10FA">
        <w:rPr>
          <w:lang w:val="en-US"/>
        </w:rPr>
        <w:t>Boina</w:t>
      </w:r>
      <w:proofErr w:type="spellEnd"/>
      <w:r w:rsidRPr="00DB10FA">
        <w:rPr>
          <w:lang w:val="en-US"/>
        </w:rPr>
        <w:t xml:space="preserve"> R.F., Cu</w:t>
      </w:r>
      <w:r w:rsidRPr="00DB10FA">
        <w:rPr>
          <w:vertAlign w:val="superscript"/>
          <w:lang w:val="en-US"/>
        </w:rPr>
        <w:t>2+</w:t>
      </w:r>
      <w:r w:rsidRPr="00DB10FA">
        <w:rPr>
          <w:lang w:val="en-US"/>
        </w:rPr>
        <w:t>, Cr</w:t>
      </w:r>
      <w:r w:rsidRPr="00DB10FA">
        <w:rPr>
          <w:vertAlign w:val="superscript"/>
          <w:lang w:val="en-US"/>
        </w:rPr>
        <w:t>3+</w:t>
      </w:r>
      <w:r w:rsidRPr="00DB10FA">
        <w:rPr>
          <w:lang w:val="en-US"/>
        </w:rPr>
        <w:t>, and Ni</w:t>
      </w:r>
      <w:r w:rsidRPr="00DB10FA">
        <w:rPr>
          <w:vertAlign w:val="superscript"/>
          <w:lang w:val="en-US"/>
        </w:rPr>
        <w:t>2+</w:t>
      </w:r>
      <w:r w:rsidRPr="00DB10FA">
        <w:rPr>
          <w:lang w:val="en-US"/>
        </w:rPr>
        <w:t xml:space="preserve"> in mono- and multi-component aqueous solution adsorbed in passion fruit peels in natura and physicochemically modified: a comparative approach</w:t>
      </w:r>
      <w:r>
        <w:rPr>
          <w:lang w:val="en-US"/>
        </w:rPr>
        <w:t xml:space="preserve">, </w:t>
      </w:r>
      <w:r w:rsidRPr="005F16BE">
        <w:rPr>
          <w:lang w:val="en-US"/>
        </w:rPr>
        <w:t xml:space="preserve">Environmental Science and Pollution Research, </w:t>
      </w:r>
      <w:r w:rsidR="005F16BE" w:rsidRPr="005F16BE">
        <w:rPr>
          <w:lang w:val="en-US"/>
        </w:rPr>
        <w:t>1-14.</w:t>
      </w:r>
    </w:p>
    <w:p w14:paraId="0C9817F5" w14:textId="77777777" w:rsidR="005550A0" w:rsidRPr="005F16BE" w:rsidRDefault="005550A0" w:rsidP="005550A0">
      <w:pPr>
        <w:pStyle w:val="CETReferencetext"/>
      </w:pPr>
      <w:r w:rsidRPr="005F16BE">
        <w:t xml:space="preserve">Romanova Y.N., </w:t>
      </w:r>
      <w:proofErr w:type="spellStart"/>
      <w:r w:rsidRPr="005F16BE">
        <w:t>Maryutina</w:t>
      </w:r>
      <w:proofErr w:type="spellEnd"/>
      <w:r w:rsidRPr="005F16BE">
        <w:t xml:space="preserve"> T., Musina N.S., </w:t>
      </w:r>
      <w:proofErr w:type="spellStart"/>
      <w:r w:rsidRPr="005F16BE">
        <w:t>Yurtov</w:t>
      </w:r>
      <w:proofErr w:type="spellEnd"/>
      <w:r w:rsidRPr="005F16BE">
        <w:t xml:space="preserve"> E.V., Spivakov B.Y., 2019, Demulsification of water-in-oil emulsions by exposure to magnetic field, Journal of Petroleum Science and Engineering, 179, 600–605. </w:t>
      </w:r>
    </w:p>
    <w:p w14:paraId="1552C50B" w14:textId="0ADCD20B" w:rsidR="0039796B" w:rsidRDefault="0039796B" w:rsidP="005550A0">
      <w:pPr>
        <w:pStyle w:val="CETReferencetext"/>
      </w:pPr>
      <w:r w:rsidRPr="005F16BE">
        <w:t xml:space="preserve">Santos F.B., Perez I.D., Fregolente P.B.L., Vieira M.G.A., </w:t>
      </w:r>
      <w:proofErr w:type="spellStart"/>
      <w:r w:rsidRPr="005F16BE">
        <w:t>Fregolente</w:t>
      </w:r>
      <w:proofErr w:type="spellEnd"/>
      <w:r w:rsidRPr="005F16BE">
        <w:t xml:space="preserve"> L.V., Wolf </w:t>
      </w:r>
      <w:proofErr w:type="spellStart"/>
      <w:r w:rsidRPr="005F16BE">
        <w:t>Maciel</w:t>
      </w:r>
      <w:proofErr w:type="spellEnd"/>
      <w:r w:rsidRPr="005F16BE">
        <w:t xml:space="preserve"> M.R., 2019, Study of water removal from commercial biodiesel using </w:t>
      </w:r>
      <w:proofErr w:type="gramStart"/>
      <w:r w:rsidRPr="005F16BE">
        <w:t>poly(</w:t>
      </w:r>
      <w:proofErr w:type="gramEnd"/>
      <w:r w:rsidRPr="005F16BE">
        <w:t>acrylamide-co-sodium acrylate) and poly(acrylamide-co-acrylic acid), XXXIX Brazilian Congress of Particular Systems, &lt;proceedings.science/enemp-2019/papers/estudo</w:t>
      </w:r>
      <w:r w:rsidRPr="0039796B">
        <w:t>-da-remocao-de-agua-em-biodiesel-comercial-utilizando-hidrogel-de-acrilamida--aam--co-polimerizado-com-acrilato-de&gt; accessed 11.28.2019.</w:t>
      </w:r>
    </w:p>
    <w:p w14:paraId="06D06A63" w14:textId="72AEA220" w:rsidR="006D2C31" w:rsidRPr="005F16BE" w:rsidRDefault="006D2C31" w:rsidP="005550A0">
      <w:pPr>
        <w:pStyle w:val="CETReferencetext"/>
        <w:rPr>
          <w:lang w:val="en-US"/>
        </w:rPr>
      </w:pPr>
      <w:r w:rsidRPr="00DB10FA">
        <w:rPr>
          <w:lang w:val="en-US"/>
        </w:rPr>
        <w:t>Sharma S.S</w:t>
      </w:r>
      <w:r w:rsidRPr="005F16BE">
        <w:rPr>
          <w:lang w:val="en-US"/>
        </w:rPr>
        <w:t xml:space="preserve">.A., Bashir S., Kasi R., Subramaniam R.T., 2022, </w:t>
      </w:r>
      <w:r w:rsidR="00DB10FA" w:rsidRPr="005F16BE">
        <w:rPr>
          <w:lang w:val="en-US"/>
        </w:rPr>
        <w:t xml:space="preserve">The significance of graphene based composite hydrogels as smart materials: A review on the fabrication, properties, and its applications, </w:t>
      </w:r>
      <w:proofErr w:type="spellStart"/>
      <w:r w:rsidR="00DB10FA" w:rsidRPr="005F16BE">
        <w:rPr>
          <w:lang w:val="en-US"/>
        </w:rPr>
        <w:t>FlatChem</w:t>
      </w:r>
      <w:proofErr w:type="spellEnd"/>
      <w:r w:rsidR="00DB10FA" w:rsidRPr="005F16BE">
        <w:rPr>
          <w:lang w:val="en-US"/>
        </w:rPr>
        <w:t>, 33, 100352.</w:t>
      </w:r>
    </w:p>
    <w:p w14:paraId="25F2052B" w14:textId="23E5D81E" w:rsidR="004628D2" w:rsidRPr="00AA0AD9" w:rsidRDefault="005550A0" w:rsidP="001C3A20">
      <w:pPr>
        <w:pStyle w:val="CETReferencetext"/>
        <w:rPr>
          <w:b/>
          <w:bCs/>
        </w:rPr>
      </w:pPr>
      <w:proofErr w:type="spellStart"/>
      <w:r w:rsidRPr="005F16BE">
        <w:lastRenderedPageBreak/>
        <w:t>Wołowicz</w:t>
      </w:r>
      <w:proofErr w:type="spellEnd"/>
      <w:r w:rsidRPr="005F16BE">
        <w:t xml:space="preserve"> A., </w:t>
      </w:r>
      <w:proofErr w:type="spellStart"/>
      <w:r w:rsidRPr="005F16BE">
        <w:t>Hubicki</w:t>
      </w:r>
      <w:proofErr w:type="spellEnd"/>
      <w:r w:rsidRPr="005F16BE">
        <w:t xml:space="preserve"> Z., 2012, The use of the chelating resin of a new generation </w:t>
      </w:r>
      <w:proofErr w:type="spellStart"/>
      <w:r w:rsidRPr="005F16BE">
        <w:t>Lewatit</w:t>
      </w:r>
      <w:proofErr w:type="spellEnd"/>
      <w:r w:rsidRPr="005F16BE">
        <w:t xml:space="preserve"> </w:t>
      </w:r>
      <w:proofErr w:type="spellStart"/>
      <w:r w:rsidRPr="005F16BE">
        <w:t>MonoPlus</w:t>
      </w:r>
      <w:proofErr w:type="spellEnd"/>
      <w:r w:rsidRPr="005F16BE">
        <w:t xml:space="preserve"> TP-220 with the bis-</w:t>
      </w:r>
      <w:proofErr w:type="spellStart"/>
      <w:r w:rsidRPr="005F16BE">
        <w:t>picolylamine</w:t>
      </w:r>
      <w:proofErr w:type="spellEnd"/>
      <w:r w:rsidRPr="005F16BE">
        <w:t xml:space="preserve"> functional groups in the removal of selected metal ions from acidic solutions, Chemical Engineering Journal, 197, 493–508.</w:t>
      </w:r>
    </w:p>
    <w:sectPr w:rsidR="004628D2" w:rsidRPr="00AA0AD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54BE" w14:textId="77777777" w:rsidR="00325116" w:rsidRDefault="00325116" w:rsidP="004F5E36">
      <w:r>
        <w:separator/>
      </w:r>
    </w:p>
  </w:endnote>
  <w:endnote w:type="continuationSeparator" w:id="0">
    <w:p w14:paraId="0FC8CCF1" w14:textId="77777777" w:rsidR="00325116" w:rsidRDefault="0032511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CC58" w14:textId="77777777" w:rsidR="00325116" w:rsidRDefault="00325116" w:rsidP="004F5E36">
      <w:r>
        <w:separator/>
      </w:r>
    </w:p>
  </w:footnote>
  <w:footnote w:type="continuationSeparator" w:id="0">
    <w:p w14:paraId="03A0AA98" w14:textId="77777777" w:rsidR="00325116" w:rsidRDefault="0032511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gFADPRo54tAAAA"/>
  </w:docVars>
  <w:rsids>
    <w:rsidRoot w:val="000E414A"/>
    <w:rsid w:val="000027C0"/>
    <w:rsid w:val="0000489C"/>
    <w:rsid w:val="000052FB"/>
    <w:rsid w:val="000117CB"/>
    <w:rsid w:val="00017615"/>
    <w:rsid w:val="0003148D"/>
    <w:rsid w:val="00034DAF"/>
    <w:rsid w:val="00036CD6"/>
    <w:rsid w:val="00051566"/>
    <w:rsid w:val="00062A9A"/>
    <w:rsid w:val="00065058"/>
    <w:rsid w:val="00086C39"/>
    <w:rsid w:val="000A03B2"/>
    <w:rsid w:val="000D0268"/>
    <w:rsid w:val="000D34BE"/>
    <w:rsid w:val="000D794F"/>
    <w:rsid w:val="000E102F"/>
    <w:rsid w:val="000E36F1"/>
    <w:rsid w:val="000E3A73"/>
    <w:rsid w:val="000E414A"/>
    <w:rsid w:val="000F093C"/>
    <w:rsid w:val="000F787B"/>
    <w:rsid w:val="00117E6A"/>
    <w:rsid w:val="0012091F"/>
    <w:rsid w:val="00126BC2"/>
    <w:rsid w:val="001308B6"/>
    <w:rsid w:val="0013121F"/>
    <w:rsid w:val="00131FE6"/>
    <w:rsid w:val="0013263F"/>
    <w:rsid w:val="00134DE4"/>
    <w:rsid w:val="0014034D"/>
    <w:rsid w:val="00147912"/>
    <w:rsid w:val="00150E59"/>
    <w:rsid w:val="00152DE3"/>
    <w:rsid w:val="001646E6"/>
    <w:rsid w:val="00164CF9"/>
    <w:rsid w:val="001667A6"/>
    <w:rsid w:val="0018221E"/>
    <w:rsid w:val="00184AD6"/>
    <w:rsid w:val="001B0349"/>
    <w:rsid w:val="001B5AB4"/>
    <w:rsid w:val="001B5E35"/>
    <w:rsid w:val="001B65C1"/>
    <w:rsid w:val="001B75B3"/>
    <w:rsid w:val="001C3A20"/>
    <w:rsid w:val="001C684B"/>
    <w:rsid w:val="001C6DAE"/>
    <w:rsid w:val="001D53FC"/>
    <w:rsid w:val="001D7BD0"/>
    <w:rsid w:val="001E3F5F"/>
    <w:rsid w:val="001F42A5"/>
    <w:rsid w:val="001F7B9D"/>
    <w:rsid w:val="002224B4"/>
    <w:rsid w:val="00232257"/>
    <w:rsid w:val="002447EF"/>
    <w:rsid w:val="00251550"/>
    <w:rsid w:val="00263040"/>
    <w:rsid w:val="00263B05"/>
    <w:rsid w:val="0027221A"/>
    <w:rsid w:val="0027406E"/>
    <w:rsid w:val="00275B61"/>
    <w:rsid w:val="00282656"/>
    <w:rsid w:val="00296B83"/>
    <w:rsid w:val="002A4812"/>
    <w:rsid w:val="002B13BA"/>
    <w:rsid w:val="002B78CE"/>
    <w:rsid w:val="002C2FB6"/>
    <w:rsid w:val="002E0050"/>
    <w:rsid w:val="003009B7"/>
    <w:rsid w:val="00300E56"/>
    <w:rsid w:val="0030469C"/>
    <w:rsid w:val="00321CA6"/>
    <w:rsid w:val="00322EB8"/>
    <w:rsid w:val="00325116"/>
    <w:rsid w:val="00334C09"/>
    <w:rsid w:val="0033603B"/>
    <w:rsid w:val="003723D4"/>
    <w:rsid w:val="00373EBF"/>
    <w:rsid w:val="00381905"/>
    <w:rsid w:val="00384CC8"/>
    <w:rsid w:val="003871FD"/>
    <w:rsid w:val="003929CE"/>
    <w:rsid w:val="00392DE8"/>
    <w:rsid w:val="0039796B"/>
    <w:rsid w:val="003A1E30"/>
    <w:rsid w:val="003A7D1C"/>
    <w:rsid w:val="003B304B"/>
    <w:rsid w:val="003B3146"/>
    <w:rsid w:val="003D08C6"/>
    <w:rsid w:val="003F015E"/>
    <w:rsid w:val="00400414"/>
    <w:rsid w:val="0040743D"/>
    <w:rsid w:val="004077DC"/>
    <w:rsid w:val="0041446B"/>
    <w:rsid w:val="00415430"/>
    <w:rsid w:val="00420FC7"/>
    <w:rsid w:val="00423913"/>
    <w:rsid w:val="00430BA1"/>
    <w:rsid w:val="00431939"/>
    <w:rsid w:val="00434F2A"/>
    <w:rsid w:val="0044262B"/>
    <w:rsid w:val="0044329C"/>
    <w:rsid w:val="00443A5D"/>
    <w:rsid w:val="00443F0F"/>
    <w:rsid w:val="004577FE"/>
    <w:rsid w:val="00457B9C"/>
    <w:rsid w:val="0046164A"/>
    <w:rsid w:val="004628D2"/>
    <w:rsid w:val="00462DCD"/>
    <w:rsid w:val="004648AD"/>
    <w:rsid w:val="004703A9"/>
    <w:rsid w:val="004760DE"/>
    <w:rsid w:val="004763D7"/>
    <w:rsid w:val="00482118"/>
    <w:rsid w:val="004A004E"/>
    <w:rsid w:val="004A24CF"/>
    <w:rsid w:val="004C3D1D"/>
    <w:rsid w:val="004C747D"/>
    <w:rsid w:val="004C7913"/>
    <w:rsid w:val="004D6D35"/>
    <w:rsid w:val="004E4DD6"/>
    <w:rsid w:val="004F5E36"/>
    <w:rsid w:val="005029CB"/>
    <w:rsid w:val="00505DF9"/>
    <w:rsid w:val="005076C5"/>
    <w:rsid w:val="00507B47"/>
    <w:rsid w:val="00507BEF"/>
    <w:rsid w:val="00507CC9"/>
    <w:rsid w:val="005119A5"/>
    <w:rsid w:val="005278B7"/>
    <w:rsid w:val="00530AA2"/>
    <w:rsid w:val="00532016"/>
    <w:rsid w:val="005346C8"/>
    <w:rsid w:val="00534EFE"/>
    <w:rsid w:val="00543E7D"/>
    <w:rsid w:val="00547A68"/>
    <w:rsid w:val="005531C9"/>
    <w:rsid w:val="005550A0"/>
    <w:rsid w:val="00570C43"/>
    <w:rsid w:val="005A0DB3"/>
    <w:rsid w:val="005B2110"/>
    <w:rsid w:val="005B61E6"/>
    <w:rsid w:val="005C77E1"/>
    <w:rsid w:val="005D6A2F"/>
    <w:rsid w:val="005E1A82"/>
    <w:rsid w:val="005E69F7"/>
    <w:rsid w:val="005E794C"/>
    <w:rsid w:val="005F0A28"/>
    <w:rsid w:val="005F0E5E"/>
    <w:rsid w:val="005F16BE"/>
    <w:rsid w:val="005F7839"/>
    <w:rsid w:val="00600535"/>
    <w:rsid w:val="0060398F"/>
    <w:rsid w:val="00610CD6"/>
    <w:rsid w:val="00620DEE"/>
    <w:rsid w:val="00621F92"/>
    <w:rsid w:val="00625639"/>
    <w:rsid w:val="00631B33"/>
    <w:rsid w:val="0063271A"/>
    <w:rsid w:val="0064184D"/>
    <w:rsid w:val="006422CC"/>
    <w:rsid w:val="00651986"/>
    <w:rsid w:val="00660E3E"/>
    <w:rsid w:val="00662E74"/>
    <w:rsid w:val="00667A21"/>
    <w:rsid w:val="00680C23"/>
    <w:rsid w:val="00693766"/>
    <w:rsid w:val="006A3281"/>
    <w:rsid w:val="006A36EF"/>
    <w:rsid w:val="006B4888"/>
    <w:rsid w:val="006C2839"/>
    <w:rsid w:val="006C2E45"/>
    <w:rsid w:val="006C359C"/>
    <w:rsid w:val="006C5579"/>
    <w:rsid w:val="006D2C31"/>
    <w:rsid w:val="006D5FF4"/>
    <w:rsid w:val="006E117A"/>
    <w:rsid w:val="006E737D"/>
    <w:rsid w:val="006F72B3"/>
    <w:rsid w:val="00700895"/>
    <w:rsid w:val="0070657A"/>
    <w:rsid w:val="00720A24"/>
    <w:rsid w:val="00723576"/>
    <w:rsid w:val="007311A1"/>
    <w:rsid w:val="00732386"/>
    <w:rsid w:val="0073514D"/>
    <w:rsid w:val="007447F3"/>
    <w:rsid w:val="0075499F"/>
    <w:rsid w:val="007661C8"/>
    <w:rsid w:val="0077098D"/>
    <w:rsid w:val="007931FA"/>
    <w:rsid w:val="007A2F3F"/>
    <w:rsid w:val="007A4861"/>
    <w:rsid w:val="007A7BBA"/>
    <w:rsid w:val="007B0C50"/>
    <w:rsid w:val="007C1A43"/>
    <w:rsid w:val="0080013E"/>
    <w:rsid w:val="008019B3"/>
    <w:rsid w:val="00813288"/>
    <w:rsid w:val="008168FC"/>
    <w:rsid w:val="008226AB"/>
    <w:rsid w:val="00830996"/>
    <w:rsid w:val="008345F1"/>
    <w:rsid w:val="00860A18"/>
    <w:rsid w:val="00865B07"/>
    <w:rsid w:val="008667EA"/>
    <w:rsid w:val="0087637F"/>
    <w:rsid w:val="00892AD5"/>
    <w:rsid w:val="008A1512"/>
    <w:rsid w:val="008A52B5"/>
    <w:rsid w:val="008A7675"/>
    <w:rsid w:val="008C0EC6"/>
    <w:rsid w:val="008D32B9"/>
    <w:rsid w:val="008D433B"/>
    <w:rsid w:val="008E566E"/>
    <w:rsid w:val="0090161A"/>
    <w:rsid w:val="00901EB6"/>
    <w:rsid w:val="00904C62"/>
    <w:rsid w:val="00905AC7"/>
    <w:rsid w:val="00922BA8"/>
    <w:rsid w:val="009249DC"/>
    <w:rsid w:val="00924DAC"/>
    <w:rsid w:val="00927058"/>
    <w:rsid w:val="00942750"/>
    <w:rsid w:val="009450CE"/>
    <w:rsid w:val="00947179"/>
    <w:rsid w:val="0095164B"/>
    <w:rsid w:val="00953482"/>
    <w:rsid w:val="00954090"/>
    <w:rsid w:val="00956507"/>
    <w:rsid w:val="009573E7"/>
    <w:rsid w:val="00963E05"/>
    <w:rsid w:val="00967D54"/>
    <w:rsid w:val="00971028"/>
    <w:rsid w:val="00996483"/>
    <w:rsid w:val="00996F5A"/>
    <w:rsid w:val="009B041A"/>
    <w:rsid w:val="009B5844"/>
    <w:rsid w:val="009C50B0"/>
    <w:rsid w:val="009C7C86"/>
    <w:rsid w:val="009D2FF7"/>
    <w:rsid w:val="009E47F4"/>
    <w:rsid w:val="009E5797"/>
    <w:rsid w:val="009E7884"/>
    <w:rsid w:val="009E788A"/>
    <w:rsid w:val="009F0E08"/>
    <w:rsid w:val="00A00300"/>
    <w:rsid w:val="00A14F0C"/>
    <w:rsid w:val="00A1763D"/>
    <w:rsid w:val="00A17CEC"/>
    <w:rsid w:val="00A27EF0"/>
    <w:rsid w:val="00A374C9"/>
    <w:rsid w:val="00A37675"/>
    <w:rsid w:val="00A50B20"/>
    <w:rsid w:val="00A51390"/>
    <w:rsid w:val="00A60D13"/>
    <w:rsid w:val="00A626C4"/>
    <w:rsid w:val="00A66B74"/>
    <w:rsid w:val="00A72745"/>
    <w:rsid w:val="00A76EFC"/>
    <w:rsid w:val="00A91010"/>
    <w:rsid w:val="00A931AF"/>
    <w:rsid w:val="00A95288"/>
    <w:rsid w:val="00A97F29"/>
    <w:rsid w:val="00AA0AD9"/>
    <w:rsid w:val="00AA702E"/>
    <w:rsid w:val="00AB0964"/>
    <w:rsid w:val="00AB2526"/>
    <w:rsid w:val="00AB5011"/>
    <w:rsid w:val="00AC7368"/>
    <w:rsid w:val="00AD16B9"/>
    <w:rsid w:val="00AE377D"/>
    <w:rsid w:val="00AE4F3A"/>
    <w:rsid w:val="00B02C8A"/>
    <w:rsid w:val="00B17FBD"/>
    <w:rsid w:val="00B22D44"/>
    <w:rsid w:val="00B315A6"/>
    <w:rsid w:val="00B31813"/>
    <w:rsid w:val="00B33365"/>
    <w:rsid w:val="00B57B36"/>
    <w:rsid w:val="00B705B7"/>
    <w:rsid w:val="00B76F36"/>
    <w:rsid w:val="00B85FFB"/>
    <w:rsid w:val="00B8686D"/>
    <w:rsid w:val="00B92621"/>
    <w:rsid w:val="00B930F4"/>
    <w:rsid w:val="00BB1DDC"/>
    <w:rsid w:val="00BB7AAD"/>
    <w:rsid w:val="00BB7F1F"/>
    <w:rsid w:val="00BC30C9"/>
    <w:rsid w:val="00BE3E58"/>
    <w:rsid w:val="00BE47F5"/>
    <w:rsid w:val="00BF73FE"/>
    <w:rsid w:val="00C01616"/>
    <w:rsid w:val="00C0162B"/>
    <w:rsid w:val="00C02CEF"/>
    <w:rsid w:val="00C11A23"/>
    <w:rsid w:val="00C16564"/>
    <w:rsid w:val="00C345B1"/>
    <w:rsid w:val="00C35643"/>
    <w:rsid w:val="00C40142"/>
    <w:rsid w:val="00C57182"/>
    <w:rsid w:val="00C57863"/>
    <w:rsid w:val="00C655FD"/>
    <w:rsid w:val="00C72D37"/>
    <w:rsid w:val="00C75407"/>
    <w:rsid w:val="00C870A8"/>
    <w:rsid w:val="00C94434"/>
    <w:rsid w:val="00CA0C02"/>
    <w:rsid w:val="00CA0D75"/>
    <w:rsid w:val="00CA1C95"/>
    <w:rsid w:val="00CA5A9C"/>
    <w:rsid w:val="00CB4E39"/>
    <w:rsid w:val="00CC2F7E"/>
    <w:rsid w:val="00CD3517"/>
    <w:rsid w:val="00CD5FE2"/>
    <w:rsid w:val="00CE2012"/>
    <w:rsid w:val="00CE7C68"/>
    <w:rsid w:val="00D02B4C"/>
    <w:rsid w:val="00D040C4"/>
    <w:rsid w:val="00D30EA8"/>
    <w:rsid w:val="00D37053"/>
    <w:rsid w:val="00D45BDB"/>
    <w:rsid w:val="00D571E9"/>
    <w:rsid w:val="00D57C84"/>
    <w:rsid w:val="00D6057D"/>
    <w:rsid w:val="00D66B47"/>
    <w:rsid w:val="00D836C5"/>
    <w:rsid w:val="00D84576"/>
    <w:rsid w:val="00D84B94"/>
    <w:rsid w:val="00D92677"/>
    <w:rsid w:val="00D93BDD"/>
    <w:rsid w:val="00DA1399"/>
    <w:rsid w:val="00DA24C6"/>
    <w:rsid w:val="00DA4D7B"/>
    <w:rsid w:val="00DA51B8"/>
    <w:rsid w:val="00DA54BE"/>
    <w:rsid w:val="00DB10FA"/>
    <w:rsid w:val="00DC75CA"/>
    <w:rsid w:val="00DE264A"/>
    <w:rsid w:val="00DE396E"/>
    <w:rsid w:val="00DF24D0"/>
    <w:rsid w:val="00DF5072"/>
    <w:rsid w:val="00E00A29"/>
    <w:rsid w:val="00E02D18"/>
    <w:rsid w:val="00E041E7"/>
    <w:rsid w:val="00E06707"/>
    <w:rsid w:val="00E07169"/>
    <w:rsid w:val="00E23CA1"/>
    <w:rsid w:val="00E26518"/>
    <w:rsid w:val="00E37434"/>
    <w:rsid w:val="00E409A8"/>
    <w:rsid w:val="00E50C12"/>
    <w:rsid w:val="00E51686"/>
    <w:rsid w:val="00E54E33"/>
    <w:rsid w:val="00E65B91"/>
    <w:rsid w:val="00E7209D"/>
    <w:rsid w:val="00E77223"/>
    <w:rsid w:val="00E82DE9"/>
    <w:rsid w:val="00E8528B"/>
    <w:rsid w:val="00E85B94"/>
    <w:rsid w:val="00E978D0"/>
    <w:rsid w:val="00EA4613"/>
    <w:rsid w:val="00EA7E70"/>
    <w:rsid w:val="00EA7F91"/>
    <w:rsid w:val="00EB1523"/>
    <w:rsid w:val="00EB283D"/>
    <w:rsid w:val="00EC03DA"/>
    <w:rsid w:val="00EC054F"/>
    <w:rsid w:val="00EC0E49"/>
    <w:rsid w:val="00EE0131"/>
    <w:rsid w:val="00EE17B0"/>
    <w:rsid w:val="00EF018A"/>
    <w:rsid w:val="00F10DE0"/>
    <w:rsid w:val="00F30C64"/>
    <w:rsid w:val="00F31C5E"/>
    <w:rsid w:val="00F32CDB"/>
    <w:rsid w:val="00F42B05"/>
    <w:rsid w:val="00F47308"/>
    <w:rsid w:val="00F63A70"/>
    <w:rsid w:val="00F91409"/>
    <w:rsid w:val="00F968FB"/>
    <w:rsid w:val="00FA21D0"/>
    <w:rsid w:val="00FA5F5F"/>
    <w:rsid w:val="00FA6007"/>
    <w:rsid w:val="00FB5728"/>
    <w:rsid w:val="00FB730C"/>
    <w:rsid w:val="00FC2695"/>
    <w:rsid w:val="00FC3E03"/>
    <w:rsid w:val="00FC3FC1"/>
    <w:rsid w:val="00FE3309"/>
    <w:rsid w:val="00FE3353"/>
    <w:rsid w:val="00FE5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EFBFF"/>
  <w15:docId w15:val="{4F8354A2-B55D-4AA8-95EB-9A85307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1B75B3"/>
    <w:pPr>
      <w:ind w:left="720"/>
      <w:contextualSpacing/>
    </w:pPr>
  </w:style>
  <w:style w:type="character" w:customStyle="1" w:styleId="MenoPendente1">
    <w:name w:val="Menção Pendente1"/>
    <w:basedOn w:val="DefaultParagraphFont"/>
    <w:uiPriority w:val="99"/>
    <w:semiHidden/>
    <w:unhideWhenUsed/>
    <w:rsid w:val="001D7BD0"/>
    <w:rPr>
      <w:color w:val="605E5C"/>
      <w:shd w:val="clear" w:color="auto" w:fill="E1DFDD"/>
    </w:rPr>
  </w:style>
  <w:style w:type="paragraph" w:styleId="Revision">
    <w:name w:val="Revision"/>
    <w:hidden/>
    <w:uiPriority w:val="99"/>
    <w:semiHidden/>
    <w:rsid w:val="00B76F36"/>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E5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0F3E92-3D25-0647-82EF-750025E2999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4431-B593-4C76-B8FE-BFD9AF04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3026</Words>
  <Characters>17072</Characters>
  <Application>Microsoft Office Word</Application>
  <DocSecurity>0</DocSecurity>
  <Lines>341</Lines>
  <Paragraphs>189</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Fernanda Brito Dos Santos</cp:lastModifiedBy>
  <cp:revision>2</cp:revision>
  <cp:lastPrinted>2015-05-12T18:31:00Z</cp:lastPrinted>
  <dcterms:created xsi:type="dcterms:W3CDTF">2022-03-17T18:56:00Z</dcterms:created>
  <dcterms:modified xsi:type="dcterms:W3CDTF">2022-03-17T18:56:00Z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documentId_2184</vt:lpwstr>
  </property>
  <property fmtid="{D5CDD505-2E9C-101B-9397-08002B2CF9AE}" pid="5" name="grammarly_documentContext">
    <vt:lpwstr>{"goals":[],"domain":"general","emotions":[],"dialect":"canadian"}</vt:lpwstr>
  </property>
</Properties>
</file>