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E25CF66" w14:textId="77777777" w:rsidR="001F04FE" w:rsidRDefault="001F04FE" w:rsidP="001F04FE">
      <w:pPr>
        <w:pStyle w:val="CETTitle"/>
        <w:rPr>
          <w:noProof/>
        </w:rPr>
      </w:pPr>
      <w:r>
        <w:rPr>
          <w:noProof/>
        </w:rPr>
        <w:t>Techno-economical analysis of CO</w:t>
      </w:r>
      <w:r w:rsidRPr="00A65E16">
        <w:rPr>
          <w:noProof/>
          <w:vertAlign w:val="subscript"/>
        </w:rPr>
        <w:t>2</w:t>
      </w:r>
      <w:r>
        <w:rPr>
          <w:noProof/>
        </w:rPr>
        <w:t xml:space="preserve"> capture from biomass-derived syngas</w:t>
      </w:r>
    </w:p>
    <w:p w14:paraId="0B9270CC" w14:textId="58546ECF" w:rsidR="001F04FE" w:rsidRDefault="001F04FE" w:rsidP="001F04FE">
      <w:pPr>
        <w:pStyle w:val="CETAuthors"/>
      </w:pPr>
      <w:r>
        <w:t>Viktória Zsinka</w:t>
      </w:r>
      <w:r>
        <w:rPr>
          <w:vertAlign w:val="superscript"/>
        </w:rPr>
        <w:t>a</w:t>
      </w:r>
      <w:r>
        <w:t>, Janka Bobek-Nagy</w:t>
      </w:r>
      <w:r>
        <w:rPr>
          <w:vertAlign w:val="superscript"/>
        </w:rPr>
        <w:t>a</w:t>
      </w:r>
      <w:r>
        <w:t>, Attila Egedy</w:t>
      </w:r>
      <w:r>
        <w:rPr>
          <w:vertAlign w:val="superscript"/>
        </w:rPr>
        <w:t>a</w:t>
      </w:r>
      <w:r w:rsidR="00363C22">
        <w:rPr>
          <w:vertAlign w:val="superscript"/>
        </w:rPr>
        <w:t>*</w:t>
      </w:r>
      <w:r>
        <w:t>, Norbert Miskolczi</w:t>
      </w:r>
      <w:r>
        <w:rPr>
          <w:vertAlign w:val="superscript"/>
        </w:rPr>
        <w:t>a</w:t>
      </w:r>
      <w:r>
        <w:t>, Szabina Tomasek</w:t>
      </w:r>
      <w:r>
        <w:rPr>
          <w:vertAlign w:val="superscript"/>
        </w:rPr>
        <w:t>a</w:t>
      </w:r>
      <w:r>
        <w:t>, Haiping Yang</w:t>
      </w:r>
      <w:r>
        <w:rPr>
          <w:vertAlign w:val="superscript"/>
        </w:rPr>
        <w:t>b</w:t>
      </w:r>
    </w:p>
    <w:p w14:paraId="0BFDF570" w14:textId="77777777" w:rsidR="001F04FE" w:rsidRDefault="001F04FE" w:rsidP="001F04FE">
      <w:pPr>
        <w:pStyle w:val="CETAddress"/>
      </w:pPr>
      <w:r w:rsidRPr="004338AE">
        <w:rPr>
          <w:vertAlign w:val="superscript"/>
        </w:rPr>
        <w:t>1</w:t>
      </w:r>
      <w:r>
        <w:t>University of Pannonia, Hungary</w:t>
      </w:r>
    </w:p>
    <w:p w14:paraId="28BD8D6D" w14:textId="77777777" w:rsidR="001F04FE" w:rsidRDefault="001F04FE" w:rsidP="001F04FE">
      <w:pPr>
        <w:pStyle w:val="CETAddress"/>
      </w:pPr>
      <w:r w:rsidRPr="004338AE">
        <w:rPr>
          <w:vertAlign w:val="superscript"/>
        </w:rPr>
        <w:t>2</w:t>
      </w:r>
      <w:r>
        <w:t>Huazhong University of Technolgy, China</w:t>
      </w:r>
    </w:p>
    <w:p w14:paraId="6609971F" w14:textId="3EB850E2" w:rsidR="001F04FE" w:rsidRPr="00B57B36" w:rsidRDefault="00363C22" w:rsidP="00A65E16">
      <w:pPr>
        <w:pStyle w:val="CETAddress"/>
        <w:spacing w:after="240"/>
      </w:pPr>
      <w:r>
        <w:t>egedya</w:t>
      </w:r>
      <w:r w:rsidR="001F04FE" w:rsidRPr="00B57B36">
        <w:t>@</w:t>
      </w:r>
      <w:r>
        <w:t>fmt</w:t>
      </w:r>
      <w:r w:rsidR="001F04FE">
        <w:t>.uni-pannon.hu</w:t>
      </w:r>
      <w:r w:rsidR="001F04FE" w:rsidRPr="00B57B36">
        <w:t xml:space="preserve"> </w:t>
      </w:r>
    </w:p>
    <w:p w14:paraId="57EE6395" w14:textId="2D4DF9C9" w:rsidR="001F04FE" w:rsidRDefault="001F04FE" w:rsidP="001F04FE">
      <w:pPr>
        <w:pStyle w:val="CETBodytext"/>
        <w:rPr>
          <w:lang w:val="en-GB"/>
        </w:rPr>
      </w:pPr>
      <w:r w:rsidRPr="004338AE">
        <w:rPr>
          <w:lang w:val="en-GB"/>
        </w:rPr>
        <w:t xml:space="preserve">The application of renewables is one of the key aspects of the design of sustainable processes. Biomass has a high interest as </w:t>
      </w:r>
      <w:r>
        <w:rPr>
          <w:lang w:val="en-GB"/>
        </w:rPr>
        <w:t xml:space="preserve">a </w:t>
      </w:r>
      <w:r w:rsidRPr="004338AE">
        <w:rPr>
          <w:lang w:val="en-GB"/>
        </w:rPr>
        <w:t xml:space="preserve">feedstock, mostly because of the conversion potential to valuable products, e.g. syngas (containing hydrogen and carbon monoxide). Regarding sustainability and global climate </w:t>
      </w:r>
      <w:r w:rsidR="00363C22" w:rsidRPr="004338AE">
        <w:rPr>
          <w:lang w:val="en-GB"/>
        </w:rPr>
        <w:t>chang</w:t>
      </w:r>
      <w:r w:rsidR="00363C22">
        <w:rPr>
          <w:lang w:val="en-GB"/>
        </w:rPr>
        <w:t>e</w:t>
      </w:r>
      <w:r w:rsidRPr="004338AE">
        <w:rPr>
          <w:lang w:val="en-GB"/>
        </w:rPr>
        <w:t>, carbon</w:t>
      </w:r>
      <w:r w:rsidR="00BF59CC">
        <w:rPr>
          <w:lang w:val="en-GB"/>
        </w:rPr>
        <w:t xml:space="preserve"> </w:t>
      </w:r>
      <w:r w:rsidRPr="004338AE">
        <w:rPr>
          <w:lang w:val="en-GB"/>
        </w:rPr>
        <w:t xml:space="preserve">dioxide reduction, capture and storage are important </w:t>
      </w:r>
      <w:r>
        <w:rPr>
          <w:lang w:val="en-GB"/>
        </w:rPr>
        <w:t>tasks</w:t>
      </w:r>
      <w:r w:rsidRPr="004338AE">
        <w:rPr>
          <w:lang w:val="en-GB"/>
        </w:rPr>
        <w:t xml:space="preserve"> of waste-derived syngas production. There are many possibilities for the further handling of syngas to reduce the carbon</w:t>
      </w:r>
      <w:r w:rsidR="00BF59CC">
        <w:rPr>
          <w:lang w:val="en-GB"/>
        </w:rPr>
        <w:t xml:space="preserve"> </w:t>
      </w:r>
      <w:r w:rsidRPr="004338AE">
        <w:rPr>
          <w:lang w:val="en-GB"/>
        </w:rPr>
        <w:t>dioxide concentrations</w:t>
      </w:r>
      <w:r w:rsidR="00363C22">
        <w:rPr>
          <w:lang w:val="en-GB"/>
        </w:rPr>
        <w:t>,</w:t>
      </w:r>
      <w:r>
        <w:rPr>
          <w:lang w:val="en-GB"/>
        </w:rPr>
        <w:t xml:space="preserve"> such as</w:t>
      </w:r>
      <w:r w:rsidRPr="004338AE">
        <w:rPr>
          <w:lang w:val="en-GB"/>
        </w:rPr>
        <w:t xml:space="preserve"> absorption, adsorption</w:t>
      </w:r>
      <w:r w:rsidR="00850A4A">
        <w:rPr>
          <w:lang w:val="en-GB"/>
        </w:rPr>
        <w:t xml:space="preserve"> etc. </w:t>
      </w:r>
      <w:r w:rsidRPr="004338AE">
        <w:rPr>
          <w:lang w:val="en-GB"/>
        </w:rPr>
        <w:t>The main goal of this study is to optimise the parameters and design the key operating units of different scenarios</w:t>
      </w:r>
      <w:r>
        <w:rPr>
          <w:lang w:val="en-GB"/>
        </w:rPr>
        <w:t xml:space="preserve"> </w:t>
      </w:r>
      <w:r w:rsidRPr="004338AE">
        <w:rPr>
          <w:lang w:val="en-GB"/>
        </w:rPr>
        <w:t>for carbon</w:t>
      </w:r>
      <w:r w:rsidR="00BF59CC">
        <w:rPr>
          <w:lang w:val="en-GB"/>
        </w:rPr>
        <w:t xml:space="preserve"> </w:t>
      </w:r>
      <w:r w:rsidRPr="004338AE">
        <w:rPr>
          <w:lang w:val="en-GB"/>
        </w:rPr>
        <w:t>dioxide reduction</w:t>
      </w:r>
      <w:r>
        <w:rPr>
          <w:lang w:val="en-GB"/>
        </w:rPr>
        <w:t xml:space="preserve"> (absorption by </w:t>
      </w:r>
      <w:proofErr w:type="spellStart"/>
      <w:r>
        <w:rPr>
          <w:lang w:val="en-GB"/>
        </w:rPr>
        <w:t>monoethanolamine</w:t>
      </w:r>
      <w:proofErr w:type="spellEnd"/>
      <w:r>
        <w:rPr>
          <w:lang w:val="en-GB"/>
        </w:rPr>
        <w:t xml:space="preserve"> (MEA) solution, cryogenic distillation, Ca-looping)</w:t>
      </w:r>
      <w:r w:rsidRPr="004338AE">
        <w:rPr>
          <w:lang w:val="en-GB"/>
        </w:rPr>
        <w:t xml:space="preserve"> from biomass-derived syngas. Pyrolysis-reforming of the biomass has been performed in a </w:t>
      </w:r>
      <w:proofErr w:type="spellStart"/>
      <w:r w:rsidRPr="004338AE">
        <w:rPr>
          <w:lang w:val="en-GB"/>
        </w:rPr>
        <w:t>multizone</w:t>
      </w:r>
      <w:proofErr w:type="spellEnd"/>
      <w:r w:rsidRPr="004338AE">
        <w:rPr>
          <w:lang w:val="en-GB"/>
        </w:rPr>
        <w:t xml:space="preserve"> horizontal tubular reactor using different process parameters. Gas fraction has been </w:t>
      </w:r>
      <w:r w:rsidR="00BF59CC" w:rsidRPr="004338AE">
        <w:rPr>
          <w:lang w:val="en-GB"/>
        </w:rPr>
        <w:t>analysed</w:t>
      </w:r>
      <w:r w:rsidRPr="004338AE">
        <w:rPr>
          <w:lang w:val="en-GB"/>
        </w:rPr>
        <w:t xml:space="preserve"> by gas-chromatography, then based on the result, the key process parameters were identified focusing on the techno-economical approach of the different scenarios. </w:t>
      </w:r>
      <w:r>
        <w:rPr>
          <w:lang w:val="en-GB"/>
        </w:rPr>
        <w:t>The CO</w:t>
      </w:r>
      <w:r w:rsidRPr="007928CA">
        <w:rPr>
          <w:vertAlign w:val="subscript"/>
          <w:lang w:val="en-GB"/>
        </w:rPr>
        <w:t>2</w:t>
      </w:r>
      <w:r>
        <w:rPr>
          <w:lang w:val="en-GB"/>
        </w:rPr>
        <w:t xml:space="preserve"> removal </w:t>
      </w:r>
      <w:r w:rsidRPr="001A080F">
        <w:rPr>
          <w:lang w:val="en-GB"/>
        </w:rPr>
        <w:t>efficiencies</w:t>
      </w:r>
      <w:r>
        <w:rPr>
          <w:lang w:val="en-GB"/>
        </w:rPr>
        <w:t xml:space="preserve"> obtained by cryogenic distillation and Ca-looping were nearly the same</w:t>
      </w:r>
      <w:r w:rsidR="00363C22">
        <w:rPr>
          <w:lang w:val="en-GB"/>
        </w:rPr>
        <w:t>. M</w:t>
      </w:r>
      <w:r>
        <w:rPr>
          <w:lang w:val="en-GB"/>
        </w:rPr>
        <w:t>eanwhile</w:t>
      </w:r>
      <w:r w:rsidR="00363C22">
        <w:rPr>
          <w:lang w:val="en-GB"/>
        </w:rPr>
        <w:t>,</w:t>
      </w:r>
      <w:r>
        <w:rPr>
          <w:lang w:val="en-GB"/>
        </w:rPr>
        <w:t xml:space="preserve"> the amine solution absorbed 83.5 % o</w:t>
      </w:r>
      <w:r w:rsidR="00BF59CC">
        <w:rPr>
          <w:lang w:val="en-GB"/>
        </w:rPr>
        <w:t>f</w:t>
      </w:r>
      <w:r>
        <w:rPr>
          <w:lang w:val="en-GB"/>
        </w:rPr>
        <w:t xml:space="preserve"> the CO</w:t>
      </w:r>
      <w:r w:rsidRPr="007928CA">
        <w:rPr>
          <w:vertAlign w:val="subscript"/>
          <w:lang w:val="en-GB"/>
        </w:rPr>
        <w:t>2</w:t>
      </w:r>
      <w:r>
        <w:rPr>
          <w:lang w:val="en-GB"/>
        </w:rPr>
        <w:t xml:space="preserve"> content of the feedstock. The capital expenditures of the absorption, cryogenic distillation and Ca-looping were 1,587,000, 2,633,000 and 1,555,000 USD, respectively. The calculated values of the operating expenditures (OPEX) changed between 42,000 and 529,000 USD/year, </w:t>
      </w:r>
      <w:r w:rsidR="00BF59CC">
        <w:rPr>
          <w:lang w:val="en-GB"/>
        </w:rPr>
        <w:t xml:space="preserve">while </w:t>
      </w:r>
      <w:r>
        <w:rPr>
          <w:lang w:val="en-GB"/>
        </w:rPr>
        <w:t>according to the expectations, the highest OPEX was observed in cryogenic distillation. Based on the results, it was found that the best available technology for CO</w:t>
      </w:r>
      <w:r w:rsidRPr="00767FF9">
        <w:rPr>
          <w:vertAlign w:val="subscript"/>
          <w:lang w:val="en-GB"/>
        </w:rPr>
        <w:t>2</w:t>
      </w:r>
      <w:r>
        <w:rPr>
          <w:lang w:val="en-GB"/>
        </w:rPr>
        <w:t xml:space="preserve"> removal is absorption using </w:t>
      </w:r>
      <w:r w:rsidR="00C36D0A">
        <w:rPr>
          <w:lang w:val="en-GB"/>
        </w:rPr>
        <w:t>MEA</w:t>
      </w:r>
      <w:r>
        <w:rPr>
          <w:lang w:val="en-GB"/>
        </w:rPr>
        <w:t xml:space="preserve"> solution.</w:t>
      </w:r>
    </w:p>
    <w:p w14:paraId="6F6F42DD" w14:textId="77777777" w:rsidR="001F04FE" w:rsidRDefault="001F04FE" w:rsidP="001F04FE">
      <w:pPr>
        <w:pStyle w:val="CETHeading1"/>
        <w:tabs>
          <w:tab w:val="clear" w:pos="360"/>
        </w:tabs>
        <w:rPr>
          <w:lang w:val="en-GB"/>
        </w:rPr>
      </w:pPr>
      <w:r w:rsidRPr="00B57B36">
        <w:rPr>
          <w:lang w:val="en-GB"/>
        </w:rPr>
        <w:t>Introduction</w:t>
      </w:r>
    </w:p>
    <w:p w14:paraId="1A64FC2B" w14:textId="44AA45D9" w:rsidR="001F04FE" w:rsidRPr="002F3004" w:rsidRDefault="008B63BE" w:rsidP="001F04FE">
      <w:pPr>
        <w:pStyle w:val="CETBodytext"/>
        <w:rPr>
          <w:lang w:val="en-GB"/>
        </w:rPr>
      </w:pPr>
      <w:r>
        <w:rPr>
          <w:lang w:val="en-GB"/>
        </w:rPr>
        <w:t xml:space="preserve">Nowadays, </w:t>
      </w:r>
      <w:r w:rsidR="00363C22">
        <w:rPr>
          <w:lang w:val="en-GB"/>
        </w:rPr>
        <w:t>energy consumption</w:t>
      </w:r>
      <w:r w:rsidR="001F04FE" w:rsidRPr="00B4129A">
        <w:rPr>
          <w:lang w:val="en-GB"/>
        </w:rPr>
        <w:t xml:space="preserve"> </w:t>
      </w:r>
      <w:r w:rsidR="0020731A">
        <w:rPr>
          <w:lang w:val="en-GB"/>
        </w:rPr>
        <w:t>rises</w:t>
      </w:r>
      <w:r w:rsidR="001F04FE" w:rsidRPr="00B4129A">
        <w:rPr>
          <w:lang w:val="en-GB"/>
        </w:rPr>
        <w:t xml:space="preserve"> steadily as </w:t>
      </w:r>
      <w:r w:rsidR="001F04FE">
        <w:rPr>
          <w:lang w:val="en-GB"/>
        </w:rPr>
        <w:t xml:space="preserve">the </w:t>
      </w:r>
      <w:r w:rsidR="001F04FE" w:rsidRPr="00B4129A">
        <w:rPr>
          <w:lang w:val="en-GB"/>
        </w:rPr>
        <w:t xml:space="preserve">population increases and </w:t>
      </w:r>
      <w:r w:rsidR="00363C22">
        <w:rPr>
          <w:lang w:val="en-GB"/>
        </w:rPr>
        <w:t xml:space="preserve">the </w:t>
      </w:r>
      <w:r w:rsidR="001F04FE" w:rsidRPr="00B4129A">
        <w:rPr>
          <w:lang w:val="en-GB"/>
        </w:rPr>
        <w:t>living standard improves.</w:t>
      </w:r>
      <w:r w:rsidR="001F04FE">
        <w:rPr>
          <w:lang w:val="en-GB"/>
        </w:rPr>
        <w:t xml:space="preserve"> Nowadays, the major sources of energy are attributed to fossil </w:t>
      </w:r>
      <w:r w:rsidR="00BF59CC">
        <w:rPr>
          <w:lang w:val="en-GB"/>
        </w:rPr>
        <w:t>fuels that</w:t>
      </w:r>
      <w:r w:rsidR="001F04FE">
        <w:rPr>
          <w:lang w:val="en-GB"/>
        </w:rPr>
        <w:t xml:space="preserve"> are strongly responsible for climate change and global warming (</w:t>
      </w:r>
      <w:proofErr w:type="spellStart"/>
      <w:r w:rsidR="001F04FE">
        <w:t>Detchusananard</w:t>
      </w:r>
      <w:proofErr w:type="spellEnd"/>
      <w:r w:rsidR="001F04FE">
        <w:t xml:space="preserve"> et al., 2018).</w:t>
      </w:r>
      <w:r w:rsidR="001F04FE">
        <w:rPr>
          <w:lang w:val="en-GB"/>
        </w:rPr>
        <w:t xml:space="preserve"> Carbon dioxide (CO</w:t>
      </w:r>
      <w:r w:rsidR="001F04FE" w:rsidRPr="00293467">
        <w:rPr>
          <w:vertAlign w:val="subscript"/>
          <w:lang w:val="en-GB"/>
        </w:rPr>
        <w:t>2</w:t>
      </w:r>
      <w:r w:rsidR="001F04FE" w:rsidRPr="009B2FD6">
        <w:rPr>
          <w:lang w:val="en-GB"/>
        </w:rPr>
        <w:t>)</w:t>
      </w:r>
      <w:r w:rsidR="001F04FE">
        <w:rPr>
          <w:lang w:val="en-GB"/>
        </w:rPr>
        <w:t xml:space="preserve"> is a typical greenhouse gas </w:t>
      </w:r>
      <w:r w:rsidR="00363C22">
        <w:rPr>
          <w:lang w:val="en-GB"/>
        </w:rPr>
        <w:t xml:space="preserve">that </w:t>
      </w:r>
      <w:r w:rsidR="001F04FE">
        <w:rPr>
          <w:lang w:val="en-GB"/>
        </w:rPr>
        <w:t>accounts for 76 % of total greenhouse gas emissions</w:t>
      </w:r>
      <w:r w:rsidR="0020731A">
        <w:rPr>
          <w:b/>
          <w:lang w:val="en-GB"/>
        </w:rPr>
        <w:t>. It</w:t>
      </w:r>
      <w:r w:rsidR="001F04FE" w:rsidRPr="00293467">
        <w:rPr>
          <w:lang w:val="en-GB"/>
        </w:rPr>
        <w:t xml:space="preserve"> </w:t>
      </w:r>
      <w:r w:rsidR="001F04FE">
        <w:rPr>
          <w:lang w:val="en-GB"/>
        </w:rPr>
        <w:t>will cause</w:t>
      </w:r>
      <w:r w:rsidR="001F04FE" w:rsidRPr="00293467">
        <w:rPr>
          <w:lang w:val="en-GB"/>
        </w:rPr>
        <w:t xml:space="preserve"> </w:t>
      </w:r>
      <w:r w:rsidR="001F04FE">
        <w:rPr>
          <w:lang w:val="en-GB"/>
        </w:rPr>
        <w:t>a</w:t>
      </w:r>
      <w:r w:rsidR="001F04FE" w:rsidRPr="00293467">
        <w:rPr>
          <w:lang w:val="en-GB"/>
        </w:rPr>
        <w:t xml:space="preserve"> temperature increase of 1.8</w:t>
      </w:r>
      <w:r w:rsidR="001F04FE">
        <w:rPr>
          <w:lang w:val="en-GB"/>
        </w:rPr>
        <w:t xml:space="preserve"> </w:t>
      </w:r>
      <w:r w:rsidR="001F04FE" w:rsidRPr="00B57B36">
        <w:t>–</w:t>
      </w:r>
      <w:r w:rsidR="001F04FE">
        <w:t xml:space="preserve"> </w:t>
      </w:r>
      <w:r w:rsidR="001F04FE" w:rsidRPr="00293467">
        <w:rPr>
          <w:lang w:val="en-GB"/>
        </w:rPr>
        <w:t>5.8</w:t>
      </w:r>
      <w:r w:rsidR="001F04FE">
        <w:rPr>
          <w:lang w:val="en-GB"/>
        </w:rPr>
        <w:t xml:space="preserve"> </w:t>
      </w:r>
      <w:r w:rsidR="001F04FE" w:rsidRPr="00293467">
        <w:rPr>
          <w:lang w:val="en-GB"/>
        </w:rPr>
        <w:t xml:space="preserve">°C in </w:t>
      </w:r>
      <w:r w:rsidR="00363C22">
        <w:rPr>
          <w:lang w:val="en-GB"/>
        </w:rPr>
        <w:t>the</w:t>
      </w:r>
      <w:r w:rsidR="001F04FE">
        <w:rPr>
          <w:lang w:val="en-GB"/>
        </w:rPr>
        <w:t xml:space="preserve"> average temperature </w:t>
      </w:r>
      <w:r>
        <w:rPr>
          <w:lang w:val="en-GB"/>
        </w:rPr>
        <w:t xml:space="preserve">of the planet </w:t>
      </w:r>
      <w:r w:rsidR="001F04FE">
        <w:rPr>
          <w:lang w:val="en-GB"/>
        </w:rPr>
        <w:t>by the end of the twenty-first century</w:t>
      </w:r>
      <w:r w:rsidR="001F04FE" w:rsidRPr="00293467">
        <w:rPr>
          <w:lang w:val="en-GB"/>
        </w:rPr>
        <w:t xml:space="preserve"> if the </w:t>
      </w:r>
      <w:r w:rsidR="00363C22">
        <w:rPr>
          <w:lang w:val="en-GB"/>
        </w:rPr>
        <w:t>curr</w:t>
      </w:r>
      <w:r w:rsidR="00363C22" w:rsidRPr="00293467">
        <w:rPr>
          <w:lang w:val="en-GB"/>
        </w:rPr>
        <w:t xml:space="preserve">ent </w:t>
      </w:r>
      <w:r w:rsidR="001F04FE" w:rsidRPr="00293467">
        <w:rPr>
          <w:lang w:val="en-GB"/>
        </w:rPr>
        <w:t>emission level remains stable</w:t>
      </w:r>
      <w:r w:rsidR="001F04FE">
        <w:rPr>
          <w:b/>
          <w:lang w:val="en-GB"/>
        </w:rPr>
        <w:t xml:space="preserve"> </w:t>
      </w:r>
      <w:r w:rsidR="001F04FE" w:rsidRPr="006C5AA6">
        <w:rPr>
          <w:lang w:val="en-GB"/>
        </w:rPr>
        <w:t>(Xiang et al., 2019).</w:t>
      </w:r>
      <w:r w:rsidR="001F04FE">
        <w:rPr>
          <w:b/>
          <w:lang w:val="en-GB"/>
        </w:rPr>
        <w:t xml:space="preserve"> </w:t>
      </w:r>
      <w:r w:rsidR="001F04FE" w:rsidRPr="000F3023">
        <w:rPr>
          <w:lang w:val="en-GB"/>
        </w:rPr>
        <w:t>To relieve the mentioned issues,</w:t>
      </w:r>
      <w:r w:rsidR="001F04FE">
        <w:rPr>
          <w:b/>
          <w:lang w:val="en-GB"/>
        </w:rPr>
        <w:t xml:space="preserve"> </w:t>
      </w:r>
      <w:r w:rsidR="001F04FE">
        <w:rPr>
          <w:lang w:val="en-GB"/>
        </w:rPr>
        <w:t xml:space="preserve">searching for renewable energy sources and/or carbon capture storage (CCS) or </w:t>
      </w:r>
      <w:proofErr w:type="spellStart"/>
      <w:r w:rsidR="00363C22">
        <w:rPr>
          <w:lang w:val="en-GB"/>
        </w:rPr>
        <w:t>sutilisation</w:t>
      </w:r>
      <w:proofErr w:type="spellEnd"/>
      <w:r w:rsidR="00363C22">
        <w:rPr>
          <w:lang w:val="en-GB"/>
        </w:rPr>
        <w:t xml:space="preserve"> </w:t>
      </w:r>
      <w:r w:rsidR="001F04FE">
        <w:rPr>
          <w:lang w:val="en-GB"/>
        </w:rPr>
        <w:t xml:space="preserve">(CCU) technologies are needed </w:t>
      </w:r>
      <w:r w:rsidR="001F04FE" w:rsidRPr="00B53BB1">
        <w:rPr>
          <w:lang w:val="en-GB"/>
        </w:rPr>
        <w:t>(Lee et al., 2017).</w:t>
      </w:r>
      <w:r w:rsidR="001F04FE">
        <w:rPr>
          <w:b/>
          <w:lang w:val="en-GB"/>
        </w:rPr>
        <w:t xml:space="preserve"> </w:t>
      </w:r>
      <w:r w:rsidR="001F04FE" w:rsidRPr="009B2FD6">
        <w:rPr>
          <w:lang w:val="en-GB"/>
        </w:rPr>
        <w:t>CC</w:t>
      </w:r>
      <w:r w:rsidR="001F04FE">
        <w:rPr>
          <w:lang w:val="en-GB"/>
        </w:rPr>
        <w:t>U</w:t>
      </w:r>
      <w:r w:rsidR="001F04FE" w:rsidRPr="009B2FD6">
        <w:rPr>
          <w:lang w:val="en-GB"/>
        </w:rPr>
        <w:t xml:space="preserve"> </w:t>
      </w:r>
      <w:r w:rsidR="001F04FE">
        <w:rPr>
          <w:lang w:val="en-GB"/>
        </w:rPr>
        <w:t>processes</w:t>
      </w:r>
      <w:r w:rsidR="001F04FE" w:rsidRPr="009B2FD6">
        <w:rPr>
          <w:lang w:val="en-GB"/>
        </w:rPr>
        <w:t xml:space="preserve"> consist of various CO</w:t>
      </w:r>
      <w:r w:rsidR="001F04FE" w:rsidRPr="009B2FD6">
        <w:rPr>
          <w:vertAlign w:val="subscript"/>
          <w:lang w:val="en-GB"/>
        </w:rPr>
        <w:t>2</w:t>
      </w:r>
      <w:r w:rsidR="001F04FE" w:rsidRPr="009B2FD6">
        <w:rPr>
          <w:lang w:val="en-GB"/>
        </w:rPr>
        <w:t xml:space="preserve"> removal </w:t>
      </w:r>
      <w:r w:rsidR="001F04FE">
        <w:rPr>
          <w:lang w:val="en-GB"/>
        </w:rPr>
        <w:t>methods</w:t>
      </w:r>
      <w:r w:rsidR="001F04FE" w:rsidRPr="009B2FD6">
        <w:rPr>
          <w:lang w:val="en-GB"/>
        </w:rPr>
        <w:t xml:space="preserve"> such as</w:t>
      </w:r>
      <w:r w:rsidR="001F04FE">
        <w:rPr>
          <w:lang w:val="en-GB"/>
        </w:rPr>
        <w:t xml:space="preserve"> absorption </w:t>
      </w:r>
      <w:r w:rsidR="001F04FE" w:rsidRPr="00914020">
        <w:rPr>
          <w:lang w:val="en-GB"/>
        </w:rPr>
        <w:t>(Zhang et al., 2019)</w:t>
      </w:r>
      <w:r w:rsidR="00363C22">
        <w:rPr>
          <w:lang w:val="en-GB"/>
        </w:rPr>
        <w:t>,</w:t>
      </w:r>
      <w:r w:rsidR="001F04FE" w:rsidRPr="00243D1C">
        <w:rPr>
          <w:b/>
          <w:lang w:val="en-GB"/>
        </w:rPr>
        <w:t xml:space="preserve"> </w:t>
      </w:r>
      <w:r w:rsidR="001F04FE">
        <w:rPr>
          <w:lang w:val="en-GB"/>
        </w:rPr>
        <w:t xml:space="preserve">adsorption </w:t>
      </w:r>
      <w:r w:rsidR="001F04FE" w:rsidRPr="00E679C7">
        <w:rPr>
          <w:lang w:val="en-GB"/>
        </w:rPr>
        <w:t>(Ahmed et al., 2019),</w:t>
      </w:r>
      <w:r w:rsidR="001F04FE" w:rsidRPr="00243D1C">
        <w:rPr>
          <w:b/>
          <w:lang w:val="en-GB"/>
        </w:rPr>
        <w:t xml:space="preserve"> </w:t>
      </w:r>
      <w:r w:rsidR="001F04FE">
        <w:rPr>
          <w:lang w:val="en-GB"/>
        </w:rPr>
        <w:t xml:space="preserve">cryogenic distillation </w:t>
      </w:r>
      <w:r w:rsidR="001F04FE" w:rsidRPr="001D121B">
        <w:rPr>
          <w:lang w:val="en-GB"/>
        </w:rPr>
        <w:t>(Song et al., 2019)</w:t>
      </w:r>
      <w:r w:rsidR="001F04FE">
        <w:rPr>
          <w:lang w:val="en-GB"/>
        </w:rPr>
        <w:t xml:space="preserve"> and Ca-</w:t>
      </w:r>
      <w:r w:rsidR="001F04FE" w:rsidRPr="0047305B">
        <w:rPr>
          <w:lang w:val="en-GB"/>
        </w:rPr>
        <w:t>looping (Ortiz et al., 2018).</w:t>
      </w:r>
      <w:r w:rsidR="001F04FE">
        <w:rPr>
          <w:lang w:val="en-GB"/>
        </w:rPr>
        <w:t xml:space="preserve"> Although chemical absorption by </w:t>
      </w:r>
      <w:proofErr w:type="spellStart"/>
      <w:r>
        <w:rPr>
          <w:lang w:val="en-GB"/>
        </w:rPr>
        <w:t>alkanol</w:t>
      </w:r>
      <w:proofErr w:type="spellEnd"/>
      <w:r>
        <w:rPr>
          <w:lang w:val="en-GB"/>
        </w:rPr>
        <w:t xml:space="preserve"> amines</w:t>
      </w:r>
      <w:r w:rsidR="001F04FE">
        <w:rPr>
          <w:lang w:val="en-GB"/>
        </w:rPr>
        <w:t xml:space="preserve"> – especially by </w:t>
      </w:r>
      <w:proofErr w:type="spellStart"/>
      <w:r>
        <w:rPr>
          <w:lang w:val="en-GB"/>
        </w:rPr>
        <w:t>monoethanolamine</w:t>
      </w:r>
      <w:proofErr w:type="spellEnd"/>
      <w:r w:rsidR="001F04FE">
        <w:rPr>
          <w:lang w:val="en-GB"/>
        </w:rPr>
        <w:t xml:space="preserve"> (MEA) – is considered as the most mature technology </w:t>
      </w:r>
      <w:r w:rsidR="001F04FE" w:rsidRPr="00D14691">
        <w:rPr>
          <w:lang w:val="en-GB"/>
        </w:rPr>
        <w:t>(Shi et al., 2014),</w:t>
      </w:r>
      <w:r w:rsidR="001F04FE">
        <w:rPr>
          <w:b/>
          <w:lang w:val="en-GB"/>
        </w:rPr>
        <w:t xml:space="preserve"> </w:t>
      </w:r>
      <w:r w:rsidR="001F04FE" w:rsidRPr="00094CC6">
        <w:rPr>
          <w:lang w:val="en-GB"/>
        </w:rPr>
        <w:t>it has some</w:t>
      </w:r>
      <w:r w:rsidR="001F04FE">
        <w:rPr>
          <w:b/>
          <w:lang w:val="en-GB"/>
        </w:rPr>
        <w:t xml:space="preserve"> </w:t>
      </w:r>
      <w:r w:rsidR="00363C22">
        <w:rPr>
          <w:lang w:val="en-GB"/>
        </w:rPr>
        <w:t>disadvantages</w:t>
      </w:r>
      <w:r w:rsidR="001F04FE">
        <w:rPr>
          <w:lang w:val="en-GB"/>
        </w:rPr>
        <w:t xml:space="preserve">, such as high energy requirement, corrosiveness, slow kinetics, low absorption capacity and thermal stability </w:t>
      </w:r>
      <w:r w:rsidR="001F04FE" w:rsidRPr="00A95599">
        <w:rPr>
          <w:lang w:val="en-GB"/>
        </w:rPr>
        <w:t>(</w:t>
      </w:r>
      <w:proofErr w:type="spellStart"/>
      <w:r w:rsidR="001F04FE" w:rsidRPr="00D14691">
        <w:rPr>
          <w:lang w:val="en-GB"/>
        </w:rPr>
        <w:t>Narku-Tetteh</w:t>
      </w:r>
      <w:proofErr w:type="spellEnd"/>
      <w:r w:rsidR="001F04FE">
        <w:rPr>
          <w:lang w:val="en-GB"/>
        </w:rPr>
        <w:t xml:space="preserve"> et al., 2017</w:t>
      </w:r>
      <w:r w:rsidR="001F04FE" w:rsidRPr="00A95599">
        <w:rPr>
          <w:lang w:val="en-GB"/>
        </w:rPr>
        <w:t>).</w:t>
      </w:r>
      <w:r w:rsidR="001F04FE">
        <w:rPr>
          <w:b/>
          <w:lang w:val="en-GB"/>
        </w:rPr>
        <w:t xml:space="preserve"> </w:t>
      </w:r>
      <w:r w:rsidR="001F04FE">
        <w:rPr>
          <w:lang w:val="en-GB"/>
        </w:rPr>
        <w:t>As a result of the limitations</w:t>
      </w:r>
      <w:r w:rsidR="001F04FE" w:rsidRPr="00A80C9B">
        <w:rPr>
          <w:lang w:val="en-GB"/>
        </w:rPr>
        <w:t xml:space="preserve">, </w:t>
      </w:r>
      <w:r w:rsidR="001F04FE" w:rsidRPr="002F2532">
        <w:rPr>
          <w:lang w:val="en-GB"/>
        </w:rPr>
        <w:t xml:space="preserve">many studies </w:t>
      </w:r>
      <w:r w:rsidR="001F04FE">
        <w:rPr>
          <w:lang w:val="en-GB"/>
        </w:rPr>
        <w:t>have been focused</w:t>
      </w:r>
      <w:r w:rsidR="001F04FE" w:rsidRPr="002F2532">
        <w:rPr>
          <w:lang w:val="en-GB"/>
        </w:rPr>
        <w:t xml:space="preserve"> on</w:t>
      </w:r>
      <w:r w:rsidR="001F04FE">
        <w:rPr>
          <w:lang w:val="en-GB"/>
        </w:rPr>
        <w:t xml:space="preserve"> solid adsorbents (e.g. activated carbon, zeolites etc.) </w:t>
      </w:r>
      <w:proofErr w:type="gramStart"/>
      <w:r w:rsidR="001F04FE" w:rsidRPr="00A95599">
        <w:rPr>
          <w:lang w:val="en-GB"/>
        </w:rPr>
        <w:t>(</w:t>
      </w:r>
      <w:proofErr w:type="spellStart"/>
      <w:r w:rsidR="001F04FE">
        <w:t>Samanta</w:t>
      </w:r>
      <w:proofErr w:type="spellEnd"/>
      <w:r w:rsidR="001F04FE">
        <w:t xml:space="preserve"> et al., 2012</w:t>
      </w:r>
      <w:r w:rsidR="001F04FE" w:rsidRPr="006C61B4">
        <w:rPr>
          <w:lang w:val="en-GB"/>
        </w:rPr>
        <w:t>).</w:t>
      </w:r>
      <w:proofErr w:type="gramEnd"/>
      <w:r w:rsidR="001F04FE">
        <w:rPr>
          <w:b/>
          <w:lang w:val="en-GB"/>
        </w:rPr>
        <w:t xml:space="preserve"> </w:t>
      </w:r>
      <w:r w:rsidR="001F04FE" w:rsidRPr="00AA3E9A">
        <w:rPr>
          <w:lang w:val="en-GB"/>
        </w:rPr>
        <w:t>Ho</w:t>
      </w:r>
      <w:r w:rsidR="001F04FE">
        <w:rPr>
          <w:lang w:val="en-GB"/>
        </w:rPr>
        <w:t>wever</w:t>
      </w:r>
      <w:r w:rsidR="001F04FE" w:rsidRPr="00AA3E9A">
        <w:rPr>
          <w:lang w:val="en-GB"/>
        </w:rPr>
        <w:t xml:space="preserve">, it was </w:t>
      </w:r>
      <w:r w:rsidR="001F04FE">
        <w:rPr>
          <w:lang w:val="en-GB"/>
        </w:rPr>
        <w:t>found</w:t>
      </w:r>
      <w:r w:rsidR="001F04FE" w:rsidRPr="00AA3E9A">
        <w:rPr>
          <w:lang w:val="en-GB"/>
        </w:rPr>
        <w:t xml:space="preserve"> that </w:t>
      </w:r>
      <w:r w:rsidR="001F04FE">
        <w:rPr>
          <w:lang w:val="en-GB"/>
        </w:rPr>
        <w:t xml:space="preserve">adsorption methods </w:t>
      </w:r>
      <w:r w:rsidR="001F04FE" w:rsidRPr="00AA3E9A">
        <w:rPr>
          <w:lang w:val="en-GB"/>
        </w:rPr>
        <w:t>are less effective</w:t>
      </w:r>
      <w:r w:rsidR="00363C22">
        <w:rPr>
          <w:lang w:val="en-GB"/>
        </w:rPr>
        <w:t>,</w:t>
      </w:r>
      <w:r w:rsidR="001F04FE">
        <w:rPr>
          <w:lang w:val="en-GB"/>
        </w:rPr>
        <w:t xml:space="preserve"> </w:t>
      </w:r>
      <w:r>
        <w:rPr>
          <w:lang w:val="en-GB"/>
        </w:rPr>
        <w:t>resulting in</w:t>
      </w:r>
      <w:r w:rsidR="001F04FE">
        <w:rPr>
          <w:lang w:val="en-GB"/>
        </w:rPr>
        <w:t xml:space="preserve"> low CO</w:t>
      </w:r>
      <w:r w:rsidR="001F04FE" w:rsidRPr="00AA3E9A">
        <w:rPr>
          <w:vertAlign w:val="subscript"/>
          <w:lang w:val="en-GB"/>
        </w:rPr>
        <w:t>2</w:t>
      </w:r>
      <w:r w:rsidR="001F04FE">
        <w:rPr>
          <w:lang w:val="en-GB"/>
        </w:rPr>
        <w:t xml:space="preserve"> selectivity and capacity</w:t>
      </w:r>
      <w:r w:rsidR="00363C22">
        <w:rPr>
          <w:lang w:val="en-GB"/>
        </w:rPr>
        <w:t>. M</w:t>
      </w:r>
      <w:r w:rsidR="001F04FE">
        <w:rPr>
          <w:lang w:val="en-GB"/>
        </w:rPr>
        <w:t>oreover</w:t>
      </w:r>
      <w:r w:rsidR="00363C22">
        <w:rPr>
          <w:lang w:val="en-GB"/>
        </w:rPr>
        <w:t>,</w:t>
      </w:r>
      <w:r w:rsidR="001F04FE">
        <w:rPr>
          <w:lang w:val="en-GB"/>
        </w:rPr>
        <w:t xml:space="preserve"> the regeneration and reusability of adsorbents may r</w:t>
      </w:r>
      <w:r w:rsidR="00363C22">
        <w:rPr>
          <w:lang w:val="en-GB"/>
        </w:rPr>
        <w:t>a</w:t>
      </w:r>
      <w:r w:rsidR="001F04FE">
        <w:rPr>
          <w:lang w:val="en-GB"/>
        </w:rPr>
        <w:t xml:space="preserve">ise further questions </w:t>
      </w:r>
      <w:r w:rsidR="001F04FE" w:rsidRPr="00EC4A7C">
        <w:rPr>
          <w:b/>
          <w:lang w:val="en-GB"/>
        </w:rPr>
        <w:t>(</w:t>
      </w:r>
      <w:proofErr w:type="spellStart"/>
      <w:r w:rsidR="001F04FE">
        <w:t>Bamdad</w:t>
      </w:r>
      <w:proofErr w:type="spellEnd"/>
      <w:r w:rsidR="001F04FE">
        <w:t xml:space="preserve"> et al., 2018</w:t>
      </w:r>
      <w:r w:rsidR="001F04FE" w:rsidRPr="00B24532">
        <w:rPr>
          <w:lang w:val="en-GB"/>
        </w:rPr>
        <w:t>).</w:t>
      </w:r>
      <w:r w:rsidR="001F04FE">
        <w:rPr>
          <w:b/>
          <w:lang w:val="en-GB"/>
        </w:rPr>
        <w:t xml:space="preserve"> </w:t>
      </w:r>
      <w:r w:rsidR="001F04FE">
        <w:rPr>
          <w:lang w:val="en-GB"/>
        </w:rPr>
        <w:t>Cryogenic distillation is also a possible way to remove CO</w:t>
      </w:r>
      <w:r w:rsidR="001F04FE" w:rsidRPr="00775AB8">
        <w:rPr>
          <w:vertAlign w:val="subscript"/>
          <w:lang w:val="en-GB"/>
        </w:rPr>
        <w:t>2</w:t>
      </w:r>
      <w:r w:rsidR="00363C22">
        <w:rPr>
          <w:vertAlign w:val="subscript"/>
          <w:lang w:val="en-GB"/>
        </w:rPr>
        <w:t>,</w:t>
      </w:r>
      <w:r w:rsidR="001F04FE">
        <w:rPr>
          <w:vertAlign w:val="subscript"/>
          <w:lang w:val="en-GB"/>
        </w:rPr>
        <w:t xml:space="preserve"> </w:t>
      </w:r>
      <w:r w:rsidR="001F04FE" w:rsidRPr="00E52D51">
        <w:rPr>
          <w:lang w:val="en-GB"/>
        </w:rPr>
        <w:t xml:space="preserve">but </w:t>
      </w:r>
      <w:r w:rsidR="001F04FE">
        <w:rPr>
          <w:lang w:val="en-GB"/>
        </w:rPr>
        <w:t xml:space="preserve">its </w:t>
      </w:r>
      <w:r w:rsidR="001F04FE" w:rsidRPr="00E52D51">
        <w:rPr>
          <w:lang w:val="en-GB"/>
        </w:rPr>
        <w:t xml:space="preserve">high energy demand </w:t>
      </w:r>
      <w:r w:rsidR="001F04FE">
        <w:rPr>
          <w:lang w:val="en-GB"/>
        </w:rPr>
        <w:t xml:space="preserve">commonly </w:t>
      </w:r>
      <w:r w:rsidR="001F04FE" w:rsidRPr="00E52D51">
        <w:rPr>
          <w:lang w:val="en-GB"/>
        </w:rPr>
        <w:t xml:space="preserve">contributes to over 50 % of </w:t>
      </w:r>
      <w:r w:rsidR="001F04FE">
        <w:rPr>
          <w:lang w:val="en-GB"/>
        </w:rPr>
        <w:t xml:space="preserve">the total </w:t>
      </w:r>
      <w:r w:rsidR="001F04FE" w:rsidRPr="00E52D51">
        <w:rPr>
          <w:lang w:val="en-GB"/>
        </w:rPr>
        <w:t xml:space="preserve">plant operating costs </w:t>
      </w:r>
      <w:r w:rsidR="001F04FE" w:rsidRPr="00E52D51">
        <w:rPr>
          <w:b/>
          <w:lang w:val="en-GB"/>
        </w:rPr>
        <w:t>(</w:t>
      </w:r>
      <w:proofErr w:type="spellStart"/>
      <w:r w:rsidR="001F04FE" w:rsidRPr="00B24532">
        <w:rPr>
          <w:lang w:val="en-GB"/>
        </w:rPr>
        <w:t>Ebrahimzadeh</w:t>
      </w:r>
      <w:proofErr w:type="spellEnd"/>
      <w:r w:rsidR="001F04FE">
        <w:rPr>
          <w:lang w:val="en-GB"/>
        </w:rPr>
        <w:t xml:space="preserve"> et al., </w:t>
      </w:r>
      <w:r w:rsidR="001F04FE">
        <w:rPr>
          <w:lang w:val="en-GB"/>
        </w:rPr>
        <w:lastRenderedPageBreak/>
        <w:t>2016</w:t>
      </w:r>
      <w:r w:rsidR="001F04FE" w:rsidRPr="00B24532">
        <w:rPr>
          <w:lang w:val="en-GB"/>
        </w:rPr>
        <w:t>).</w:t>
      </w:r>
      <w:r w:rsidR="001F04FE">
        <w:rPr>
          <w:b/>
          <w:lang w:val="en-GB"/>
        </w:rPr>
        <w:t xml:space="preserve"> </w:t>
      </w:r>
      <w:r w:rsidR="001F04FE" w:rsidRPr="00EA30A6">
        <w:rPr>
          <w:lang w:val="en-GB"/>
        </w:rPr>
        <w:t>Besides</w:t>
      </w:r>
      <w:r>
        <w:rPr>
          <w:lang w:val="en-GB"/>
        </w:rPr>
        <w:t>,</w:t>
      </w:r>
      <w:r w:rsidR="001F04FE" w:rsidRPr="00EA30A6">
        <w:rPr>
          <w:lang w:val="en-GB"/>
        </w:rPr>
        <w:t xml:space="preserve"> </w:t>
      </w:r>
      <w:r>
        <w:rPr>
          <w:lang w:val="en-GB"/>
        </w:rPr>
        <w:t xml:space="preserve">from </w:t>
      </w:r>
      <w:r w:rsidR="001F04FE" w:rsidRPr="00EA30A6">
        <w:rPr>
          <w:lang w:val="en-GB"/>
        </w:rPr>
        <w:t xml:space="preserve">the </w:t>
      </w:r>
      <w:r>
        <w:rPr>
          <w:lang w:val="en-GB"/>
        </w:rPr>
        <w:t>referred</w:t>
      </w:r>
      <w:r w:rsidR="001F04FE" w:rsidRPr="00EA30A6">
        <w:rPr>
          <w:lang w:val="en-GB"/>
        </w:rPr>
        <w:t xml:space="preserve"> technologies, Ca-looping </w:t>
      </w:r>
      <w:r w:rsidR="001F04FE">
        <w:rPr>
          <w:lang w:val="en-GB"/>
        </w:rPr>
        <w:t>seems to be the most promising technology for CO</w:t>
      </w:r>
      <w:r w:rsidR="001F04FE" w:rsidRPr="000F5030">
        <w:rPr>
          <w:vertAlign w:val="subscript"/>
          <w:lang w:val="en-GB"/>
        </w:rPr>
        <w:t>2</w:t>
      </w:r>
      <w:r w:rsidR="001F04FE">
        <w:rPr>
          <w:vertAlign w:val="subscript"/>
          <w:lang w:val="en-GB"/>
        </w:rPr>
        <w:t xml:space="preserve"> </w:t>
      </w:r>
      <w:r w:rsidR="001F04FE">
        <w:rPr>
          <w:lang w:val="en-GB"/>
        </w:rPr>
        <w:t>removal. Due to the high optimal carbonation temperature (650 °C)</w:t>
      </w:r>
      <w:r w:rsidR="00363C22">
        <w:rPr>
          <w:lang w:val="en-GB"/>
        </w:rPr>
        <w:t>,</w:t>
      </w:r>
      <w:r w:rsidR="001F04FE">
        <w:rPr>
          <w:lang w:val="en-GB"/>
        </w:rPr>
        <w:t xml:space="preserve"> this process offers a relatively small energy penalty and results</w:t>
      </w:r>
      <w:r w:rsidR="00363C22">
        <w:rPr>
          <w:lang w:val="en-GB"/>
        </w:rPr>
        <w:t xml:space="preserve"> in</w:t>
      </w:r>
      <w:r w:rsidR="001F04FE">
        <w:rPr>
          <w:lang w:val="en-GB"/>
        </w:rPr>
        <w:t xml:space="preserve"> around 80 – 90 % CO</w:t>
      </w:r>
      <w:r w:rsidR="001F04FE" w:rsidRPr="00775AB8">
        <w:rPr>
          <w:vertAlign w:val="subscript"/>
          <w:lang w:val="en-GB"/>
        </w:rPr>
        <w:t>2</w:t>
      </w:r>
      <w:r w:rsidR="001F04FE">
        <w:rPr>
          <w:lang w:val="en-GB"/>
        </w:rPr>
        <w:t xml:space="preserve"> capture efficiency </w:t>
      </w:r>
      <w:r w:rsidR="001F04FE" w:rsidRPr="001E6D4B">
        <w:rPr>
          <w:lang w:val="en-GB"/>
        </w:rPr>
        <w:t>(</w:t>
      </w:r>
      <w:r w:rsidR="001F04FE" w:rsidRPr="001E6D4B">
        <w:t>Romano et al., 2013</w:t>
      </w:r>
      <w:r w:rsidR="001F04FE" w:rsidRPr="001E6D4B">
        <w:rPr>
          <w:lang w:val="en-GB"/>
        </w:rPr>
        <w:t>).</w:t>
      </w:r>
      <w:r w:rsidR="001F04FE">
        <w:rPr>
          <w:b/>
          <w:lang w:val="en-GB"/>
        </w:rPr>
        <w:t xml:space="preserve"> </w:t>
      </w:r>
      <w:r w:rsidR="001F04FE" w:rsidRPr="00A528BE">
        <w:rPr>
          <w:lang w:val="en-GB"/>
        </w:rPr>
        <w:t xml:space="preserve">Although the mentioned technologies were widely studied in </w:t>
      </w:r>
      <w:r w:rsidR="00363C22">
        <w:rPr>
          <w:lang w:val="en-GB"/>
        </w:rPr>
        <w:t xml:space="preserve">the </w:t>
      </w:r>
      <w:r w:rsidR="001F04FE" w:rsidRPr="00A528BE">
        <w:rPr>
          <w:lang w:val="en-GB"/>
        </w:rPr>
        <w:t>purification of flue gases, the knowledge about their applicability in CO</w:t>
      </w:r>
      <w:r w:rsidR="001F04FE" w:rsidRPr="00A528BE">
        <w:rPr>
          <w:vertAlign w:val="subscript"/>
          <w:lang w:val="en-GB"/>
        </w:rPr>
        <w:t>2</w:t>
      </w:r>
      <w:r w:rsidR="001F04FE" w:rsidRPr="00A528BE">
        <w:rPr>
          <w:lang w:val="en-GB"/>
        </w:rPr>
        <w:t xml:space="preserve"> removal of </w:t>
      </w:r>
      <w:r w:rsidR="00363C22" w:rsidRPr="00A528BE">
        <w:rPr>
          <w:lang w:val="en-GB"/>
        </w:rPr>
        <w:t>biomass</w:t>
      </w:r>
      <w:r w:rsidR="00363C22">
        <w:rPr>
          <w:lang w:val="en-GB"/>
        </w:rPr>
        <w:t>-</w:t>
      </w:r>
      <w:r w:rsidR="001F04FE" w:rsidRPr="00A528BE">
        <w:rPr>
          <w:lang w:val="en-GB"/>
        </w:rPr>
        <w:t xml:space="preserve">based </w:t>
      </w:r>
      <w:proofErr w:type="spellStart"/>
      <w:r w:rsidR="001F04FE" w:rsidRPr="00A528BE">
        <w:rPr>
          <w:lang w:val="en-GB"/>
        </w:rPr>
        <w:t>syn</w:t>
      </w:r>
      <w:r w:rsidR="001F04FE">
        <w:rPr>
          <w:lang w:val="en-GB"/>
        </w:rPr>
        <w:t>gases</w:t>
      </w:r>
      <w:proofErr w:type="spellEnd"/>
      <w:r w:rsidR="001F04FE" w:rsidRPr="00A528BE">
        <w:rPr>
          <w:lang w:val="en-GB"/>
        </w:rPr>
        <w:t xml:space="preserve"> </w:t>
      </w:r>
      <w:r w:rsidR="001F04FE">
        <w:rPr>
          <w:lang w:val="en-GB"/>
        </w:rPr>
        <w:t>is</w:t>
      </w:r>
      <w:r w:rsidR="001F04FE" w:rsidRPr="00A528BE">
        <w:rPr>
          <w:lang w:val="en-GB"/>
        </w:rPr>
        <w:t xml:space="preserve"> limited</w:t>
      </w:r>
      <w:r w:rsidR="001F04FE" w:rsidRPr="00B454C3">
        <w:rPr>
          <w:lang w:val="en-GB"/>
        </w:rPr>
        <w:t>.</w:t>
      </w:r>
      <w:r w:rsidR="001F04FE">
        <w:rPr>
          <w:lang w:val="en-GB"/>
        </w:rPr>
        <w:t xml:space="preserve"> </w:t>
      </w:r>
      <w:r>
        <w:rPr>
          <w:lang w:val="en-GB"/>
        </w:rPr>
        <w:t>B</w:t>
      </w:r>
      <w:r w:rsidRPr="008B63BE">
        <w:rPr>
          <w:lang w:val="en-GB"/>
        </w:rPr>
        <w:t xml:space="preserve">ased on </w:t>
      </w:r>
      <w:r w:rsidR="00363C22">
        <w:rPr>
          <w:lang w:val="en-GB"/>
        </w:rPr>
        <w:t xml:space="preserve">the </w:t>
      </w:r>
      <w:r w:rsidRPr="008B63BE">
        <w:rPr>
          <w:lang w:val="en-GB"/>
        </w:rPr>
        <w:t>available literature</w:t>
      </w:r>
      <w:r>
        <w:rPr>
          <w:lang w:val="en-GB"/>
        </w:rPr>
        <w:t>,</w:t>
      </w:r>
      <w:r w:rsidR="001F04FE">
        <w:rPr>
          <w:lang w:val="en-GB"/>
        </w:rPr>
        <w:t xml:space="preserve"> </w:t>
      </w:r>
      <w:r w:rsidR="001F04FE" w:rsidRPr="00AC7662">
        <w:rPr>
          <w:lang w:val="en-GB"/>
        </w:rPr>
        <w:t xml:space="preserve">there are no available publications in which </w:t>
      </w:r>
      <w:r w:rsidR="001F04FE">
        <w:rPr>
          <w:lang w:val="en-GB"/>
        </w:rPr>
        <w:t>these technologies</w:t>
      </w:r>
      <w:r w:rsidR="001F04FE" w:rsidRPr="00AC7662">
        <w:rPr>
          <w:lang w:val="en-GB"/>
        </w:rPr>
        <w:t xml:space="preserve"> would be compared </w:t>
      </w:r>
      <w:r w:rsidR="001F04FE">
        <w:rPr>
          <w:lang w:val="en-GB"/>
        </w:rPr>
        <w:t xml:space="preserve">and </w:t>
      </w:r>
      <w:proofErr w:type="spellStart"/>
      <w:r w:rsidR="00363C22">
        <w:rPr>
          <w:lang w:val="en-GB"/>
        </w:rPr>
        <w:t>soptimised</w:t>
      </w:r>
      <w:proofErr w:type="spellEnd"/>
      <w:r w:rsidR="00363C22">
        <w:rPr>
          <w:lang w:val="en-GB"/>
        </w:rPr>
        <w:t xml:space="preserve"> based on</w:t>
      </w:r>
      <w:r w:rsidR="001F04FE">
        <w:rPr>
          <w:lang w:val="en-GB"/>
        </w:rPr>
        <w:t xml:space="preserve"> efficiency, </w:t>
      </w:r>
      <w:r w:rsidR="001F04FE" w:rsidRPr="00AC7662">
        <w:rPr>
          <w:lang w:val="en-GB"/>
        </w:rPr>
        <w:t>capital and operating expenditure</w:t>
      </w:r>
      <w:r w:rsidR="001F04FE">
        <w:rPr>
          <w:lang w:val="en-GB"/>
        </w:rPr>
        <w:t>s</w:t>
      </w:r>
      <w:r w:rsidR="001F04FE" w:rsidRPr="00AC7662">
        <w:rPr>
          <w:lang w:val="en-GB"/>
        </w:rPr>
        <w:t xml:space="preserve"> (CAPEX and OPEX</w:t>
      </w:r>
      <w:r w:rsidR="001F04FE">
        <w:rPr>
          <w:lang w:val="en-GB"/>
        </w:rPr>
        <w:t>). As a result of it, the best available technology is unknown. In this study</w:t>
      </w:r>
      <w:r w:rsidR="00363C22">
        <w:rPr>
          <w:lang w:val="en-GB"/>
        </w:rPr>
        <w:t>,</w:t>
      </w:r>
      <w:r w:rsidR="001F04FE">
        <w:rPr>
          <w:lang w:val="en-GB"/>
        </w:rPr>
        <w:t xml:space="preserve"> three promising technologies were simulated with </w:t>
      </w:r>
      <w:r w:rsidR="0020731A">
        <w:rPr>
          <w:lang w:val="en-GB"/>
        </w:rPr>
        <w:t>applying</w:t>
      </w:r>
      <w:r w:rsidR="001F04FE">
        <w:rPr>
          <w:lang w:val="en-GB"/>
        </w:rPr>
        <w:t xml:space="preserve"> </w:t>
      </w:r>
      <w:r w:rsidR="00363C22">
        <w:rPr>
          <w:lang w:val="en-GB"/>
        </w:rPr>
        <w:t xml:space="preserve">a </w:t>
      </w:r>
      <w:r w:rsidR="001F04FE">
        <w:rPr>
          <w:lang w:val="en-GB"/>
        </w:rPr>
        <w:t>flow</w:t>
      </w:r>
      <w:r>
        <w:rPr>
          <w:lang w:val="en-GB"/>
        </w:rPr>
        <w:t xml:space="preserve"> </w:t>
      </w:r>
      <w:r w:rsidR="001F04FE">
        <w:rPr>
          <w:lang w:val="en-GB"/>
        </w:rPr>
        <w:t>sheeting simulator (Aspen Plus</w:t>
      </w:r>
      <w:r w:rsidR="00363C22">
        <w:rPr>
          <w:lang w:val="en-GB"/>
        </w:rPr>
        <w:t xml:space="preserve">); </w:t>
      </w:r>
      <w:r w:rsidR="001F04FE">
        <w:rPr>
          <w:lang w:val="en-GB"/>
        </w:rPr>
        <w:t xml:space="preserve">the main equipment </w:t>
      </w:r>
      <w:r w:rsidR="0020731A">
        <w:rPr>
          <w:lang w:val="en-GB"/>
        </w:rPr>
        <w:t>w</w:t>
      </w:r>
      <w:r w:rsidR="0020731A">
        <w:rPr>
          <w:lang w:val="en-GB"/>
        </w:rPr>
        <w:t>as</w:t>
      </w:r>
      <w:r w:rsidR="0020731A">
        <w:rPr>
          <w:lang w:val="en-GB"/>
        </w:rPr>
        <w:t xml:space="preserve"> </w:t>
      </w:r>
      <w:r w:rsidR="001F04FE">
        <w:rPr>
          <w:lang w:val="en-GB"/>
        </w:rPr>
        <w:t>designed</w:t>
      </w:r>
      <w:r>
        <w:rPr>
          <w:lang w:val="en-GB"/>
        </w:rPr>
        <w:t>,</w:t>
      </w:r>
      <w:r w:rsidR="001F04FE">
        <w:rPr>
          <w:lang w:val="en-GB"/>
        </w:rPr>
        <w:t xml:space="preserve"> sized and the most suitable technology for the purification of this specific stream was determined. </w:t>
      </w:r>
    </w:p>
    <w:p w14:paraId="2F2AB60B" w14:textId="77777777" w:rsidR="001F04FE" w:rsidRDefault="001F04FE" w:rsidP="001F04FE">
      <w:pPr>
        <w:pStyle w:val="CETHeading1"/>
        <w:tabs>
          <w:tab w:val="clear" w:pos="360"/>
        </w:tabs>
        <w:rPr>
          <w:lang w:val="en-GB"/>
        </w:rPr>
      </w:pPr>
      <w:r>
        <w:rPr>
          <w:lang w:val="en-GB"/>
        </w:rPr>
        <w:t>Material and methods</w:t>
      </w:r>
    </w:p>
    <w:p w14:paraId="14969539" w14:textId="57E2DD5B" w:rsidR="001F04FE" w:rsidRDefault="001F04FE" w:rsidP="001F04FE">
      <w:pPr>
        <w:pStyle w:val="CETBodytext"/>
        <w:rPr>
          <w:lang w:val="en-GB"/>
        </w:rPr>
      </w:pPr>
      <w:r>
        <w:rPr>
          <w:lang w:val="en-GB"/>
        </w:rPr>
        <w:t>Based on the typical biomass yields and gasification reactor outlet parameters</w:t>
      </w:r>
      <w:r w:rsidR="008B63BE">
        <w:rPr>
          <w:lang w:val="en-GB"/>
        </w:rPr>
        <w:t>,</w:t>
      </w:r>
      <w:r>
        <w:rPr>
          <w:lang w:val="en-GB"/>
        </w:rPr>
        <w:t xml:space="preserve"> a 5000 t/year capacity was chosen. This will result in our case around 58 % of gas (2900 t/year) and about 42 % (2100 t/year) of char yields (which can be varie</w:t>
      </w:r>
      <w:r w:rsidR="008B63BE">
        <w:rPr>
          <w:lang w:val="en-GB"/>
        </w:rPr>
        <w:t>d</w:t>
      </w:r>
      <w:r>
        <w:rPr>
          <w:lang w:val="en-GB"/>
        </w:rPr>
        <w:t xml:space="preserve"> based on the inlet composition of the biomass). The </w:t>
      </w:r>
      <w:proofErr w:type="spellStart"/>
      <w:r w:rsidR="00363C22">
        <w:rPr>
          <w:lang w:val="en-GB"/>
        </w:rPr>
        <w:t>sutilisation</w:t>
      </w:r>
      <w:proofErr w:type="spellEnd"/>
      <w:r w:rsidR="00363C22">
        <w:rPr>
          <w:lang w:val="en-GB"/>
        </w:rPr>
        <w:t xml:space="preserve"> </w:t>
      </w:r>
      <w:r>
        <w:rPr>
          <w:lang w:val="en-GB"/>
        </w:rPr>
        <w:t>of the solid was not considered</w:t>
      </w:r>
      <w:r w:rsidR="00363C22">
        <w:rPr>
          <w:lang w:val="en-GB"/>
        </w:rPr>
        <w:t xml:space="preserve">; </w:t>
      </w:r>
      <w:r w:rsidR="008B63BE">
        <w:rPr>
          <w:lang w:val="en-GB"/>
        </w:rPr>
        <w:t xml:space="preserve">only </w:t>
      </w:r>
      <w:r>
        <w:rPr>
          <w:lang w:val="en-GB"/>
        </w:rPr>
        <w:t xml:space="preserve">the purification of the outlet gas </w:t>
      </w:r>
      <w:r w:rsidR="008B63BE">
        <w:rPr>
          <w:lang w:val="en-GB"/>
        </w:rPr>
        <w:t>was calculated</w:t>
      </w:r>
      <w:r>
        <w:rPr>
          <w:lang w:val="en-GB"/>
        </w:rPr>
        <w:t>.</w:t>
      </w:r>
    </w:p>
    <w:p w14:paraId="6FE75B49" w14:textId="4BE8EB6B" w:rsidR="001F04FE" w:rsidRDefault="001F04FE" w:rsidP="001F04FE">
      <w:pPr>
        <w:pStyle w:val="CETBodytext"/>
        <w:rPr>
          <w:lang w:val="en-GB"/>
        </w:rPr>
      </w:pPr>
      <w:r>
        <w:rPr>
          <w:lang w:val="en-GB"/>
        </w:rPr>
        <w:t xml:space="preserve">The same inlet parameters were applied: </w:t>
      </w:r>
      <w:r w:rsidRPr="00CB7105">
        <w:rPr>
          <w:lang w:val="en-GB"/>
        </w:rPr>
        <w:t>362 kg/</w:t>
      </w:r>
      <w:proofErr w:type="spellStart"/>
      <w:r w:rsidRPr="00CB7105">
        <w:rPr>
          <w:lang w:val="en-GB"/>
        </w:rPr>
        <w:t>hr</w:t>
      </w:r>
      <w:proofErr w:type="spellEnd"/>
      <w:r>
        <w:rPr>
          <w:lang w:val="en-GB"/>
        </w:rPr>
        <w:t xml:space="preserve"> feedstock at 850 °C and 1 bar. Table 1 shows the inlet gas composition derived from laboratory-scale </w:t>
      </w:r>
      <w:r w:rsidRPr="009978B5">
        <w:rPr>
          <w:lang w:val="en-GB"/>
        </w:rPr>
        <w:t>experiments</w:t>
      </w:r>
      <w:r>
        <w:rPr>
          <w:lang w:val="en-GB"/>
        </w:rPr>
        <w:t xml:space="preserve">. The inlet stream of the process was the outlet of the </w:t>
      </w:r>
      <w:proofErr w:type="spellStart"/>
      <w:r w:rsidR="008B63BE">
        <w:rPr>
          <w:lang w:val="en-GB"/>
        </w:rPr>
        <w:t>multizone</w:t>
      </w:r>
      <w:proofErr w:type="spellEnd"/>
      <w:r w:rsidR="008B63BE">
        <w:rPr>
          <w:lang w:val="en-GB"/>
        </w:rPr>
        <w:t xml:space="preserve"> </w:t>
      </w:r>
      <w:r>
        <w:rPr>
          <w:lang w:val="en-GB"/>
        </w:rPr>
        <w:t>gasification reactor. The contact mediums (adsorbent, absorbent) was cleaned and recirculated as possible.</w:t>
      </w:r>
    </w:p>
    <w:p w14:paraId="19A5E679" w14:textId="77777777" w:rsidR="001F04FE" w:rsidRPr="00B57B36" w:rsidRDefault="001F04FE" w:rsidP="001F04FE">
      <w:pPr>
        <w:pStyle w:val="CETTabletitle"/>
      </w:pPr>
      <w:r w:rsidRPr="00B57B36">
        <w:t xml:space="preserve">Table 1: </w:t>
      </w:r>
      <w:r>
        <w:t>The molar composition of the feed gas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07"/>
        <w:gridCol w:w="741"/>
        <w:gridCol w:w="674"/>
        <w:gridCol w:w="659"/>
        <w:gridCol w:w="702"/>
        <w:gridCol w:w="751"/>
        <w:gridCol w:w="751"/>
        <w:gridCol w:w="708"/>
        <w:gridCol w:w="662"/>
        <w:gridCol w:w="601"/>
        <w:gridCol w:w="531"/>
      </w:tblGrid>
      <w:tr w:rsidR="001F04FE" w:rsidRPr="00B57B36" w14:paraId="68D962BE" w14:textId="77777777" w:rsidTr="003E3D4B">
        <w:tc>
          <w:tcPr>
            <w:tcW w:w="2007" w:type="dxa"/>
            <w:tcBorders>
              <w:top w:val="single" w:sz="12" w:space="0" w:color="008000"/>
              <w:bottom w:val="single" w:sz="6" w:space="0" w:color="008000"/>
            </w:tcBorders>
            <w:shd w:val="clear" w:color="auto" w:fill="FFFFFF"/>
          </w:tcPr>
          <w:p w14:paraId="0C877977" w14:textId="77777777" w:rsidR="001F04FE" w:rsidRPr="00B57B36" w:rsidRDefault="001F04FE" w:rsidP="003E3D4B">
            <w:pPr>
              <w:pStyle w:val="CETBodytext"/>
              <w:rPr>
                <w:lang w:val="en-GB"/>
              </w:rPr>
            </w:pPr>
          </w:p>
        </w:tc>
        <w:tc>
          <w:tcPr>
            <w:tcW w:w="741" w:type="dxa"/>
            <w:tcBorders>
              <w:top w:val="single" w:sz="12" w:space="0" w:color="008000"/>
              <w:bottom w:val="single" w:sz="6" w:space="0" w:color="008000"/>
            </w:tcBorders>
            <w:shd w:val="clear" w:color="auto" w:fill="FFFFFF"/>
          </w:tcPr>
          <w:p w14:paraId="444B84F9" w14:textId="77777777" w:rsidR="001F04FE" w:rsidRPr="00B57B36" w:rsidRDefault="001F04FE" w:rsidP="003E3D4B">
            <w:pPr>
              <w:pStyle w:val="CETBodytext"/>
              <w:rPr>
                <w:lang w:val="en-GB"/>
              </w:rPr>
            </w:pPr>
            <w:r>
              <w:rPr>
                <w:lang w:val="en-GB"/>
              </w:rPr>
              <w:t>CO</w:t>
            </w:r>
            <w:r w:rsidRPr="00FC4F42">
              <w:rPr>
                <w:vertAlign w:val="subscript"/>
                <w:lang w:val="en-GB"/>
              </w:rPr>
              <w:t>2</w:t>
            </w:r>
          </w:p>
        </w:tc>
        <w:tc>
          <w:tcPr>
            <w:tcW w:w="674" w:type="dxa"/>
            <w:tcBorders>
              <w:top w:val="single" w:sz="12" w:space="0" w:color="008000"/>
              <w:bottom w:val="single" w:sz="6" w:space="0" w:color="008000"/>
            </w:tcBorders>
            <w:shd w:val="clear" w:color="auto" w:fill="FFFFFF"/>
          </w:tcPr>
          <w:p w14:paraId="20392DE2" w14:textId="77777777" w:rsidR="001F04FE" w:rsidRPr="00B57B36" w:rsidRDefault="001F04FE" w:rsidP="003E3D4B">
            <w:pPr>
              <w:pStyle w:val="CETBodytext"/>
              <w:rPr>
                <w:lang w:val="en-GB"/>
              </w:rPr>
            </w:pPr>
            <w:r>
              <w:rPr>
                <w:lang w:val="en-GB"/>
              </w:rPr>
              <w:t>H</w:t>
            </w:r>
            <w:r w:rsidRPr="00FC4F42">
              <w:rPr>
                <w:vertAlign w:val="subscript"/>
                <w:lang w:val="en-GB"/>
              </w:rPr>
              <w:t>2</w:t>
            </w:r>
          </w:p>
        </w:tc>
        <w:tc>
          <w:tcPr>
            <w:tcW w:w="659" w:type="dxa"/>
            <w:tcBorders>
              <w:top w:val="single" w:sz="12" w:space="0" w:color="008000"/>
              <w:bottom w:val="single" w:sz="6" w:space="0" w:color="008000"/>
            </w:tcBorders>
            <w:shd w:val="clear" w:color="auto" w:fill="FFFFFF"/>
          </w:tcPr>
          <w:p w14:paraId="4CA20062" w14:textId="77777777" w:rsidR="001F04FE" w:rsidRPr="00B57B36" w:rsidRDefault="001F04FE" w:rsidP="003E3D4B">
            <w:pPr>
              <w:pStyle w:val="CETBodytext"/>
              <w:ind w:right="-1"/>
              <w:rPr>
                <w:rFonts w:cs="Arial"/>
                <w:szCs w:val="18"/>
                <w:lang w:val="en-GB"/>
              </w:rPr>
            </w:pPr>
            <w:r>
              <w:rPr>
                <w:rFonts w:cs="Arial"/>
                <w:szCs w:val="18"/>
                <w:lang w:val="en-GB"/>
              </w:rPr>
              <w:t>CO</w:t>
            </w:r>
          </w:p>
        </w:tc>
        <w:tc>
          <w:tcPr>
            <w:tcW w:w="702" w:type="dxa"/>
            <w:tcBorders>
              <w:top w:val="single" w:sz="12" w:space="0" w:color="008000"/>
              <w:bottom w:val="single" w:sz="6" w:space="0" w:color="008000"/>
            </w:tcBorders>
            <w:shd w:val="clear" w:color="auto" w:fill="FFFFFF"/>
          </w:tcPr>
          <w:p w14:paraId="7DF57BCD" w14:textId="77777777" w:rsidR="001F04FE" w:rsidRPr="00B57B36" w:rsidRDefault="001F04FE" w:rsidP="003E3D4B">
            <w:pPr>
              <w:pStyle w:val="CETBodytext"/>
              <w:ind w:right="-1"/>
              <w:rPr>
                <w:rFonts w:cs="Arial"/>
                <w:szCs w:val="18"/>
                <w:lang w:val="en-GB"/>
              </w:rPr>
            </w:pPr>
            <w:r>
              <w:rPr>
                <w:rFonts w:cs="Arial"/>
                <w:szCs w:val="18"/>
                <w:lang w:val="en-GB"/>
              </w:rPr>
              <w:t>CH</w:t>
            </w:r>
            <w:r w:rsidRPr="00FC4F42">
              <w:rPr>
                <w:rFonts w:cs="Arial"/>
                <w:szCs w:val="18"/>
                <w:vertAlign w:val="subscript"/>
                <w:lang w:val="en-GB"/>
              </w:rPr>
              <w:t>4</w:t>
            </w:r>
          </w:p>
        </w:tc>
        <w:tc>
          <w:tcPr>
            <w:tcW w:w="751" w:type="dxa"/>
            <w:tcBorders>
              <w:top w:val="single" w:sz="12" w:space="0" w:color="008000"/>
              <w:bottom w:val="single" w:sz="6" w:space="0" w:color="008000"/>
            </w:tcBorders>
            <w:shd w:val="clear" w:color="auto" w:fill="FFFFFF"/>
          </w:tcPr>
          <w:p w14:paraId="4D9B5D42" w14:textId="77777777" w:rsidR="001F04FE" w:rsidRPr="00B57B36"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2</w:t>
            </w:r>
            <w:r>
              <w:rPr>
                <w:rFonts w:cs="Arial"/>
                <w:szCs w:val="18"/>
                <w:lang w:val="en-GB"/>
              </w:rPr>
              <w:t>H</w:t>
            </w:r>
            <w:r w:rsidRPr="00FC4F42">
              <w:rPr>
                <w:rFonts w:cs="Arial"/>
                <w:szCs w:val="18"/>
                <w:vertAlign w:val="subscript"/>
                <w:lang w:val="en-GB"/>
              </w:rPr>
              <w:t>4</w:t>
            </w:r>
          </w:p>
        </w:tc>
        <w:tc>
          <w:tcPr>
            <w:tcW w:w="751" w:type="dxa"/>
            <w:tcBorders>
              <w:top w:val="single" w:sz="12" w:space="0" w:color="008000"/>
              <w:bottom w:val="single" w:sz="6" w:space="0" w:color="008000"/>
            </w:tcBorders>
            <w:shd w:val="clear" w:color="auto" w:fill="FFFFFF"/>
          </w:tcPr>
          <w:p w14:paraId="5C559B7F" w14:textId="77777777" w:rsidR="001F04FE" w:rsidRPr="00B57B36"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2</w:t>
            </w:r>
            <w:r>
              <w:rPr>
                <w:rFonts w:cs="Arial"/>
                <w:szCs w:val="18"/>
                <w:lang w:val="en-GB"/>
              </w:rPr>
              <w:t>H</w:t>
            </w:r>
            <w:r w:rsidRPr="00FC4F42">
              <w:rPr>
                <w:rFonts w:cs="Arial"/>
                <w:szCs w:val="18"/>
                <w:vertAlign w:val="subscript"/>
                <w:lang w:val="en-GB"/>
              </w:rPr>
              <w:t>6</w:t>
            </w:r>
          </w:p>
        </w:tc>
        <w:tc>
          <w:tcPr>
            <w:tcW w:w="708" w:type="dxa"/>
            <w:tcBorders>
              <w:top w:val="single" w:sz="12" w:space="0" w:color="008000"/>
              <w:bottom w:val="single" w:sz="6" w:space="0" w:color="008000"/>
            </w:tcBorders>
            <w:shd w:val="clear" w:color="auto" w:fill="FFFFFF"/>
          </w:tcPr>
          <w:p w14:paraId="5B3B2DE7" w14:textId="77777777" w:rsidR="001F04FE"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3</w:t>
            </w:r>
            <w:r>
              <w:rPr>
                <w:rFonts w:cs="Arial"/>
                <w:szCs w:val="18"/>
                <w:lang w:val="en-GB"/>
              </w:rPr>
              <w:t>H</w:t>
            </w:r>
            <w:r w:rsidRPr="00FC4F42">
              <w:rPr>
                <w:rFonts w:cs="Arial"/>
                <w:szCs w:val="18"/>
                <w:vertAlign w:val="subscript"/>
                <w:lang w:val="en-GB"/>
              </w:rPr>
              <w:t>6</w:t>
            </w:r>
          </w:p>
        </w:tc>
        <w:tc>
          <w:tcPr>
            <w:tcW w:w="662" w:type="dxa"/>
            <w:tcBorders>
              <w:top w:val="single" w:sz="12" w:space="0" w:color="008000"/>
              <w:bottom w:val="single" w:sz="6" w:space="0" w:color="008000"/>
            </w:tcBorders>
            <w:shd w:val="clear" w:color="auto" w:fill="FFFFFF"/>
          </w:tcPr>
          <w:p w14:paraId="085CDDCC" w14:textId="77777777" w:rsidR="001F04FE"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3</w:t>
            </w:r>
            <w:r>
              <w:rPr>
                <w:rFonts w:cs="Arial"/>
                <w:szCs w:val="18"/>
                <w:lang w:val="en-GB"/>
              </w:rPr>
              <w:t>H</w:t>
            </w:r>
            <w:r w:rsidRPr="00FC4F42">
              <w:rPr>
                <w:rFonts w:cs="Arial"/>
                <w:szCs w:val="18"/>
                <w:vertAlign w:val="subscript"/>
                <w:lang w:val="en-GB"/>
              </w:rPr>
              <w:t>8</w:t>
            </w:r>
          </w:p>
        </w:tc>
        <w:tc>
          <w:tcPr>
            <w:tcW w:w="601" w:type="dxa"/>
            <w:tcBorders>
              <w:top w:val="single" w:sz="12" w:space="0" w:color="008000"/>
              <w:bottom w:val="single" w:sz="6" w:space="0" w:color="008000"/>
            </w:tcBorders>
            <w:shd w:val="clear" w:color="auto" w:fill="FFFFFF"/>
          </w:tcPr>
          <w:p w14:paraId="6DB59DA5" w14:textId="77777777" w:rsidR="001F04FE"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4</w:t>
            </w:r>
            <w:r>
              <w:rPr>
                <w:rFonts w:cs="Arial"/>
                <w:szCs w:val="18"/>
                <w:lang w:val="en-GB"/>
              </w:rPr>
              <w:t>H</w:t>
            </w:r>
            <w:r w:rsidRPr="00FC4F42">
              <w:rPr>
                <w:rFonts w:cs="Arial"/>
                <w:szCs w:val="18"/>
                <w:vertAlign w:val="subscript"/>
                <w:lang w:val="en-GB"/>
              </w:rPr>
              <w:t>8</w:t>
            </w:r>
          </w:p>
        </w:tc>
        <w:tc>
          <w:tcPr>
            <w:tcW w:w="531" w:type="dxa"/>
            <w:tcBorders>
              <w:top w:val="single" w:sz="12" w:space="0" w:color="008000"/>
              <w:bottom w:val="single" w:sz="6" w:space="0" w:color="008000"/>
            </w:tcBorders>
            <w:shd w:val="clear" w:color="auto" w:fill="FFFFFF"/>
          </w:tcPr>
          <w:p w14:paraId="6B6DA82B" w14:textId="77777777" w:rsidR="001F04FE" w:rsidRDefault="001F04FE" w:rsidP="003E3D4B">
            <w:pPr>
              <w:pStyle w:val="CETBodytext"/>
              <w:ind w:right="-1"/>
              <w:rPr>
                <w:rFonts w:cs="Arial"/>
                <w:szCs w:val="18"/>
                <w:lang w:val="en-GB"/>
              </w:rPr>
            </w:pPr>
            <w:r>
              <w:rPr>
                <w:rFonts w:cs="Arial"/>
                <w:szCs w:val="18"/>
                <w:lang w:val="en-GB"/>
              </w:rPr>
              <w:t>C</w:t>
            </w:r>
            <w:r w:rsidRPr="00FC4F42">
              <w:rPr>
                <w:rFonts w:cs="Arial"/>
                <w:szCs w:val="18"/>
                <w:vertAlign w:val="subscript"/>
                <w:lang w:val="en-GB"/>
              </w:rPr>
              <w:t>4</w:t>
            </w:r>
            <w:r>
              <w:rPr>
                <w:rFonts w:cs="Arial"/>
                <w:szCs w:val="18"/>
                <w:lang w:val="en-GB"/>
              </w:rPr>
              <w:t>H</w:t>
            </w:r>
            <w:r w:rsidRPr="00FC4F42">
              <w:rPr>
                <w:rFonts w:cs="Arial"/>
                <w:szCs w:val="18"/>
                <w:vertAlign w:val="subscript"/>
                <w:lang w:val="en-GB"/>
              </w:rPr>
              <w:t>10</w:t>
            </w:r>
          </w:p>
        </w:tc>
      </w:tr>
      <w:tr w:rsidR="001F04FE" w:rsidRPr="00B57B36" w14:paraId="25F3DF6E" w14:textId="77777777" w:rsidTr="003E3D4B">
        <w:tc>
          <w:tcPr>
            <w:tcW w:w="2007" w:type="dxa"/>
            <w:shd w:val="clear" w:color="auto" w:fill="FFFFFF"/>
          </w:tcPr>
          <w:p w14:paraId="76AE0D3A" w14:textId="77777777" w:rsidR="001F04FE" w:rsidRPr="00B57B36" w:rsidRDefault="001F04FE" w:rsidP="003E3D4B">
            <w:pPr>
              <w:pStyle w:val="CETBodytext"/>
              <w:ind w:right="589"/>
              <w:rPr>
                <w:lang w:val="en-GB"/>
              </w:rPr>
            </w:pPr>
            <w:r>
              <w:rPr>
                <w:lang w:val="en-GB"/>
              </w:rPr>
              <w:t>Gas feed molar composition [%]</w:t>
            </w:r>
          </w:p>
        </w:tc>
        <w:tc>
          <w:tcPr>
            <w:tcW w:w="741" w:type="dxa"/>
            <w:shd w:val="clear" w:color="auto" w:fill="FFFFFF"/>
          </w:tcPr>
          <w:p w14:paraId="0E3E7417" w14:textId="77777777" w:rsidR="001F04FE" w:rsidRPr="00B57B36" w:rsidRDefault="001F04FE" w:rsidP="003E3D4B">
            <w:pPr>
              <w:pStyle w:val="CETBodytext"/>
              <w:rPr>
                <w:lang w:val="en-GB"/>
              </w:rPr>
            </w:pPr>
            <w:r>
              <w:rPr>
                <w:lang w:val="en-GB"/>
              </w:rPr>
              <w:t>16</w:t>
            </w:r>
          </w:p>
        </w:tc>
        <w:tc>
          <w:tcPr>
            <w:tcW w:w="674" w:type="dxa"/>
            <w:shd w:val="clear" w:color="auto" w:fill="FFFFFF"/>
          </w:tcPr>
          <w:p w14:paraId="0CF8602A" w14:textId="77777777" w:rsidR="001F04FE" w:rsidRPr="00B57B36" w:rsidRDefault="001F04FE" w:rsidP="003E3D4B">
            <w:pPr>
              <w:pStyle w:val="CETBodytext"/>
              <w:rPr>
                <w:lang w:val="en-GB"/>
              </w:rPr>
            </w:pPr>
            <w:r>
              <w:rPr>
                <w:lang w:val="en-GB"/>
              </w:rPr>
              <w:t>53</w:t>
            </w:r>
          </w:p>
        </w:tc>
        <w:tc>
          <w:tcPr>
            <w:tcW w:w="659" w:type="dxa"/>
            <w:shd w:val="clear" w:color="auto" w:fill="FFFFFF"/>
          </w:tcPr>
          <w:p w14:paraId="2F8DDB83" w14:textId="77777777" w:rsidR="001F04FE" w:rsidRPr="00B57B36" w:rsidRDefault="001F04FE" w:rsidP="003E3D4B">
            <w:pPr>
              <w:pStyle w:val="CETBodytext"/>
              <w:ind w:right="-1"/>
              <w:rPr>
                <w:rFonts w:cs="Arial"/>
                <w:szCs w:val="18"/>
                <w:lang w:val="en-GB"/>
              </w:rPr>
            </w:pPr>
            <w:r>
              <w:rPr>
                <w:rFonts w:cs="Arial"/>
                <w:szCs w:val="18"/>
                <w:lang w:val="en-GB"/>
              </w:rPr>
              <w:t>17</w:t>
            </w:r>
          </w:p>
        </w:tc>
        <w:tc>
          <w:tcPr>
            <w:tcW w:w="702" w:type="dxa"/>
            <w:shd w:val="clear" w:color="auto" w:fill="FFFFFF"/>
          </w:tcPr>
          <w:p w14:paraId="702B0987" w14:textId="77777777" w:rsidR="001F04FE" w:rsidRPr="00B57B36" w:rsidRDefault="001F04FE" w:rsidP="003E3D4B">
            <w:pPr>
              <w:pStyle w:val="CETBodytext"/>
              <w:ind w:right="-1"/>
              <w:rPr>
                <w:rFonts w:cs="Arial"/>
                <w:szCs w:val="18"/>
                <w:lang w:val="en-GB"/>
              </w:rPr>
            </w:pPr>
            <w:r>
              <w:rPr>
                <w:rFonts w:cs="Arial"/>
                <w:szCs w:val="18"/>
                <w:lang w:val="en-GB"/>
              </w:rPr>
              <w:t>6</w:t>
            </w:r>
          </w:p>
        </w:tc>
        <w:tc>
          <w:tcPr>
            <w:tcW w:w="751" w:type="dxa"/>
            <w:shd w:val="clear" w:color="auto" w:fill="FFFFFF"/>
          </w:tcPr>
          <w:p w14:paraId="3E19712F" w14:textId="77777777" w:rsidR="001F04FE" w:rsidRPr="00B57B36" w:rsidRDefault="001F04FE" w:rsidP="003E3D4B">
            <w:pPr>
              <w:pStyle w:val="CETBodytext"/>
              <w:ind w:right="-1"/>
              <w:rPr>
                <w:rFonts w:cs="Arial"/>
                <w:szCs w:val="18"/>
                <w:lang w:val="en-GB"/>
              </w:rPr>
            </w:pPr>
            <w:r>
              <w:rPr>
                <w:rFonts w:cs="Arial"/>
                <w:szCs w:val="18"/>
                <w:lang w:val="en-GB"/>
              </w:rPr>
              <w:t>1.7</w:t>
            </w:r>
          </w:p>
        </w:tc>
        <w:tc>
          <w:tcPr>
            <w:tcW w:w="751" w:type="dxa"/>
            <w:shd w:val="clear" w:color="auto" w:fill="FFFFFF"/>
          </w:tcPr>
          <w:p w14:paraId="7117FC8D" w14:textId="77777777" w:rsidR="001F04FE" w:rsidRPr="00B57B36" w:rsidRDefault="001F04FE" w:rsidP="003E3D4B">
            <w:pPr>
              <w:pStyle w:val="CETBodytext"/>
              <w:ind w:right="-1"/>
              <w:rPr>
                <w:rFonts w:cs="Arial"/>
                <w:szCs w:val="18"/>
                <w:lang w:val="en-GB"/>
              </w:rPr>
            </w:pPr>
            <w:r>
              <w:rPr>
                <w:rFonts w:cs="Arial"/>
                <w:szCs w:val="18"/>
                <w:lang w:val="en-GB"/>
              </w:rPr>
              <w:t>1.45</w:t>
            </w:r>
          </w:p>
        </w:tc>
        <w:tc>
          <w:tcPr>
            <w:tcW w:w="708" w:type="dxa"/>
            <w:shd w:val="clear" w:color="auto" w:fill="FFFFFF"/>
          </w:tcPr>
          <w:p w14:paraId="40409D51" w14:textId="77777777" w:rsidR="001F04FE" w:rsidRPr="00B57B36" w:rsidRDefault="001F04FE" w:rsidP="003E3D4B">
            <w:pPr>
              <w:pStyle w:val="CETBodytext"/>
              <w:ind w:right="-1"/>
              <w:rPr>
                <w:rFonts w:cs="Arial"/>
                <w:szCs w:val="18"/>
                <w:lang w:val="en-GB"/>
              </w:rPr>
            </w:pPr>
            <w:r>
              <w:rPr>
                <w:rFonts w:cs="Arial"/>
                <w:szCs w:val="18"/>
                <w:lang w:val="en-GB"/>
              </w:rPr>
              <w:t>1.1</w:t>
            </w:r>
          </w:p>
        </w:tc>
        <w:tc>
          <w:tcPr>
            <w:tcW w:w="662" w:type="dxa"/>
            <w:shd w:val="clear" w:color="auto" w:fill="FFFFFF"/>
          </w:tcPr>
          <w:p w14:paraId="09DFFC14" w14:textId="77777777" w:rsidR="001F04FE" w:rsidRPr="00B57B36" w:rsidRDefault="001F04FE" w:rsidP="003E3D4B">
            <w:pPr>
              <w:pStyle w:val="CETBodytext"/>
              <w:ind w:right="-1"/>
              <w:rPr>
                <w:rFonts w:cs="Arial"/>
                <w:szCs w:val="18"/>
                <w:lang w:val="en-GB"/>
              </w:rPr>
            </w:pPr>
            <w:r>
              <w:rPr>
                <w:rFonts w:cs="Arial"/>
                <w:szCs w:val="18"/>
                <w:lang w:val="en-GB"/>
              </w:rPr>
              <w:t>1.0</w:t>
            </w:r>
          </w:p>
        </w:tc>
        <w:tc>
          <w:tcPr>
            <w:tcW w:w="601" w:type="dxa"/>
            <w:shd w:val="clear" w:color="auto" w:fill="FFFFFF"/>
          </w:tcPr>
          <w:p w14:paraId="70D641F6" w14:textId="77777777" w:rsidR="001F04FE" w:rsidRPr="00B57B36" w:rsidRDefault="001F04FE" w:rsidP="003E3D4B">
            <w:pPr>
              <w:pStyle w:val="CETBodytext"/>
              <w:ind w:right="-1"/>
              <w:rPr>
                <w:rFonts w:cs="Arial"/>
                <w:szCs w:val="18"/>
                <w:lang w:val="en-GB"/>
              </w:rPr>
            </w:pPr>
            <w:r>
              <w:rPr>
                <w:rFonts w:cs="Arial"/>
                <w:szCs w:val="18"/>
                <w:lang w:val="en-GB"/>
              </w:rPr>
              <w:t>1.3</w:t>
            </w:r>
          </w:p>
        </w:tc>
        <w:tc>
          <w:tcPr>
            <w:tcW w:w="531" w:type="dxa"/>
            <w:shd w:val="clear" w:color="auto" w:fill="FFFFFF"/>
          </w:tcPr>
          <w:p w14:paraId="66AD6B22" w14:textId="77777777" w:rsidR="001F04FE" w:rsidRPr="00B57B36" w:rsidRDefault="001F04FE" w:rsidP="003E3D4B">
            <w:pPr>
              <w:pStyle w:val="CETBodytext"/>
              <w:ind w:right="-1"/>
              <w:rPr>
                <w:rFonts w:cs="Arial"/>
                <w:szCs w:val="18"/>
                <w:lang w:val="en-GB"/>
              </w:rPr>
            </w:pPr>
            <w:r>
              <w:rPr>
                <w:rFonts w:cs="Arial"/>
                <w:szCs w:val="18"/>
                <w:lang w:val="en-GB"/>
              </w:rPr>
              <w:t>1.45</w:t>
            </w:r>
          </w:p>
        </w:tc>
      </w:tr>
    </w:tbl>
    <w:p w14:paraId="17CF3DE7" w14:textId="77777777" w:rsidR="001F04FE" w:rsidRDefault="001F04FE" w:rsidP="001F04FE">
      <w:pPr>
        <w:pStyle w:val="CETBodytext"/>
        <w:rPr>
          <w:lang w:val="en-GB"/>
        </w:rPr>
      </w:pPr>
    </w:p>
    <w:p w14:paraId="04869094" w14:textId="77777777" w:rsidR="001F04FE" w:rsidRDefault="001F04FE" w:rsidP="001F04FE">
      <w:pPr>
        <w:pStyle w:val="CETBodytext"/>
        <w:rPr>
          <w:lang w:val="en-GB"/>
        </w:rPr>
      </w:pPr>
      <w:r>
        <w:rPr>
          <w:lang w:val="en-GB"/>
        </w:rPr>
        <w:t>Three different processes were considered:</w:t>
      </w:r>
    </w:p>
    <w:p w14:paraId="6F7361FB" w14:textId="77777777" w:rsidR="00A83B95" w:rsidRDefault="001F04FE" w:rsidP="0070032B">
      <w:pPr>
        <w:pStyle w:val="CETListbullets"/>
        <w:numPr>
          <w:ilvl w:val="0"/>
          <w:numId w:val="24"/>
        </w:numPr>
      </w:pPr>
      <w:r>
        <w:t>absorption using MEA as absorbent</w:t>
      </w:r>
      <w:r w:rsidR="0070032B">
        <w:t xml:space="preserve">, </w:t>
      </w:r>
    </w:p>
    <w:p w14:paraId="778CA6CF" w14:textId="3882C8A1" w:rsidR="001F04FE" w:rsidRDefault="001F04FE" w:rsidP="0070032B">
      <w:pPr>
        <w:pStyle w:val="CETListbullets"/>
        <w:numPr>
          <w:ilvl w:val="0"/>
          <w:numId w:val="24"/>
        </w:numPr>
      </w:pPr>
      <w:r>
        <w:t>cryogenic distillation</w:t>
      </w:r>
      <w:r w:rsidR="0070032B">
        <w:t xml:space="preserve">, </w:t>
      </w:r>
    </w:p>
    <w:p w14:paraId="69E84397" w14:textId="3DDAA3B2" w:rsidR="001F04FE" w:rsidRDefault="001F04FE" w:rsidP="001F04FE">
      <w:pPr>
        <w:pStyle w:val="CETListbullets"/>
        <w:numPr>
          <w:ilvl w:val="0"/>
          <w:numId w:val="24"/>
        </w:numPr>
      </w:pPr>
      <w:r>
        <w:t xml:space="preserve">Ca-looping process using </w:t>
      </w:r>
      <w:proofErr w:type="spellStart"/>
      <w:r>
        <w:t>CaO</w:t>
      </w:r>
      <w:proofErr w:type="spellEnd"/>
      <w:r>
        <w:t xml:space="preserve"> as adsorbent</w:t>
      </w:r>
      <w:r w:rsidR="0070032B">
        <w:t>.</w:t>
      </w:r>
    </w:p>
    <w:p w14:paraId="0E75E362" w14:textId="77777777" w:rsidR="001F04FE" w:rsidRDefault="001F04FE" w:rsidP="001F04FE">
      <w:pPr>
        <w:pStyle w:val="CETBodytext"/>
        <w:ind w:left="720"/>
        <w:rPr>
          <w:lang w:val="en-GB"/>
        </w:rPr>
      </w:pPr>
    </w:p>
    <w:p w14:paraId="5BA0CCD0" w14:textId="0B763467" w:rsidR="001F04FE" w:rsidRPr="00366D19" w:rsidRDefault="001F04FE" w:rsidP="001F04FE">
      <w:pPr>
        <w:pStyle w:val="CETBodytext"/>
        <w:rPr>
          <w:lang w:val="en-GB"/>
        </w:rPr>
      </w:pPr>
      <w:r>
        <w:rPr>
          <w:lang w:val="en-GB"/>
        </w:rPr>
        <w:t>All processes were implemented and simulated using Aspen Plus software. The main process equipment was designed sized</w:t>
      </w:r>
      <w:r w:rsidR="00363C22">
        <w:rPr>
          <w:lang w:val="en-GB"/>
        </w:rPr>
        <w:t xml:space="preserve">; </w:t>
      </w:r>
      <w:r w:rsidR="008B63BE">
        <w:rPr>
          <w:lang w:val="en-GB"/>
        </w:rPr>
        <w:t xml:space="preserve">besides </w:t>
      </w:r>
      <w:r>
        <w:rPr>
          <w:lang w:val="en-GB"/>
        </w:rPr>
        <w:t>CAPEX and OPEX were calculated</w:t>
      </w:r>
      <w:r w:rsidR="008B63BE">
        <w:rPr>
          <w:lang w:val="en-GB"/>
        </w:rPr>
        <w:t xml:space="preserve"> as well</w:t>
      </w:r>
      <w:r>
        <w:rPr>
          <w:lang w:val="en-GB"/>
        </w:rPr>
        <w:t xml:space="preserve">. The Aspen </w:t>
      </w:r>
      <w:proofErr w:type="gramStart"/>
      <w:r>
        <w:rPr>
          <w:lang w:val="en-GB"/>
        </w:rPr>
        <w:t>Plus</w:t>
      </w:r>
      <w:proofErr w:type="gramEnd"/>
      <w:r>
        <w:rPr>
          <w:lang w:val="en-GB"/>
        </w:rPr>
        <w:t xml:space="preserve"> Economic analyser was used when applicable</w:t>
      </w:r>
      <w:r w:rsidR="00363C22">
        <w:rPr>
          <w:lang w:val="en-GB"/>
        </w:rPr>
        <w:t>;</w:t>
      </w:r>
      <w:r>
        <w:rPr>
          <w:lang w:val="en-GB"/>
        </w:rPr>
        <w:t xml:space="preserve"> otherwise</w:t>
      </w:r>
      <w:r w:rsidR="00363C22">
        <w:rPr>
          <w:lang w:val="en-GB"/>
        </w:rPr>
        <w:t>,</w:t>
      </w:r>
      <w:r>
        <w:rPr>
          <w:lang w:val="en-GB"/>
        </w:rPr>
        <w:t xml:space="preserve"> </w:t>
      </w:r>
      <w:proofErr w:type="spellStart"/>
      <w:r>
        <w:rPr>
          <w:lang w:val="en-GB"/>
        </w:rPr>
        <w:t>nomogram</w:t>
      </w:r>
      <w:proofErr w:type="spellEnd"/>
      <w:r>
        <w:rPr>
          <w:lang w:val="en-GB"/>
        </w:rPr>
        <w:t xml:space="preserve"> based cost calculation was applied (indicated with *-s). All the CAPEX and OPEX values were </w:t>
      </w:r>
      <w:proofErr w:type="spellStart"/>
      <w:r w:rsidR="00363C22">
        <w:rPr>
          <w:lang w:val="en-GB"/>
        </w:rPr>
        <w:t>sactualised</w:t>
      </w:r>
      <w:proofErr w:type="spellEnd"/>
      <w:r w:rsidR="00363C22">
        <w:rPr>
          <w:lang w:val="en-GB"/>
        </w:rPr>
        <w:t xml:space="preserve"> </w:t>
      </w:r>
      <w:r>
        <w:rPr>
          <w:lang w:val="en-GB"/>
        </w:rPr>
        <w:t>using CE Plant index from 2018. Based on the different scenarios, the most suitable can be selected for the negative emission gasification technology. In this study</w:t>
      </w:r>
      <w:r w:rsidR="00363C22">
        <w:rPr>
          <w:lang w:val="en-GB"/>
        </w:rPr>
        <w:t>,</w:t>
      </w:r>
      <w:r>
        <w:rPr>
          <w:lang w:val="en-GB"/>
        </w:rPr>
        <w:t xml:space="preserve"> the technologies were compared without energy integration.</w:t>
      </w:r>
      <w:r w:rsidR="00F310B8">
        <w:rPr>
          <w:lang w:val="en-GB"/>
        </w:rPr>
        <w:t xml:space="preserve"> The applied modules </w:t>
      </w:r>
      <w:r w:rsidR="00363C22">
        <w:rPr>
          <w:lang w:val="en-GB"/>
        </w:rPr>
        <w:t xml:space="preserve">were </w:t>
      </w:r>
      <w:r w:rsidR="00F310B8">
        <w:rPr>
          <w:lang w:val="en-GB"/>
        </w:rPr>
        <w:t>basic Aspen Plus modules</w:t>
      </w:r>
      <w:r w:rsidR="00363C22">
        <w:rPr>
          <w:lang w:val="en-GB"/>
        </w:rPr>
        <w:t xml:space="preserve">; </w:t>
      </w:r>
      <w:r w:rsidR="00F310B8">
        <w:rPr>
          <w:lang w:val="en-GB"/>
        </w:rPr>
        <w:t xml:space="preserve">the application parameters can be accessed in the Aspen Plus </w:t>
      </w:r>
      <w:r w:rsidR="00363C22">
        <w:rPr>
          <w:lang w:val="en-GB"/>
        </w:rPr>
        <w:t>built-</w:t>
      </w:r>
      <w:r w:rsidR="00F310B8">
        <w:rPr>
          <w:lang w:val="en-GB"/>
        </w:rPr>
        <w:t>in guide. There are several version</w:t>
      </w:r>
      <w:r w:rsidR="00363C22">
        <w:rPr>
          <w:lang w:val="en-GB"/>
        </w:rPr>
        <w:t>s;</w:t>
      </w:r>
      <w:r w:rsidR="00F310B8">
        <w:rPr>
          <w:lang w:val="en-GB"/>
        </w:rPr>
        <w:t xml:space="preserve"> one of the</w:t>
      </w:r>
      <w:r w:rsidR="00363C22">
        <w:rPr>
          <w:lang w:val="en-GB"/>
        </w:rPr>
        <w:t>m</w:t>
      </w:r>
      <w:r w:rsidR="00F310B8">
        <w:rPr>
          <w:lang w:val="en-GB"/>
        </w:rPr>
        <w:t xml:space="preserve"> can be accessed via</w:t>
      </w:r>
      <w:r w:rsidR="00363C22">
        <w:rPr>
          <w:lang w:val="en-GB"/>
        </w:rPr>
        <w:t xml:space="preserve"> the web</w:t>
      </w:r>
      <w:r w:rsidR="00F310B8">
        <w:rPr>
          <w:lang w:val="en-GB"/>
        </w:rPr>
        <w:t xml:space="preserve"> (</w:t>
      </w:r>
      <w:r w:rsidR="00363C22">
        <w:rPr>
          <w:lang w:val="en-GB"/>
        </w:rPr>
        <w:t>Aspen Plus user guide</w:t>
      </w:r>
      <w:r w:rsidR="00F310B8">
        <w:rPr>
          <w:lang w:val="en-GB"/>
        </w:rPr>
        <w:t>).</w:t>
      </w:r>
    </w:p>
    <w:p w14:paraId="42DE39D4" w14:textId="77777777" w:rsidR="001F04FE" w:rsidRDefault="001F04FE" w:rsidP="001F04FE">
      <w:pPr>
        <w:pStyle w:val="CETHeading1"/>
        <w:tabs>
          <w:tab w:val="clear" w:pos="360"/>
        </w:tabs>
        <w:rPr>
          <w:lang w:val="en-GB"/>
        </w:rPr>
      </w:pPr>
      <w:r>
        <w:rPr>
          <w:lang w:val="en-GB"/>
        </w:rPr>
        <w:t>Results</w:t>
      </w:r>
    </w:p>
    <w:p w14:paraId="625D53EE" w14:textId="77777777" w:rsidR="001F04FE" w:rsidRDefault="001F04FE" w:rsidP="001F04FE">
      <w:pPr>
        <w:pStyle w:val="CETheadingx"/>
      </w:pPr>
      <w:r>
        <w:t>Absorption using MEA as absorbent</w:t>
      </w:r>
    </w:p>
    <w:p w14:paraId="3169AA1A" w14:textId="1DEAD49A" w:rsidR="001F04FE" w:rsidRDefault="001F04FE" w:rsidP="001F04FE">
      <w:pPr>
        <w:pStyle w:val="CETBodytext"/>
      </w:pPr>
      <w:r>
        <w:t xml:space="preserve">The absorption technology with MEA absorbent includes two heat exchangers, one compressor, an 8 </w:t>
      </w:r>
      <w:proofErr w:type="spellStart"/>
      <w:r>
        <w:t>trayed</w:t>
      </w:r>
      <w:proofErr w:type="spellEnd"/>
      <w:r>
        <w:t xml:space="preserve"> absorber and a sorbent regeneration unit (Figure 1). The feed stream is cooled and compressed to 20 °C and 5 bar to provide the adequate temperature for the mechanism of CO</w:t>
      </w:r>
      <w:r w:rsidRPr="00621F98">
        <w:rPr>
          <w:vertAlign w:val="subscript"/>
        </w:rPr>
        <w:t>2</w:t>
      </w:r>
      <w:r>
        <w:t xml:space="preserve"> absorption in the absorber (3 bar), as it was referred in earlier studies </w:t>
      </w:r>
      <w:r w:rsidRPr="00D65B8B">
        <w:t>(</w:t>
      </w:r>
      <w:proofErr w:type="spellStart"/>
      <w:r w:rsidRPr="00D65B8B">
        <w:t>Bihong</w:t>
      </w:r>
      <w:proofErr w:type="spellEnd"/>
      <w:r>
        <w:t xml:space="preserve"> et al., 2015). The total CO</w:t>
      </w:r>
      <w:r w:rsidRPr="00621F98">
        <w:rPr>
          <w:vertAlign w:val="subscript"/>
        </w:rPr>
        <w:t>2</w:t>
      </w:r>
      <w:r>
        <w:t xml:space="preserve"> removal is 83.5 % which can be improved by increasing the flow</w:t>
      </w:r>
      <w:r w:rsidR="00363C22">
        <w:t xml:space="preserve"> </w:t>
      </w:r>
      <w:r>
        <w:t xml:space="preserve">rate of </w:t>
      </w:r>
      <w:r w:rsidR="00363C22">
        <w:t xml:space="preserve">the </w:t>
      </w:r>
      <w:r>
        <w:t>MEA solution. Hencefor</w:t>
      </w:r>
      <w:r w:rsidR="0092163F">
        <w:t>ward</w:t>
      </w:r>
      <w:r>
        <w:t>, desorption was carried out at 100 °C towards the CO</w:t>
      </w:r>
      <w:r w:rsidRPr="00621F98">
        <w:rPr>
          <w:vertAlign w:val="subscript"/>
        </w:rPr>
        <w:t>2</w:t>
      </w:r>
      <w:r>
        <w:t xml:space="preserve"> removal.</w:t>
      </w:r>
      <w:r w:rsidR="00A83B95">
        <w:t xml:space="preserve"> The two sensitivity analysis presented shows the effect of MEA and </w:t>
      </w:r>
      <w:proofErr w:type="gramStart"/>
      <w:r w:rsidR="00A83B95">
        <w:t>the desorption</w:t>
      </w:r>
      <w:proofErr w:type="gramEnd"/>
      <w:r w:rsidR="00A83B95">
        <w:t xml:space="preserve"> unit temperature.</w:t>
      </w:r>
    </w:p>
    <w:p w14:paraId="10504715" w14:textId="77777777" w:rsidR="001F04FE" w:rsidRDefault="001F04FE" w:rsidP="001F04FE">
      <w:pPr>
        <w:pStyle w:val="CETBodytext"/>
        <w:rPr>
          <w:lang w:val="en-GB"/>
        </w:rPr>
      </w:pPr>
      <w:r>
        <w:rPr>
          <w:lang w:val="en-GB"/>
        </w:rPr>
        <w:t>The main design parameters are the following:</w:t>
      </w:r>
    </w:p>
    <w:p w14:paraId="72C3B8DB" w14:textId="312A4A29" w:rsidR="001F04FE" w:rsidRPr="00AA6C54" w:rsidRDefault="001F04FE" w:rsidP="001F04FE">
      <w:pPr>
        <w:pStyle w:val="CETBodytext"/>
        <w:numPr>
          <w:ilvl w:val="0"/>
          <w:numId w:val="23"/>
        </w:numPr>
      </w:pPr>
      <w:r>
        <w:t>HX101</w:t>
      </w:r>
      <w:r w:rsidRPr="00AA6C54">
        <w:t xml:space="preserve"> heat duty, 8.8 m</w:t>
      </w:r>
      <w:r w:rsidRPr="00AA6C54">
        <w:rPr>
          <w:vertAlign w:val="superscript"/>
        </w:rPr>
        <w:t>2</w:t>
      </w:r>
      <w:r w:rsidRPr="00AA6C54">
        <w:t xml:space="preserve"> heat transfer area</w:t>
      </w:r>
      <w:r w:rsidR="00C36D0A">
        <w:t xml:space="preserve"> (simple heat exchanger module).</w:t>
      </w:r>
    </w:p>
    <w:p w14:paraId="5997ADA8" w14:textId="0504130D" w:rsidR="001F04FE" w:rsidRPr="00AA6C54" w:rsidRDefault="001F04FE" w:rsidP="001F04FE">
      <w:pPr>
        <w:pStyle w:val="CETBodytext"/>
        <w:numPr>
          <w:ilvl w:val="0"/>
          <w:numId w:val="23"/>
        </w:numPr>
      </w:pPr>
      <w:r>
        <w:t>CO101</w:t>
      </w:r>
      <w:r w:rsidRPr="00AA6C54">
        <w:t>: 46.81 kW work required, 80 % efficiency</w:t>
      </w:r>
      <w:r w:rsidR="00C36D0A">
        <w:t xml:space="preserve"> (standard compressor module).</w:t>
      </w:r>
    </w:p>
    <w:p w14:paraId="2AEDE8DD" w14:textId="3EDC4269" w:rsidR="001F04FE" w:rsidRDefault="001F04FE" w:rsidP="001F04FE">
      <w:pPr>
        <w:pStyle w:val="CETBodytext"/>
        <w:numPr>
          <w:ilvl w:val="0"/>
          <w:numId w:val="23"/>
        </w:numPr>
      </w:pPr>
      <w:r>
        <w:t>HX102</w:t>
      </w:r>
      <w:r w:rsidRPr="00AA6C54">
        <w:t xml:space="preserve">: -56 kW heat </w:t>
      </w:r>
      <w:proofErr w:type="gramStart"/>
      <w:r w:rsidRPr="00AA6C54">
        <w:t>duty</w:t>
      </w:r>
      <w:proofErr w:type="gramEnd"/>
      <w:r w:rsidRPr="00AA6C54">
        <w:t>, 2.7 m</w:t>
      </w:r>
      <w:r w:rsidRPr="00AA6C54">
        <w:rPr>
          <w:vertAlign w:val="superscript"/>
        </w:rPr>
        <w:t>2</w:t>
      </w:r>
      <w:r w:rsidRPr="00AA6C54">
        <w:t xml:space="preserve"> heat transfer area</w:t>
      </w:r>
      <w:r w:rsidR="00C36D0A">
        <w:t xml:space="preserve"> (simple heat exchanger module).</w:t>
      </w:r>
    </w:p>
    <w:p w14:paraId="040B302B" w14:textId="016EA837" w:rsidR="001F04FE" w:rsidRDefault="001F04FE" w:rsidP="001F04FE">
      <w:pPr>
        <w:pStyle w:val="CETBodytext"/>
        <w:numPr>
          <w:ilvl w:val="0"/>
          <w:numId w:val="23"/>
        </w:numPr>
      </w:pPr>
      <w:r>
        <w:t xml:space="preserve">C101: 83.5 % efficiency, with a 0.36 m diameter with </w:t>
      </w:r>
      <w:proofErr w:type="spellStart"/>
      <w:r>
        <w:t>Raschig</w:t>
      </w:r>
      <w:proofErr w:type="spellEnd"/>
      <w:r>
        <w:t xml:space="preserve"> type packing</w:t>
      </w:r>
      <w:r w:rsidR="00C36D0A">
        <w:t xml:space="preserve"> (</w:t>
      </w:r>
      <w:proofErr w:type="spellStart"/>
      <w:r w:rsidR="00363C22">
        <w:t>Radfrac</w:t>
      </w:r>
      <w:proofErr w:type="spellEnd"/>
      <w:r w:rsidR="00363C22">
        <w:t xml:space="preserve"> </w:t>
      </w:r>
      <w:r w:rsidR="00C36D0A">
        <w:t>detailed module).</w:t>
      </w:r>
    </w:p>
    <w:p w14:paraId="3C4398D8" w14:textId="02FB6E0F" w:rsidR="001F04FE" w:rsidRPr="00AA6C54" w:rsidRDefault="001F04FE" w:rsidP="001F04FE">
      <w:pPr>
        <w:pStyle w:val="CETBodytext"/>
        <w:numPr>
          <w:ilvl w:val="0"/>
          <w:numId w:val="23"/>
        </w:numPr>
      </w:pPr>
      <w:r>
        <w:t xml:space="preserve">C102: 53 kW net heat </w:t>
      </w:r>
      <w:proofErr w:type="gramStart"/>
      <w:r>
        <w:t>duty</w:t>
      </w:r>
      <w:proofErr w:type="gramEnd"/>
      <w:r>
        <w:t xml:space="preserve"> required</w:t>
      </w:r>
      <w:r w:rsidR="00C36D0A">
        <w:t xml:space="preserve"> (flash2 phase separator).</w:t>
      </w:r>
    </w:p>
    <w:p w14:paraId="047D573B" w14:textId="2B50975E" w:rsidR="001F04FE" w:rsidRDefault="001F04FE" w:rsidP="001F04FE">
      <w:pPr>
        <w:pStyle w:val="CETBodytext"/>
        <w:rPr>
          <w:lang w:val="en-GB"/>
        </w:rPr>
      </w:pPr>
      <w:r>
        <w:rPr>
          <w:lang w:val="en-GB"/>
        </w:rPr>
        <w:lastRenderedPageBreak/>
        <w:t xml:space="preserve">The costs are </w:t>
      </w:r>
      <w:r w:rsidR="00363C22">
        <w:rPr>
          <w:lang w:val="en-GB"/>
        </w:rPr>
        <w:t xml:space="preserve">summarised </w:t>
      </w:r>
      <w:r>
        <w:rPr>
          <w:lang w:val="en-GB"/>
        </w:rPr>
        <w:t xml:space="preserve">in Table </w:t>
      </w:r>
      <w:r w:rsidR="0092163F">
        <w:rPr>
          <w:lang w:val="en-GB"/>
        </w:rPr>
        <w:t>2</w:t>
      </w:r>
      <w:r>
        <w:rPr>
          <w:lang w:val="en-GB"/>
        </w:rPr>
        <w:t>.</w:t>
      </w:r>
    </w:p>
    <w:p w14:paraId="52246D94" w14:textId="57ACA921" w:rsidR="006C46EA" w:rsidRDefault="006C46EA" w:rsidP="001F04FE">
      <w:pPr>
        <w:pStyle w:val="CETBodytext"/>
        <w:rPr>
          <w:lang w:val="en-GB"/>
        </w:rPr>
      </w:pPr>
      <w:r>
        <w:rPr>
          <w:noProof/>
          <w:lang w:val="hu-HU" w:eastAsia="hu-HU"/>
        </w:rPr>
        <w:drawing>
          <wp:inline distT="0" distB="0" distL="0" distR="0" wp14:anchorId="5EF497BF" wp14:editId="3DCF6042">
            <wp:extent cx="5657850" cy="331660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316605"/>
                    </a:xfrm>
                    <a:prstGeom prst="rect">
                      <a:avLst/>
                    </a:prstGeom>
                    <a:noFill/>
                  </pic:spPr>
                </pic:pic>
              </a:graphicData>
            </a:graphic>
          </wp:inline>
        </w:drawing>
      </w:r>
    </w:p>
    <w:p w14:paraId="639B6F68" w14:textId="77777777" w:rsidR="001F04FE" w:rsidRDefault="001F04FE" w:rsidP="001F04FE">
      <w:pPr>
        <w:pStyle w:val="CETCaption"/>
      </w:pPr>
      <w:r w:rsidRPr="00DE42BC">
        <w:t xml:space="preserve">Figure </w:t>
      </w:r>
      <w:r>
        <w:t>1:</w:t>
      </w:r>
      <w:r w:rsidRPr="00DE42BC">
        <w:t xml:space="preserve"> </w:t>
      </w:r>
      <w:proofErr w:type="spellStart"/>
      <w:r w:rsidRPr="00DE42BC">
        <w:t>Flowsheet</w:t>
      </w:r>
      <w:proofErr w:type="spellEnd"/>
      <w:r w:rsidRPr="00DE42BC">
        <w:t xml:space="preserve"> and the process parameters of the designed </w:t>
      </w:r>
      <w:r>
        <w:t>absorption process</w:t>
      </w:r>
    </w:p>
    <w:p w14:paraId="5D0DE59C" w14:textId="3B1028C8" w:rsidR="001F04FE" w:rsidRPr="00B57B36" w:rsidRDefault="001F04FE" w:rsidP="001F04FE">
      <w:pPr>
        <w:pStyle w:val="CETTabletitle"/>
      </w:pPr>
      <w:r w:rsidRPr="00B57B36">
        <w:t xml:space="preserve">Table </w:t>
      </w:r>
      <w:r w:rsidR="0092163F">
        <w:t>2</w:t>
      </w:r>
      <w:r w:rsidRPr="00B57B36">
        <w:t xml:space="preserve">: </w:t>
      </w:r>
      <w:r>
        <w:t>Cost evaluation of the designed MEA absorption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842"/>
      </w:tblGrid>
      <w:tr w:rsidR="001F04FE" w:rsidRPr="00DE42BC" w14:paraId="44A70CD4" w14:textId="77777777" w:rsidTr="003E3D4B">
        <w:tc>
          <w:tcPr>
            <w:tcW w:w="1134" w:type="dxa"/>
            <w:tcBorders>
              <w:top w:val="single" w:sz="12" w:space="0" w:color="008000"/>
              <w:bottom w:val="single" w:sz="6" w:space="0" w:color="008000"/>
            </w:tcBorders>
            <w:shd w:val="clear" w:color="auto" w:fill="FFFFFF"/>
          </w:tcPr>
          <w:p w14:paraId="792E8309" w14:textId="77777777" w:rsidR="001F04FE" w:rsidRPr="00DE42BC" w:rsidRDefault="001F04FE" w:rsidP="003E3D4B">
            <w:pPr>
              <w:pStyle w:val="CETBodytext"/>
            </w:pPr>
          </w:p>
        </w:tc>
        <w:tc>
          <w:tcPr>
            <w:tcW w:w="1560" w:type="dxa"/>
            <w:tcBorders>
              <w:top w:val="single" w:sz="12" w:space="0" w:color="008000"/>
              <w:bottom w:val="single" w:sz="6" w:space="0" w:color="008000"/>
            </w:tcBorders>
            <w:shd w:val="clear" w:color="auto" w:fill="FFFFFF"/>
          </w:tcPr>
          <w:p w14:paraId="0865E9A8" w14:textId="77777777" w:rsidR="001F04FE" w:rsidRPr="00DE42BC" w:rsidRDefault="001F04FE" w:rsidP="003E3D4B">
            <w:pPr>
              <w:pStyle w:val="CETBodytext"/>
            </w:pPr>
            <w:r>
              <w:t>CA</w:t>
            </w:r>
            <w:r w:rsidRPr="00DE42BC">
              <w:t>PEX (USD)</w:t>
            </w:r>
          </w:p>
        </w:tc>
        <w:tc>
          <w:tcPr>
            <w:tcW w:w="1842" w:type="dxa"/>
            <w:tcBorders>
              <w:top w:val="single" w:sz="12" w:space="0" w:color="008000"/>
              <w:bottom w:val="single" w:sz="6" w:space="0" w:color="008000"/>
            </w:tcBorders>
            <w:shd w:val="clear" w:color="auto" w:fill="FFFFFF"/>
          </w:tcPr>
          <w:p w14:paraId="48C18F66" w14:textId="77777777" w:rsidR="001F04FE" w:rsidRPr="00DE42BC" w:rsidRDefault="001F04FE" w:rsidP="003E3D4B">
            <w:pPr>
              <w:pStyle w:val="CETBodytext"/>
            </w:pPr>
            <w:r w:rsidRPr="00DE42BC">
              <w:t>OPEX (USD/year)</w:t>
            </w:r>
          </w:p>
        </w:tc>
      </w:tr>
      <w:tr w:rsidR="001F04FE" w:rsidRPr="00DE42BC" w14:paraId="6BA68601" w14:textId="77777777" w:rsidTr="003E3D4B">
        <w:tc>
          <w:tcPr>
            <w:tcW w:w="1134" w:type="dxa"/>
            <w:shd w:val="clear" w:color="auto" w:fill="FFFFFF"/>
          </w:tcPr>
          <w:p w14:paraId="57A3F383" w14:textId="77777777" w:rsidR="001F04FE" w:rsidRPr="00DE42BC" w:rsidRDefault="001F04FE" w:rsidP="003E3D4B">
            <w:pPr>
              <w:pStyle w:val="CETBodytext"/>
              <w:jc w:val="left"/>
            </w:pPr>
            <w:r>
              <w:t>HX101</w:t>
            </w:r>
          </w:p>
        </w:tc>
        <w:tc>
          <w:tcPr>
            <w:tcW w:w="1560" w:type="dxa"/>
            <w:shd w:val="clear" w:color="auto" w:fill="FFFFFF"/>
            <w:vAlign w:val="center"/>
          </w:tcPr>
          <w:p w14:paraId="47C1C1E7" w14:textId="77777777" w:rsidR="001F04FE" w:rsidRPr="00DE42BC" w:rsidRDefault="001F04FE" w:rsidP="003E3D4B">
            <w:pPr>
              <w:pStyle w:val="CETBodytext"/>
              <w:jc w:val="left"/>
            </w:pPr>
            <w:r>
              <w:t>22,000</w:t>
            </w:r>
          </w:p>
        </w:tc>
        <w:tc>
          <w:tcPr>
            <w:tcW w:w="1842" w:type="dxa"/>
            <w:shd w:val="clear" w:color="auto" w:fill="FFFFFF"/>
            <w:vAlign w:val="center"/>
          </w:tcPr>
          <w:p w14:paraId="6F38A889" w14:textId="77777777" w:rsidR="001F04FE" w:rsidRPr="00DE42BC" w:rsidRDefault="001F04FE" w:rsidP="003E3D4B">
            <w:pPr>
              <w:pStyle w:val="CETBodytext"/>
              <w:jc w:val="left"/>
            </w:pPr>
            <w:r>
              <w:t>4,000</w:t>
            </w:r>
          </w:p>
        </w:tc>
      </w:tr>
      <w:tr w:rsidR="001F04FE" w:rsidRPr="00DE42BC" w14:paraId="57966DAB" w14:textId="77777777" w:rsidTr="003E3D4B">
        <w:tc>
          <w:tcPr>
            <w:tcW w:w="1134" w:type="dxa"/>
            <w:shd w:val="clear" w:color="auto" w:fill="FFFFFF"/>
          </w:tcPr>
          <w:p w14:paraId="6E6FC654" w14:textId="77777777" w:rsidR="001F04FE" w:rsidRPr="00DE42BC" w:rsidRDefault="001F04FE" w:rsidP="003E3D4B">
            <w:pPr>
              <w:pStyle w:val="CETBodytext"/>
              <w:jc w:val="left"/>
            </w:pPr>
            <w:r>
              <w:t>CO101</w:t>
            </w:r>
          </w:p>
        </w:tc>
        <w:tc>
          <w:tcPr>
            <w:tcW w:w="1560" w:type="dxa"/>
            <w:shd w:val="clear" w:color="auto" w:fill="FFFFFF"/>
            <w:vAlign w:val="center"/>
          </w:tcPr>
          <w:p w14:paraId="511868FE" w14:textId="77777777" w:rsidR="001F04FE" w:rsidRPr="00DE42BC" w:rsidRDefault="001F04FE" w:rsidP="003E3D4B">
            <w:pPr>
              <w:pStyle w:val="CETBodytext"/>
              <w:jc w:val="left"/>
            </w:pPr>
            <w:r>
              <w:t>1,207,000</w:t>
            </w:r>
          </w:p>
        </w:tc>
        <w:tc>
          <w:tcPr>
            <w:tcW w:w="1842" w:type="dxa"/>
            <w:shd w:val="clear" w:color="auto" w:fill="FFFFFF"/>
            <w:vAlign w:val="center"/>
          </w:tcPr>
          <w:p w14:paraId="3080C871" w14:textId="77777777" w:rsidR="001F04FE" w:rsidRPr="00DE42BC" w:rsidRDefault="001F04FE" w:rsidP="003E3D4B">
            <w:pPr>
              <w:pStyle w:val="CETBodytext"/>
              <w:jc w:val="left"/>
            </w:pPr>
            <w:r>
              <w:t>36,000</w:t>
            </w:r>
          </w:p>
        </w:tc>
      </w:tr>
      <w:tr w:rsidR="001F04FE" w:rsidRPr="00DE42BC" w14:paraId="7B0E07F8" w14:textId="77777777" w:rsidTr="003E3D4B">
        <w:tc>
          <w:tcPr>
            <w:tcW w:w="1134" w:type="dxa"/>
            <w:shd w:val="clear" w:color="auto" w:fill="FFFFFF"/>
          </w:tcPr>
          <w:p w14:paraId="40FA1210" w14:textId="77777777" w:rsidR="001F04FE" w:rsidRPr="00DE42BC" w:rsidRDefault="001F04FE" w:rsidP="003E3D4B">
            <w:pPr>
              <w:pStyle w:val="CETBodytext"/>
              <w:jc w:val="left"/>
            </w:pPr>
            <w:r>
              <w:t>HX102</w:t>
            </w:r>
          </w:p>
        </w:tc>
        <w:tc>
          <w:tcPr>
            <w:tcW w:w="1560" w:type="dxa"/>
            <w:shd w:val="clear" w:color="auto" w:fill="FFFFFF"/>
            <w:vAlign w:val="center"/>
          </w:tcPr>
          <w:p w14:paraId="5493BA97" w14:textId="77777777" w:rsidR="001F04FE" w:rsidRPr="00DE42BC" w:rsidRDefault="001F04FE" w:rsidP="003E3D4B">
            <w:pPr>
              <w:pStyle w:val="CETBodytext"/>
              <w:jc w:val="left"/>
            </w:pPr>
            <w:r>
              <w:t>71,000</w:t>
            </w:r>
          </w:p>
        </w:tc>
        <w:tc>
          <w:tcPr>
            <w:tcW w:w="1842" w:type="dxa"/>
            <w:shd w:val="clear" w:color="auto" w:fill="FFFFFF"/>
            <w:vAlign w:val="center"/>
          </w:tcPr>
          <w:p w14:paraId="426A1756" w14:textId="77777777" w:rsidR="001F04FE" w:rsidRPr="00DE42BC" w:rsidRDefault="001F04FE" w:rsidP="003E3D4B">
            <w:pPr>
              <w:pStyle w:val="CETBodytext"/>
              <w:jc w:val="left"/>
            </w:pPr>
            <w:r>
              <w:t>2,000</w:t>
            </w:r>
          </w:p>
        </w:tc>
      </w:tr>
      <w:tr w:rsidR="001F04FE" w:rsidRPr="00DE42BC" w14:paraId="24D7F467" w14:textId="77777777" w:rsidTr="003E3D4B">
        <w:tc>
          <w:tcPr>
            <w:tcW w:w="1134" w:type="dxa"/>
            <w:shd w:val="clear" w:color="auto" w:fill="FFFFFF"/>
          </w:tcPr>
          <w:p w14:paraId="6454AB1B" w14:textId="77777777" w:rsidR="001F04FE" w:rsidRPr="00DE42BC" w:rsidRDefault="001F04FE" w:rsidP="003E3D4B">
            <w:pPr>
              <w:pStyle w:val="CETBodytext"/>
              <w:jc w:val="left"/>
            </w:pPr>
            <w:r>
              <w:t>C101</w:t>
            </w:r>
          </w:p>
        </w:tc>
        <w:tc>
          <w:tcPr>
            <w:tcW w:w="1560" w:type="dxa"/>
            <w:shd w:val="clear" w:color="auto" w:fill="FFFFFF"/>
            <w:vAlign w:val="center"/>
          </w:tcPr>
          <w:p w14:paraId="1F3507F2" w14:textId="77777777" w:rsidR="001F04FE" w:rsidRPr="00DE42BC" w:rsidRDefault="001F04FE" w:rsidP="003E3D4B">
            <w:pPr>
              <w:pStyle w:val="CETBodytext"/>
              <w:jc w:val="left"/>
            </w:pPr>
            <w:r>
              <w:t>176,000</w:t>
            </w:r>
          </w:p>
        </w:tc>
        <w:tc>
          <w:tcPr>
            <w:tcW w:w="1842" w:type="dxa"/>
            <w:shd w:val="clear" w:color="auto" w:fill="FFFFFF"/>
            <w:vAlign w:val="center"/>
          </w:tcPr>
          <w:p w14:paraId="507EA049" w14:textId="77777777" w:rsidR="001F04FE" w:rsidRPr="00DE42BC" w:rsidRDefault="001F04FE" w:rsidP="003E3D4B">
            <w:pPr>
              <w:pStyle w:val="CETBodytext"/>
              <w:jc w:val="left"/>
            </w:pPr>
            <w:r>
              <w:t>-</w:t>
            </w:r>
          </w:p>
        </w:tc>
      </w:tr>
      <w:tr w:rsidR="001F04FE" w:rsidRPr="00DE42BC" w14:paraId="25966341" w14:textId="77777777" w:rsidTr="003E3D4B">
        <w:tc>
          <w:tcPr>
            <w:tcW w:w="1134" w:type="dxa"/>
            <w:shd w:val="clear" w:color="auto" w:fill="FFFFFF"/>
          </w:tcPr>
          <w:p w14:paraId="0BC7CBC4" w14:textId="77777777" w:rsidR="001F04FE" w:rsidRDefault="001F04FE" w:rsidP="003E3D4B">
            <w:pPr>
              <w:pStyle w:val="CETBodytext"/>
              <w:jc w:val="left"/>
            </w:pPr>
            <w:r>
              <w:t>C102</w:t>
            </w:r>
          </w:p>
        </w:tc>
        <w:tc>
          <w:tcPr>
            <w:tcW w:w="1560" w:type="dxa"/>
            <w:shd w:val="clear" w:color="auto" w:fill="FFFFFF"/>
            <w:vAlign w:val="center"/>
          </w:tcPr>
          <w:p w14:paraId="0AE0E876" w14:textId="77777777" w:rsidR="001F04FE" w:rsidRPr="00DE42BC" w:rsidRDefault="001F04FE" w:rsidP="003E3D4B">
            <w:pPr>
              <w:pStyle w:val="CETBodytext"/>
              <w:jc w:val="left"/>
            </w:pPr>
            <w:r>
              <w:t>111,000</w:t>
            </w:r>
          </w:p>
        </w:tc>
        <w:tc>
          <w:tcPr>
            <w:tcW w:w="1842" w:type="dxa"/>
            <w:shd w:val="clear" w:color="auto" w:fill="FFFFFF"/>
            <w:vAlign w:val="center"/>
          </w:tcPr>
          <w:p w14:paraId="7142AA91" w14:textId="77777777" w:rsidR="001F04FE" w:rsidRPr="00DE42BC" w:rsidRDefault="001F04FE" w:rsidP="003E3D4B">
            <w:pPr>
              <w:pStyle w:val="CETBodytext"/>
              <w:jc w:val="left"/>
            </w:pPr>
            <w:r>
              <w:t>-</w:t>
            </w:r>
          </w:p>
        </w:tc>
      </w:tr>
      <w:tr w:rsidR="001F04FE" w:rsidRPr="00DE42BC" w14:paraId="297B6166" w14:textId="77777777" w:rsidTr="003E3D4B">
        <w:tc>
          <w:tcPr>
            <w:tcW w:w="1134" w:type="dxa"/>
            <w:shd w:val="clear" w:color="auto" w:fill="FFFFFF"/>
          </w:tcPr>
          <w:p w14:paraId="156A81B8" w14:textId="77777777" w:rsidR="001F04FE" w:rsidRDefault="001F04FE" w:rsidP="003E3D4B">
            <w:pPr>
              <w:pStyle w:val="CETBodytext"/>
              <w:jc w:val="left"/>
            </w:pPr>
            <w:r>
              <w:t>SUM</w:t>
            </w:r>
          </w:p>
        </w:tc>
        <w:tc>
          <w:tcPr>
            <w:tcW w:w="1560" w:type="dxa"/>
            <w:shd w:val="clear" w:color="auto" w:fill="FFFFFF"/>
            <w:vAlign w:val="center"/>
          </w:tcPr>
          <w:p w14:paraId="31FF1FCD" w14:textId="77777777" w:rsidR="001F04FE" w:rsidRDefault="001F04FE" w:rsidP="003E3D4B">
            <w:pPr>
              <w:pStyle w:val="CETBodytext"/>
              <w:jc w:val="left"/>
            </w:pPr>
            <w:r>
              <w:t>1,587,000</w:t>
            </w:r>
          </w:p>
        </w:tc>
        <w:tc>
          <w:tcPr>
            <w:tcW w:w="1842" w:type="dxa"/>
            <w:shd w:val="clear" w:color="auto" w:fill="FFFFFF"/>
            <w:vAlign w:val="center"/>
          </w:tcPr>
          <w:p w14:paraId="2373B88B" w14:textId="77777777" w:rsidR="001F04FE" w:rsidRDefault="001F04FE" w:rsidP="003E3D4B">
            <w:pPr>
              <w:pStyle w:val="CETBodytext"/>
              <w:jc w:val="left"/>
            </w:pPr>
            <w:r>
              <w:t>42,000</w:t>
            </w:r>
          </w:p>
        </w:tc>
      </w:tr>
    </w:tbl>
    <w:p w14:paraId="248E984D" w14:textId="77777777" w:rsidR="001F04FE" w:rsidRDefault="001F04FE" w:rsidP="001F04FE">
      <w:pPr>
        <w:pStyle w:val="CETheadingx"/>
      </w:pPr>
      <w:r>
        <w:t>Cryogenic distillation</w:t>
      </w:r>
    </w:p>
    <w:p w14:paraId="55C21961" w14:textId="1EB2B806" w:rsidR="00A83B95" w:rsidRDefault="001F04FE" w:rsidP="00A83B95">
      <w:pPr>
        <w:pStyle w:val="CETBodytext"/>
        <w:rPr>
          <w:lang w:val="en-GB"/>
        </w:rPr>
      </w:pPr>
      <w:r w:rsidRPr="002A7CA9">
        <w:t>The cryogenic distillation technology</w:t>
      </w:r>
      <w:r>
        <w:t xml:space="preserve"> (Figure 2)</w:t>
      </w:r>
      <w:r w:rsidRPr="002A7CA9">
        <w:t xml:space="preserve"> consist</w:t>
      </w:r>
      <w:r>
        <w:t>s</w:t>
      </w:r>
      <w:r w:rsidRPr="002A7CA9">
        <w:t xml:space="preserve"> of a cooler (</w:t>
      </w:r>
      <w:r>
        <w:t>HX101</w:t>
      </w:r>
      <w:r w:rsidRPr="002A7CA9">
        <w:t>)</w:t>
      </w:r>
      <w:r w:rsidR="00363C22">
        <w:t>,</w:t>
      </w:r>
      <w:r w:rsidRPr="002A7CA9">
        <w:t xml:space="preserve"> which serves the cooling from </w:t>
      </w:r>
      <w:r>
        <w:br/>
      </w:r>
      <w:r w:rsidRPr="002A7CA9">
        <w:t xml:space="preserve">850 °C to 35 °C. The distillation column operates at 5 bar and -65 °C </w:t>
      </w:r>
      <w:r w:rsidRPr="009978B5">
        <w:t>(Yousef et al., 2019)</w:t>
      </w:r>
      <w:r w:rsidR="00363C22">
        <w:t>;</w:t>
      </w:r>
      <w:r w:rsidRPr="002A7CA9">
        <w:t xml:space="preserve"> </w:t>
      </w:r>
      <w:r w:rsidR="0092163F">
        <w:t>thus,</w:t>
      </w:r>
      <w:r w:rsidR="0092163F" w:rsidRPr="002A7CA9">
        <w:t xml:space="preserve"> </w:t>
      </w:r>
      <w:r w:rsidRPr="002A7CA9">
        <w:t>a compressor (CO</w:t>
      </w:r>
      <w:r>
        <w:t>101</w:t>
      </w:r>
      <w:r w:rsidRPr="002A7CA9">
        <w:t xml:space="preserve">) and one </w:t>
      </w:r>
      <w:proofErr w:type="gramStart"/>
      <w:r w:rsidRPr="002A7CA9">
        <w:t>more cooler</w:t>
      </w:r>
      <w:proofErr w:type="gramEnd"/>
      <w:r w:rsidRPr="002A7CA9">
        <w:t xml:space="preserve"> (</w:t>
      </w:r>
      <w:r>
        <w:t>HX102</w:t>
      </w:r>
      <w:r w:rsidRPr="002A7CA9">
        <w:t xml:space="preserve">) are needed to reach the operational parameters. </w:t>
      </w:r>
      <w:r>
        <w:t xml:space="preserve">Due to the sensitivity </w:t>
      </w:r>
      <w:r w:rsidR="0092163F">
        <w:t>analysis,</w:t>
      </w:r>
      <w:r>
        <w:t xml:space="preserve"> the</w:t>
      </w:r>
      <w:r w:rsidRPr="002A7CA9">
        <w:t xml:space="preserve"> feed stream is introduced </w:t>
      </w:r>
      <w:r w:rsidR="00363C22">
        <w:t>in</w:t>
      </w:r>
      <w:r w:rsidR="00363C22" w:rsidRPr="002A7CA9">
        <w:t xml:space="preserve"> </w:t>
      </w:r>
      <w:r>
        <w:t>3</w:t>
      </w:r>
      <w:r>
        <w:rPr>
          <w:vertAlign w:val="superscript"/>
        </w:rPr>
        <w:t>rd</w:t>
      </w:r>
      <w:r>
        <w:t xml:space="preserve"> stage. T</w:t>
      </w:r>
      <w:r w:rsidRPr="002A7CA9">
        <w:t xml:space="preserve">he column pressure drop is 0.5 </w:t>
      </w:r>
      <w:proofErr w:type="gramStart"/>
      <w:r w:rsidRPr="002A7CA9">
        <w:t>bar</w:t>
      </w:r>
      <w:proofErr w:type="gramEnd"/>
      <w:r w:rsidR="0092163F">
        <w:t>, while</w:t>
      </w:r>
      <w:r w:rsidRPr="002A7CA9">
        <w:t xml:space="preserve"> </w:t>
      </w:r>
      <w:r w:rsidR="0092163F">
        <w:t>t</w:t>
      </w:r>
      <w:r w:rsidRPr="002A7CA9">
        <w:t>he CO</w:t>
      </w:r>
      <w:r w:rsidRPr="002A7CA9">
        <w:rPr>
          <w:vertAlign w:val="subscript"/>
        </w:rPr>
        <w:t>2</w:t>
      </w:r>
      <w:r w:rsidRPr="002A7CA9">
        <w:t xml:space="preserve"> removal efficiency is 75</w:t>
      </w:r>
      <w:r>
        <w:t xml:space="preserve"> </w:t>
      </w:r>
      <w:r w:rsidRPr="002A7CA9">
        <w:t xml:space="preserve">%. </w:t>
      </w:r>
      <w:r w:rsidR="00A83B95">
        <w:t>The feed stage position has a minimal effect on the separation</w:t>
      </w:r>
      <w:r w:rsidR="00363C22">
        <w:t>,</w:t>
      </w:r>
      <w:r w:rsidR="00A83B95">
        <w:t xml:space="preserve"> as the results of the sensitivity analysis </w:t>
      </w:r>
      <w:r w:rsidR="00363C22">
        <w:t xml:space="preserve">are </w:t>
      </w:r>
      <w:r w:rsidR="00A83B95">
        <w:t>show</w:t>
      </w:r>
      <w:r w:rsidR="00363C22">
        <w:t>n</w:t>
      </w:r>
      <w:r w:rsidR="00A83B95">
        <w:t xml:space="preserve"> </w:t>
      </w:r>
      <w:r w:rsidR="00363C22">
        <w:t xml:space="preserve">in </w:t>
      </w:r>
      <w:r w:rsidR="00A83B95">
        <w:t xml:space="preserve">Figure 2. </w:t>
      </w:r>
      <w:r w:rsidR="00A83B95">
        <w:rPr>
          <w:lang w:val="en-GB"/>
        </w:rPr>
        <w:t xml:space="preserve">The costs are </w:t>
      </w:r>
      <w:r w:rsidR="00363C22">
        <w:rPr>
          <w:lang w:val="en-GB"/>
        </w:rPr>
        <w:t xml:space="preserve">summarised </w:t>
      </w:r>
      <w:r w:rsidR="00A83B95">
        <w:rPr>
          <w:lang w:val="en-GB"/>
        </w:rPr>
        <w:t>in Table 3.</w:t>
      </w:r>
    </w:p>
    <w:p w14:paraId="32E3A1BF" w14:textId="77777777" w:rsidR="001F04FE" w:rsidRPr="002A7CA9" w:rsidRDefault="001F04FE" w:rsidP="001F04FE">
      <w:pPr>
        <w:pStyle w:val="CETBodytext"/>
      </w:pPr>
      <w:r w:rsidRPr="002A7CA9">
        <w:t>The main design parameters are the following:</w:t>
      </w:r>
    </w:p>
    <w:p w14:paraId="61C0FA92" w14:textId="0FE0D796" w:rsidR="001F04FE" w:rsidRPr="00421901" w:rsidRDefault="001F04FE" w:rsidP="001F04FE">
      <w:pPr>
        <w:pStyle w:val="CETListbullets"/>
        <w:numPr>
          <w:ilvl w:val="0"/>
          <w:numId w:val="25"/>
        </w:numPr>
      </w:pPr>
      <w:r>
        <w:t>HX101</w:t>
      </w:r>
      <w:r w:rsidRPr="00421901">
        <w:t xml:space="preserve">: -202 kW heat </w:t>
      </w:r>
      <w:proofErr w:type="gramStart"/>
      <w:r w:rsidRPr="00421901">
        <w:t>duty</w:t>
      </w:r>
      <w:proofErr w:type="gramEnd"/>
      <w:r w:rsidRPr="00421901">
        <w:t>, 9.9 m</w:t>
      </w:r>
      <w:r w:rsidRPr="00AA6C54">
        <w:rPr>
          <w:vertAlign w:val="superscript"/>
        </w:rPr>
        <w:t>2</w:t>
      </w:r>
      <w:r w:rsidRPr="00421901">
        <w:t xml:space="preserve"> heat transfer area</w:t>
      </w:r>
      <w:r w:rsidR="00C36D0A">
        <w:t xml:space="preserve"> (simple heat exchanger module).</w:t>
      </w:r>
    </w:p>
    <w:p w14:paraId="4359993E" w14:textId="3B9B8D47" w:rsidR="001F04FE" w:rsidRPr="00421901" w:rsidRDefault="001F04FE" w:rsidP="001F04FE">
      <w:pPr>
        <w:pStyle w:val="CETListbullets"/>
        <w:numPr>
          <w:ilvl w:val="0"/>
          <w:numId w:val="25"/>
        </w:numPr>
      </w:pPr>
      <w:r w:rsidRPr="00421901">
        <w:t>CO</w:t>
      </w:r>
      <w:r>
        <w:t>101</w:t>
      </w:r>
      <w:r w:rsidRPr="00421901">
        <w:t>: 46.3 kW work required, 72 % efficiency</w:t>
      </w:r>
      <w:r w:rsidR="00C36D0A">
        <w:t xml:space="preserve"> (standard compressor module).</w:t>
      </w:r>
    </w:p>
    <w:p w14:paraId="5F58B012" w14:textId="0D1F3876" w:rsidR="001F04FE" w:rsidRPr="00421901" w:rsidRDefault="001F04FE" w:rsidP="001F04FE">
      <w:pPr>
        <w:pStyle w:val="CETListbullets"/>
        <w:numPr>
          <w:ilvl w:val="0"/>
          <w:numId w:val="25"/>
        </w:numPr>
      </w:pPr>
      <w:r>
        <w:t>HX102</w:t>
      </w:r>
      <w:r w:rsidRPr="00421901">
        <w:t>: -70</w:t>
      </w:r>
      <w:r>
        <w:t>.</w:t>
      </w:r>
      <w:r w:rsidRPr="00421901">
        <w:t xml:space="preserve">6 kW heat </w:t>
      </w:r>
      <w:proofErr w:type="gramStart"/>
      <w:r w:rsidRPr="00421901">
        <w:t>duty</w:t>
      </w:r>
      <w:proofErr w:type="gramEnd"/>
      <w:r w:rsidRPr="00421901">
        <w:t>, 1.0 m</w:t>
      </w:r>
      <w:r w:rsidRPr="00AA6C54">
        <w:rPr>
          <w:vertAlign w:val="superscript"/>
        </w:rPr>
        <w:t>2</w:t>
      </w:r>
      <w:r w:rsidRPr="00421901">
        <w:t xml:space="preserve"> heat transfer area</w:t>
      </w:r>
      <w:r w:rsidR="00C36D0A">
        <w:t xml:space="preserve"> (simple heat exchanger module).</w:t>
      </w:r>
    </w:p>
    <w:p w14:paraId="6867867E" w14:textId="1E0EAFFD" w:rsidR="001F04FE" w:rsidRDefault="001F04FE" w:rsidP="001F04FE">
      <w:pPr>
        <w:pStyle w:val="CETListbullets"/>
        <w:numPr>
          <w:ilvl w:val="0"/>
          <w:numId w:val="25"/>
        </w:numPr>
      </w:pPr>
      <w:r w:rsidRPr="00421901">
        <w:t>C</w:t>
      </w:r>
      <w:r>
        <w:t>101</w:t>
      </w:r>
      <w:r w:rsidRPr="00421901">
        <w:t xml:space="preserve">: 0.5 m bottom diameter, 9.1 m height, sieves stages, condenser heat duty: -147 kW, </w:t>
      </w:r>
      <w:proofErr w:type="spellStart"/>
      <w:r w:rsidRPr="00421901">
        <w:t>reboiler</w:t>
      </w:r>
      <w:proofErr w:type="spellEnd"/>
      <w:r w:rsidRPr="00421901">
        <w:t xml:space="preserve"> heat duty: 89 kW</w:t>
      </w:r>
      <w:r w:rsidR="00C36D0A">
        <w:t xml:space="preserve"> (</w:t>
      </w:r>
      <w:proofErr w:type="spellStart"/>
      <w:r w:rsidR="00C36D0A">
        <w:t>radfrac</w:t>
      </w:r>
      <w:proofErr w:type="spellEnd"/>
      <w:r w:rsidR="00C36D0A">
        <w:t xml:space="preserve"> detailed module).</w:t>
      </w:r>
    </w:p>
    <w:p w14:paraId="068FBCDF" w14:textId="6B3BC69D" w:rsidR="001F04FE" w:rsidRDefault="001F04FE" w:rsidP="001F04FE">
      <w:pPr>
        <w:pStyle w:val="CETTabletitle"/>
      </w:pPr>
      <w:r>
        <w:t xml:space="preserve">Table </w:t>
      </w:r>
      <w:r w:rsidR="0092163F">
        <w:t>3</w:t>
      </w:r>
      <w:r>
        <w:t>: Cost evaluation of the designed cryogenic distillation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842"/>
      </w:tblGrid>
      <w:tr w:rsidR="001F04FE" w14:paraId="289380FC" w14:textId="77777777" w:rsidTr="003E3D4B">
        <w:tc>
          <w:tcPr>
            <w:tcW w:w="1134" w:type="dxa"/>
            <w:tcBorders>
              <w:top w:val="single" w:sz="12" w:space="0" w:color="008000"/>
              <w:left w:val="nil"/>
              <w:bottom w:val="single" w:sz="6" w:space="0" w:color="008000"/>
              <w:right w:val="nil"/>
            </w:tcBorders>
            <w:shd w:val="clear" w:color="auto" w:fill="FFFFFF"/>
          </w:tcPr>
          <w:p w14:paraId="534D73B4" w14:textId="77777777" w:rsidR="001F04FE" w:rsidRDefault="001F04FE" w:rsidP="003E3D4B">
            <w:pPr>
              <w:pStyle w:val="CETBodytext"/>
              <w:rPr>
                <w:lang w:val="en-GB"/>
              </w:rPr>
            </w:pPr>
          </w:p>
        </w:tc>
        <w:tc>
          <w:tcPr>
            <w:tcW w:w="1560" w:type="dxa"/>
            <w:tcBorders>
              <w:top w:val="single" w:sz="12" w:space="0" w:color="008000"/>
              <w:left w:val="nil"/>
              <w:bottom w:val="single" w:sz="6" w:space="0" w:color="008000"/>
              <w:right w:val="nil"/>
            </w:tcBorders>
            <w:shd w:val="clear" w:color="auto" w:fill="FFFFFF"/>
            <w:hideMark/>
          </w:tcPr>
          <w:p w14:paraId="5D5C9F2C" w14:textId="77777777" w:rsidR="001F04FE" w:rsidRDefault="001F04FE" w:rsidP="003E3D4B">
            <w:pPr>
              <w:pStyle w:val="CETBodytext"/>
              <w:rPr>
                <w:lang w:val="en-GB"/>
              </w:rPr>
            </w:pPr>
            <w:r>
              <w:rPr>
                <w:lang w:val="en-GB"/>
              </w:rPr>
              <w:t>CAPEX (USD)</w:t>
            </w:r>
          </w:p>
        </w:tc>
        <w:tc>
          <w:tcPr>
            <w:tcW w:w="1842" w:type="dxa"/>
            <w:tcBorders>
              <w:top w:val="single" w:sz="12" w:space="0" w:color="008000"/>
              <w:left w:val="nil"/>
              <w:bottom w:val="single" w:sz="6" w:space="0" w:color="008000"/>
              <w:right w:val="nil"/>
            </w:tcBorders>
            <w:shd w:val="clear" w:color="auto" w:fill="FFFFFF"/>
            <w:hideMark/>
          </w:tcPr>
          <w:p w14:paraId="45535292" w14:textId="77777777" w:rsidR="001F04FE" w:rsidRDefault="001F04FE" w:rsidP="003E3D4B">
            <w:pPr>
              <w:pStyle w:val="CETBodytext"/>
              <w:ind w:right="-1"/>
              <w:rPr>
                <w:lang w:val="en-GB"/>
              </w:rPr>
            </w:pPr>
            <w:r>
              <w:rPr>
                <w:lang w:val="en-GB"/>
              </w:rPr>
              <w:t>OPEX (USD/year)</w:t>
            </w:r>
          </w:p>
        </w:tc>
      </w:tr>
      <w:tr w:rsidR="001F04FE" w14:paraId="672E9233" w14:textId="77777777" w:rsidTr="003E3D4B">
        <w:tc>
          <w:tcPr>
            <w:tcW w:w="1134" w:type="dxa"/>
            <w:tcBorders>
              <w:top w:val="nil"/>
              <w:left w:val="nil"/>
              <w:bottom w:val="nil"/>
              <w:right w:val="nil"/>
            </w:tcBorders>
            <w:shd w:val="clear" w:color="auto" w:fill="FFFFFF"/>
            <w:hideMark/>
          </w:tcPr>
          <w:p w14:paraId="3DC80423" w14:textId="77777777" w:rsidR="001F04FE" w:rsidRDefault="001F04FE" w:rsidP="003E3D4B">
            <w:pPr>
              <w:pStyle w:val="CETBodytext"/>
              <w:rPr>
                <w:lang w:val="en-GB"/>
              </w:rPr>
            </w:pPr>
            <w:r>
              <w:rPr>
                <w:lang w:val="en-GB"/>
              </w:rPr>
              <w:t>HX101</w:t>
            </w:r>
          </w:p>
        </w:tc>
        <w:tc>
          <w:tcPr>
            <w:tcW w:w="1560" w:type="dxa"/>
            <w:tcBorders>
              <w:top w:val="nil"/>
              <w:left w:val="nil"/>
              <w:bottom w:val="nil"/>
              <w:right w:val="nil"/>
            </w:tcBorders>
            <w:shd w:val="clear" w:color="auto" w:fill="FFFFFF"/>
            <w:vAlign w:val="center"/>
            <w:hideMark/>
          </w:tcPr>
          <w:p w14:paraId="3D537C38" w14:textId="77777777" w:rsidR="001F04FE" w:rsidRDefault="001F04FE" w:rsidP="003E3D4B">
            <w:pPr>
              <w:pStyle w:val="CETBodytext"/>
              <w:tabs>
                <w:tab w:val="left" w:pos="1305"/>
              </w:tabs>
              <w:ind w:left="142"/>
              <w:rPr>
                <w:lang w:val="en-GB"/>
              </w:rPr>
            </w:pPr>
            <w:r>
              <w:rPr>
                <w:lang w:val="en-GB"/>
              </w:rPr>
              <w:t>717,000</w:t>
            </w:r>
          </w:p>
        </w:tc>
        <w:tc>
          <w:tcPr>
            <w:tcW w:w="1842" w:type="dxa"/>
            <w:tcBorders>
              <w:top w:val="nil"/>
              <w:left w:val="nil"/>
              <w:bottom w:val="nil"/>
              <w:right w:val="nil"/>
            </w:tcBorders>
            <w:shd w:val="clear" w:color="auto" w:fill="FFFFFF"/>
            <w:vAlign w:val="center"/>
            <w:hideMark/>
          </w:tcPr>
          <w:p w14:paraId="46D15173" w14:textId="77777777" w:rsidR="001F04FE" w:rsidRDefault="001F04FE" w:rsidP="003E3D4B">
            <w:pPr>
              <w:pStyle w:val="CETBodytext"/>
              <w:rPr>
                <w:lang w:val="en-GB"/>
              </w:rPr>
            </w:pPr>
            <w:r>
              <w:rPr>
                <w:lang w:val="en-GB"/>
              </w:rPr>
              <w:t>4,000</w:t>
            </w:r>
          </w:p>
        </w:tc>
      </w:tr>
      <w:tr w:rsidR="001F04FE" w14:paraId="69498BE7" w14:textId="77777777" w:rsidTr="003E3D4B">
        <w:tc>
          <w:tcPr>
            <w:tcW w:w="1134" w:type="dxa"/>
            <w:tcBorders>
              <w:top w:val="nil"/>
              <w:left w:val="nil"/>
              <w:bottom w:val="nil"/>
              <w:right w:val="nil"/>
            </w:tcBorders>
            <w:shd w:val="clear" w:color="auto" w:fill="FFFFFF"/>
            <w:hideMark/>
          </w:tcPr>
          <w:p w14:paraId="00AB9E2D" w14:textId="77777777" w:rsidR="001F04FE" w:rsidRDefault="001F04FE" w:rsidP="003E3D4B">
            <w:pPr>
              <w:pStyle w:val="CETBodytext"/>
              <w:rPr>
                <w:lang w:val="en-GB"/>
              </w:rPr>
            </w:pPr>
            <w:r>
              <w:rPr>
                <w:lang w:val="en-GB"/>
              </w:rPr>
              <w:t>C101</w:t>
            </w:r>
          </w:p>
        </w:tc>
        <w:tc>
          <w:tcPr>
            <w:tcW w:w="1560" w:type="dxa"/>
            <w:tcBorders>
              <w:top w:val="nil"/>
              <w:left w:val="nil"/>
              <w:bottom w:val="nil"/>
              <w:right w:val="nil"/>
            </w:tcBorders>
            <w:shd w:val="clear" w:color="auto" w:fill="FFFFFF"/>
            <w:vAlign w:val="center"/>
            <w:hideMark/>
          </w:tcPr>
          <w:p w14:paraId="52DFCA30" w14:textId="77777777" w:rsidR="001F04FE" w:rsidRDefault="001F04FE" w:rsidP="003E3D4B">
            <w:pPr>
              <w:pStyle w:val="CETBodytext"/>
              <w:tabs>
                <w:tab w:val="left" w:pos="1305"/>
              </w:tabs>
              <w:ind w:left="142"/>
              <w:rPr>
                <w:lang w:val="en-GB"/>
              </w:rPr>
            </w:pPr>
            <w:r>
              <w:rPr>
                <w:lang w:val="en-GB"/>
              </w:rPr>
              <w:t>647,000</w:t>
            </w:r>
          </w:p>
        </w:tc>
        <w:tc>
          <w:tcPr>
            <w:tcW w:w="1842" w:type="dxa"/>
            <w:tcBorders>
              <w:top w:val="nil"/>
              <w:left w:val="nil"/>
              <w:bottom w:val="nil"/>
              <w:right w:val="nil"/>
            </w:tcBorders>
            <w:shd w:val="clear" w:color="auto" w:fill="FFFFFF"/>
            <w:vAlign w:val="center"/>
            <w:hideMark/>
          </w:tcPr>
          <w:p w14:paraId="6E5C62DC" w14:textId="77777777" w:rsidR="001F04FE" w:rsidRDefault="001F04FE" w:rsidP="003E3D4B">
            <w:pPr>
              <w:pStyle w:val="CETBodytext"/>
              <w:rPr>
                <w:lang w:val="en-GB"/>
              </w:rPr>
            </w:pPr>
            <w:r>
              <w:rPr>
                <w:lang w:val="en-GB"/>
              </w:rPr>
              <w:t>490,000</w:t>
            </w:r>
          </w:p>
        </w:tc>
      </w:tr>
      <w:tr w:rsidR="001F04FE" w14:paraId="5D09A732" w14:textId="77777777" w:rsidTr="003E3D4B">
        <w:tc>
          <w:tcPr>
            <w:tcW w:w="1134" w:type="dxa"/>
            <w:tcBorders>
              <w:top w:val="nil"/>
              <w:left w:val="nil"/>
              <w:bottom w:val="nil"/>
              <w:right w:val="nil"/>
            </w:tcBorders>
            <w:shd w:val="clear" w:color="auto" w:fill="FFFFFF"/>
            <w:hideMark/>
          </w:tcPr>
          <w:p w14:paraId="45891208" w14:textId="77777777" w:rsidR="001F04FE" w:rsidRDefault="001F04FE" w:rsidP="003E3D4B">
            <w:pPr>
              <w:pStyle w:val="CETBodytext"/>
              <w:rPr>
                <w:lang w:val="en-GB"/>
              </w:rPr>
            </w:pPr>
            <w:r>
              <w:rPr>
                <w:lang w:val="en-GB"/>
              </w:rPr>
              <w:t>HX102</w:t>
            </w:r>
          </w:p>
        </w:tc>
        <w:tc>
          <w:tcPr>
            <w:tcW w:w="1560" w:type="dxa"/>
            <w:tcBorders>
              <w:top w:val="nil"/>
              <w:left w:val="nil"/>
              <w:bottom w:val="nil"/>
              <w:right w:val="nil"/>
            </w:tcBorders>
            <w:shd w:val="clear" w:color="auto" w:fill="FFFFFF"/>
            <w:vAlign w:val="center"/>
            <w:hideMark/>
          </w:tcPr>
          <w:p w14:paraId="36859313" w14:textId="77777777" w:rsidR="001F04FE" w:rsidRDefault="001F04FE" w:rsidP="003E3D4B">
            <w:pPr>
              <w:pStyle w:val="CETBodytext"/>
              <w:tabs>
                <w:tab w:val="left" w:pos="1305"/>
              </w:tabs>
              <w:ind w:left="142"/>
              <w:rPr>
                <w:lang w:val="en-GB"/>
              </w:rPr>
            </w:pPr>
            <w:r>
              <w:rPr>
                <w:lang w:val="en-GB"/>
              </w:rPr>
              <w:t>76,000</w:t>
            </w:r>
          </w:p>
        </w:tc>
        <w:tc>
          <w:tcPr>
            <w:tcW w:w="1842" w:type="dxa"/>
            <w:tcBorders>
              <w:top w:val="nil"/>
              <w:left w:val="nil"/>
              <w:bottom w:val="nil"/>
              <w:right w:val="nil"/>
            </w:tcBorders>
            <w:shd w:val="clear" w:color="auto" w:fill="FFFFFF"/>
            <w:vAlign w:val="center"/>
            <w:hideMark/>
          </w:tcPr>
          <w:p w14:paraId="3D681565" w14:textId="77777777" w:rsidR="001F04FE" w:rsidRDefault="001F04FE" w:rsidP="003E3D4B">
            <w:pPr>
              <w:pStyle w:val="CETBodytext"/>
              <w:rPr>
                <w:rFonts w:cs="Arial"/>
                <w:szCs w:val="18"/>
                <w:lang w:val="en-GB"/>
              </w:rPr>
            </w:pPr>
            <w:r>
              <w:rPr>
                <w:rFonts w:cs="Arial"/>
                <w:szCs w:val="18"/>
                <w:lang w:val="en-GB"/>
              </w:rPr>
              <w:t>170</w:t>
            </w:r>
          </w:p>
        </w:tc>
      </w:tr>
      <w:tr w:rsidR="001F04FE" w14:paraId="7F9C2953" w14:textId="77777777" w:rsidTr="003E3D4B">
        <w:tc>
          <w:tcPr>
            <w:tcW w:w="1134" w:type="dxa"/>
            <w:tcBorders>
              <w:top w:val="nil"/>
              <w:left w:val="nil"/>
              <w:bottom w:val="nil"/>
              <w:right w:val="nil"/>
            </w:tcBorders>
            <w:shd w:val="clear" w:color="auto" w:fill="FFFFFF"/>
            <w:hideMark/>
          </w:tcPr>
          <w:p w14:paraId="56600B65" w14:textId="77777777" w:rsidR="001F04FE" w:rsidRDefault="001F04FE" w:rsidP="003E3D4B">
            <w:pPr>
              <w:pStyle w:val="CETBodytext"/>
              <w:ind w:right="-1"/>
              <w:rPr>
                <w:rFonts w:cs="Arial"/>
                <w:szCs w:val="18"/>
                <w:lang w:val="en-GB"/>
              </w:rPr>
            </w:pPr>
            <w:r>
              <w:rPr>
                <w:rFonts w:cs="Arial"/>
                <w:szCs w:val="18"/>
                <w:lang w:val="en-GB"/>
              </w:rPr>
              <w:t>CO101</w:t>
            </w:r>
          </w:p>
        </w:tc>
        <w:tc>
          <w:tcPr>
            <w:tcW w:w="1560" w:type="dxa"/>
            <w:tcBorders>
              <w:top w:val="nil"/>
              <w:left w:val="nil"/>
              <w:bottom w:val="nil"/>
              <w:right w:val="nil"/>
            </w:tcBorders>
            <w:shd w:val="clear" w:color="auto" w:fill="FFFFFF"/>
            <w:vAlign w:val="center"/>
            <w:hideMark/>
          </w:tcPr>
          <w:p w14:paraId="3DA2008D" w14:textId="77777777" w:rsidR="001F04FE" w:rsidRDefault="001F04FE" w:rsidP="003E3D4B">
            <w:pPr>
              <w:pStyle w:val="CETBodytext"/>
              <w:tabs>
                <w:tab w:val="left" w:pos="1305"/>
              </w:tabs>
              <w:ind w:left="142" w:right="-1"/>
              <w:rPr>
                <w:rFonts w:cs="Arial"/>
                <w:szCs w:val="18"/>
                <w:lang w:val="en-GB"/>
              </w:rPr>
            </w:pPr>
            <w:r>
              <w:rPr>
                <w:rFonts w:cs="Arial"/>
                <w:szCs w:val="18"/>
                <w:lang w:val="en-GB"/>
              </w:rPr>
              <w:t>1,194,000</w:t>
            </w:r>
          </w:p>
        </w:tc>
        <w:tc>
          <w:tcPr>
            <w:tcW w:w="1842" w:type="dxa"/>
            <w:tcBorders>
              <w:top w:val="nil"/>
              <w:left w:val="nil"/>
              <w:bottom w:val="nil"/>
              <w:right w:val="nil"/>
            </w:tcBorders>
            <w:shd w:val="clear" w:color="auto" w:fill="FFFFFF"/>
            <w:vAlign w:val="center"/>
            <w:hideMark/>
          </w:tcPr>
          <w:p w14:paraId="0AFBF96B" w14:textId="77777777" w:rsidR="001F04FE" w:rsidRDefault="001F04FE" w:rsidP="003E3D4B">
            <w:pPr>
              <w:pStyle w:val="CETBodytext"/>
              <w:ind w:right="-1"/>
              <w:rPr>
                <w:rFonts w:cs="Arial"/>
                <w:szCs w:val="18"/>
                <w:lang w:val="en-GB"/>
              </w:rPr>
            </w:pPr>
            <w:r>
              <w:rPr>
                <w:rFonts w:cs="Arial"/>
                <w:szCs w:val="18"/>
                <w:lang w:val="en-GB"/>
              </w:rPr>
              <w:t>35,000</w:t>
            </w:r>
          </w:p>
        </w:tc>
      </w:tr>
      <w:tr w:rsidR="001F04FE" w14:paraId="7F5FCCC3" w14:textId="77777777" w:rsidTr="003E3D4B">
        <w:tc>
          <w:tcPr>
            <w:tcW w:w="1134" w:type="dxa"/>
            <w:tcBorders>
              <w:top w:val="nil"/>
              <w:left w:val="nil"/>
              <w:bottom w:val="single" w:sz="12" w:space="0" w:color="008000"/>
              <w:right w:val="nil"/>
            </w:tcBorders>
            <w:shd w:val="clear" w:color="auto" w:fill="FFFFFF"/>
            <w:hideMark/>
          </w:tcPr>
          <w:p w14:paraId="24EA62D8" w14:textId="77777777" w:rsidR="001F04FE" w:rsidRDefault="001F04FE" w:rsidP="003E3D4B">
            <w:pPr>
              <w:pStyle w:val="CETBodytext"/>
              <w:ind w:right="-1"/>
              <w:rPr>
                <w:rFonts w:cs="Arial"/>
                <w:szCs w:val="18"/>
                <w:lang w:val="en-GB"/>
              </w:rPr>
            </w:pPr>
            <w:r>
              <w:rPr>
                <w:rFonts w:cs="Arial"/>
                <w:szCs w:val="18"/>
                <w:lang w:val="en-GB"/>
              </w:rPr>
              <w:t>SUM</w:t>
            </w:r>
          </w:p>
        </w:tc>
        <w:tc>
          <w:tcPr>
            <w:tcW w:w="1560" w:type="dxa"/>
            <w:tcBorders>
              <w:top w:val="nil"/>
              <w:left w:val="nil"/>
              <w:bottom w:val="single" w:sz="12" w:space="0" w:color="008000"/>
              <w:right w:val="nil"/>
            </w:tcBorders>
            <w:shd w:val="clear" w:color="auto" w:fill="FFFFFF"/>
            <w:vAlign w:val="center"/>
            <w:hideMark/>
          </w:tcPr>
          <w:p w14:paraId="4EDEBE87" w14:textId="77777777" w:rsidR="001F04FE" w:rsidRDefault="001F04FE" w:rsidP="003E3D4B">
            <w:pPr>
              <w:pStyle w:val="CETBodytext"/>
              <w:tabs>
                <w:tab w:val="left" w:pos="1305"/>
              </w:tabs>
              <w:ind w:left="142" w:right="-1"/>
              <w:rPr>
                <w:rFonts w:cs="Arial"/>
                <w:szCs w:val="18"/>
                <w:lang w:val="en-GB"/>
              </w:rPr>
            </w:pPr>
            <w:r>
              <w:rPr>
                <w:rFonts w:cs="Arial"/>
                <w:szCs w:val="18"/>
                <w:lang w:val="en-GB"/>
              </w:rPr>
              <w:t>2,633,000</w:t>
            </w:r>
          </w:p>
        </w:tc>
        <w:tc>
          <w:tcPr>
            <w:tcW w:w="1842" w:type="dxa"/>
            <w:tcBorders>
              <w:top w:val="nil"/>
              <w:left w:val="nil"/>
              <w:bottom w:val="single" w:sz="12" w:space="0" w:color="008000"/>
              <w:right w:val="nil"/>
            </w:tcBorders>
            <w:shd w:val="clear" w:color="auto" w:fill="FFFFFF"/>
            <w:vAlign w:val="center"/>
            <w:hideMark/>
          </w:tcPr>
          <w:p w14:paraId="52401483" w14:textId="77777777" w:rsidR="001F04FE" w:rsidRDefault="001F04FE" w:rsidP="003E3D4B">
            <w:pPr>
              <w:pStyle w:val="CETBodytext"/>
              <w:ind w:right="-1"/>
              <w:rPr>
                <w:rFonts w:cs="Arial"/>
                <w:szCs w:val="18"/>
                <w:lang w:val="en-GB"/>
              </w:rPr>
            </w:pPr>
            <w:r>
              <w:rPr>
                <w:rFonts w:cs="Arial"/>
                <w:szCs w:val="18"/>
                <w:lang w:val="en-GB"/>
              </w:rPr>
              <w:t>529,000</w:t>
            </w:r>
          </w:p>
        </w:tc>
      </w:tr>
    </w:tbl>
    <w:p w14:paraId="193F599E" w14:textId="784DB95C" w:rsidR="001F04FE" w:rsidRPr="00CD2BFC" w:rsidRDefault="00CD2BFC" w:rsidP="00CD2BFC">
      <w:pPr>
        <w:tabs>
          <w:tab w:val="clear" w:pos="7100"/>
        </w:tabs>
        <w:spacing w:after="160" w:line="259" w:lineRule="auto"/>
        <w:jc w:val="left"/>
        <w:rPr>
          <w:rFonts w:cs="Arial"/>
          <w:lang w:val="en-US"/>
        </w:rPr>
      </w:pPr>
      <w:r>
        <w:rPr>
          <w:rFonts w:cs="Arial"/>
          <w:noProof/>
          <w:lang w:val="hu-HU" w:eastAsia="hu-HU"/>
        </w:rPr>
        <w:lastRenderedPageBreak/>
        <w:drawing>
          <wp:inline distT="0" distB="0" distL="0" distR="0" wp14:anchorId="4505669D" wp14:editId="0BFF0C13">
            <wp:extent cx="5661964" cy="3118184"/>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r="1772"/>
                    <a:stretch/>
                  </pic:blipFill>
                  <pic:spPr bwMode="auto">
                    <a:xfrm>
                      <a:off x="0" y="0"/>
                      <a:ext cx="5667419" cy="3121188"/>
                    </a:xfrm>
                    <a:prstGeom prst="rect">
                      <a:avLst/>
                    </a:prstGeom>
                    <a:noFill/>
                    <a:ln>
                      <a:noFill/>
                    </a:ln>
                    <a:extLst>
                      <a:ext uri="{53640926-AAD7-44D8-BBD7-CCE9431645EC}">
                        <a14:shadowObscured xmlns:a14="http://schemas.microsoft.com/office/drawing/2010/main"/>
                      </a:ext>
                    </a:extLst>
                  </pic:spPr>
                </pic:pic>
              </a:graphicData>
            </a:graphic>
          </wp:inline>
        </w:drawing>
      </w:r>
    </w:p>
    <w:p w14:paraId="5B53ACD7" w14:textId="77777777" w:rsidR="001F04FE" w:rsidRDefault="001F04FE" w:rsidP="001F04FE">
      <w:pPr>
        <w:pStyle w:val="CETCaption"/>
      </w:pPr>
      <w:r>
        <w:t xml:space="preserve">Figure 2: </w:t>
      </w:r>
      <w:proofErr w:type="spellStart"/>
      <w:r>
        <w:t>Flowsheet</w:t>
      </w:r>
      <w:proofErr w:type="spellEnd"/>
      <w:r>
        <w:t>, the process parameters of the designed cryogenic distillation process and the influence of feed’s stage on CO</w:t>
      </w:r>
      <w:r w:rsidRPr="00591D2E">
        <w:rPr>
          <w:vertAlign w:val="subscript"/>
        </w:rPr>
        <w:t>2</w:t>
      </w:r>
      <w:r>
        <w:t xml:space="preserve"> mass </w:t>
      </w:r>
      <w:proofErr w:type="spellStart"/>
      <w:r>
        <w:t>flowrate</w:t>
      </w:r>
      <w:proofErr w:type="spellEnd"/>
      <w:r>
        <w:t xml:space="preserve"> in BOTTOM stream</w:t>
      </w:r>
    </w:p>
    <w:p w14:paraId="341A992F" w14:textId="77777777" w:rsidR="001F04FE" w:rsidRDefault="001F04FE" w:rsidP="001F04FE">
      <w:pPr>
        <w:pStyle w:val="CETheadingx"/>
      </w:pPr>
      <w:r>
        <w:t>Ca looping process</w:t>
      </w:r>
    </w:p>
    <w:p w14:paraId="1D62965A" w14:textId="7BCCEC7A" w:rsidR="00D1300C" w:rsidRPr="00AE7371" w:rsidRDefault="001F04FE" w:rsidP="00D1300C">
      <w:pPr>
        <w:pStyle w:val="CETBodytext"/>
        <w:rPr>
          <w:lang w:val="en-GB"/>
        </w:rPr>
      </w:pPr>
      <w:r>
        <w:t xml:space="preserve">Figure 3 shows the </w:t>
      </w:r>
      <w:proofErr w:type="spellStart"/>
      <w:r>
        <w:t>flowsheet</w:t>
      </w:r>
      <w:proofErr w:type="spellEnd"/>
      <w:r>
        <w:t xml:space="preserve"> of the Ca-looping process and the process parameters. The process contains a compressor (CO101), a heat exchanger (HX101)</w:t>
      </w:r>
      <w:r w:rsidR="00363C22">
        <w:t>,</w:t>
      </w:r>
      <w:r>
        <w:t xml:space="preserve"> a carbonator (R101) </w:t>
      </w:r>
      <w:proofErr w:type="spellStart"/>
      <w:r>
        <w:t>modelled</w:t>
      </w:r>
      <w:proofErr w:type="spellEnd"/>
      <w:r>
        <w:t xml:space="preserve"> as a </w:t>
      </w:r>
      <w:proofErr w:type="spellStart"/>
      <w:r w:rsidR="00363C22">
        <w:t>fluidised</w:t>
      </w:r>
      <w:proofErr w:type="spellEnd"/>
      <w:r w:rsidR="00363C22">
        <w:t xml:space="preserve"> </w:t>
      </w:r>
      <w:r>
        <w:t xml:space="preserve">bed reactor, and a </w:t>
      </w:r>
      <w:proofErr w:type="spellStart"/>
      <w:r>
        <w:t>calciner</w:t>
      </w:r>
      <w:proofErr w:type="spellEnd"/>
      <w:r>
        <w:t xml:space="preserve"> (R102) </w:t>
      </w:r>
      <w:proofErr w:type="spellStart"/>
      <w:r>
        <w:t>modelled</w:t>
      </w:r>
      <w:proofErr w:type="spellEnd"/>
      <w:r>
        <w:t xml:space="preserve"> as a Gibbs reactor. Then the outlet of the R102 reactor was purified with a cyclone (CY101)</w:t>
      </w:r>
      <w:r w:rsidR="0020731A">
        <w:t>,</w:t>
      </w:r>
      <w:r>
        <w:t xml:space="preserve"> and the CO</w:t>
      </w:r>
      <w:r w:rsidRPr="00366D19">
        <w:rPr>
          <w:vertAlign w:val="subscript"/>
        </w:rPr>
        <w:t>2</w:t>
      </w:r>
      <w:r>
        <w:rPr>
          <w:vertAlign w:val="subscript"/>
        </w:rPr>
        <w:t xml:space="preserve"> </w:t>
      </w:r>
      <w:r>
        <w:t xml:space="preserve">and </w:t>
      </w:r>
      <w:proofErr w:type="spellStart"/>
      <w:r>
        <w:t>CaO</w:t>
      </w:r>
      <w:proofErr w:type="spellEnd"/>
      <w:r>
        <w:t xml:space="preserve"> streams</w:t>
      </w:r>
      <w:r w:rsidR="00437683">
        <w:t xml:space="preserve"> were obtained</w:t>
      </w:r>
      <w:r>
        <w:t xml:space="preserve">. The R101 reactor operates at 650 °C, so the inlet gas feed should be cooled down before entering the reactor. The </w:t>
      </w:r>
      <w:proofErr w:type="spellStart"/>
      <w:r>
        <w:t>calciner</w:t>
      </w:r>
      <w:proofErr w:type="spellEnd"/>
      <w:r>
        <w:t xml:space="preserve"> temperature is 900 °C which is suitable for the complete regeneration of the spent </w:t>
      </w:r>
      <w:proofErr w:type="spellStart"/>
      <w:r>
        <w:t>CaO</w:t>
      </w:r>
      <w:proofErr w:type="spellEnd"/>
      <w:r>
        <w:t xml:space="preserve"> to its original form</w:t>
      </w:r>
      <w:r w:rsidR="00363C22">
        <w:t>. T</w:t>
      </w:r>
      <w:r w:rsidR="0092163F">
        <w:t xml:space="preserve">hus </w:t>
      </w:r>
      <w:r w:rsidR="00363C22">
        <w:t xml:space="preserve">a </w:t>
      </w:r>
      <w:r w:rsidR="0092163F">
        <w:t>large amount</w:t>
      </w:r>
      <w:r>
        <w:t xml:space="preserve"> of </w:t>
      </w:r>
      <w:proofErr w:type="spellStart"/>
      <w:r>
        <w:t>CaO</w:t>
      </w:r>
      <w:proofErr w:type="spellEnd"/>
      <w:r>
        <w:t xml:space="preserve"> can be recycled. However</w:t>
      </w:r>
      <w:r w:rsidR="00363C22">
        <w:t xml:space="preserve">, </w:t>
      </w:r>
      <w:r w:rsidR="0020731A">
        <w:t xml:space="preserve">no conveyors or any solid transportation equipment was </w:t>
      </w:r>
      <w:proofErr w:type="spellStart"/>
      <w:r w:rsidR="0020731A">
        <w:t>modelled</w:t>
      </w:r>
      <w:proofErr w:type="spellEnd"/>
      <w:r w:rsidR="0020731A">
        <w:t xml:space="preserve"> or sized in this study</w:t>
      </w:r>
      <w:r>
        <w:t>.</w:t>
      </w:r>
      <w:r w:rsidR="00D1300C">
        <w:t xml:space="preserve"> The lower diagram shows the molar composition of the GASOUT stream. The conversions were derived from </w:t>
      </w:r>
      <w:r w:rsidR="00D1300C" w:rsidRPr="0066771E">
        <w:rPr>
          <w:lang w:val="en-GB"/>
        </w:rPr>
        <w:t>(</w:t>
      </w:r>
      <w:proofErr w:type="spellStart"/>
      <w:r w:rsidR="00D1300C" w:rsidRPr="0066771E">
        <w:rPr>
          <w:lang w:val="en-GB"/>
        </w:rPr>
        <w:t>Cormos</w:t>
      </w:r>
      <w:proofErr w:type="spellEnd"/>
      <w:r w:rsidR="00D1300C" w:rsidRPr="0066771E">
        <w:rPr>
          <w:lang w:val="en-GB"/>
        </w:rPr>
        <w:t xml:space="preserve"> and Simon, 2013)</w:t>
      </w:r>
      <w:r w:rsidR="00D1300C">
        <w:rPr>
          <w:lang w:val="en-GB"/>
        </w:rPr>
        <w:t xml:space="preserve">, </w:t>
      </w:r>
      <w:r w:rsidR="00D1300C">
        <w:t>and 70 % conversion was approximated in the carbonator. The amount of CO</w:t>
      </w:r>
      <w:r w:rsidR="00D1300C" w:rsidRPr="00A83B95">
        <w:rPr>
          <w:vertAlign w:val="subscript"/>
        </w:rPr>
        <w:t xml:space="preserve">2 </w:t>
      </w:r>
      <w:r w:rsidR="00D1300C" w:rsidRPr="00362EC5">
        <w:t>decreases</w:t>
      </w:r>
      <w:r w:rsidR="00D1300C">
        <w:t xml:space="preserve"> through the reactor as the reaction progresses. Besides</w:t>
      </w:r>
      <w:r w:rsidR="0020731A">
        <w:t>,</w:t>
      </w:r>
      <w:r w:rsidR="00D1300C">
        <w:t xml:space="preserve"> the particle size distribution can be seen in Figure 3. </w:t>
      </w:r>
      <w:r w:rsidR="00D1300C">
        <w:rPr>
          <w:lang w:val="en-GB"/>
        </w:rPr>
        <w:t>The costs are summarised in Table 4.</w:t>
      </w:r>
    </w:p>
    <w:p w14:paraId="0A52D9FF" w14:textId="23235437" w:rsidR="00D1300C" w:rsidRPr="00A83B95" w:rsidRDefault="00D1300C" w:rsidP="00D1300C">
      <w:pPr>
        <w:pStyle w:val="CETBodytext"/>
      </w:pPr>
    </w:p>
    <w:p w14:paraId="6E07AA56" w14:textId="77777777" w:rsidR="00CD2BFC" w:rsidRDefault="00CD2BFC" w:rsidP="00CD2BFC">
      <w:pPr>
        <w:pStyle w:val="CETBodytext"/>
      </w:pPr>
      <w:r>
        <w:t>The main design parameters are the following:</w:t>
      </w:r>
    </w:p>
    <w:p w14:paraId="371E9556" w14:textId="77777777" w:rsidR="00CD2BFC" w:rsidRPr="00421901" w:rsidRDefault="00CD2BFC" w:rsidP="00CD2BFC">
      <w:pPr>
        <w:pStyle w:val="CETListbullets"/>
        <w:numPr>
          <w:ilvl w:val="0"/>
          <w:numId w:val="25"/>
        </w:numPr>
      </w:pPr>
      <w:r>
        <w:t>CO101 – 55.6 kW work required (standard compressor module).</w:t>
      </w:r>
    </w:p>
    <w:p w14:paraId="2B53D3E4" w14:textId="77777777" w:rsidR="00CD2BFC" w:rsidRDefault="00CD2BFC" w:rsidP="00CD2BFC">
      <w:pPr>
        <w:pStyle w:val="CETListbullets"/>
        <w:numPr>
          <w:ilvl w:val="0"/>
          <w:numId w:val="26"/>
        </w:numPr>
      </w:pPr>
      <w:r>
        <w:t xml:space="preserve">HX101 – 111.55 kW </w:t>
      </w:r>
      <w:proofErr w:type="gramStart"/>
      <w:r>
        <w:t>duty</w:t>
      </w:r>
      <w:proofErr w:type="gramEnd"/>
      <w:r>
        <w:t xml:space="preserve"> (simple heat exchanger module).</w:t>
      </w:r>
    </w:p>
    <w:p w14:paraId="49F4AEE4" w14:textId="753F45C6" w:rsidR="00CD2BFC" w:rsidRDefault="00CD2BFC" w:rsidP="00CD2BFC">
      <w:pPr>
        <w:pStyle w:val="CETListbullets"/>
        <w:numPr>
          <w:ilvl w:val="0"/>
          <w:numId w:val="26"/>
        </w:numPr>
      </w:pPr>
      <w:r>
        <w:t>R101 – with 0.5 m diameter and 10 m height (mostly preventing solid discharge), with 150 kg solids load, and 266 m</w:t>
      </w:r>
      <w:r w:rsidRPr="00692DBB">
        <w:rPr>
          <w:vertAlign w:val="superscript"/>
        </w:rPr>
        <w:t>2</w:t>
      </w:r>
      <w:r>
        <w:t xml:space="preserve"> surface area with 2.92e8 </w:t>
      </w:r>
      <w:proofErr w:type="spellStart"/>
      <w:r>
        <w:t>Geldart</w:t>
      </w:r>
      <w:proofErr w:type="spellEnd"/>
      <w:r>
        <w:t xml:space="preserve"> type B particles (</w:t>
      </w:r>
      <w:r w:rsidR="00363C22">
        <w:t xml:space="preserve">Fluidised </w:t>
      </w:r>
      <w:r>
        <w:t>bed module).</w:t>
      </w:r>
    </w:p>
    <w:p w14:paraId="4AE62B3B" w14:textId="1764AE73" w:rsidR="00CD2BFC" w:rsidRDefault="00CD2BFC" w:rsidP="00CD2BFC">
      <w:pPr>
        <w:pStyle w:val="CETListbullets"/>
        <w:numPr>
          <w:ilvl w:val="0"/>
          <w:numId w:val="26"/>
        </w:numPr>
      </w:pPr>
      <w:r>
        <w:t xml:space="preserve">R102 – calculated as a furnace with 0.131 </w:t>
      </w:r>
      <w:proofErr w:type="spellStart"/>
      <w:r w:rsidRPr="00967F86">
        <w:t>Gcal</w:t>
      </w:r>
      <w:proofErr w:type="spellEnd"/>
      <w:r w:rsidRPr="00967F86">
        <w:t>/</w:t>
      </w:r>
      <w:proofErr w:type="spellStart"/>
      <w:r w:rsidRPr="00967F86">
        <w:t>hr</w:t>
      </w:r>
      <w:proofErr w:type="spellEnd"/>
      <w:r w:rsidRPr="00967F86">
        <w:t xml:space="preserve"> duty</w:t>
      </w:r>
      <w:r>
        <w:t xml:space="preserve"> (</w:t>
      </w:r>
      <w:r w:rsidR="00363C22">
        <w:t xml:space="preserve">Gibbs </w:t>
      </w:r>
      <w:r>
        <w:t>reactor module)</w:t>
      </w:r>
    </w:p>
    <w:p w14:paraId="7B155E6E" w14:textId="0C852C73" w:rsidR="00CD2BFC" w:rsidRDefault="00CD2BFC" w:rsidP="00CD2BFC">
      <w:pPr>
        <w:pStyle w:val="CETListbullets"/>
        <w:numPr>
          <w:ilvl w:val="0"/>
          <w:numId w:val="26"/>
        </w:numPr>
      </w:pPr>
      <w:r>
        <w:t xml:space="preserve">CY101 – 99.5 % efficiency, with a 1.35 m diameter and 2.02 m cylinder, and 3.38 m cone section </w:t>
      </w:r>
      <w:r w:rsidR="00363C22">
        <w:t xml:space="preserve">height </w:t>
      </w:r>
      <w:r>
        <w:t>with 3.35 m vortex</w:t>
      </w:r>
      <w:r w:rsidR="00363C22">
        <w:t>es</w:t>
      </w:r>
      <w:r>
        <w:t xml:space="preserve">, using 3 </w:t>
      </w:r>
      <w:proofErr w:type="spellStart"/>
      <w:r>
        <w:t>Stairmand</w:t>
      </w:r>
      <w:proofErr w:type="spellEnd"/>
      <w:r>
        <w:t>-HE type cyclones (cyclone module).</w:t>
      </w:r>
    </w:p>
    <w:p w14:paraId="4C7A7EFD" w14:textId="77777777" w:rsidR="00D1300C" w:rsidRPr="00B57B36" w:rsidRDefault="00D1300C" w:rsidP="00152BF5">
      <w:pPr>
        <w:pStyle w:val="CETTabletitle"/>
      </w:pPr>
      <w:r w:rsidRPr="00B57B36">
        <w:t xml:space="preserve">Table </w:t>
      </w:r>
      <w:r>
        <w:t>4</w:t>
      </w:r>
      <w:r w:rsidRPr="00B57B36">
        <w:t xml:space="preserve">: </w:t>
      </w:r>
      <w:r>
        <w:t>Cost evaluation of the designed Ca-looping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842"/>
      </w:tblGrid>
      <w:tr w:rsidR="00D1300C" w:rsidRPr="00B57B36" w14:paraId="43420B23" w14:textId="77777777" w:rsidTr="00362EC5">
        <w:tc>
          <w:tcPr>
            <w:tcW w:w="1134" w:type="dxa"/>
            <w:tcBorders>
              <w:top w:val="single" w:sz="12" w:space="0" w:color="008000"/>
              <w:bottom w:val="single" w:sz="6" w:space="0" w:color="008000"/>
            </w:tcBorders>
            <w:shd w:val="clear" w:color="auto" w:fill="FFFFFF"/>
          </w:tcPr>
          <w:p w14:paraId="1266894D" w14:textId="77777777" w:rsidR="00D1300C" w:rsidRPr="00B57B36" w:rsidRDefault="00D1300C" w:rsidP="00362EC5">
            <w:pPr>
              <w:pStyle w:val="CETBodytext"/>
              <w:rPr>
                <w:lang w:val="en-GB"/>
              </w:rPr>
            </w:pPr>
          </w:p>
        </w:tc>
        <w:tc>
          <w:tcPr>
            <w:tcW w:w="1560" w:type="dxa"/>
            <w:tcBorders>
              <w:top w:val="single" w:sz="12" w:space="0" w:color="008000"/>
              <w:bottom w:val="single" w:sz="6" w:space="0" w:color="008000"/>
            </w:tcBorders>
            <w:shd w:val="clear" w:color="auto" w:fill="FFFFFF"/>
          </w:tcPr>
          <w:p w14:paraId="02AE1D34" w14:textId="77777777" w:rsidR="00D1300C" w:rsidRPr="00B57B36" w:rsidRDefault="00D1300C" w:rsidP="00362EC5">
            <w:pPr>
              <w:pStyle w:val="CETBodytext"/>
              <w:rPr>
                <w:lang w:val="en-GB"/>
              </w:rPr>
            </w:pPr>
            <w:r>
              <w:rPr>
                <w:lang w:val="en-GB"/>
              </w:rPr>
              <w:t>CAPEX (USD)</w:t>
            </w:r>
          </w:p>
        </w:tc>
        <w:tc>
          <w:tcPr>
            <w:tcW w:w="1842" w:type="dxa"/>
            <w:tcBorders>
              <w:top w:val="single" w:sz="12" w:space="0" w:color="008000"/>
              <w:bottom w:val="single" w:sz="6" w:space="0" w:color="008000"/>
            </w:tcBorders>
            <w:shd w:val="clear" w:color="auto" w:fill="FFFFFF"/>
          </w:tcPr>
          <w:p w14:paraId="6CA2F947" w14:textId="77777777" w:rsidR="00D1300C" w:rsidRDefault="00D1300C" w:rsidP="00362EC5">
            <w:pPr>
              <w:pStyle w:val="CETBodytext"/>
              <w:ind w:right="-1"/>
              <w:rPr>
                <w:lang w:val="en-GB"/>
              </w:rPr>
            </w:pPr>
            <w:r>
              <w:rPr>
                <w:lang w:val="en-GB"/>
              </w:rPr>
              <w:t>OPEX (USD/year)</w:t>
            </w:r>
          </w:p>
        </w:tc>
      </w:tr>
      <w:tr w:rsidR="00D1300C" w:rsidRPr="00B57B36" w14:paraId="564E2B11" w14:textId="77777777" w:rsidTr="00362EC5">
        <w:tc>
          <w:tcPr>
            <w:tcW w:w="1134" w:type="dxa"/>
            <w:shd w:val="clear" w:color="auto" w:fill="FFFFFF"/>
          </w:tcPr>
          <w:p w14:paraId="57B20F50" w14:textId="77777777" w:rsidR="00D1300C" w:rsidRPr="00B57B36" w:rsidRDefault="00D1300C" w:rsidP="00362EC5">
            <w:pPr>
              <w:pStyle w:val="CETBodytext"/>
              <w:rPr>
                <w:lang w:val="en-GB"/>
              </w:rPr>
            </w:pPr>
            <w:r>
              <w:rPr>
                <w:lang w:val="en-GB"/>
              </w:rPr>
              <w:t>CO101</w:t>
            </w:r>
          </w:p>
        </w:tc>
        <w:tc>
          <w:tcPr>
            <w:tcW w:w="1560" w:type="dxa"/>
            <w:shd w:val="clear" w:color="auto" w:fill="FFFFFF"/>
            <w:vAlign w:val="center"/>
          </w:tcPr>
          <w:p w14:paraId="6502427B" w14:textId="77777777" w:rsidR="00D1300C" w:rsidRPr="00B57B36" w:rsidRDefault="00D1300C" w:rsidP="00362EC5">
            <w:pPr>
              <w:pStyle w:val="CETBodytext"/>
              <w:tabs>
                <w:tab w:val="left" w:pos="1305"/>
              </w:tabs>
              <w:ind w:left="142"/>
              <w:jc w:val="center"/>
              <w:rPr>
                <w:lang w:val="en-GB"/>
              </w:rPr>
            </w:pPr>
            <w:r>
              <w:rPr>
                <w:lang w:val="en-GB"/>
              </w:rPr>
              <w:t>76,000</w:t>
            </w:r>
          </w:p>
        </w:tc>
        <w:tc>
          <w:tcPr>
            <w:tcW w:w="1842" w:type="dxa"/>
            <w:shd w:val="clear" w:color="auto" w:fill="FFFFFF"/>
            <w:vAlign w:val="center"/>
          </w:tcPr>
          <w:p w14:paraId="22BD6165" w14:textId="77777777" w:rsidR="00D1300C" w:rsidRDefault="00D1300C" w:rsidP="00362EC5">
            <w:pPr>
              <w:pStyle w:val="CETBodytext"/>
              <w:jc w:val="center"/>
              <w:rPr>
                <w:lang w:val="en-GB"/>
              </w:rPr>
            </w:pPr>
            <w:r>
              <w:rPr>
                <w:lang w:val="en-GB"/>
              </w:rPr>
              <w:t>35,000</w:t>
            </w:r>
          </w:p>
        </w:tc>
      </w:tr>
      <w:tr w:rsidR="00D1300C" w:rsidRPr="00B57B36" w14:paraId="4514A083" w14:textId="77777777" w:rsidTr="00362EC5">
        <w:tc>
          <w:tcPr>
            <w:tcW w:w="1134" w:type="dxa"/>
            <w:shd w:val="clear" w:color="auto" w:fill="FFFFFF"/>
          </w:tcPr>
          <w:p w14:paraId="0FD7210B" w14:textId="77777777" w:rsidR="00D1300C" w:rsidRPr="00421901" w:rsidRDefault="00D1300C" w:rsidP="00362EC5">
            <w:pPr>
              <w:pStyle w:val="CETBodytext"/>
              <w:rPr>
                <w:lang w:val="en-GB"/>
              </w:rPr>
            </w:pPr>
            <w:r>
              <w:rPr>
                <w:lang w:val="en-GB"/>
              </w:rPr>
              <w:t>HX101</w:t>
            </w:r>
          </w:p>
        </w:tc>
        <w:tc>
          <w:tcPr>
            <w:tcW w:w="1560" w:type="dxa"/>
            <w:shd w:val="clear" w:color="auto" w:fill="FFFFFF"/>
            <w:vAlign w:val="center"/>
          </w:tcPr>
          <w:p w14:paraId="4B1B4BC2" w14:textId="77777777" w:rsidR="00D1300C" w:rsidRPr="00421901" w:rsidRDefault="00D1300C" w:rsidP="00362EC5">
            <w:pPr>
              <w:pStyle w:val="CETBodytext"/>
              <w:tabs>
                <w:tab w:val="left" w:pos="1305"/>
              </w:tabs>
              <w:ind w:left="142"/>
              <w:jc w:val="center"/>
              <w:rPr>
                <w:lang w:val="en-GB"/>
              </w:rPr>
            </w:pPr>
            <w:r>
              <w:rPr>
                <w:lang w:val="en-GB"/>
              </w:rPr>
              <w:t>40,000</w:t>
            </w:r>
          </w:p>
        </w:tc>
        <w:tc>
          <w:tcPr>
            <w:tcW w:w="1842" w:type="dxa"/>
            <w:shd w:val="clear" w:color="auto" w:fill="FFFFFF"/>
            <w:vAlign w:val="center"/>
          </w:tcPr>
          <w:p w14:paraId="7136241F" w14:textId="77777777" w:rsidR="00D1300C" w:rsidRPr="00421901" w:rsidRDefault="00D1300C" w:rsidP="00362EC5">
            <w:pPr>
              <w:pStyle w:val="CETBodytext"/>
              <w:jc w:val="center"/>
              <w:rPr>
                <w:lang w:val="en-GB"/>
              </w:rPr>
            </w:pPr>
            <w:r>
              <w:rPr>
                <w:lang w:val="en-GB"/>
              </w:rPr>
              <w:t>1,000</w:t>
            </w:r>
          </w:p>
        </w:tc>
      </w:tr>
      <w:tr w:rsidR="00D1300C" w:rsidRPr="00B57B36" w14:paraId="569F1461" w14:textId="77777777" w:rsidTr="00362EC5">
        <w:tc>
          <w:tcPr>
            <w:tcW w:w="1134" w:type="dxa"/>
            <w:shd w:val="clear" w:color="auto" w:fill="FFFFFF"/>
          </w:tcPr>
          <w:p w14:paraId="435EA71E" w14:textId="77777777" w:rsidR="00D1300C" w:rsidRDefault="00D1300C" w:rsidP="00362EC5">
            <w:pPr>
              <w:pStyle w:val="CETBodytext"/>
              <w:rPr>
                <w:lang w:val="en-GB"/>
              </w:rPr>
            </w:pPr>
            <w:r>
              <w:rPr>
                <w:lang w:val="en-GB"/>
              </w:rPr>
              <w:t>R101</w:t>
            </w:r>
          </w:p>
        </w:tc>
        <w:tc>
          <w:tcPr>
            <w:tcW w:w="1560" w:type="dxa"/>
            <w:shd w:val="clear" w:color="auto" w:fill="FFFFFF"/>
            <w:vAlign w:val="center"/>
          </w:tcPr>
          <w:p w14:paraId="213E0876" w14:textId="77777777" w:rsidR="00D1300C" w:rsidRDefault="00D1300C" w:rsidP="00362EC5">
            <w:pPr>
              <w:pStyle w:val="CETBodytext"/>
              <w:tabs>
                <w:tab w:val="left" w:pos="1305"/>
              </w:tabs>
              <w:ind w:left="142"/>
              <w:jc w:val="center"/>
              <w:rPr>
                <w:lang w:val="en-GB"/>
              </w:rPr>
            </w:pPr>
            <w:r>
              <w:rPr>
                <w:lang w:val="en-GB"/>
              </w:rPr>
              <w:t>1,265,000*</w:t>
            </w:r>
          </w:p>
        </w:tc>
        <w:tc>
          <w:tcPr>
            <w:tcW w:w="1842" w:type="dxa"/>
            <w:shd w:val="clear" w:color="auto" w:fill="FFFFFF"/>
            <w:vAlign w:val="center"/>
          </w:tcPr>
          <w:p w14:paraId="63D7532F" w14:textId="77777777" w:rsidR="00D1300C" w:rsidRPr="00EB20FD" w:rsidRDefault="00D1300C" w:rsidP="00362EC5">
            <w:pPr>
              <w:pStyle w:val="CETBodytext"/>
              <w:jc w:val="center"/>
              <w:rPr>
                <w:rFonts w:cs="Arial"/>
                <w:szCs w:val="18"/>
                <w:lang w:val="en-GB"/>
              </w:rPr>
            </w:pPr>
            <w:r>
              <w:rPr>
                <w:rFonts w:cs="Arial"/>
                <w:szCs w:val="18"/>
                <w:lang w:val="en-GB"/>
              </w:rPr>
              <w:t>1,000</w:t>
            </w:r>
          </w:p>
        </w:tc>
      </w:tr>
      <w:tr w:rsidR="00D1300C" w:rsidRPr="00B57B36" w14:paraId="25373F6F" w14:textId="77777777" w:rsidTr="00362EC5">
        <w:tc>
          <w:tcPr>
            <w:tcW w:w="1134" w:type="dxa"/>
            <w:shd w:val="clear" w:color="auto" w:fill="FFFFFF"/>
          </w:tcPr>
          <w:p w14:paraId="2FDDB311" w14:textId="77777777" w:rsidR="00D1300C" w:rsidRPr="00B57B36" w:rsidRDefault="00D1300C" w:rsidP="00362EC5">
            <w:pPr>
              <w:pStyle w:val="CETBodytext"/>
              <w:ind w:right="-1"/>
              <w:rPr>
                <w:rFonts w:cs="Arial"/>
                <w:szCs w:val="18"/>
                <w:lang w:val="en-GB"/>
              </w:rPr>
            </w:pPr>
            <w:r>
              <w:rPr>
                <w:rFonts w:cs="Arial"/>
                <w:szCs w:val="18"/>
                <w:lang w:val="en-GB"/>
              </w:rPr>
              <w:t>R102</w:t>
            </w:r>
          </w:p>
        </w:tc>
        <w:tc>
          <w:tcPr>
            <w:tcW w:w="1560" w:type="dxa"/>
            <w:shd w:val="clear" w:color="auto" w:fill="FFFFFF"/>
            <w:vAlign w:val="center"/>
          </w:tcPr>
          <w:p w14:paraId="672B673E" w14:textId="77777777" w:rsidR="00D1300C" w:rsidRPr="00B57B36" w:rsidRDefault="00D1300C" w:rsidP="00362EC5">
            <w:pPr>
              <w:pStyle w:val="CETBodytext"/>
              <w:tabs>
                <w:tab w:val="left" w:pos="1305"/>
              </w:tabs>
              <w:ind w:left="142" w:right="-1"/>
              <w:jc w:val="center"/>
              <w:rPr>
                <w:rFonts w:cs="Arial"/>
                <w:szCs w:val="18"/>
                <w:lang w:val="en-GB"/>
              </w:rPr>
            </w:pPr>
            <w:r>
              <w:rPr>
                <w:rFonts w:cs="Arial"/>
                <w:szCs w:val="18"/>
                <w:lang w:val="en-GB"/>
              </w:rPr>
              <w:t>17,000**</w:t>
            </w:r>
          </w:p>
        </w:tc>
        <w:tc>
          <w:tcPr>
            <w:tcW w:w="1842" w:type="dxa"/>
            <w:shd w:val="clear" w:color="auto" w:fill="FFFFFF"/>
            <w:vAlign w:val="center"/>
          </w:tcPr>
          <w:p w14:paraId="0724AE16" w14:textId="77777777" w:rsidR="00D1300C" w:rsidRDefault="00D1300C" w:rsidP="00362EC5">
            <w:pPr>
              <w:pStyle w:val="CETBodytext"/>
              <w:ind w:right="-1"/>
              <w:jc w:val="center"/>
              <w:rPr>
                <w:rFonts w:cs="Arial"/>
                <w:szCs w:val="18"/>
                <w:lang w:val="en-GB"/>
              </w:rPr>
            </w:pPr>
            <w:r>
              <w:rPr>
                <w:rFonts w:cs="Arial"/>
                <w:szCs w:val="18"/>
                <w:lang w:val="en-GB"/>
              </w:rPr>
              <w:t>33,000</w:t>
            </w:r>
          </w:p>
        </w:tc>
      </w:tr>
      <w:tr w:rsidR="00D1300C" w:rsidRPr="00B57B36" w14:paraId="557A21BE" w14:textId="77777777" w:rsidTr="00362EC5">
        <w:tc>
          <w:tcPr>
            <w:tcW w:w="1134" w:type="dxa"/>
            <w:shd w:val="clear" w:color="auto" w:fill="FFFFFF"/>
          </w:tcPr>
          <w:p w14:paraId="53895D10" w14:textId="77777777" w:rsidR="00D1300C" w:rsidRDefault="00D1300C" w:rsidP="00362EC5">
            <w:pPr>
              <w:pStyle w:val="CETBodytext"/>
              <w:ind w:right="-1"/>
              <w:rPr>
                <w:rFonts w:cs="Arial"/>
                <w:szCs w:val="18"/>
                <w:lang w:val="en-GB"/>
              </w:rPr>
            </w:pPr>
            <w:r>
              <w:rPr>
                <w:rFonts w:cs="Arial"/>
                <w:szCs w:val="18"/>
                <w:lang w:val="en-GB"/>
              </w:rPr>
              <w:t>CY101</w:t>
            </w:r>
          </w:p>
        </w:tc>
        <w:tc>
          <w:tcPr>
            <w:tcW w:w="1560" w:type="dxa"/>
            <w:shd w:val="clear" w:color="auto" w:fill="FFFFFF"/>
            <w:vAlign w:val="center"/>
          </w:tcPr>
          <w:p w14:paraId="57C4238D" w14:textId="77777777" w:rsidR="00D1300C" w:rsidRDefault="00D1300C" w:rsidP="00362EC5">
            <w:pPr>
              <w:pStyle w:val="CETBodytext"/>
              <w:tabs>
                <w:tab w:val="left" w:pos="1305"/>
              </w:tabs>
              <w:ind w:left="142" w:right="-1"/>
              <w:jc w:val="center"/>
              <w:rPr>
                <w:rFonts w:cs="Arial"/>
                <w:szCs w:val="18"/>
                <w:lang w:val="en-GB"/>
              </w:rPr>
            </w:pPr>
            <w:r>
              <w:rPr>
                <w:rFonts w:cs="Arial"/>
                <w:szCs w:val="18"/>
                <w:lang w:val="en-GB"/>
              </w:rPr>
              <w:t>158,000</w:t>
            </w:r>
          </w:p>
        </w:tc>
        <w:tc>
          <w:tcPr>
            <w:tcW w:w="1842" w:type="dxa"/>
            <w:shd w:val="clear" w:color="auto" w:fill="FFFFFF"/>
            <w:vAlign w:val="center"/>
          </w:tcPr>
          <w:p w14:paraId="1A94B1EA" w14:textId="77777777" w:rsidR="00D1300C" w:rsidRDefault="00D1300C" w:rsidP="00362EC5">
            <w:pPr>
              <w:pStyle w:val="CETBodytext"/>
              <w:ind w:right="-1"/>
              <w:jc w:val="center"/>
              <w:rPr>
                <w:rFonts w:cs="Arial"/>
                <w:szCs w:val="18"/>
                <w:lang w:val="en-GB"/>
              </w:rPr>
            </w:pPr>
            <w:r>
              <w:rPr>
                <w:rFonts w:cs="Arial"/>
                <w:szCs w:val="18"/>
                <w:lang w:val="en-GB"/>
              </w:rPr>
              <w:t>0</w:t>
            </w:r>
          </w:p>
        </w:tc>
      </w:tr>
      <w:tr w:rsidR="00D1300C" w:rsidRPr="00B57B36" w14:paraId="31DC0802" w14:textId="77777777" w:rsidTr="00362EC5">
        <w:tc>
          <w:tcPr>
            <w:tcW w:w="1134" w:type="dxa"/>
            <w:shd w:val="clear" w:color="auto" w:fill="FFFFFF"/>
          </w:tcPr>
          <w:p w14:paraId="496D57A8" w14:textId="77777777" w:rsidR="00D1300C" w:rsidRDefault="00D1300C" w:rsidP="00362EC5">
            <w:pPr>
              <w:pStyle w:val="CETBodytext"/>
              <w:ind w:right="-1"/>
              <w:rPr>
                <w:rFonts w:cs="Arial"/>
                <w:szCs w:val="18"/>
                <w:lang w:val="en-GB"/>
              </w:rPr>
            </w:pPr>
            <w:r>
              <w:rPr>
                <w:rFonts w:cs="Arial"/>
                <w:szCs w:val="18"/>
                <w:lang w:val="en-GB"/>
              </w:rPr>
              <w:t>SUM</w:t>
            </w:r>
          </w:p>
        </w:tc>
        <w:tc>
          <w:tcPr>
            <w:tcW w:w="1560" w:type="dxa"/>
            <w:shd w:val="clear" w:color="auto" w:fill="FFFFFF"/>
            <w:vAlign w:val="center"/>
          </w:tcPr>
          <w:p w14:paraId="02C89583" w14:textId="77777777" w:rsidR="00D1300C" w:rsidRDefault="00D1300C" w:rsidP="00362EC5">
            <w:pPr>
              <w:pStyle w:val="CETBodytext"/>
              <w:tabs>
                <w:tab w:val="left" w:pos="1305"/>
              </w:tabs>
              <w:ind w:left="142" w:right="-1"/>
              <w:jc w:val="center"/>
              <w:rPr>
                <w:rFonts w:cs="Arial"/>
                <w:szCs w:val="18"/>
                <w:lang w:val="en-GB"/>
              </w:rPr>
            </w:pPr>
            <w:r>
              <w:rPr>
                <w:rFonts w:cs="Arial"/>
                <w:szCs w:val="18"/>
                <w:lang w:val="en-GB"/>
              </w:rPr>
              <w:t>1,555,000</w:t>
            </w:r>
          </w:p>
        </w:tc>
        <w:tc>
          <w:tcPr>
            <w:tcW w:w="1842" w:type="dxa"/>
            <w:shd w:val="clear" w:color="auto" w:fill="FFFFFF"/>
            <w:vAlign w:val="center"/>
          </w:tcPr>
          <w:p w14:paraId="641C6F05" w14:textId="77777777" w:rsidR="00D1300C" w:rsidRDefault="00D1300C" w:rsidP="00362EC5">
            <w:pPr>
              <w:pStyle w:val="CETBodytext"/>
              <w:ind w:right="-1"/>
              <w:jc w:val="center"/>
              <w:rPr>
                <w:rFonts w:cs="Arial"/>
                <w:szCs w:val="18"/>
                <w:lang w:val="en-GB"/>
              </w:rPr>
            </w:pPr>
            <w:r>
              <w:rPr>
                <w:rFonts w:cs="Arial"/>
                <w:szCs w:val="18"/>
                <w:lang w:val="en-GB"/>
              </w:rPr>
              <w:t>69,000</w:t>
            </w:r>
          </w:p>
        </w:tc>
      </w:tr>
    </w:tbl>
    <w:p w14:paraId="612C0280" w14:textId="77777777" w:rsidR="00D1300C" w:rsidRDefault="00D1300C" w:rsidP="00152BF5">
      <w:pPr>
        <w:pStyle w:val="CETBodytext"/>
      </w:pPr>
      <w:r>
        <w:t>*</w:t>
      </w:r>
      <w:r w:rsidRPr="008628DF">
        <w:t>Rules of Thumb in Engineering Practice</w:t>
      </w:r>
      <w:r>
        <w:t>, **</w:t>
      </w:r>
      <w:proofErr w:type="spellStart"/>
      <w:r>
        <w:t>nomogram</w:t>
      </w:r>
      <w:proofErr w:type="spellEnd"/>
    </w:p>
    <w:p w14:paraId="212A478D" w14:textId="77777777" w:rsidR="00CD2BFC" w:rsidRPr="00366D19" w:rsidRDefault="00CD2BFC" w:rsidP="001F04FE">
      <w:pPr>
        <w:pStyle w:val="CETBodytext"/>
      </w:pPr>
    </w:p>
    <w:p w14:paraId="6D4608D3" w14:textId="591584B3" w:rsidR="001F04FE" w:rsidRPr="004B7874" w:rsidRDefault="00A65E16" w:rsidP="001F04FE">
      <w:pPr>
        <w:pStyle w:val="CETBodytext"/>
      </w:pPr>
      <w:r>
        <w:rPr>
          <w:noProof/>
          <w:lang w:val="hu-HU" w:eastAsia="hu-HU"/>
        </w:rPr>
        <w:drawing>
          <wp:inline distT="0" distB="0" distL="0" distR="0" wp14:anchorId="28DB251E" wp14:editId="4C399BA9">
            <wp:extent cx="5584190" cy="400558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4190" cy="4005580"/>
                    </a:xfrm>
                    <a:prstGeom prst="rect">
                      <a:avLst/>
                    </a:prstGeom>
                    <a:noFill/>
                  </pic:spPr>
                </pic:pic>
              </a:graphicData>
            </a:graphic>
          </wp:inline>
        </w:drawing>
      </w:r>
    </w:p>
    <w:p w14:paraId="11457689" w14:textId="77777777" w:rsidR="001F04FE" w:rsidRDefault="001F04FE" w:rsidP="001F04FE">
      <w:pPr>
        <w:pStyle w:val="CETCaption"/>
      </w:pPr>
      <w:r>
        <w:t xml:space="preserve">Figure 3: </w:t>
      </w:r>
      <w:proofErr w:type="spellStart"/>
      <w:r>
        <w:t>Flowsheet</w:t>
      </w:r>
      <w:proofErr w:type="spellEnd"/>
      <w:r>
        <w:t xml:space="preserve"> and the process parameters of the designed Ca-looping process</w:t>
      </w:r>
    </w:p>
    <w:p w14:paraId="18A07006" w14:textId="2FC7C141" w:rsidR="00D1300C" w:rsidRDefault="00D1300C" w:rsidP="001F04FE">
      <w:pPr>
        <w:pStyle w:val="CETCaption"/>
      </w:pPr>
    </w:p>
    <w:p w14:paraId="7383CFEF" w14:textId="02A4F2AC" w:rsidR="00C36D0A" w:rsidRDefault="00C36D0A" w:rsidP="00C36D0A">
      <w:pPr>
        <w:pStyle w:val="CETheadingx"/>
      </w:pPr>
      <w:r>
        <w:t>Discussion</w:t>
      </w:r>
    </w:p>
    <w:p w14:paraId="641E8A1A" w14:textId="5FDC11F0" w:rsidR="00C36D0A" w:rsidRPr="00C36D0A" w:rsidRDefault="0020731A" w:rsidP="00A65E16">
      <w:pPr>
        <w:pStyle w:val="CETBodytext"/>
        <w:tabs>
          <w:tab w:val="clear" w:pos="7100"/>
        </w:tabs>
      </w:pPr>
      <w:r>
        <w:t>The cryogenic distillation is not feasible economically from the three examined cases</w:t>
      </w:r>
      <w:r w:rsidR="006515E1">
        <w:t xml:space="preserve"> </w:t>
      </w:r>
      <w:r w:rsidR="00B90C7D">
        <w:t>d</w:t>
      </w:r>
      <w:r w:rsidR="006515E1">
        <w:t>ue to the low distillation temperatures</w:t>
      </w:r>
      <w:r w:rsidR="00843464">
        <w:t xml:space="preserve">. The Ca-looping (mostly used in steel and cement industries) and the absorption have similar performance according to the CAPEX and OPEX. The final application and the decision </w:t>
      </w:r>
      <w:r w:rsidR="00363C22">
        <w:t xml:space="preserve">on </w:t>
      </w:r>
      <w:r w:rsidR="00843464">
        <w:t xml:space="preserve">which technology should be chosen </w:t>
      </w:r>
      <w:r w:rsidR="009A0192">
        <w:t xml:space="preserve">must </w:t>
      </w:r>
      <w:r w:rsidR="00843464">
        <w:t xml:space="preserve">include energy integration and </w:t>
      </w:r>
      <w:r w:rsidR="00F83614">
        <w:t xml:space="preserve">also </w:t>
      </w:r>
      <w:r w:rsidR="00843464">
        <w:t xml:space="preserve">the definition of the inlet stream. If the biomass pyrolysis device is </w:t>
      </w:r>
      <w:r w:rsidR="00363C22">
        <w:t>on-</w:t>
      </w:r>
      <w:r w:rsidR="00843464">
        <w:t xml:space="preserve">site </w:t>
      </w:r>
      <w:r w:rsidR="00363C22">
        <w:t xml:space="preserve">in </w:t>
      </w:r>
      <w:r w:rsidR="00843464">
        <w:t>the removal unit</w:t>
      </w:r>
      <w:r w:rsidR="00363C22">
        <w:t>,</w:t>
      </w:r>
      <w:r w:rsidR="00843464">
        <w:t xml:space="preserve"> the Ca-looping w</w:t>
      </w:r>
      <w:r w:rsidR="00F83614">
        <w:t>ould</w:t>
      </w:r>
      <w:r w:rsidR="00843464">
        <w:t xml:space="preserve"> be suitable because it operates at higher temperatures. However, if the medium </w:t>
      </w:r>
      <w:r w:rsidR="00F83614">
        <w:t>is</w:t>
      </w:r>
      <w:r w:rsidR="00843464">
        <w:t xml:space="preserve"> transferred before purification</w:t>
      </w:r>
      <w:r w:rsidR="00363C22">
        <w:t>,</w:t>
      </w:r>
      <w:r w:rsidR="00843464">
        <w:t xml:space="preserve"> then MEA based absorption is the </w:t>
      </w:r>
      <w:r w:rsidR="009C4BF2">
        <w:t>most appropriate option.</w:t>
      </w:r>
    </w:p>
    <w:p w14:paraId="30E1284F" w14:textId="328AC7FA" w:rsidR="001F04FE" w:rsidRPr="00366D19" w:rsidRDefault="001F04FE" w:rsidP="001F04FE">
      <w:pPr>
        <w:pStyle w:val="CETHeading1"/>
        <w:rPr>
          <w:lang w:val="en-GB"/>
        </w:rPr>
      </w:pPr>
      <w:r w:rsidRPr="00366D19">
        <w:rPr>
          <w:lang w:val="en-GB"/>
        </w:rPr>
        <w:t>Conclusion</w:t>
      </w:r>
    </w:p>
    <w:p w14:paraId="0C7F065E" w14:textId="6EE704D4" w:rsidR="001F04FE" w:rsidRDefault="001F04FE" w:rsidP="001F04FE">
      <w:pPr>
        <w:pStyle w:val="CETBodytext"/>
        <w:rPr>
          <w:lang w:val="en-GB"/>
        </w:rPr>
      </w:pPr>
      <w:r>
        <w:t>In this study</w:t>
      </w:r>
      <w:r w:rsidR="00363C22">
        <w:t>,</w:t>
      </w:r>
      <w:r>
        <w:t xml:space="preserve"> three promising CO</w:t>
      </w:r>
      <w:r w:rsidRPr="00FE5350">
        <w:rPr>
          <w:vertAlign w:val="subscript"/>
        </w:rPr>
        <w:t>2</w:t>
      </w:r>
      <w:r>
        <w:t xml:space="preserve"> removal technologies (absorption by MEA solvent, cryogenic distillation, Ca-looping) were simulated with the application of Aspen Plus software and compared on the basis of </w:t>
      </w:r>
      <w:r>
        <w:rPr>
          <w:lang w:val="en-GB"/>
        </w:rPr>
        <w:t xml:space="preserve">efficiency, </w:t>
      </w:r>
      <w:r w:rsidRPr="00AC7662">
        <w:rPr>
          <w:lang w:val="en-GB"/>
        </w:rPr>
        <w:t>capital and operating expenditure</w:t>
      </w:r>
      <w:r>
        <w:rPr>
          <w:lang w:val="en-GB"/>
        </w:rPr>
        <w:t>s</w:t>
      </w:r>
      <w:r w:rsidRPr="00AC7662">
        <w:rPr>
          <w:lang w:val="en-GB"/>
        </w:rPr>
        <w:t xml:space="preserve"> (CAPEX and OPEX</w:t>
      </w:r>
      <w:r>
        <w:rPr>
          <w:lang w:val="en-GB"/>
        </w:rPr>
        <w:t xml:space="preserve">). In </w:t>
      </w:r>
      <w:r w:rsidR="0020731A">
        <w:rPr>
          <w:lang w:val="en-GB"/>
        </w:rPr>
        <w:t xml:space="preserve">the </w:t>
      </w:r>
      <w:r>
        <w:rPr>
          <w:lang w:val="en-GB"/>
        </w:rPr>
        <w:t>case of absorption</w:t>
      </w:r>
      <w:r w:rsidR="00363C22">
        <w:rPr>
          <w:lang w:val="en-GB"/>
        </w:rPr>
        <w:t>,</w:t>
      </w:r>
      <w:r>
        <w:rPr>
          <w:lang w:val="en-GB"/>
        </w:rPr>
        <w:t xml:space="preserve"> the feed stream was cooled from 850 °C to 20 °C and compressed from 1 bar to 3 </w:t>
      </w:r>
      <w:proofErr w:type="gramStart"/>
      <w:r>
        <w:rPr>
          <w:lang w:val="en-GB"/>
        </w:rPr>
        <w:t>bar</w:t>
      </w:r>
      <w:proofErr w:type="gramEnd"/>
      <w:r>
        <w:rPr>
          <w:lang w:val="en-GB"/>
        </w:rPr>
        <w:t xml:space="preserve"> to provide the </w:t>
      </w:r>
      <w:r>
        <w:t>adequate temperature and pressure for the mechanism of CO</w:t>
      </w:r>
      <w:r w:rsidRPr="00621F98">
        <w:rPr>
          <w:vertAlign w:val="subscript"/>
        </w:rPr>
        <w:t>2</w:t>
      </w:r>
      <w:r>
        <w:t xml:space="preserve"> absorption. In</w:t>
      </w:r>
      <w:r>
        <w:rPr>
          <w:lang w:val="en-GB"/>
        </w:rPr>
        <w:t xml:space="preserve"> cryogenic distillation</w:t>
      </w:r>
      <w:r w:rsidR="00363C22">
        <w:rPr>
          <w:lang w:val="en-GB"/>
        </w:rPr>
        <w:t>,</w:t>
      </w:r>
      <w:r>
        <w:rPr>
          <w:lang w:val="en-GB"/>
        </w:rPr>
        <w:t xml:space="preserve"> a two-step cooling process was used to reach the operating temperature</w:t>
      </w:r>
      <w:r w:rsidR="00F83614">
        <w:rPr>
          <w:lang w:val="en-GB"/>
        </w:rPr>
        <w:t xml:space="preserve"> of </w:t>
      </w:r>
      <w:r w:rsidR="00363C22">
        <w:rPr>
          <w:lang w:val="en-GB"/>
        </w:rPr>
        <w:t xml:space="preserve">the </w:t>
      </w:r>
      <w:r w:rsidR="00F83614">
        <w:rPr>
          <w:lang w:val="en-GB"/>
        </w:rPr>
        <w:t>column</w:t>
      </w:r>
      <w:r>
        <w:rPr>
          <w:lang w:val="en-GB"/>
        </w:rPr>
        <w:t xml:space="preserve"> (-65 °C). In contrast, the optimal carbonation temperature of Ca-looping was 650 °C. The CO</w:t>
      </w:r>
      <w:r w:rsidRPr="007928CA">
        <w:rPr>
          <w:vertAlign w:val="subscript"/>
          <w:lang w:val="en-GB"/>
        </w:rPr>
        <w:t>2</w:t>
      </w:r>
      <w:r>
        <w:rPr>
          <w:lang w:val="en-GB"/>
        </w:rPr>
        <w:t xml:space="preserve"> removal </w:t>
      </w:r>
      <w:r w:rsidRPr="001A080F">
        <w:rPr>
          <w:lang w:val="en-GB"/>
        </w:rPr>
        <w:t>efficiencies</w:t>
      </w:r>
      <w:r>
        <w:rPr>
          <w:lang w:val="en-GB"/>
        </w:rPr>
        <w:t xml:space="preserve"> obtained by cryogenic distillation and Ca-looping were nearly the same (75 and 70 %)</w:t>
      </w:r>
      <w:r w:rsidR="00363C22">
        <w:rPr>
          <w:lang w:val="en-GB"/>
        </w:rPr>
        <w:t>. M</w:t>
      </w:r>
      <w:r>
        <w:rPr>
          <w:lang w:val="en-GB"/>
        </w:rPr>
        <w:t>eanwhile</w:t>
      </w:r>
      <w:r w:rsidR="00363C22">
        <w:rPr>
          <w:lang w:val="en-GB"/>
        </w:rPr>
        <w:t>,</w:t>
      </w:r>
      <w:r>
        <w:rPr>
          <w:lang w:val="en-GB"/>
        </w:rPr>
        <w:t xml:space="preserve"> the amine solution absorbed 83.5 % o</w:t>
      </w:r>
      <w:r w:rsidR="00F83614">
        <w:rPr>
          <w:lang w:val="en-GB"/>
        </w:rPr>
        <w:t>f</w:t>
      </w:r>
      <w:r>
        <w:rPr>
          <w:lang w:val="en-GB"/>
        </w:rPr>
        <w:t xml:space="preserve"> the CO</w:t>
      </w:r>
      <w:r w:rsidRPr="007928CA">
        <w:rPr>
          <w:vertAlign w:val="subscript"/>
          <w:lang w:val="en-GB"/>
        </w:rPr>
        <w:t>2</w:t>
      </w:r>
      <w:r>
        <w:rPr>
          <w:lang w:val="en-GB"/>
        </w:rPr>
        <w:t xml:space="preserve"> content </w:t>
      </w:r>
      <w:r w:rsidR="00F83614">
        <w:rPr>
          <w:lang w:val="en-GB"/>
        </w:rPr>
        <w:t xml:space="preserve">from </w:t>
      </w:r>
      <w:r>
        <w:rPr>
          <w:lang w:val="en-GB"/>
        </w:rPr>
        <w:t>the feedstock. CAPEX and OPEX were also the basis of the comparison. The capital expenditures of the designed technologies were 1,587,000, 2,633,000 and 1,555,000 USD, respectively. The calculated values of the operating expenditures changed between 42,000 and 529,000 USD/year</w:t>
      </w:r>
      <w:r w:rsidR="00363C22">
        <w:rPr>
          <w:lang w:val="en-GB"/>
        </w:rPr>
        <w:t>,</w:t>
      </w:r>
      <w:r>
        <w:rPr>
          <w:lang w:val="en-GB"/>
        </w:rPr>
        <w:t xml:space="preserve"> </w:t>
      </w:r>
      <w:r w:rsidR="00363C22">
        <w:rPr>
          <w:lang w:val="en-GB"/>
        </w:rPr>
        <w:t xml:space="preserve">resulting </w:t>
      </w:r>
      <w:r w:rsidR="00F83614">
        <w:rPr>
          <w:lang w:val="en-GB"/>
        </w:rPr>
        <w:t>in the expected values</w:t>
      </w:r>
      <w:r>
        <w:rPr>
          <w:lang w:val="en-GB"/>
        </w:rPr>
        <w:t>. Due to the high energy demand of cooling, the highest OPEX was observed in cryogenic distillation. Based on the results, it was found that the best available technology for CO</w:t>
      </w:r>
      <w:r w:rsidRPr="00767FF9">
        <w:rPr>
          <w:vertAlign w:val="subscript"/>
          <w:lang w:val="en-GB"/>
        </w:rPr>
        <w:t>2</w:t>
      </w:r>
      <w:r>
        <w:rPr>
          <w:lang w:val="en-GB"/>
        </w:rPr>
        <w:t xml:space="preserve"> removal of </w:t>
      </w:r>
      <w:r w:rsidR="00363C22">
        <w:rPr>
          <w:lang w:val="en-GB"/>
        </w:rPr>
        <w:t>biomass-</w:t>
      </w:r>
      <w:r>
        <w:rPr>
          <w:lang w:val="en-GB"/>
        </w:rPr>
        <w:t xml:space="preserve">based syngas is the absorption using MEA sorbent. </w:t>
      </w:r>
      <w:r w:rsidR="00843464">
        <w:rPr>
          <w:lang w:val="en-GB"/>
        </w:rPr>
        <w:t>The two feasible option</w:t>
      </w:r>
      <w:r w:rsidR="00363C22">
        <w:rPr>
          <w:lang w:val="en-GB"/>
        </w:rPr>
        <w:t>s</w:t>
      </w:r>
      <w:r w:rsidR="00843464">
        <w:rPr>
          <w:lang w:val="en-GB"/>
        </w:rPr>
        <w:t xml:space="preserve"> </w:t>
      </w:r>
      <w:r w:rsidR="00363C22">
        <w:rPr>
          <w:lang w:val="en-GB"/>
        </w:rPr>
        <w:t xml:space="preserve">are </w:t>
      </w:r>
      <w:r w:rsidR="00843464">
        <w:rPr>
          <w:lang w:val="en-GB"/>
        </w:rPr>
        <w:t xml:space="preserve">the MEA based absorption </w:t>
      </w:r>
      <w:r w:rsidR="00843464">
        <w:rPr>
          <w:lang w:val="en-GB"/>
        </w:rPr>
        <w:lastRenderedPageBreak/>
        <w:t>and Ca-looping, which application</w:t>
      </w:r>
      <w:r w:rsidR="00363C22">
        <w:rPr>
          <w:lang w:val="en-GB"/>
        </w:rPr>
        <w:t>s</w:t>
      </w:r>
      <w:r w:rsidR="00843464">
        <w:rPr>
          <w:lang w:val="en-GB"/>
        </w:rPr>
        <w:t xml:space="preserve"> are based on the optimal pyrolysis condition</w:t>
      </w:r>
      <w:r w:rsidR="00363C22">
        <w:rPr>
          <w:lang w:val="en-GB"/>
        </w:rPr>
        <w:t>,</w:t>
      </w:r>
      <w:r w:rsidR="00843464">
        <w:rPr>
          <w:lang w:val="en-GB"/>
        </w:rPr>
        <w:t xml:space="preserve"> including temperature and flue gas logistics.</w:t>
      </w:r>
    </w:p>
    <w:p w14:paraId="7CEB5D4C" w14:textId="77777777" w:rsidR="001F04FE" w:rsidRPr="00366D19" w:rsidRDefault="001F04FE" w:rsidP="001F04FE">
      <w:pPr>
        <w:pStyle w:val="CETAcknowledgementstitle"/>
      </w:pPr>
      <w:r w:rsidRPr="00366D19">
        <w:t>Acknowledgements</w:t>
      </w:r>
    </w:p>
    <w:p w14:paraId="6C672086" w14:textId="7DEE9611" w:rsidR="001F04FE" w:rsidRPr="00366D19" w:rsidRDefault="001F04FE" w:rsidP="001F04FE">
      <w:pPr>
        <w:rPr>
          <w:rFonts w:cs="Arial"/>
          <w:color w:val="000000"/>
          <w:szCs w:val="18"/>
        </w:rPr>
      </w:pPr>
      <w:r w:rsidRPr="00366D19">
        <w:rPr>
          <w:rFonts w:cs="Arial"/>
          <w:szCs w:val="18"/>
        </w:rPr>
        <w:t xml:space="preserve">The research </w:t>
      </w:r>
      <w:r w:rsidRPr="00366D19">
        <w:rPr>
          <w:rFonts w:cs="Arial"/>
          <w:noProof/>
          <w:szCs w:val="18"/>
        </w:rPr>
        <w:t>was supported</w:t>
      </w:r>
      <w:r w:rsidRPr="00366D19">
        <w:rPr>
          <w:rFonts w:cs="Arial"/>
          <w:szCs w:val="18"/>
        </w:rPr>
        <w:t xml:space="preserve"> by EFOP</w:t>
      </w:r>
      <w:r w:rsidRPr="00366D19">
        <w:rPr>
          <w:rFonts w:cs="Arial"/>
          <w:szCs w:val="18"/>
        </w:rPr>
        <w:noBreakHyphen/>
        <w:t>3.6.1</w:t>
      </w:r>
      <w:r w:rsidRPr="00366D19">
        <w:rPr>
          <w:rFonts w:cs="Arial"/>
          <w:szCs w:val="18"/>
        </w:rPr>
        <w:noBreakHyphen/>
        <w:t>16</w:t>
      </w:r>
      <w:r w:rsidRPr="00366D19">
        <w:rPr>
          <w:rFonts w:cs="Arial"/>
          <w:szCs w:val="18"/>
        </w:rPr>
        <w:noBreakHyphen/>
        <w:t>2016</w:t>
      </w:r>
      <w:r w:rsidRPr="00366D19">
        <w:rPr>
          <w:rFonts w:cs="Arial"/>
          <w:szCs w:val="18"/>
        </w:rPr>
        <w:noBreakHyphen/>
        <w:t xml:space="preserve">00015 </w:t>
      </w:r>
      <w:r w:rsidRPr="00366D19">
        <w:rPr>
          <w:rFonts w:cs="Arial"/>
          <w:noProof/>
          <w:szCs w:val="18"/>
        </w:rPr>
        <w:t xml:space="preserve">Smart </w:t>
      </w:r>
      <w:r w:rsidR="00363C22" w:rsidRPr="00366D19">
        <w:rPr>
          <w:rFonts w:cs="Arial"/>
          <w:noProof/>
          <w:szCs w:val="18"/>
        </w:rPr>
        <w:t>Speciali</w:t>
      </w:r>
      <w:r w:rsidR="00363C22">
        <w:rPr>
          <w:rFonts w:cs="Arial"/>
          <w:noProof/>
          <w:szCs w:val="18"/>
        </w:rPr>
        <w:t>s</w:t>
      </w:r>
      <w:r w:rsidR="00363C22" w:rsidRPr="00366D19">
        <w:rPr>
          <w:rFonts w:cs="Arial"/>
          <w:noProof/>
          <w:szCs w:val="18"/>
        </w:rPr>
        <w:t xml:space="preserve">ation </w:t>
      </w:r>
      <w:r w:rsidRPr="00366D19">
        <w:rPr>
          <w:rFonts w:cs="Arial"/>
          <w:noProof/>
          <w:szCs w:val="18"/>
        </w:rPr>
        <w:t>Strategy (S3) -Comprehensive Institutional Development Program at the University of Pannonia to Promote Sensible Individual Education and Career Choices project.</w:t>
      </w:r>
      <w:r w:rsidRPr="00366D19">
        <w:rPr>
          <w:rFonts w:cs="Arial"/>
          <w:szCs w:val="18"/>
        </w:rPr>
        <w:t xml:space="preserve"> </w:t>
      </w:r>
      <w:r>
        <w:t xml:space="preserve">This project has received also funding from the European Union's Horizon 2020 research and innovation program under the Marie </w:t>
      </w:r>
      <w:proofErr w:type="spellStart"/>
      <w:r>
        <w:t>Skłodowska</w:t>
      </w:r>
      <w:proofErr w:type="spellEnd"/>
      <w:r>
        <w:t>-Curie grant agreement No 823745.</w:t>
      </w:r>
    </w:p>
    <w:p w14:paraId="4B579CC1" w14:textId="77777777" w:rsidR="001F04FE" w:rsidRDefault="001F04FE" w:rsidP="001F04FE">
      <w:pPr>
        <w:pStyle w:val="CETReference"/>
      </w:pPr>
      <w:r w:rsidRPr="00366D19">
        <w:t>References</w:t>
      </w:r>
    </w:p>
    <w:p w14:paraId="7B257D7D" w14:textId="77777777" w:rsidR="001F04FE" w:rsidRDefault="001F04FE" w:rsidP="001F04FE">
      <w:pPr>
        <w:pStyle w:val="CETReferencetext"/>
      </w:pPr>
      <w:r>
        <w:t xml:space="preserve">Ahmed M.B., </w:t>
      </w:r>
      <w:proofErr w:type="spellStart"/>
      <w:r>
        <w:t>Johir</w:t>
      </w:r>
      <w:proofErr w:type="spellEnd"/>
      <w:r>
        <w:t xml:space="preserve"> M.A.H., Zhou J.L., Ngo H.H., </w:t>
      </w:r>
      <w:proofErr w:type="spellStart"/>
      <w:r>
        <w:t>Nghiem</w:t>
      </w:r>
      <w:proofErr w:type="spellEnd"/>
      <w:r>
        <w:t xml:space="preserve"> L.D., Richardson C., </w:t>
      </w:r>
      <w:proofErr w:type="spellStart"/>
      <w:r>
        <w:t>Moni</w:t>
      </w:r>
      <w:proofErr w:type="spellEnd"/>
      <w:r>
        <w:t xml:space="preserve"> M.A., Bryant M.R., 2019, Activated carbon preparation from biomass feedstock: Clean production and carbon dioxide adsorption, Journal of Cleaner Production, 225, 405</w:t>
      </w:r>
      <w:r w:rsidRPr="006B4888">
        <w:t>–</w:t>
      </w:r>
      <w:r>
        <w:t>413.</w:t>
      </w:r>
    </w:p>
    <w:p w14:paraId="7F543096" w14:textId="77777777" w:rsidR="00A83B95" w:rsidRDefault="00A83B95" w:rsidP="00A83B95">
      <w:pPr>
        <w:pStyle w:val="CETReferencetext"/>
      </w:pPr>
      <w:r>
        <w:t xml:space="preserve">Aspen </w:t>
      </w:r>
      <w:proofErr w:type="gramStart"/>
      <w:r>
        <w:t>Plus</w:t>
      </w:r>
      <w:proofErr w:type="gramEnd"/>
      <w:r>
        <w:t xml:space="preserve"> User Guide, </w:t>
      </w:r>
      <w:hyperlink r:id="rId14" w:history="1">
        <w:r w:rsidRPr="001F124F">
          <w:rPr>
            <w:rStyle w:val="Hiperhivatkozs"/>
          </w:rPr>
          <w:t>https://web.ist.utl.pt/ist11038/acad/Aspen/AspUserGuide10.pdf</w:t>
        </w:r>
      </w:hyperlink>
      <w:r>
        <w:t xml:space="preserve">, Accessed on. </w:t>
      </w:r>
      <w:proofErr w:type="gramStart"/>
      <w:r>
        <w:t>2022.02.26.</w:t>
      </w:r>
      <w:proofErr w:type="gramEnd"/>
    </w:p>
    <w:p w14:paraId="684C1B65" w14:textId="77777777" w:rsidR="001F04FE" w:rsidRDefault="001F04FE" w:rsidP="001F04FE">
      <w:pPr>
        <w:pStyle w:val="CETReferencetext"/>
      </w:pPr>
      <w:proofErr w:type="spellStart"/>
      <w:r>
        <w:t>Bamdad</w:t>
      </w:r>
      <w:proofErr w:type="spellEnd"/>
      <w:r>
        <w:t xml:space="preserve"> H., </w:t>
      </w:r>
      <w:proofErr w:type="spellStart"/>
      <w:r>
        <w:t>Hawboldt</w:t>
      </w:r>
      <w:proofErr w:type="spellEnd"/>
      <w:r>
        <w:t xml:space="preserve"> K., </w:t>
      </w:r>
      <w:proofErr w:type="spellStart"/>
      <w:r>
        <w:t>MacQuarrie</w:t>
      </w:r>
      <w:proofErr w:type="spellEnd"/>
      <w:r>
        <w:t xml:space="preserve"> S., 2018, </w:t>
      </w:r>
      <w:proofErr w:type="gramStart"/>
      <w:r>
        <w:t>A</w:t>
      </w:r>
      <w:proofErr w:type="gramEnd"/>
      <w:r>
        <w:t xml:space="preserve"> review on common adsorbents for acid gases removal: Focus on biochar, Renewable and Sustainable Energy Reviews, 81, 1705</w:t>
      </w:r>
      <w:r w:rsidRPr="006B4888">
        <w:t>–</w:t>
      </w:r>
      <w:r>
        <w:t>1720.</w:t>
      </w:r>
    </w:p>
    <w:p w14:paraId="4AC3DC9D" w14:textId="77777777" w:rsidR="001F04FE" w:rsidRPr="002B037C" w:rsidRDefault="001F04FE" w:rsidP="001F04FE">
      <w:pPr>
        <w:pStyle w:val="CETReferencetext"/>
      </w:pPr>
      <w:proofErr w:type="spellStart"/>
      <w:r>
        <w:t>Bihong</w:t>
      </w:r>
      <w:proofErr w:type="spellEnd"/>
      <w:r>
        <w:t xml:space="preserve"> Lv., Guo B., Zhou Z., Jing G., 2015, Mechanism of CO2 capture into </w:t>
      </w:r>
      <w:proofErr w:type="spellStart"/>
      <w:r>
        <w:t>monoethanolamine</w:t>
      </w:r>
      <w:proofErr w:type="spellEnd"/>
      <w:r>
        <w:t xml:space="preserve"> solution with different CO2 loading during the absorption/desorption processes, Environmental Science and Technology, 47(17), 10728</w:t>
      </w:r>
      <w:r w:rsidRPr="006B4888">
        <w:t>–</w:t>
      </w:r>
      <w:r>
        <w:t>10735.</w:t>
      </w:r>
    </w:p>
    <w:p w14:paraId="56F35497" w14:textId="77777777" w:rsidR="001F04FE" w:rsidRPr="009978B5" w:rsidRDefault="001F04FE" w:rsidP="001F04FE">
      <w:pPr>
        <w:pStyle w:val="CETReferencetext"/>
        <w:rPr>
          <w:lang w:val="en-US"/>
        </w:rPr>
      </w:pPr>
      <w:proofErr w:type="spellStart"/>
      <w:r>
        <w:t>Cormos</w:t>
      </w:r>
      <w:proofErr w:type="spellEnd"/>
      <w:r>
        <w:t xml:space="preserve"> A-M., Simon A., 2013, Dynamic modelling of CO</w:t>
      </w:r>
      <w:r w:rsidRPr="00FC55A9">
        <w:rPr>
          <w:vertAlign w:val="subscript"/>
        </w:rPr>
        <w:t>2</w:t>
      </w:r>
      <w:r>
        <w:t xml:space="preserve"> capture by calcium-looping cycle, Chemical Engineering Transactions, 421</w:t>
      </w:r>
      <w:r w:rsidRPr="006B4888">
        <w:t>–</w:t>
      </w:r>
      <w:r>
        <w:t>426</w:t>
      </w:r>
    </w:p>
    <w:p w14:paraId="500111BA" w14:textId="77777777" w:rsidR="001F04FE" w:rsidRDefault="001F04FE" w:rsidP="001F04FE">
      <w:pPr>
        <w:pStyle w:val="CETReferencetext"/>
      </w:pPr>
      <w:proofErr w:type="spellStart"/>
      <w:r>
        <w:t>Detchusananard</w:t>
      </w:r>
      <w:proofErr w:type="spellEnd"/>
      <w:r>
        <w:t xml:space="preserve"> T</w:t>
      </w:r>
      <w:r w:rsidRPr="006B4888">
        <w:t xml:space="preserve">., </w:t>
      </w:r>
      <w:proofErr w:type="spellStart"/>
      <w:r>
        <w:t>Im</w:t>
      </w:r>
      <w:proofErr w:type="spellEnd"/>
      <w:r>
        <w:t>-orb K</w:t>
      </w:r>
      <w:r w:rsidRPr="006B4888">
        <w:t xml:space="preserve">., </w:t>
      </w:r>
      <w:proofErr w:type="spellStart"/>
      <w:r>
        <w:t>Ponpesh</w:t>
      </w:r>
      <w:proofErr w:type="spellEnd"/>
      <w:r>
        <w:t xml:space="preserve"> P</w:t>
      </w:r>
      <w:r w:rsidRPr="006B4888">
        <w:t xml:space="preserve">., </w:t>
      </w:r>
      <w:proofErr w:type="spellStart"/>
      <w:r>
        <w:t>Arpornwichanpo</w:t>
      </w:r>
      <w:proofErr w:type="spellEnd"/>
      <w:r>
        <w:t xml:space="preserve"> A., </w:t>
      </w:r>
      <w:r w:rsidRPr="006B4888">
        <w:t>201</w:t>
      </w:r>
      <w:r>
        <w:t>8</w:t>
      </w:r>
      <w:r w:rsidRPr="006B4888">
        <w:t xml:space="preserve">, </w:t>
      </w:r>
      <w:r>
        <w:t>Biomass gasification integrated with CO</w:t>
      </w:r>
      <w:r w:rsidRPr="00FC55A9">
        <w:rPr>
          <w:vertAlign w:val="subscript"/>
        </w:rPr>
        <w:t>2</w:t>
      </w:r>
      <w:r>
        <w:t xml:space="preserve"> capture processes for high-purity hydrogen production: Process performance and energy analysis</w:t>
      </w:r>
      <w:r w:rsidRPr="006B4888">
        <w:t xml:space="preserve">, </w:t>
      </w:r>
      <w:r>
        <w:t>Energy Conversion and Management</w:t>
      </w:r>
      <w:r w:rsidRPr="006B4888">
        <w:t xml:space="preserve">, </w:t>
      </w:r>
      <w:r>
        <w:t>171</w:t>
      </w:r>
      <w:r w:rsidRPr="006B4888">
        <w:t>, 1</w:t>
      </w:r>
      <w:r>
        <w:t>560</w:t>
      </w:r>
      <w:r w:rsidRPr="006B4888">
        <w:t>–</w:t>
      </w:r>
      <w:r>
        <w:t>1572</w:t>
      </w:r>
      <w:r w:rsidRPr="006B4888">
        <w:t>.</w:t>
      </w:r>
    </w:p>
    <w:p w14:paraId="5411E37C" w14:textId="77777777" w:rsidR="001F04FE" w:rsidRDefault="001F04FE" w:rsidP="001F04FE">
      <w:pPr>
        <w:pStyle w:val="CETReferencetext"/>
      </w:pPr>
      <w:proofErr w:type="spellStart"/>
      <w:r w:rsidRPr="00B24532">
        <w:t>Ebrahimzadeh</w:t>
      </w:r>
      <w:proofErr w:type="spellEnd"/>
      <w:r w:rsidRPr="00B24532">
        <w:t xml:space="preserve"> E., </w:t>
      </w:r>
      <w:proofErr w:type="spellStart"/>
      <w:r w:rsidRPr="00B24532">
        <w:t>Matagi</w:t>
      </w:r>
      <w:proofErr w:type="spellEnd"/>
      <w:r w:rsidRPr="00B24532">
        <w:t xml:space="preserve"> J., </w:t>
      </w:r>
      <w:proofErr w:type="spellStart"/>
      <w:r w:rsidRPr="00B24532">
        <w:t>Fazlollahi</w:t>
      </w:r>
      <w:proofErr w:type="spellEnd"/>
      <w:r w:rsidRPr="00B24532">
        <w:t xml:space="preserve"> F., Baxter L.L</w:t>
      </w:r>
      <w:r>
        <w:t>., 2016, Alternative extractive distillation system for CO</w:t>
      </w:r>
      <w:r w:rsidRPr="00FC55A9">
        <w:rPr>
          <w:vertAlign w:val="subscript"/>
        </w:rPr>
        <w:t>2</w:t>
      </w:r>
      <w:r>
        <w:t xml:space="preserve">-ethane </w:t>
      </w:r>
      <w:proofErr w:type="spellStart"/>
      <w:r>
        <w:t>azeotrope</w:t>
      </w:r>
      <w:proofErr w:type="spellEnd"/>
      <w:r>
        <w:t xml:space="preserve"> separation in enhanced oil recovery processes, Applied Thermal Engineering, 96, 39</w:t>
      </w:r>
      <w:r w:rsidRPr="006B4888">
        <w:t>–</w:t>
      </w:r>
      <w:r>
        <w:t>47.</w:t>
      </w:r>
    </w:p>
    <w:p w14:paraId="4D5100DC" w14:textId="77777777" w:rsidR="001F04FE" w:rsidRDefault="001F04FE" w:rsidP="001F04FE">
      <w:pPr>
        <w:pStyle w:val="CETReferencetext"/>
      </w:pPr>
      <w:r>
        <w:t>Lee Y., Yang X., Cho S-H., Kim J-K., Lee S.S., Tsang D.C.W., Ok Y.S., Kwon E.E., 2017, Pyrolysis process of agricultural waste using CO</w:t>
      </w:r>
      <w:r w:rsidRPr="00FC55A9">
        <w:rPr>
          <w:vertAlign w:val="subscript"/>
        </w:rPr>
        <w:t>2</w:t>
      </w:r>
      <w:r>
        <w:t xml:space="preserve"> for waste management, energy recovery, and biochar fabrication, Applied Energy, 185, 214</w:t>
      </w:r>
      <w:r w:rsidRPr="006B4888">
        <w:t>–</w:t>
      </w:r>
      <w:r>
        <w:t>222.</w:t>
      </w:r>
    </w:p>
    <w:p w14:paraId="379AD895" w14:textId="77777777" w:rsidR="001F04FE" w:rsidRDefault="001F04FE" w:rsidP="001F04FE">
      <w:pPr>
        <w:pStyle w:val="CETReferencetext"/>
      </w:pPr>
      <w:proofErr w:type="spellStart"/>
      <w:r>
        <w:t>Moioli</w:t>
      </w:r>
      <w:proofErr w:type="spellEnd"/>
      <w:r>
        <w:t xml:space="preserve"> S., </w:t>
      </w:r>
      <w:proofErr w:type="spellStart"/>
      <w:r>
        <w:t>Pellegrini</w:t>
      </w:r>
      <w:proofErr w:type="spellEnd"/>
      <w:r>
        <w:t xml:space="preserve"> L.A., 2013, Regeneration section of CO</w:t>
      </w:r>
      <w:r w:rsidRPr="00FC55A9">
        <w:rPr>
          <w:vertAlign w:val="subscript"/>
        </w:rPr>
        <w:t>2</w:t>
      </w:r>
      <w:r>
        <w:t xml:space="preserve"> capture plant by MEA scrubbing with a rate-based model, Chemical Engineering Transactions, 32, 1849</w:t>
      </w:r>
      <w:r w:rsidRPr="006B4888">
        <w:t>–</w:t>
      </w:r>
      <w:r>
        <w:t>1854.</w:t>
      </w:r>
    </w:p>
    <w:p w14:paraId="4A738BBE" w14:textId="316365C5" w:rsidR="001F04FE" w:rsidRDefault="001F04FE" w:rsidP="001F04FE">
      <w:pPr>
        <w:pStyle w:val="CETReferencetext"/>
      </w:pPr>
      <w:proofErr w:type="spellStart"/>
      <w:r w:rsidRPr="00D14691">
        <w:t>Narku-Tetteh</w:t>
      </w:r>
      <w:proofErr w:type="spellEnd"/>
      <w:r w:rsidRPr="00D14691">
        <w:t xml:space="preserve"> J., </w:t>
      </w:r>
      <w:proofErr w:type="spellStart"/>
      <w:r w:rsidRPr="00D14691">
        <w:t>Muchan</w:t>
      </w:r>
      <w:proofErr w:type="spellEnd"/>
      <w:r w:rsidRPr="00D14691">
        <w:t xml:space="preserve"> P., Idem R., 2017, Effect of </w:t>
      </w:r>
      <w:proofErr w:type="spellStart"/>
      <w:r w:rsidRPr="00D14691">
        <w:t>alkanol</w:t>
      </w:r>
      <w:proofErr w:type="spellEnd"/>
      <w:r w:rsidRPr="00D14691">
        <w:t xml:space="preserve"> chain lengt</w:t>
      </w:r>
      <w:r w:rsidR="00363C22">
        <w:t>h</w:t>
      </w:r>
      <w:r w:rsidRPr="00D14691">
        <w:t xml:space="preserve"> of primary </w:t>
      </w:r>
      <w:proofErr w:type="spellStart"/>
      <w:r w:rsidRPr="00D14691">
        <w:t>alkanolamines</w:t>
      </w:r>
      <w:proofErr w:type="spellEnd"/>
      <w:r w:rsidRPr="00D14691">
        <w:t xml:space="preserve"> and alkyl chain </w:t>
      </w:r>
      <w:proofErr w:type="spellStart"/>
      <w:r w:rsidRPr="00D14691">
        <w:t>lenght</w:t>
      </w:r>
      <w:proofErr w:type="spellEnd"/>
      <w:r w:rsidRPr="00D14691">
        <w:t xml:space="preserve"> of secondary and tertiary </w:t>
      </w:r>
      <w:proofErr w:type="spellStart"/>
      <w:r w:rsidRPr="00D14691">
        <w:t>alkanolamines</w:t>
      </w:r>
      <w:proofErr w:type="spellEnd"/>
      <w:r w:rsidRPr="00D14691">
        <w:t xml:space="preserve"> on their </w:t>
      </w:r>
      <w:r>
        <w:t>CO</w:t>
      </w:r>
      <w:r w:rsidRPr="00FC55A9">
        <w:rPr>
          <w:vertAlign w:val="subscript"/>
        </w:rPr>
        <w:t>2</w:t>
      </w:r>
      <w:r>
        <w:t xml:space="preserve"> capture activities, Separation and Purification Technology, 187, 453</w:t>
      </w:r>
      <w:r w:rsidRPr="006B4888">
        <w:t>–</w:t>
      </w:r>
      <w:r>
        <w:t>467.</w:t>
      </w:r>
    </w:p>
    <w:p w14:paraId="4DC4DA07" w14:textId="77777777" w:rsidR="001F04FE" w:rsidRPr="00C1066C" w:rsidRDefault="001F04FE" w:rsidP="001F04FE">
      <w:pPr>
        <w:pStyle w:val="CETReferencetext"/>
      </w:pPr>
      <w:r w:rsidRPr="00C1066C">
        <w:t xml:space="preserve">Ortiz C., </w:t>
      </w:r>
      <w:proofErr w:type="spellStart"/>
      <w:r w:rsidRPr="00C1066C">
        <w:t>Valverde</w:t>
      </w:r>
      <w:proofErr w:type="spellEnd"/>
      <w:r w:rsidRPr="00C1066C">
        <w:t xml:space="preserve"> J.M., </w:t>
      </w:r>
      <w:proofErr w:type="spellStart"/>
      <w:r w:rsidRPr="00C1066C">
        <w:t>Chacartegui</w:t>
      </w:r>
      <w:proofErr w:type="spellEnd"/>
      <w:r w:rsidRPr="00C1066C">
        <w:t xml:space="preserve"> R., Romeo </w:t>
      </w:r>
      <w:r>
        <w:t>L.M., Perez-</w:t>
      </w:r>
      <w:proofErr w:type="spellStart"/>
      <w:r>
        <w:t>Maqueda</w:t>
      </w:r>
      <w:proofErr w:type="spellEnd"/>
      <w:r>
        <w:t xml:space="preserve"> L.A., 2018, The </w:t>
      </w:r>
      <w:proofErr w:type="spellStart"/>
      <w:r>
        <w:t>mOxy-CaL</w:t>
      </w:r>
      <w:proofErr w:type="spellEnd"/>
      <w:r>
        <w:t xml:space="preserve"> process: Integration of membrane separation, partial oxy-combustion and calcium looping for CO</w:t>
      </w:r>
      <w:r w:rsidRPr="00FC55A9">
        <w:rPr>
          <w:vertAlign w:val="subscript"/>
        </w:rPr>
        <w:t>2</w:t>
      </w:r>
      <w:r>
        <w:t xml:space="preserve"> capture, Chemical Engineering Transactions, 70, 643</w:t>
      </w:r>
      <w:r w:rsidRPr="006B4888">
        <w:t>–</w:t>
      </w:r>
      <w:r>
        <w:t>648.</w:t>
      </w:r>
    </w:p>
    <w:p w14:paraId="13ED2EDD" w14:textId="77777777" w:rsidR="001F04FE" w:rsidRDefault="001F04FE" w:rsidP="001F04FE">
      <w:pPr>
        <w:pStyle w:val="CETReferencetext"/>
      </w:pPr>
      <w:r>
        <w:t xml:space="preserve">Romano M.C., </w:t>
      </w:r>
      <w:proofErr w:type="spellStart"/>
      <w:r>
        <w:t>Martínez</w:t>
      </w:r>
      <w:proofErr w:type="spellEnd"/>
      <w:r>
        <w:t xml:space="preserve"> I., Murillo R., </w:t>
      </w:r>
      <w:proofErr w:type="spellStart"/>
      <w:r>
        <w:t>Arstad</w:t>
      </w:r>
      <w:proofErr w:type="spellEnd"/>
      <w:r>
        <w:t xml:space="preserve"> B., </w:t>
      </w:r>
      <w:proofErr w:type="spellStart"/>
      <w:r>
        <w:t>Blom</w:t>
      </w:r>
      <w:proofErr w:type="spellEnd"/>
      <w:r>
        <w:t xml:space="preserve"> R., </w:t>
      </w:r>
      <w:proofErr w:type="spellStart"/>
      <w:r>
        <w:t>Ozcan</w:t>
      </w:r>
      <w:proofErr w:type="spellEnd"/>
      <w:r>
        <w:t xml:space="preserve"> D.C., </w:t>
      </w:r>
      <w:proofErr w:type="spellStart"/>
      <w:r>
        <w:t>Ahn</w:t>
      </w:r>
      <w:proofErr w:type="spellEnd"/>
      <w:r>
        <w:t xml:space="preserve"> H., </w:t>
      </w:r>
      <w:proofErr w:type="spellStart"/>
      <w:r>
        <w:t>Brandani</w:t>
      </w:r>
      <w:proofErr w:type="spellEnd"/>
      <w:r>
        <w:t xml:space="preserve"> S., 2013, Process simulation of Ca-looping processes: review and guidelines, Energy </w:t>
      </w:r>
      <w:proofErr w:type="spellStart"/>
      <w:r>
        <w:t>Procedia</w:t>
      </w:r>
      <w:proofErr w:type="spellEnd"/>
      <w:r>
        <w:t>, 37, 142, 142</w:t>
      </w:r>
      <w:r w:rsidRPr="006B4888">
        <w:t>–</w:t>
      </w:r>
      <w:r>
        <w:t>150.</w:t>
      </w:r>
    </w:p>
    <w:p w14:paraId="0D2B927B" w14:textId="77777777" w:rsidR="001F04FE" w:rsidRDefault="001F04FE" w:rsidP="001F04FE">
      <w:pPr>
        <w:pStyle w:val="CETReferencetext"/>
      </w:pPr>
      <w:proofErr w:type="spellStart"/>
      <w:r>
        <w:t>Samanta</w:t>
      </w:r>
      <w:proofErr w:type="spellEnd"/>
      <w:r>
        <w:t xml:space="preserve"> A., Zhao A., Shimizu G.K.H., </w:t>
      </w:r>
      <w:proofErr w:type="spellStart"/>
      <w:r>
        <w:t>Sarkar</w:t>
      </w:r>
      <w:proofErr w:type="spellEnd"/>
      <w:r>
        <w:t xml:space="preserve"> P., Gupta R., 2012, Post-combustion CO</w:t>
      </w:r>
      <w:r w:rsidRPr="00FC55A9">
        <w:rPr>
          <w:vertAlign w:val="subscript"/>
        </w:rPr>
        <w:t>2</w:t>
      </w:r>
      <w:r>
        <w:t xml:space="preserve"> capture using solid sorbents: A review, </w:t>
      </w:r>
      <w:proofErr w:type="spellStart"/>
      <w:r>
        <w:t>Industrial&amp;Engineering</w:t>
      </w:r>
      <w:proofErr w:type="spellEnd"/>
      <w:r>
        <w:t xml:space="preserve"> Chemistry Research, 51, 1438</w:t>
      </w:r>
      <w:r w:rsidRPr="006B4888">
        <w:t>–</w:t>
      </w:r>
      <w:r>
        <w:t>1463.</w:t>
      </w:r>
    </w:p>
    <w:p w14:paraId="5B9F2304" w14:textId="77777777" w:rsidR="001F04FE" w:rsidRDefault="001F04FE" w:rsidP="001F04FE">
      <w:pPr>
        <w:pStyle w:val="CETReferencetext"/>
      </w:pPr>
      <w:r w:rsidRPr="00A96C2E">
        <w:t xml:space="preserve">Shi H., </w:t>
      </w:r>
      <w:proofErr w:type="spellStart"/>
      <w:r w:rsidRPr="00A96C2E">
        <w:t>Naami</w:t>
      </w:r>
      <w:proofErr w:type="spellEnd"/>
      <w:r w:rsidRPr="00A96C2E">
        <w:t xml:space="preserve"> A., Idem R., </w:t>
      </w:r>
      <w:proofErr w:type="spellStart"/>
      <w:r w:rsidRPr="00A96C2E">
        <w:t>Tontiwachwuthikul</w:t>
      </w:r>
      <w:proofErr w:type="spellEnd"/>
      <w:r w:rsidRPr="00A96C2E">
        <w:t xml:space="preserve"> P., 2014, Catalytic and non-catalytic solvent regeneration during </w:t>
      </w:r>
      <w:r>
        <w:t>absorption-based CO</w:t>
      </w:r>
      <w:r w:rsidRPr="00FC55A9">
        <w:rPr>
          <w:vertAlign w:val="subscript"/>
        </w:rPr>
        <w:t>2</w:t>
      </w:r>
      <w:r>
        <w:t xml:space="preserve"> capture with single and blended reactive amine solvents, International Journal of Greenhouse Gas Control, 26, 39</w:t>
      </w:r>
      <w:r w:rsidRPr="006B4888">
        <w:t>–</w:t>
      </w:r>
      <w:r>
        <w:t>50.</w:t>
      </w:r>
    </w:p>
    <w:p w14:paraId="030F4259" w14:textId="77777777" w:rsidR="001F04FE" w:rsidRDefault="001F04FE" w:rsidP="001F04FE">
      <w:pPr>
        <w:pStyle w:val="CETReferencetext"/>
      </w:pPr>
      <w:r w:rsidRPr="00E720D8">
        <w:t xml:space="preserve">Song C., Liu Q., Deng S., Li H., Kitamura Y., 2019, Cryogenic-based </w:t>
      </w:r>
      <w:r>
        <w:t>CO</w:t>
      </w:r>
      <w:r w:rsidRPr="00FC55A9">
        <w:rPr>
          <w:vertAlign w:val="subscript"/>
        </w:rPr>
        <w:t>2</w:t>
      </w:r>
      <w:r>
        <w:t xml:space="preserve"> capture technologies: State-of-the-art developments and current challenges, Renewable and Sustainable Energy Reviews, 101, 265</w:t>
      </w:r>
      <w:r w:rsidRPr="006B4888">
        <w:t>–</w:t>
      </w:r>
      <w:r>
        <w:t>278.</w:t>
      </w:r>
    </w:p>
    <w:p w14:paraId="7B710767" w14:textId="77777777" w:rsidR="001F04FE" w:rsidRDefault="001F04FE" w:rsidP="001F04FE">
      <w:pPr>
        <w:pStyle w:val="CETReferencetext"/>
      </w:pPr>
      <w:r>
        <w:t xml:space="preserve">Xiang Y., </w:t>
      </w:r>
      <w:proofErr w:type="spellStart"/>
      <w:r>
        <w:t>Cai</w:t>
      </w:r>
      <w:proofErr w:type="spellEnd"/>
      <w:r>
        <w:t xml:space="preserve"> L., Guan Y., Liu W., He T., Li J., 2019, Study on the biomass-based integrated gasification combined cycle with negative CO</w:t>
      </w:r>
      <w:r w:rsidRPr="00FC55A9">
        <w:rPr>
          <w:vertAlign w:val="subscript"/>
        </w:rPr>
        <w:t>2</w:t>
      </w:r>
      <w:r>
        <w:t xml:space="preserve"> emissions under different temperatures and pressures, Energy, 179, 571</w:t>
      </w:r>
      <w:r w:rsidRPr="006B4888">
        <w:t>–</w:t>
      </w:r>
      <w:r>
        <w:t>580.</w:t>
      </w:r>
    </w:p>
    <w:p w14:paraId="3A35E7AB" w14:textId="77777777" w:rsidR="001F04FE" w:rsidRDefault="001F04FE" w:rsidP="001F04FE">
      <w:pPr>
        <w:pStyle w:val="CETReferencetext"/>
      </w:pPr>
      <w:r>
        <w:rPr>
          <w:rFonts w:cs="Arial"/>
          <w:lang w:val="en-US"/>
        </w:rPr>
        <w:t>Yousef A.M., El-</w:t>
      </w:r>
      <w:proofErr w:type="spellStart"/>
      <w:r>
        <w:rPr>
          <w:rFonts w:cs="Arial"/>
          <w:lang w:val="en-US"/>
        </w:rPr>
        <w:t>Maghlany</w:t>
      </w:r>
      <w:proofErr w:type="spellEnd"/>
      <w:r>
        <w:rPr>
          <w:rFonts w:cs="Arial"/>
          <w:lang w:val="en-US"/>
        </w:rPr>
        <w:t xml:space="preserve"> W.M., </w:t>
      </w:r>
      <w:proofErr w:type="spellStart"/>
      <w:r>
        <w:rPr>
          <w:rFonts w:cs="Arial"/>
          <w:lang w:val="en-US"/>
        </w:rPr>
        <w:t>Eldrainy</w:t>
      </w:r>
      <w:proofErr w:type="spellEnd"/>
      <w:r>
        <w:rPr>
          <w:rFonts w:cs="Arial"/>
          <w:lang w:val="en-US"/>
        </w:rPr>
        <w:t xml:space="preserve"> Y.A., </w:t>
      </w:r>
      <w:proofErr w:type="spellStart"/>
      <w:r>
        <w:rPr>
          <w:rFonts w:cs="Arial"/>
          <w:lang w:val="en-US"/>
        </w:rPr>
        <w:t>Attia</w:t>
      </w:r>
      <w:proofErr w:type="spellEnd"/>
      <w:r>
        <w:rPr>
          <w:rFonts w:cs="Arial"/>
          <w:lang w:val="en-US"/>
        </w:rPr>
        <w:t xml:space="preserve"> A., 2019, Upgrading biogas to </w:t>
      </w:r>
      <w:proofErr w:type="spellStart"/>
      <w:r>
        <w:rPr>
          <w:rFonts w:cs="Arial"/>
          <w:lang w:val="en-US"/>
        </w:rPr>
        <w:t>biomethane</w:t>
      </w:r>
      <w:proofErr w:type="spellEnd"/>
      <w:r>
        <w:rPr>
          <w:rFonts w:cs="Arial"/>
          <w:lang w:val="en-US"/>
        </w:rPr>
        <w:t xml:space="preserve"> and liquid CO</w:t>
      </w:r>
      <w:r w:rsidRPr="00FC55A9">
        <w:rPr>
          <w:rFonts w:cs="Arial"/>
          <w:vertAlign w:val="subscript"/>
          <w:lang w:val="en-US"/>
        </w:rPr>
        <w:t>2</w:t>
      </w:r>
      <w:r>
        <w:rPr>
          <w:rFonts w:cs="Arial"/>
          <w:lang w:val="en-US"/>
        </w:rPr>
        <w:t>: A novel cryogenic process, Fuel, 251, 611</w:t>
      </w:r>
      <w:r w:rsidRPr="006B4888">
        <w:t>–</w:t>
      </w:r>
      <w:r>
        <w:t>628.</w:t>
      </w:r>
    </w:p>
    <w:p w14:paraId="41054F15" w14:textId="18A920F2" w:rsidR="001F04FE" w:rsidRDefault="001F04FE" w:rsidP="001F04FE">
      <w:pPr>
        <w:pStyle w:val="CETReferencetext"/>
      </w:pPr>
      <w:r w:rsidRPr="002B037C">
        <w:t xml:space="preserve">Zhang S., Tao R., Liu L., Zhang L., Du J., 2019, Economic and environmental optimisation </w:t>
      </w:r>
      <w:r>
        <w:t xml:space="preserve">framework for carbon capture </w:t>
      </w:r>
      <w:bookmarkStart w:id="0" w:name="_GoBack"/>
      <w:bookmarkEnd w:id="0"/>
      <w:r w:rsidR="00363C22">
        <w:t xml:space="preserve">utilisation </w:t>
      </w:r>
      <w:r>
        <w:t>and storage supply chain, Chemical Engineering Transactions, 76, 1</w:t>
      </w:r>
      <w:r w:rsidRPr="006B4888">
        <w:t>–</w:t>
      </w:r>
      <w:r>
        <w:t>6.</w:t>
      </w:r>
    </w:p>
    <w:p w14:paraId="19C4FC68" w14:textId="2D85B920" w:rsidR="004628D2" w:rsidRDefault="004628D2" w:rsidP="00A83B95">
      <w:pPr>
        <w:pStyle w:val="CETReferencetext"/>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2537" w14:textId="77777777" w:rsidR="00447C21" w:rsidRDefault="00447C21" w:rsidP="004F5E36">
      <w:r>
        <w:separator/>
      </w:r>
    </w:p>
  </w:endnote>
  <w:endnote w:type="continuationSeparator" w:id="0">
    <w:p w14:paraId="62E24D44" w14:textId="77777777" w:rsidR="00447C21" w:rsidRDefault="00447C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9F325" w14:textId="77777777" w:rsidR="00447C21" w:rsidRDefault="00447C21" w:rsidP="004F5E36">
      <w:r>
        <w:separator/>
      </w:r>
    </w:p>
  </w:footnote>
  <w:footnote w:type="continuationSeparator" w:id="0">
    <w:p w14:paraId="541DBBA2" w14:textId="77777777" w:rsidR="00447C21" w:rsidRDefault="00447C2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8616DD7"/>
    <w:multiLevelType w:val="hybridMultilevel"/>
    <w:tmpl w:val="6380A140"/>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F80F88"/>
    <w:multiLevelType w:val="hybridMultilevel"/>
    <w:tmpl w:val="0870FAE6"/>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741877"/>
    <w:multiLevelType w:val="hybridMultilevel"/>
    <w:tmpl w:val="7ACA0C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70264B9"/>
    <w:multiLevelType w:val="hybridMultilevel"/>
    <w:tmpl w:val="8D662DEC"/>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20"/>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23"/>
  </w:num>
  <w:num w:numId="24">
    <w:abstractNumId w:val="18"/>
  </w:num>
  <w:num w:numId="25">
    <w:abstractNumId w:val="24"/>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02985"/>
    <w:rsid w:val="0011404F"/>
    <w:rsid w:val="0012091F"/>
    <w:rsid w:val="00126BC2"/>
    <w:rsid w:val="001308B6"/>
    <w:rsid w:val="0013121F"/>
    <w:rsid w:val="00131FE6"/>
    <w:rsid w:val="0013263F"/>
    <w:rsid w:val="001331DF"/>
    <w:rsid w:val="00134DE4"/>
    <w:rsid w:val="0014034D"/>
    <w:rsid w:val="00144D16"/>
    <w:rsid w:val="00150E59"/>
    <w:rsid w:val="00152BF5"/>
    <w:rsid w:val="00152DE3"/>
    <w:rsid w:val="00164CF9"/>
    <w:rsid w:val="001667A6"/>
    <w:rsid w:val="00184AD6"/>
    <w:rsid w:val="001A2A41"/>
    <w:rsid w:val="001A4AF7"/>
    <w:rsid w:val="001B0349"/>
    <w:rsid w:val="001B1E93"/>
    <w:rsid w:val="001B5224"/>
    <w:rsid w:val="001B65C1"/>
    <w:rsid w:val="001C684B"/>
    <w:rsid w:val="001D0CFB"/>
    <w:rsid w:val="001D21AF"/>
    <w:rsid w:val="001D53FC"/>
    <w:rsid w:val="001F04FE"/>
    <w:rsid w:val="001F42A5"/>
    <w:rsid w:val="001F7B9D"/>
    <w:rsid w:val="00201C93"/>
    <w:rsid w:val="0020731A"/>
    <w:rsid w:val="002224B4"/>
    <w:rsid w:val="002447EF"/>
    <w:rsid w:val="00251550"/>
    <w:rsid w:val="00263B05"/>
    <w:rsid w:val="0027221A"/>
    <w:rsid w:val="00275B61"/>
    <w:rsid w:val="00277473"/>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63C22"/>
    <w:rsid w:val="003723D4"/>
    <w:rsid w:val="00381905"/>
    <w:rsid w:val="00384CC8"/>
    <w:rsid w:val="003871FD"/>
    <w:rsid w:val="003A1E30"/>
    <w:rsid w:val="003A2829"/>
    <w:rsid w:val="003A7D1C"/>
    <w:rsid w:val="003B304B"/>
    <w:rsid w:val="003B3146"/>
    <w:rsid w:val="003F015E"/>
    <w:rsid w:val="00400414"/>
    <w:rsid w:val="0041446B"/>
    <w:rsid w:val="00437683"/>
    <w:rsid w:val="0044071E"/>
    <w:rsid w:val="0044329C"/>
    <w:rsid w:val="00447C21"/>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E729A"/>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15E1"/>
    <w:rsid w:val="00660E3E"/>
    <w:rsid w:val="00662E74"/>
    <w:rsid w:val="00680C23"/>
    <w:rsid w:val="00693766"/>
    <w:rsid w:val="006A3281"/>
    <w:rsid w:val="006B4888"/>
    <w:rsid w:val="006C2E45"/>
    <w:rsid w:val="006C359C"/>
    <w:rsid w:val="006C46EA"/>
    <w:rsid w:val="006C5579"/>
    <w:rsid w:val="006D6E8B"/>
    <w:rsid w:val="006E737D"/>
    <w:rsid w:val="0070032B"/>
    <w:rsid w:val="00713973"/>
    <w:rsid w:val="00720A24"/>
    <w:rsid w:val="00732386"/>
    <w:rsid w:val="0073514D"/>
    <w:rsid w:val="00741F37"/>
    <w:rsid w:val="007447F3"/>
    <w:rsid w:val="0075499F"/>
    <w:rsid w:val="007661C8"/>
    <w:rsid w:val="0077098D"/>
    <w:rsid w:val="007931FA"/>
    <w:rsid w:val="007A4861"/>
    <w:rsid w:val="007A7BBA"/>
    <w:rsid w:val="007B0C50"/>
    <w:rsid w:val="007B48F9"/>
    <w:rsid w:val="007C1A43"/>
    <w:rsid w:val="0080013E"/>
    <w:rsid w:val="00813288"/>
    <w:rsid w:val="008168FC"/>
    <w:rsid w:val="00830996"/>
    <w:rsid w:val="008345F1"/>
    <w:rsid w:val="00843464"/>
    <w:rsid w:val="00850A4A"/>
    <w:rsid w:val="00865B07"/>
    <w:rsid w:val="008667EA"/>
    <w:rsid w:val="0087637F"/>
    <w:rsid w:val="00892AD5"/>
    <w:rsid w:val="008A1512"/>
    <w:rsid w:val="008B63BE"/>
    <w:rsid w:val="008D32B9"/>
    <w:rsid w:val="008D433B"/>
    <w:rsid w:val="008E566E"/>
    <w:rsid w:val="0090161A"/>
    <w:rsid w:val="00901EB6"/>
    <w:rsid w:val="00904C62"/>
    <w:rsid w:val="0092163F"/>
    <w:rsid w:val="00922BA8"/>
    <w:rsid w:val="00924DAC"/>
    <w:rsid w:val="00927058"/>
    <w:rsid w:val="00935238"/>
    <w:rsid w:val="00942750"/>
    <w:rsid w:val="009450CE"/>
    <w:rsid w:val="00947179"/>
    <w:rsid w:val="0095164B"/>
    <w:rsid w:val="00954090"/>
    <w:rsid w:val="009573E7"/>
    <w:rsid w:val="00963E05"/>
    <w:rsid w:val="00964A45"/>
    <w:rsid w:val="00967843"/>
    <w:rsid w:val="00967D54"/>
    <w:rsid w:val="00971028"/>
    <w:rsid w:val="00977898"/>
    <w:rsid w:val="00993B84"/>
    <w:rsid w:val="00996483"/>
    <w:rsid w:val="00996F5A"/>
    <w:rsid w:val="009A0192"/>
    <w:rsid w:val="009B041A"/>
    <w:rsid w:val="009C37C3"/>
    <w:rsid w:val="009C4BF2"/>
    <w:rsid w:val="009C7C86"/>
    <w:rsid w:val="009D2E9E"/>
    <w:rsid w:val="009D2FF7"/>
    <w:rsid w:val="009E7884"/>
    <w:rsid w:val="009E788A"/>
    <w:rsid w:val="009F0E08"/>
    <w:rsid w:val="00A1763D"/>
    <w:rsid w:val="00A17CEC"/>
    <w:rsid w:val="00A27EF0"/>
    <w:rsid w:val="00A42361"/>
    <w:rsid w:val="00A50B20"/>
    <w:rsid w:val="00A51390"/>
    <w:rsid w:val="00A60D13"/>
    <w:rsid w:val="00A65E16"/>
    <w:rsid w:val="00A72745"/>
    <w:rsid w:val="00A76EFC"/>
    <w:rsid w:val="00A82921"/>
    <w:rsid w:val="00A83B95"/>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0C7D"/>
    <w:rsid w:val="00B93F69"/>
    <w:rsid w:val="00BB1DDC"/>
    <w:rsid w:val="00BC30C9"/>
    <w:rsid w:val="00BD077D"/>
    <w:rsid w:val="00BE3E58"/>
    <w:rsid w:val="00BF59CC"/>
    <w:rsid w:val="00C01616"/>
    <w:rsid w:val="00C0162B"/>
    <w:rsid w:val="00C068ED"/>
    <w:rsid w:val="00C22E0C"/>
    <w:rsid w:val="00C345B1"/>
    <w:rsid w:val="00C36D0A"/>
    <w:rsid w:val="00C40142"/>
    <w:rsid w:val="00C52C3C"/>
    <w:rsid w:val="00C557A2"/>
    <w:rsid w:val="00C57182"/>
    <w:rsid w:val="00C57863"/>
    <w:rsid w:val="00C655FD"/>
    <w:rsid w:val="00C75407"/>
    <w:rsid w:val="00C870A8"/>
    <w:rsid w:val="00C94434"/>
    <w:rsid w:val="00CA0D75"/>
    <w:rsid w:val="00CA1C95"/>
    <w:rsid w:val="00CA5A9C"/>
    <w:rsid w:val="00CC4C20"/>
    <w:rsid w:val="00CD2BFC"/>
    <w:rsid w:val="00CD3517"/>
    <w:rsid w:val="00CD5FE2"/>
    <w:rsid w:val="00CE7C68"/>
    <w:rsid w:val="00D02B4C"/>
    <w:rsid w:val="00D040C4"/>
    <w:rsid w:val="00D1300C"/>
    <w:rsid w:val="00D46B7E"/>
    <w:rsid w:val="00D549DC"/>
    <w:rsid w:val="00D57C84"/>
    <w:rsid w:val="00D6057D"/>
    <w:rsid w:val="00D71640"/>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10B8"/>
    <w:rsid w:val="00F32BA2"/>
    <w:rsid w:val="00F32CDB"/>
    <w:rsid w:val="00F565FE"/>
    <w:rsid w:val="00F63A70"/>
    <w:rsid w:val="00F7534E"/>
    <w:rsid w:val="00F83614"/>
    <w:rsid w:val="00F90A0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qFormat/>
    <w:rsid w:val="00280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qFormat/>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eb.ist.utl.pt/ist11038/acad/Aspen/AspUserGuide1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5A6F-25BF-4AE4-B9D2-6E1924A9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2348</Words>
  <Characters>16204</Characters>
  <Application>Microsoft Office Word</Application>
  <DocSecurity>0</DocSecurity>
  <Lines>135</Lines>
  <Paragraphs>37</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Egedy Attila</cp:lastModifiedBy>
  <cp:revision>3</cp:revision>
  <cp:lastPrinted>2015-05-12T18:31:00Z</cp:lastPrinted>
  <dcterms:created xsi:type="dcterms:W3CDTF">2022-03-01T13:05:00Z</dcterms:created>
  <dcterms:modified xsi:type="dcterms:W3CDTF">2022-03-01T13:08:00Z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