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PE" w:eastAsia="es-PE"/>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BED1033"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C81B13">
              <w:rPr>
                <w:rFonts w:cs="Arial"/>
                <w:b/>
                <w:bCs/>
                <w:i/>
                <w:iCs/>
                <w:color w:val="000066"/>
                <w:sz w:val="22"/>
                <w:szCs w:val="22"/>
                <w:lang w:eastAsia="it-IT"/>
              </w:rPr>
              <w:t>92</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C81B13">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PE" w:eastAsia="es-PE"/>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20152819" w14:textId="77777777" w:rsidR="00C81B13" w:rsidRPr="0044071E" w:rsidRDefault="00C81B13" w:rsidP="00C81B13">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Pr="0044071E">
              <w:rPr>
                <w:rFonts w:ascii="Tahoma" w:hAnsi="Tahoma" w:cs="Tahoma"/>
                <w:color w:val="000000"/>
                <w:sz w:val="14"/>
                <w:szCs w:val="14"/>
                <w:shd w:val="clear" w:color="auto" w:fill="FFFFFF"/>
                <w:lang w:val="it-IT"/>
              </w:rPr>
              <w:t xml:space="preserve"> Rubens Maciel Filho</w:t>
            </w:r>
            <w:r>
              <w:rPr>
                <w:rFonts w:ascii="Tahoma" w:hAnsi="Tahoma" w:cs="Tahoma"/>
                <w:color w:val="000000"/>
                <w:sz w:val="14"/>
                <w:szCs w:val="14"/>
                <w:shd w:val="clear" w:color="auto" w:fill="FFFFFF"/>
                <w:lang w:val="it-IT"/>
              </w:rPr>
              <w:t>,</w:t>
            </w:r>
            <w:r w:rsidRPr="0044071E">
              <w:rPr>
                <w:rFonts w:ascii="Tahoma" w:hAnsi="Tahoma" w:cs="Tahoma"/>
                <w:color w:val="000000"/>
                <w:sz w:val="14"/>
                <w:szCs w:val="14"/>
                <w:shd w:val="clear" w:color="auto" w:fill="FFFFFF"/>
                <w:lang w:val="it-IT"/>
              </w:rPr>
              <w:t xml:space="preserve"> Eliseo Ranzi</w:t>
            </w:r>
            <w:r>
              <w:rPr>
                <w:rFonts w:ascii="Tahoma" w:hAnsi="Tahoma" w:cs="Tahoma"/>
                <w:color w:val="000000"/>
                <w:sz w:val="14"/>
                <w:szCs w:val="14"/>
                <w:shd w:val="clear" w:color="auto" w:fill="FFFFFF"/>
                <w:lang w:val="it-IT"/>
              </w:rPr>
              <w:t>, Leonardo Tognotti</w:t>
            </w:r>
          </w:p>
          <w:p w14:paraId="1B0F1814" w14:textId="66AFF84F" w:rsidR="000A03B2" w:rsidRPr="00B57B36" w:rsidRDefault="00C81B13" w:rsidP="00C81B13">
            <w:pPr>
              <w:tabs>
                <w:tab w:val="left" w:pos="-108"/>
              </w:tabs>
              <w:spacing w:line="140" w:lineRule="atLeast"/>
              <w:ind w:left="-107"/>
              <w:jc w:val="left"/>
            </w:pPr>
            <w:r>
              <w:rPr>
                <w:rFonts w:ascii="Tahoma" w:hAnsi="Tahoma" w:cs="Tahoma"/>
                <w:iCs/>
                <w:color w:val="333333"/>
                <w:sz w:val="14"/>
                <w:szCs w:val="14"/>
                <w:lang w:eastAsia="it-IT"/>
              </w:rPr>
              <w:t>Copyright © 2022</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w:t>
            </w:r>
            <w:r>
              <w:rPr>
                <w:rFonts w:ascii="Tahoma" w:hAnsi="Tahoma" w:cs="Tahoma"/>
                <w:sz w:val="14"/>
                <w:szCs w:val="14"/>
              </w:rPr>
              <w:t>-90-7</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17B9FCAA" w:rsidR="00E978D0" w:rsidRPr="006F2CE0" w:rsidRDefault="006F2CE0" w:rsidP="006F2CE0">
      <w:pPr>
        <w:pStyle w:val="CETTitle"/>
        <w:rPr>
          <w:bCs/>
          <w:iCs/>
          <w:lang w:val="en-US"/>
        </w:rPr>
      </w:pPr>
      <w:r w:rsidRPr="006177BC">
        <w:rPr>
          <w:bCs/>
          <w:iCs/>
          <w:lang w:val="en-US"/>
        </w:rPr>
        <w:t>Photogrammetry with Remotely Piloted Aircraf System for the Determination o</w:t>
      </w:r>
      <w:r w:rsidR="006177BC" w:rsidRPr="006177BC">
        <w:rPr>
          <w:bCs/>
          <w:iCs/>
          <w:lang w:val="en-US"/>
        </w:rPr>
        <w:t>f Aerial Biomass in Urban Parks</w:t>
      </w:r>
    </w:p>
    <w:p w14:paraId="2B3CA35C" w14:textId="5E5DF739" w:rsidR="00E978D0" w:rsidRPr="00F31BC5" w:rsidRDefault="00C05C9F" w:rsidP="007F4033">
      <w:pPr>
        <w:pStyle w:val="CETAuthors"/>
      </w:pPr>
      <w:r w:rsidRPr="00104D42">
        <w:rPr>
          <w:szCs w:val="24"/>
        </w:rPr>
        <w:t>Jennyfer F. Burgos Ochoa, Alexandra C. Meléndez Jackson</w:t>
      </w:r>
      <w:r w:rsidR="007705EF" w:rsidRPr="007705EF">
        <w:rPr>
          <w:bCs/>
          <w:lang w:val="en-US"/>
        </w:rPr>
        <w:t>,</w:t>
      </w:r>
      <w:r>
        <w:rPr>
          <w:bCs/>
        </w:rPr>
        <w:t xml:space="preserve"> Carlos A. Castañeda-</w:t>
      </w:r>
      <w:r w:rsidR="007F4033" w:rsidRPr="00C14646">
        <w:rPr>
          <w:bCs/>
        </w:rPr>
        <w:t>Olivera*</w:t>
      </w:r>
      <w:r w:rsidR="00C520EB">
        <w:rPr>
          <w:bCs/>
        </w:rPr>
        <w:t>, Danny A. Lzarzaburu Aguinaga</w:t>
      </w:r>
      <w:bookmarkStart w:id="0" w:name="_GoBack"/>
      <w:bookmarkEnd w:id="0"/>
    </w:p>
    <w:p w14:paraId="3AE11478" w14:textId="1ED6C82C" w:rsidR="00F84164" w:rsidRPr="00077999" w:rsidRDefault="00412957" w:rsidP="00F84164">
      <w:pPr>
        <w:pStyle w:val="CETAddress"/>
        <w:rPr>
          <w:lang w:val="en-US"/>
        </w:rPr>
      </w:pPr>
      <w:r w:rsidRPr="00077999">
        <w:rPr>
          <w:lang w:val="en-US"/>
        </w:rPr>
        <w:t xml:space="preserve">Universidad </w:t>
      </w:r>
      <w:r w:rsidR="00F31BC5" w:rsidRPr="00077999">
        <w:rPr>
          <w:lang w:val="en-US"/>
        </w:rPr>
        <w:t>César Vallejo</w:t>
      </w:r>
      <w:r w:rsidRPr="00077999">
        <w:rPr>
          <w:lang w:val="en-US"/>
        </w:rPr>
        <w:t xml:space="preserve">, </w:t>
      </w:r>
      <w:r w:rsidR="007705EF" w:rsidRPr="00077999">
        <w:rPr>
          <w:lang w:val="en-US"/>
        </w:rPr>
        <w:t xml:space="preserve">Campus Los Olivos, </w:t>
      </w:r>
      <w:r w:rsidRPr="00077999">
        <w:rPr>
          <w:lang w:val="en-US"/>
        </w:rPr>
        <w:t>Lima</w:t>
      </w:r>
      <w:r w:rsidR="007F4033" w:rsidRPr="00077999">
        <w:rPr>
          <w:lang w:val="en-US"/>
        </w:rPr>
        <w:t>, Perú</w:t>
      </w:r>
    </w:p>
    <w:p w14:paraId="0127A28D" w14:textId="4840D5CA" w:rsidR="00E978D0" w:rsidRPr="00A42589" w:rsidRDefault="00412957" w:rsidP="00E978D0">
      <w:pPr>
        <w:pStyle w:val="CETemail"/>
        <w:rPr>
          <w:lang w:val="en-US"/>
        </w:rPr>
      </w:pPr>
      <w:r w:rsidRPr="006177BC">
        <w:rPr>
          <w:vertAlign w:val="superscript"/>
          <w:lang w:val="en-US"/>
        </w:rPr>
        <w:t>*</w:t>
      </w:r>
      <w:r w:rsidRPr="006177BC">
        <w:rPr>
          <w:lang w:val="en-US"/>
        </w:rPr>
        <w:t>caralcaso@gmail.com</w:t>
      </w:r>
    </w:p>
    <w:p w14:paraId="6D31D76A" w14:textId="23EA9B62" w:rsidR="0005487D" w:rsidRPr="0005487D" w:rsidRDefault="00C05C9F" w:rsidP="0005487D">
      <w:pPr>
        <w:pStyle w:val="CETBodytext"/>
      </w:pPr>
      <w:r w:rsidRPr="00C05C9F">
        <w:t xml:space="preserve">The exponential growth of the population is generating the deterioration of ecosystems due to its need to improve the quality of life, so the application of non-invasive methods for the management of natural resources such as trees in urban parks is sought. Therefore, in the present research, photogrammetry with </w:t>
      </w:r>
      <w:r w:rsidR="00103438" w:rsidRPr="006177BC">
        <w:t>Remotely Piloted Aircraf System (</w:t>
      </w:r>
      <w:r w:rsidRPr="006177BC">
        <w:t>RPAs</w:t>
      </w:r>
      <w:r w:rsidR="00103438" w:rsidRPr="006177BC">
        <w:t>)</w:t>
      </w:r>
      <w:r w:rsidRPr="00C05C9F">
        <w:t xml:space="preserve"> was applied for the determination of aerial biomass in the parks of the district of Los Olivos in Lima, Peru. The study was conducted in five parks, which were previously georeferenced by a GPS to capture images with the Phantom 4 Pro drone. The images were processed with Agisoft software to calculate the aerial biomass and carbon sequestration of the trees. The results were given in tons of aerial biomass per hectare (t/ha) and tons of carbon sequestration per hectare (tC/ha); thus, Raimondi Park obtained 1,217 t/ha and 0. 572 tC/ha, Solidaridad Park obtained 1,848 t/ha and 0.868 tC/ha, Cristo Rey Park obtained 9,443 t/ha and 4,438 tC/ha, Juan Pablo II Park obtained 3,694 t/ha and 1,736 and Santa Rosa Park obtained 4,260 t/ha and 2,002 tC/ha. Based on the results, it is concluded that photogrammetry with RPAs is a favorable and efficient methodology that allows determining the aerial biomass and calculating carbon sequestration, helping to preserve green areas according to the number of inhabitants per urban area.</w:t>
      </w:r>
      <w:r w:rsidR="0005487D" w:rsidRPr="0005487D">
        <w:t xml:space="preserve"> </w:t>
      </w:r>
    </w:p>
    <w:p w14:paraId="476B2F2E" w14:textId="23C2B55A" w:rsidR="00600535" w:rsidRPr="00B57B36" w:rsidRDefault="00C14646" w:rsidP="00600535">
      <w:pPr>
        <w:pStyle w:val="CETHeading1"/>
        <w:rPr>
          <w:lang w:val="en-GB"/>
        </w:rPr>
      </w:pPr>
      <w:r>
        <w:rPr>
          <w:lang w:val="en-GB"/>
        </w:rPr>
        <w:t xml:space="preserve">1. </w:t>
      </w:r>
      <w:r w:rsidR="00600535" w:rsidRPr="00B57B36">
        <w:rPr>
          <w:lang w:val="en-GB"/>
        </w:rPr>
        <w:t>Introduction</w:t>
      </w:r>
    </w:p>
    <w:p w14:paraId="17AF1623" w14:textId="77777777" w:rsidR="0063689C" w:rsidRDefault="0063689C" w:rsidP="0063689C">
      <w:pPr>
        <w:pStyle w:val="CETBodytext"/>
      </w:pPr>
      <w:r>
        <w:t>In recent years, there has been an exponential growth in population generating the deterioration of ecosystems due to their need to improve the quality of life (He et al., 2021), causing an increase in environmental problems such as the greenhouse effect, noise pollution and temperature variation, among others (Zhao and Hu, 2017). The World Health Organization (WHO) recommends that for every inhabitant there should be between 9 and 11 square meters of green areas (Pauchard and Barbosa, 2013); however, in Latin America, not all countries comply with this recommendation, thus depriving the population of having environmental services.</w:t>
      </w:r>
    </w:p>
    <w:p w14:paraId="543E0C10" w14:textId="5BD84E01" w:rsidR="00AC726E" w:rsidRDefault="0063689C" w:rsidP="0063689C">
      <w:pPr>
        <w:pStyle w:val="CETBodytext"/>
      </w:pPr>
      <w:r>
        <w:t>The carbon footprint can be measured in multiple ways, one of the most accurate is by means of forest aboveground biomass (AGB) (Muukkonen and Heiskanen, 2007; Baccini et al., 2017). Aboveground biomass can be calculated by the direct method or the indirect method (Meza, 2015). The direct method consists of felling and selecting trees at different diameters, while the indirect method considers variables that can be measured more easily by leaf drying, diameter measurements, tree height, allometric equations, remote sensing and photogrammetry. The latter uses LIDAR (laser image detection and ranging) and UAV (unmanned aerial vehicles) images (Roik et al., 2020; Heinrich et al., 2021; Su et al., 2020).</w:t>
      </w:r>
    </w:p>
    <w:p w14:paraId="14356052" w14:textId="1A255D47" w:rsidR="0063689C" w:rsidRDefault="0063689C" w:rsidP="0063689C">
      <w:pPr>
        <w:pStyle w:val="CETBodytext"/>
      </w:pPr>
      <w:r w:rsidRPr="0063689C">
        <w:t>Quir</w:t>
      </w:r>
      <w:r w:rsidR="0087546B">
        <w:t>ós</w:t>
      </w:r>
      <w:r w:rsidRPr="0063689C">
        <w:t xml:space="preserve"> (2014) mentions that photogrammetry is the science that uses photographs that allow measurements to be taken in order to provide precision, dimension and position of an object in space, as well as to generate plans and maps. To achieve better results, photogrammetry has implemented </w:t>
      </w:r>
      <w:r w:rsidRPr="00076A22">
        <w:t>RPAs (Remotely Piloted Aircraft</w:t>
      </w:r>
      <w:r w:rsidR="00EC4463" w:rsidRPr="00076A22">
        <w:t xml:space="preserve"> System</w:t>
      </w:r>
      <w:r w:rsidRPr="00076A22">
        <w:t>)</w:t>
      </w:r>
      <w:r w:rsidRPr="0063689C">
        <w:t xml:space="preserve"> that provide detailed information through remotely managed controls, obtaining better panoramas of inaccessible and vulnerable areas (Sánchez et al., 2016; Jimenez and Mulero, 2019). In addition, this methodology reduces the environmental impacts caused by conventional methods used to calculate aerial biomass (Petris, Sarvia and Borgogno, 2020; Marcos et al., 2016).</w:t>
      </w:r>
    </w:p>
    <w:p w14:paraId="67ECE727" w14:textId="77777777" w:rsidR="0063689C" w:rsidRDefault="0063689C" w:rsidP="0063689C">
      <w:pPr>
        <w:pStyle w:val="CETBodytext"/>
      </w:pPr>
      <w:bookmarkStart w:id="1" w:name="_Hlk98946728"/>
      <w:r>
        <w:lastRenderedPageBreak/>
        <w:t xml:space="preserve">The determination of tree aboveground biomass is a preliminary step to perform the calculation of carbon sequestration (carbon sequestration capacity of trees) because trees are a large carbon reservoir in cities and have an air-purifying function, improving the climate and ecological environment (Zhao and Hu, 2017). Aboveground biomass (AGB) is the amount of organic matter located above the ground that includes leaves, branches, trunk and bark (FAO, 2010). There are studies estimating aboveground biomass using UAV images to compare their results with other methods and equipment in the field that were competitive in reaffirming their accuracy and effectiveness (Bendig et al., 2014). </w:t>
      </w:r>
    </w:p>
    <w:p w14:paraId="7B2E7C4A" w14:textId="066CB570" w:rsidR="0063689C" w:rsidRDefault="0063689C" w:rsidP="0063689C">
      <w:pPr>
        <w:pStyle w:val="CETBodytext"/>
      </w:pPr>
      <w:r>
        <w:t>Therefore, this research determined the aerial biomass and estimated carbon sequestration in trees in the parks of Los Olivos district in Lima - Peru, using photogrammetry with RPAs. This was done in order to improve the management of urban trees and consequently improve the quality of life of the population.</w:t>
      </w:r>
    </w:p>
    <w:bookmarkEnd w:id="1"/>
    <w:p w14:paraId="6D526EAA" w14:textId="34341936" w:rsidR="00AC756E" w:rsidRPr="00B57B36" w:rsidRDefault="00C14646" w:rsidP="00AC756E">
      <w:pPr>
        <w:pStyle w:val="CETHeading1"/>
        <w:rPr>
          <w:lang w:val="en-GB"/>
        </w:rPr>
      </w:pPr>
      <w:r>
        <w:rPr>
          <w:lang w:val="en-GB"/>
        </w:rPr>
        <w:t xml:space="preserve">2. </w:t>
      </w:r>
      <w:r w:rsidR="00AC756E">
        <w:rPr>
          <w:lang w:val="en-GB"/>
        </w:rPr>
        <w:t>Materials and m</w:t>
      </w:r>
      <w:r w:rsidR="00AC756E" w:rsidRPr="00AC756E">
        <w:rPr>
          <w:lang w:val="en-GB"/>
        </w:rPr>
        <w:t>ethods</w:t>
      </w:r>
    </w:p>
    <w:p w14:paraId="036DAF1A" w14:textId="35D3E796" w:rsidR="0099418D" w:rsidRPr="00C14646" w:rsidRDefault="0099418D" w:rsidP="00C14646">
      <w:pPr>
        <w:pStyle w:val="CETheadingx"/>
        <w:rPr>
          <w:iCs/>
          <w:lang w:val="en-GB"/>
        </w:rPr>
      </w:pPr>
      <w:r w:rsidRPr="00C14646">
        <w:rPr>
          <w:iCs/>
          <w:lang w:val="en-GB"/>
        </w:rPr>
        <w:t xml:space="preserve">2.1 </w:t>
      </w:r>
      <w:r w:rsidR="004C0883" w:rsidRPr="004C0883">
        <w:rPr>
          <w:iCs/>
          <w:lang w:val="en-GB"/>
        </w:rPr>
        <w:t>Study area</w:t>
      </w:r>
    </w:p>
    <w:p w14:paraId="09546196" w14:textId="216BA0DF" w:rsidR="0099418D" w:rsidRPr="00B07A08" w:rsidRDefault="00F338A7" w:rsidP="0099418D">
      <w:pPr>
        <w:pStyle w:val="CETBodytext"/>
      </w:pPr>
      <w:r w:rsidRPr="00F338A7">
        <w:t>The study area consisted of five urban parks located in the district of Los Olivos in Lima, Peru (Figure 1). These parks include Antonio Raimondi, Solidaridad, Cristo Rey, Juan Pablo II and Santa Rosa, which are intended for recreational use by the population.</w:t>
      </w:r>
    </w:p>
    <w:p w14:paraId="7C8FB34D" w14:textId="13101447" w:rsidR="00F338A7" w:rsidRDefault="00F338A7" w:rsidP="00F338A7">
      <w:pPr>
        <w:pStyle w:val="CETCaption"/>
        <w:spacing w:before="0" w:after="0"/>
        <w:rPr>
          <w:rStyle w:val="CETCaptionCarattere"/>
          <w:i/>
        </w:rPr>
      </w:pPr>
      <w:r>
        <w:rPr>
          <w:noProof/>
          <w:color w:val="000000"/>
          <w:sz w:val="22"/>
          <w:szCs w:val="22"/>
          <w:lang w:val="es-PE" w:eastAsia="es-PE"/>
        </w:rPr>
        <w:drawing>
          <wp:inline distT="0" distB="0" distL="0" distR="0" wp14:anchorId="6AE6A0D0" wp14:editId="2A118FF5">
            <wp:extent cx="4015740" cy="3200400"/>
            <wp:effectExtent l="0" t="0" r="3810" b="0"/>
            <wp:docPr id="1"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Map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15740" cy="3200400"/>
                    </a:xfrm>
                    <a:prstGeom prst="rect">
                      <a:avLst/>
                    </a:prstGeom>
                  </pic:spPr>
                </pic:pic>
              </a:graphicData>
            </a:graphic>
          </wp:inline>
        </w:drawing>
      </w:r>
    </w:p>
    <w:p w14:paraId="3DB2F7BC" w14:textId="315A9EED" w:rsidR="00F338A7" w:rsidRDefault="00F338A7" w:rsidP="00F338A7">
      <w:pPr>
        <w:pStyle w:val="CETCaption"/>
        <w:spacing w:before="0"/>
        <w:rPr>
          <w:rStyle w:val="CETCaptionCarattere"/>
          <w:i/>
        </w:rPr>
      </w:pPr>
      <w:r w:rsidRPr="00A14554">
        <w:rPr>
          <w:rStyle w:val="CETCaptionCarattere"/>
          <w:i/>
        </w:rPr>
        <w:t xml:space="preserve">Figure 1: </w:t>
      </w:r>
      <w:r w:rsidRPr="00F338A7">
        <w:rPr>
          <w:rStyle w:val="CETCaptionCarattere"/>
          <w:i/>
        </w:rPr>
        <w:t>Map of the study area</w:t>
      </w:r>
    </w:p>
    <w:p w14:paraId="2435619B" w14:textId="6C7292F1" w:rsidR="0099418D" w:rsidRPr="00C14646" w:rsidRDefault="0099418D" w:rsidP="00C14646">
      <w:pPr>
        <w:pStyle w:val="CETheadingx"/>
        <w:rPr>
          <w:iCs/>
          <w:lang w:val="en-GB"/>
        </w:rPr>
      </w:pPr>
      <w:bookmarkStart w:id="2" w:name="_Hlk98946786"/>
      <w:r w:rsidRPr="00C14646">
        <w:rPr>
          <w:iCs/>
          <w:lang w:val="en-GB"/>
        </w:rPr>
        <w:t xml:space="preserve">2.2 </w:t>
      </w:r>
      <w:r w:rsidR="00F338A7" w:rsidRPr="00F338A7">
        <w:rPr>
          <w:iCs/>
          <w:lang w:val="en-GB"/>
        </w:rPr>
        <w:t>Field stage</w:t>
      </w:r>
    </w:p>
    <w:p w14:paraId="63DBD455" w14:textId="01F87EA6" w:rsidR="0099418D" w:rsidRPr="00B07A08" w:rsidRDefault="00F338A7" w:rsidP="00AC756E">
      <w:pPr>
        <w:pStyle w:val="CETBodytext"/>
      </w:pPr>
      <w:r w:rsidRPr="00F338A7">
        <w:t>Five control points were established in each park, which were marked at the ends and center with enamel paint. The marks were approximately 1m x 1m long, and the RTK (Real Time Kinematic) method was used to georeference the points with Rolavi GPS equipment and the SW MAPS application. In addition, the base point for georeferencing is certified by the National Geographic Institute (IGN). On the other hand, to perform the flight with the RPAs, parameters such as area, time, height, ground sample distance (GSD), overlap photogram and camera angle were considered.</w:t>
      </w:r>
    </w:p>
    <w:p w14:paraId="320E3FF0" w14:textId="3BE08437" w:rsidR="00AB6233" w:rsidRPr="00C14646" w:rsidRDefault="00C14646" w:rsidP="00C14646">
      <w:pPr>
        <w:pStyle w:val="CETheadingx"/>
        <w:rPr>
          <w:iCs/>
          <w:lang w:val="en-GB"/>
        </w:rPr>
      </w:pPr>
      <w:r>
        <w:rPr>
          <w:iCs/>
          <w:lang w:val="en-GB"/>
        </w:rPr>
        <w:t>2.3</w:t>
      </w:r>
      <w:r w:rsidR="00AB6233" w:rsidRPr="00C14646">
        <w:rPr>
          <w:iCs/>
          <w:lang w:val="en-GB"/>
        </w:rPr>
        <w:t xml:space="preserve"> </w:t>
      </w:r>
      <w:r w:rsidR="00B57926" w:rsidRPr="00B57926">
        <w:rPr>
          <w:iCs/>
          <w:lang w:val="en-GB"/>
        </w:rPr>
        <w:t>Cabinet stage</w:t>
      </w:r>
    </w:p>
    <w:p w14:paraId="1E60FEDC" w14:textId="77777777" w:rsidR="00B57926" w:rsidRDefault="00B57926" w:rsidP="00B57926">
      <w:pPr>
        <w:pStyle w:val="CETBodytext"/>
      </w:pPr>
      <w:r>
        <w:t>The data obtained from the control points were exported in shapefile format and then processed in ArcGis software to obtain the UTM coordinates for georeferencing each park.</w:t>
      </w:r>
    </w:p>
    <w:p w14:paraId="301F1591" w14:textId="3A7D7F52" w:rsidR="00AB6233" w:rsidRPr="00B07A08" w:rsidRDefault="00B57926" w:rsidP="00B57926">
      <w:pPr>
        <w:pStyle w:val="CETBodytext"/>
      </w:pPr>
      <w:r>
        <w:t>The images obtained during the flight were processed in Agisoft Metashape software, which generated a point cloud. This point cloud with X, Y, and Z coordinates were georeferenced and adjusted millimetrically with the coordinates obtained by the RTK method.</w:t>
      </w:r>
    </w:p>
    <w:p w14:paraId="337D5DBD" w14:textId="13A9353B" w:rsidR="004C0883" w:rsidRPr="00C14646" w:rsidRDefault="004C0883" w:rsidP="004C0883">
      <w:pPr>
        <w:pStyle w:val="CETheadingx"/>
        <w:rPr>
          <w:iCs/>
          <w:lang w:val="en-GB"/>
        </w:rPr>
      </w:pPr>
      <w:r>
        <w:rPr>
          <w:iCs/>
          <w:lang w:val="en-GB"/>
        </w:rPr>
        <w:lastRenderedPageBreak/>
        <w:t>2.4</w:t>
      </w:r>
      <w:r w:rsidRPr="00C14646">
        <w:rPr>
          <w:iCs/>
          <w:lang w:val="en-GB"/>
        </w:rPr>
        <w:t xml:space="preserve"> </w:t>
      </w:r>
      <w:r w:rsidR="00B57926" w:rsidRPr="00B57926">
        <w:rPr>
          <w:iCs/>
          <w:lang w:val="en-GB"/>
        </w:rPr>
        <w:t>Calculation of aboveground biomass and carbon estimation</w:t>
      </w:r>
    </w:p>
    <w:p w14:paraId="6B81DAD3" w14:textId="65166997" w:rsidR="004C0883" w:rsidRDefault="00B57926" w:rsidP="004C0883">
      <w:pPr>
        <w:pStyle w:val="CETBodytext"/>
      </w:pPr>
      <w:r w:rsidRPr="00B57926">
        <w:t xml:space="preserve">To calculate the aerial biomass, the data were processed in Excel considering the height of each tree (greater than 2.5m) to determine its diameter of breast height (DBH). Equation 1 established by Isibue </w:t>
      </w:r>
      <w:r w:rsidRPr="00076A22">
        <w:t>and Pinge</w:t>
      </w:r>
      <w:r w:rsidR="0014216F" w:rsidRPr="00076A22">
        <w:t>l</w:t>
      </w:r>
      <w:r w:rsidRPr="00B57926">
        <w:t xml:space="preserve"> (2020) was used to determine DBH. Meanwhile, for the calculation of biomass in trees, Equation 2 was used, which is applied for the Coast and Highlands regions established by the </w:t>
      </w:r>
      <w:r w:rsidRPr="00A6755B">
        <w:t>Peruvian Ministry of Environment (MINAM, 2019).</w:t>
      </w:r>
    </w:p>
    <w:bookmarkEnd w:id="2"/>
    <w:p w14:paraId="01A0DC46" w14:textId="77777777" w:rsidR="00F610B7" w:rsidRPr="007B76BD" w:rsidRDefault="00F610B7" w:rsidP="004C0883">
      <w:pPr>
        <w:pStyle w:val="CETBodytext"/>
        <w:rPr>
          <w:rFonts w:cs="Arial"/>
        </w:rPr>
      </w:pPr>
    </w:p>
    <w:p w14:paraId="2AAE5971" w14:textId="77777777" w:rsidR="00F610B7" w:rsidRPr="007B76BD" w:rsidRDefault="00F610B7" w:rsidP="00F610B7">
      <w:pPr>
        <w:rPr>
          <w:rFonts w:cs="Arial"/>
          <w:lang w:val="en-US"/>
        </w:rPr>
      </w:pPr>
      <m:oMath>
        <m:r>
          <w:rPr>
            <w:rFonts w:ascii="Cambria Math" w:eastAsia="Cambria Math" w:hAnsi="Cambria Math" w:cs="Arial"/>
          </w:rPr>
          <m:t>BH</m:t>
        </m:r>
        <m:r>
          <w:rPr>
            <w:rFonts w:ascii="Cambria Math" w:eastAsia="Cambria Math" w:hAnsi="Cambria Math" w:cs="Arial"/>
            <w:lang w:val="en-US"/>
          </w:rPr>
          <m:t xml:space="preserve"> =</m:t>
        </m:r>
        <m:d>
          <m:dPr>
            <m:ctrlPr>
              <w:rPr>
                <w:rFonts w:ascii="Cambria Math" w:eastAsia="Cambria Math" w:hAnsi="Cambria Math" w:cs="Arial"/>
              </w:rPr>
            </m:ctrlPr>
          </m:dPr>
          <m:e>
            <m:r>
              <w:rPr>
                <w:rFonts w:ascii="Cambria Math" w:eastAsia="Cambria Math" w:hAnsi="Cambria Math" w:cs="Arial"/>
                <w:lang w:val="en-US"/>
              </w:rPr>
              <m:t>0.0128×</m:t>
            </m:r>
            <m:sSup>
              <m:sSupPr>
                <m:ctrlPr>
                  <w:rPr>
                    <w:rFonts w:ascii="Cambria Math" w:eastAsia="Cambria Math" w:hAnsi="Cambria Math" w:cs="Arial"/>
                  </w:rPr>
                </m:ctrlPr>
              </m:sSupPr>
              <m:e>
                <m:r>
                  <w:rPr>
                    <w:rFonts w:ascii="Cambria Math" w:eastAsia="Cambria Math" w:hAnsi="Cambria Math" w:cs="Arial"/>
                  </w:rPr>
                  <m:t>Heigt</m:t>
                </m:r>
                <m:r>
                  <w:rPr>
                    <w:rFonts w:ascii="Cambria Math" w:eastAsia="Cambria Math" w:hAnsi="Cambria Math" w:cs="Arial"/>
                    <w:lang w:val="en-US"/>
                  </w:rPr>
                  <m:t>h</m:t>
                </m:r>
              </m:e>
              <m:sup>
                <m:r>
                  <w:rPr>
                    <w:rFonts w:ascii="Cambria Math" w:eastAsia="Cambria Math" w:hAnsi="Cambria Math" w:cs="Arial"/>
                    <w:lang w:val="en-US"/>
                  </w:rPr>
                  <m:t>1.3797</m:t>
                </m:r>
              </m:sup>
            </m:sSup>
          </m:e>
        </m:d>
      </m:oMath>
      <w:r w:rsidRPr="007B76BD">
        <w:rPr>
          <w:rFonts w:eastAsia="Cambria Math" w:cs="Arial"/>
          <w:lang w:val="en-US"/>
        </w:rPr>
        <w:t xml:space="preserve">                                                                                                                                                             </w:t>
      </w:r>
      <w:r w:rsidRPr="007B76BD">
        <w:rPr>
          <w:rFonts w:cs="Arial"/>
          <w:lang w:val="en-US"/>
        </w:rPr>
        <w:t>(1)</w:t>
      </w:r>
    </w:p>
    <w:p w14:paraId="797DCB70" w14:textId="7139236D" w:rsidR="00B57926" w:rsidRPr="007B76BD" w:rsidRDefault="00F610B7" w:rsidP="00F610B7">
      <w:pPr>
        <w:rPr>
          <w:rFonts w:cs="Arial"/>
        </w:rPr>
      </w:pPr>
      <m:oMath>
        <m:r>
          <w:rPr>
            <w:rFonts w:ascii="Cambria Math" w:hAnsi="Cambria Math" w:cs="Arial"/>
          </w:rPr>
          <m:t>AGB</m:t>
        </m:r>
        <m:r>
          <w:rPr>
            <w:rFonts w:ascii="Cambria Math" w:hAnsi="Cambria Math" w:cs="Arial"/>
            <w:lang w:val="en-US"/>
          </w:rPr>
          <m:t xml:space="preserve"> =</m:t>
        </m:r>
        <m:r>
          <w:rPr>
            <w:rFonts w:ascii="Cambria Math" w:eastAsia="Cambria Math" w:hAnsi="Cambria Math" w:cs="Arial"/>
            <w:lang w:val="en-US"/>
          </w:rPr>
          <m:t>0,112 ×</m:t>
        </m:r>
        <m:sSup>
          <m:sSupPr>
            <m:ctrlPr>
              <w:rPr>
                <w:rFonts w:ascii="Cambria Math" w:eastAsia="Cambria Math" w:hAnsi="Cambria Math" w:cs="Arial"/>
              </w:rPr>
            </m:ctrlPr>
          </m:sSupPr>
          <m:e>
            <m:d>
              <m:dPr>
                <m:ctrlPr>
                  <w:rPr>
                    <w:rFonts w:ascii="Cambria Math" w:eastAsia="Cambria Math" w:hAnsi="Cambria Math" w:cs="Arial"/>
                  </w:rPr>
                </m:ctrlPr>
              </m:dPr>
              <m:e>
                <m:r>
                  <w:rPr>
                    <w:rFonts w:ascii="Cambria Math" w:eastAsia="Cambria Math" w:hAnsi="Cambria Math" w:cs="Arial"/>
                  </w:rPr>
                  <m:t>ρ</m:t>
                </m:r>
                <m:r>
                  <w:rPr>
                    <w:rFonts w:ascii="Cambria Math" w:eastAsia="Cambria Math" w:hAnsi="Cambria Math" w:cs="Arial"/>
                    <w:lang w:val="en-US"/>
                  </w:rPr>
                  <m:t>×</m:t>
                </m:r>
                <m:sSup>
                  <m:sSupPr>
                    <m:ctrlPr>
                      <w:rPr>
                        <w:rFonts w:ascii="Cambria Math" w:eastAsia="Cambria Math" w:hAnsi="Cambria Math" w:cs="Arial"/>
                      </w:rPr>
                    </m:ctrlPr>
                  </m:sSupPr>
                  <m:e>
                    <m:r>
                      <w:rPr>
                        <w:rFonts w:ascii="Cambria Math" w:eastAsia="Cambria Math" w:hAnsi="Cambria Math" w:cs="Arial"/>
                      </w:rPr>
                      <m:t>dap</m:t>
                    </m:r>
                  </m:e>
                  <m:sup>
                    <m:r>
                      <w:rPr>
                        <w:rFonts w:ascii="Cambria Math" w:eastAsia="Cambria Math" w:hAnsi="Cambria Math" w:cs="Arial"/>
                        <w:lang w:val="en-US"/>
                      </w:rPr>
                      <m:t>2</m:t>
                    </m:r>
                  </m:sup>
                </m:sSup>
                <m:r>
                  <w:rPr>
                    <w:rFonts w:ascii="Cambria Math" w:eastAsia="Cambria Math" w:hAnsi="Cambria Math" w:cs="Arial"/>
                    <w:lang w:val="en-US"/>
                  </w:rPr>
                  <m:t>×h</m:t>
                </m:r>
                <m:r>
                  <w:rPr>
                    <w:rFonts w:ascii="Cambria Math" w:eastAsia="Cambria Math" w:hAnsi="Cambria Math" w:cs="Arial"/>
                  </w:rPr>
                  <m:t>t</m:t>
                </m:r>
              </m:e>
            </m:d>
          </m:e>
          <m:sup>
            <m:r>
              <w:rPr>
                <w:rFonts w:ascii="Cambria Math" w:eastAsia="Cambria Math" w:hAnsi="Cambria Math" w:cs="Arial"/>
                <w:lang w:val="en-US"/>
              </w:rPr>
              <m:t>0.916</m:t>
            </m:r>
          </m:sup>
        </m:sSup>
      </m:oMath>
      <w:r w:rsidRPr="007B76BD">
        <w:rPr>
          <w:rFonts w:cs="Arial"/>
        </w:rPr>
        <w:t xml:space="preserve">                                                                                                                   (2)</w:t>
      </w:r>
    </w:p>
    <w:p w14:paraId="6EBDAE05" w14:textId="77777777" w:rsidR="00F610B7" w:rsidRDefault="00F610B7" w:rsidP="00F610B7">
      <w:pPr>
        <w:rPr>
          <w:lang w:val="en-US"/>
        </w:rPr>
      </w:pPr>
    </w:p>
    <w:p w14:paraId="38110622" w14:textId="132F2B72" w:rsidR="00F610B7" w:rsidRDefault="00F610B7" w:rsidP="00F610B7">
      <w:pPr>
        <w:rPr>
          <w:lang w:val="en-US"/>
        </w:rPr>
      </w:pPr>
      <w:r w:rsidRPr="00F610B7">
        <w:rPr>
          <w:lang w:val="en-US"/>
        </w:rPr>
        <w:t>With the results obtained from the AGB, carbon sequestration was calculated using Equation 3, which consists of multiplying the constant "0.47" established by the Peruvian Ministry of the Environment.</w:t>
      </w:r>
    </w:p>
    <w:p w14:paraId="13A268DE" w14:textId="77777777" w:rsidR="00F610B7" w:rsidRDefault="00F610B7" w:rsidP="00F610B7">
      <w:pPr>
        <w:rPr>
          <w:lang w:val="en-US"/>
        </w:rPr>
      </w:pPr>
    </w:p>
    <w:p w14:paraId="48BC0675" w14:textId="5FBC7CED" w:rsidR="00F610B7" w:rsidRPr="00F610B7" w:rsidRDefault="00F610B7" w:rsidP="00F610B7">
      <w:pPr>
        <w:rPr>
          <w:lang w:val="en-US"/>
        </w:rPr>
      </w:pPr>
      <m:oMath>
        <m:r>
          <w:rPr>
            <w:rFonts w:ascii="Cambria Math" w:eastAsia="Cambria Math" w:hAnsi="Cambria Math" w:cs="Cambria Math"/>
          </w:rPr>
          <m:t>C</m:t>
        </m:r>
        <m:r>
          <w:rPr>
            <w:rFonts w:ascii="Cambria Math" w:eastAsia="Cambria Math" w:hAnsi="Cambria Math" w:cs="Cambria Math"/>
            <w:lang w:val="en-US"/>
          </w:rPr>
          <m:t xml:space="preserve"> =</m:t>
        </m:r>
        <m:d>
          <m:dPr>
            <m:ctrlPr>
              <w:rPr>
                <w:rFonts w:ascii="Cambria Math" w:eastAsia="Cambria Math" w:hAnsi="Cambria Math" w:cs="Cambria Math"/>
              </w:rPr>
            </m:ctrlPr>
          </m:dPr>
          <m:e>
            <m:r>
              <w:rPr>
                <w:rFonts w:ascii="Cambria Math" w:eastAsia="Cambria Math" w:hAnsi="Cambria Math" w:cs="Cambria Math"/>
              </w:rPr>
              <m:t>AGB</m:t>
            </m:r>
            <m:r>
              <w:rPr>
                <w:rFonts w:ascii="Cambria Math" w:eastAsia="Cambria Math" w:hAnsi="Cambria Math" w:cs="Cambria Math"/>
                <w:lang w:val="en-US"/>
              </w:rPr>
              <m:t xml:space="preserve"> ×0.47</m:t>
            </m:r>
          </m:e>
        </m:d>
      </m:oMath>
      <w:r>
        <w:t xml:space="preserve">                                                                                                                                               (3)</w:t>
      </w:r>
    </w:p>
    <w:p w14:paraId="38DCBA19" w14:textId="39244C20" w:rsidR="00D8620B" w:rsidRPr="00C14646" w:rsidRDefault="00C14646" w:rsidP="00C14646">
      <w:pPr>
        <w:pStyle w:val="CETHeading1"/>
        <w:rPr>
          <w:lang w:val="en-GB"/>
        </w:rPr>
      </w:pPr>
      <w:r>
        <w:rPr>
          <w:lang w:val="en-GB"/>
        </w:rPr>
        <w:t xml:space="preserve">3. </w:t>
      </w:r>
      <w:r w:rsidR="0025375A" w:rsidRPr="00C14646">
        <w:rPr>
          <w:lang w:val="en-GB"/>
        </w:rPr>
        <w:t xml:space="preserve">Results </w:t>
      </w:r>
      <w:r w:rsidR="00B07A08" w:rsidRPr="00C14646">
        <w:rPr>
          <w:lang w:val="en-GB"/>
        </w:rPr>
        <w:t xml:space="preserve">and </w:t>
      </w:r>
      <w:r w:rsidR="007B34D1" w:rsidRPr="00C14646">
        <w:rPr>
          <w:lang w:val="en-GB"/>
        </w:rPr>
        <w:t>discussion</w:t>
      </w:r>
    </w:p>
    <w:p w14:paraId="335AD439" w14:textId="199B2DE7" w:rsidR="00D8620B" w:rsidRPr="00511A7A" w:rsidRDefault="00C14646" w:rsidP="00C14646">
      <w:pPr>
        <w:pStyle w:val="CETheadingx"/>
        <w:rPr>
          <w:b w:val="0"/>
        </w:rPr>
      </w:pPr>
      <w:r w:rsidRPr="00C14646">
        <w:rPr>
          <w:iCs/>
          <w:lang w:val="en-GB"/>
        </w:rPr>
        <w:t>3.1</w:t>
      </w:r>
      <w:r w:rsidR="00D8620B" w:rsidRPr="00C14646">
        <w:rPr>
          <w:iCs/>
          <w:lang w:val="en-GB"/>
        </w:rPr>
        <w:t xml:space="preserve"> </w:t>
      </w:r>
      <w:r w:rsidR="00D639BF" w:rsidRPr="00D639BF">
        <w:rPr>
          <w:iCs/>
          <w:lang w:val="en-GB"/>
        </w:rPr>
        <w:t>Flight plan</w:t>
      </w:r>
    </w:p>
    <w:p w14:paraId="645598A6" w14:textId="33B81938" w:rsidR="00942127" w:rsidRDefault="00D639BF" w:rsidP="00A14554">
      <w:pPr>
        <w:pStyle w:val="CETBodytext"/>
      </w:pPr>
      <w:r w:rsidRPr="00D639BF">
        <w:t>Table 1 shows the parameters established in the flight plan for each urban park studied, considering also camera angle (90º) and overlap photogram (70% and 80%).</w:t>
      </w:r>
    </w:p>
    <w:p w14:paraId="38667FEA" w14:textId="607CCEE8" w:rsidR="00A14554" w:rsidRPr="00A14554" w:rsidRDefault="00A14554" w:rsidP="00A14554">
      <w:pPr>
        <w:pStyle w:val="CETTabletitle"/>
        <w:rPr>
          <w:lang w:val="en-US"/>
        </w:rPr>
      </w:pPr>
      <w:r w:rsidRPr="00A14554">
        <w:rPr>
          <w:lang w:val="en-US"/>
        </w:rPr>
        <w:t xml:space="preserve">Table 1: </w:t>
      </w:r>
      <w:r w:rsidR="00D639BF" w:rsidRPr="00D639BF">
        <w:rPr>
          <w:iCs/>
        </w:rPr>
        <w:t>Flight plan</w:t>
      </w:r>
    </w:p>
    <w:tbl>
      <w:tblPr>
        <w:tblW w:w="8565" w:type="dxa"/>
        <w:tblBorders>
          <w:top w:val="nil"/>
          <w:left w:val="nil"/>
          <w:bottom w:val="nil"/>
          <w:right w:val="nil"/>
          <w:insideH w:val="nil"/>
          <w:insideV w:val="nil"/>
        </w:tblBorders>
        <w:tblLayout w:type="fixed"/>
        <w:tblLook w:val="0600" w:firstRow="0" w:lastRow="0" w:firstColumn="0" w:lastColumn="0" w:noHBand="1" w:noVBand="1"/>
      </w:tblPr>
      <w:tblGrid>
        <w:gridCol w:w="1530"/>
        <w:gridCol w:w="1440"/>
        <w:gridCol w:w="1275"/>
        <w:gridCol w:w="1395"/>
        <w:gridCol w:w="1275"/>
        <w:gridCol w:w="1650"/>
      </w:tblGrid>
      <w:tr w:rsidR="00D639BF" w14:paraId="7F7B01F4" w14:textId="77777777" w:rsidTr="007B76BD">
        <w:trPr>
          <w:trHeight w:val="668"/>
        </w:trPr>
        <w:tc>
          <w:tcPr>
            <w:tcW w:w="1530" w:type="dxa"/>
            <w:tcBorders>
              <w:top w:val="single" w:sz="12" w:space="0" w:color="008000"/>
              <w:left w:val="nil"/>
              <w:bottom w:val="single" w:sz="8" w:space="0" w:color="000000"/>
              <w:right w:val="nil"/>
            </w:tcBorders>
            <w:tcMar>
              <w:top w:w="100" w:type="dxa"/>
              <w:left w:w="100" w:type="dxa"/>
              <w:bottom w:w="100" w:type="dxa"/>
              <w:right w:w="100" w:type="dxa"/>
            </w:tcMar>
            <w:vAlign w:val="center"/>
          </w:tcPr>
          <w:p w14:paraId="7E952969" w14:textId="77777777" w:rsidR="00D639BF" w:rsidRDefault="00D639BF" w:rsidP="00771DCD">
            <w:pPr>
              <w:spacing w:line="360" w:lineRule="auto"/>
              <w:jc w:val="center"/>
              <w:rPr>
                <w:b/>
              </w:rPr>
            </w:pPr>
            <w:r>
              <w:rPr>
                <w:b/>
              </w:rPr>
              <w:t>Park name</w:t>
            </w:r>
          </w:p>
        </w:tc>
        <w:tc>
          <w:tcPr>
            <w:tcW w:w="1440" w:type="dxa"/>
            <w:tcBorders>
              <w:top w:val="single" w:sz="12" w:space="0" w:color="008000"/>
              <w:left w:val="nil"/>
              <w:bottom w:val="single" w:sz="8" w:space="0" w:color="000000"/>
              <w:right w:val="nil"/>
            </w:tcBorders>
            <w:tcMar>
              <w:top w:w="100" w:type="dxa"/>
              <w:left w:w="100" w:type="dxa"/>
              <w:bottom w:w="100" w:type="dxa"/>
              <w:right w:w="100" w:type="dxa"/>
            </w:tcMar>
            <w:vAlign w:val="center"/>
          </w:tcPr>
          <w:p w14:paraId="3B62A133" w14:textId="77777777" w:rsidR="00D639BF" w:rsidRDefault="00D639BF" w:rsidP="00771DCD">
            <w:pPr>
              <w:spacing w:line="276" w:lineRule="auto"/>
              <w:ind w:left="200"/>
              <w:jc w:val="center"/>
              <w:rPr>
                <w:b/>
              </w:rPr>
            </w:pPr>
            <w:r>
              <w:rPr>
                <w:b/>
              </w:rPr>
              <w:t>overflown area (m</w:t>
            </w:r>
            <w:r>
              <w:rPr>
                <w:b/>
                <w:vertAlign w:val="superscript"/>
              </w:rPr>
              <w:t>2</w:t>
            </w:r>
            <w:r>
              <w:rPr>
                <w:b/>
              </w:rPr>
              <w:t>)</w:t>
            </w:r>
          </w:p>
        </w:tc>
        <w:tc>
          <w:tcPr>
            <w:tcW w:w="1275" w:type="dxa"/>
            <w:tcBorders>
              <w:top w:val="single" w:sz="12" w:space="0" w:color="008000"/>
              <w:left w:val="nil"/>
              <w:bottom w:val="single" w:sz="8" w:space="0" w:color="000000"/>
              <w:right w:val="nil"/>
            </w:tcBorders>
            <w:tcMar>
              <w:top w:w="100" w:type="dxa"/>
              <w:left w:w="100" w:type="dxa"/>
              <w:bottom w:w="100" w:type="dxa"/>
              <w:right w:w="100" w:type="dxa"/>
            </w:tcMar>
            <w:vAlign w:val="center"/>
          </w:tcPr>
          <w:p w14:paraId="51CEE556" w14:textId="77777777" w:rsidR="00D639BF" w:rsidRDefault="00D639BF" w:rsidP="00771DCD">
            <w:pPr>
              <w:spacing w:line="276" w:lineRule="auto"/>
              <w:ind w:left="200"/>
              <w:jc w:val="center"/>
              <w:rPr>
                <w:b/>
              </w:rPr>
            </w:pPr>
            <w:r>
              <w:rPr>
                <w:b/>
              </w:rPr>
              <w:t>Flight height (m)</w:t>
            </w:r>
          </w:p>
        </w:tc>
        <w:tc>
          <w:tcPr>
            <w:tcW w:w="1395" w:type="dxa"/>
            <w:tcBorders>
              <w:top w:val="single" w:sz="12" w:space="0" w:color="008000"/>
              <w:left w:val="nil"/>
              <w:bottom w:val="single" w:sz="8" w:space="0" w:color="000000"/>
              <w:right w:val="nil"/>
            </w:tcBorders>
            <w:tcMar>
              <w:top w:w="100" w:type="dxa"/>
              <w:left w:w="100" w:type="dxa"/>
              <w:bottom w:w="100" w:type="dxa"/>
              <w:right w:w="100" w:type="dxa"/>
            </w:tcMar>
            <w:vAlign w:val="center"/>
          </w:tcPr>
          <w:p w14:paraId="0940FCD9" w14:textId="77777777" w:rsidR="00D639BF" w:rsidRDefault="00D639BF" w:rsidP="00771DCD">
            <w:pPr>
              <w:spacing w:line="276" w:lineRule="auto"/>
              <w:ind w:left="200"/>
              <w:jc w:val="center"/>
              <w:rPr>
                <w:b/>
              </w:rPr>
            </w:pPr>
            <w:r>
              <w:rPr>
                <w:b/>
              </w:rPr>
              <w:t>Flight time (min)</w:t>
            </w:r>
          </w:p>
        </w:tc>
        <w:tc>
          <w:tcPr>
            <w:tcW w:w="1275" w:type="dxa"/>
            <w:tcBorders>
              <w:top w:val="single" w:sz="12" w:space="0" w:color="008000"/>
              <w:left w:val="nil"/>
              <w:bottom w:val="single" w:sz="8" w:space="0" w:color="000000"/>
              <w:right w:val="nil"/>
            </w:tcBorders>
            <w:tcMar>
              <w:top w:w="100" w:type="dxa"/>
              <w:left w:w="100" w:type="dxa"/>
              <w:bottom w:w="100" w:type="dxa"/>
              <w:right w:w="100" w:type="dxa"/>
            </w:tcMar>
            <w:vAlign w:val="center"/>
          </w:tcPr>
          <w:p w14:paraId="1D30B3D3" w14:textId="77777777" w:rsidR="00D639BF" w:rsidRDefault="00D639BF" w:rsidP="00771DCD">
            <w:pPr>
              <w:spacing w:line="276" w:lineRule="auto"/>
              <w:ind w:left="200"/>
              <w:jc w:val="center"/>
              <w:rPr>
                <w:b/>
              </w:rPr>
            </w:pPr>
            <w:r>
              <w:rPr>
                <w:b/>
              </w:rPr>
              <w:t>GSD (cm/px)</w:t>
            </w:r>
          </w:p>
        </w:tc>
        <w:tc>
          <w:tcPr>
            <w:tcW w:w="1650" w:type="dxa"/>
            <w:tcBorders>
              <w:top w:val="single" w:sz="12" w:space="0" w:color="008000"/>
              <w:left w:val="nil"/>
              <w:bottom w:val="single" w:sz="8" w:space="0" w:color="000000"/>
              <w:right w:val="nil"/>
            </w:tcBorders>
            <w:tcMar>
              <w:top w:w="100" w:type="dxa"/>
              <w:left w:w="100" w:type="dxa"/>
              <w:bottom w:w="100" w:type="dxa"/>
              <w:right w:w="100" w:type="dxa"/>
            </w:tcMar>
            <w:vAlign w:val="center"/>
          </w:tcPr>
          <w:p w14:paraId="706F78D2" w14:textId="77777777" w:rsidR="00D639BF" w:rsidRDefault="00D639BF" w:rsidP="00771DCD">
            <w:pPr>
              <w:spacing w:line="276" w:lineRule="auto"/>
              <w:ind w:left="200"/>
              <w:jc w:val="center"/>
              <w:rPr>
                <w:b/>
              </w:rPr>
            </w:pPr>
            <w:r>
              <w:rPr>
                <w:b/>
              </w:rPr>
              <w:t>Frame count (u)</w:t>
            </w:r>
          </w:p>
        </w:tc>
      </w:tr>
      <w:tr w:rsidR="00D639BF" w14:paraId="17B961B9" w14:textId="77777777" w:rsidTr="007B76BD">
        <w:trPr>
          <w:trHeight w:val="502"/>
        </w:trPr>
        <w:tc>
          <w:tcPr>
            <w:tcW w:w="1530" w:type="dxa"/>
            <w:tcBorders>
              <w:top w:val="nil"/>
              <w:left w:val="nil"/>
              <w:bottom w:val="nil"/>
              <w:right w:val="nil"/>
            </w:tcBorders>
            <w:tcMar>
              <w:top w:w="100" w:type="dxa"/>
              <w:left w:w="100" w:type="dxa"/>
              <w:bottom w:w="100" w:type="dxa"/>
              <w:right w:w="100" w:type="dxa"/>
            </w:tcMar>
            <w:vAlign w:val="center"/>
          </w:tcPr>
          <w:p w14:paraId="2D06DC9C" w14:textId="77777777" w:rsidR="00D639BF" w:rsidRDefault="00D639BF" w:rsidP="00771DCD">
            <w:pPr>
              <w:spacing w:line="276" w:lineRule="auto"/>
              <w:ind w:left="200"/>
              <w:jc w:val="center"/>
            </w:pPr>
            <w:r>
              <w:t>Antonio Raimondi</w:t>
            </w:r>
          </w:p>
        </w:tc>
        <w:tc>
          <w:tcPr>
            <w:tcW w:w="1440" w:type="dxa"/>
            <w:tcBorders>
              <w:top w:val="nil"/>
              <w:left w:val="nil"/>
              <w:bottom w:val="nil"/>
              <w:right w:val="nil"/>
            </w:tcBorders>
            <w:tcMar>
              <w:top w:w="100" w:type="dxa"/>
              <w:left w:w="100" w:type="dxa"/>
              <w:bottom w:w="100" w:type="dxa"/>
              <w:right w:w="100" w:type="dxa"/>
            </w:tcMar>
            <w:vAlign w:val="center"/>
          </w:tcPr>
          <w:p w14:paraId="7B4A26F5" w14:textId="77777777" w:rsidR="00D639BF" w:rsidRDefault="00D639BF" w:rsidP="00771DCD">
            <w:pPr>
              <w:spacing w:line="276" w:lineRule="auto"/>
              <w:ind w:left="200"/>
              <w:jc w:val="center"/>
            </w:pPr>
            <w:r>
              <w:t>11 620</w:t>
            </w:r>
          </w:p>
        </w:tc>
        <w:tc>
          <w:tcPr>
            <w:tcW w:w="1275" w:type="dxa"/>
            <w:tcBorders>
              <w:top w:val="nil"/>
              <w:left w:val="nil"/>
              <w:bottom w:val="nil"/>
              <w:right w:val="nil"/>
            </w:tcBorders>
            <w:tcMar>
              <w:top w:w="100" w:type="dxa"/>
              <w:left w:w="100" w:type="dxa"/>
              <w:bottom w:w="100" w:type="dxa"/>
              <w:right w:w="100" w:type="dxa"/>
            </w:tcMar>
            <w:vAlign w:val="center"/>
          </w:tcPr>
          <w:p w14:paraId="66C5807C" w14:textId="77777777" w:rsidR="00D639BF" w:rsidRDefault="00D639BF" w:rsidP="00771DCD">
            <w:pPr>
              <w:spacing w:line="276" w:lineRule="auto"/>
              <w:ind w:left="200"/>
              <w:jc w:val="center"/>
            </w:pPr>
            <w:r>
              <w:t>51.9</w:t>
            </w:r>
          </w:p>
        </w:tc>
        <w:tc>
          <w:tcPr>
            <w:tcW w:w="1395" w:type="dxa"/>
            <w:tcBorders>
              <w:top w:val="nil"/>
              <w:left w:val="nil"/>
              <w:bottom w:val="nil"/>
              <w:right w:val="nil"/>
            </w:tcBorders>
            <w:tcMar>
              <w:top w:w="100" w:type="dxa"/>
              <w:left w:w="100" w:type="dxa"/>
              <w:bottom w:w="100" w:type="dxa"/>
              <w:right w:w="100" w:type="dxa"/>
            </w:tcMar>
            <w:vAlign w:val="center"/>
          </w:tcPr>
          <w:p w14:paraId="41DEFC13" w14:textId="77777777" w:rsidR="00D639BF" w:rsidRDefault="00D639BF" w:rsidP="00771DCD">
            <w:pPr>
              <w:spacing w:line="276" w:lineRule="auto"/>
              <w:ind w:left="200"/>
              <w:jc w:val="center"/>
            </w:pPr>
            <w:r>
              <w:t>3 min 11 s</w:t>
            </w:r>
          </w:p>
        </w:tc>
        <w:tc>
          <w:tcPr>
            <w:tcW w:w="1275" w:type="dxa"/>
            <w:tcBorders>
              <w:top w:val="nil"/>
              <w:left w:val="nil"/>
              <w:bottom w:val="nil"/>
              <w:right w:val="nil"/>
            </w:tcBorders>
            <w:tcMar>
              <w:top w:w="100" w:type="dxa"/>
              <w:left w:w="100" w:type="dxa"/>
              <w:bottom w:w="100" w:type="dxa"/>
              <w:right w:w="100" w:type="dxa"/>
            </w:tcMar>
            <w:vAlign w:val="center"/>
          </w:tcPr>
          <w:p w14:paraId="22793561" w14:textId="77777777" w:rsidR="00D639BF" w:rsidRDefault="00D639BF" w:rsidP="00771DCD">
            <w:pPr>
              <w:spacing w:line="276" w:lineRule="auto"/>
              <w:ind w:left="200"/>
              <w:jc w:val="center"/>
            </w:pPr>
            <w:r>
              <w:t>1.95</w:t>
            </w:r>
          </w:p>
        </w:tc>
        <w:tc>
          <w:tcPr>
            <w:tcW w:w="1650" w:type="dxa"/>
            <w:tcBorders>
              <w:top w:val="nil"/>
              <w:left w:val="nil"/>
              <w:bottom w:val="nil"/>
              <w:right w:val="nil"/>
            </w:tcBorders>
            <w:tcMar>
              <w:top w:w="100" w:type="dxa"/>
              <w:left w:w="100" w:type="dxa"/>
              <w:bottom w:w="100" w:type="dxa"/>
              <w:right w:w="100" w:type="dxa"/>
            </w:tcMar>
            <w:vAlign w:val="center"/>
          </w:tcPr>
          <w:p w14:paraId="1F0180DD" w14:textId="77777777" w:rsidR="00D639BF" w:rsidRDefault="00D639BF" w:rsidP="00771DCD">
            <w:pPr>
              <w:spacing w:line="276" w:lineRule="auto"/>
              <w:ind w:left="200"/>
              <w:jc w:val="center"/>
            </w:pPr>
            <w:r>
              <w:t>44</w:t>
            </w:r>
          </w:p>
        </w:tc>
      </w:tr>
      <w:tr w:rsidR="00D639BF" w14:paraId="0CECCFE6" w14:textId="77777777" w:rsidTr="007B76BD">
        <w:trPr>
          <w:trHeight w:val="264"/>
        </w:trPr>
        <w:tc>
          <w:tcPr>
            <w:tcW w:w="1530" w:type="dxa"/>
            <w:tcBorders>
              <w:top w:val="nil"/>
              <w:left w:val="nil"/>
              <w:bottom w:val="nil"/>
              <w:right w:val="nil"/>
            </w:tcBorders>
            <w:tcMar>
              <w:top w:w="100" w:type="dxa"/>
              <w:left w:w="100" w:type="dxa"/>
              <w:bottom w:w="100" w:type="dxa"/>
              <w:right w:w="100" w:type="dxa"/>
            </w:tcMar>
            <w:vAlign w:val="center"/>
          </w:tcPr>
          <w:p w14:paraId="3DE6BBF7" w14:textId="77777777" w:rsidR="00D639BF" w:rsidRDefault="00D639BF" w:rsidP="00771DCD">
            <w:pPr>
              <w:spacing w:line="276" w:lineRule="auto"/>
              <w:ind w:left="200"/>
              <w:jc w:val="center"/>
            </w:pPr>
            <w:r>
              <w:t>Solidaridad</w:t>
            </w:r>
          </w:p>
        </w:tc>
        <w:tc>
          <w:tcPr>
            <w:tcW w:w="1440" w:type="dxa"/>
            <w:tcBorders>
              <w:top w:val="nil"/>
              <w:left w:val="nil"/>
              <w:bottom w:val="nil"/>
              <w:right w:val="nil"/>
            </w:tcBorders>
            <w:tcMar>
              <w:top w:w="100" w:type="dxa"/>
              <w:left w:w="100" w:type="dxa"/>
              <w:bottom w:w="100" w:type="dxa"/>
              <w:right w:w="100" w:type="dxa"/>
            </w:tcMar>
            <w:vAlign w:val="center"/>
          </w:tcPr>
          <w:p w14:paraId="57C5D0B0" w14:textId="77777777" w:rsidR="00D639BF" w:rsidRDefault="00D639BF" w:rsidP="00771DCD">
            <w:pPr>
              <w:spacing w:line="276" w:lineRule="auto"/>
              <w:ind w:left="200"/>
              <w:jc w:val="center"/>
            </w:pPr>
            <w:r>
              <w:t>14 112</w:t>
            </w:r>
          </w:p>
        </w:tc>
        <w:tc>
          <w:tcPr>
            <w:tcW w:w="1275" w:type="dxa"/>
            <w:tcBorders>
              <w:top w:val="nil"/>
              <w:left w:val="nil"/>
              <w:bottom w:val="nil"/>
              <w:right w:val="nil"/>
            </w:tcBorders>
            <w:tcMar>
              <w:top w:w="100" w:type="dxa"/>
              <w:left w:w="100" w:type="dxa"/>
              <w:bottom w:w="100" w:type="dxa"/>
              <w:right w:w="100" w:type="dxa"/>
            </w:tcMar>
            <w:vAlign w:val="center"/>
          </w:tcPr>
          <w:p w14:paraId="5AE3E799" w14:textId="77777777" w:rsidR="00D639BF" w:rsidRDefault="00D639BF" w:rsidP="00771DCD">
            <w:pPr>
              <w:spacing w:line="276" w:lineRule="auto"/>
              <w:ind w:left="200"/>
              <w:jc w:val="center"/>
            </w:pPr>
            <w:r>
              <w:t>51.9</w:t>
            </w:r>
          </w:p>
        </w:tc>
        <w:tc>
          <w:tcPr>
            <w:tcW w:w="1395" w:type="dxa"/>
            <w:tcBorders>
              <w:top w:val="nil"/>
              <w:left w:val="nil"/>
              <w:bottom w:val="nil"/>
              <w:right w:val="nil"/>
            </w:tcBorders>
            <w:tcMar>
              <w:top w:w="100" w:type="dxa"/>
              <w:left w:w="100" w:type="dxa"/>
              <w:bottom w:w="100" w:type="dxa"/>
              <w:right w:w="100" w:type="dxa"/>
            </w:tcMar>
            <w:vAlign w:val="center"/>
          </w:tcPr>
          <w:p w14:paraId="7438B57E" w14:textId="77777777" w:rsidR="00D639BF" w:rsidRDefault="00D639BF" w:rsidP="00771DCD">
            <w:pPr>
              <w:spacing w:line="276" w:lineRule="auto"/>
              <w:ind w:left="200"/>
              <w:jc w:val="center"/>
            </w:pPr>
            <w:r>
              <w:t>3 min 32 s</w:t>
            </w:r>
          </w:p>
        </w:tc>
        <w:tc>
          <w:tcPr>
            <w:tcW w:w="1275" w:type="dxa"/>
            <w:tcBorders>
              <w:top w:val="nil"/>
              <w:left w:val="nil"/>
              <w:bottom w:val="nil"/>
              <w:right w:val="nil"/>
            </w:tcBorders>
            <w:tcMar>
              <w:top w:w="100" w:type="dxa"/>
              <w:left w:w="100" w:type="dxa"/>
              <w:bottom w:w="100" w:type="dxa"/>
              <w:right w:w="100" w:type="dxa"/>
            </w:tcMar>
            <w:vAlign w:val="center"/>
          </w:tcPr>
          <w:p w14:paraId="3E97859B" w14:textId="77777777" w:rsidR="00D639BF" w:rsidRDefault="00D639BF" w:rsidP="00771DCD">
            <w:pPr>
              <w:spacing w:line="276" w:lineRule="auto"/>
              <w:ind w:left="200"/>
              <w:jc w:val="center"/>
            </w:pPr>
            <w:r>
              <w:t>1.95</w:t>
            </w:r>
          </w:p>
        </w:tc>
        <w:tc>
          <w:tcPr>
            <w:tcW w:w="1650" w:type="dxa"/>
            <w:tcBorders>
              <w:top w:val="nil"/>
              <w:left w:val="nil"/>
              <w:bottom w:val="nil"/>
              <w:right w:val="nil"/>
            </w:tcBorders>
            <w:tcMar>
              <w:top w:w="100" w:type="dxa"/>
              <w:left w:w="100" w:type="dxa"/>
              <w:bottom w:w="100" w:type="dxa"/>
              <w:right w:w="100" w:type="dxa"/>
            </w:tcMar>
            <w:vAlign w:val="center"/>
          </w:tcPr>
          <w:p w14:paraId="55ED5543" w14:textId="77777777" w:rsidR="00D639BF" w:rsidRDefault="00D639BF" w:rsidP="00771DCD">
            <w:pPr>
              <w:spacing w:line="276" w:lineRule="auto"/>
              <w:ind w:left="200"/>
              <w:jc w:val="center"/>
            </w:pPr>
            <w:r>
              <w:t>55</w:t>
            </w:r>
          </w:p>
        </w:tc>
      </w:tr>
      <w:tr w:rsidR="00D639BF" w14:paraId="5CF7242E" w14:textId="77777777" w:rsidTr="007B76BD">
        <w:trPr>
          <w:trHeight w:val="292"/>
        </w:trPr>
        <w:tc>
          <w:tcPr>
            <w:tcW w:w="1530" w:type="dxa"/>
            <w:tcBorders>
              <w:top w:val="nil"/>
              <w:left w:val="nil"/>
              <w:bottom w:val="nil"/>
              <w:right w:val="nil"/>
            </w:tcBorders>
            <w:tcMar>
              <w:top w:w="100" w:type="dxa"/>
              <w:left w:w="100" w:type="dxa"/>
              <w:bottom w:w="100" w:type="dxa"/>
              <w:right w:w="100" w:type="dxa"/>
            </w:tcMar>
            <w:vAlign w:val="center"/>
          </w:tcPr>
          <w:p w14:paraId="73F054E3" w14:textId="77777777" w:rsidR="00D639BF" w:rsidRDefault="00D639BF" w:rsidP="00771DCD">
            <w:pPr>
              <w:spacing w:line="276" w:lineRule="auto"/>
              <w:ind w:left="200"/>
              <w:jc w:val="center"/>
            </w:pPr>
            <w:r>
              <w:t>Cristo Rey</w:t>
            </w:r>
          </w:p>
        </w:tc>
        <w:tc>
          <w:tcPr>
            <w:tcW w:w="1440" w:type="dxa"/>
            <w:tcBorders>
              <w:top w:val="nil"/>
              <w:left w:val="nil"/>
              <w:bottom w:val="nil"/>
              <w:right w:val="nil"/>
            </w:tcBorders>
            <w:tcMar>
              <w:top w:w="100" w:type="dxa"/>
              <w:left w:w="100" w:type="dxa"/>
              <w:bottom w:w="100" w:type="dxa"/>
              <w:right w:w="100" w:type="dxa"/>
            </w:tcMar>
            <w:vAlign w:val="center"/>
          </w:tcPr>
          <w:p w14:paraId="65F57A5B" w14:textId="77777777" w:rsidR="00D639BF" w:rsidRDefault="00D639BF" w:rsidP="00771DCD">
            <w:pPr>
              <w:spacing w:line="276" w:lineRule="auto"/>
              <w:ind w:left="200"/>
              <w:jc w:val="center"/>
            </w:pPr>
            <w:r>
              <w:t>25 900</w:t>
            </w:r>
          </w:p>
        </w:tc>
        <w:tc>
          <w:tcPr>
            <w:tcW w:w="1275" w:type="dxa"/>
            <w:tcBorders>
              <w:top w:val="nil"/>
              <w:left w:val="nil"/>
              <w:bottom w:val="nil"/>
              <w:right w:val="nil"/>
            </w:tcBorders>
            <w:tcMar>
              <w:top w:w="100" w:type="dxa"/>
              <w:left w:w="100" w:type="dxa"/>
              <w:bottom w:w="100" w:type="dxa"/>
              <w:right w:w="100" w:type="dxa"/>
            </w:tcMar>
            <w:vAlign w:val="center"/>
          </w:tcPr>
          <w:p w14:paraId="1563D27F" w14:textId="77777777" w:rsidR="00D639BF" w:rsidRDefault="00D639BF" w:rsidP="00771DCD">
            <w:pPr>
              <w:spacing w:line="276" w:lineRule="auto"/>
              <w:ind w:left="200"/>
              <w:jc w:val="center"/>
            </w:pPr>
            <w:r>
              <w:t>51.9</w:t>
            </w:r>
          </w:p>
        </w:tc>
        <w:tc>
          <w:tcPr>
            <w:tcW w:w="1395" w:type="dxa"/>
            <w:tcBorders>
              <w:top w:val="nil"/>
              <w:left w:val="nil"/>
              <w:bottom w:val="nil"/>
              <w:right w:val="nil"/>
            </w:tcBorders>
            <w:tcMar>
              <w:top w:w="100" w:type="dxa"/>
              <w:left w:w="100" w:type="dxa"/>
              <w:bottom w:w="100" w:type="dxa"/>
              <w:right w:w="100" w:type="dxa"/>
            </w:tcMar>
            <w:vAlign w:val="center"/>
          </w:tcPr>
          <w:p w14:paraId="318F1905" w14:textId="77777777" w:rsidR="00D639BF" w:rsidRDefault="00D639BF" w:rsidP="00771DCD">
            <w:pPr>
              <w:spacing w:line="276" w:lineRule="auto"/>
              <w:ind w:left="200"/>
              <w:jc w:val="center"/>
            </w:pPr>
            <w:r>
              <w:t>5 min 10 s</w:t>
            </w:r>
          </w:p>
        </w:tc>
        <w:tc>
          <w:tcPr>
            <w:tcW w:w="1275" w:type="dxa"/>
            <w:tcBorders>
              <w:top w:val="nil"/>
              <w:left w:val="nil"/>
              <w:bottom w:val="nil"/>
              <w:right w:val="nil"/>
            </w:tcBorders>
            <w:tcMar>
              <w:top w:w="100" w:type="dxa"/>
              <w:left w:w="100" w:type="dxa"/>
              <w:bottom w:w="100" w:type="dxa"/>
              <w:right w:w="100" w:type="dxa"/>
            </w:tcMar>
            <w:vAlign w:val="center"/>
          </w:tcPr>
          <w:p w14:paraId="59BFA836" w14:textId="77777777" w:rsidR="00D639BF" w:rsidRDefault="00D639BF" w:rsidP="00771DCD">
            <w:pPr>
              <w:spacing w:line="276" w:lineRule="auto"/>
              <w:ind w:left="200"/>
              <w:jc w:val="center"/>
            </w:pPr>
            <w:r>
              <w:t>1.95</w:t>
            </w:r>
          </w:p>
        </w:tc>
        <w:tc>
          <w:tcPr>
            <w:tcW w:w="1650" w:type="dxa"/>
            <w:tcBorders>
              <w:top w:val="nil"/>
              <w:left w:val="nil"/>
              <w:bottom w:val="nil"/>
              <w:right w:val="nil"/>
            </w:tcBorders>
            <w:tcMar>
              <w:top w:w="100" w:type="dxa"/>
              <w:left w:w="100" w:type="dxa"/>
              <w:bottom w:w="100" w:type="dxa"/>
              <w:right w:w="100" w:type="dxa"/>
            </w:tcMar>
            <w:vAlign w:val="center"/>
          </w:tcPr>
          <w:p w14:paraId="28A4FFD4" w14:textId="77777777" w:rsidR="00D639BF" w:rsidRDefault="00D639BF" w:rsidP="00771DCD">
            <w:pPr>
              <w:spacing w:line="276" w:lineRule="auto"/>
              <w:ind w:left="200"/>
              <w:jc w:val="center"/>
            </w:pPr>
            <w:r>
              <w:t>126</w:t>
            </w:r>
          </w:p>
        </w:tc>
      </w:tr>
      <w:tr w:rsidR="00D639BF" w14:paraId="2BD16B91" w14:textId="77777777" w:rsidTr="007B76BD">
        <w:trPr>
          <w:trHeight w:val="337"/>
        </w:trPr>
        <w:tc>
          <w:tcPr>
            <w:tcW w:w="1530" w:type="dxa"/>
            <w:tcBorders>
              <w:top w:val="nil"/>
              <w:left w:val="nil"/>
              <w:bottom w:val="nil"/>
              <w:right w:val="nil"/>
            </w:tcBorders>
            <w:tcMar>
              <w:top w:w="100" w:type="dxa"/>
              <w:left w:w="100" w:type="dxa"/>
              <w:bottom w:w="100" w:type="dxa"/>
              <w:right w:w="100" w:type="dxa"/>
            </w:tcMar>
            <w:vAlign w:val="center"/>
          </w:tcPr>
          <w:p w14:paraId="1033F372" w14:textId="77777777" w:rsidR="00D639BF" w:rsidRDefault="00D639BF" w:rsidP="00771DCD">
            <w:pPr>
              <w:spacing w:line="276" w:lineRule="auto"/>
              <w:ind w:left="200"/>
              <w:jc w:val="center"/>
            </w:pPr>
            <w:r>
              <w:t>Juan Pablo II</w:t>
            </w:r>
          </w:p>
        </w:tc>
        <w:tc>
          <w:tcPr>
            <w:tcW w:w="1440" w:type="dxa"/>
            <w:tcBorders>
              <w:top w:val="nil"/>
              <w:left w:val="nil"/>
              <w:bottom w:val="nil"/>
              <w:right w:val="nil"/>
            </w:tcBorders>
            <w:tcMar>
              <w:top w:w="100" w:type="dxa"/>
              <w:left w:w="100" w:type="dxa"/>
              <w:bottom w:w="100" w:type="dxa"/>
              <w:right w:w="100" w:type="dxa"/>
            </w:tcMar>
            <w:vAlign w:val="center"/>
          </w:tcPr>
          <w:p w14:paraId="340F241F" w14:textId="77777777" w:rsidR="00D639BF" w:rsidRDefault="00D639BF" w:rsidP="00771DCD">
            <w:pPr>
              <w:spacing w:line="276" w:lineRule="auto"/>
              <w:ind w:left="200"/>
              <w:jc w:val="center"/>
            </w:pPr>
            <w:r>
              <w:t>22 379</w:t>
            </w:r>
          </w:p>
        </w:tc>
        <w:tc>
          <w:tcPr>
            <w:tcW w:w="1275" w:type="dxa"/>
            <w:tcBorders>
              <w:top w:val="nil"/>
              <w:left w:val="nil"/>
              <w:bottom w:val="nil"/>
              <w:right w:val="nil"/>
            </w:tcBorders>
            <w:tcMar>
              <w:top w:w="100" w:type="dxa"/>
              <w:left w:w="100" w:type="dxa"/>
              <w:bottom w:w="100" w:type="dxa"/>
              <w:right w:w="100" w:type="dxa"/>
            </w:tcMar>
            <w:vAlign w:val="center"/>
          </w:tcPr>
          <w:p w14:paraId="43E98C95" w14:textId="77777777" w:rsidR="00D639BF" w:rsidRDefault="00D639BF" w:rsidP="00771DCD">
            <w:pPr>
              <w:spacing w:line="276" w:lineRule="auto"/>
              <w:ind w:left="200"/>
              <w:jc w:val="center"/>
            </w:pPr>
            <w:r>
              <w:t>51.9</w:t>
            </w:r>
          </w:p>
        </w:tc>
        <w:tc>
          <w:tcPr>
            <w:tcW w:w="1395" w:type="dxa"/>
            <w:tcBorders>
              <w:top w:val="nil"/>
              <w:left w:val="nil"/>
              <w:bottom w:val="nil"/>
              <w:right w:val="nil"/>
            </w:tcBorders>
            <w:tcMar>
              <w:top w:w="100" w:type="dxa"/>
              <w:left w:w="100" w:type="dxa"/>
              <w:bottom w:w="100" w:type="dxa"/>
              <w:right w:w="100" w:type="dxa"/>
            </w:tcMar>
            <w:vAlign w:val="center"/>
          </w:tcPr>
          <w:p w14:paraId="71C3095E" w14:textId="77777777" w:rsidR="00D639BF" w:rsidRDefault="00D639BF" w:rsidP="00771DCD">
            <w:pPr>
              <w:spacing w:line="276" w:lineRule="auto"/>
              <w:ind w:left="200"/>
              <w:jc w:val="center"/>
            </w:pPr>
            <w:r>
              <w:t>4 min 38 s</w:t>
            </w:r>
          </w:p>
        </w:tc>
        <w:tc>
          <w:tcPr>
            <w:tcW w:w="1275" w:type="dxa"/>
            <w:tcBorders>
              <w:top w:val="nil"/>
              <w:left w:val="nil"/>
              <w:bottom w:val="nil"/>
              <w:right w:val="nil"/>
            </w:tcBorders>
            <w:tcMar>
              <w:top w:w="100" w:type="dxa"/>
              <w:left w:w="100" w:type="dxa"/>
              <w:bottom w:w="100" w:type="dxa"/>
              <w:right w:w="100" w:type="dxa"/>
            </w:tcMar>
            <w:vAlign w:val="center"/>
          </w:tcPr>
          <w:p w14:paraId="624B41CC" w14:textId="77777777" w:rsidR="00D639BF" w:rsidRDefault="00D639BF" w:rsidP="00771DCD">
            <w:pPr>
              <w:spacing w:line="276" w:lineRule="auto"/>
              <w:ind w:left="200"/>
              <w:jc w:val="center"/>
            </w:pPr>
            <w:r>
              <w:t>1.95</w:t>
            </w:r>
          </w:p>
        </w:tc>
        <w:tc>
          <w:tcPr>
            <w:tcW w:w="1650" w:type="dxa"/>
            <w:tcBorders>
              <w:top w:val="nil"/>
              <w:left w:val="nil"/>
              <w:bottom w:val="nil"/>
              <w:right w:val="nil"/>
            </w:tcBorders>
            <w:tcMar>
              <w:top w:w="100" w:type="dxa"/>
              <w:left w:w="100" w:type="dxa"/>
              <w:bottom w:w="100" w:type="dxa"/>
              <w:right w:w="100" w:type="dxa"/>
            </w:tcMar>
            <w:vAlign w:val="center"/>
          </w:tcPr>
          <w:p w14:paraId="7C28299D" w14:textId="77777777" w:rsidR="00D639BF" w:rsidRDefault="00D639BF" w:rsidP="00771DCD">
            <w:pPr>
              <w:spacing w:line="276" w:lineRule="auto"/>
              <w:ind w:left="200"/>
              <w:jc w:val="center"/>
            </w:pPr>
            <w:r>
              <w:t>60</w:t>
            </w:r>
          </w:p>
        </w:tc>
      </w:tr>
      <w:tr w:rsidR="00D639BF" w14:paraId="4BED9D9D" w14:textId="77777777" w:rsidTr="007B76BD">
        <w:trPr>
          <w:trHeight w:val="19"/>
        </w:trPr>
        <w:tc>
          <w:tcPr>
            <w:tcW w:w="1530" w:type="dxa"/>
            <w:tcBorders>
              <w:top w:val="nil"/>
              <w:left w:val="nil"/>
              <w:bottom w:val="single" w:sz="12" w:space="0" w:color="008000"/>
              <w:right w:val="nil"/>
            </w:tcBorders>
            <w:tcMar>
              <w:top w:w="100" w:type="dxa"/>
              <w:left w:w="100" w:type="dxa"/>
              <w:bottom w:w="100" w:type="dxa"/>
              <w:right w:w="100" w:type="dxa"/>
            </w:tcMar>
            <w:vAlign w:val="center"/>
          </w:tcPr>
          <w:p w14:paraId="1C185326" w14:textId="77777777" w:rsidR="00D639BF" w:rsidRDefault="00D639BF" w:rsidP="00771DCD">
            <w:pPr>
              <w:spacing w:line="276" w:lineRule="auto"/>
              <w:ind w:left="200"/>
              <w:jc w:val="center"/>
            </w:pPr>
            <w:r>
              <w:t>Santa Rosa</w:t>
            </w:r>
          </w:p>
        </w:tc>
        <w:tc>
          <w:tcPr>
            <w:tcW w:w="1440" w:type="dxa"/>
            <w:tcBorders>
              <w:top w:val="nil"/>
              <w:left w:val="nil"/>
              <w:bottom w:val="single" w:sz="12" w:space="0" w:color="008000"/>
              <w:right w:val="nil"/>
            </w:tcBorders>
            <w:tcMar>
              <w:top w:w="100" w:type="dxa"/>
              <w:left w:w="100" w:type="dxa"/>
              <w:bottom w:w="100" w:type="dxa"/>
              <w:right w:w="100" w:type="dxa"/>
            </w:tcMar>
            <w:vAlign w:val="center"/>
          </w:tcPr>
          <w:p w14:paraId="6C3A987E" w14:textId="77777777" w:rsidR="00D639BF" w:rsidRDefault="00D639BF" w:rsidP="00771DCD">
            <w:pPr>
              <w:spacing w:line="276" w:lineRule="auto"/>
              <w:ind w:left="200"/>
              <w:jc w:val="center"/>
            </w:pPr>
            <w:r>
              <w:t>14 534</w:t>
            </w:r>
          </w:p>
        </w:tc>
        <w:tc>
          <w:tcPr>
            <w:tcW w:w="1275" w:type="dxa"/>
            <w:tcBorders>
              <w:top w:val="nil"/>
              <w:left w:val="nil"/>
              <w:bottom w:val="single" w:sz="12" w:space="0" w:color="008000"/>
              <w:right w:val="nil"/>
            </w:tcBorders>
            <w:tcMar>
              <w:top w:w="100" w:type="dxa"/>
              <w:left w:w="100" w:type="dxa"/>
              <w:bottom w:w="100" w:type="dxa"/>
              <w:right w:w="100" w:type="dxa"/>
            </w:tcMar>
            <w:vAlign w:val="center"/>
          </w:tcPr>
          <w:p w14:paraId="1EF902C0" w14:textId="77777777" w:rsidR="00D639BF" w:rsidRDefault="00D639BF" w:rsidP="00771DCD">
            <w:pPr>
              <w:spacing w:line="276" w:lineRule="auto"/>
              <w:ind w:left="200"/>
              <w:jc w:val="center"/>
            </w:pPr>
            <w:r>
              <w:t>65.5</w:t>
            </w:r>
          </w:p>
        </w:tc>
        <w:tc>
          <w:tcPr>
            <w:tcW w:w="1395" w:type="dxa"/>
            <w:tcBorders>
              <w:top w:val="nil"/>
              <w:left w:val="nil"/>
              <w:bottom w:val="single" w:sz="12" w:space="0" w:color="008000"/>
              <w:right w:val="nil"/>
            </w:tcBorders>
            <w:tcMar>
              <w:top w:w="100" w:type="dxa"/>
              <w:left w:w="100" w:type="dxa"/>
              <w:bottom w:w="100" w:type="dxa"/>
              <w:right w:w="100" w:type="dxa"/>
            </w:tcMar>
            <w:vAlign w:val="center"/>
          </w:tcPr>
          <w:p w14:paraId="51EB45A8" w14:textId="77777777" w:rsidR="00D639BF" w:rsidRDefault="00D639BF" w:rsidP="00771DCD">
            <w:pPr>
              <w:spacing w:line="276" w:lineRule="auto"/>
              <w:ind w:left="200"/>
              <w:jc w:val="center"/>
            </w:pPr>
            <w:r>
              <w:t>2 min 59 s</w:t>
            </w:r>
          </w:p>
        </w:tc>
        <w:tc>
          <w:tcPr>
            <w:tcW w:w="1275" w:type="dxa"/>
            <w:tcBorders>
              <w:top w:val="nil"/>
              <w:left w:val="nil"/>
              <w:bottom w:val="single" w:sz="12" w:space="0" w:color="008000"/>
              <w:right w:val="nil"/>
            </w:tcBorders>
            <w:tcMar>
              <w:top w:w="100" w:type="dxa"/>
              <w:left w:w="100" w:type="dxa"/>
              <w:bottom w:w="100" w:type="dxa"/>
              <w:right w:w="100" w:type="dxa"/>
            </w:tcMar>
            <w:vAlign w:val="center"/>
          </w:tcPr>
          <w:p w14:paraId="49DC29ED" w14:textId="77777777" w:rsidR="00D639BF" w:rsidRDefault="00D639BF" w:rsidP="00771DCD">
            <w:pPr>
              <w:spacing w:line="276" w:lineRule="auto"/>
              <w:ind w:left="200"/>
              <w:jc w:val="center"/>
            </w:pPr>
            <w:r>
              <w:t>2.36</w:t>
            </w:r>
          </w:p>
        </w:tc>
        <w:tc>
          <w:tcPr>
            <w:tcW w:w="1650" w:type="dxa"/>
            <w:tcBorders>
              <w:top w:val="nil"/>
              <w:left w:val="nil"/>
              <w:bottom w:val="single" w:sz="12" w:space="0" w:color="008000"/>
              <w:right w:val="nil"/>
            </w:tcBorders>
            <w:tcMar>
              <w:top w:w="100" w:type="dxa"/>
              <w:left w:w="100" w:type="dxa"/>
              <w:bottom w:w="100" w:type="dxa"/>
              <w:right w:w="100" w:type="dxa"/>
            </w:tcMar>
            <w:vAlign w:val="center"/>
          </w:tcPr>
          <w:p w14:paraId="1E415885" w14:textId="77777777" w:rsidR="00D639BF" w:rsidRDefault="00D639BF" w:rsidP="00771DCD">
            <w:pPr>
              <w:spacing w:line="276" w:lineRule="auto"/>
              <w:ind w:left="200"/>
              <w:jc w:val="center"/>
            </w:pPr>
            <w:r>
              <w:t>39</w:t>
            </w:r>
          </w:p>
        </w:tc>
      </w:tr>
    </w:tbl>
    <w:p w14:paraId="37294CAD" w14:textId="77777777" w:rsidR="00A14554" w:rsidRPr="000E4600" w:rsidRDefault="00A14554" w:rsidP="00A14554">
      <w:pPr>
        <w:pStyle w:val="CETBodytext"/>
      </w:pPr>
    </w:p>
    <w:p w14:paraId="1E5C82FA" w14:textId="77777777" w:rsidR="00D639BF" w:rsidRPr="00D639BF" w:rsidRDefault="00D639BF" w:rsidP="00D639BF">
      <w:pPr>
        <w:pStyle w:val="CETheadingx"/>
        <w:spacing w:before="0" w:after="0"/>
        <w:jc w:val="both"/>
        <w:rPr>
          <w:b w:val="0"/>
          <w:iCs/>
          <w:lang w:val="en-GB"/>
        </w:rPr>
      </w:pPr>
      <w:bookmarkStart w:id="3" w:name="_Hlk98946841"/>
      <w:r w:rsidRPr="00D639BF">
        <w:rPr>
          <w:b w:val="0"/>
          <w:iCs/>
          <w:lang w:val="en-GB"/>
        </w:rPr>
        <w:t>Table 1 shows that the flight height of the RPAs in Antonio Raimondi, Solidaridad, Cristo Rey and Juan Pablo II parks was 50 meters with a GSD of 1.95 cm/px and in Santa Rosa park at 60 meters with a GSD of 2.36 cm/px, because this park is adjacent to a multi-family building and to avoid accidents it was considered to increase the flight height by 13.6 meters.</w:t>
      </w:r>
    </w:p>
    <w:p w14:paraId="529544F2" w14:textId="61964657" w:rsidR="00D639BF" w:rsidRDefault="00D639BF" w:rsidP="00DC38C7">
      <w:pPr>
        <w:pStyle w:val="CETheadingx"/>
        <w:spacing w:before="0"/>
        <w:jc w:val="both"/>
        <w:rPr>
          <w:b w:val="0"/>
          <w:iCs/>
          <w:lang w:val="en-GB"/>
        </w:rPr>
      </w:pPr>
      <w:r w:rsidRPr="00D639BF">
        <w:rPr>
          <w:b w:val="0"/>
          <w:iCs/>
          <w:lang w:val="en-GB"/>
        </w:rPr>
        <w:t xml:space="preserve">In the same sense, Isibue and </w:t>
      </w:r>
      <w:r w:rsidRPr="00076A22">
        <w:rPr>
          <w:b w:val="0"/>
          <w:iCs/>
          <w:lang w:val="en-GB"/>
        </w:rPr>
        <w:t>Ping</w:t>
      </w:r>
      <w:r w:rsidR="0014216F" w:rsidRPr="00076A22">
        <w:rPr>
          <w:b w:val="0"/>
          <w:iCs/>
          <w:lang w:val="en-GB"/>
        </w:rPr>
        <w:t>e</w:t>
      </w:r>
      <w:r w:rsidRPr="00076A22">
        <w:rPr>
          <w:b w:val="0"/>
          <w:iCs/>
          <w:lang w:val="en-GB"/>
        </w:rPr>
        <w:t>l</w:t>
      </w:r>
      <w:r w:rsidRPr="00D639BF">
        <w:rPr>
          <w:b w:val="0"/>
          <w:iCs/>
          <w:lang w:val="en-GB"/>
        </w:rPr>
        <w:t xml:space="preserve"> (2020) considered for an urban forest a flight height of 50 and 80 meters, with a camera angle of 70° and an overlap of 80% for a better coincidence of points. On the other hand, Huerta et al. (2018) performed the flight in an urban forest area at a height of 40 meters with a camera angle of 90° and an overlap of 70%, obtaining reliable results. In summary, Alonzo et al. (2020) mention that the camera angle serves to improve the geometry of images and the overlapping of images reduces systematic errors in the point cloud.</w:t>
      </w:r>
    </w:p>
    <w:p w14:paraId="577324E8" w14:textId="77777777" w:rsidR="007B76BD" w:rsidRPr="00C14646" w:rsidRDefault="007B76BD" w:rsidP="007B76BD">
      <w:pPr>
        <w:pStyle w:val="CETheadingx"/>
        <w:rPr>
          <w:iCs/>
          <w:lang w:val="en-GB"/>
        </w:rPr>
      </w:pPr>
      <w:r>
        <w:rPr>
          <w:iCs/>
          <w:lang w:val="en-GB"/>
        </w:rPr>
        <w:t xml:space="preserve">3.2 </w:t>
      </w:r>
      <w:r w:rsidRPr="00D639BF">
        <w:rPr>
          <w:iCs/>
          <w:lang w:val="en-GB"/>
        </w:rPr>
        <w:t>Aboveground biomass</w:t>
      </w:r>
    </w:p>
    <w:p w14:paraId="775BC1ED" w14:textId="77777777" w:rsidR="007B76BD" w:rsidRPr="0000026C" w:rsidRDefault="007B76BD" w:rsidP="007B76BD">
      <w:pPr>
        <w:pStyle w:val="CETTabletitle"/>
        <w:spacing w:before="0" w:after="0"/>
        <w:jc w:val="both"/>
        <w:rPr>
          <w:i w:val="0"/>
          <w:lang w:val="en-US"/>
        </w:rPr>
      </w:pPr>
      <w:r w:rsidRPr="00D639BF">
        <w:rPr>
          <w:i w:val="0"/>
          <w:lang w:val="en-US"/>
        </w:rPr>
        <w:t xml:space="preserve">For the calculation of aerial biomass, tree height, number of trees and diameter of breast height were considered. Table 2 shows the amount of aboveground biomass determined in each urban park as well </w:t>
      </w:r>
      <w:r>
        <w:rPr>
          <w:i w:val="0"/>
          <w:lang w:val="en-US"/>
        </w:rPr>
        <w:t>as the number of trees and area</w:t>
      </w:r>
      <w:r w:rsidRPr="0000026C">
        <w:rPr>
          <w:i w:val="0"/>
          <w:lang w:val="en-US"/>
        </w:rPr>
        <w:t>.</w:t>
      </w:r>
    </w:p>
    <w:p w14:paraId="5D1555F0" w14:textId="77777777" w:rsidR="007B76BD" w:rsidRPr="007B76BD" w:rsidRDefault="007B76BD" w:rsidP="007B76BD">
      <w:pPr>
        <w:pStyle w:val="CETBodytext"/>
      </w:pPr>
    </w:p>
    <w:bookmarkEnd w:id="3"/>
    <w:p w14:paraId="71310C3C" w14:textId="6BB88E27" w:rsidR="008B156C" w:rsidRPr="007B76BD" w:rsidRDefault="009D1AC8" w:rsidP="007B76BD">
      <w:pPr>
        <w:pStyle w:val="CETheadingx"/>
        <w:rPr>
          <w:iCs/>
          <w:lang w:val="en-GB"/>
        </w:rPr>
      </w:pPr>
      <w:r w:rsidRPr="009D1AC8">
        <w:lastRenderedPageBreak/>
        <w:t>Table 2</w:t>
      </w:r>
      <w:r w:rsidR="008B156C" w:rsidRPr="009D1AC8">
        <w:t xml:space="preserve">: </w:t>
      </w:r>
      <w:r w:rsidR="00D639BF" w:rsidRPr="00D639BF">
        <w:t>Calculation of aboveground biomass</w:t>
      </w:r>
    </w:p>
    <w:tbl>
      <w:tblPr>
        <w:tblpPr w:leftFromText="141" w:rightFromText="141" w:vertAnchor="text" w:tblpY="1"/>
        <w:tblOverlap w:val="never"/>
        <w:tblW w:w="7863" w:type="dxa"/>
        <w:tblBorders>
          <w:top w:val="nil"/>
          <w:left w:val="nil"/>
          <w:bottom w:val="nil"/>
          <w:right w:val="nil"/>
          <w:insideH w:val="nil"/>
          <w:insideV w:val="nil"/>
        </w:tblBorders>
        <w:tblLayout w:type="fixed"/>
        <w:tblLook w:val="0600" w:firstRow="0" w:lastRow="0" w:firstColumn="0" w:lastColumn="0" w:noHBand="1" w:noVBand="1"/>
      </w:tblPr>
      <w:tblGrid>
        <w:gridCol w:w="1685"/>
        <w:gridCol w:w="1123"/>
        <w:gridCol w:w="1966"/>
        <w:gridCol w:w="3089"/>
      </w:tblGrid>
      <w:tr w:rsidR="00D639BF" w14:paraId="70CFC413" w14:textId="77777777" w:rsidTr="007B76BD">
        <w:trPr>
          <w:trHeight w:val="363"/>
        </w:trPr>
        <w:tc>
          <w:tcPr>
            <w:tcW w:w="1685" w:type="dxa"/>
            <w:tcBorders>
              <w:top w:val="single" w:sz="12" w:space="0" w:color="008000"/>
              <w:left w:val="nil"/>
              <w:bottom w:val="single" w:sz="8" w:space="0" w:color="000000"/>
              <w:right w:val="nil"/>
            </w:tcBorders>
            <w:tcMar>
              <w:top w:w="100" w:type="dxa"/>
              <w:left w:w="100" w:type="dxa"/>
              <w:bottom w:w="100" w:type="dxa"/>
              <w:right w:w="100" w:type="dxa"/>
            </w:tcMar>
          </w:tcPr>
          <w:p w14:paraId="08507E3C" w14:textId="77777777" w:rsidR="00D639BF" w:rsidRDefault="00D639BF" w:rsidP="00771DCD">
            <w:pPr>
              <w:spacing w:line="240" w:lineRule="auto"/>
              <w:jc w:val="left"/>
              <w:rPr>
                <w:b/>
              </w:rPr>
            </w:pPr>
            <w:r>
              <w:rPr>
                <w:b/>
              </w:rPr>
              <w:t>Park name</w:t>
            </w:r>
          </w:p>
        </w:tc>
        <w:tc>
          <w:tcPr>
            <w:tcW w:w="1123" w:type="dxa"/>
            <w:tcBorders>
              <w:top w:val="single" w:sz="12" w:space="0" w:color="008000"/>
              <w:left w:val="nil"/>
              <w:bottom w:val="single" w:sz="8" w:space="0" w:color="000000"/>
              <w:right w:val="nil"/>
            </w:tcBorders>
            <w:tcMar>
              <w:top w:w="100" w:type="dxa"/>
              <w:left w:w="100" w:type="dxa"/>
              <w:bottom w:w="100" w:type="dxa"/>
              <w:right w:w="100" w:type="dxa"/>
            </w:tcMar>
          </w:tcPr>
          <w:p w14:paraId="13078A88" w14:textId="77777777" w:rsidR="00D639BF" w:rsidRDefault="00D639BF" w:rsidP="00771DCD">
            <w:pPr>
              <w:spacing w:line="240" w:lineRule="auto"/>
              <w:jc w:val="center"/>
              <w:rPr>
                <w:b/>
              </w:rPr>
            </w:pPr>
            <w:r>
              <w:rPr>
                <w:b/>
              </w:rPr>
              <w:t>area (m</w:t>
            </w:r>
            <w:r>
              <w:rPr>
                <w:b/>
                <w:vertAlign w:val="superscript"/>
              </w:rPr>
              <w:t>2</w:t>
            </w:r>
            <w:r>
              <w:rPr>
                <w:b/>
              </w:rPr>
              <w:t>)</w:t>
            </w:r>
          </w:p>
        </w:tc>
        <w:tc>
          <w:tcPr>
            <w:tcW w:w="1966" w:type="dxa"/>
            <w:tcBorders>
              <w:top w:val="single" w:sz="12" w:space="0" w:color="008000"/>
              <w:left w:val="nil"/>
              <w:bottom w:val="single" w:sz="8" w:space="0" w:color="000000"/>
              <w:right w:val="nil"/>
            </w:tcBorders>
            <w:tcMar>
              <w:top w:w="100" w:type="dxa"/>
              <w:left w:w="100" w:type="dxa"/>
              <w:bottom w:w="100" w:type="dxa"/>
              <w:right w:w="100" w:type="dxa"/>
            </w:tcMar>
          </w:tcPr>
          <w:p w14:paraId="235A48DE" w14:textId="77777777" w:rsidR="00D639BF" w:rsidRDefault="00D639BF" w:rsidP="00771DCD">
            <w:pPr>
              <w:spacing w:line="240" w:lineRule="auto"/>
              <w:jc w:val="center"/>
              <w:rPr>
                <w:b/>
              </w:rPr>
            </w:pPr>
            <w:r>
              <w:rPr>
                <w:b/>
              </w:rPr>
              <w:t>number of trees</w:t>
            </w:r>
          </w:p>
        </w:tc>
        <w:tc>
          <w:tcPr>
            <w:tcW w:w="3089" w:type="dxa"/>
            <w:tcBorders>
              <w:top w:val="single" w:sz="12" w:space="0" w:color="008000"/>
              <w:left w:val="nil"/>
              <w:bottom w:val="single" w:sz="8" w:space="0" w:color="000000"/>
              <w:right w:val="nil"/>
            </w:tcBorders>
            <w:tcMar>
              <w:top w:w="100" w:type="dxa"/>
              <w:left w:w="100" w:type="dxa"/>
              <w:bottom w:w="100" w:type="dxa"/>
              <w:right w:w="100" w:type="dxa"/>
            </w:tcMar>
          </w:tcPr>
          <w:p w14:paraId="59AA2EBC" w14:textId="77777777" w:rsidR="00D639BF" w:rsidRDefault="00D639BF" w:rsidP="00771DCD">
            <w:pPr>
              <w:spacing w:line="240" w:lineRule="auto"/>
              <w:jc w:val="center"/>
              <w:rPr>
                <w:b/>
              </w:rPr>
            </w:pPr>
            <w:r>
              <w:rPr>
                <w:b/>
              </w:rPr>
              <w:t>aboveground biomass (t/ha)</w:t>
            </w:r>
          </w:p>
        </w:tc>
      </w:tr>
      <w:tr w:rsidR="00D639BF" w14:paraId="0741D341" w14:textId="77777777" w:rsidTr="007B76BD">
        <w:trPr>
          <w:trHeight w:val="106"/>
        </w:trPr>
        <w:tc>
          <w:tcPr>
            <w:tcW w:w="1685" w:type="dxa"/>
            <w:tcBorders>
              <w:top w:val="nil"/>
              <w:left w:val="nil"/>
              <w:bottom w:val="nil"/>
              <w:right w:val="nil"/>
            </w:tcBorders>
            <w:tcMar>
              <w:top w:w="100" w:type="dxa"/>
              <w:left w:w="100" w:type="dxa"/>
              <w:bottom w:w="100" w:type="dxa"/>
              <w:right w:w="100" w:type="dxa"/>
            </w:tcMar>
          </w:tcPr>
          <w:p w14:paraId="6DA20EAD" w14:textId="77777777" w:rsidR="00D639BF" w:rsidRDefault="00D639BF" w:rsidP="00771DCD">
            <w:pPr>
              <w:spacing w:line="240" w:lineRule="auto"/>
              <w:jc w:val="left"/>
            </w:pPr>
            <w:r>
              <w:t>Antonio Raimondi</w:t>
            </w:r>
          </w:p>
        </w:tc>
        <w:tc>
          <w:tcPr>
            <w:tcW w:w="1123" w:type="dxa"/>
            <w:tcBorders>
              <w:top w:val="nil"/>
              <w:left w:val="nil"/>
              <w:bottom w:val="nil"/>
              <w:right w:val="nil"/>
            </w:tcBorders>
            <w:tcMar>
              <w:top w:w="100" w:type="dxa"/>
              <w:left w:w="100" w:type="dxa"/>
              <w:bottom w:w="100" w:type="dxa"/>
              <w:right w:w="100" w:type="dxa"/>
            </w:tcMar>
          </w:tcPr>
          <w:p w14:paraId="7D19F3C3" w14:textId="77777777" w:rsidR="00D639BF" w:rsidRDefault="00D639BF" w:rsidP="00771DCD">
            <w:pPr>
              <w:spacing w:line="240" w:lineRule="auto"/>
              <w:jc w:val="center"/>
            </w:pPr>
            <w:r>
              <w:t>6,591.468</w:t>
            </w:r>
          </w:p>
        </w:tc>
        <w:tc>
          <w:tcPr>
            <w:tcW w:w="1966" w:type="dxa"/>
            <w:tcBorders>
              <w:top w:val="nil"/>
              <w:left w:val="nil"/>
              <w:bottom w:val="nil"/>
              <w:right w:val="nil"/>
            </w:tcBorders>
            <w:tcMar>
              <w:top w:w="100" w:type="dxa"/>
              <w:left w:w="100" w:type="dxa"/>
              <w:bottom w:w="100" w:type="dxa"/>
              <w:right w:w="100" w:type="dxa"/>
            </w:tcMar>
          </w:tcPr>
          <w:p w14:paraId="67A975DA" w14:textId="77777777" w:rsidR="00D639BF" w:rsidRDefault="00D639BF" w:rsidP="00771DCD">
            <w:pPr>
              <w:spacing w:line="240" w:lineRule="auto"/>
              <w:jc w:val="center"/>
            </w:pPr>
            <w:r>
              <w:t>46</w:t>
            </w:r>
          </w:p>
        </w:tc>
        <w:tc>
          <w:tcPr>
            <w:tcW w:w="3089" w:type="dxa"/>
            <w:tcBorders>
              <w:top w:val="nil"/>
              <w:left w:val="nil"/>
              <w:bottom w:val="nil"/>
              <w:right w:val="nil"/>
            </w:tcBorders>
            <w:tcMar>
              <w:top w:w="100" w:type="dxa"/>
              <w:left w:w="100" w:type="dxa"/>
              <w:bottom w:w="100" w:type="dxa"/>
              <w:right w:w="100" w:type="dxa"/>
            </w:tcMar>
          </w:tcPr>
          <w:p w14:paraId="6B1B0954" w14:textId="77777777" w:rsidR="00D639BF" w:rsidRDefault="00D639BF" w:rsidP="00771DCD">
            <w:pPr>
              <w:spacing w:line="240" w:lineRule="auto"/>
              <w:jc w:val="center"/>
            </w:pPr>
            <w:r>
              <w:t>1.217</w:t>
            </w:r>
          </w:p>
        </w:tc>
      </w:tr>
      <w:tr w:rsidR="00D639BF" w14:paraId="1D4FE378" w14:textId="77777777" w:rsidTr="007B76BD">
        <w:trPr>
          <w:trHeight w:val="281"/>
        </w:trPr>
        <w:tc>
          <w:tcPr>
            <w:tcW w:w="1685" w:type="dxa"/>
            <w:tcBorders>
              <w:top w:val="nil"/>
              <w:left w:val="nil"/>
              <w:bottom w:val="nil"/>
              <w:right w:val="nil"/>
            </w:tcBorders>
            <w:tcMar>
              <w:top w:w="100" w:type="dxa"/>
              <w:left w:w="100" w:type="dxa"/>
              <w:bottom w:w="100" w:type="dxa"/>
              <w:right w:w="100" w:type="dxa"/>
            </w:tcMar>
          </w:tcPr>
          <w:p w14:paraId="03522249" w14:textId="77777777" w:rsidR="00D639BF" w:rsidRDefault="00D639BF" w:rsidP="00771DCD">
            <w:pPr>
              <w:spacing w:line="240" w:lineRule="auto"/>
              <w:jc w:val="left"/>
            </w:pPr>
            <w:r>
              <w:t>Solidaridad</w:t>
            </w:r>
          </w:p>
        </w:tc>
        <w:tc>
          <w:tcPr>
            <w:tcW w:w="1123" w:type="dxa"/>
            <w:tcBorders>
              <w:top w:val="nil"/>
              <w:left w:val="nil"/>
              <w:bottom w:val="nil"/>
              <w:right w:val="nil"/>
            </w:tcBorders>
            <w:tcMar>
              <w:top w:w="100" w:type="dxa"/>
              <w:left w:w="100" w:type="dxa"/>
              <w:bottom w:w="100" w:type="dxa"/>
              <w:right w:w="100" w:type="dxa"/>
            </w:tcMar>
          </w:tcPr>
          <w:p w14:paraId="00F9EA71" w14:textId="77777777" w:rsidR="00D639BF" w:rsidRDefault="00D639BF" w:rsidP="00771DCD">
            <w:pPr>
              <w:spacing w:line="240" w:lineRule="auto"/>
              <w:jc w:val="center"/>
            </w:pPr>
            <w:r>
              <w:t>6,260.493</w:t>
            </w:r>
          </w:p>
        </w:tc>
        <w:tc>
          <w:tcPr>
            <w:tcW w:w="1966" w:type="dxa"/>
            <w:tcBorders>
              <w:top w:val="nil"/>
              <w:left w:val="nil"/>
              <w:bottom w:val="nil"/>
              <w:right w:val="nil"/>
            </w:tcBorders>
            <w:tcMar>
              <w:top w:w="100" w:type="dxa"/>
              <w:left w:w="100" w:type="dxa"/>
              <w:bottom w:w="100" w:type="dxa"/>
              <w:right w:w="100" w:type="dxa"/>
            </w:tcMar>
          </w:tcPr>
          <w:p w14:paraId="0EA3B311" w14:textId="77777777" w:rsidR="00D639BF" w:rsidRDefault="00D639BF" w:rsidP="00771DCD">
            <w:pPr>
              <w:spacing w:line="240" w:lineRule="auto"/>
              <w:jc w:val="center"/>
            </w:pPr>
            <w:r>
              <w:t>85</w:t>
            </w:r>
          </w:p>
        </w:tc>
        <w:tc>
          <w:tcPr>
            <w:tcW w:w="3089" w:type="dxa"/>
            <w:tcBorders>
              <w:top w:val="nil"/>
              <w:left w:val="nil"/>
              <w:bottom w:val="nil"/>
              <w:right w:val="nil"/>
            </w:tcBorders>
            <w:tcMar>
              <w:top w:w="100" w:type="dxa"/>
              <w:left w:w="100" w:type="dxa"/>
              <w:bottom w:w="100" w:type="dxa"/>
              <w:right w:w="100" w:type="dxa"/>
            </w:tcMar>
          </w:tcPr>
          <w:p w14:paraId="39195EA0" w14:textId="77777777" w:rsidR="00D639BF" w:rsidRDefault="00D639BF" w:rsidP="00771DCD">
            <w:pPr>
              <w:spacing w:line="240" w:lineRule="auto"/>
              <w:jc w:val="center"/>
            </w:pPr>
            <w:r>
              <w:t>1.848</w:t>
            </w:r>
          </w:p>
        </w:tc>
      </w:tr>
      <w:tr w:rsidR="00D639BF" w14:paraId="7091FFDA" w14:textId="77777777" w:rsidTr="007B76BD">
        <w:trPr>
          <w:trHeight w:val="119"/>
        </w:trPr>
        <w:tc>
          <w:tcPr>
            <w:tcW w:w="1685" w:type="dxa"/>
            <w:tcBorders>
              <w:top w:val="nil"/>
              <w:left w:val="nil"/>
              <w:bottom w:val="nil"/>
              <w:right w:val="nil"/>
            </w:tcBorders>
            <w:tcMar>
              <w:top w:w="100" w:type="dxa"/>
              <w:left w:w="100" w:type="dxa"/>
              <w:bottom w:w="100" w:type="dxa"/>
              <w:right w:w="100" w:type="dxa"/>
            </w:tcMar>
          </w:tcPr>
          <w:p w14:paraId="1CD63941" w14:textId="77777777" w:rsidR="00D639BF" w:rsidRDefault="00D639BF" w:rsidP="00771DCD">
            <w:pPr>
              <w:spacing w:line="240" w:lineRule="auto"/>
              <w:jc w:val="left"/>
            </w:pPr>
            <w:r>
              <w:t>Cristo Rey</w:t>
            </w:r>
          </w:p>
        </w:tc>
        <w:tc>
          <w:tcPr>
            <w:tcW w:w="1123" w:type="dxa"/>
            <w:tcBorders>
              <w:top w:val="nil"/>
              <w:left w:val="nil"/>
              <w:bottom w:val="nil"/>
              <w:right w:val="nil"/>
            </w:tcBorders>
            <w:tcMar>
              <w:top w:w="100" w:type="dxa"/>
              <w:left w:w="100" w:type="dxa"/>
              <w:bottom w:w="100" w:type="dxa"/>
              <w:right w:w="100" w:type="dxa"/>
            </w:tcMar>
          </w:tcPr>
          <w:p w14:paraId="615F311A" w14:textId="77777777" w:rsidR="00D639BF" w:rsidRDefault="00D639BF" w:rsidP="00771DCD">
            <w:pPr>
              <w:spacing w:line="240" w:lineRule="auto"/>
              <w:jc w:val="center"/>
            </w:pPr>
            <w:r>
              <w:t>11,570.092</w:t>
            </w:r>
          </w:p>
        </w:tc>
        <w:tc>
          <w:tcPr>
            <w:tcW w:w="1966" w:type="dxa"/>
            <w:tcBorders>
              <w:top w:val="nil"/>
              <w:left w:val="nil"/>
              <w:bottom w:val="nil"/>
              <w:right w:val="nil"/>
            </w:tcBorders>
            <w:tcMar>
              <w:top w:w="100" w:type="dxa"/>
              <w:left w:w="100" w:type="dxa"/>
              <w:bottom w:w="100" w:type="dxa"/>
              <w:right w:w="100" w:type="dxa"/>
            </w:tcMar>
          </w:tcPr>
          <w:p w14:paraId="1BEB9F05" w14:textId="77777777" w:rsidR="00D639BF" w:rsidRDefault="00D639BF" w:rsidP="00771DCD">
            <w:pPr>
              <w:spacing w:line="240" w:lineRule="auto"/>
              <w:jc w:val="center"/>
            </w:pPr>
            <w:r>
              <w:t>129</w:t>
            </w:r>
          </w:p>
        </w:tc>
        <w:tc>
          <w:tcPr>
            <w:tcW w:w="3089" w:type="dxa"/>
            <w:tcBorders>
              <w:top w:val="nil"/>
              <w:left w:val="nil"/>
              <w:bottom w:val="nil"/>
              <w:right w:val="nil"/>
            </w:tcBorders>
            <w:tcMar>
              <w:top w:w="100" w:type="dxa"/>
              <w:left w:w="100" w:type="dxa"/>
              <w:bottom w:w="100" w:type="dxa"/>
              <w:right w:w="100" w:type="dxa"/>
            </w:tcMar>
          </w:tcPr>
          <w:p w14:paraId="39403DDC" w14:textId="77777777" w:rsidR="00D639BF" w:rsidRDefault="00D639BF" w:rsidP="00771DCD">
            <w:pPr>
              <w:spacing w:line="240" w:lineRule="auto"/>
              <w:jc w:val="center"/>
            </w:pPr>
            <w:r>
              <w:t>9.443</w:t>
            </w:r>
          </w:p>
        </w:tc>
      </w:tr>
      <w:tr w:rsidR="00D639BF" w14:paraId="7DF4B592" w14:textId="77777777" w:rsidTr="007B76BD">
        <w:trPr>
          <w:trHeight w:val="127"/>
        </w:trPr>
        <w:tc>
          <w:tcPr>
            <w:tcW w:w="1685" w:type="dxa"/>
            <w:tcBorders>
              <w:top w:val="nil"/>
              <w:left w:val="nil"/>
              <w:bottom w:val="nil"/>
              <w:right w:val="nil"/>
            </w:tcBorders>
            <w:tcMar>
              <w:top w:w="100" w:type="dxa"/>
              <w:left w:w="100" w:type="dxa"/>
              <w:bottom w:w="100" w:type="dxa"/>
              <w:right w:w="100" w:type="dxa"/>
            </w:tcMar>
          </w:tcPr>
          <w:p w14:paraId="2C1153B8" w14:textId="77777777" w:rsidR="00D639BF" w:rsidRDefault="00D639BF" w:rsidP="00771DCD">
            <w:pPr>
              <w:spacing w:line="240" w:lineRule="auto"/>
              <w:jc w:val="left"/>
            </w:pPr>
            <w:r>
              <w:t>Juan Pablo II</w:t>
            </w:r>
          </w:p>
        </w:tc>
        <w:tc>
          <w:tcPr>
            <w:tcW w:w="1123" w:type="dxa"/>
            <w:tcBorders>
              <w:top w:val="nil"/>
              <w:left w:val="nil"/>
              <w:bottom w:val="nil"/>
              <w:right w:val="nil"/>
            </w:tcBorders>
            <w:tcMar>
              <w:top w:w="100" w:type="dxa"/>
              <w:left w:w="100" w:type="dxa"/>
              <w:bottom w:w="100" w:type="dxa"/>
              <w:right w:w="100" w:type="dxa"/>
            </w:tcMar>
          </w:tcPr>
          <w:p w14:paraId="2FC587B2" w14:textId="77777777" w:rsidR="00D639BF" w:rsidRDefault="00D639BF" w:rsidP="00771DCD">
            <w:pPr>
              <w:spacing w:line="240" w:lineRule="auto"/>
              <w:jc w:val="center"/>
            </w:pPr>
            <w:r>
              <w:t>12,135.281</w:t>
            </w:r>
          </w:p>
        </w:tc>
        <w:tc>
          <w:tcPr>
            <w:tcW w:w="1966" w:type="dxa"/>
            <w:tcBorders>
              <w:top w:val="nil"/>
              <w:left w:val="nil"/>
              <w:bottom w:val="nil"/>
              <w:right w:val="nil"/>
            </w:tcBorders>
            <w:tcMar>
              <w:top w:w="100" w:type="dxa"/>
              <w:left w:w="100" w:type="dxa"/>
              <w:bottom w:w="100" w:type="dxa"/>
              <w:right w:w="100" w:type="dxa"/>
            </w:tcMar>
          </w:tcPr>
          <w:p w14:paraId="47F386F0" w14:textId="77777777" w:rsidR="00D639BF" w:rsidRDefault="00D639BF" w:rsidP="00771DCD">
            <w:pPr>
              <w:spacing w:line="240" w:lineRule="auto"/>
              <w:jc w:val="center"/>
            </w:pPr>
            <w:r>
              <w:t>95</w:t>
            </w:r>
          </w:p>
        </w:tc>
        <w:tc>
          <w:tcPr>
            <w:tcW w:w="3089" w:type="dxa"/>
            <w:tcBorders>
              <w:top w:val="nil"/>
              <w:left w:val="nil"/>
              <w:bottom w:val="nil"/>
              <w:right w:val="nil"/>
            </w:tcBorders>
            <w:tcMar>
              <w:top w:w="100" w:type="dxa"/>
              <w:left w:w="100" w:type="dxa"/>
              <w:bottom w:w="100" w:type="dxa"/>
              <w:right w:w="100" w:type="dxa"/>
            </w:tcMar>
          </w:tcPr>
          <w:p w14:paraId="648C85C5" w14:textId="77777777" w:rsidR="00D639BF" w:rsidRDefault="00D639BF" w:rsidP="00771DCD">
            <w:pPr>
              <w:spacing w:line="240" w:lineRule="auto"/>
              <w:jc w:val="center"/>
            </w:pPr>
            <w:r>
              <w:t>3.694</w:t>
            </w:r>
          </w:p>
        </w:tc>
      </w:tr>
      <w:tr w:rsidR="00D639BF" w14:paraId="7FFBFE08" w14:textId="77777777" w:rsidTr="007B76BD">
        <w:trPr>
          <w:trHeight w:val="151"/>
        </w:trPr>
        <w:tc>
          <w:tcPr>
            <w:tcW w:w="1685" w:type="dxa"/>
            <w:tcBorders>
              <w:top w:val="nil"/>
              <w:left w:val="nil"/>
              <w:bottom w:val="single" w:sz="12" w:space="0" w:color="008000"/>
              <w:right w:val="nil"/>
            </w:tcBorders>
            <w:tcMar>
              <w:top w:w="100" w:type="dxa"/>
              <w:left w:w="100" w:type="dxa"/>
              <w:bottom w:w="100" w:type="dxa"/>
              <w:right w:w="100" w:type="dxa"/>
            </w:tcMar>
          </w:tcPr>
          <w:p w14:paraId="2FE6AE88" w14:textId="77777777" w:rsidR="00D639BF" w:rsidRDefault="00D639BF" w:rsidP="00771DCD">
            <w:pPr>
              <w:spacing w:line="240" w:lineRule="auto"/>
              <w:jc w:val="left"/>
            </w:pPr>
            <w:r>
              <w:t>Santa Rosa</w:t>
            </w:r>
          </w:p>
        </w:tc>
        <w:tc>
          <w:tcPr>
            <w:tcW w:w="1123" w:type="dxa"/>
            <w:tcBorders>
              <w:top w:val="nil"/>
              <w:left w:val="nil"/>
              <w:bottom w:val="single" w:sz="12" w:space="0" w:color="008000"/>
              <w:right w:val="nil"/>
            </w:tcBorders>
            <w:tcMar>
              <w:top w:w="100" w:type="dxa"/>
              <w:left w:w="100" w:type="dxa"/>
              <w:bottom w:w="100" w:type="dxa"/>
              <w:right w:w="100" w:type="dxa"/>
            </w:tcMar>
          </w:tcPr>
          <w:p w14:paraId="3FC26110" w14:textId="77777777" w:rsidR="00D639BF" w:rsidRDefault="00D639BF" w:rsidP="00771DCD">
            <w:pPr>
              <w:spacing w:line="240" w:lineRule="auto"/>
              <w:jc w:val="center"/>
            </w:pPr>
            <w:r>
              <w:t>6894.629</w:t>
            </w:r>
          </w:p>
        </w:tc>
        <w:tc>
          <w:tcPr>
            <w:tcW w:w="1966" w:type="dxa"/>
            <w:tcBorders>
              <w:top w:val="nil"/>
              <w:left w:val="nil"/>
              <w:bottom w:val="single" w:sz="12" w:space="0" w:color="008000"/>
              <w:right w:val="nil"/>
            </w:tcBorders>
            <w:tcMar>
              <w:top w:w="100" w:type="dxa"/>
              <w:left w:w="100" w:type="dxa"/>
              <w:bottom w:w="100" w:type="dxa"/>
              <w:right w:w="100" w:type="dxa"/>
            </w:tcMar>
          </w:tcPr>
          <w:p w14:paraId="1F126B7F" w14:textId="77777777" w:rsidR="00D639BF" w:rsidRDefault="00D639BF" w:rsidP="00771DCD">
            <w:pPr>
              <w:spacing w:line="240" w:lineRule="auto"/>
              <w:jc w:val="center"/>
            </w:pPr>
            <w:r>
              <w:t>71</w:t>
            </w:r>
          </w:p>
        </w:tc>
        <w:tc>
          <w:tcPr>
            <w:tcW w:w="3089" w:type="dxa"/>
            <w:tcBorders>
              <w:top w:val="nil"/>
              <w:left w:val="nil"/>
              <w:bottom w:val="single" w:sz="12" w:space="0" w:color="008000"/>
              <w:right w:val="nil"/>
            </w:tcBorders>
            <w:tcMar>
              <w:top w:w="100" w:type="dxa"/>
              <w:left w:w="100" w:type="dxa"/>
              <w:bottom w:w="100" w:type="dxa"/>
              <w:right w:w="100" w:type="dxa"/>
            </w:tcMar>
          </w:tcPr>
          <w:p w14:paraId="20B2A1F5" w14:textId="77777777" w:rsidR="00D639BF" w:rsidRDefault="00D639BF" w:rsidP="00771DCD">
            <w:pPr>
              <w:spacing w:line="240" w:lineRule="auto"/>
              <w:jc w:val="center"/>
            </w:pPr>
            <w:r>
              <w:t>4.260</w:t>
            </w:r>
          </w:p>
        </w:tc>
      </w:tr>
    </w:tbl>
    <w:p w14:paraId="2D94C74B" w14:textId="7ACD387E" w:rsidR="00D942B3" w:rsidRDefault="00D942B3" w:rsidP="00086E6C">
      <w:pPr>
        <w:pStyle w:val="CETheadingx"/>
        <w:rPr>
          <w:iCs/>
          <w:lang w:val="en-GB"/>
        </w:rPr>
      </w:pPr>
    </w:p>
    <w:p w14:paraId="2DFD3E19" w14:textId="30EF0B21" w:rsidR="00D942B3" w:rsidRDefault="00D942B3" w:rsidP="00D942B3">
      <w:pPr>
        <w:pStyle w:val="CETBodytext"/>
        <w:rPr>
          <w:lang w:val="en-GB"/>
        </w:rPr>
      </w:pPr>
    </w:p>
    <w:p w14:paraId="5D8ACA74" w14:textId="30859956" w:rsidR="00D942B3" w:rsidRDefault="00D942B3" w:rsidP="00D942B3">
      <w:pPr>
        <w:pStyle w:val="CETBodytext"/>
        <w:rPr>
          <w:lang w:val="en-GB"/>
        </w:rPr>
      </w:pPr>
    </w:p>
    <w:p w14:paraId="10583FE0" w14:textId="249740BB" w:rsidR="00D942B3" w:rsidRDefault="00D942B3" w:rsidP="00D942B3">
      <w:pPr>
        <w:pStyle w:val="CETBodytext"/>
        <w:rPr>
          <w:lang w:val="en-GB"/>
        </w:rPr>
      </w:pPr>
    </w:p>
    <w:p w14:paraId="599AFCEE" w14:textId="29E61CBD" w:rsidR="00D942B3" w:rsidRDefault="00D942B3" w:rsidP="00D942B3">
      <w:pPr>
        <w:pStyle w:val="CETBodytext"/>
        <w:rPr>
          <w:lang w:val="en-GB"/>
        </w:rPr>
      </w:pPr>
    </w:p>
    <w:p w14:paraId="7BE9562C" w14:textId="419BDC2E" w:rsidR="00D942B3" w:rsidRDefault="00D942B3" w:rsidP="00D942B3">
      <w:pPr>
        <w:pStyle w:val="CETBodytext"/>
        <w:rPr>
          <w:lang w:val="en-GB"/>
        </w:rPr>
      </w:pPr>
    </w:p>
    <w:p w14:paraId="135AB6D7" w14:textId="1A251FB0" w:rsidR="00D942B3" w:rsidRDefault="00D942B3" w:rsidP="00D942B3">
      <w:pPr>
        <w:pStyle w:val="CETBodytext"/>
        <w:rPr>
          <w:lang w:val="en-GB"/>
        </w:rPr>
      </w:pPr>
    </w:p>
    <w:p w14:paraId="1D3D64A7" w14:textId="574B199B" w:rsidR="00D942B3" w:rsidRDefault="00D942B3" w:rsidP="00D942B3">
      <w:pPr>
        <w:pStyle w:val="CETBodytext"/>
        <w:rPr>
          <w:lang w:val="en-GB"/>
        </w:rPr>
      </w:pPr>
    </w:p>
    <w:p w14:paraId="77223F53" w14:textId="77E44231" w:rsidR="00D942B3" w:rsidRDefault="00D942B3" w:rsidP="00D942B3">
      <w:pPr>
        <w:pStyle w:val="CETBodytext"/>
        <w:rPr>
          <w:lang w:val="en-GB"/>
        </w:rPr>
      </w:pPr>
    </w:p>
    <w:p w14:paraId="0ACC5980" w14:textId="5C92352D" w:rsidR="00D942B3" w:rsidRDefault="00D942B3" w:rsidP="00D942B3">
      <w:pPr>
        <w:pStyle w:val="CETBodytext"/>
        <w:rPr>
          <w:lang w:val="en-GB"/>
        </w:rPr>
      </w:pPr>
    </w:p>
    <w:p w14:paraId="700EE998" w14:textId="77777777" w:rsidR="00D942B3" w:rsidRPr="00D942B3" w:rsidRDefault="00D942B3" w:rsidP="00D942B3">
      <w:pPr>
        <w:pStyle w:val="CETBodytext"/>
        <w:rPr>
          <w:lang w:val="en-GB"/>
        </w:rPr>
      </w:pPr>
    </w:p>
    <w:p w14:paraId="1FD87C01" w14:textId="362FD393" w:rsidR="00D942B3" w:rsidRPr="00D942B3" w:rsidRDefault="007B76BD" w:rsidP="00D942B3">
      <w:pPr>
        <w:pStyle w:val="CETheadingx"/>
        <w:spacing w:after="0"/>
        <w:jc w:val="both"/>
        <w:rPr>
          <w:b w:val="0"/>
          <w:iCs/>
          <w:lang w:val="en-GB"/>
        </w:rPr>
      </w:pPr>
      <w:bookmarkStart w:id="4" w:name="_Hlk98946887"/>
      <w:r>
        <w:rPr>
          <w:b w:val="0"/>
          <w:iCs/>
          <w:lang w:val="en-GB"/>
        </w:rPr>
        <w:t xml:space="preserve">        </w:t>
      </w:r>
      <w:r w:rsidR="00D942B3" w:rsidRPr="00D942B3">
        <w:rPr>
          <w:b w:val="0"/>
          <w:iCs/>
          <w:lang w:val="en-GB"/>
        </w:rPr>
        <w:t xml:space="preserve">Table 2 shows that Cristo Rey Park has the highest amount of aboveground biomass, with a value of 9,443 t/ha. This is because it contains a greater number of trees compared to the rest of the urban parks studied. On the other hand, the park with the lowest amount of aboveground biomass is Antonio Raimondi, with a value of 1,217 t/ha and a smaller number of trees. </w:t>
      </w:r>
    </w:p>
    <w:p w14:paraId="3A2123E4" w14:textId="4F19EEE8" w:rsidR="00D942B3" w:rsidRPr="00D942B3" w:rsidRDefault="00D942B3" w:rsidP="00D942B3">
      <w:pPr>
        <w:pStyle w:val="CETheadingx"/>
        <w:jc w:val="both"/>
        <w:rPr>
          <w:b w:val="0"/>
          <w:iCs/>
          <w:lang w:val="en-GB"/>
        </w:rPr>
      </w:pPr>
      <w:r w:rsidRPr="00D942B3">
        <w:rPr>
          <w:b w:val="0"/>
          <w:iCs/>
          <w:lang w:val="en-GB"/>
        </w:rPr>
        <w:t>In another research conducted in three agricultural plots they obtained aerial biomass values of 2,971 kg/ha, 1,714 kg/ha and 2,923 kg/ha, with areas of 2.16 ha, 5.07 ha of and 15.8 ha, respectively (Marcos et al., 2016). In the same way, Huerta et al. (2018) calculated the aboveground biomass of an urban forest having as a result 379.35 tons in an area of 3 500 m2 with 48 trees of two different species. The results show that there is a difference in biomass estimation because it depends on the methodology used, the study area and number of trees. To this, Alonzo et al. (2020) and Cunliffe et al. (2021) mention that the use of photogrammetry with RPAs provides accurate estimates of aboveground biomass in different types and sizes of ecosystems, with adjustments to existing information from</w:t>
      </w:r>
      <w:r w:rsidRPr="00D942B3">
        <w:rPr>
          <w:iCs/>
          <w:lang w:val="en-GB"/>
        </w:rPr>
        <w:t xml:space="preserve"> </w:t>
      </w:r>
      <w:r w:rsidRPr="00D942B3">
        <w:rPr>
          <w:b w:val="0"/>
          <w:iCs/>
          <w:lang w:val="en-GB"/>
        </w:rPr>
        <w:t>forest inventories.</w:t>
      </w:r>
    </w:p>
    <w:bookmarkEnd w:id="4"/>
    <w:p w14:paraId="29F89E77" w14:textId="69771501" w:rsidR="00086E6C" w:rsidRDefault="00086E6C" w:rsidP="00086E6C">
      <w:pPr>
        <w:pStyle w:val="CETheadingx"/>
        <w:rPr>
          <w:iCs/>
          <w:lang w:val="en-GB"/>
        </w:rPr>
      </w:pPr>
      <w:r>
        <w:rPr>
          <w:iCs/>
          <w:lang w:val="en-GB"/>
        </w:rPr>
        <w:t xml:space="preserve">3.3 </w:t>
      </w:r>
      <w:r w:rsidR="00D942B3" w:rsidRPr="00D942B3">
        <w:rPr>
          <w:iCs/>
          <w:lang w:val="en-GB"/>
        </w:rPr>
        <w:t>Carbon sequestration</w:t>
      </w:r>
    </w:p>
    <w:p w14:paraId="63071D1F" w14:textId="2D527323" w:rsidR="004F558C" w:rsidRDefault="00D942B3" w:rsidP="00086E6C">
      <w:pPr>
        <w:pStyle w:val="CETBodytext"/>
        <w:rPr>
          <w:lang w:val="en-GB"/>
        </w:rPr>
      </w:pPr>
      <w:r w:rsidRPr="00D942B3">
        <w:rPr>
          <w:lang w:val="en-GB"/>
        </w:rPr>
        <w:t>Figure 2 shows the amount of carbon sequestration of each park based</w:t>
      </w:r>
      <w:r>
        <w:rPr>
          <w:lang w:val="en-GB"/>
        </w:rPr>
        <w:t xml:space="preserve"> on aboveground biomass content</w:t>
      </w:r>
      <w:r w:rsidR="00AC290F" w:rsidRPr="00AC290F">
        <w:rPr>
          <w:lang w:val="en-GB"/>
        </w:rPr>
        <w:t>.</w:t>
      </w:r>
    </w:p>
    <w:p w14:paraId="77B5AEFF" w14:textId="5968F62D" w:rsidR="00D942B3" w:rsidRDefault="00D942B3" w:rsidP="00D942B3">
      <w:pPr>
        <w:pStyle w:val="CETCaption"/>
        <w:spacing w:after="0"/>
        <w:rPr>
          <w:rStyle w:val="CETCaptionCarattere"/>
          <w:i/>
        </w:rPr>
      </w:pPr>
      <w:r>
        <w:rPr>
          <w:rStyle w:val="CETCaptionCarattere"/>
          <w:i/>
          <w:noProof/>
          <w:lang w:val="es-PE" w:eastAsia="es-PE"/>
        </w:rPr>
        <w:drawing>
          <wp:inline distT="0" distB="0" distL="0" distR="0" wp14:anchorId="14EAD31E" wp14:editId="62AB4C9A">
            <wp:extent cx="4552572" cy="281940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4776" cy="2820765"/>
                    </a:xfrm>
                    <a:prstGeom prst="rect">
                      <a:avLst/>
                    </a:prstGeom>
                    <a:noFill/>
                  </pic:spPr>
                </pic:pic>
              </a:graphicData>
            </a:graphic>
          </wp:inline>
        </w:drawing>
      </w:r>
    </w:p>
    <w:p w14:paraId="3D3A6895" w14:textId="5259245F" w:rsidR="00D942B3" w:rsidRDefault="00D942B3" w:rsidP="00D942B3">
      <w:pPr>
        <w:pStyle w:val="CETCaption"/>
        <w:rPr>
          <w:rStyle w:val="CETCaptionCarattere"/>
          <w:i/>
        </w:rPr>
      </w:pPr>
      <w:r w:rsidRPr="00A14554">
        <w:rPr>
          <w:rStyle w:val="CETCaptionCarattere"/>
          <w:i/>
        </w:rPr>
        <w:t xml:space="preserve">Figure 1: </w:t>
      </w:r>
      <w:r w:rsidRPr="00D942B3">
        <w:rPr>
          <w:rStyle w:val="CETCaptionCarattere"/>
          <w:i/>
        </w:rPr>
        <w:t>Calculation of aboveground biomass</w:t>
      </w:r>
    </w:p>
    <w:p w14:paraId="26E70F54" w14:textId="77777777" w:rsidR="00D942B3" w:rsidRPr="00D942B3" w:rsidRDefault="00D942B3" w:rsidP="00AE300B">
      <w:pPr>
        <w:pStyle w:val="CETTabletitle"/>
        <w:spacing w:after="0"/>
        <w:jc w:val="both"/>
        <w:rPr>
          <w:i w:val="0"/>
        </w:rPr>
      </w:pPr>
      <w:bookmarkStart w:id="5" w:name="_Hlk98946949"/>
      <w:r w:rsidRPr="00D942B3">
        <w:rPr>
          <w:i w:val="0"/>
        </w:rPr>
        <w:t xml:space="preserve">Cristo Rey Park has a higher carbon sequestration of 4,438 tC/ha than the other parks because it contains more aboveground biomass. Antonio Raimondi Park has the lowest level with 0.572 tC/ha and less aboveground biomass, showing that aboveground biomass is directly proportional to carbon sequestration. </w:t>
      </w:r>
    </w:p>
    <w:p w14:paraId="0943D858" w14:textId="52A6CD2C" w:rsidR="00D942B3" w:rsidRDefault="00DC38C7" w:rsidP="00AE300B">
      <w:pPr>
        <w:pStyle w:val="CETTabletitle"/>
        <w:spacing w:before="0" w:after="0"/>
        <w:jc w:val="both"/>
        <w:rPr>
          <w:i w:val="0"/>
        </w:rPr>
      </w:pPr>
      <w:r w:rsidRPr="00DC38C7">
        <w:rPr>
          <w:i w:val="0"/>
        </w:rPr>
        <w:t>The estimation of carbon sequestration may vary according to the conversion factor used, which depends on the characteristics of the species evaluated a</w:t>
      </w:r>
      <w:r>
        <w:rPr>
          <w:i w:val="0"/>
        </w:rPr>
        <w:t>nd on the researcher's criteria</w:t>
      </w:r>
      <w:r w:rsidR="00D942B3" w:rsidRPr="00D942B3">
        <w:rPr>
          <w:i w:val="0"/>
        </w:rPr>
        <w:t xml:space="preserve">. </w:t>
      </w:r>
      <w:r w:rsidR="00686C23" w:rsidRPr="00686C23">
        <w:rPr>
          <w:i w:val="0"/>
        </w:rPr>
        <w:t xml:space="preserve">In the present research, the factor </w:t>
      </w:r>
      <w:r w:rsidR="00686C23" w:rsidRPr="00686C23">
        <w:rPr>
          <w:i w:val="0"/>
        </w:rPr>
        <w:lastRenderedPageBreak/>
        <w:t xml:space="preserve">"0.47" was used for the conversion of biomass to carbon, </w:t>
      </w:r>
      <w:r w:rsidR="00686C23">
        <w:rPr>
          <w:i w:val="0"/>
        </w:rPr>
        <w:t>according to the r</w:t>
      </w:r>
      <w:r w:rsidR="00686C23" w:rsidRPr="00686C23">
        <w:rPr>
          <w:i w:val="0"/>
        </w:rPr>
        <w:t>eport of the Forest and Wildlife National Inventory of Peru (MINAM, 2019)</w:t>
      </w:r>
      <w:r w:rsidR="00D942B3" w:rsidRPr="00D942B3">
        <w:rPr>
          <w:i w:val="0"/>
        </w:rPr>
        <w:t>. This factor was also applied in the work of Abdullah et al. (2021), using the Intergovernmental Panel on Climate Change (IPCC) as a reference.</w:t>
      </w:r>
    </w:p>
    <w:p w14:paraId="420CAD19" w14:textId="1047727B" w:rsidR="00D942B3" w:rsidRDefault="00DC38C7" w:rsidP="00DC38C7">
      <w:pPr>
        <w:pStyle w:val="CETTabletitle"/>
        <w:spacing w:before="0"/>
        <w:jc w:val="both"/>
        <w:rPr>
          <w:i w:val="0"/>
        </w:rPr>
      </w:pPr>
      <w:r w:rsidRPr="00DC38C7">
        <w:rPr>
          <w:i w:val="0"/>
          <w:iCs/>
        </w:rPr>
        <w:t>Thus, Zhao and Hu (2017</w:t>
      </w:r>
      <w:r w:rsidRPr="00DC38C7">
        <w:rPr>
          <w:i w:val="0"/>
        </w:rPr>
        <w:t>) used the constant 0.4937 due to the fact that in their research they worked with different broadleaved tree species that could use coefficients in the range between 0.45 and 0.55. On the other hand, Fernandes et al. (2020) and Tak and Kakde (2020) used the conversion factor 0.5 because they considered 50% of the calculated biomass, indicating that the conversion factor de</w:t>
      </w:r>
      <w:r>
        <w:rPr>
          <w:i w:val="0"/>
        </w:rPr>
        <w:t>pends on the species evaluated</w:t>
      </w:r>
      <w:r w:rsidR="00D942B3" w:rsidRPr="00D942B3">
        <w:rPr>
          <w:i w:val="0"/>
        </w:rPr>
        <w:t>.</w:t>
      </w:r>
    </w:p>
    <w:bookmarkEnd w:id="5"/>
    <w:p w14:paraId="7DCF67F9" w14:textId="443DEFAB" w:rsidR="00D82616" w:rsidRPr="00C14646" w:rsidRDefault="00C14646" w:rsidP="00C14646">
      <w:pPr>
        <w:pStyle w:val="CETHeading1"/>
        <w:tabs>
          <w:tab w:val="right" w:pos="7100"/>
        </w:tabs>
        <w:jc w:val="both"/>
      </w:pPr>
      <w:r w:rsidRPr="00C14646">
        <w:t xml:space="preserve">4. </w:t>
      </w:r>
      <w:r w:rsidR="00B911EE" w:rsidRPr="00C14646">
        <w:t>Conclusions</w:t>
      </w:r>
    </w:p>
    <w:p w14:paraId="774F58ED" w14:textId="14CFD5EC" w:rsidR="00F956B6" w:rsidRPr="00D82616" w:rsidRDefault="00AE300B" w:rsidP="00B911EE">
      <w:pPr>
        <w:pStyle w:val="CETBodytext"/>
      </w:pPr>
      <w:bookmarkStart w:id="6" w:name="_Hlk98946956"/>
      <w:r w:rsidRPr="00AE300B">
        <w:t>Photogrammetry with RPAs is a favorable and efficient methodology that allows determining the aerial biomass and calculating carbon sequestration, helping to preserve green areas according to the number of inhabitants per urban area. The results were given in tons of aerial biomass per hectare (t/ha) and tons of carbon sequestration per hectare (tC/ha); thus, Raimondi Park obtained 1,217 t/ha and 0. 572 tC/ha, Solidaridad Park obtained 1,848 t/ha and 0.868 tC/ha, Cristo Rey Park obtained 9,443 t/ha and 4,438 tC/ha, Juan Pablo II Park obtained 3,694 t/ha and 1,736 tC/ha, and Santa Rosa Park obtained 4,260 t/ha and 2,002 tC/ha, demonstrating a direct correla</w:t>
      </w:r>
      <w:r>
        <w:t>tion between biomass and carbon</w:t>
      </w:r>
      <w:r w:rsidR="00D82616" w:rsidRPr="00AA0D1E">
        <w:t>.</w:t>
      </w:r>
    </w:p>
    <w:p w14:paraId="459D05E6" w14:textId="77777777" w:rsidR="00600535" w:rsidRPr="00C14646" w:rsidRDefault="00600535" w:rsidP="00600535">
      <w:pPr>
        <w:pStyle w:val="CETAcknowledgementstitle"/>
        <w:rPr>
          <w:lang w:val="en-US"/>
        </w:rPr>
      </w:pPr>
      <w:r w:rsidRPr="00C14646">
        <w:rPr>
          <w:lang w:val="en-US"/>
        </w:rPr>
        <w:t>Acknowledgments</w:t>
      </w:r>
    </w:p>
    <w:p w14:paraId="4F1F7825" w14:textId="5BFADECC" w:rsidR="00D82616" w:rsidRPr="00D82616" w:rsidRDefault="00172815" w:rsidP="00600535">
      <w:pPr>
        <w:pStyle w:val="CETBodytext"/>
      </w:pPr>
      <w:r w:rsidRPr="0048329B">
        <w:t>The authors would like to thank "Investiga UCV" of the Universidad César Vallejo for financial support for t</w:t>
      </w:r>
      <w:r w:rsidR="00123360">
        <w:t>he publication of this research</w:t>
      </w:r>
      <w:r w:rsidR="00D82616">
        <w:t>.</w:t>
      </w:r>
    </w:p>
    <w:bookmarkEnd w:id="6"/>
    <w:p w14:paraId="4F1327F8" w14:textId="77777777" w:rsidR="00600535" w:rsidRPr="00B57B36" w:rsidRDefault="00600535" w:rsidP="00600535">
      <w:pPr>
        <w:pStyle w:val="CETReference"/>
      </w:pPr>
      <w:r w:rsidRPr="00B57B36">
        <w:t>References</w:t>
      </w:r>
    </w:p>
    <w:p w14:paraId="662A7134" w14:textId="03F87E29" w:rsidR="00436107" w:rsidRPr="00DC38C7" w:rsidRDefault="00436107" w:rsidP="00AE300B">
      <w:pPr>
        <w:pStyle w:val="NormalWeb"/>
        <w:ind w:left="284" w:hanging="283"/>
        <w:rPr>
          <w:rFonts w:cs="Arial"/>
          <w:color w:val="000000"/>
          <w:sz w:val="18"/>
          <w:szCs w:val="18"/>
        </w:rPr>
      </w:pPr>
      <w:r w:rsidRPr="00DC38C7">
        <w:rPr>
          <w:rFonts w:cs="Arial"/>
          <w:color w:val="000000"/>
          <w:sz w:val="18"/>
          <w:szCs w:val="18"/>
        </w:rPr>
        <w:t>Abdullah M. M., Al-Ali Z. M., Abdullah M. M., Srinivasan S., Assi A. T., Al Atiqi S., 2021, Investigating the applicability of UAVs in characterizing desert shrub biomass and developing biological indicators for the selection of suitable revegetation sites, Journal of Environmental Management, 288, 112416.</w:t>
      </w:r>
    </w:p>
    <w:p w14:paraId="76CBB768" w14:textId="7F67F9C3" w:rsidR="003607EC" w:rsidRPr="00DC38C7" w:rsidRDefault="00B911EE" w:rsidP="00AE300B">
      <w:pPr>
        <w:pStyle w:val="NormalWeb"/>
        <w:ind w:left="284" w:hanging="283"/>
        <w:rPr>
          <w:rFonts w:cs="Arial"/>
          <w:color w:val="000000"/>
          <w:sz w:val="18"/>
          <w:szCs w:val="18"/>
        </w:rPr>
      </w:pPr>
      <w:r w:rsidRPr="00DC38C7">
        <w:rPr>
          <w:lang w:val="pt-BR"/>
        </w:rPr>
        <w:fldChar w:fldCharType="begin" w:fldLock="1"/>
      </w:r>
      <w:r w:rsidRPr="00DC38C7">
        <w:instrText xml:space="preserve">ADDIN Mendeley Bibliography CSL_BIBLIOGRAPHY </w:instrText>
      </w:r>
      <w:r w:rsidRPr="00DC38C7">
        <w:rPr>
          <w:lang w:val="pt-BR"/>
        </w:rPr>
        <w:fldChar w:fldCharType="separate"/>
      </w:r>
      <w:r w:rsidR="003607EC" w:rsidRPr="00DC38C7">
        <w:rPr>
          <w:rFonts w:cs="Arial"/>
          <w:color w:val="000000"/>
          <w:sz w:val="18"/>
          <w:szCs w:val="18"/>
        </w:rPr>
        <w:t>Alonzo M., Dial R. J., Schulz B. K., Andersen H. E., Lewis-Clark E., Cook B. D., Morton D. C., 2020, Mapping tall shrub biomass in Alaska at landscape scale using structure-from-motion photogrammetry and lidar, Remote Sensing of Environment, 245, 111841.</w:t>
      </w:r>
    </w:p>
    <w:p w14:paraId="076918F4" w14:textId="2B780BCA" w:rsidR="00AE300B" w:rsidRPr="00DC38C7" w:rsidRDefault="00B00C00" w:rsidP="00AE300B">
      <w:pPr>
        <w:pStyle w:val="NormalWeb"/>
        <w:ind w:left="284" w:hanging="283"/>
      </w:pPr>
      <w:r w:rsidRPr="00DC38C7">
        <w:rPr>
          <w:rFonts w:cs="Arial"/>
          <w:color w:val="000000"/>
          <w:sz w:val="18"/>
          <w:szCs w:val="18"/>
        </w:rPr>
        <w:t>Baccini A., Walker W., Carvalho L., Farina M., Houghton R. A., 2019, Response to Comment on “Tropical forests are a net carbon source based on aboveground measurements of gain and loss”, Science, 363 (6423), 1–11.</w:t>
      </w:r>
    </w:p>
    <w:p w14:paraId="65EF02DC" w14:textId="40F85BAF" w:rsidR="00AE300B" w:rsidRPr="00DC38C7" w:rsidRDefault="00AE300B" w:rsidP="00AE300B">
      <w:pPr>
        <w:pStyle w:val="NormalWeb"/>
        <w:ind w:left="284" w:hanging="283"/>
      </w:pPr>
      <w:r w:rsidRPr="00DC38C7">
        <w:rPr>
          <w:rFonts w:cs="Arial"/>
          <w:color w:val="000000"/>
          <w:sz w:val="18"/>
          <w:szCs w:val="18"/>
        </w:rPr>
        <w:t> </w:t>
      </w:r>
      <w:r w:rsidR="00C86DC0" w:rsidRPr="00DC38C7">
        <w:rPr>
          <w:rFonts w:cs="Arial"/>
          <w:color w:val="000000"/>
          <w:sz w:val="18"/>
          <w:szCs w:val="18"/>
        </w:rPr>
        <w:t>Bendig J., Bolten A., Bennertz S., Broscheit J., Eichfuss S., Bareth G., 2014, Estimating biomass of barley using crop surface models (CSMs) derived from UAV-based RGB imaging, Remote Sensing, 6 (11), 10395–10412.</w:t>
      </w:r>
    </w:p>
    <w:p w14:paraId="7FA127DD" w14:textId="6D525BBF" w:rsidR="00043D9A" w:rsidRPr="00DC38C7" w:rsidRDefault="00043D9A" w:rsidP="00AE300B">
      <w:pPr>
        <w:pStyle w:val="NormalWeb"/>
        <w:ind w:left="284" w:hanging="283"/>
        <w:rPr>
          <w:rFonts w:cs="Arial"/>
          <w:color w:val="000000"/>
          <w:sz w:val="18"/>
          <w:szCs w:val="18"/>
        </w:rPr>
      </w:pPr>
      <w:r w:rsidRPr="00DC38C7">
        <w:rPr>
          <w:rFonts w:cs="Arial"/>
          <w:color w:val="000000"/>
          <w:sz w:val="18"/>
          <w:szCs w:val="18"/>
        </w:rPr>
        <w:t xml:space="preserve">Cunliffe A. M., Anderson K., Boschetti F., Brazier R. E., Graham H. A., Myers-Smith I. H., </w:t>
      </w:r>
      <w:r w:rsidR="006B0AE1" w:rsidRPr="00DC38C7">
        <w:rPr>
          <w:rFonts w:cs="Arial"/>
          <w:color w:val="000000"/>
          <w:sz w:val="18"/>
          <w:szCs w:val="18"/>
        </w:rPr>
        <w:t>..</w:t>
      </w:r>
      <w:r w:rsidRPr="00DC38C7">
        <w:rPr>
          <w:rFonts w:cs="Arial"/>
          <w:color w:val="000000"/>
          <w:sz w:val="18"/>
          <w:szCs w:val="18"/>
        </w:rPr>
        <w:t>., Wojcikiewicz R., 2022, Global application of an unoccupied aerial vehicle photogrammetry protocol for predicting aboveground biomass in non-forest ecosystems, Remote Sensing in Ecology and Conservation, 8 (1), 57–71.</w:t>
      </w:r>
    </w:p>
    <w:p w14:paraId="43BDE097" w14:textId="19AA76AD" w:rsidR="00AE300B" w:rsidRPr="00DC38C7" w:rsidRDefault="00E857B2" w:rsidP="00AE300B">
      <w:pPr>
        <w:pStyle w:val="NormalWeb"/>
        <w:ind w:left="284" w:hanging="283"/>
      </w:pPr>
      <w:r w:rsidRPr="00DC38C7">
        <w:rPr>
          <w:rFonts w:cs="Arial"/>
          <w:color w:val="000000"/>
          <w:sz w:val="18"/>
          <w:szCs w:val="18"/>
        </w:rPr>
        <w:t xml:space="preserve">Fernandes M. R., Aguiar F. C., Martins M. J., Rico N., Ferreira M. T., Correia A. C., 2020, Carbon stock estimations in a mediterranean riparian forest: A case study combining field data and UAV imagery, Forests, 11 (4). </w:t>
      </w:r>
    </w:p>
    <w:p w14:paraId="665DCA6F" w14:textId="19510691" w:rsidR="00AE300B" w:rsidRPr="00DC38C7" w:rsidRDefault="00E857B2" w:rsidP="00AE300B">
      <w:pPr>
        <w:pStyle w:val="NormalWeb"/>
        <w:ind w:left="284" w:hanging="283"/>
      </w:pPr>
      <w:r w:rsidRPr="00DC38C7">
        <w:rPr>
          <w:rFonts w:cs="Arial"/>
          <w:color w:val="000000"/>
          <w:sz w:val="18"/>
          <w:szCs w:val="18"/>
        </w:rPr>
        <w:t>He Y., Wang W., Chen Y, Yan H., 2021, Assessing spatio-temporal patterns and driving force of ecosystem service value in the main urban area of Guangzhou, Scientific Reports, 11 (1), 1–18.</w:t>
      </w:r>
    </w:p>
    <w:p w14:paraId="372BEC67" w14:textId="76CB1230" w:rsidR="00AE300B" w:rsidRPr="00DC38C7" w:rsidRDefault="00AE300B" w:rsidP="00AE300B">
      <w:pPr>
        <w:pStyle w:val="NormalWeb"/>
        <w:ind w:left="284" w:hanging="283"/>
        <w:rPr>
          <w:lang w:val="en-US"/>
        </w:rPr>
      </w:pPr>
      <w:r w:rsidRPr="00DC38C7">
        <w:rPr>
          <w:rFonts w:cs="Arial"/>
          <w:color w:val="000000"/>
          <w:sz w:val="18"/>
          <w:szCs w:val="18"/>
        </w:rPr>
        <w:t>Heinrich V., Dalagnol R., Cassol H., Rosan T., De Almeida C., Silva Junior C., Campanharo W., House J., Sitch S., Hales T., Adami M., Anderson L.</w:t>
      </w:r>
      <w:r w:rsidR="00EC74A0" w:rsidRPr="00DC38C7">
        <w:rPr>
          <w:rFonts w:cs="Arial"/>
          <w:color w:val="000000"/>
          <w:sz w:val="18"/>
          <w:szCs w:val="18"/>
        </w:rPr>
        <w:t>,</w:t>
      </w:r>
      <w:r w:rsidRPr="00DC38C7">
        <w:rPr>
          <w:rFonts w:cs="Arial"/>
          <w:color w:val="000000"/>
          <w:sz w:val="18"/>
          <w:szCs w:val="18"/>
        </w:rPr>
        <w:t xml:space="preserve"> Aragão L., 2021, Large carbon sink potential of secondary forests in the Brazilian Amazon to mitigate climate change</w:t>
      </w:r>
      <w:r w:rsidR="00397E12" w:rsidRPr="00DC38C7">
        <w:rPr>
          <w:rFonts w:cs="Arial"/>
          <w:color w:val="000000"/>
          <w:sz w:val="18"/>
          <w:szCs w:val="18"/>
        </w:rPr>
        <w:t>,</w:t>
      </w:r>
      <w:r w:rsidRPr="00DC38C7">
        <w:rPr>
          <w:rFonts w:cs="Arial"/>
          <w:color w:val="000000"/>
          <w:sz w:val="18"/>
          <w:szCs w:val="18"/>
        </w:rPr>
        <w:t xml:space="preserve"> </w:t>
      </w:r>
      <w:r w:rsidRPr="00DC38C7">
        <w:rPr>
          <w:rFonts w:cs="Arial"/>
          <w:color w:val="000000"/>
          <w:sz w:val="18"/>
          <w:szCs w:val="18"/>
          <w:lang w:val="en-US"/>
        </w:rPr>
        <w:t>Nature Communications ,12, 1-11</w:t>
      </w:r>
      <w:r w:rsidR="00EC74A0" w:rsidRPr="00DC38C7">
        <w:rPr>
          <w:rFonts w:cs="Arial"/>
          <w:color w:val="000000"/>
          <w:sz w:val="18"/>
          <w:szCs w:val="18"/>
          <w:lang w:val="en-US"/>
        </w:rPr>
        <w:t>.</w:t>
      </w:r>
    </w:p>
    <w:p w14:paraId="2B18EA5C" w14:textId="762344E0" w:rsidR="00AE300B" w:rsidRPr="00DC38C7" w:rsidRDefault="002C23C0" w:rsidP="00AE300B">
      <w:pPr>
        <w:pStyle w:val="NormalWeb"/>
        <w:ind w:left="284" w:hanging="283"/>
        <w:rPr>
          <w:lang w:val="es-PE"/>
        </w:rPr>
      </w:pPr>
      <w:r w:rsidRPr="00DC38C7">
        <w:rPr>
          <w:rFonts w:cs="Arial"/>
          <w:color w:val="000000"/>
          <w:sz w:val="18"/>
          <w:szCs w:val="18"/>
          <w:lang w:val="es-PE"/>
        </w:rPr>
        <w:t>Huerta-García R. E., Ramírez-Serrato N. L., Yépez-Rincón F. D., Lozano-García D. F., 2018, Precisión de los sensores remotos para la estimación de parámetros de biomasa aérea: LIDAR portátil y sensores ópticos. Revista Chapingo, Serie Ciencias Forestales y del Ambiente, 24 (2), 219–235.</w:t>
      </w:r>
      <w:r w:rsidR="00AE300B" w:rsidRPr="00DC38C7">
        <w:rPr>
          <w:rFonts w:cs="Arial"/>
          <w:color w:val="000000"/>
          <w:sz w:val="18"/>
          <w:szCs w:val="18"/>
          <w:lang w:val="es-PE"/>
        </w:rPr>
        <w:t xml:space="preserve"> </w:t>
      </w:r>
    </w:p>
    <w:p w14:paraId="75E39513" w14:textId="3ACB4BEE" w:rsidR="00AE300B" w:rsidRPr="00DC38C7" w:rsidRDefault="00AE300B" w:rsidP="00AE300B">
      <w:pPr>
        <w:pStyle w:val="NormalWeb"/>
        <w:ind w:left="284" w:hanging="283"/>
        <w:rPr>
          <w:lang w:val="es-PE"/>
        </w:rPr>
      </w:pPr>
      <w:r w:rsidRPr="00DC38C7">
        <w:rPr>
          <w:rFonts w:cs="Arial"/>
          <w:color w:val="000000"/>
          <w:sz w:val="18"/>
          <w:szCs w:val="18"/>
          <w:lang w:val="es-PE"/>
        </w:rPr>
        <w:t>Isibue E</w:t>
      </w:r>
      <w:r w:rsidR="00EC74A0" w:rsidRPr="00DC38C7">
        <w:rPr>
          <w:rFonts w:cs="Arial"/>
          <w:color w:val="000000"/>
          <w:sz w:val="18"/>
          <w:szCs w:val="18"/>
          <w:lang w:val="es-PE"/>
        </w:rPr>
        <w:t xml:space="preserve">., </w:t>
      </w:r>
      <w:r w:rsidRPr="00DC38C7">
        <w:rPr>
          <w:rFonts w:cs="Arial"/>
          <w:color w:val="000000"/>
          <w:sz w:val="18"/>
          <w:szCs w:val="18"/>
          <w:lang w:val="es-PE"/>
        </w:rPr>
        <w:t>Pingel T., 2020, Unmanned aerial vehicle based measurement of urban forests</w:t>
      </w:r>
      <w:r w:rsidR="0014216F" w:rsidRPr="00DC38C7">
        <w:rPr>
          <w:rFonts w:cs="Arial"/>
          <w:color w:val="000000"/>
          <w:sz w:val="18"/>
          <w:szCs w:val="18"/>
          <w:lang w:val="es-PE"/>
        </w:rPr>
        <w:t>, Urban Forestry &amp; Urban Greening, 48.</w:t>
      </w:r>
    </w:p>
    <w:p w14:paraId="36DAE8F2" w14:textId="155FCAC0" w:rsidR="00AE300B" w:rsidRPr="00DC38C7" w:rsidRDefault="00AE300B" w:rsidP="00AE300B">
      <w:pPr>
        <w:pStyle w:val="NormalWeb"/>
        <w:ind w:left="284" w:hanging="283"/>
        <w:rPr>
          <w:lang w:val="es-PE"/>
        </w:rPr>
      </w:pPr>
      <w:r w:rsidRPr="00DC38C7">
        <w:rPr>
          <w:rFonts w:cs="Arial"/>
          <w:color w:val="000000"/>
          <w:sz w:val="18"/>
          <w:szCs w:val="18"/>
        </w:rPr>
        <w:t>Jiménez J.</w:t>
      </w:r>
      <w:r w:rsidR="00EC74A0" w:rsidRPr="00DC38C7">
        <w:rPr>
          <w:rFonts w:cs="Arial"/>
          <w:color w:val="000000"/>
          <w:sz w:val="18"/>
          <w:szCs w:val="18"/>
        </w:rPr>
        <w:t xml:space="preserve">, </w:t>
      </w:r>
      <w:r w:rsidRPr="00DC38C7">
        <w:rPr>
          <w:rFonts w:cs="Arial"/>
          <w:color w:val="000000"/>
          <w:sz w:val="18"/>
          <w:szCs w:val="18"/>
        </w:rPr>
        <w:t>Mulero M</w:t>
      </w:r>
      <w:r w:rsidR="00EC74A0" w:rsidRPr="00DC38C7">
        <w:rPr>
          <w:rFonts w:cs="Arial"/>
          <w:color w:val="000000"/>
          <w:sz w:val="18"/>
          <w:szCs w:val="18"/>
        </w:rPr>
        <w:t>.</w:t>
      </w:r>
      <w:r w:rsidRPr="00DC38C7">
        <w:rPr>
          <w:rFonts w:cs="Arial"/>
          <w:color w:val="000000"/>
          <w:sz w:val="18"/>
          <w:szCs w:val="18"/>
        </w:rPr>
        <w:t>, 20</w:t>
      </w:r>
      <w:r w:rsidR="0046479D" w:rsidRPr="00DC38C7">
        <w:rPr>
          <w:rFonts w:cs="Arial"/>
          <w:color w:val="000000"/>
          <w:sz w:val="18"/>
          <w:szCs w:val="18"/>
        </w:rPr>
        <w:t>19</w:t>
      </w:r>
      <w:r w:rsidRPr="00DC38C7">
        <w:rPr>
          <w:rFonts w:cs="Arial"/>
          <w:color w:val="000000"/>
          <w:sz w:val="18"/>
          <w:szCs w:val="18"/>
        </w:rPr>
        <w:t xml:space="preserve">, Drones for Conservation in Protected Areas: Present and Future. </w:t>
      </w:r>
      <w:r w:rsidRPr="00DC38C7">
        <w:rPr>
          <w:rFonts w:cs="Arial"/>
          <w:color w:val="000000"/>
          <w:sz w:val="18"/>
          <w:szCs w:val="18"/>
          <w:lang w:val="es-PE"/>
        </w:rPr>
        <w:t xml:space="preserve">Drones, </w:t>
      </w:r>
      <w:r w:rsidR="0046479D" w:rsidRPr="00DC38C7">
        <w:rPr>
          <w:rFonts w:cs="Arial"/>
          <w:color w:val="000000"/>
          <w:sz w:val="18"/>
          <w:szCs w:val="18"/>
          <w:lang w:val="es-PE"/>
        </w:rPr>
        <w:t>3 (1), 1–23.</w:t>
      </w:r>
      <w:r w:rsidRPr="00DC38C7">
        <w:rPr>
          <w:rFonts w:cs="Arial"/>
          <w:color w:val="000000"/>
          <w:sz w:val="18"/>
          <w:szCs w:val="18"/>
          <w:lang w:val="es-PE"/>
        </w:rPr>
        <w:t xml:space="preserve"> </w:t>
      </w:r>
    </w:p>
    <w:p w14:paraId="07276D40" w14:textId="6F5F243D" w:rsidR="00AE300B" w:rsidRPr="00DC38C7" w:rsidRDefault="00AE300B" w:rsidP="00AE300B">
      <w:pPr>
        <w:pStyle w:val="NormalWeb"/>
        <w:ind w:left="284" w:hanging="283"/>
        <w:rPr>
          <w:lang w:val="es-PE"/>
        </w:rPr>
      </w:pPr>
      <w:r w:rsidRPr="00DC38C7">
        <w:rPr>
          <w:rFonts w:cs="Arial"/>
          <w:color w:val="000000"/>
          <w:sz w:val="18"/>
          <w:szCs w:val="18"/>
          <w:lang w:val="es-PE"/>
        </w:rPr>
        <w:t>Marcos J., Sánchez L., Gil M., Ortiz J.</w:t>
      </w:r>
      <w:r w:rsidR="00EC74A0" w:rsidRPr="00DC38C7">
        <w:rPr>
          <w:rFonts w:cs="Arial"/>
          <w:color w:val="000000"/>
          <w:sz w:val="18"/>
          <w:szCs w:val="18"/>
          <w:lang w:val="es-PE"/>
        </w:rPr>
        <w:t>,</w:t>
      </w:r>
      <w:r w:rsidRPr="00DC38C7">
        <w:rPr>
          <w:rFonts w:cs="Arial"/>
          <w:color w:val="000000"/>
          <w:sz w:val="18"/>
          <w:szCs w:val="18"/>
          <w:lang w:val="es-PE"/>
        </w:rPr>
        <w:t xml:space="preserve"> Martínez S., 2016, Empleo de la fotogrametría de rango cercano y RPAs para la determinación de biomasa en parcelas agrícolas</w:t>
      </w:r>
      <w:r w:rsidR="00397E12" w:rsidRPr="00DC38C7">
        <w:rPr>
          <w:rFonts w:cs="Arial"/>
          <w:color w:val="000000"/>
          <w:sz w:val="18"/>
          <w:szCs w:val="18"/>
          <w:lang w:val="es-PE"/>
        </w:rPr>
        <w:t>,</w:t>
      </w:r>
      <w:r w:rsidRPr="00DC38C7">
        <w:rPr>
          <w:rFonts w:cs="Arial"/>
          <w:color w:val="000000"/>
          <w:sz w:val="18"/>
          <w:szCs w:val="18"/>
          <w:lang w:val="es-PE"/>
        </w:rPr>
        <w:t xml:space="preserve"> Revista lbérica de Sistemas y Tecnologías de Información RISTI,</w:t>
      </w:r>
      <w:r w:rsidR="004A0E58" w:rsidRPr="00DC38C7">
        <w:rPr>
          <w:rFonts w:cs="Arial"/>
          <w:color w:val="000000"/>
          <w:sz w:val="18"/>
          <w:szCs w:val="18"/>
          <w:lang w:val="es-PE"/>
        </w:rPr>
        <w:t xml:space="preserve">19 (9), </w:t>
      </w:r>
      <w:r w:rsidRPr="00DC38C7">
        <w:rPr>
          <w:rFonts w:cs="Arial"/>
          <w:color w:val="000000"/>
          <w:sz w:val="18"/>
          <w:szCs w:val="18"/>
          <w:lang w:val="es-PE"/>
        </w:rPr>
        <w:t xml:space="preserve">118-130. </w:t>
      </w:r>
    </w:p>
    <w:p w14:paraId="0E96E1DB" w14:textId="58169248" w:rsidR="00AE300B" w:rsidRPr="00DC38C7" w:rsidRDefault="004A0E58" w:rsidP="00AE300B">
      <w:pPr>
        <w:pStyle w:val="NormalWeb"/>
        <w:ind w:left="284" w:hanging="283"/>
        <w:rPr>
          <w:lang w:val="es-PE"/>
        </w:rPr>
      </w:pPr>
      <w:r w:rsidRPr="00DC38C7">
        <w:rPr>
          <w:rFonts w:cs="Arial"/>
          <w:color w:val="000000"/>
          <w:sz w:val="18"/>
          <w:szCs w:val="18"/>
          <w:lang w:val="es-PE"/>
        </w:rPr>
        <w:lastRenderedPageBreak/>
        <w:t>Meza Chavez, L. P., 2015, Biomasa aerea y contenido de carbono de los bosques del aerea de influencia de la carretera Iquitos- Nauta. Perú. Tesis de grado</w:t>
      </w:r>
      <w:r w:rsidR="00AE300B" w:rsidRPr="00DC38C7">
        <w:rPr>
          <w:rFonts w:cs="Arial"/>
          <w:color w:val="000000"/>
          <w:sz w:val="18"/>
          <w:szCs w:val="18"/>
          <w:lang w:val="es-PE"/>
        </w:rPr>
        <w:t xml:space="preserve">, Universidad Nacional de la Amazonía Peruana, </w:t>
      </w:r>
      <w:r w:rsidR="00A6564A" w:rsidRPr="00DC38C7">
        <w:rPr>
          <w:rFonts w:cs="Arial"/>
          <w:color w:val="000000"/>
          <w:sz w:val="18"/>
          <w:szCs w:val="18"/>
          <w:lang w:val="es-PE"/>
        </w:rPr>
        <w:t xml:space="preserve">Iquitos, </w:t>
      </w:r>
      <w:r w:rsidR="00AE300B" w:rsidRPr="00DC38C7">
        <w:rPr>
          <w:rFonts w:cs="Arial"/>
          <w:color w:val="000000"/>
          <w:sz w:val="18"/>
          <w:szCs w:val="18"/>
          <w:lang w:val="es-PE"/>
        </w:rPr>
        <w:t>Perú.</w:t>
      </w:r>
    </w:p>
    <w:p w14:paraId="755354A5" w14:textId="3C4E900C" w:rsidR="00AE300B" w:rsidRPr="00DC38C7" w:rsidRDefault="00AE300B" w:rsidP="00AE300B">
      <w:pPr>
        <w:pStyle w:val="NormalWeb"/>
        <w:ind w:left="284" w:hanging="283"/>
        <w:rPr>
          <w:lang w:val="es-PE"/>
        </w:rPr>
      </w:pPr>
      <w:r w:rsidRPr="00DC38C7">
        <w:rPr>
          <w:rFonts w:cs="Arial"/>
          <w:color w:val="000000"/>
          <w:sz w:val="18"/>
          <w:szCs w:val="18"/>
          <w:lang w:val="es-PE"/>
        </w:rPr>
        <w:t>Ministerio del Ambiente</w:t>
      </w:r>
      <w:r w:rsidR="00085C2D" w:rsidRPr="00DC38C7">
        <w:rPr>
          <w:rFonts w:cs="Arial"/>
          <w:i/>
          <w:iCs/>
          <w:color w:val="000000"/>
          <w:sz w:val="18"/>
          <w:szCs w:val="18"/>
          <w:lang w:val="es-PE"/>
        </w:rPr>
        <w:t xml:space="preserve"> - </w:t>
      </w:r>
      <w:r w:rsidR="000E27D9" w:rsidRPr="00DC38C7">
        <w:rPr>
          <w:rFonts w:cs="Arial"/>
          <w:color w:val="000000"/>
          <w:sz w:val="18"/>
          <w:szCs w:val="18"/>
          <w:lang w:val="es-PE"/>
        </w:rPr>
        <w:t>MINAM</w:t>
      </w:r>
      <w:r w:rsidR="000E27D9" w:rsidRPr="00DC38C7">
        <w:rPr>
          <w:rFonts w:cs="Arial"/>
          <w:i/>
          <w:iCs/>
          <w:color w:val="000000"/>
          <w:sz w:val="18"/>
          <w:szCs w:val="18"/>
          <w:lang w:val="es-PE"/>
        </w:rPr>
        <w:t>,</w:t>
      </w:r>
      <w:r w:rsidRPr="00DC38C7">
        <w:rPr>
          <w:rFonts w:cs="Arial"/>
          <w:i/>
          <w:iCs/>
          <w:color w:val="000000"/>
          <w:sz w:val="18"/>
          <w:szCs w:val="18"/>
          <w:lang w:val="es-PE"/>
        </w:rPr>
        <w:t xml:space="preserve"> </w:t>
      </w:r>
      <w:r w:rsidRPr="00DC38C7">
        <w:rPr>
          <w:rFonts w:cs="Arial"/>
          <w:color w:val="000000"/>
          <w:sz w:val="18"/>
          <w:szCs w:val="18"/>
          <w:lang w:val="es-PE"/>
        </w:rPr>
        <w:t>20</w:t>
      </w:r>
      <w:r w:rsidR="008E489E" w:rsidRPr="00DC38C7">
        <w:rPr>
          <w:rFonts w:cs="Arial"/>
          <w:color w:val="000000"/>
          <w:sz w:val="18"/>
          <w:szCs w:val="18"/>
          <w:lang w:val="es-PE"/>
        </w:rPr>
        <w:t>19</w:t>
      </w:r>
      <w:r w:rsidRPr="00DC38C7">
        <w:rPr>
          <w:rFonts w:cs="Arial"/>
          <w:color w:val="000000"/>
          <w:sz w:val="18"/>
          <w:szCs w:val="18"/>
          <w:lang w:val="es-PE"/>
        </w:rPr>
        <w:t>, Informe del Inventario Nacional Forestal y de Fauna Silvestre del Perú &lt;</w:t>
      </w:r>
      <w:r w:rsidRPr="00DC38C7">
        <w:rPr>
          <w:rFonts w:cs="Arial"/>
          <w:sz w:val="18"/>
          <w:szCs w:val="18"/>
          <w:lang w:val="es-PE"/>
        </w:rPr>
        <w:t>www.serfor.gob.pe/portal/wp-content/uploads/2020/03/INFORME-DEL-INFFS-PANEL-1.pdf</w:t>
      </w:r>
      <w:r w:rsidRPr="00DC38C7">
        <w:rPr>
          <w:rFonts w:cs="Arial"/>
          <w:color w:val="000000"/>
          <w:sz w:val="18"/>
          <w:szCs w:val="18"/>
          <w:lang w:val="es-PE"/>
        </w:rPr>
        <w:t xml:space="preserve">&gt; </w:t>
      </w:r>
      <w:r w:rsidR="005A212D" w:rsidRPr="00DC38C7">
        <w:rPr>
          <w:rFonts w:cs="Arial"/>
          <w:color w:val="000000"/>
          <w:sz w:val="18"/>
          <w:szCs w:val="18"/>
          <w:lang w:val="es-PE"/>
        </w:rPr>
        <w:t>accessed</w:t>
      </w:r>
      <w:r w:rsidRPr="00DC38C7">
        <w:rPr>
          <w:rFonts w:cs="Arial"/>
          <w:color w:val="000000"/>
          <w:sz w:val="18"/>
          <w:szCs w:val="18"/>
          <w:lang w:val="es-PE"/>
        </w:rPr>
        <w:t xml:space="preserve"> 29.09.2021</w:t>
      </w:r>
    </w:p>
    <w:p w14:paraId="6F2C2D01" w14:textId="77777777" w:rsidR="000C7873" w:rsidRPr="00DC38C7" w:rsidRDefault="000C7873" w:rsidP="00AE300B">
      <w:pPr>
        <w:pStyle w:val="NormalWeb"/>
        <w:ind w:left="284" w:hanging="283"/>
        <w:rPr>
          <w:rFonts w:cs="Arial"/>
          <w:color w:val="000000"/>
          <w:sz w:val="18"/>
          <w:szCs w:val="18"/>
        </w:rPr>
      </w:pPr>
      <w:r w:rsidRPr="00DC38C7">
        <w:rPr>
          <w:rFonts w:cs="Arial"/>
          <w:color w:val="000000"/>
          <w:sz w:val="18"/>
          <w:szCs w:val="18"/>
        </w:rPr>
        <w:t xml:space="preserve">Muukkonen P., Heiskanen, J., 2007, Biomass estimation over a large area based on standwise forest inventory data and ASTER and MODIS satellite data: A possibility to verify carbon inventories, Remote Sensing of Environment, 107 (4), 617–624. </w:t>
      </w:r>
    </w:p>
    <w:p w14:paraId="22780B71" w14:textId="2F1DDBCD" w:rsidR="00AE300B" w:rsidRPr="00DC38C7" w:rsidRDefault="00AE300B" w:rsidP="00AE300B">
      <w:pPr>
        <w:pStyle w:val="NormalWeb"/>
        <w:ind w:left="284" w:hanging="283"/>
        <w:rPr>
          <w:lang w:val="es-PE"/>
        </w:rPr>
      </w:pPr>
      <w:r w:rsidRPr="00DC38C7">
        <w:rPr>
          <w:rFonts w:cs="Arial"/>
          <w:color w:val="000000"/>
          <w:sz w:val="18"/>
          <w:szCs w:val="18"/>
          <w:lang w:val="es-PE"/>
        </w:rPr>
        <w:t>Organización de las Naciones Unidas para la Alimentación y la Agricultura</w:t>
      </w:r>
      <w:r w:rsidR="000C7873" w:rsidRPr="00DC38C7">
        <w:rPr>
          <w:rFonts w:cs="Arial"/>
          <w:color w:val="000000"/>
          <w:sz w:val="18"/>
          <w:szCs w:val="18"/>
          <w:lang w:val="es-PE"/>
        </w:rPr>
        <w:t xml:space="preserve"> - FAO</w:t>
      </w:r>
      <w:r w:rsidRPr="00DC38C7">
        <w:rPr>
          <w:rFonts w:cs="Arial"/>
          <w:color w:val="000000"/>
          <w:sz w:val="18"/>
          <w:szCs w:val="18"/>
          <w:lang w:val="es-PE"/>
        </w:rPr>
        <w:t>, 2010, Términos y Definiciones &lt;</w:t>
      </w:r>
      <w:r w:rsidRPr="00DC38C7">
        <w:rPr>
          <w:rFonts w:cs="Arial"/>
          <w:sz w:val="18"/>
          <w:szCs w:val="18"/>
          <w:lang w:val="es-PE"/>
        </w:rPr>
        <w:t>www.fao.org/3/am665s/am665s00.pdf</w:t>
      </w:r>
      <w:r w:rsidRPr="00DC38C7">
        <w:rPr>
          <w:rFonts w:cs="Arial"/>
          <w:color w:val="000000"/>
          <w:sz w:val="18"/>
          <w:szCs w:val="18"/>
          <w:lang w:val="es-PE"/>
        </w:rPr>
        <w:t xml:space="preserve">&gt; </w:t>
      </w:r>
      <w:r w:rsidR="005A212D" w:rsidRPr="00DC38C7">
        <w:rPr>
          <w:rFonts w:cs="Arial"/>
          <w:color w:val="000000"/>
          <w:sz w:val="18"/>
          <w:szCs w:val="18"/>
          <w:lang w:val="es-PE"/>
        </w:rPr>
        <w:t>accessed</w:t>
      </w:r>
      <w:r w:rsidRPr="00DC38C7">
        <w:rPr>
          <w:rFonts w:cs="Arial"/>
          <w:color w:val="000000"/>
          <w:sz w:val="18"/>
          <w:szCs w:val="18"/>
          <w:lang w:val="es-PE"/>
        </w:rPr>
        <w:t xml:space="preserve"> 10.06.2021</w:t>
      </w:r>
    </w:p>
    <w:p w14:paraId="725BAEC9" w14:textId="210A4D50" w:rsidR="00AE300B" w:rsidRPr="00DC38C7" w:rsidRDefault="00AE300B" w:rsidP="00AE300B">
      <w:pPr>
        <w:pStyle w:val="NormalWeb"/>
        <w:ind w:left="284" w:hanging="283"/>
      </w:pPr>
      <w:r w:rsidRPr="00DC38C7">
        <w:rPr>
          <w:rFonts w:cs="Arial"/>
          <w:color w:val="000000"/>
          <w:sz w:val="18"/>
          <w:szCs w:val="18"/>
        </w:rPr>
        <w:t>Pauchard A.</w:t>
      </w:r>
      <w:r w:rsidR="00EC74A0" w:rsidRPr="00DC38C7">
        <w:rPr>
          <w:rFonts w:cs="Arial"/>
          <w:color w:val="000000"/>
          <w:sz w:val="18"/>
          <w:szCs w:val="18"/>
        </w:rPr>
        <w:t>,</w:t>
      </w:r>
      <w:r w:rsidRPr="00DC38C7">
        <w:rPr>
          <w:rFonts w:cs="Arial"/>
          <w:color w:val="000000"/>
          <w:sz w:val="18"/>
          <w:szCs w:val="18"/>
        </w:rPr>
        <w:t xml:space="preserve"> Barbosa O., 2013, Regional Assessment of Latin America: Rapid Urban Development and Social Economic Inequity Threaten Biodiversity Hotspots. In: Elmqvist T. et al. (eds) Urbanization, Biodiversity and Ecosystem Services: Challenges and Opportunities</w:t>
      </w:r>
      <w:r w:rsidR="00397E12" w:rsidRPr="00DC38C7">
        <w:rPr>
          <w:rFonts w:cs="Arial"/>
          <w:color w:val="000000"/>
          <w:sz w:val="18"/>
          <w:szCs w:val="18"/>
        </w:rPr>
        <w:t>,</w:t>
      </w:r>
      <w:r w:rsidRPr="00DC38C7">
        <w:rPr>
          <w:rFonts w:cs="Arial"/>
          <w:color w:val="000000"/>
          <w:sz w:val="18"/>
          <w:szCs w:val="18"/>
        </w:rPr>
        <w:t xml:space="preserve"> Springer, Dordrecht,</w:t>
      </w:r>
      <w:r w:rsidR="00397E12" w:rsidRPr="00DC38C7">
        <w:rPr>
          <w:rFonts w:cs="Arial"/>
          <w:color w:val="000000"/>
          <w:sz w:val="18"/>
          <w:szCs w:val="18"/>
        </w:rPr>
        <w:t xml:space="preserve"> </w:t>
      </w:r>
      <w:r w:rsidRPr="00DC38C7">
        <w:rPr>
          <w:rFonts w:cs="Arial"/>
          <w:color w:val="000000"/>
          <w:sz w:val="18"/>
          <w:szCs w:val="18"/>
        </w:rPr>
        <w:t>589-608</w:t>
      </w:r>
      <w:r w:rsidR="00225992" w:rsidRPr="00DC38C7">
        <w:rPr>
          <w:rFonts w:cs="Arial"/>
          <w:color w:val="000000"/>
          <w:sz w:val="18"/>
          <w:szCs w:val="18"/>
        </w:rPr>
        <w:t>.</w:t>
      </w:r>
    </w:p>
    <w:p w14:paraId="424D52D3" w14:textId="1F0175DA" w:rsidR="00AE300B" w:rsidRPr="00DC38C7" w:rsidRDefault="00AE300B" w:rsidP="00AE300B">
      <w:pPr>
        <w:pStyle w:val="NormalWeb"/>
        <w:ind w:left="284" w:hanging="283"/>
        <w:rPr>
          <w:lang w:val="en-US"/>
        </w:rPr>
      </w:pPr>
      <w:r w:rsidRPr="00DC38C7">
        <w:rPr>
          <w:rFonts w:cs="Arial"/>
          <w:color w:val="000000"/>
          <w:sz w:val="18"/>
          <w:szCs w:val="18"/>
        </w:rPr>
        <w:t>Petris S., Sarvia F.</w:t>
      </w:r>
      <w:r w:rsidR="00EC74A0" w:rsidRPr="00DC38C7">
        <w:rPr>
          <w:rFonts w:cs="Arial"/>
          <w:color w:val="000000"/>
          <w:sz w:val="18"/>
          <w:szCs w:val="18"/>
        </w:rPr>
        <w:t>,</w:t>
      </w:r>
      <w:r w:rsidRPr="00DC38C7">
        <w:rPr>
          <w:rFonts w:cs="Arial"/>
          <w:color w:val="000000"/>
          <w:sz w:val="18"/>
          <w:szCs w:val="18"/>
        </w:rPr>
        <w:t xml:space="preserve"> Borgogno E., 2020, RPAS-based photogrammetry to support tree stability assessment: Longing for precision arboriculture</w:t>
      </w:r>
      <w:r w:rsidR="00397E12" w:rsidRPr="00DC38C7">
        <w:rPr>
          <w:rFonts w:cs="Arial"/>
          <w:color w:val="000000"/>
          <w:sz w:val="18"/>
          <w:szCs w:val="18"/>
        </w:rPr>
        <w:t>,</w:t>
      </w:r>
      <w:r w:rsidRPr="00DC38C7">
        <w:rPr>
          <w:rFonts w:cs="Arial"/>
          <w:color w:val="000000"/>
          <w:sz w:val="18"/>
          <w:szCs w:val="18"/>
        </w:rPr>
        <w:t xml:space="preserve"> </w:t>
      </w:r>
      <w:r w:rsidRPr="00DC38C7">
        <w:rPr>
          <w:rFonts w:cs="Arial"/>
          <w:color w:val="000000"/>
          <w:sz w:val="18"/>
          <w:szCs w:val="18"/>
          <w:lang w:val="en-US"/>
        </w:rPr>
        <w:t>Urban Forestry &amp; Urban Greening, 55</w:t>
      </w:r>
      <w:r w:rsidR="005A247A" w:rsidRPr="00DC38C7">
        <w:rPr>
          <w:rFonts w:cs="Arial"/>
          <w:color w:val="000000"/>
          <w:sz w:val="18"/>
          <w:szCs w:val="18"/>
          <w:lang w:val="en-US"/>
        </w:rPr>
        <w:t>, 126862</w:t>
      </w:r>
      <w:r w:rsidR="00225992" w:rsidRPr="00DC38C7">
        <w:rPr>
          <w:rFonts w:cs="Arial"/>
          <w:color w:val="000000"/>
          <w:sz w:val="18"/>
          <w:szCs w:val="18"/>
          <w:lang w:val="en-US"/>
        </w:rPr>
        <w:t>.</w:t>
      </w:r>
    </w:p>
    <w:p w14:paraId="2B6F4198" w14:textId="185D7820" w:rsidR="00AE300B" w:rsidRPr="00DC38C7" w:rsidRDefault="00225992" w:rsidP="00AE300B">
      <w:pPr>
        <w:pStyle w:val="NormalWeb"/>
        <w:ind w:left="284" w:hanging="283"/>
        <w:rPr>
          <w:lang w:val="en-US"/>
        </w:rPr>
      </w:pPr>
      <w:r w:rsidRPr="00DC38C7">
        <w:rPr>
          <w:rFonts w:cs="Arial"/>
          <w:color w:val="000000"/>
          <w:sz w:val="18"/>
          <w:szCs w:val="18"/>
          <w:lang w:val="es-PE"/>
        </w:rPr>
        <w:t>Quirós</w:t>
      </w:r>
      <w:r w:rsidR="00AE300B" w:rsidRPr="00DC38C7">
        <w:rPr>
          <w:rFonts w:cs="Arial"/>
          <w:color w:val="000000"/>
          <w:sz w:val="18"/>
          <w:szCs w:val="18"/>
          <w:lang w:val="es-PE"/>
        </w:rPr>
        <w:t xml:space="preserve"> E., 2014,</w:t>
      </w:r>
      <w:r w:rsidR="00AE300B" w:rsidRPr="00DC38C7">
        <w:rPr>
          <w:rFonts w:cs="Arial"/>
          <w:i/>
          <w:iCs/>
          <w:color w:val="000000"/>
          <w:sz w:val="18"/>
          <w:szCs w:val="18"/>
          <w:lang w:val="es-PE"/>
        </w:rPr>
        <w:t xml:space="preserve"> </w:t>
      </w:r>
      <w:r w:rsidR="00AE300B" w:rsidRPr="00DC38C7">
        <w:rPr>
          <w:rFonts w:cs="Arial"/>
          <w:color w:val="000000"/>
          <w:sz w:val="18"/>
          <w:szCs w:val="18"/>
          <w:lang w:val="es-PE"/>
        </w:rPr>
        <w:t xml:space="preserve">Introducción a la Fotogrametría y Cartografía aplicadas a la Ingeniería Civil 1ª edición. </w:t>
      </w:r>
      <w:r w:rsidR="00AE300B" w:rsidRPr="00DC38C7">
        <w:rPr>
          <w:rFonts w:cs="Arial"/>
          <w:color w:val="000000"/>
          <w:sz w:val="18"/>
          <w:szCs w:val="18"/>
          <w:lang w:val="en-US"/>
        </w:rPr>
        <w:t>España</w:t>
      </w:r>
      <w:r w:rsidRPr="00DC38C7">
        <w:rPr>
          <w:rFonts w:cs="Arial"/>
          <w:color w:val="000000"/>
          <w:sz w:val="18"/>
          <w:szCs w:val="18"/>
          <w:lang w:val="en-US"/>
        </w:rPr>
        <w:t>.</w:t>
      </w:r>
    </w:p>
    <w:p w14:paraId="66342EFF" w14:textId="2A7E9475" w:rsidR="00AE300B" w:rsidRPr="00DC38C7" w:rsidRDefault="00AE300B" w:rsidP="00AE300B">
      <w:pPr>
        <w:pStyle w:val="NormalWeb"/>
        <w:ind w:left="284" w:hanging="283"/>
        <w:rPr>
          <w:rFonts w:cs="Arial"/>
          <w:color w:val="000000"/>
          <w:sz w:val="18"/>
          <w:szCs w:val="18"/>
          <w:lang w:val="es-PE"/>
        </w:rPr>
      </w:pPr>
      <w:r w:rsidRPr="00DC38C7">
        <w:rPr>
          <w:rFonts w:cs="Arial"/>
          <w:color w:val="000000"/>
          <w:sz w:val="18"/>
          <w:szCs w:val="18"/>
        </w:rPr>
        <w:t>Roik M., Carlos E.</w:t>
      </w:r>
      <w:r w:rsidR="00225992" w:rsidRPr="00DC38C7">
        <w:rPr>
          <w:rFonts w:cs="Arial"/>
          <w:color w:val="000000"/>
          <w:sz w:val="18"/>
          <w:szCs w:val="18"/>
        </w:rPr>
        <w:t xml:space="preserve">, </w:t>
      </w:r>
      <w:r w:rsidRPr="00DC38C7">
        <w:rPr>
          <w:rFonts w:cs="Arial"/>
          <w:color w:val="000000"/>
          <w:sz w:val="18"/>
          <w:szCs w:val="18"/>
        </w:rPr>
        <w:t xml:space="preserve">Ruiz Z., 2020, Aboveground Biomass and Organic Carbon of Native Araucaria Angustifolia (Bertol.) </w:t>
      </w:r>
      <w:r w:rsidRPr="00DC38C7">
        <w:rPr>
          <w:rFonts w:cs="Arial"/>
          <w:color w:val="000000"/>
          <w:sz w:val="18"/>
          <w:szCs w:val="18"/>
          <w:lang w:val="es-PE"/>
        </w:rPr>
        <w:t>Kuntze</w:t>
      </w:r>
      <w:r w:rsidR="00397E12" w:rsidRPr="00DC38C7">
        <w:rPr>
          <w:rFonts w:cs="Arial"/>
          <w:color w:val="000000"/>
          <w:sz w:val="18"/>
          <w:szCs w:val="18"/>
          <w:lang w:val="es-PE"/>
        </w:rPr>
        <w:t>,</w:t>
      </w:r>
      <w:r w:rsidRPr="00DC38C7">
        <w:rPr>
          <w:rFonts w:cs="Arial"/>
          <w:color w:val="000000"/>
          <w:sz w:val="18"/>
          <w:szCs w:val="18"/>
          <w:lang w:val="es-PE"/>
        </w:rPr>
        <w:t xml:space="preserve"> Floresta e Ambiente Review</w:t>
      </w:r>
      <w:r w:rsidR="00EA4F4F" w:rsidRPr="00DC38C7">
        <w:rPr>
          <w:rFonts w:cs="Arial"/>
          <w:color w:val="000000"/>
          <w:sz w:val="18"/>
          <w:szCs w:val="18"/>
          <w:lang w:val="es-PE"/>
        </w:rPr>
        <w:t>, 27 (3).</w:t>
      </w:r>
    </w:p>
    <w:p w14:paraId="59E2AE73" w14:textId="519D2EF6" w:rsidR="009F1011" w:rsidRPr="00DC38C7" w:rsidRDefault="009F1011" w:rsidP="00AE300B">
      <w:pPr>
        <w:pStyle w:val="NormalWeb"/>
        <w:ind w:left="284" w:hanging="283"/>
        <w:rPr>
          <w:rFonts w:cs="Arial"/>
          <w:color w:val="000000"/>
          <w:sz w:val="18"/>
          <w:szCs w:val="18"/>
          <w:lang w:val="es-PE"/>
        </w:rPr>
      </w:pPr>
      <w:r w:rsidRPr="00DC38C7">
        <w:rPr>
          <w:rFonts w:cs="Arial"/>
          <w:color w:val="000000"/>
          <w:sz w:val="18"/>
          <w:szCs w:val="18"/>
          <w:lang w:val="es-PE"/>
        </w:rPr>
        <w:t>Sánchez L., Marcos J., LLorente E., H</w:t>
      </w:r>
      <w:r w:rsidR="00DC38C7">
        <w:rPr>
          <w:rFonts w:cs="Arial"/>
          <w:color w:val="000000"/>
          <w:sz w:val="18"/>
          <w:szCs w:val="18"/>
          <w:lang w:val="es-PE"/>
        </w:rPr>
        <w:t xml:space="preserve">ernández S., Carrión P., 2016, </w:t>
      </w:r>
      <w:r w:rsidRPr="00DC38C7">
        <w:rPr>
          <w:rFonts w:cs="Arial"/>
          <w:color w:val="000000"/>
          <w:sz w:val="18"/>
          <w:szCs w:val="18"/>
          <w:lang w:val="es-PE"/>
        </w:rPr>
        <w:t>Aplicación de tecnologías de teledetección al estudio de biomasa forestal, Revista lbérica de Sistemas y Tecnologías de Información RISTI</w:t>
      </w:r>
      <w:r w:rsidR="006307B8" w:rsidRPr="00DC38C7">
        <w:rPr>
          <w:rFonts w:cs="Arial"/>
          <w:color w:val="000000"/>
          <w:sz w:val="18"/>
          <w:szCs w:val="18"/>
          <w:lang w:val="es-PE"/>
        </w:rPr>
        <w:t xml:space="preserve">, </w:t>
      </w:r>
      <w:r w:rsidRPr="00DC38C7">
        <w:rPr>
          <w:rFonts w:cs="Arial"/>
          <w:color w:val="000000"/>
          <w:sz w:val="18"/>
          <w:szCs w:val="18"/>
          <w:lang w:val="es-PE"/>
        </w:rPr>
        <w:t xml:space="preserve">1646-9895. </w:t>
      </w:r>
    </w:p>
    <w:p w14:paraId="7AFBD11D" w14:textId="5D4BE1AC" w:rsidR="00AE300B" w:rsidRPr="00DC38C7" w:rsidRDefault="00AE300B" w:rsidP="00AE300B">
      <w:pPr>
        <w:pStyle w:val="NormalWeb"/>
        <w:ind w:left="284" w:hanging="283"/>
      </w:pPr>
      <w:r w:rsidRPr="00DC38C7">
        <w:rPr>
          <w:rFonts w:cs="Arial"/>
          <w:color w:val="000000"/>
          <w:sz w:val="18"/>
          <w:szCs w:val="18"/>
        </w:rPr>
        <w:t>Su H., Shen W., Wang J., Ali A.</w:t>
      </w:r>
      <w:r w:rsidR="00225992" w:rsidRPr="00DC38C7">
        <w:rPr>
          <w:rFonts w:cs="Arial"/>
          <w:color w:val="000000"/>
          <w:sz w:val="18"/>
          <w:szCs w:val="18"/>
        </w:rPr>
        <w:t>,</w:t>
      </w:r>
      <w:r w:rsidRPr="00DC38C7">
        <w:rPr>
          <w:rFonts w:cs="Arial"/>
          <w:color w:val="000000"/>
          <w:sz w:val="18"/>
          <w:szCs w:val="18"/>
        </w:rPr>
        <w:t xml:space="preserve"> Li M., 2020, Machine learning and geostatistical approaches for estimating aboveground biomass in Chinese subtropical forests</w:t>
      </w:r>
      <w:r w:rsidR="00397E12" w:rsidRPr="00DC38C7">
        <w:rPr>
          <w:rFonts w:cs="Arial"/>
          <w:color w:val="000000"/>
          <w:sz w:val="18"/>
          <w:szCs w:val="18"/>
        </w:rPr>
        <w:t>,</w:t>
      </w:r>
      <w:r w:rsidRPr="00DC38C7">
        <w:rPr>
          <w:rFonts w:cs="Arial"/>
          <w:color w:val="000000"/>
          <w:sz w:val="18"/>
          <w:szCs w:val="18"/>
        </w:rPr>
        <w:t xml:space="preserve"> Forest Ecosystems, 7</w:t>
      </w:r>
      <w:r w:rsidR="00CB3628" w:rsidRPr="00DC38C7">
        <w:rPr>
          <w:rFonts w:cs="Arial"/>
          <w:color w:val="000000"/>
          <w:sz w:val="18"/>
          <w:szCs w:val="18"/>
        </w:rPr>
        <w:t xml:space="preserve"> (1)</w:t>
      </w:r>
      <w:r w:rsidRPr="00DC38C7">
        <w:rPr>
          <w:rFonts w:cs="Arial"/>
          <w:color w:val="000000"/>
          <w:sz w:val="18"/>
          <w:szCs w:val="18"/>
        </w:rPr>
        <w:t xml:space="preserve">. </w:t>
      </w:r>
    </w:p>
    <w:p w14:paraId="299235A1" w14:textId="7712E23F" w:rsidR="00AE300B" w:rsidRPr="00DC38C7" w:rsidRDefault="00AE300B" w:rsidP="00AE300B">
      <w:pPr>
        <w:pStyle w:val="NormalWeb"/>
        <w:ind w:left="284" w:hanging="283"/>
      </w:pPr>
      <w:r w:rsidRPr="00DC38C7">
        <w:rPr>
          <w:rFonts w:cs="Arial"/>
          <w:color w:val="000000"/>
          <w:sz w:val="18"/>
          <w:szCs w:val="18"/>
        </w:rPr>
        <w:t>Tak A.</w:t>
      </w:r>
      <w:r w:rsidR="002D3F3B" w:rsidRPr="00DC38C7">
        <w:rPr>
          <w:rFonts w:cs="Arial"/>
          <w:color w:val="000000"/>
          <w:sz w:val="18"/>
          <w:szCs w:val="18"/>
        </w:rPr>
        <w:t>A.</w:t>
      </w:r>
      <w:r w:rsidR="00225992" w:rsidRPr="00DC38C7">
        <w:rPr>
          <w:rFonts w:cs="Arial"/>
          <w:color w:val="000000"/>
          <w:sz w:val="18"/>
          <w:szCs w:val="18"/>
        </w:rPr>
        <w:t xml:space="preserve">, </w:t>
      </w:r>
      <w:r w:rsidRPr="00DC38C7">
        <w:rPr>
          <w:rFonts w:cs="Arial"/>
          <w:color w:val="000000"/>
          <w:sz w:val="18"/>
          <w:szCs w:val="18"/>
        </w:rPr>
        <w:t>Kakde U.</w:t>
      </w:r>
      <w:r w:rsidR="002D3F3B" w:rsidRPr="00DC38C7">
        <w:rPr>
          <w:rFonts w:cs="Arial"/>
          <w:color w:val="000000"/>
          <w:sz w:val="18"/>
          <w:szCs w:val="18"/>
        </w:rPr>
        <w:t>B.</w:t>
      </w:r>
      <w:r w:rsidRPr="00DC38C7">
        <w:rPr>
          <w:rFonts w:cs="Arial"/>
          <w:color w:val="000000"/>
          <w:sz w:val="18"/>
          <w:szCs w:val="18"/>
        </w:rPr>
        <w:t>, 2020, Analysis of carbon sequestration by dominant trees in urban areas of Thane city</w:t>
      </w:r>
      <w:r w:rsidR="00397E12" w:rsidRPr="00DC38C7">
        <w:rPr>
          <w:rFonts w:cs="Arial"/>
          <w:color w:val="000000"/>
          <w:sz w:val="18"/>
          <w:szCs w:val="18"/>
        </w:rPr>
        <w:t>,</w:t>
      </w:r>
      <w:r w:rsidRPr="00DC38C7">
        <w:rPr>
          <w:rFonts w:cs="Arial"/>
          <w:color w:val="000000"/>
          <w:sz w:val="18"/>
          <w:szCs w:val="18"/>
        </w:rPr>
        <w:t xml:space="preserve"> International Journal of Global Warming, 20</w:t>
      </w:r>
      <w:r w:rsidR="002D3F3B" w:rsidRPr="00DC38C7">
        <w:rPr>
          <w:rFonts w:cs="Arial"/>
          <w:color w:val="000000"/>
          <w:sz w:val="18"/>
          <w:szCs w:val="18"/>
        </w:rPr>
        <w:t xml:space="preserve"> (1)</w:t>
      </w:r>
      <w:r w:rsidRPr="00DC38C7">
        <w:rPr>
          <w:rFonts w:cs="Arial"/>
          <w:color w:val="000000"/>
          <w:sz w:val="18"/>
          <w:szCs w:val="18"/>
        </w:rPr>
        <w:t xml:space="preserve">, 1-11. </w:t>
      </w:r>
    </w:p>
    <w:p w14:paraId="69203123" w14:textId="607D8C47" w:rsidR="00AE300B" w:rsidRPr="00DC38C7" w:rsidRDefault="00AE300B" w:rsidP="00AE300B">
      <w:pPr>
        <w:pStyle w:val="NormalWeb"/>
        <w:ind w:left="284" w:hanging="284"/>
      </w:pPr>
      <w:r w:rsidRPr="00DC38C7">
        <w:rPr>
          <w:rFonts w:cs="Arial"/>
          <w:color w:val="000000"/>
          <w:sz w:val="18"/>
          <w:szCs w:val="18"/>
        </w:rPr>
        <w:t>Zhao Y.</w:t>
      </w:r>
      <w:r w:rsidR="00225992" w:rsidRPr="00DC38C7">
        <w:rPr>
          <w:rFonts w:cs="Arial"/>
          <w:color w:val="000000"/>
          <w:sz w:val="18"/>
          <w:szCs w:val="18"/>
        </w:rPr>
        <w:t>,</w:t>
      </w:r>
      <w:r w:rsidRPr="00DC38C7">
        <w:rPr>
          <w:rFonts w:cs="Arial"/>
          <w:color w:val="000000"/>
          <w:sz w:val="18"/>
          <w:szCs w:val="18"/>
        </w:rPr>
        <w:t xml:space="preserve"> Hu Q., 2017, Carbon Sequestration Estimation of Street Trees Based On Point Cloud From Vehicle-Borne Laser Scanning System. The International Archives of the Photogrammetry, Remote Sensing and Spatial Information Sciences, XLII-2/W7, 18–22</w:t>
      </w:r>
      <w:r w:rsidR="006656F9" w:rsidRPr="00DC38C7">
        <w:rPr>
          <w:rFonts w:cs="Arial"/>
          <w:color w:val="000000"/>
          <w:sz w:val="18"/>
          <w:szCs w:val="18"/>
        </w:rPr>
        <w:t>.</w:t>
      </w:r>
      <w:r w:rsidRPr="00DC38C7">
        <w:rPr>
          <w:rFonts w:cs="Arial"/>
          <w:color w:val="000000"/>
          <w:sz w:val="18"/>
          <w:szCs w:val="18"/>
        </w:rPr>
        <w:t xml:space="preserve"> </w:t>
      </w:r>
    </w:p>
    <w:p w14:paraId="3657C47F" w14:textId="4AFD236F" w:rsidR="00B911EE" w:rsidRPr="00B911EE" w:rsidRDefault="0005578F" w:rsidP="00AE300B">
      <w:pPr>
        <w:pStyle w:val="NormalWeb"/>
        <w:ind w:left="284" w:hanging="284"/>
        <w:rPr>
          <w:lang w:val="en-US"/>
        </w:rPr>
      </w:pPr>
      <w:r w:rsidRPr="00DC38C7">
        <w:t xml:space="preserve"> </w:t>
      </w:r>
      <w:r w:rsidR="00B911EE" w:rsidRPr="00DC38C7">
        <w:fldChar w:fldCharType="end"/>
      </w:r>
    </w:p>
    <w:p w14:paraId="35D5B018" w14:textId="77777777" w:rsidR="00B911EE" w:rsidRDefault="00B911EE" w:rsidP="00AE300B">
      <w:pPr>
        <w:pStyle w:val="CETReferencetext"/>
      </w:pPr>
    </w:p>
    <w:p w14:paraId="5E3140FA" w14:textId="2E4ED21B" w:rsidR="004628D2" w:rsidRDefault="004628D2" w:rsidP="005D64B3">
      <w:pPr>
        <w:pStyle w:val="CETBodytext"/>
        <w:jc w:val="center"/>
      </w:pPr>
    </w:p>
    <w:p w14:paraId="20DF2B61" w14:textId="2C8FEC5A" w:rsidR="005A212D" w:rsidRPr="005A212D" w:rsidRDefault="005A212D" w:rsidP="005A212D">
      <w:pPr>
        <w:pStyle w:val="CETBodytext"/>
      </w:pPr>
    </w:p>
    <w:p w14:paraId="286AF072" w14:textId="2996FE49" w:rsidR="005A212D" w:rsidRPr="005A212D" w:rsidRDefault="005A212D" w:rsidP="005A212D">
      <w:pPr>
        <w:pStyle w:val="CETBodytext"/>
      </w:pPr>
    </w:p>
    <w:p w14:paraId="20A60B31" w14:textId="1D081405" w:rsidR="005A212D" w:rsidRPr="005A212D" w:rsidRDefault="005A212D" w:rsidP="005A212D">
      <w:pPr>
        <w:pStyle w:val="CETBodytext"/>
      </w:pPr>
    </w:p>
    <w:p w14:paraId="59F4C6A7" w14:textId="1E75CF69" w:rsidR="005A212D" w:rsidRPr="005A212D" w:rsidRDefault="005A212D" w:rsidP="005A212D">
      <w:pPr>
        <w:pStyle w:val="CETBodytext"/>
      </w:pPr>
    </w:p>
    <w:p w14:paraId="28A2A159" w14:textId="0214A1A3" w:rsidR="005A212D" w:rsidRDefault="005A212D" w:rsidP="005A212D">
      <w:pPr>
        <w:pStyle w:val="CETBodytext"/>
      </w:pPr>
    </w:p>
    <w:p w14:paraId="6C899692" w14:textId="77777777" w:rsidR="005A212D" w:rsidRPr="005A212D" w:rsidRDefault="005A212D" w:rsidP="005A212D">
      <w:pPr>
        <w:pStyle w:val="CETBodytext"/>
        <w:jc w:val="center"/>
      </w:pPr>
    </w:p>
    <w:sectPr w:rsidR="005A212D" w:rsidRPr="005A212D"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45132" w14:textId="77777777" w:rsidR="00423123" w:rsidRDefault="00423123" w:rsidP="004F5E36">
      <w:r>
        <w:separator/>
      </w:r>
    </w:p>
  </w:endnote>
  <w:endnote w:type="continuationSeparator" w:id="0">
    <w:p w14:paraId="44E7DA09" w14:textId="77777777" w:rsidR="00423123" w:rsidRDefault="0042312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CB48D" w14:textId="77777777" w:rsidR="00423123" w:rsidRDefault="00423123" w:rsidP="004F5E36">
      <w:r>
        <w:separator/>
      </w:r>
    </w:p>
  </w:footnote>
  <w:footnote w:type="continuationSeparator" w:id="0">
    <w:p w14:paraId="3710128A" w14:textId="77777777" w:rsidR="00423123" w:rsidRDefault="0042312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B03097FC"/>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284"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1471EEE"/>
    <w:multiLevelType w:val="multilevel"/>
    <w:tmpl w:val="A31CDD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26C"/>
    <w:rsid w:val="0000090B"/>
    <w:rsid w:val="000027C0"/>
    <w:rsid w:val="00005040"/>
    <w:rsid w:val="000052FB"/>
    <w:rsid w:val="00010C6F"/>
    <w:rsid w:val="000117CB"/>
    <w:rsid w:val="0003148D"/>
    <w:rsid w:val="00043D9A"/>
    <w:rsid w:val="00051566"/>
    <w:rsid w:val="0005487D"/>
    <w:rsid w:val="0005578F"/>
    <w:rsid w:val="00062A9A"/>
    <w:rsid w:val="00065058"/>
    <w:rsid w:val="00076A22"/>
    <w:rsid w:val="0007746B"/>
    <w:rsid w:val="00077999"/>
    <w:rsid w:val="00085C2D"/>
    <w:rsid w:val="00086C39"/>
    <w:rsid w:val="00086E6C"/>
    <w:rsid w:val="000A03B2"/>
    <w:rsid w:val="000A53A2"/>
    <w:rsid w:val="000C7873"/>
    <w:rsid w:val="000D0268"/>
    <w:rsid w:val="000D34BE"/>
    <w:rsid w:val="000D78BE"/>
    <w:rsid w:val="000E102F"/>
    <w:rsid w:val="000E27D9"/>
    <w:rsid w:val="000E36F1"/>
    <w:rsid w:val="000E3A73"/>
    <w:rsid w:val="000E414A"/>
    <w:rsid w:val="000E4600"/>
    <w:rsid w:val="000F093C"/>
    <w:rsid w:val="000F787B"/>
    <w:rsid w:val="00103438"/>
    <w:rsid w:val="0011455D"/>
    <w:rsid w:val="0012091F"/>
    <w:rsid w:val="00123360"/>
    <w:rsid w:val="001237B0"/>
    <w:rsid w:val="00126BC2"/>
    <w:rsid w:val="001308B6"/>
    <w:rsid w:val="0013121F"/>
    <w:rsid w:val="00131FE6"/>
    <w:rsid w:val="0013263F"/>
    <w:rsid w:val="00134095"/>
    <w:rsid w:val="00134DE4"/>
    <w:rsid w:val="0014034D"/>
    <w:rsid w:val="0014216F"/>
    <w:rsid w:val="001427D5"/>
    <w:rsid w:val="00150E59"/>
    <w:rsid w:val="00152DE3"/>
    <w:rsid w:val="00156B3F"/>
    <w:rsid w:val="00164CF9"/>
    <w:rsid w:val="001667A6"/>
    <w:rsid w:val="00172815"/>
    <w:rsid w:val="00172FFF"/>
    <w:rsid w:val="00184AD6"/>
    <w:rsid w:val="001A4AF7"/>
    <w:rsid w:val="001B0349"/>
    <w:rsid w:val="001B2860"/>
    <w:rsid w:val="001B65C1"/>
    <w:rsid w:val="001C684B"/>
    <w:rsid w:val="001C74E4"/>
    <w:rsid w:val="001D53FC"/>
    <w:rsid w:val="001E17E2"/>
    <w:rsid w:val="001E5B19"/>
    <w:rsid w:val="001F2E24"/>
    <w:rsid w:val="001F30CD"/>
    <w:rsid w:val="001F42A5"/>
    <w:rsid w:val="001F54FE"/>
    <w:rsid w:val="001F67BF"/>
    <w:rsid w:val="001F7B9D"/>
    <w:rsid w:val="002057BA"/>
    <w:rsid w:val="00205F05"/>
    <w:rsid w:val="00210A1D"/>
    <w:rsid w:val="00212627"/>
    <w:rsid w:val="002224B4"/>
    <w:rsid w:val="00225992"/>
    <w:rsid w:val="002447EF"/>
    <w:rsid w:val="00251550"/>
    <w:rsid w:val="0025375A"/>
    <w:rsid w:val="00263B05"/>
    <w:rsid w:val="00266A4B"/>
    <w:rsid w:val="0027221A"/>
    <w:rsid w:val="00275B61"/>
    <w:rsid w:val="00282656"/>
    <w:rsid w:val="00296B83"/>
    <w:rsid w:val="002A1B74"/>
    <w:rsid w:val="002B2956"/>
    <w:rsid w:val="002B78CE"/>
    <w:rsid w:val="002C23C0"/>
    <w:rsid w:val="002C2FB6"/>
    <w:rsid w:val="002D3F3B"/>
    <w:rsid w:val="002F3309"/>
    <w:rsid w:val="003009B7"/>
    <w:rsid w:val="00300E56"/>
    <w:rsid w:val="003037FF"/>
    <w:rsid w:val="0030469C"/>
    <w:rsid w:val="00305BB2"/>
    <w:rsid w:val="00321CA6"/>
    <w:rsid w:val="00323763"/>
    <w:rsid w:val="003253BA"/>
    <w:rsid w:val="00334C09"/>
    <w:rsid w:val="003607EC"/>
    <w:rsid w:val="00362A36"/>
    <w:rsid w:val="003723D4"/>
    <w:rsid w:val="00381905"/>
    <w:rsid w:val="0038301E"/>
    <w:rsid w:val="00384CC8"/>
    <w:rsid w:val="003871FD"/>
    <w:rsid w:val="00397E12"/>
    <w:rsid w:val="003A1E30"/>
    <w:rsid w:val="003A6561"/>
    <w:rsid w:val="003A7D1C"/>
    <w:rsid w:val="003B304B"/>
    <w:rsid w:val="003B3146"/>
    <w:rsid w:val="003C00FC"/>
    <w:rsid w:val="003C21AB"/>
    <w:rsid w:val="003F015E"/>
    <w:rsid w:val="003F1137"/>
    <w:rsid w:val="003F5544"/>
    <w:rsid w:val="00400414"/>
    <w:rsid w:val="00403780"/>
    <w:rsid w:val="00412957"/>
    <w:rsid w:val="0041446B"/>
    <w:rsid w:val="00423123"/>
    <w:rsid w:val="004268B5"/>
    <w:rsid w:val="00436107"/>
    <w:rsid w:val="0044329C"/>
    <w:rsid w:val="00457780"/>
    <w:rsid w:val="004577FE"/>
    <w:rsid w:val="00457B9C"/>
    <w:rsid w:val="0046164A"/>
    <w:rsid w:val="004628D2"/>
    <w:rsid w:val="00462DCD"/>
    <w:rsid w:val="0046479D"/>
    <w:rsid w:val="004648AD"/>
    <w:rsid w:val="004703A9"/>
    <w:rsid w:val="00475927"/>
    <w:rsid w:val="004760DE"/>
    <w:rsid w:val="004763D7"/>
    <w:rsid w:val="0049489D"/>
    <w:rsid w:val="004964C2"/>
    <w:rsid w:val="004A004E"/>
    <w:rsid w:val="004A0E58"/>
    <w:rsid w:val="004A24CF"/>
    <w:rsid w:val="004B38F8"/>
    <w:rsid w:val="004C0883"/>
    <w:rsid w:val="004C3D1D"/>
    <w:rsid w:val="004C7913"/>
    <w:rsid w:val="004D4042"/>
    <w:rsid w:val="004E4DD6"/>
    <w:rsid w:val="004F558C"/>
    <w:rsid w:val="004F5E36"/>
    <w:rsid w:val="00500A1A"/>
    <w:rsid w:val="00507A22"/>
    <w:rsid w:val="00507B47"/>
    <w:rsid w:val="00507BEF"/>
    <w:rsid w:val="00507CC9"/>
    <w:rsid w:val="005119A5"/>
    <w:rsid w:val="00525ADF"/>
    <w:rsid w:val="005278B7"/>
    <w:rsid w:val="00532016"/>
    <w:rsid w:val="005346C8"/>
    <w:rsid w:val="00543E7D"/>
    <w:rsid w:val="00547A68"/>
    <w:rsid w:val="005531C9"/>
    <w:rsid w:val="00570C43"/>
    <w:rsid w:val="00582C63"/>
    <w:rsid w:val="0059481B"/>
    <w:rsid w:val="005A212D"/>
    <w:rsid w:val="005A247A"/>
    <w:rsid w:val="005A3865"/>
    <w:rsid w:val="005B2110"/>
    <w:rsid w:val="005B61E6"/>
    <w:rsid w:val="005C77E1"/>
    <w:rsid w:val="005D64B3"/>
    <w:rsid w:val="005D668A"/>
    <w:rsid w:val="005D6A2F"/>
    <w:rsid w:val="005D7B7D"/>
    <w:rsid w:val="005E1A82"/>
    <w:rsid w:val="005E794C"/>
    <w:rsid w:val="005F0A28"/>
    <w:rsid w:val="005F0E5E"/>
    <w:rsid w:val="00600535"/>
    <w:rsid w:val="00610CD6"/>
    <w:rsid w:val="006177BC"/>
    <w:rsid w:val="00620DEE"/>
    <w:rsid w:val="00621F92"/>
    <w:rsid w:val="0062280A"/>
    <w:rsid w:val="00625639"/>
    <w:rsid w:val="006307B8"/>
    <w:rsid w:val="00631B33"/>
    <w:rsid w:val="0063689C"/>
    <w:rsid w:val="0064184D"/>
    <w:rsid w:val="006422CC"/>
    <w:rsid w:val="00645369"/>
    <w:rsid w:val="00655C3A"/>
    <w:rsid w:val="00660E3E"/>
    <w:rsid w:val="006610AF"/>
    <w:rsid w:val="00662E74"/>
    <w:rsid w:val="006644D6"/>
    <w:rsid w:val="006656F9"/>
    <w:rsid w:val="00674B35"/>
    <w:rsid w:val="00680C23"/>
    <w:rsid w:val="00686C23"/>
    <w:rsid w:val="00693766"/>
    <w:rsid w:val="006A3281"/>
    <w:rsid w:val="006B0AE1"/>
    <w:rsid w:val="006B4888"/>
    <w:rsid w:val="006C2E45"/>
    <w:rsid w:val="006C359C"/>
    <w:rsid w:val="006C5579"/>
    <w:rsid w:val="006D108B"/>
    <w:rsid w:val="006D5AEA"/>
    <w:rsid w:val="006D6E8B"/>
    <w:rsid w:val="006E737D"/>
    <w:rsid w:val="006F2CE0"/>
    <w:rsid w:val="00701C6C"/>
    <w:rsid w:val="00720A24"/>
    <w:rsid w:val="007304BF"/>
    <w:rsid w:val="00732386"/>
    <w:rsid w:val="0073514D"/>
    <w:rsid w:val="007447F3"/>
    <w:rsid w:val="0075499F"/>
    <w:rsid w:val="007661C8"/>
    <w:rsid w:val="007705EF"/>
    <w:rsid w:val="0077098D"/>
    <w:rsid w:val="00775A55"/>
    <w:rsid w:val="007931FA"/>
    <w:rsid w:val="007A4861"/>
    <w:rsid w:val="007A7BBA"/>
    <w:rsid w:val="007B0C50"/>
    <w:rsid w:val="007B265D"/>
    <w:rsid w:val="007B34D1"/>
    <w:rsid w:val="007B76BD"/>
    <w:rsid w:val="007C1A43"/>
    <w:rsid w:val="007D4C19"/>
    <w:rsid w:val="007E5687"/>
    <w:rsid w:val="007F4033"/>
    <w:rsid w:val="0080013E"/>
    <w:rsid w:val="00812658"/>
    <w:rsid w:val="00813288"/>
    <w:rsid w:val="00815A19"/>
    <w:rsid w:val="008168FC"/>
    <w:rsid w:val="00830996"/>
    <w:rsid w:val="008345F1"/>
    <w:rsid w:val="00865B07"/>
    <w:rsid w:val="008667EA"/>
    <w:rsid w:val="0087546B"/>
    <w:rsid w:val="0087637F"/>
    <w:rsid w:val="00881CEC"/>
    <w:rsid w:val="00892AD5"/>
    <w:rsid w:val="008A1512"/>
    <w:rsid w:val="008A46E5"/>
    <w:rsid w:val="008B156C"/>
    <w:rsid w:val="008D32B9"/>
    <w:rsid w:val="008D433B"/>
    <w:rsid w:val="008E489E"/>
    <w:rsid w:val="008E566E"/>
    <w:rsid w:val="0090161A"/>
    <w:rsid w:val="00901EB6"/>
    <w:rsid w:val="00904C62"/>
    <w:rsid w:val="00922BA8"/>
    <w:rsid w:val="00924DAC"/>
    <w:rsid w:val="00927058"/>
    <w:rsid w:val="00942127"/>
    <w:rsid w:val="00942750"/>
    <w:rsid w:val="009450CE"/>
    <w:rsid w:val="009454CD"/>
    <w:rsid w:val="00947179"/>
    <w:rsid w:val="0095164B"/>
    <w:rsid w:val="00954090"/>
    <w:rsid w:val="009573E7"/>
    <w:rsid w:val="00963E05"/>
    <w:rsid w:val="00964AE6"/>
    <w:rsid w:val="00967843"/>
    <w:rsid w:val="00967D54"/>
    <w:rsid w:val="00971028"/>
    <w:rsid w:val="0099418D"/>
    <w:rsid w:val="00996483"/>
    <w:rsid w:val="00996F5A"/>
    <w:rsid w:val="009B041A"/>
    <w:rsid w:val="009C37C3"/>
    <w:rsid w:val="009C7C86"/>
    <w:rsid w:val="009D0324"/>
    <w:rsid w:val="009D1AC8"/>
    <w:rsid w:val="009D2FF7"/>
    <w:rsid w:val="009E7884"/>
    <w:rsid w:val="009E788A"/>
    <w:rsid w:val="009F0E08"/>
    <w:rsid w:val="009F1011"/>
    <w:rsid w:val="009F1258"/>
    <w:rsid w:val="009F4ABF"/>
    <w:rsid w:val="00A045C7"/>
    <w:rsid w:val="00A14554"/>
    <w:rsid w:val="00A1763D"/>
    <w:rsid w:val="00A17CEC"/>
    <w:rsid w:val="00A278E9"/>
    <w:rsid w:val="00A27EF0"/>
    <w:rsid w:val="00A42361"/>
    <w:rsid w:val="00A42589"/>
    <w:rsid w:val="00A50B20"/>
    <w:rsid w:val="00A51390"/>
    <w:rsid w:val="00A52710"/>
    <w:rsid w:val="00A5292A"/>
    <w:rsid w:val="00A561E6"/>
    <w:rsid w:val="00A60D13"/>
    <w:rsid w:val="00A6564A"/>
    <w:rsid w:val="00A6755B"/>
    <w:rsid w:val="00A72745"/>
    <w:rsid w:val="00A76EFC"/>
    <w:rsid w:val="00A91010"/>
    <w:rsid w:val="00A91531"/>
    <w:rsid w:val="00A9741F"/>
    <w:rsid w:val="00A97F29"/>
    <w:rsid w:val="00AA0D1E"/>
    <w:rsid w:val="00AA702E"/>
    <w:rsid w:val="00AB0964"/>
    <w:rsid w:val="00AB5011"/>
    <w:rsid w:val="00AB6233"/>
    <w:rsid w:val="00AB6B3C"/>
    <w:rsid w:val="00AC290F"/>
    <w:rsid w:val="00AC726E"/>
    <w:rsid w:val="00AC7368"/>
    <w:rsid w:val="00AC756E"/>
    <w:rsid w:val="00AD16B9"/>
    <w:rsid w:val="00AE300B"/>
    <w:rsid w:val="00AE377D"/>
    <w:rsid w:val="00AF0EBA"/>
    <w:rsid w:val="00B00C00"/>
    <w:rsid w:val="00B02C8A"/>
    <w:rsid w:val="00B07A08"/>
    <w:rsid w:val="00B13860"/>
    <w:rsid w:val="00B17FBD"/>
    <w:rsid w:val="00B24754"/>
    <w:rsid w:val="00B315A6"/>
    <w:rsid w:val="00B31813"/>
    <w:rsid w:val="00B33365"/>
    <w:rsid w:val="00B5767D"/>
    <w:rsid w:val="00B57926"/>
    <w:rsid w:val="00B57B36"/>
    <w:rsid w:val="00B671E5"/>
    <w:rsid w:val="00B70DD8"/>
    <w:rsid w:val="00B81E4D"/>
    <w:rsid w:val="00B8686D"/>
    <w:rsid w:val="00B911EE"/>
    <w:rsid w:val="00B949DA"/>
    <w:rsid w:val="00BB1DDC"/>
    <w:rsid w:val="00BC0530"/>
    <w:rsid w:val="00BC30C9"/>
    <w:rsid w:val="00BE3E58"/>
    <w:rsid w:val="00C01616"/>
    <w:rsid w:val="00C0162B"/>
    <w:rsid w:val="00C05C9F"/>
    <w:rsid w:val="00C068ED"/>
    <w:rsid w:val="00C14646"/>
    <w:rsid w:val="00C2730C"/>
    <w:rsid w:val="00C345B1"/>
    <w:rsid w:val="00C40142"/>
    <w:rsid w:val="00C520EB"/>
    <w:rsid w:val="00C564EA"/>
    <w:rsid w:val="00C57182"/>
    <w:rsid w:val="00C57863"/>
    <w:rsid w:val="00C655FD"/>
    <w:rsid w:val="00C75407"/>
    <w:rsid w:val="00C81B13"/>
    <w:rsid w:val="00C86DC0"/>
    <w:rsid w:val="00C870A8"/>
    <w:rsid w:val="00C94434"/>
    <w:rsid w:val="00CA0D75"/>
    <w:rsid w:val="00CA1C95"/>
    <w:rsid w:val="00CA5A9C"/>
    <w:rsid w:val="00CB3628"/>
    <w:rsid w:val="00CC4C20"/>
    <w:rsid w:val="00CD31CC"/>
    <w:rsid w:val="00CD3517"/>
    <w:rsid w:val="00CD3E46"/>
    <w:rsid w:val="00CD5FE2"/>
    <w:rsid w:val="00CD6992"/>
    <w:rsid w:val="00CE7C68"/>
    <w:rsid w:val="00D02B4C"/>
    <w:rsid w:val="00D040C4"/>
    <w:rsid w:val="00D21C2F"/>
    <w:rsid w:val="00D3452A"/>
    <w:rsid w:val="00D37CF9"/>
    <w:rsid w:val="00D42E3F"/>
    <w:rsid w:val="00D57C84"/>
    <w:rsid w:val="00D6057D"/>
    <w:rsid w:val="00D639BF"/>
    <w:rsid w:val="00D82616"/>
    <w:rsid w:val="00D836C5"/>
    <w:rsid w:val="00D84576"/>
    <w:rsid w:val="00D8620B"/>
    <w:rsid w:val="00D942B3"/>
    <w:rsid w:val="00D95FA1"/>
    <w:rsid w:val="00DA1399"/>
    <w:rsid w:val="00DA24C6"/>
    <w:rsid w:val="00DA4D7B"/>
    <w:rsid w:val="00DB580B"/>
    <w:rsid w:val="00DC38C7"/>
    <w:rsid w:val="00DE264A"/>
    <w:rsid w:val="00DF5072"/>
    <w:rsid w:val="00E02D18"/>
    <w:rsid w:val="00E041E7"/>
    <w:rsid w:val="00E23CA1"/>
    <w:rsid w:val="00E409A8"/>
    <w:rsid w:val="00E46B51"/>
    <w:rsid w:val="00E50C12"/>
    <w:rsid w:val="00E65B91"/>
    <w:rsid w:val="00E7209D"/>
    <w:rsid w:val="00E77223"/>
    <w:rsid w:val="00E80968"/>
    <w:rsid w:val="00E813E5"/>
    <w:rsid w:val="00E8528B"/>
    <w:rsid w:val="00E857B2"/>
    <w:rsid w:val="00E85B94"/>
    <w:rsid w:val="00E86F4A"/>
    <w:rsid w:val="00E978D0"/>
    <w:rsid w:val="00EA4613"/>
    <w:rsid w:val="00EA4F4F"/>
    <w:rsid w:val="00EA7F91"/>
    <w:rsid w:val="00EB04A8"/>
    <w:rsid w:val="00EB1523"/>
    <w:rsid w:val="00EC0E49"/>
    <w:rsid w:val="00EC101F"/>
    <w:rsid w:val="00EC1D9F"/>
    <w:rsid w:val="00EC4463"/>
    <w:rsid w:val="00EC74A0"/>
    <w:rsid w:val="00EC7687"/>
    <w:rsid w:val="00EE0131"/>
    <w:rsid w:val="00EE033E"/>
    <w:rsid w:val="00EE17B0"/>
    <w:rsid w:val="00EF06D9"/>
    <w:rsid w:val="00F27845"/>
    <w:rsid w:val="00F30C64"/>
    <w:rsid w:val="00F31BC5"/>
    <w:rsid w:val="00F32CDB"/>
    <w:rsid w:val="00F338A7"/>
    <w:rsid w:val="00F404BE"/>
    <w:rsid w:val="00F404DE"/>
    <w:rsid w:val="00F4385D"/>
    <w:rsid w:val="00F47338"/>
    <w:rsid w:val="00F54C33"/>
    <w:rsid w:val="00F565FE"/>
    <w:rsid w:val="00F610B7"/>
    <w:rsid w:val="00F63A70"/>
    <w:rsid w:val="00F84164"/>
    <w:rsid w:val="00F93DBB"/>
    <w:rsid w:val="00F956B6"/>
    <w:rsid w:val="00FA21D0"/>
    <w:rsid w:val="00FA5F5F"/>
    <w:rsid w:val="00FB730C"/>
    <w:rsid w:val="00FC2695"/>
    <w:rsid w:val="00FC34E1"/>
    <w:rsid w:val="00FC3E03"/>
    <w:rsid w:val="00FC3FC1"/>
    <w:rsid w:val="00FD387D"/>
    <w:rsid w:val="00FD3E8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FFC97833-9DB3-470D-A2B9-C8196727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5375A"/>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5375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apple-tab-span">
    <w:name w:val="apple-tab-span"/>
    <w:basedOn w:val="Fontepargpadro"/>
    <w:rsid w:val="00055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9190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49539">
      <w:bodyDiv w:val="1"/>
      <w:marLeft w:val="0"/>
      <w:marRight w:val="0"/>
      <w:marTop w:val="0"/>
      <w:marBottom w:val="0"/>
      <w:divBdr>
        <w:top w:val="none" w:sz="0" w:space="0" w:color="auto"/>
        <w:left w:val="none" w:sz="0" w:space="0" w:color="auto"/>
        <w:bottom w:val="none" w:sz="0" w:space="0" w:color="auto"/>
        <w:right w:val="none" w:sz="0" w:space="0" w:color="auto"/>
      </w:divBdr>
    </w:div>
    <w:div w:id="163401770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463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F5A3F-1787-45CC-9468-2A5A956A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2836</Words>
  <Characters>15603</Characters>
  <Application>Microsoft Office Word</Application>
  <DocSecurity>0</DocSecurity>
  <Lines>130</Lines>
  <Paragraphs>36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HP</cp:lastModifiedBy>
  <cp:revision>3</cp:revision>
  <cp:lastPrinted>2015-05-12T18:31:00Z</cp:lastPrinted>
  <dcterms:created xsi:type="dcterms:W3CDTF">2022-03-26T19:41:00Z</dcterms:created>
  <dcterms:modified xsi:type="dcterms:W3CDTF">2022-03-28T20:50:00Z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