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E326C5">
          <w:type w:val="continuous"/>
          <w:pgSz w:w="11906" w:h="16838" w:code="9"/>
          <w:pgMar w:top="1701" w:right="1418" w:bottom="1701" w:left="1701" w:header="1701" w:footer="0" w:gutter="0"/>
          <w:cols w:space="708"/>
          <w:titlePg/>
          <w:docGrid w:linePitch="360"/>
        </w:sectPr>
      </w:pPr>
    </w:p>
    <w:p w14:paraId="2E667253" w14:textId="45DFDDAB" w:rsidR="00E978D0" w:rsidRPr="00B57B36" w:rsidRDefault="00FD685E" w:rsidP="00E978D0">
      <w:pPr>
        <w:pStyle w:val="CETTitle"/>
      </w:pPr>
      <w:r w:rsidRPr="00FD685E">
        <w:t xml:space="preserve">Biodiesel </w:t>
      </w:r>
      <w:r>
        <w:t>P</w:t>
      </w:r>
      <w:r w:rsidRPr="00FD685E">
        <w:t xml:space="preserve">roduction by </w:t>
      </w:r>
      <w:r>
        <w:t>H</w:t>
      </w:r>
      <w:r w:rsidRPr="00FD685E">
        <w:t xml:space="preserve">ydrodynamic </w:t>
      </w:r>
      <w:r>
        <w:t>C</w:t>
      </w:r>
      <w:r w:rsidRPr="00FD685E">
        <w:t xml:space="preserve">avitation </w:t>
      </w:r>
      <w:r>
        <w:t>T</w:t>
      </w:r>
      <w:r w:rsidRPr="00FD685E">
        <w:t xml:space="preserve">hrough an </w:t>
      </w:r>
      <w:r>
        <w:t>O</w:t>
      </w:r>
      <w:r w:rsidRPr="00FD685E">
        <w:t xml:space="preserve">rifice </w:t>
      </w:r>
      <w:r>
        <w:t>P</w:t>
      </w:r>
      <w:r w:rsidRPr="00FD685E">
        <w:t>late</w:t>
      </w:r>
    </w:p>
    <w:p w14:paraId="3B2E2541" w14:textId="09F837A1" w:rsidR="0095488A" w:rsidRPr="00051DFC" w:rsidRDefault="00051DFC" w:rsidP="00B57E6F">
      <w:pPr>
        <w:pStyle w:val="CETAuthors"/>
        <w:rPr>
          <w:lang w:val="es-ES"/>
        </w:rPr>
      </w:pPr>
      <w:r w:rsidRPr="00051DFC">
        <w:rPr>
          <w:lang w:val="es-ES"/>
        </w:rPr>
        <w:t>James R. Vera-Rozo, José M. Riesco-Ávila*, Marlon Y. Poveda-Pachon, Alejandro Zaleta-Aguilar</w:t>
      </w:r>
    </w:p>
    <w:p w14:paraId="6B2D21B3" w14:textId="0557B4DC" w:rsidR="00B57E6F" w:rsidRPr="00576857" w:rsidRDefault="00731BB5" w:rsidP="00B57E6F">
      <w:pPr>
        <w:pStyle w:val="CETAddress"/>
        <w:rPr>
          <w:lang w:val="es-ES"/>
        </w:rPr>
      </w:pPr>
      <w:r>
        <w:t xml:space="preserve">Mechanical Engineering Department, </w:t>
      </w:r>
      <w:r w:rsidR="002C4B2E" w:rsidRPr="006613DD">
        <w:t>Universi</w:t>
      </w:r>
      <w:r w:rsidR="00FA5B81" w:rsidRPr="006613DD">
        <w:t xml:space="preserve">ty of </w:t>
      </w:r>
      <w:r w:rsidR="002C4B2E" w:rsidRPr="006613DD">
        <w:t>Guanajuato</w:t>
      </w:r>
      <w:r w:rsidR="00467F61">
        <w:t xml:space="preserve">. </w:t>
      </w:r>
      <w:r w:rsidR="00BF753E">
        <w:rPr>
          <w:lang w:val="es-ES"/>
        </w:rPr>
        <w:t>Salamanca, Guanajuato. M</w:t>
      </w:r>
      <w:r w:rsidR="006613DD">
        <w:rPr>
          <w:lang w:val="es-ES"/>
        </w:rPr>
        <w:t>e</w:t>
      </w:r>
      <w:r w:rsidR="00BF753E">
        <w:rPr>
          <w:lang w:val="es-ES"/>
        </w:rPr>
        <w:t>xico</w:t>
      </w:r>
    </w:p>
    <w:p w14:paraId="73F1267A" w14:textId="6C08F6A7" w:rsidR="00B57E6F" w:rsidRPr="00813733" w:rsidRDefault="00BF753E" w:rsidP="00B57E6F">
      <w:pPr>
        <w:pStyle w:val="CETemail"/>
        <w:rPr>
          <w:lang w:val="es-ES"/>
        </w:rPr>
      </w:pPr>
      <w:r w:rsidRPr="00813733">
        <w:rPr>
          <w:lang w:val="es-ES"/>
        </w:rPr>
        <w:t>riesco</w:t>
      </w:r>
      <w:r w:rsidR="00B57E6F" w:rsidRPr="00813733">
        <w:rPr>
          <w:lang w:val="es-ES"/>
        </w:rPr>
        <w:t>@</w:t>
      </w:r>
      <w:r w:rsidR="008715D6" w:rsidRPr="00813733">
        <w:rPr>
          <w:lang w:val="es-ES"/>
        </w:rPr>
        <w:t>ugto.mx</w:t>
      </w:r>
    </w:p>
    <w:p w14:paraId="1F3C651C" w14:textId="298B79DC" w:rsidR="00BA3CB4" w:rsidRPr="00504970" w:rsidRDefault="00504970" w:rsidP="009B3760">
      <w:pPr>
        <w:pStyle w:val="CETBodytext"/>
      </w:pPr>
      <w:r w:rsidRPr="00504970">
        <w:t xml:space="preserve">The traditional biodiesel production process consumes a large amount of energy by maintaining a reaction mixture of oil and alcohol for extended periods of up to 120 </w:t>
      </w:r>
      <w:r w:rsidR="00542443">
        <w:t>min</w:t>
      </w:r>
      <w:r w:rsidRPr="00504970">
        <w:t xml:space="preserve"> at average temperatures of 60 °C. </w:t>
      </w:r>
      <w:r w:rsidR="00E246BF" w:rsidRPr="00504970">
        <w:t>To</w:t>
      </w:r>
      <w:r w:rsidRPr="00504970">
        <w:t xml:space="preserve"> reduce biodiesel production costs, alternatives have emerged that reduce reaction time and consequently the production</w:t>
      </w:r>
      <w:r w:rsidR="004C3E8A">
        <w:t xml:space="preserve"> cos</w:t>
      </w:r>
      <w:r w:rsidR="00342EEF">
        <w:t>ts</w:t>
      </w:r>
      <w:r w:rsidRPr="00504970">
        <w:t xml:space="preserve">. One of these alternatives is hydrodynamic cavitation, which through the contribution of sensitive heat, </w:t>
      </w:r>
      <w:r w:rsidR="00C942EE" w:rsidRPr="00504970">
        <w:t>because of</w:t>
      </w:r>
      <w:r w:rsidRPr="00504970">
        <w:t xml:space="preserve"> the phase change, allows to provide a large amount of energy to the fluid</w:t>
      </w:r>
      <w:r w:rsidR="004B1E53">
        <w:t>s</w:t>
      </w:r>
      <w:r w:rsidRPr="00504970">
        <w:t xml:space="preserve"> in reaction. Some elements that cause low pressures, which allows the presence of cavitation, are orifice plates. This paper presents the results obtained from the production of biodiesel by hydrodynamic cavitation caused by </w:t>
      </w:r>
      <w:r w:rsidR="003805E1" w:rsidRPr="00504970">
        <w:t>an</w:t>
      </w:r>
      <w:r w:rsidRPr="00504970">
        <w:t xml:space="preserve"> orifice plate. These results are compared with those obtained by the traditional method of stirring and heating. For both processes soybean oil was used as raw material, a molar ratio of methanol oil 6:1 and 12:1, sodium hydroxide as catalyst at 0.5</w:t>
      </w:r>
      <w:r w:rsidR="00884B4E">
        <w:t xml:space="preserve"> </w:t>
      </w:r>
      <w:r w:rsidRPr="00504970">
        <w:t>% w/w and a reaction temperature of 60 °C. The biodiesel obtained was characterized by the standard EN14214 which establishes a minimum of 96.5% of FAME. The results show that this minimum value is exceeded at 17 min with the orifice plate, while with the traditional method the time was 120 min, demonstrating that hydrodynamic cavitation reduces the time and energy cost in biodiesel</w:t>
      </w:r>
      <w:r w:rsidR="00FA5B81">
        <w:t xml:space="preserve"> </w:t>
      </w:r>
      <w:r w:rsidR="00FA5B81" w:rsidRPr="00574579">
        <w:t>production</w:t>
      </w:r>
      <w:r w:rsidRPr="00504970">
        <w:t>.</w:t>
      </w:r>
    </w:p>
    <w:p w14:paraId="476B2F2E" w14:textId="77777777" w:rsidR="00600535" w:rsidRPr="00B57B36" w:rsidRDefault="00600535" w:rsidP="00600535">
      <w:pPr>
        <w:pStyle w:val="CETHeading1"/>
        <w:rPr>
          <w:lang w:val="en-GB"/>
        </w:rPr>
      </w:pPr>
      <w:r w:rsidRPr="00B57B36">
        <w:rPr>
          <w:lang w:val="en-GB"/>
        </w:rPr>
        <w:t>Introduction</w:t>
      </w:r>
    </w:p>
    <w:p w14:paraId="112111A3" w14:textId="10BFA2D8" w:rsidR="00B42E33" w:rsidRPr="009231DA" w:rsidRDefault="009231DA" w:rsidP="009231DA">
      <w:pPr>
        <w:pStyle w:val="CETBodytext"/>
      </w:pPr>
      <w:r w:rsidRPr="009231DA">
        <w:t>Biodiesel is defined as the mixture of mono alkyl esters of long-chain fatty acids derived from natural lipids, obtained from the transesterification reaction, this carried out by mixing triglycerides (vegetable or animal) with short-chain alcohols such as ethanol or methanol, and provide sufficient energy to allow contact between the two non-miscible reagents with the aid of a typically basic catalyst</w:t>
      </w:r>
      <w:r w:rsidR="00215130">
        <w:t xml:space="preserve"> </w:t>
      </w:r>
      <w:r w:rsidR="00061842">
        <w:rPr>
          <w:rStyle w:val="Rimandonotaapidipagina"/>
        </w:rPr>
        <w:fldChar w:fldCharType="begin" w:fldLock="1"/>
      </w:r>
      <w:r w:rsidR="00327184">
        <w:instrText>ADDIN CSL_CITATION {"citationItems":[{"id":"ITEM-1","itemData":{"DOI":"10.1016/J.PECS.2021.100904","ISSN":"0360-1285","abstract":"Biodiesel has the potential to significantly contribute to making transportation fuels more sustainable. Due to the complexity and nonlinearity of processes for biodiesel production and use, fast and accurate modeling tools are required for their design, optimization, monitoring, and control. Data-driven machine learning (ML) techniques have demonstrated superior predictive capability compared to conventional methods for modeling such highly complex processes. Among the available ML techniques, the artificial neural network (ANN) technology is the most widely used approach in biodiesel research. The ANN approach is a computational learning method that mimics the human brain's neurological processing ability to map input-output relationships of ill-defined systems. Given its high generalization capacity, ANN has gained popularity in dealing with complex nonlinear real-world engineering and scientific problems. This paper is devoted to thoroughly reviewing and critically discussing various ML technology applications, with a particular focus on ANN, to solve function approximation, optimization, monitoring, and control problems in biodiesel research. Moreover, the advantages and disadvantages of using ML technology in biodiesel research are highlighted to direct future R&amp;D efforts in this domain. ML technology has generally been used in biodiesel research for modeling (trans)esterification processes, physico-chemical characteristics of biodiesel, and biodiesel-fueled internal combustion engines. The primary purpose of introducing ML technology to the biodiesel industry has been to monitor and control biodiesel systems in real-time; however, these issues have rarely been explored in the literature. Therefore, future studies appear to be directed towards the use of ML techniques for real-time process monitoring and control of biodiesel systems to enhance production efficiency, economic viability, and environmental sustainability.","author":[{"dropping-particle":"","family":"Aghbashlo","given":"Mortaza","non-dropping-particle":"","parse-names":false,"suffix":""},{"dropping-particle":"","family":"Peng","given":"Wanxi","non-dropping-particle":"","parse-names":false,"suffix":""},{"dropping-particle":"","family":"Tabatabaei","given":"Meisam","non-dropping-particle":"","parse-names":false,"suffix":""},{"dropping-particle":"","family":"Kalogirou","given":"Soteris A.","non-dropping-particle":"","parse-names":false,"suffix":""},{"dropping-particle":"","family":"Soltanian","given":"Salman","non-dropping-particle":"","parse-names":false,"suffix":""},{"dropping-particle":"","family":"Hosseinzadeh-Bandbafha","given":"Homa","non-dropping-particle":"","parse-names":false,"suffix":""},{"dropping-particle":"","family":"Mahian","given":"Omid","non-dropping-particle":"","parse-names":false,"suffix":""},{"dropping-particle":"","family":"Lam","given":"Su Shiung","non-dropping-particle":"","parse-names":false,"suffix":""}],"container-title":"Progress in Energy and Combustion Science","id":"ITEM-1","issued":{"date-parts":[["2021","7","1"]]},"page":"100904","publisher":"Pergamon","title":"Machine learning technology in biodiesel research: A review","type":"article-journal","volume":"85"},"uris":["http://www.mendeley.com/documents/?uuid=defee383-db0c-3678-85f7-ca5270e215b9"]}],"mendeley":{"formattedCitation":"(Aghbashlo et al., 2021)","plainTextFormattedCitation":"(Aghbashlo et al., 2021)","previouslyFormattedCitation":"(Aghbashlo et al., 2021)"},"properties":{"noteIndex":0},"schema":"https://github.com/citation-style-language/schema/raw/master/csl-citation.json"}</w:instrText>
      </w:r>
      <w:r w:rsidR="00061842">
        <w:rPr>
          <w:rStyle w:val="Rimandonotaapidipagina"/>
        </w:rPr>
        <w:fldChar w:fldCharType="separate"/>
      </w:r>
      <w:r w:rsidR="00EA615C" w:rsidRPr="00EA615C">
        <w:rPr>
          <w:noProof/>
        </w:rPr>
        <w:t>(Aghbashlo</w:t>
      </w:r>
      <w:r w:rsidR="00566CCC">
        <w:rPr>
          <w:noProof/>
        </w:rPr>
        <w:t xml:space="preserve"> et al.</w:t>
      </w:r>
      <w:r w:rsidR="00EA615C" w:rsidRPr="00EA615C">
        <w:rPr>
          <w:noProof/>
        </w:rPr>
        <w:t>, 2021)</w:t>
      </w:r>
      <w:r w:rsidR="00061842">
        <w:rPr>
          <w:rStyle w:val="Rimandonotaapidipagina"/>
        </w:rPr>
        <w:fldChar w:fldCharType="end"/>
      </w:r>
      <w:r w:rsidRPr="009231DA">
        <w:t>. Industrial biodiesel production is generally developed in bach reactors of stirring and heating, which allow constant contact of the reagents during elevated times of around 60 to 120 min, and temperatures of 60 °C to achieve good yields, resulting in high energy consumption</w:t>
      </w:r>
      <w:r w:rsidR="0031759F">
        <w:t xml:space="preserve"> </w:t>
      </w:r>
      <w:r w:rsidR="0031759F">
        <w:fldChar w:fldCharType="begin" w:fldLock="1"/>
      </w:r>
      <w:r w:rsidR="00224586">
        <w:instrText>ADDIN CSL_CITATION {"citationItems":[{"id":"ITEM-1","itemData":{"author":[{"dropping-particle":"","family":"Vera-Rozo","given":"James R","non-dropping-particle":"","parse-names":false,"suffix":""},{"dropping-particle":"","family":"Riesco-Avila","given":"Jose M","non-dropping-particle":"","parse-names":false,"suffix":""},{"dropping-particle":"","family":"Elizalde-Blanca","given":"Francisco","non-dropping-particle":"","parse-names":false,"suffix":""},{"dropping-particle":"","family":"Cano-Andrade","given":"Sergio","non-dropping-particle":"","parse-names":false,"suffix":""}],"container-title":"Thermal Science","id":"ITEM-1","issued":{"date-parts":[["2021"]]},"page":"1-14","title":"OPTIMIZATION OF THE REAL CONVERSION EFFICIENCY OF WASTE COOKING OIL","type":"article-journal"},"uris":["http://www.mendeley.com/documents/?uuid=03bbdb93-6335-4434-939e-eb36eddac6ac"]}],"mendeley":{"formattedCitation":"(Vera-Rozo et al., 2021)","manualFormatting":"(Vera-Rozo et al., 2022)","plainTextFormattedCitation":"(Vera-Rozo et al., 2021)","previouslyFormattedCitation":"(Vera-Rozo et al., 2021)"},"properties":{"noteIndex":0},"schema":"https://github.com/citation-style-language/schema/raw/master/csl-citation.json"}</w:instrText>
      </w:r>
      <w:r w:rsidR="0031759F">
        <w:fldChar w:fldCharType="separate"/>
      </w:r>
      <w:r w:rsidR="00EA615C" w:rsidRPr="00EA615C">
        <w:rPr>
          <w:noProof/>
        </w:rPr>
        <w:t>(Vera-Rozo</w:t>
      </w:r>
      <w:r w:rsidR="00566CCC">
        <w:rPr>
          <w:noProof/>
        </w:rPr>
        <w:t xml:space="preserve"> et al.</w:t>
      </w:r>
      <w:r w:rsidR="00EA615C" w:rsidRPr="00EA615C">
        <w:rPr>
          <w:noProof/>
        </w:rPr>
        <w:t>, 202</w:t>
      </w:r>
      <w:r w:rsidR="00224586">
        <w:rPr>
          <w:noProof/>
        </w:rPr>
        <w:t>2</w:t>
      </w:r>
      <w:r w:rsidR="00EA615C" w:rsidRPr="00EA615C">
        <w:rPr>
          <w:noProof/>
        </w:rPr>
        <w:t>)</w:t>
      </w:r>
      <w:r w:rsidR="0031759F">
        <w:fldChar w:fldCharType="end"/>
      </w:r>
      <w:r w:rsidRPr="009231DA">
        <w:t>.</w:t>
      </w:r>
      <w:r>
        <w:t xml:space="preserve"> </w:t>
      </w:r>
      <w:r w:rsidRPr="009231DA">
        <w:t>To improve the process of obtaining biodiesel, technologies have been developed that allow to intensify the reaction of transesterification, managing to reduce the time of obtaining and, in some cases, the energy cost. Some of these technologies are cavitation, microwave, plug-flow reactors, and others. Specifically, cavitation can be subclassified in hydrodynamic and ultrasonic reactors, with hydrodynamic reactors having the highest capacity and lowest cost</w:t>
      </w:r>
      <w:r w:rsidR="00AD00E9">
        <w:t xml:space="preserve"> </w:t>
      </w:r>
      <w:r w:rsidR="00586CD6">
        <w:fldChar w:fldCharType="begin" w:fldLock="1"/>
      </w:r>
      <w:r w:rsidR="00327184">
        <w:instrText>ADDIN CSL_CITATION {"citationItems":[{"id":"ITEM-1","itemData":{"DOI":"10.1016/j.pecs.2019.06.001","ISSN":"03601285","abstract":"Diesel engines are preferred over spark ignition counterparts for heavy-duty applications and power generation plants because of their higher efficiency, durability, and productivity. Currently, the research interests have been propelled towards renewable and sustainable diesel fuels such as biodiesel in order to address the environmental and energy security challenges associated with these energy systems. However, the most challenging issue concerning large-scale production of biodiesel is its relatively high cost over fossil-based diesel owing to high feedstock and manufacturing costs. Therefore, cost-effective and eco-friendly biodiesel production technologies should be necessarily developed and continuously improved in order to make this biofuel more competitive vs. its petroleum counterpart. Accordingly, this paper comprehensively reviews biodiesel manufacturing techniques from natural oils and fats using conventional and advanced technologies with an in-depth state-of-the-art focus on the utmost important unit, i.e., transesterification reactor. The effects of the main influential parameters on the transesterification process are first discussed in detail in order to better understand the mechanisms behind each reactor technology. Different transesterification reactors; e.g., tubular/plug-flow reactors, rotating reactors, simultaneous reaction-separation reactors, cavitational reactors, and microwave reactors are then scrutinized from the scientific and practical viewpoints. Merits and limitations of each reactor technology for biodiesel production are highlighted to guide future R&amp;D on this topic. At the end of the paper, the sustainability aspects of biodiesel production are comprehensively discussed by emphasizing on the biorefinery concept utilizing waste-oriented oils.","author":[{"dropping-particle":"","family":"Tabatabaei","given":"Meisam","non-dropping-particle":"","parse-names":false,"suffix":""},{"dropping-particle":"","family":"Aghbashlo","given":"Mortaza","non-dropping-particle":"","parse-names":false,"suffix":""},{"dropping-particle":"","family":"Dehhaghi","given":"Mona","non-dropping-particle":"","parse-names":false,"suffix":""},{"dropping-particle":"","family":"Panahi","given":"Hamed Kazemi Shariat","non-dropping-particle":"","parse-names":false,"suffix":""},{"dropping-particle":"","family":"Mollahosseini","given":"A.","non-dropping-particle":"","parse-names":false,"suffix":""},{"dropping-particle":"","family":"Hosseini","given":"M.","non-dropping-particle":"","parse-names":false,"suffix":""},{"dropping-particle":"","family":"Soufiyan","given":"Mohamad Mojarab","non-dropping-particle":"","parse-names":false,"suffix":""}],"container-title":"Progress in Energy and Combustion Science","id":"ITEM-1","issued":{"date-parts":[["2019","9","1"]]},"page":"239-303","publisher":"Elsevier Ltd","title":"Reactor technologies for biodiesel production and processing: A review","type":"article","volume":"74"},"uris":["http://www.mendeley.com/documents/?uuid=87f4708d-d4e9-3833-9f0c-4b340d3967e6"]}],"mendeley":{"formattedCitation":"(Tabatabaei et al., 2019)","plainTextFormattedCitation":"(Tabatabaei et al., 2019)","previouslyFormattedCitation":"(Tabatabaei et al., 2019)"},"properties":{"noteIndex":0},"schema":"https://github.com/citation-style-language/schema/raw/master/csl-citation.json"}</w:instrText>
      </w:r>
      <w:r w:rsidR="00586CD6">
        <w:fldChar w:fldCharType="separate"/>
      </w:r>
      <w:r w:rsidR="00EA615C" w:rsidRPr="00EA615C">
        <w:rPr>
          <w:noProof/>
        </w:rPr>
        <w:t>(Tabatabaei</w:t>
      </w:r>
      <w:r w:rsidR="00566CCC">
        <w:rPr>
          <w:noProof/>
        </w:rPr>
        <w:t xml:space="preserve"> </w:t>
      </w:r>
      <w:r w:rsidR="00547F51">
        <w:rPr>
          <w:noProof/>
        </w:rPr>
        <w:t>et al.</w:t>
      </w:r>
      <w:r w:rsidR="00EA615C" w:rsidRPr="00EA615C">
        <w:rPr>
          <w:noProof/>
        </w:rPr>
        <w:t>,</w:t>
      </w:r>
      <w:r w:rsidR="00071C3F">
        <w:rPr>
          <w:noProof/>
        </w:rPr>
        <w:t xml:space="preserve"> </w:t>
      </w:r>
      <w:r w:rsidR="00EA615C" w:rsidRPr="00EA615C">
        <w:rPr>
          <w:noProof/>
        </w:rPr>
        <w:t>2019)</w:t>
      </w:r>
      <w:r w:rsidR="00586CD6">
        <w:fldChar w:fldCharType="end"/>
      </w:r>
      <w:r w:rsidRPr="009231DA">
        <w:t>. Hydrodynamic cavitation can be produced by passing the fluid through a constriction, for example, a strangulation valve, a hole plate or a venturi, or by a rotor-stator-type reactor.</w:t>
      </w:r>
    </w:p>
    <w:p w14:paraId="4A88A6CD" w14:textId="1E7D753B" w:rsidR="008D719B" w:rsidRPr="009231DA" w:rsidRDefault="008D719B" w:rsidP="00600535">
      <w:pPr>
        <w:pStyle w:val="CETBodytext"/>
      </w:pPr>
    </w:p>
    <w:p w14:paraId="70F77D38" w14:textId="40D350DD" w:rsidR="00EA306D" w:rsidRPr="00181A16" w:rsidRDefault="000E56F9" w:rsidP="00600535">
      <w:pPr>
        <w:pStyle w:val="CETBodytext"/>
      </w:pPr>
      <w:r w:rsidRPr="000E56F9">
        <w:t>Orifice plates are classified as indirect measurement obstruction flow meters because they quantify the pressure in the suction and discharge of the plate, to subsequently apply the energy and continuity equation by estimating the flow</w:t>
      </w:r>
      <w:r w:rsidR="00D80E42">
        <w:t>,</w:t>
      </w:r>
      <w:r w:rsidRPr="000E56F9">
        <w:t xml:space="preserve"> with errors up to 20</w:t>
      </w:r>
      <w:r w:rsidR="00884B4E">
        <w:t xml:space="preserve"> </w:t>
      </w:r>
      <w:r w:rsidRPr="000E56F9">
        <w:t>%</w:t>
      </w:r>
      <w:r w:rsidR="00CA6A70" w:rsidRPr="000E56F9">
        <w:t xml:space="preserve"> </w:t>
      </w:r>
      <w:r w:rsidR="00C5563B">
        <w:rPr>
          <w:lang w:val="es-CO"/>
        </w:rPr>
        <w:fldChar w:fldCharType="begin" w:fldLock="1"/>
      </w:r>
      <w:r w:rsidR="00F71CAA">
        <w:instrText>ADDIN CSL_CITATION {"citationItems":[{"id":"ITEM-1","itemData":{"DOI":"10.1016/j.ultsonch.2012.07.009","ISSN":"18732828","PMID":"22922070","abstract":"The present work demonstrates the application of a hydrodynamic cavitation reactor for the synthesis of biodiesel with used frying oil as a feedstock. The synthesis involved the transesterification of used frying oil (UFO) with methanol in the presence of potassium hydroxide as a catalyst. The effect of geometry and upstream pressure of a cavitating orifice plate on the rate of transesterification reaction has been studied. It is observed that the micro level turbulence created by hydrodynamic cavitation somewhat overcomes the mass transfer limitations for triphasic transesterification reaction. The significant effects of upstream pressure on the rate of formation of methyl esters have been seen. It has been observed that flow geometry of orifice plate plays a crucial role in process intensification. With an optimized plate geometry of 2 mm hole diameter and 25 holes, more than 95% of triglycerides have been converted to methyl esters in 10 min of reaction time with cavitational yield of 1.28 × 10-3 (Grams of methyl esters produced per Joule of energy supplied). The potential of UFO to produce good quality methyl esters has been demonstrated. © 2012 Elsevier B.V. All rights reserved.","author":[{"dropping-particle":"","family":"Ghayal","given":"Dyneshwar","non-dropping-particle":"","parse-names":false,"suffix":""},{"dropping-particle":"","family":"Pandit","given":"Aniruddha B.","non-dropping-particle":"","parse-names":false,"suffix":""},{"dropping-particle":"","family":"Rathod","given":"Virendra K.","non-dropping-particle":"","parse-names":false,"suffix":""}],"container-title":"Ultrasonics Sonochemistry","id":"ITEM-1","issue":"1","issued":{"date-parts":[["2013"]]},"page":"322-328","publisher":"Elsevier B.V.","title":"Optimization of biodiesel production in a hydrodynamic cavitation reactor using used frying oil","type":"article-journal","volume":"20"},"uris":["http://www.mendeley.com/documents/?uuid=a501866f-8320-413b-85b8-b96dfcfe0c06"]}],"mendeley":{"formattedCitation":"(Ghayal et al., 2013a)","manualFormatting":"(Ghayal et al., 2013)","plainTextFormattedCitation":"(Ghayal et al., 2013a)","previouslyFormattedCitation":"(Ghayal et al., 2013a)"},"properties":{"noteIndex":0},"schema":"https://github.com/citation-style-language/schema/raw/master/csl-citation.json"}</w:instrText>
      </w:r>
      <w:r w:rsidR="00C5563B">
        <w:rPr>
          <w:lang w:val="es-CO"/>
        </w:rPr>
        <w:fldChar w:fldCharType="separate"/>
      </w:r>
      <w:r w:rsidR="00F71CAA" w:rsidRPr="00F71CAA">
        <w:rPr>
          <w:noProof/>
        </w:rPr>
        <w:t>(Ghayal</w:t>
      </w:r>
      <w:r w:rsidR="00547F51">
        <w:rPr>
          <w:noProof/>
        </w:rPr>
        <w:t xml:space="preserve"> et al.</w:t>
      </w:r>
      <w:r w:rsidR="00F71CAA" w:rsidRPr="00F71CAA">
        <w:rPr>
          <w:noProof/>
        </w:rPr>
        <w:t>, 2013)</w:t>
      </w:r>
      <w:r w:rsidR="00C5563B">
        <w:rPr>
          <w:lang w:val="es-CO"/>
        </w:rPr>
        <w:fldChar w:fldCharType="end"/>
      </w:r>
      <w:r w:rsidR="00207656" w:rsidRPr="000E56F9">
        <w:t>.</w:t>
      </w:r>
      <w:r w:rsidR="00DA788B" w:rsidRPr="000E56F9">
        <w:t xml:space="preserve"> </w:t>
      </w:r>
      <w:r w:rsidR="00A22892" w:rsidRPr="00A22892">
        <w:t xml:space="preserve">Each orifice plate has particular characteristics that seek to avoid the presence of cavitation, which affects the measurement of pressures and alters the integrity of materials; the two main delimiters for an orifice plate are the orifice diameter ratio to the diameter of the pipe </w:t>
      </w:r>
      <w:r w:rsidR="004C2874" w:rsidRPr="00A22892">
        <w:t>(</w:t>
      </w:r>
      <m:oMath>
        <m:r>
          <w:rPr>
            <w:rFonts w:ascii="Cambria Math" w:hAnsi="Cambria Math" w:cs="Arial"/>
            <w:lang w:val="es-CO"/>
          </w:rPr>
          <m:t>β</m:t>
        </m:r>
      </m:oMath>
      <w:r w:rsidR="00C06A1D" w:rsidRPr="00C06A1D">
        <w:rPr>
          <w:rFonts w:cs="Arial"/>
        </w:rPr>
        <w:t> </w:t>
      </w:r>
      <w:r w:rsidR="006E7925" w:rsidRPr="00A22892">
        <w:rPr>
          <w:rFonts w:cs="Arial"/>
        </w:rPr>
        <w:t>&gt;</w:t>
      </w:r>
      <w:r w:rsidR="000C4734" w:rsidRPr="00A22892">
        <w:rPr>
          <w:rFonts w:cs="Arial"/>
        </w:rPr>
        <w:t xml:space="preserve"> </w:t>
      </w:r>
      <w:r w:rsidR="006E7925" w:rsidRPr="00A22892">
        <w:rPr>
          <w:rFonts w:cs="Arial"/>
        </w:rPr>
        <w:t>0.1</w:t>
      </w:r>
      <w:r w:rsidR="004C2874" w:rsidRPr="00A22892">
        <w:t>)</w:t>
      </w:r>
      <w:r w:rsidR="009E5EF2" w:rsidRPr="00A22892">
        <w:t xml:space="preserve"> </w:t>
      </w:r>
      <w:r w:rsidR="00C06A1D" w:rsidRPr="00C06A1D">
        <w:t xml:space="preserve">and the Reynolds number </w:t>
      </w:r>
      <w:r w:rsidR="0059214D" w:rsidRPr="00A22892">
        <w:t>(Re</w:t>
      </w:r>
      <w:r w:rsidR="000C4734" w:rsidRPr="00A22892">
        <w:t xml:space="preserve"> </w:t>
      </w:r>
      <w:r w:rsidR="00203AE7" w:rsidRPr="00A22892">
        <w:t>&gt;</w:t>
      </w:r>
      <w:r w:rsidR="000C4734" w:rsidRPr="00A22892">
        <w:t xml:space="preserve"> 5</w:t>
      </w:r>
      <w:r w:rsidR="00B23008" w:rsidRPr="00A22892">
        <w:t> </w:t>
      </w:r>
      <w:r w:rsidR="000C4734" w:rsidRPr="00A22892">
        <w:t>0</w:t>
      </w:r>
      <w:r w:rsidR="00203AE7" w:rsidRPr="00A22892">
        <w:t>00</w:t>
      </w:r>
      <w:r w:rsidR="0059214D" w:rsidRPr="00A22892">
        <w:t>)</w:t>
      </w:r>
      <w:r w:rsidR="00011B64" w:rsidRPr="00A22892">
        <w:t xml:space="preserve"> </w:t>
      </w:r>
      <w:r w:rsidR="00C06A1D" w:rsidRPr="00C06A1D">
        <w:t>as they directly affect the flow measurement through the plate</w:t>
      </w:r>
      <w:r w:rsidR="0055259B">
        <w:t> </w:t>
      </w:r>
      <w:r w:rsidR="0096414D">
        <w:rPr>
          <w:lang w:val="es-CO"/>
        </w:rPr>
        <w:fldChar w:fldCharType="begin" w:fldLock="1"/>
      </w:r>
      <w:r w:rsidR="00A32BF2" w:rsidRPr="00A22892">
        <w:instrText xml:space="preserve">ADDIN CSL_CITATION {"citationItems":[{"id":"ITEM-1","itemData":{"DOI":"10.1007/s42757-020-0059-1","ISSN":"2661-8869","abstract":"New experiments have been carried out on the generic case of the flow through orifice plates. The aim has been to validate empirical correlations used for the prediction of cavitation. The new accurate experimental data base shows that earlier proposed empirical correlations work well for the prediction of cavitation, e.g., Tullis (1993), Miller (2009), and Nilsson (2011). Using the present data together with earlier data from Tullis (1993), it has been shown that, at the onset of cavitation, the ratio between the downstream and the upstream pressure over the orifice plate is a simple linear function of the orifice plate diameter ratio, </w:instrText>
      </w:r>
      <w:r w:rsidR="00A32BF2">
        <w:rPr>
          <w:lang w:val="es-CO"/>
        </w:rPr>
        <w:instrText>β</w:instrText>
      </w:r>
      <w:r w:rsidR="00A32BF2" w:rsidRPr="00A22892">
        <w:instrText xml:space="preserve"> = d/D. This has been shown to hold independent of flowrate, downstream pressure, orifice diameter (for 0.4 &lt; </w:instrText>
      </w:r>
      <w:r w:rsidR="00A32BF2">
        <w:rPr>
          <w:lang w:val="es-CO"/>
        </w:rPr>
        <w:instrText>β</w:instrText>
      </w:r>
      <w:r w:rsidR="00A32BF2" w:rsidRPr="00A22892">
        <w:instrText xml:space="preserve"> &lt; 0.8, which corresponds to a pressure loss coefficient 1 &lt; </w:instrText>
      </w:r>
      <w:r w:rsidR="00A32BF2">
        <w:rPr>
          <w:lang w:val="es-CO"/>
        </w:rPr>
        <w:instrText>ξ</w:instrText>
      </w:r>
      <w:r w:rsidR="00A32BF2" w:rsidRPr="00A22892">
        <w:instrText xml:space="preserve"> &lt; 100) and boundary conditions (e.g., upstream pipe bends), at moderate temperatures and as long as the pressure drop is large compared to the sa</w:instrText>
      </w:r>
      <w:r w:rsidR="00A32BF2" w:rsidRPr="00C06A1D">
        <w:instrText>t</w:instrText>
      </w:r>
      <w:r w:rsidR="00A32BF2" w:rsidRPr="0055259B">
        <w:instrText>uration pr</w:instrText>
      </w:r>
      <w:r w:rsidR="00A32BF2" w:rsidRPr="00653983">
        <w:instrText>essure. A novel and simple rule-of-thumb for when the cavitation becomes a problem (i.e., in between critical cavitation and incipient damage) has been demonstrated to be when the ratio between the downstream and the upstream pressure over the orifice plate equals the orifice plate diameter ratio.","author":[{"dropping-particle":"","family":"Angele","given":"Kristian","non-dropping-particle":"","parse-names":false,"suffix":""}],"container-title":"Experimental and Computational Multiphase Flow","id":"ITEM-1","issue":"1","issued":{"date-parts":[["2021"]]},"page":"68-76","title":"Prediction of cavitation in orifice plates—A novel and simple rule-of-thumb","type":"article-journal","volume":"3"},"uris":["http://www.mendeley.com/documents/?uuid=24d242c2-e679-4064-95df-77d1f0b7d71e"]}],"mendeley":{"formattedCitation":"(Angele, 2021)","plainTextFormattedCitation":"(Angele, 2021)","previouslyFormattedCitation":"(Angele, 2021)"},"properties":{"noteIndex":0},"schema":"https://github.com/citation-style-language/schema/raw/master/csl-citation.json"}</w:instrText>
      </w:r>
      <w:r w:rsidR="0096414D">
        <w:rPr>
          <w:lang w:val="es-CO"/>
        </w:rPr>
        <w:fldChar w:fldCharType="separate"/>
      </w:r>
      <w:r w:rsidR="0096414D" w:rsidRPr="00653983">
        <w:rPr>
          <w:noProof/>
        </w:rPr>
        <w:t>(Angele</w:t>
      </w:r>
      <w:r w:rsidR="00547F51">
        <w:rPr>
          <w:noProof/>
        </w:rPr>
        <w:t xml:space="preserve"> et al.</w:t>
      </w:r>
      <w:r w:rsidR="0096414D" w:rsidRPr="00653983">
        <w:rPr>
          <w:noProof/>
        </w:rPr>
        <w:t>, 2021)</w:t>
      </w:r>
      <w:r w:rsidR="0096414D">
        <w:rPr>
          <w:lang w:val="es-CO"/>
        </w:rPr>
        <w:fldChar w:fldCharType="end"/>
      </w:r>
      <w:r w:rsidR="0059214D" w:rsidRPr="00653983">
        <w:t xml:space="preserve">. </w:t>
      </w:r>
      <w:r w:rsidR="00653983" w:rsidRPr="00653983">
        <w:t xml:space="preserve">Failure to comply with these limitations can generate cavities in the areas after the </w:t>
      </w:r>
      <w:r w:rsidR="00653983" w:rsidRPr="00653983">
        <w:lastRenderedPageBreak/>
        <w:t xml:space="preserve">discharge of the plate, which generates alterations in the fluid causing vapor interstices, which subsequently evolve through a flow of liquid of higher pressure, causing the bubbles generated to implode and release a significant amount of energy into the fluid </w:t>
      </w:r>
      <w:r w:rsidR="00A32BF2">
        <w:rPr>
          <w:lang w:val="es-CO"/>
        </w:rPr>
        <w:fldChar w:fldCharType="begin" w:fldLock="1"/>
      </w:r>
      <w:r w:rsidR="001C1C04" w:rsidRPr="00653983">
        <w:instrText>ADDIN CSL_CITATION {"citationItems":[{"id":"ITEM-1","itemData":{"DOI":"10.1007/s00158-019-02249-z","ISSN":"16151488","abstract":"A throttle orifice plate is a mechanical device that is used to throttle and depressurize a fluid piping system. In the pipeline, the throttle orifice plate serves as a hindrance to the flow of liquid, leading to the phenomenon of cavitation. An optimization method based on 3D geometric model simulation, genetic algorithm, and topology optimization algorithm is proposed to optimize the structure of the throttle orifice plate. The flow path optimization method is applied to the genetic algorithm through the simulation results, while three-dimensional flow path model is achieved with minimum cavitation region under the condition of flow constraint. Then, on the basis of the flow path model, the optimal solution of the structure is achieved through the topology optimization model. To reduce the computational resources required for topology optimization, an adaptive parameter function of bi-directional evolutionary structural optimization(BESO) method is proposed, which reduces the iterations for simulation con</w:instrText>
      </w:r>
      <w:r w:rsidR="001C1C04">
        <w:rPr>
          <w:lang w:val="es-CO"/>
        </w:rPr>
        <w:instrText>vergence. Our results show that the method is ef</w:instrText>
      </w:r>
      <w:r w:rsidR="001C1C04" w:rsidRPr="00181A16">
        <w:instrText>fectively applied to the design of the throttle orifice plate under flow requirements and structure limits.","author":[{"dropping-particle":"","family":"Tang","given":"Tengfei","non-dropping-particle":"","parse-names":false,"suffix":""},{"dropping-particle":"","family":"Gao","given":"Longlong","non-dropping-particle":"","parse-names":false,"suffix":""},{"dropping-particle":"","family":"Li","given":"Baoren","non-dropping-particle":"","parse-names":false,"suffix":""},{"dropping-particle":"","family":"Liao","given":"Lihui","non-dropping-particle":"","parse-names":false,"suffix":""},{"dropping-particle":"","family":"Xi","given":"Yi","non-dropping-particle":"","parse-names":false,"suffix":""},{"dropping-particle":"","family":"Yang","given":"Gang","non-dropping-particle":"","parse-names":false,"suffix":""}],"container-title":"Structural and Multidisciplinary Optimization","id":"ITEM-1","issue":"3","issued":{"date-parts":[["2019"]]},"page":"1227-1244","title":"Cavitation optimization of a throttle orifice plate based on three-dimensional genetic algorithm and topology optimization","type":"article-journal","volume":"60"},"uris":["http://www.mendeley.com/documents/?uuid=a7a8959a-159e-4b50-9db6-28813c71a319"]}],"mendeley":{"formattedCitation":"(Tang et al., 2019)","plainTextFormattedCitation":"(Tang et al., 2019)","previouslyFormattedCitation":"(Tang et al., 2019)"},"properties":{"noteIndex":0},"schema":"https://github.com/citation-style-language/schema/raw/master/csl-citation.json"}</w:instrText>
      </w:r>
      <w:r w:rsidR="00A32BF2">
        <w:rPr>
          <w:lang w:val="es-CO"/>
        </w:rPr>
        <w:fldChar w:fldCharType="separate"/>
      </w:r>
      <w:r w:rsidR="00A32BF2" w:rsidRPr="00181A16">
        <w:rPr>
          <w:noProof/>
        </w:rPr>
        <w:t>(Tang</w:t>
      </w:r>
      <w:r w:rsidR="0017612D">
        <w:rPr>
          <w:noProof/>
        </w:rPr>
        <w:t xml:space="preserve"> et al.</w:t>
      </w:r>
      <w:r w:rsidR="00A32BF2" w:rsidRPr="00181A16">
        <w:rPr>
          <w:noProof/>
        </w:rPr>
        <w:t>, 2019)</w:t>
      </w:r>
      <w:r w:rsidR="00A32BF2">
        <w:rPr>
          <w:lang w:val="es-CO"/>
        </w:rPr>
        <w:fldChar w:fldCharType="end"/>
      </w:r>
      <w:r w:rsidR="00791D3A" w:rsidRPr="00181A16">
        <w:t>.</w:t>
      </w:r>
    </w:p>
    <w:p w14:paraId="499BB994" w14:textId="77777777" w:rsidR="00EA306D" w:rsidRPr="00181A16" w:rsidRDefault="00EA306D" w:rsidP="00600535">
      <w:pPr>
        <w:pStyle w:val="CETBodytext"/>
      </w:pPr>
    </w:p>
    <w:p w14:paraId="52BC0D36" w14:textId="54808F61" w:rsidR="004B0030" w:rsidRPr="005245CC" w:rsidRDefault="0080059B" w:rsidP="00600535">
      <w:pPr>
        <w:pStyle w:val="CETBodytext"/>
      </w:pPr>
      <w:r w:rsidRPr="0080059B">
        <w:t>In the particular application of technologies that benefit the production of biodiesel, various studies have been developed where methyl esters are obtained by making oil and alcohol flow through a orifice plate, such as that presented by Ghayal</w:t>
      </w:r>
      <w:r w:rsidR="007F4050">
        <w:t xml:space="preserve"> et al., </w:t>
      </w:r>
      <w:r w:rsidR="00126202">
        <w:t>(</w:t>
      </w:r>
      <w:r w:rsidR="007F4050">
        <w:t>2013)</w:t>
      </w:r>
      <w:r w:rsidRPr="0080059B">
        <w:t xml:space="preserve">, who optimized the production of biodiesel by hydrodynamic cavitation </w:t>
      </w:r>
      <w:r w:rsidR="005A0565">
        <w:t>by</w:t>
      </w:r>
      <w:r w:rsidR="005A0565" w:rsidRPr="0080059B">
        <w:t xml:space="preserve"> </w:t>
      </w:r>
      <w:r w:rsidRPr="0080059B">
        <w:t>comparing four plates of different geometrics for a used cooking oil and methanol at a molar ratio of 12:1, using potassium hydroxide (KOH) as catalyst at 1.5</w:t>
      </w:r>
      <w:r w:rsidR="00542443">
        <w:t xml:space="preserve"> </w:t>
      </w:r>
      <w:r w:rsidRPr="0080059B">
        <w:t>% w/w, reaching a maximum FAME of 95.0</w:t>
      </w:r>
      <w:r w:rsidR="00542443">
        <w:t xml:space="preserve"> </w:t>
      </w:r>
      <w:r w:rsidRPr="0080059B">
        <w:t xml:space="preserve">% in 10 </w:t>
      </w:r>
      <w:r w:rsidR="00542443">
        <w:t>min</w:t>
      </w:r>
      <w:r>
        <w:t>.</w:t>
      </w:r>
      <w:r w:rsidR="004B0030">
        <w:t xml:space="preserve"> </w:t>
      </w:r>
      <w:r w:rsidR="004B0030" w:rsidRPr="004B0030">
        <w:t>Subsequently, Maddikeri</w:t>
      </w:r>
      <w:r w:rsidR="00126202">
        <w:t xml:space="preserve"> et al. (2014)</w:t>
      </w:r>
      <w:r w:rsidR="004B0030" w:rsidRPr="004B0030">
        <w:t>, compares the obtaining of biodiesel through a orifice plate with straight and circular venturi tubes, finding that the straight venturi tube obtains the highest FAME of 90.0</w:t>
      </w:r>
      <w:r w:rsidR="00542443">
        <w:t xml:space="preserve"> </w:t>
      </w:r>
      <w:r w:rsidR="004B0030" w:rsidRPr="004B0030">
        <w:t xml:space="preserve">% at 30 </w:t>
      </w:r>
      <w:r w:rsidR="00542443">
        <w:t>min</w:t>
      </w:r>
      <w:r w:rsidR="004B0030" w:rsidRPr="004B0030">
        <w:t xml:space="preserve"> of reaction of methanol with used cooking oil at a molar ratio of 6:1 and sodium hydroxide (NaOH) of 1.0%</w:t>
      </w:r>
      <w:r w:rsidR="004B0030">
        <w:t> </w:t>
      </w:r>
      <w:r w:rsidR="004B0030" w:rsidRPr="004B0030">
        <w:t>w/w</w:t>
      </w:r>
      <w:r w:rsidR="004B0030" w:rsidRPr="005245CC">
        <w:t>.</w:t>
      </w:r>
      <w:r w:rsidR="005245CC" w:rsidRPr="005245CC">
        <w:t xml:space="preserve"> In turn, Bargole</w:t>
      </w:r>
      <w:r w:rsidR="00A10633">
        <w:t xml:space="preserve"> et al. (20</w:t>
      </w:r>
      <w:r w:rsidR="00270385">
        <w:t>19</w:t>
      </w:r>
      <w:r w:rsidR="00A10633">
        <w:t>)</w:t>
      </w:r>
      <w:r w:rsidR="005245CC" w:rsidRPr="005245CC">
        <w:t>, obtained biodiesel by hydrodynamic cavitation by comparing three plates, using methanol and used cooking oil to a molar ratio of 6.8:1 and NaOH at 1.0</w:t>
      </w:r>
      <w:r w:rsidR="00542443">
        <w:t xml:space="preserve"> </w:t>
      </w:r>
      <w:r w:rsidR="005245CC" w:rsidRPr="005245CC">
        <w:t>% w/w, achieving a FAME of 99.0%</w:t>
      </w:r>
      <w:r w:rsidR="005A0565">
        <w:t> </w:t>
      </w:r>
      <w:r w:rsidR="005245CC" w:rsidRPr="005245CC">
        <w:t>w/w. All these results are developed for used cooking oil as a general alternative to a waste revaluation but, about 28</w:t>
      </w:r>
      <w:r w:rsidR="00542443">
        <w:t xml:space="preserve"> </w:t>
      </w:r>
      <w:r w:rsidR="005245CC" w:rsidRPr="005245CC">
        <w:t>% of the biodiesel generated in the world is from soybean oil, which is obtained in a traditional way and only some researchers like Gogate</w:t>
      </w:r>
      <w:r w:rsidR="005A0565">
        <w:t xml:space="preserve"> et al. (2006)</w:t>
      </w:r>
      <w:r w:rsidR="005245CC">
        <w:t>,</w:t>
      </w:r>
      <w:r w:rsidR="005245CC" w:rsidRPr="005245CC">
        <w:t xml:space="preserve"> showed results related to hydrodynamic cavitation using methanol with a molar ratio of 6:1 and NaOH at 1.0</w:t>
      </w:r>
      <w:r w:rsidR="00542443">
        <w:t xml:space="preserve"> </w:t>
      </w:r>
      <w:r w:rsidR="005245CC" w:rsidRPr="005245CC">
        <w:t>% w/w finding in 30 min a FAME of 95</w:t>
      </w:r>
      <w:r w:rsidR="00542443">
        <w:t xml:space="preserve"> </w:t>
      </w:r>
      <w:r w:rsidR="005245CC" w:rsidRPr="005245CC">
        <w:t>% w/w</w:t>
      </w:r>
      <w:r w:rsidR="005245CC" w:rsidRPr="00542443">
        <w:t>.</w:t>
      </w:r>
    </w:p>
    <w:p w14:paraId="3C772571" w14:textId="77777777" w:rsidR="00616CD6" w:rsidRPr="00542443" w:rsidRDefault="00616CD6" w:rsidP="00600535">
      <w:pPr>
        <w:pStyle w:val="CETBodytext"/>
      </w:pPr>
    </w:p>
    <w:p w14:paraId="1E3097FF" w14:textId="0D26328B" w:rsidR="00A04C82" w:rsidRDefault="00A04C82" w:rsidP="00600535">
      <w:pPr>
        <w:pStyle w:val="CETBodytext"/>
      </w:pPr>
      <w:r w:rsidRPr="00616CD6">
        <w:t xml:space="preserve">In this work, </w:t>
      </w:r>
      <w:r w:rsidRPr="00A04C82">
        <w:rPr>
          <w:highlight w:val="yellow"/>
        </w:rPr>
        <w:t>the obtaining of biodiesel from refined soybean oil</w:t>
      </w:r>
      <w:r w:rsidR="00593C02">
        <w:rPr>
          <w:highlight w:val="yellow"/>
        </w:rPr>
        <w:t xml:space="preserve"> is </w:t>
      </w:r>
      <w:r w:rsidR="00593C02" w:rsidRPr="00A04C82">
        <w:rPr>
          <w:highlight w:val="yellow"/>
        </w:rPr>
        <w:t>presents</w:t>
      </w:r>
      <w:r w:rsidRPr="00A04C82">
        <w:rPr>
          <w:highlight w:val="yellow"/>
        </w:rPr>
        <w:t>, this raw material is used in order to evaluate the hydrodynamic cavitation without the difficulties that may have the presence of free acids, gums, or impurities.</w:t>
      </w:r>
      <w:r w:rsidRPr="00A04C82">
        <w:t xml:space="preserve"> Experimentally, the reaction mixture (methanol and oil) is circulated through an orifice plate of diameter ratio β = 0.15, under two methanol-oil molar ratios of 6:1 and 12:1, with flow rate of 3. 56 LPM along the orifice plate; having as objective to evaluate the rate of the conversion reaction of triglycerides to fatty acid methyl esters (FAME) of soybean oil, and relate it to the pressures generated along the hydraulic system used, demonstrating the presence of cavitation and energy contribution to the fluid.</w:t>
      </w:r>
    </w:p>
    <w:p w14:paraId="7A891239" w14:textId="77777777" w:rsidR="00F0321A" w:rsidRPr="00F0321A" w:rsidRDefault="00E7794F" w:rsidP="006F4C80">
      <w:pPr>
        <w:pStyle w:val="CETHeading1"/>
        <w:spacing w:line="264" w:lineRule="auto"/>
        <w:jc w:val="both"/>
        <w:rPr>
          <w:b w:val="0"/>
          <w:sz w:val="18"/>
        </w:rPr>
      </w:pPr>
      <w:r w:rsidRPr="006F4C80">
        <w:rPr>
          <w:lang w:val="en-GB"/>
        </w:rPr>
        <w:t>Materials and Methods</w:t>
      </w:r>
    </w:p>
    <w:p w14:paraId="011CAD36" w14:textId="5E86F59B" w:rsidR="00E7794F" w:rsidRPr="00973C5D" w:rsidRDefault="00951C27" w:rsidP="00973C5D">
      <w:pPr>
        <w:pStyle w:val="CETBodytext"/>
      </w:pPr>
      <w:r w:rsidRPr="00951C27">
        <w:t>The materials and the experimental model developed in this study are described below, comparing the traditional process with respect to the hydrodynamic cavitation process. The variables important evaluate is its reaction rate, density, kinematic viscosity, heating value and cetane number</w:t>
      </w:r>
      <w:r w:rsidR="002947AE" w:rsidRPr="00946E85">
        <w:t>.</w:t>
      </w:r>
    </w:p>
    <w:p w14:paraId="0636B784" w14:textId="1DB594FE" w:rsidR="00453E24" w:rsidRDefault="00D80867" w:rsidP="00973C5D">
      <w:pPr>
        <w:pStyle w:val="CETheadingx"/>
      </w:pPr>
      <w:r>
        <w:t>Materials</w:t>
      </w:r>
      <w:r w:rsidR="000D1E64">
        <w:t xml:space="preserve"> and experiment</w:t>
      </w:r>
    </w:p>
    <w:p w14:paraId="492D066B" w14:textId="42395FEA" w:rsidR="00ED58CE" w:rsidRPr="00ED58CE" w:rsidRDefault="00763542" w:rsidP="00EA2DEC">
      <w:pPr>
        <w:pStyle w:val="CETBodytext"/>
      </w:pPr>
      <w:r w:rsidRPr="00ED58CE">
        <w:t>To produce</w:t>
      </w:r>
      <w:r w:rsidR="00ED58CE" w:rsidRPr="00ED58CE">
        <w:t xml:space="preserve"> biodiesel, refined soybean oil for food use, Merck brand purchased at a local supermarket in Salamanca, Guanajuato, Mexico, was used. The oil characterization is developed according to ISO and ASTM standards, that is, ISO 6883-2017 is used to obtain the density, ASTM D445 is used to obtain the viscosity and NMX-F101-SCFI-2012 to obtain the acidity percentage. The reaction conditions were selected considering two molar ratios from 6:1 to 12:1 and a fixed percentage of catalyst according to what is available in the literature, as shown in Table 1 </w:t>
      </w:r>
      <w:r w:rsidR="00ED58CE">
        <w:rPr>
          <w:lang w:val="es-CO"/>
        </w:rPr>
        <w:fldChar w:fldCharType="begin" w:fldLock="1"/>
      </w:r>
      <w:r w:rsidR="00ED58CE" w:rsidRPr="00ED58CE">
        <w:instrText>ADDIN CSL_CITATION {"citationItems":[{"id":"ITEM-1","itemData":{"DOI":"10.1016/j.fuproc.2009.09.019","ISSN":"03783820","abstract":"Esters of fatty acids, derived from vegetable oils or animal fats, and known as biodiesel, are a promising alternative diesel fuel regarding the limited resources of fossil fuels and the environmental concerns. In this work, methanolysis of soybean oil was investigated using Mg-Al hydrotalcites as heterogeneous catalyst, evaluating the effect of Mg/Al ratio on the basicity and catalytic activity for biodiesel production. The catalysts were prepared with Al/(Mg + Al) molar ratios of 0.20, 0.25 and 0.33, and characterized by X-ray diffraction (XRD), textural analysis (BET method) and temperature-programmed desorption of CO2 (CO2-TPD). When the reaction was carried out at 230 °C with a methanol:soybean oil molar ratio of 13:1, a reaction time of 1 h and a catalyst loading of 5 wt.%, the oil conversion was 90% for the sample with Al/(Mg + Al) ratio of 0.33. This sample was the only one to show basic sites of medium strength. We also investigated the reuse of this catalyst, the effect of calcination temperature and made a comparison between refined and acidic oil. © 2009 Elsevier B.V. All rights reserved.","author":[{"dropping-particle":"","family":"Silva","given":"Carla Cristina C.M.","non-dropping-particle":"","parse-names":false,"suffix":""},{"dropping-particle":"","family":"Ribeiro","given":"Nielson F.P.","non-dropping-particle":"","parse-names":false,"suffix":""},{"dropping-particle":"","family":"Souza","given":"Mariana M.V.M.","non-dropping-particle":"","parse-names":false,"suffix":""},{"dropping-particle":"","family":"Aranda","given":"Donato A.G.","non-dropping-particle":"","parse-names":false,"suffix":""}],"container-title":"Fuel Processing Technology","id":"ITEM-1","issue":"2","issued":{"date-parts":[["2010","2","1"]]},"page":"205-210","publisher":"Elsevier","title":"Biodiesel production from soybean oil and methanol using hydrotalcites as catalyst","type":"article-journal","volume":"91"},"uris":["http://www.mendeley.com/documents/?uuid=8bd013f0-87d1-3ce5-8f22-8b79ee9789fa"]}],"mendeley":{"formattedCitation":"(Silva et al., 2010)","plainTextFormattedCitation":"(Silva et al., 2010)","previouslyFormattedCitation":"(Silva et al., 2010)"},"properties":{"noteIndex":0},"schema":"https://github.com/citation-style-language/schema/raw/master/csl-citation.json"}</w:instrText>
      </w:r>
      <w:r w:rsidR="00ED58CE">
        <w:rPr>
          <w:lang w:val="es-CO"/>
        </w:rPr>
        <w:fldChar w:fldCharType="separate"/>
      </w:r>
      <w:r w:rsidR="00ED58CE" w:rsidRPr="00ED58CE">
        <w:rPr>
          <w:noProof/>
        </w:rPr>
        <w:t>(Silva</w:t>
      </w:r>
      <w:r w:rsidR="0054790E">
        <w:rPr>
          <w:noProof/>
        </w:rPr>
        <w:t xml:space="preserve"> et al.</w:t>
      </w:r>
      <w:r w:rsidR="00ED58CE" w:rsidRPr="00ED58CE">
        <w:rPr>
          <w:noProof/>
        </w:rPr>
        <w:t>, 2010)</w:t>
      </w:r>
      <w:r w:rsidR="00ED58CE">
        <w:rPr>
          <w:lang w:val="es-CO"/>
        </w:rPr>
        <w:fldChar w:fldCharType="end"/>
      </w:r>
      <w:r w:rsidR="00ED58CE" w:rsidRPr="00FA5B81">
        <w:t>.</w:t>
      </w:r>
      <w:r w:rsidR="00ED58CE" w:rsidRPr="00ED58CE">
        <w:t xml:space="preserve"> Methanol with purity of 99.5% and purchased in Fermont (</w:t>
      </w:r>
      <w:r w:rsidR="005315CE">
        <w:t xml:space="preserve">at </w:t>
      </w:r>
      <w:r w:rsidR="00ED58CE" w:rsidRPr="00ED58CE">
        <w:t>Toronto, Canada), analytical sodium hydroxide was acquired in Meyer (</w:t>
      </w:r>
      <w:r w:rsidR="00A32B78">
        <w:t xml:space="preserve">at </w:t>
      </w:r>
      <w:r w:rsidR="00ED58CE" w:rsidRPr="00ED58CE">
        <w:t>Mexico City, Mexico). Once biodiesel was produced by the traditional method and hydrodynamic cavitation, it was washed with distilled water and dried with anhydrous sodium sulfate from Panreac (Monterrey, Mexico). The variant conditions in the experiment were the molar ratio and the type of reactor used to obtain biodiesel as indicated in Table 1.</w:t>
      </w:r>
    </w:p>
    <w:p w14:paraId="5DB7B7EC" w14:textId="01F7F18D" w:rsidR="00A7700C" w:rsidRPr="00B57B36" w:rsidRDefault="00A7700C" w:rsidP="00A7700C">
      <w:pPr>
        <w:pStyle w:val="CETTabletitle"/>
      </w:pPr>
      <w:r w:rsidRPr="00B57B36">
        <w:t xml:space="preserve">Table 1: </w:t>
      </w:r>
      <w:r w:rsidR="00CA0544">
        <w:t>Parameters of experiment</w:t>
      </w:r>
      <w:r w:rsidRPr="00B57B36">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417"/>
        <w:gridCol w:w="2268"/>
        <w:gridCol w:w="2410"/>
      </w:tblGrid>
      <w:tr w:rsidR="00D466D0" w:rsidRPr="00B57B36" w14:paraId="463037CE" w14:textId="77777777" w:rsidTr="009212D7">
        <w:trPr>
          <w:trHeight w:val="205"/>
        </w:trPr>
        <w:tc>
          <w:tcPr>
            <w:tcW w:w="4111" w:type="dxa"/>
            <w:gridSpan w:val="2"/>
            <w:tcBorders>
              <w:top w:val="single" w:sz="12" w:space="0" w:color="008000"/>
              <w:bottom w:val="single" w:sz="6" w:space="0" w:color="008000"/>
            </w:tcBorders>
            <w:shd w:val="clear" w:color="auto" w:fill="FFFFFF"/>
          </w:tcPr>
          <w:p w14:paraId="677D5CCB" w14:textId="0577309B" w:rsidR="00D466D0" w:rsidRPr="00B57B36" w:rsidRDefault="00D466D0" w:rsidP="007E3A29">
            <w:pPr>
              <w:pStyle w:val="CETBodytext"/>
              <w:rPr>
                <w:lang w:val="en-GB"/>
              </w:rPr>
            </w:pPr>
            <w:r w:rsidRPr="00BB2AE8">
              <w:rPr>
                <w:lang w:val="en-GB"/>
              </w:rPr>
              <w:t>Fixed parameters</w:t>
            </w:r>
          </w:p>
        </w:tc>
        <w:tc>
          <w:tcPr>
            <w:tcW w:w="2268" w:type="dxa"/>
            <w:tcBorders>
              <w:top w:val="single" w:sz="12" w:space="0" w:color="008000"/>
              <w:bottom w:val="single" w:sz="6" w:space="0" w:color="008000"/>
            </w:tcBorders>
            <w:shd w:val="clear" w:color="auto" w:fill="FFFFFF"/>
          </w:tcPr>
          <w:p w14:paraId="4F5DB914" w14:textId="5EE93C8D" w:rsidR="00D466D0" w:rsidRPr="00B57B36" w:rsidRDefault="00A057C5" w:rsidP="007E3A29">
            <w:pPr>
              <w:pStyle w:val="CETBodytext"/>
              <w:rPr>
                <w:lang w:val="en-GB"/>
              </w:rPr>
            </w:pPr>
            <w:r>
              <w:rPr>
                <w:lang w:val="en-GB"/>
              </w:rPr>
              <w:t>Variable parameters</w:t>
            </w:r>
          </w:p>
        </w:tc>
        <w:tc>
          <w:tcPr>
            <w:tcW w:w="2410" w:type="dxa"/>
            <w:tcBorders>
              <w:top w:val="single" w:sz="12" w:space="0" w:color="008000"/>
              <w:bottom w:val="single" w:sz="6" w:space="0" w:color="008000"/>
            </w:tcBorders>
            <w:shd w:val="clear" w:color="auto" w:fill="FFFFFF"/>
          </w:tcPr>
          <w:p w14:paraId="59920C3B" w14:textId="77777777" w:rsidR="00D466D0" w:rsidRPr="00B57B36" w:rsidRDefault="00D466D0" w:rsidP="007E3A29">
            <w:pPr>
              <w:pStyle w:val="CETBodytext"/>
              <w:ind w:right="-1"/>
              <w:rPr>
                <w:rFonts w:cs="Arial"/>
                <w:szCs w:val="18"/>
                <w:lang w:val="en-GB"/>
              </w:rPr>
            </w:pPr>
          </w:p>
        </w:tc>
      </w:tr>
      <w:tr w:rsidR="00D466D0" w:rsidRPr="00B57B36" w14:paraId="4A1CFA75" w14:textId="77777777" w:rsidTr="009D3E90">
        <w:trPr>
          <w:trHeight w:val="205"/>
        </w:trPr>
        <w:tc>
          <w:tcPr>
            <w:tcW w:w="2694" w:type="dxa"/>
            <w:shd w:val="clear" w:color="auto" w:fill="FFFFFF"/>
          </w:tcPr>
          <w:p w14:paraId="42D9C50F" w14:textId="7B38F22D" w:rsidR="00D466D0" w:rsidRPr="00B57B36" w:rsidRDefault="00D466D0" w:rsidP="00D466D0">
            <w:pPr>
              <w:pStyle w:val="CETBodytext"/>
              <w:jc w:val="left"/>
              <w:rPr>
                <w:lang w:val="en-GB"/>
              </w:rPr>
            </w:pPr>
            <w:r>
              <w:rPr>
                <w:lang w:val="en-GB"/>
              </w:rPr>
              <w:t>Type of alcohol</w:t>
            </w:r>
          </w:p>
        </w:tc>
        <w:tc>
          <w:tcPr>
            <w:tcW w:w="1417" w:type="dxa"/>
            <w:shd w:val="clear" w:color="auto" w:fill="FFFFFF"/>
          </w:tcPr>
          <w:p w14:paraId="3769A784" w14:textId="79F7470E" w:rsidR="00D466D0" w:rsidRPr="00B57B36" w:rsidRDefault="00D466D0" w:rsidP="00D466D0">
            <w:pPr>
              <w:pStyle w:val="CETBodytext"/>
              <w:jc w:val="left"/>
              <w:rPr>
                <w:lang w:val="en-GB"/>
              </w:rPr>
            </w:pPr>
            <w:r>
              <w:rPr>
                <w:lang w:val="en-GB"/>
              </w:rPr>
              <w:t>Methanol</w:t>
            </w:r>
          </w:p>
        </w:tc>
        <w:tc>
          <w:tcPr>
            <w:tcW w:w="2268" w:type="dxa"/>
            <w:shd w:val="clear" w:color="auto" w:fill="FFFFFF"/>
          </w:tcPr>
          <w:p w14:paraId="6B4C4F56" w14:textId="08FAFAD1" w:rsidR="00D466D0" w:rsidRPr="00B57B36" w:rsidRDefault="009D3E90" w:rsidP="007E3A29">
            <w:pPr>
              <w:pStyle w:val="CETBodytext"/>
              <w:rPr>
                <w:lang w:val="en-GB"/>
              </w:rPr>
            </w:pPr>
            <w:r>
              <w:rPr>
                <w:lang w:val="en-GB"/>
              </w:rPr>
              <w:t>Type</w:t>
            </w:r>
            <w:r w:rsidR="00A057C5">
              <w:rPr>
                <w:lang w:val="en-GB"/>
              </w:rPr>
              <w:t xml:space="preserve"> of reaction</w:t>
            </w:r>
          </w:p>
        </w:tc>
        <w:tc>
          <w:tcPr>
            <w:tcW w:w="2410" w:type="dxa"/>
            <w:shd w:val="clear" w:color="auto" w:fill="FFFFFF"/>
          </w:tcPr>
          <w:p w14:paraId="698C9505" w14:textId="2CA968B1" w:rsidR="00D466D0" w:rsidRPr="00B57B36" w:rsidRDefault="009D3E90" w:rsidP="007E3A29">
            <w:pPr>
              <w:pStyle w:val="CETBodytext"/>
              <w:ind w:right="-1"/>
              <w:rPr>
                <w:rFonts w:cs="Arial"/>
                <w:szCs w:val="18"/>
                <w:lang w:val="en-GB"/>
              </w:rPr>
            </w:pPr>
            <w:r>
              <w:rPr>
                <w:rFonts w:cs="Arial"/>
                <w:szCs w:val="18"/>
                <w:lang w:val="en-GB"/>
              </w:rPr>
              <w:t>Traditional</w:t>
            </w:r>
          </w:p>
        </w:tc>
      </w:tr>
      <w:tr w:rsidR="00D466D0" w:rsidRPr="00B57B36" w14:paraId="3B2283F6" w14:textId="77777777" w:rsidTr="009D3E90">
        <w:trPr>
          <w:trHeight w:val="224"/>
        </w:trPr>
        <w:tc>
          <w:tcPr>
            <w:tcW w:w="2694" w:type="dxa"/>
            <w:shd w:val="clear" w:color="auto" w:fill="FFFFFF"/>
          </w:tcPr>
          <w:p w14:paraId="54C147F9" w14:textId="7567B777" w:rsidR="00D466D0" w:rsidRPr="00B57B36" w:rsidRDefault="00D466D0" w:rsidP="007E3A29">
            <w:pPr>
              <w:pStyle w:val="CETBodytext"/>
              <w:ind w:right="-1"/>
              <w:rPr>
                <w:rFonts w:cs="Arial"/>
                <w:szCs w:val="18"/>
                <w:lang w:val="en-GB"/>
              </w:rPr>
            </w:pPr>
            <w:r>
              <w:rPr>
                <w:rFonts w:cs="Arial"/>
                <w:szCs w:val="18"/>
                <w:lang w:val="en-GB"/>
              </w:rPr>
              <w:t>Type of catalyst</w:t>
            </w:r>
          </w:p>
        </w:tc>
        <w:tc>
          <w:tcPr>
            <w:tcW w:w="1417" w:type="dxa"/>
            <w:shd w:val="clear" w:color="auto" w:fill="FFFFFF"/>
          </w:tcPr>
          <w:p w14:paraId="15F303C3" w14:textId="4A3735EC" w:rsidR="00D466D0" w:rsidRPr="00B57B36" w:rsidRDefault="00DD2F93" w:rsidP="00DD2F93">
            <w:pPr>
              <w:pStyle w:val="CETBodytext"/>
              <w:ind w:right="-1"/>
              <w:jc w:val="left"/>
              <w:rPr>
                <w:rFonts w:cs="Arial"/>
                <w:szCs w:val="18"/>
                <w:lang w:val="en-GB"/>
              </w:rPr>
            </w:pPr>
            <w:r>
              <w:rPr>
                <w:rFonts w:cs="Arial"/>
                <w:szCs w:val="18"/>
                <w:lang w:val="en-GB"/>
              </w:rPr>
              <w:t>NaOH</w:t>
            </w:r>
          </w:p>
        </w:tc>
        <w:tc>
          <w:tcPr>
            <w:tcW w:w="2268" w:type="dxa"/>
            <w:shd w:val="clear" w:color="auto" w:fill="FFFFFF"/>
          </w:tcPr>
          <w:p w14:paraId="26E3FD53" w14:textId="77777777" w:rsidR="00D466D0" w:rsidRPr="00B57B36" w:rsidRDefault="00D466D0" w:rsidP="007E3A29">
            <w:pPr>
              <w:pStyle w:val="CETBodytext"/>
              <w:ind w:right="-1"/>
              <w:rPr>
                <w:rFonts w:cs="Arial"/>
                <w:szCs w:val="18"/>
                <w:lang w:val="en-GB"/>
              </w:rPr>
            </w:pPr>
          </w:p>
        </w:tc>
        <w:tc>
          <w:tcPr>
            <w:tcW w:w="2410" w:type="dxa"/>
            <w:shd w:val="clear" w:color="auto" w:fill="FFFFFF"/>
          </w:tcPr>
          <w:p w14:paraId="137A1672" w14:textId="52F13441" w:rsidR="00D466D0" w:rsidRPr="00B57B36" w:rsidRDefault="00A057C5" w:rsidP="007E3A29">
            <w:pPr>
              <w:pStyle w:val="CETBodytext"/>
              <w:ind w:right="-1"/>
              <w:rPr>
                <w:rFonts w:cs="Arial"/>
                <w:szCs w:val="18"/>
                <w:lang w:val="en-GB"/>
              </w:rPr>
            </w:pPr>
            <w:r>
              <w:rPr>
                <w:rFonts w:cs="Arial"/>
                <w:szCs w:val="18"/>
                <w:lang w:val="en-GB"/>
              </w:rPr>
              <w:t xml:space="preserve">Cavitation </w:t>
            </w:r>
            <w:r w:rsidR="009212D7">
              <w:rPr>
                <w:rFonts w:cs="Arial"/>
                <w:szCs w:val="18"/>
                <w:lang w:val="en-GB"/>
              </w:rPr>
              <w:t>hydrodynamic</w:t>
            </w:r>
          </w:p>
        </w:tc>
      </w:tr>
      <w:tr w:rsidR="00DD2F93" w:rsidRPr="00B57B36" w14:paraId="5685CD1B" w14:textId="77777777" w:rsidTr="009D3E90">
        <w:trPr>
          <w:trHeight w:val="141"/>
        </w:trPr>
        <w:tc>
          <w:tcPr>
            <w:tcW w:w="2694" w:type="dxa"/>
            <w:shd w:val="clear" w:color="auto" w:fill="FFFFFF"/>
          </w:tcPr>
          <w:p w14:paraId="5426C1A2" w14:textId="0B87D135" w:rsidR="00DD2F93" w:rsidRDefault="009D3E90" w:rsidP="007E3A29">
            <w:pPr>
              <w:pStyle w:val="CETBodytext"/>
              <w:ind w:right="-1"/>
              <w:rPr>
                <w:rFonts w:cs="Arial"/>
                <w:szCs w:val="18"/>
                <w:lang w:val="en-GB"/>
              </w:rPr>
            </w:pPr>
            <w:r w:rsidRPr="009D3E90">
              <w:rPr>
                <w:rFonts w:cs="Arial"/>
                <w:szCs w:val="18"/>
                <w:lang w:val="en-GB"/>
              </w:rPr>
              <w:t>Amount of catalyst [% w/w]</w:t>
            </w:r>
          </w:p>
        </w:tc>
        <w:tc>
          <w:tcPr>
            <w:tcW w:w="1417" w:type="dxa"/>
            <w:shd w:val="clear" w:color="auto" w:fill="FFFFFF"/>
          </w:tcPr>
          <w:p w14:paraId="6DDF39A4" w14:textId="67561FF5" w:rsidR="00DD2F93" w:rsidRDefault="009D3E90" w:rsidP="00DD2F93">
            <w:pPr>
              <w:pStyle w:val="CETBodytext"/>
              <w:ind w:right="-1"/>
              <w:jc w:val="left"/>
              <w:rPr>
                <w:rFonts w:cs="Arial"/>
                <w:szCs w:val="18"/>
                <w:lang w:val="en-GB"/>
              </w:rPr>
            </w:pPr>
            <w:r>
              <w:rPr>
                <w:rFonts w:cs="Arial"/>
                <w:szCs w:val="18"/>
                <w:lang w:val="en-GB"/>
              </w:rPr>
              <w:t xml:space="preserve">0.5 </w:t>
            </w:r>
          </w:p>
        </w:tc>
        <w:tc>
          <w:tcPr>
            <w:tcW w:w="2268" w:type="dxa"/>
            <w:shd w:val="clear" w:color="auto" w:fill="FFFFFF"/>
          </w:tcPr>
          <w:p w14:paraId="27B347F5" w14:textId="5A600AF6" w:rsidR="00DD2F93" w:rsidRPr="00B57B36" w:rsidRDefault="009212D7" w:rsidP="007E3A29">
            <w:pPr>
              <w:pStyle w:val="CETBodytext"/>
              <w:ind w:right="-1"/>
              <w:rPr>
                <w:rFonts w:cs="Arial"/>
                <w:szCs w:val="18"/>
                <w:lang w:val="en-GB"/>
              </w:rPr>
            </w:pPr>
            <w:r>
              <w:rPr>
                <w:rFonts w:cs="Arial"/>
                <w:szCs w:val="18"/>
                <w:lang w:val="en-GB"/>
              </w:rPr>
              <w:t>Molar ratio Methanol:oil</w:t>
            </w:r>
          </w:p>
        </w:tc>
        <w:tc>
          <w:tcPr>
            <w:tcW w:w="2410" w:type="dxa"/>
            <w:shd w:val="clear" w:color="auto" w:fill="FFFFFF"/>
          </w:tcPr>
          <w:p w14:paraId="23DC53C1" w14:textId="25E185E8" w:rsidR="00DD2F93" w:rsidRPr="00B57B36" w:rsidRDefault="009212D7" w:rsidP="007E3A29">
            <w:pPr>
              <w:pStyle w:val="CETBodytext"/>
              <w:ind w:right="-1"/>
              <w:rPr>
                <w:rFonts w:cs="Arial"/>
                <w:szCs w:val="18"/>
                <w:lang w:val="en-GB"/>
              </w:rPr>
            </w:pPr>
            <w:r>
              <w:rPr>
                <w:rFonts w:cs="Arial"/>
                <w:szCs w:val="18"/>
                <w:lang w:val="en-GB"/>
              </w:rPr>
              <w:t>6:1</w:t>
            </w:r>
          </w:p>
        </w:tc>
      </w:tr>
      <w:tr w:rsidR="009212D7" w:rsidRPr="00B57B36" w14:paraId="44BF6C3E" w14:textId="77777777" w:rsidTr="009D3E90">
        <w:trPr>
          <w:trHeight w:val="188"/>
        </w:trPr>
        <w:tc>
          <w:tcPr>
            <w:tcW w:w="2694" w:type="dxa"/>
            <w:shd w:val="clear" w:color="auto" w:fill="FFFFFF"/>
          </w:tcPr>
          <w:p w14:paraId="73482E33" w14:textId="7CB2760A" w:rsidR="009212D7" w:rsidRDefault="009D3E90" w:rsidP="007E3A29">
            <w:pPr>
              <w:pStyle w:val="CETBodytext"/>
              <w:ind w:right="-1"/>
              <w:rPr>
                <w:rFonts w:cs="Arial"/>
                <w:szCs w:val="18"/>
                <w:lang w:val="en-GB"/>
              </w:rPr>
            </w:pPr>
            <w:r>
              <w:rPr>
                <w:rFonts w:cs="Arial"/>
                <w:szCs w:val="18"/>
                <w:lang w:val="en-GB"/>
              </w:rPr>
              <w:t>Temperature of reaction [°C]</w:t>
            </w:r>
          </w:p>
        </w:tc>
        <w:tc>
          <w:tcPr>
            <w:tcW w:w="1417" w:type="dxa"/>
            <w:shd w:val="clear" w:color="auto" w:fill="FFFFFF"/>
          </w:tcPr>
          <w:p w14:paraId="3321605A" w14:textId="4868396C" w:rsidR="009212D7" w:rsidRDefault="009D3E90" w:rsidP="00DD2F93">
            <w:pPr>
              <w:pStyle w:val="CETBodytext"/>
              <w:ind w:right="-1"/>
              <w:jc w:val="left"/>
              <w:rPr>
                <w:rFonts w:cs="Arial"/>
                <w:szCs w:val="18"/>
                <w:lang w:val="en-GB"/>
              </w:rPr>
            </w:pPr>
            <w:r>
              <w:rPr>
                <w:rFonts w:cs="Arial"/>
                <w:szCs w:val="18"/>
                <w:lang w:val="en-GB"/>
              </w:rPr>
              <w:t>60</w:t>
            </w:r>
          </w:p>
        </w:tc>
        <w:tc>
          <w:tcPr>
            <w:tcW w:w="2268" w:type="dxa"/>
            <w:shd w:val="clear" w:color="auto" w:fill="FFFFFF"/>
          </w:tcPr>
          <w:p w14:paraId="227A200F" w14:textId="77777777" w:rsidR="009212D7" w:rsidRDefault="009212D7" w:rsidP="007E3A29">
            <w:pPr>
              <w:pStyle w:val="CETBodytext"/>
              <w:ind w:right="-1"/>
              <w:rPr>
                <w:rFonts w:cs="Arial"/>
                <w:szCs w:val="18"/>
                <w:lang w:val="en-GB"/>
              </w:rPr>
            </w:pPr>
          </w:p>
        </w:tc>
        <w:tc>
          <w:tcPr>
            <w:tcW w:w="2410" w:type="dxa"/>
            <w:shd w:val="clear" w:color="auto" w:fill="FFFFFF"/>
          </w:tcPr>
          <w:p w14:paraId="422C9E3D" w14:textId="1AF05D29" w:rsidR="009212D7" w:rsidRDefault="009212D7" w:rsidP="007E3A29">
            <w:pPr>
              <w:pStyle w:val="CETBodytext"/>
              <w:ind w:right="-1"/>
              <w:rPr>
                <w:rFonts w:cs="Arial"/>
                <w:szCs w:val="18"/>
                <w:lang w:val="en-GB"/>
              </w:rPr>
            </w:pPr>
            <w:r>
              <w:rPr>
                <w:rFonts w:cs="Arial"/>
                <w:szCs w:val="18"/>
                <w:lang w:val="en-GB"/>
              </w:rPr>
              <w:t>12:1</w:t>
            </w:r>
          </w:p>
        </w:tc>
      </w:tr>
    </w:tbl>
    <w:p w14:paraId="18BAFA6F" w14:textId="3C7D8614" w:rsidR="00453E24" w:rsidRPr="00B57B36" w:rsidRDefault="0015678E" w:rsidP="00973C5D">
      <w:pPr>
        <w:pStyle w:val="CETheadingx"/>
      </w:pPr>
      <w:r>
        <w:t>Traditional</w:t>
      </w:r>
      <w:r w:rsidR="00A7700C">
        <w:t xml:space="preserve"> process</w:t>
      </w:r>
    </w:p>
    <w:p w14:paraId="01C8B54E" w14:textId="77777777" w:rsidR="006A1EA0" w:rsidRPr="006A1EA0" w:rsidRDefault="006A1EA0" w:rsidP="00806CC5">
      <w:pPr>
        <w:pStyle w:val="CETCaption"/>
        <w:rPr>
          <w:i w:val="0"/>
          <w:lang w:val="en-US"/>
        </w:rPr>
      </w:pPr>
      <w:r w:rsidRPr="006A1EA0">
        <w:rPr>
          <w:i w:val="0"/>
          <w:lang w:val="en-US"/>
        </w:rPr>
        <w:t>Traditional transesterification took place in a 200 mL coated batch-heated glass reactor, equipped with a condenser to prevent the loss of methanol. Magnetic stirring at 700 rpm was used, allowing the 150 g of oil with the corresponding methanol to be properly mixed along the reactor. Heating of the thermal layer ensures a uniform temperature of 60°C inside the shirt. The equipment described above is presented in Figure 1.</w:t>
      </w:r>
    </w:p>
    <w:p w14:paraId="3FECF584" w14:textId="474A205F" w:rsidR="00B578BF" w:rsidRDefault="00553C87" w:rsidP="000E5330">
      <w:pPr>
        <w:pStyle w:val="CETCaption"/>
        <w:jc w:val="center"/>
        <w:rPr>
          <w:rStyle w:val="CETCaptionCarattere"/>
          <w:i/>
        </w:rPr>
      </w:pPr>
      <w:r>
        <w:rPr>
          <w:noProof/>
          <w:lang w:val="it-IT" w:eastAsia="it-IT"/>
        </w:rPr>
        <w:lastRenderedPageBreak/>
        <w:drawing>
          <wp:inline distT="0" distB="0" distL="0" distR="0" wp14:anchorId="26F3AE82" wp14:editId="14DA24F3">
            <wp:extent cx="1535037" cy="232410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0"/>
                    <a:srcRect l="14850" t="7241" r="7999" b="9042"/>
                    <a:stretch/>
                  </pic:blipFill>
                  <pic:spPr bwMode="auto">
                    <a:xfrm>
                      <a:off x="0" y="0"/>
                      <a:ext cx="1583035" cy="2396770"/>
                    </a:xfrm>
                    <a:prstGeom prst="rect">
                      <a:avLst/>
                    </a:prstGeom>
                    <a:ln>
                      <a:noFill/>
                    </a:ln>
                    <a:extLst>
                      <a:ext uri="{53640926-AAD7-44D8-BBD7-CCE9431645EC}">
                        <a14:shadowObscured xmlns:a14="http://schemas.microsoft.com/office/drawing/2010/main"/>
                      </a:ext>
                    </a:extLst>
                  </pic:spPr>
                </pic:pic>
              </a:graphicData>
            </a:graphic>
          </wp:inline>
        </w:drawing>
      </w:r>
    </w:p>
    <w:p w14:paraId="39C30B32" w14:textId="6A60F06F" w:rsidR="00806CC5" w:rsidRPr="00BD077D" w:rsidRDefault="00806CC5" w:rsidP="00806CC5">
      <w:pPr>
        <w:pStyle w:val="CETCaption"/>
      </w:pPr>
      <w:r w:rsidRPr="00BD077D">
        <w:rPr>
          <w:rStyle w:val="CETCaptionCarattere"/>
          <w:i/>
        </w:rPr>
        <w:t xml:space="preserve">Figure 1: </w:t>
      </w:r>
      <w:r w:rsidR="004E6400" w:rsidRPr="004E6400">
        <w:rPr>
          <w:rStyle w:val="CETCaptionCarattere"/>
          <w:i/>
        </w:rPr>
        <w:t>Scheme of the test facility</w:t>
      </w:r>
      <w:r w:rsidR="004E6400">
        <w:rPr>
          <w:rStyle w:val="CETCaptionCarattere"/>
          <w:i/>
        </w:rPr>
        <w:t xml:space="preserve"> of </w:t>
      </w:r>
      <w:r w:rsidR="00435FB9">
        <w:rPr>
          <w:rStyle w:val="CETCaptionCarattere"/>
          <w:i/>
        </w:rPr>
        <w:t>traditional</w:t>
      </w:r>
      <w:r w:rsidR="004E6400">
        <w:rPr>
          <w:rStyle w:val="CETCaptionCarattere"/>
          <w:i/>
        </w:rPr>
        <w:t xml:space="preserve"> process (</w:t>
      </w:r>
      <w:r w:rsidR="00550067">
        <w:rPr>
          <w:rStyle w:val="CETCaptionCarattere"/>
          <w:i/>
        </w:rPr>
        <w:t>1. Magnetic plate stirrer, 2. Reactor</w:t>
      </w:r>
      <w:r w:rsidR="00501313">
        <w:rPr>
          <w:rStyle w:val="CETCaptionCarattere"/>
          <w:i/>
        </w:rPr>
        <w:t xml:space="preserve">, 3. Condenser, 4. </w:t>
      </w:r>
      <w:r w:rsidR="00435FB9">
        <w:rPr>
          <w:rStyle w:val="CETCaptionCarattere"/>
          <w:i/>
        </w:rPr>
        <w:t>Thermometer</w:t>
      </w:r>
      <w:r w:rsidR="00501313">
        <w:rPr>
          <w:rStyle w:val="CETCaptionCarattere"/>
          <w:i/>
        </w:rPr>
        <w:t>, 5. Inlet and outlet of water hot)</w:t>
      </w:r>
      <w:r w:rsidR="00D16AFE">
        <w:rPr>
          <w:rStyle w:val="CETCaptionCarattere"/>
          <w:i/>
        </w:rPr>
        <w:t>.</w:t>
      </w:r>
    </w:p>
    <w:p w14:paraId="3DF112C1" w14:textId="790038CA" w:rsidR="0015678E" w:rsidRPr="00B57B36" w:rsidRDefault="0015678E" w:rsidP="00973C5D">
      <w:pPr>
        <w:pStyle w:val="CETheadingx"/>
      </w:pPr>
      <w:r>
        <w:t>Cavitation hydrodynamics process</w:t>
      </w:r>
    </w:p>
    <w:p w14:paraId="65F320C5" w14:textId="77777777" w:rsidR="0017612D" w:rsidRDefault="0042791E" w:rsidP="0017612D">
      <w:pPr>
        <w:pStyle w:val="CETCaption"/>
        <w:rPr>
          <w:i w:val="0"/>
          <w:lang w:val="en-US"/>
        </w:rPr>
      </w:pPr>
      <w:r w:rsidRPr="0042791E">
        <w:rPr>
          <w:i w:val="0"/>
          <w:lang w:val="en-US"/>
        </w:rPr>
        <w:t xml:space="preserve">The alternative transesterification took place in a system with a fixed bed reactor for the storage of the 150 g oil mixture with the corresponding methanol coupled to the suction of a gear pump, On the discharge line, a self-designed orifice plate is coupled to finally return to the reactor. The system described above is shown in Figure 2. It indicates where pressure and temperature measurements are taken throughout the system, such as samples of fluid reacting to the discharge of the pump and the discharge of the orifice plate. </w:t>
      </w:r>
    </w:p>
    <w:p w14:paraId="46F0C5F8" w14:textId="05D20AC0" w:rsidR="00143B05" w:rsidRDefault="009E2A79" w:rsidP="0017612D">
      <w:pPr>
        <w:pStyle w:val="CETCaption"/>
        <w:jc w:val="center"/>
        <w:rPr>
          <w:rStyle w:val="CETCaptionCarattere"/>
          <w:i/>
        </w:rPr>
      </w:pPr>
      <w:r>
        <w:rPr>
          <w:noProof/>
          <w:lang w:val="it-IT" w:eastAsia="it-IT"/>
        </w:rPr>
        <w:drawing>
          <wp:inline distT="0" distB="0" distL="0" distR="0" wp14:anchorId="42867C3F" wp14:editId="4B0B9F2B">
            <wp:extent cx="4806086" cy="2532871"/>
            <wp:effectExtent l="0" t="0" r="0" b="127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1"/>
                    <a:srcRect l="3755" r="3735"/>
                    <a:stretch/>
                  </pic:blipFill>
                  <pic:spPr bwMode="auto">
                    <a:xfrm>
                      <a:off x="0" y="0"/>
                      <a:ext cx="4972103" cy="2620364"/>
                    </a:xfrm>
                    <a:prstGeom prst="rect">
                      <a:avLst/>
                    </a:prstGeom>
                    <a:ln>
                      <a:noFill/>
                    </a:ln>
                    <a:extLst>
                      <a:ext uri="{53640926-AAD7-44D8-BBD7-CCE9431645EC}">
                        <a14:shadowObscured xmlns:a14="http://schemas.microsoft.com/office/drawing/2010/main"/>
                      </a:ext>
                    </a:extLst>
                  </pic:spPr>
                </pic:pic>
              </a:graphicData>
            </a:graphic>
          </wp:inline>
        </w:drawing>
      </w:r>
    </w:p>
    <w:p w14:paraId="535F9202" w14:textId="2665D5F3" w:rsidR="00193FDF" w:rsidRDefault="00193FDF" w:rsidP="00B578BF">
      <w:pPr>
        <w:pStyle w:val="CETCaption"/>
        <w:jc w:val="left"/>
        <w:rPr>
          <w:rStyle w:val="CETCaptionCarattere"/>
          <w:i/>
        </w:rPr>
      </w:pPr>
      <w:r w:rsidRPr="00BD077D">
        <w:rPr>
          <w:rStyle w:val="CETCaptionCarattere"/>
          <w:i/>
        </w:rPr>
        <w:t xml:space="preserve">Figure </w:t>
      </w:r>
      <w:r w:rsidR="002E241E">
        <w:rPr>
          <w:rStyle w:val="CETCaptionCarattere"/>
          <w:i/>
        </w:rPr>
        <w:t>2</w:t>
      </w:r>
      <w:r w:rsidRPr="00BD077D">
        <w:rPr>
          <w:rStyle w:val="CETCaptionCarattere"/>
          <w:i/>
        </w:rPr>
        <w:t xml:space="preserve">: </w:t>
      </w:r>
      <w:r w:rsidRPr="004E6400">
        <w:rPr>
          <w:rStyle w:val="CETCaptionCarattere"/>
          <w:i/>
        </w:rPr>
        <w:t>Scheme of the test facility</w:t>
      </w:r>
      <w:r>
        <w:rPr>
          <w:rStyle w:val="CETCaptionCarattere"/>
          <w:i/>
        </w:rPr>
        <w:t xml:space="preserve"> of </w:t>
      </w:r>
      <w:r w:rsidR="00D30570">
        <w:rPr>
          <w:rStyle w:val="CETCaptionCarattere"/>
          <w:i/>
        </w:rPr>
        <w:t>cavitation hydrodynamics</w:t>
      </w:r>
      <w:r>
        <w:rPr>
          <w:rStyle w:val="CETCaptionCarattere"/>
          <w:i/>
        </w:rPr>
        <w:t xml:space="preserve"> process</w:t>
      </w:r>
      <w:r w:rsidR="008B35BF">
        <w:rPr>
          <w:rStyle w:val="CETCaptionCarattere"/>
          <w:i/>
        </w:rPr>
        <w:t xml:space="preserve"> (P</w:t>
      </w:r>
      <w:r w:rsidR="008B35BF" w:rsidRPr="00D65AE4">
        <w:rPr>
          <w:rStyle w:val="CETCaptionCarattere"/>
          <w:i/>
          <w:vertAlign w:val="subscript"/>
        </w:rPr>
        <w:t>in</w:t>
      </w:r>
      <w:r w:rsidR="008B35BF">
        <w:rPr>
          <w:rStyle w:val="CETCaptionCarattere"/>
          <w:i/>
        </w:rPr>
        <w:t xml:space="preserve">: Pressure </w:t>
      </w:r>
      <w:r w:rsidR="00FA54CB">
        <w:rPr>
          <w:rStyle w:val="CETCaptionCarattere"/>
          <w:i/>
        </w:rPr>
        <w:t xml:space="preserve">of </w:t>
      </w:r>
      <w:r w:rsidR="008B35BF">
        <w:rPr>
          <w:rStyle w:val="CETCaptionCarattere"/>
          <w:i/>
        </w:rPr>
        <w:t>inlet</w:t>
      </w:r>
      <w:r w:rsidR="00FA54CB">
        <w:rPr>
          <w:rStyle w:val="CETCaptionCarattere"/>
          <w:i/>
        </w:rPr>
        <w:t xml:space="preserve"> in</w:t>
      </w:r>
      <w:r w:rsidR="008B35BF">
        <w:rPr>
          <w:rStyle w:val="CETCaptionCarattere"/>
          <w:i/>
        </w:rPr>
        <w:t xml:space="preserve"> gear pump, P</w:t>
      </w:r>
      <w:r w:rsidR="008B35BF" w:rsidRPr="00D65AE4">
        <w:rPr>
          <w:rStyle w:val="CETCaptionCarattere"/>
          <w:i/>
          <w:vertAlign w:val="subscript"/>
        </w:rPr>
        <w:t>out</w:t>
      </w:r>
      <w:r w:rsidR="008B35BF">
        <w:rPr>
          <w:rStyle w:val="CETCaptionCarattere"/>
          <w:i/>
        </w:rPr>
        <w:t>: Pressure</w:t>
      </w:r>
      <w:r w:rsidR="00A731E1">
        <w:rPr>
          <w:rStyle w:val="CETCaptionCarattere"/>
          <w:i/>
        </w:rPr>
        <w:t xml:space="preserve"> of</w:t>
      </w:r>
      <w:r w:rsidR="008B35BF">
        <w:rPr>
          <w:rStyle w:val="CETCaptionCarattere"/>
          <w:i/>
        </w:rPr>
        <w:t xml:space="preserve"> outlet </w:t>
      </w:r>
      <w:r w:rsidR="00A731E1">
        <w:rPr>
          <w:rStyle w:val="CETCaptionCarattere"/>
          <w:i/>
        </w:rPr>
        <w:t xml:space="preserve">in </w:t>
      </w:r>
      <w:r w:rsidR="008B35BF">
        <w:rPr>
          <w:rStyle w:val="CETCaptionCarattere"/>
          <w:i/>
        </w:rPr>
        <w:t xml:space="preserve">gear pump, </w:t>
      </w:r>
      <w:r w:rsidR="00EA492D">
        <w:rPr>
          <w:rStyle w:val="CETCaptionCarattere"/>
          <w:i/>
        </w:rPr>
        <w:t>P</w:t>
      </w:r>
      <w:r w:rsidR="00EA492D" w:rsidRPr="00D65AE4">
        <w:rPr>
          <w:rStyle w:val="CETCaptionCarattere"/>
          <w:i/>
          <w:vertAlign w:val="subscript"/>
        </w:rPr>
        <w:t>inp</w:t>
      </w:r>
      <w:r w:rsidR="00EA492D">
        <w:rPr>
          <w:rStyle w:val="CETCaptionCarattere"/>
          <w:i/>
        </w:rPr>
        <w:t xml:space="preserve">: Pressure </w:t>
      </w:r>
      <w:r w:rsidR="00A731E1">
        <w:rPr>
          <w:rStyle w:val="CETCaptionCarattere"/>
          <w:i/>
        </w:rPr>
        <w:t xml:space="preserve">of </w:t>
      </w:r>
      <w:r w:rsidR="00EA492D">
        <w:rPr>
          <w:rStyle w:val="CETCaptionCarattere"/>
          <w:i/>
        </w:rPr>
        <w:t xml:space="preserve">inlet </w:t>
      </w:r>
      <w:r w:rsidR="00A731E1">
        <w:rPr>
          <w:rStyle w:val="CETCaptionCarattere"/>
          <w:i/>
        </w:rPr>
        <w:t xml:space="preserve">in </w:t>
      </w:r>
      <w:r w:rsidR="00EA492D">
        <w:rPr>
          <w:rStyle w:val="CETCaptionCarattere"/>
          <w:i/>
        </w:rPr>
        <w:t>plate hole, P</w:t>
      </w:r>
      <w:r w:rsidR="00EA492D" w:rsidRPr="00D65AE4">
        <w:rPr>
          <w:rStyle w:val="CETCaptionCarattere"/>
          <w:i/>
          <w:vertAlign w:val="subscript"/>
        </w:rPr>
        <w:t>outp</w:t>
      </w:r>
      <w:r w:rsidR="00EA492D">
        <w:rPr>
          <w:rStyle w:val="CETCaptionCarattere"/>
          <w:i/>
        </w:rPr>
        <w:t>: Pressure</w:t>
      </w:r>
      <w:r w:rsidR="00A731E1">
        <w:rPr>
          <w:rStyle w:val="CETCaptionCarattere"/>
          <w:i/>
        </w:rPr>
        <w:t xml:space="preserve"> of</w:t>
      </w:r>
      <w:r w:rsidR="00EA492D">
        <w:rPr>
          <w:rStyle w:val="CETCaptionCarattere"/>
          <w:i/>
        </w:rPr>
        <w:t xml:space="preserve"> outlet</w:t>
      </w:r>
      <w:r w:rsidR="00A731E1">
        <w:rPr>
          <w:rStyle w:val="CETCaptionCarattere"/>
          <w:i/>
        </w:rPr>
        <w:t xml:space="preserve"> in</w:t>
      </w:r>
      <w:r w:rsidR="00EA492D">
        <w:rPr>
          <w:rStyle w:val="CETCaptionCarattere"/>
          <w:i/>
        </w:rPr>
        <w:t xml:space="preserve"> plate hole)</w:t>
      </w:r>
      <w:r w:rsidR="00D16AFE">
        <w:rPr>
          <w:rStyle w:val="CETCaptionCarattere"/>
          <w:i/>
        </w:rPr>
        <w:t>.</w:t>
      </w:r>
    </w:p>
    <w:p w14:paraId="13511EB3" w14:textId="1FDF196F" w:rsidR="002E241E" w:rsidRPr="00B57B36" w:rsidRDefault="00FB7AAF" w:rsidP="00973C5D">
      <w:pPr>
        <w:pStyle w:val="CETheadingx"/>
      </w:pPr>
      <w:r w:rsidRPr="00FB7AAF">
        <w:t>Reaction speed</w:t>
      </w:r>
    </w:p>
    <w:p w14:paraId="4CE98223" w14:textId="26E87C3F" w:rsidR="00087DAF" w:rsidRPr="00087DAF" w:rsidRDefault="00087DAF" w:rsidP="007B23F2">
      <w:pPr>
        <w:pStyle w:val="CETBodytext"/>
      </w:pPr>
      <w:r w:rsidRPr="00087DAF">
        <w:t xml:space="preserve">To make the comparison of the biodiesel produced by the two methods at different times, a sample of 15 mL was extracted from both systems described in section 2.2 and 2.3, a centrifuge process was subsequently carried out, followed by micropipette separation of the glycerin methyl esters, followed by washing with distilled water the biodiesel and drying with anhydrous sodium sulphate. Finally, the amount of fatty acid methyl esters (FAME) present in the sample is analyzed by gas chromatography. </w:t>
      </w:r>
    </w:p>
    <w:p w14:paraId="5445AC24" w14:textId="34AC9961" w:rsidR="002E241E" w:rsidRPr="00B57B36" w:rsidRDefault="00E00F13" w:rsidP="00973C5D">
      <w:pPr>
        <w:pStyle w:val="CETheadingx"/>
      </w:pPr>
      <w:r w:rsidRPr="00E00F13">
        <w:lastRenderedPageBreak/>
        <w:t>Biodiesel characterization</w:t>
      </w:r>
    </w:p>
    <w:p w14:paraId="7CFD0AD4" w14:textId="31E0DEBD" w:rsidR="002E241E" w:rsidRPr="00B7113C" w:rsidRDefault="00B7113C" w:rsidP="007B23F2">
      <w:pPr>
        <w:pStyle w:val="CETBodytext"/>
      </w:pPr>
      <w:r w:rsidRPr="00B7113C">
        <w:t>For the determination of FAME the standard EN 14103: 2011 was followed, using methyl nonadecanoate as standard, supplied by Sigma-Aldrich (Steinheim, Germany). A gas chromatograph with a flame ionization detector from VARIAN (Waltham, MA, U.S. was used. The kinematic viscosity of biodiesel was measured with a Cannon Fenske 9721-B59 (Ontario, Canada) and the density with a Robsan TDM1121 (Mexico, Mexico) aerometer applying ASTM 445 and ASTM 1298, respectively. The calorific values were determined with a calorimetric pump IKA C 3000 (Staufen, Germany), with the application of the isoperibolic method, following the ASTM 240 standard. Distillation temperatures were obtained for samples of 100 mL at atmospheric pressure, under the ASTM D86 standard.</w:t>
      </w:r>
    </w:p>
    <w:p w14:paraId="677EBFF0" w14:textId="466D1890" w:rsidR="00600535" w:rsidRDefault="00E36DA4" w:rsidP="00600535">
      <w:pPr>
        <w:pStyle w:val="CETHeading1"/>
        <w:tabs>
          <w:tab w:val="clear" w:pos="360"/>
          <w:tab w:val="right" w:pos="7100"/>
        </w:tabs>
        <w:jc w:val="both"/>
        <w:rPr>
          <w:lang w:val="en-GB"/>
        </w:rPr>
      </w:pPr>
      <w:r>
        <w:rPr>
          <w:lang w:val="en-GB"/>
        </w:rPr>
        <w:t>Results</w:t>
      </w:r>
    </w:p>
    <w:p w14:paraId="2704A298" w14:textId="2C5E56B4" w:rsidR="000E5330" w:rsidRPr="000E5330" w:rsidRDefault="005315CE" w:rsidP="000E5330">
      <w:pPr>
        <w:pStyle w:val="CETBodytext"/>
        <w:rPr>
          <w:lang w:val="en-GB"/>
        </w:rPr>
      </w:pPr>
      <w:r w:rsidRPr="005315CE">
        <w:rPr>
          <w:lang w:val="en-GB"/>
        </w:rPr>
        <w:t>Next, the results of the Soybean Oil properties, a comparison of the reaction rate, biodiesel characterization, and the results of the cavitation method are shown.</w:t>
      </w:r>
    </w:p>
    <w:p w14:paraId="04963A06" w14:textId="0DEFC933" w:rsidR="00600535" w:rsidRDefault="00520637" w:rsidP="00973C5D">
      <w:pPr>
        <w:pStyle w:val="CETheadingx"/>
      </w:pPr>
      <w:r w:rsidRPr="00520637">
        <w:t xml:space="preserve">Properties of the </w:t>
      </w:r>
      <w:r>
        <w:t>soybean oil</w:t>
      </w:r>
    </w:p>
    <w:p w14:paraId="43065DC1" w14:textId="599F084D" w:rsidR="00520637" w:rsidRPr="003E448D" w:rsidRDefault="007845B4" w:rsidP="00520637">
      <w:pPr>
        <w:pStyle w:val="CETBodytext"/>
      </w:pPr>
      <w:r w:rsidRPr="007845B4">
        <w:t>One of the main characteristics for a complete transesterification of the oil is the low presence of free fatty acids, maximum 1% w/w</w:t>
      </w:r>
      <w:r w:rsidR="001C1C04" w:rsidRPr="007845B4">
        <w:t xml:space="preserve"> </w:t>
      </w:r>
      <w:r w:rsidR="001C1C04">
        <w:rPr>
          <w:lang w:val="es-CO"/>
        </w:rPr>
        <w:fldChar w:fldCharType="begin" w:fldLock="1"/>
      </w:r>
      <w:r w:rsidR="00224586">
        <w:instrText>ADDIN CSL_CITATION {"citationItems":[{"id":"ITEM-1","itemData":{"author":[{"dropping-particle":"","family":"Vera-Rozo","given":"James R","non-dropping-particle":"","parse-names":false,"suffix":""},{"dropping-particle":"","family":"Riesco-Avila","given":"Jose M","non-dropping-particle":"","parse-names":false,"suffix":""},{"dropping-particle":"","family":"Elizalde-Blanca","given":"Francisco","non-dropping-particle":"","parse-names":false,"suffix":""},{"dropping-particle":"","family":"Cano-Andrade","given":"Sergio","non-dropping-particle":"","parse-names":false,"suffix":""}],"container-title":"Thermal Science","id":"ITEM-1","issued":{"date-parts":[["2021"]]},"page":"1-14","title":"OPTIMIZATION OF THE REAL CONVERSION EFFICIENCY OF WASTE COOKING OIL","type":"article-journal"},"uris":["http://www.mendeley.com/documents/?uuid=03bbdb93-6335-4434-939e-eb36eddac6ac"]}],"mendeley":{"formattedCitation":"(Vera-Rozo et al., 2021)","manualFormatting":"(Vera-Rozo et al., 2022)","plainTextFormattedCitation":"(Vera-Rozo et al., 2021)","previouslyFormattedCitation":"(Vera-Rozo et al., 2021)"},"properties":{"noteIndex":0},"schema":"https://github.com/citation-style-language/schema/raw/master/csl-citation.json"}</w:instrText>
      </w:r>
      <w:r w:rsidR="001C1C04">
        <w:rPr>
          <w:lang w:val="es-CO"/>
        </w:rPr>
        <w:fldChar w:fldCharType="separate"/>
      </w:r>
      <w:r w:rsidR="001C1C04" w:rsidRPr="007845B4">
        <w:rPr>
          <w:noProof/>
        </w:rPr>
        <w:t>(Vera-Rozo</w:t>
      </w:r>
      <w:r w:rsidR="0054790E">
        <w:rPr>
          <w:noProof/>
        </w:rPr>
        <w:t xml:space="preserve"> et al.</w:t>
      </w:r>
      <w:r w:rsidR="001C1C04" w:rsidRPr="007845B4">
        <w:rPr>
          <w:noProof/>
        </w:rPr>
        <w:t>, 202</w:t>
      </w:r>
      <w:r w:rsidR="00224586">
        <w:rPr>
          <w:noProof/>
        </w:rPr>
        <w:t>2</w:t>
      </w:r>
      <w:r w:rsidR="001C1C04" w:rsidRPr="007845B4">
        <w:rPr>
          <w:noProof/>
        </w:rPr>
        <w:t>)</w:t>
      </w:r>
      <w:r w:rsidR="001C1C04">
        <w:rPr>
          <w:lang w:val="es-CO"/>
        </w:rPr>
        <w:fldChar w:fldCharType="end"/>
      </w:r>
      <w:r w:rsidR="00190684" w:rsidRPr="007845B4">
        <w:t xml:space="preserve">. </w:t>
      </w:r>
      <w:r w:rsidRPr="007845B4">
        <w:t xml:space="preserve">In addition, knowing properties such as density and viscosity are paramount for a correct evaluation of biodiesel. For this reason, these properties and the traceability of fatty acid compounds of soybean oil have been determined, which are presented in Table 2 </w:t>
      </w:r>
      <w:r w:rsidR="00274168">
        <w:rPr>
          <w:lang w:val="es-CO"/>
        </w:rPr>
        <w:fldChar w:fldCharType="begin" w:fldLock="1"/>
      </w:r>
      <w:r w:rsidR="00F77A14" w:rsidRPr="007845B4">
        <w:instrText>ADDIN CSL_CITATION {"citationItems":[{"id":"ITEM-1","itemData":{"DOI":"10.1016/j.renene.2020.09.058","ISSN":"18790682","abstract":"Biodiesel production using supercritical methanolysis has received immense interest over the last few years. It has the ability to convert high acid value feedstock into biodiesel using a single-pot reaction. However, the energy intensive process is the main disadvantage of supercritical biodiesel process. Herein, a conceptual design for the integration of supercritical biodiesel process with organic Rankine cycle (ORC) is presented to recover residual hot streams and to generate electric power. This article provides energy and techno-economic comparative study for three developed scenarios as follows: original process with no energy integration (Scenario 1), energy integrated process (Scenario 2) and advanced energy integrated process with ORC (Scenario 3). The developed integrated biodiesel process with ORC resulted in electric power generation that has not only satisfied the process electric requirement but also provided excess power of 257 kW for 8,000 tonnes/annum biodiesel plant. The techno-economic comparative analysis resulted in favouring the third scenario with 36% increase in the process profitability than the second scenario. Sensitivity analysis has shown that biodiesel price variation has significant effect on the process profitability. In summa</w:instrText>
      </w:r>
      <w:r w:rsidR="00F77A14" w:rsidRPr="00351B34">
        <w:instrText>ry, integrating supercritical biodiesel production process with ORC appears to be a promising approach for enhancing the process techno-economic profitability and viability.","author":[{"dropping-particle":"","family":"Aboelazayem","given":"Omar","non-dropping-particle":"","parse-names":false,"suffix":""},{"dropping-particle":"","family":"Gadalla","given":"Mamdouh","non-dropping-particle":"","parse-names":false,"suffix":""},{"dropping-particle":"","family":"Alhajri","given":"Ibrahim","non-dropping-particle":"","parse-names":false,"suffix":""},{"dropping-particle":"","family":"Saha","given":"Basudeb","non-dropping-particle":"","parse-names":false,"suffix":""}],"container-title":"Renewable Energy","id":"ITEM-1","issue":"December 2019","issued":{"date-parts":[["2021"]]},"page":"433-443","title":"Advanced process integration for supercritical production of biodiesel: Residual waste heat recovery via organic Rankine cycle (ORC)","type":"article-journal","volume":"164"},"uris":["http://www.mendeley.com/documents/?uuid=d112f6bc-d02f-4c1d-845e-10c10e3e46e7"]}],"mendeley":{"formattedCitation":"(Aboelazayem et al., 2021)","plainTextFormattedCitation":"(Aboelazayem et al., 2021)","previouslyFormattedCitation":"(Aboelazayem et al., 2021)"},"properties":{"noteIndex":0},"schema":"https://github.com/citation-style-language/schema/raw/master/csl-citation.json"}</w:instrText>
      </w:r>
      <w:r w:rsidR="00274168">
        <w:rPr>
          <w:lang w:val="es-CO"/>
        </w:rPr>
        <w:fldChar w:fldCharType="separate"/>
      </w:r>
      <w:r w:rsidR="00274168" w:rsidRPr="00351B34">
        <w:rPr>
          <w:noProof/>
        </w:rPr>
        <w:t>(Aboelazayem</w:t>
      </w:r>
      <w:r w:rsidR="0054790E">
        <w:rPr>
          <w:noProof/>
        </w:rPr>
        <w:t xml:space="preserve"> et al.</w:t>
      </w:r>
      <w:r w:rsidR="00274168" w:rsidRPr="00351B34">
        <w:rPr>
          <w:noProof/>
        </w:rPr>
        <w:t>, 2021)</w:t>
      </w:r>
      <w:r w:rsidR="00274168">
        <w:rPr>
          <w:lang w:val="es-CO"/>
        </w:rPr>
        <w:fldChar w:fldCharType="end"/>
      </w:r>
      <w:r w:rsidR="00B60391" w:rsidRPr="00351B34">
        <w:t xml:space="preserve">. </w:t>
      </w:r>
      <w:r w:rsidR="00351B34" w:rsidRPr="00351B34">
        <w:t>The results show a density, viscosity and traceability behavior of the compounds very similar to those reported by some characterizations available in the literature</w:t>
      </w:r>
      <w:r w:rsidR="00351B34">
        <w:t xml:space="preserve"> </w:t>
      </w:r>
      <w:r w:rsidR="00F77A14">
        <w:rPr>
          <w:lang w:val="es-CO"/>
        </w:rPr>
        <w:fldChar w:fldCharType="begin" w:fldLock="1"/>
      </w:r>
      <w:r w:rsidR="00CF0E44" w:rsidRPr="00351B34">
        <w:instrText>ADDIN CSL_CITATION {"citationItems":[{"id":"ITEM-1","itemData":{"DOI":"10.1016/B978-1-893997-62-2.50006-1","ISBN":"9780983507260","author":[{"dropping-particle":"","family":"Knothe","given":"Gerhard","non-dropping-particle":"","parse-names":false,"suffix":""}],"container-title":"The Biodiesel Handbook: Second Edition","id":"ITEM-1","issue":"10","issued":{"date-parts":[["1985"]]},"page":"1375-1380","title":"Transesterification Kinetics of Soybean Oil","type":"article-journal","volume":"63"},"uris":["http://www.mendeley.com/documents/?uuid=e57a855c-e599-40e2-91eb-c05c598d4dd9"]},{"id":"ITEM-2","itemData":{"DOI":"10.1080/10942912.2017.1360905","ISSN":"15322386","abstract":"Density, surface tension and viscosity of five food oils were experimentally measured using the Archimedean method, Pendant drop method, and Brookfield viscometer respectively. Measurements were performed from 23 ± 1°C to the oils’ smoke point at intervals of every 20°C. Density and surface tension decreased linearly with increasing temperature, whereas the viscosity decreased exponentially. Density was modeled using the modified Rackett equation, surface tension using the Eötvös equation, and viscosity by the modified Andrade equation. The oil type influenced the density and viscosity of oil, but did not affect surface tension.","author":[{"drop</w:instrText>
      </w:r>
      <w:r w:rsidR="00CF0E44">
        <w:rPr>
          <w:lang w:val="es-CO"/>
        </w:rPr>
        <w:instrText>ping-particle":"","family":"Sahasrabudhe","given":"Shreya N.","non-dropping-particle":"","parse-names":false,"suffix":""},{"dropping-particle":"","family":"Rodriguez-Martinez","given":"Veronica","non-dropping-particle":"","parse-names":false,"suffix":""},{"dropping-particle":"","family":"O’Meara","given":"Meghan","non-dropping-particle":"","parse-names":false,"suffix":""},{"dropping-particle":"","family":"Farkas","given":"Brian E.","non-dropping-particle":"","parse-names":false,"suffix":""}],"container-title":"International Journal of Food Properties","id":"ITEM-2","issue":"00","issued":{"date-parts":[["2017"]]},"page":"1965-1981","publisher":"Taylor &amp; Francis","title":"Density, viscosity, and surface tension of five vegetable oils at elevated temperatures: Measurement and modeling","type":"article-journal","volume":"20"},"uris":["http://www.mendeley.com/documents/?uuid=9796ca61-32df-401e-bf0c-6b73ad60cd4b"]},{"id":"ITEM-3","itemData":{"DOI":"10.1007/s13399-019-00589-w","ISBN":"1339901900","ISSN":"21906823","abstract":"The acceleration of the biodiesel-glycerol separation has attracted the interest of many researchers in a quest to improve biodiesel production efficiency and reduce the overall production time. This has played a pivotal role in lowering the production cost and reducing the demand for other nonrenewable sources of energy. In the present study, the transesterification of soybean oil into biodiesel was done using methanol and sodium hydroxide (as a catalyst) under an applied electric field. Response surface methodology (RSM) via Box-Behnken design (BBD) was applied to evaluate the influences of transesterification response on the reaction parameters of biodiesel production. Analysis of variance (ANOVA) was adopted to investigate several parameters of the quadratic polynomial model. The optimum condition was found under an applied electric field of 5 kV at a catalyst concentration, molar ratio of methanol to oil, reaction temperature, and stirring rates of 1 wt.%, 6:1, 60 °C, and 450 rpm respectively. During the transesterification process, the biodiesel yield reached 96.85% within 180.0 s. This is a huge improvement as compared with the conventional biodiesel preparing method which takes more than 2 h to obtain similar biodiesel yield.","author":[{"dropping-particle":"","family":"Yongphet","given":"Piyaphong","non-dropping-particle":"","parse-names":false,"suffix":""},{"dropping-particle":"","family":"Wang","given":"Junfen</w:instrText>
      </w:r>
      <w:r w:rsidR="00CF0E44" w:rsidRPr="003E448D">
        <w:instrText>g","non-dropping-particle":"","parse-names":false,"suffix":""},{"dropping-particle":"","family":"Wang","given":"Dongbao","non-dropping-particle":"","parse-names":false,"suffix":""},{"dropping-particle":"","family":"Mulbah","given":"Christian","non-dropping-particle":"","parse-names":false,"suffix":""},{"dropping-particle":"","family":"Fan","given":"Zhiheng","non-dropping-particle":"","parse-names":false,"suffix":""},{"dropping-particle":"","family":"Zhang","given":"Wei","non-dropping-particle":"","parse-names":false,"suffix":""},{"dropping-particle":"","family":"Amaral","given":"Paulo C.S.","non-dropping-particle":"","parse-names":false,"suffix":""}],"container-title":"Biomass Conversion and Biorefinery","id":"ITEM-3","issue":"5","issued":{"date-parts":[["2021"]]},"page":"2041-2051","publisher":"Biomass Conversion and Biorefinery","title":"Optimization of operation conditions for biodiesel preparation from soybean oil using an electric field","type":"article-journal","volume":"11"},"uris":["http://www.mendeley.com/documents/?uuid=1727542d-7bb5-42f9-a3d6-157f1aba16f4"]}],"mendeley":{"formattedCitation":"(Knothe, 1985; Sahasrabudhe et al., 2017; Yongphet et al., 2021)","plainTextFormattedCitation":"(Knothe, 1985; Sahasrabudhe et al., 2017; Yongphet et al., 2021)","previouslyFormattedCitation":"(Knothe, 1985; Sahasrabudhe et al., 2017; Yongphet et al., 2021)"},"properties":{"noteIndex":0},"schema":"https://github.com/citation-style-language/schema/raw/master/csl-citation.json"}</w:instrText>
      </w:r>
      <w:r w:rsidR="00F77A14">
        <w:rPr>
          <w:lang w:val="es-CO"/>
        </w:rPr>
        <w:fldChar w:fldCharType="separate"/>
      </w:r>
      <w:r w:rsidR="002643AA" w:rsidRPr="003E448D">
        <w:rPr>
          <w:noProof/>
        </w:rPr>
        <w:t>(Knothe</w:t>
      </w:r>
      <w:r w:rsidR="008A25F2">
        <w:rPr>
          <w:noProof/>
        </w:rPr>
        <w:t xml:space="preserve"> et al.</w:t>
      </w:r>
      <w:r w:rsidR="002643AA" w:rsidRPr="003E448D">
        <w:rPr>
          <w:noProof/>
        </w:rPr>
        <w:t>, 1985; Sahasrabudhe</w:t>
      </w:r>
      <w:r w:rsidR="008A25F2">
        <w:rPr>
          <w:noProof/>
        </w:rPr>
        <w:t xml:space="preserve"> </w:t>
      </w:r>
      <w:r w:rsidR="002643AA" w:rsidRPr="003E448D">
        <w:rPr>
          <w:noProof/>
        </w:rPr>
        <w:t>, 2017; Yongphet, 2021)</w:t>
      </w:r>
      <w:r w:rsidR="00F77A14">
        <w:rPr>
          <w:lang w:val="es-CO"/>
        </w:rPr>
        <w:fldChar w:fldCharType="end"/>
      </w:r>
      <w:r w:rsidR="00F77A14" w:rsidRPr="003E448D">
        <w:t>.</w:t>
      </w:r>
      <w:r w:rsidR="00274168" w:rsidRPr="003E448D">
        <w:t xml:space="preserve"> </w:t>
      </w:r>
    </w:p>
    <w:p w14:paraId="6E54601E" w14:textId="3FB96316" w:rsidR="00504ED3" w:rsidRPr="00B57B36" w:rsidRDefault="00504ED3" w:rsidP="00504ED3">
      <w:pPr>
        <w:pStyle w:val="CETTabletitle"/>
      </w:pPr>
      <w:r w:rsidRPr="00B57B36">
        <w:t xml:space="preserve">Table </w:t>
      </w:r>
      <w:r w:rsidR="00B60391">
        <w:t>2</w:t>
      </w:r>
      <w:r w:rsidRPr="00B57B36">
        <w:t xml:space="preserve">: </w:t>
      </w:r>
      <w:r w:rsidR="00CE6D2B" w:rsidRPr="00CE6D2B">
        <w:t>Physical and chemical properties of</w:t>
      </w:r>
      <w:r w:rsidR="00CE6D2B">
        <w:t xml:space="preserve"> soybean oil</w:t>
      </w:r>
    </w:p>
    <w:tbl>
      <w:tblPr>
        <w:tblW w:w="871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93"/>
        <w:gridCol w:w="2643"/>
        <w:gridCol w:w="2477"/>
      </w:tblGrid>
      <w:tr w:rsidR="00AA7E81" w:rsidRPr="00B57B36" w14:paraId="17F59000" w14:textId="77777777" w:rsidTr="00683641">
        <w:trPr>
          <w:trHeight w:val="287"/>
        </w:trPr>
        <w:tc>
          <w:tcPr>
            <w:tcW w:w="3593" w:type="dxa"/>
            <w:tcBorders>
              <w:top w:val="single" w:sz="12" w:space="0" w:color="008000"/>
              <w:bottom w:val="single" w:sz="6" w:space="0" w:color="008000"/>
            </w:tcBorders>
            <w:shd w:val="clear" w:color="auto" w:fill="FFFFFF"/>
          </w:tcPr>
          <w:p w14:paraId="35F85224" w14:textId="2E875052" w:rsidR="00FB7973" w:rsidRPr="00B57B36" w:rsidRDefault="00FB7973" w:rsidP="007E3A29">
            <w:pPr>
              <w:pStyle w:val="CETBodytext"/>
              <w:rPr>
                <w:lang w:val="en-GB"/>
              </w:rPr>
            </w:pPr>
            <w:r>
              <w:rPr>
                <w:lang w:val="en-GB"/>
              </w:rPr>
              <w:t>Properties</w:t>
            </w:r>
            <w:r w:rsidRPr="00B57B36">
              <w:rPr>
                <w:lang w:val="en-GB"/>
              </w:rPr>
              <w:t xml:space="preserve"> </w:t>
            </w:r>
          </w:p>
        </w:tc>
        <w:tc>
          <w:tcPr>
            <w:tcW w:w="2643" w:type="dxa"/>
            <w:tcBorders>
              <w:top w:val="single" w:sz="12" w:space="0" w:color="008000"/>
              <w:bottom w:val="single" w:sz="6" w:space="0" w:color="008000"/>
            </w:tcBorders>
            <w:shd w:val="clear" w:color="auto" w:fill="FFFFFF"/>
          </w:tcPr>
          <w:p w14:paraId="1273F0A5" w14:textId="04E37BB0" w:rsidR="00FB7973" w:rsidRPr="00B57B36" w:rsidRDefault="00FB7973" w:rsidP="007E3A29">
            <w:pPr>
              <w:pStyle w:val="CETBodytext"/>
              <w:rPr>
                <w:lang w:val="en-GB"/>
              </w:rPr>
            </w:pPr>
            <w:r>
              <w:rPr>
                <w:lang w:val="en-GB"/>
              </w:rPr>
              <w:t>Soybean</w:t>
            </w:r>
          </w:p>
        </w:tc>
        <w:tc>
          <w:tcPr>
            <w:tcW w:w="2477" w:type="dxa"/>
            <w:tcBorders>
              <w:top w:val="single" w:sz="12" w:space="0" w:color="008000"/>
              <w:bottom w:val="single" w:sz="6" w:space="0" w:color="008000"/>
            </w:tcBorders>
            <w:shd w:val="clear" w:color="auto" w:fill="FFFFFF"/>
          </w:tcPr>
          <w:p w14:paraId="04E39AF3" w14:textId="6BD032AC" w:rsidR="00FB7973" w:rsidRPr="00B57B36" w:rsidRDefault="00FB7973" w:rsidP="007E3A29">
            <w:pPr>
              <w:pStyle w:val="CETBodytext"/>
              <w:rPr>
                <w:lang w:val="en-GB"/>
              </w:rPr>
            </w:pPr>
            <w:r>
              <w:rPr>
                <w:lang w:val="en-GB"/>
              </w:rPr>
              <w:t>Standard</w:t>
            </w:r>
          </w:p>
        </w:tc>
      </w:tr>
      <w:tr w:rsidR="00AA7E81" w:rsidRPr="00B57B36" w14:paraId="3E3D5E3C" w14:textId="77777777" w:rsidTr="00683641">
        <w:trPr>
          <w:trHeight w:val="276"/>
        </w:trPr>
        <w:tc>
          <w:tcPr>
            <w:tcW w:w="3593" w:type="dxa"/>
            <w:tcBorders>
              <w:bottom w:val="nil"/>
            </w:tcBorders>
            <w:shd w:val="clear" w:color="auto" w:fill="FFFFFF"/>
          </w:tcPr>
          <w:p w14:paraId="42A21CE0" w14:textId="7E0F0F11" w:rsidR="00FB7973" w:rsidRPr="00B57B36" w:rsidRDefault="00653D8E" w:rsidP="007E3A29">
            <w:pPr>
              <w:pStyle w:val="CETBodytext"/>
              <w:rPr>
                <w:lang w:val="en-GB"/>
              </w:rPr>
            </w:pPr>
            <w:r w:rsidRPr="00653D8E">
              <w:rPr>
                <w:lang w:val="en-GB"/>
              </w:rPr>
              <w:t>Acidity percentage (%)</w:t>
            </w:r>
          </w:p>
        </w:tc>
        <w:tc>
          <w:tcPr>
            <w:tcW w:w="2643" w:type="dxa"/>
            <w:tcBorders>
              <w:bottom w:val="nil"/>
            </w:tcBorders>
            <w:shd w:val="clear" w:color="auto" w:fill="FFFFFF"/>
          </w:tcPr>
          <w:p w14:paraId="603AA526" w14:textId="042AC384" w:rsidR="00FB7973" w:rsidRPr="00B57B36" w:rsidRDefault="008259D6" w:rsidP="007E3A29">
            <w:pPr>
              <w:pStyle w:val="CETBodytext"/>
              <w:rPr>
                <w:lang w:val="en-GB"/>
              </w:rPr>
            </w:pPr>
            <w:r>
              <w:rPr>
                <w:rFonts w:cs="Arial"/>
                <w:lang w:val="en-GB"/>
              </w:rPr>
              <w:t xml:space="preserve">0.136 ± </w:t>
            </w:r>
            <w:r>
              <w:rPr>
                <w:lang w:val="en-GB"/>
              </w:rPr>
              <w:t>0.001</w:t>
            </w:r>
          </w:p>
        </w:tc>
        <w:tc>
          <w:tcPr>
            <w:tcW w:w="2477" w:type="dxa"/>
            <w:tcBorders>
              <w:bottom w:val="nil"/>
            </w:tcBorders>
            <w:shd w:val="clear" w:color="auto" w:fill="FFFFFF"/>
          </w:tcPr>
          <w:p w14:paraId="44DE9299" w14:textId="6E61F0BE" w:rsidR="00FB7973" w:rsidRPr="00B57B36" w:rsidRDefault="002121B2" w:rsidP="007E3A29">
            <w:pPr>
              <w:pStyle w:val="CETBodytext"/>
              <w:rPr>
                <w:lang w:val="en-GB"/>
              </w:rPr>
            </w:pPr>
            <w:r w:rsidRPr="002121B2">
              <w:rPr>
                <w:lang w:val="en-GB"/>
              </w:rPr>
              <w:t>NMX-F-101-SCFI-2012</w:t>
            </w:r>
          </w:p>
        </w:tc>
      </w:tr>
      <w:tr w:rsidR="0031759B" w:rsidRPr="00B57B36" w14:paraId="7F791D44" w14:textId="77777777" w:rsidTr="00683641">
        <w:trPr>
          <w:trHeight w:val="276"/>
        </w:trPr>
        <w:tc>
          <w:tcPr>
            <w:tcW w:w="3593" w:type="dxa"/>
            <w:tcBorders>
              <w:top w:val="nil"/>
              <w:bottom w:val="nil"/>
            </w:tcBorders>
            <w:shd w:val="clear" w:color="auto" w:fill="FFFFFF"/>
          </w:tcPr>
          <w:p w14:paraId="652DB5DB" w14:textId="25A5D5BE" w:rsidR="00653D8E" w:rsidRPr="00653D8E" w:rsidRDefault="002A0EB5" w:rsidP="00E777AE">
            <w:pPr>
              <w:pStyle w:val="CETBodytext"/>
              <w:rPr>
                <w:lang w:val="en-GB"/>
              </w:rPr>
            </w:pPr>
            <w:r w:rsidRPr="002A0EB5">
              <w:rPr>
                <w:lang w:val="en-GB"/>
              </w:rPr>
              <w:t>Kinematic viscosity (mm</w:t>
            </w:r>
            <w:r w:rsidRPr="00E777AE">
              <w:rPr>
                <w:vertAlign w:val="superscript"/>
                <w:lang w:val="en-GB"/>
              </w:rPr>
              <w:t>2</w:t>
            </w:r>
            <w:r w:rsidRPr="002A0EB5">
              <w:rPr>
                <w:lang w:val="en-GB"/>
              </w:rPr>
              <w:t>/s)</w:t>
            </w:r>
          </w:p>
        </w:tc>
        <w:tc>
          <w:tcPr>
            <w:tcW w:w="2643" w:type="dxa"/>
            <w:tcBorders>
              <w:top w:val="nil"/>
              <w:bottom w:val="nil"/>
            </w:tcBorders>
            <w:shd w:val="clear" w:color="auto" w:fill="FFFFFF"/>
          </w:tcPr>
          <w:p w14:paraId="25A68799" w14:textId="4AC252F3" w:rsidR="00653D8E" w:rsidRPr="00B57B36" w:rsidRDefault="00BB0E9A" w:rsidP="007E3A29">
            <w:pPr>
              <w:pStyle w:val="CETBodytext"/>
              <w:rPr>
                <w:lang w:val="en-GB"/>
              </w:rPr>
            </w:pPr>
            <w:r>
              <w:rPr>
                <w:rFonts w:cs="Arial"/>
                <w:lang w:val="en-GB"/>
              </w:rPr>
              <w:t>51.32</w:t>
            </w:r>
            <w:r w:rsidR="00051900">
              <w:rPr>
                <w:rFonts w:cs="Arial"/>
                <w:lang w:val="en-GB"/>
              </w:rPr>
              <w:t xml:space="preserve"> </w:t>
            </w:r>
            <w:r w:rsidR="000A2FBB">
              <w:rPr>
                <w:rFonts w:cs="Arial"/>
                <w:lang w:val="en-GB"/>
              </w:rPr>
              <w:t>±</w:t>
            </w:r>
            <w:r w:rsidR="00051900">
              <w:rPr>
                <w:rFonts w:cs="Arial"/>
                <w:lang w:val="en-GB"/>
              </w:rPr>
              <w:t xml:space="preserve"> </w:t>
            </w:r>
            <w:r w:rsidR="000A2FBB">
              <w:rPr>
                <w:lang w:val="en-GB"/>
              </w:rPr>
              <w:t>0.</w:t>
            </w:r>
            <w:r>
              <w:rPr>
                <w:lang w:val="en-GB"/>
              </w:rPr>
              <w:t>0</w:t>
            </w:r>
            <w:r w:rsidR="000A2FBB">
              <w:rPr>
                <w:lang w:val="en-GB"/>
              </w:rPr>
              <w:t>1</w:t>
            </w:r>
          </w:p>
        </w:tc>
        <w:tc>
          <w:tcPr>
            <w:tcW w:w="2477" w:type="dxa"/>
            <w:tcBorders>
              <w:top w:val="nil"/>
              <w:bottom w:val="nil"/>
            </w:tcBorders>
            <w:shd w:val="clear" w:color="auto" w:fill="FFFFFF"/>
          </w:tcPr>
          <w:p w14:paraId="00ACC7C9" w14:textId="63FCA343" w:rsidR="00653D8E" w:rsidRPr="00B57B36" w:rsidRDefault="002121B2" w:rsidP="007E3A29">
            <w:pPr>
              <w:pStyle w:val="CETBodytext"/>
              <w:rPr>
                <w:lang w:val="en-GB"/>
              </w:rPr>
            </w:pPr>
            <w:r w:rsidRPr="002121B2">
              <w:rPr>
                <w:lang w:val="en-GB"/>
              </w:rPr>
              <w:t>ASTM 445</w:t>
            </w:r>
          </w:p>
        </w:tc>
      </w:tr>
      <w:tr w:rsidR="00AA7E81" w:rsidRPr="00B57B36" w14:paraId="1A068A70" w14:textId="77777777" w:rsidTr="00683641">
        <w:trPr>
          <w:trHeight w:val="276"/>
        </w:trPr>
        <w:tc>
          <w:tcPr>
            <w:tcW w:w="3593" w:type="dxa"/>
            <w:tcBorders>
              <w:top w:val="nil"/>
              <w:bottom w:val="single" w:sz="12" w:space="0" w:color="008000"/>
            </w:tcBorders>
            <w:shd w:val="clear" w:color="auto" w:fill="FFFFFF"/>
          </w:tcPr>
          <w:p w14:paraId="5BFE69C5" w14:textId="6884D164" w:rsidR="00AD7121" w:rsidRPr="002A0EB5" w:rsidRDefault="00AD7121" w:rsidP="00AD7121">
            <w:pPr>
              <w:pStyle w:val="CETBodytext"/>
              <w:rPr>
                <w:lang w:val="en-GB"/>
              </w:rPr>
            </w:pPr>
            <w:r w:rsidRPr="00AD7121">
              <w:rPr>
                <w:lang w:val="en-GB"/>
              </w:rPr>
              <w:t>Density (kg/m</w:t>
            </w:r>
            <w:r w:rsidRPr="00AD7121">
              <w:rPr>
                <w:vertAlign w:val="superscript"/>
                <w:lang w:val="en-GB"/>
              </w:rPr>
              <w:t>3</w:t>
            </w:r>
            <w:r w:rsidRPr="00AD7121">
              <w:rPr>
                <w:lang w:val="en-GB"/>
              </w:rPr>
              <w:t>)</w:t>
            </w:r>
          </w:p>
        </w:tc>
        <w:tc>
          <w:tcPr>
            <w:tcW w:w="2643" w:type="dxa"/>
            <w:tcBorders>
              <w:top w:val="nil"/>
              <w:bottom w:val="single" w:sz="12" w:space="0" w:color="008000"/>
            </w:tcBorders>
            <w:shd w:val="clear" w:color="auto" w:fill="FFFFFF"/>
          </w:tcPr>
          <w:p w14:paraId="4A2CA141" w14:textId="1E1BF1EE" w:rsidR="00AD7121" w:rsidRPr="00B57B36" w:rsidRDefault="008259D6" w:rsidP="007E3A29">
            <w:pPr>
              <w:pStyle w:val="CETBodytext"/>
              <w:rPr>
                <w:lang w:val="en-GB"/>
              </w:rPr>
            </w:pPr>
            <w:r>
              <w:rPr>
                <w:rFonts w:cs="Arial"/>
                <w:lang w:val="en-GB"/>
              </w:rPr>
              <w:t xml:space="preserve">920.3 ± </w:t>
            </w:r>
            <w:r>
              <w:rPr>
                <w:lang w:val="en-GB"/>
              </w:rPr>
              <w:t>0.1</w:t>
            </w:r>
          </w:p>
        </w:tc>
        <w:tc>
          <w:tcPr>
            <w:tcW w:w="2477" w:type="dxa"/>
            <w:tcBorders>
              <w:top w:val="nil"/>
              <w:bottom w:val="single" w:sz="12" w:space="0" w:color="008000"/>
            </w:tcBorders>
            <w:shd w:val="clear" w:color="auto" w:fill="FFFFFF"/>
          </w:tcPr>
          <w:p w14:paraId="2D3309AA" w14:textId="23613CE1" w:rsidR="00AD7121" w:rsidRPr="00B57B36" w:rsidRDefault="002121B2" w:rsidP="007E3A29">
            <w:pPr>
              <w:pStyle w:val="CETBodytext"/>
              <w:rPr>
                <w:lang w:val="en-GB"/>
              </w:rPr>
            </w:pPr>
            <w:r w:rsidRPr="002121B2">
              <w:rPr>
                <w:lang w:val="en-GB"/>
              </w:rPr>
              <w:t>ASTM D1298</w:t>
            </w:r>
          </w:p>
        </w:tc>
      </w:tr>
      <w:tr w:rsidR="00A62F61" w:rsidRPr="00B57B36" w14:paraId="3FCE9E84" w14:textId="77777777" w:rsidTr="00683641">
        <w:trPr>
          <w:trHeight w:val="276"/>
        </w:trPr>
        <w:tc>
          <w:tcPr>
            <w:tcW w:w="3593" w:type="dxa"/>
            <w:tcBorders>
              <w:top w:val="single" w:sz="12" w:space="0" w:color="008000"/>
              <w:bottom w:val="single" w:sz="6" w:space="0" w:color="008000"/>
            </w:tcBorders>
            <w:shd w:val="clear" w:color="auto" w:fill="FFFFFF"/>
          </w:tcPr>
          <w:p w14:paraId="4CAF1929" w14:textId="79D33E56" w:rsidR="00653D8E" w:rsidRPr="00653D8E" w:rsidRDefault="006A3311" w:rsidP="007E3A29">
            <w:pPr>
              <w:pStyle w:val="CETBodytext"/>
              <w:rPr>
                <w:lang w:val="en-GB"/>
              </w:rPr>
            </w:pPr>
            <w:r w:rsidRPr="006A3311">
              <w:rPr>
                <w:lang w:val="en-GB"/>
              </w:rPr>
              <w:t xml:space="preserve">Fatty acid composition </w:t>
            </w:r>
          </w:p>
        </w:tc>
        <w:tc>
          <w:tcPr>
            <w:tcW w:w="2643" w:type="dxa"/>
            <w:tcBorders>
              <w:top w:val="single" w:sz="12" w:space="0" w:color="008000"/>
              <w:bottom w:val="single" w:sz="6" w:space="0" w:color="008000"/>
            </w:tcBorders>
            <w:shd w:val="clear" w:color="auto" w:fill="FFFFFF"/>
          </w:tcPr>
          <w:p w14:paraId="74651B4C" w14:textId="6BE884BB" w:rsidR="00653D8E" w:rsidRPr="00B57B36" w:rsidRDefault="006A3311" w:rsidP="007E3A29">
            <w:pPr>
              <w:pStyle w:val="CETBodytext"/>
              <w:rPr>
                <w:lang w:val="en-GB"/>
              </w:rPr>
            </w:pPr>
            <w:r w:rsidRPr="006A3311">
              <w:rPr>
                <w:lang w:val="en-GB"/>
              </w:rPr>
              <w:t>Molar weight</w:t>
            </w:r>
            <w:r w:rsidR="00995CB8">
              <w:rPr>
                <w:lang w:val="en-GB"/>
              </w:rPr>
              <w:t>*</w:t>
            </w:r>
            <w:r w:rsidRPr="006A3311">
              <w:rPr>
                <w:lang w:val="en-GB"/>
              </w:rPr>
              <w:t xml:space="preserve">(g/mol) </w:t>
            </w:r>
          </w:p>
        </w:tc>
        <w:tc>
          <w:tcPr>
            <w:tcW w:w="2477" w:type="dxa"/>
            <w:tcBorders>
              <w:top w:val="single" w:sz="12" w:space="0" w:color="008000"/>
              <w:bottom w:val="single" w:sz="6" w:space="0" w:color="008000"/>
            </w:tcBorders>
            <w:shd w:val="clear" w:color="auto" w:fill="FFFFFF"/>
          </w:tcPr>
          <w:p w14:paraId="65D537E8" w14:textId="40FA1C45" w:rsidR="00653D8E" w:rsidRPr="00B57B36" w:rsidRDefault="006A3311" w:rsidP="007E3A29">
            <w:pPr>
              <w:pStyle w:val="CETBodytext"/>
              <w:rPr>
                <w:lang w:val="en-GB"/>
              </w:rPr>
            </w:pPr>
            <w:r w:rsidRPr="006A3311">
              <w:rPr>
                <w:lang w:val="en-GB"/>
              </w:rPr>
              <w:t>(% w/w)</w:t>
            </w:r>
          </w:p>
        </w:tc>
      </w:tr>
      <w:tr w:rsidR="00995CB8" w:rsidRPr="00B57B36" w14:paraId="2ED61745" w14:textId="77777777" w:rsidTr="00683641">
        <w:trPr>
          <w:trHeight w:val="276"/>
        </w:trPr>
        <w:tc>
          <w:tcPr>
            <w:tcW w:w="3593" w:type="dxa"/>
            <w:tcBorders>
              <w:top w:val="single" w:sz="6" w:space="0" w:color="008000"/>
              <w:bottom w:val="nil"/>
            </w:tcBorders>
            <w:shd w:val="clear" w:color="auto" w:fill="FFFFFF"/>
          </w:tcPr>
          <w:p w14:paraId="57AAAB2E" w14:textId="53060559" w:rsidR="00995CB8" w:rsidRPr="00653D8E" w:rsidRDefault="00995CB8" w:rsidP="00995CB8">
            <w:pPr>
              <w:pStyle w:val="CETBodytext"/>
              <w:rPr>
                <w:lang w:val="en-GB"/>
              </w:rPr>
            </w:pPr>
            <w:r w:rsidRPr="00D020AE">
              <w:rPr>
                <w:lang w:val="en-GB"/>
              </w:rPr>
              <w:t xml:space="preserve">Palmitic (C16:0) </w:t>
            </w:r>
          </w:p>
        </w:tc>
        <w:tc>
          <w:tcPr>
            <w:tcW w:w="2643" w:type="dxa"/>
            <w:tcBorders>
              <w:top w:val="single" w:sz="6" w:space="0" w:color="008000"/>
              <w:bottom w:val="nil"/>
            </w:tcBorders>
            <w:shd w:val="clear" w:color="auto" w:fill="FFFFFF"/>
          </w:tcPr>
          <w:p w14:paraId="4975D9A7" w14:textId="67EA640C" w:rsidR="00995CB8" w:rsidRPr="00B57B36" w:rsidRDefault="00995CB8" w:rsidP="00995CB8">
            <w:pPr>
              <w:pStyle w:val="CETBodytext"/>
              <w:rPr>
                <w:lang w:val="en-GB"/>
              </w:rPr>
            </w:pPr>
            <w:r>
              <w:rPr>
                <w:lang w:val="en-GB"/>
              </w:rPr>
              <w:t>256.4</w:t>
            </w:r>
            <w:r w:rsidR="00051900">
              <w:rPr>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single" w:sz="6" w:space="0" w:color="008000"/>
              <w:bottom w:val="nil"/>
            </w:tcBorders>
            <w:shd w:val="clear" w:color="auto" w:fill="FFFFFF"/>
          </w:tcPr>
          <w:p w14:paraId="492BC29F" w14:textId="3AFE212A" w:rsidR="00995CB8" w:rsidRPr="00B57B36" w:rsidRDefault="00995CB8" w:rsidP="00995CB8">
            <w:pPr>
              <w:pStyle w:val="CETBodytext"/>
              <w:rPr>
                <w:lang w:val="en-GB"/>
              </w:rPr>
            </w:pPr>
            <w:r>
              <w:rPr>
                <w:lang w:val="en-GB"/>
              </w:rPr>
              <w:t>10.74</w:t>
            </w:r>
          </w:p>
        </w:tc>
      </w:tr>
      <w:tr w:rsidR="00995CB8" w:rsidRPr="00B57B36" w14:paraId="126232FD" w14:textId="77777777" w:rsidTr="00683641">
        <w:trPr>
          <w:trHeight w:val="276"/>
        </w:trPr>
        <w:tc>
          <w:tcPr>
            <w:tcW w:w="3593" w:type="dxa"/>
            <w:tcBorders>
              <w:top w:val="nil"/>
              <w:bottom w:val="nil"/>
            </w:tcBorders>
            <w:shd w:val="clear" w:color="auto" w:fill="FFFFFF"/>
          </w:tcPr>
          <w:p w14:paraId="66476CCF" w14:textId="40657426" w:rsidR="00995CB8" w:rsidRPr="00653D8E" w:rsidRDefault="00995CB8" w:rsidP="00995CB8">
            <w:pPr>
              <w:pStyle w:val="CETBodytext"/>
              <w:rPr>
                <w:lang w:val="en-GB"/>
              </w:rPr>
            </w:pPr>
            <w:r w:rsidRPr="0079586C">
              <w:rPr>
                <w:lang w:val="en-GB"/>
              </w:rPr>
              <w:t>Palmitoleic</w:t>
            </w:r>
            <w:r>
              <w:rPr>
                <w:lang w:val="en-GB"/>
              </w:rPr>
              <w:t xml:space="preserve"> (C16:1)</w:t>
            </w:r>
          </w:p>
        </w:tc>
        <w:tc>
          <w:tcPr>
            <w:tcW w:w="2643" w:type="dxa"/>
            <w:tcBorders>
              <w:top w:val="nil"/>
              <w:bottom w:val="nil"/>
            </w:tcBorders>
            <w:shd w:val="clear" w:color="auto" w:fill="FFFFFF"/>
          </w:tcPr>
          <w:p w14:paraId="5D262A9F" w14:textId="217D8880" w:rsidR="00995CB8" w:rsidRPr="00B57B36" w:rsidRDefault="00995CB8" w:rsidP="00995CB8">
            <w:pPr>
              <w:pStyle w:val="CETBodytext"/>
              <w:rPr>
                <w:lang w:val="en-GB"/>
              </w:rPr>
            </w:pPr>
            <w:r>
              <w:rPr>
                <w:lang w:val="en-GB"/>
              </w:rPr>
              <w:t>254.1</w:t>
            </w:r>
            <w:r w:rsidR="00051900">
              <w:rPr>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nil"/>
              <w:bottom w:val="nil"/>
            </w:tcBorders>
            <w:shd w:val="clear" w:color="auto" w:fill="FFFFFF"/>
          </w:tcPr>
          <w:p w14:paraId="1C3E0568" w14:textId="424B16B5" w:rsidR="00995CB8" w:rsidRPr="00B57B36" w:rsidRDefault="00995CB8" w:rsidP="00995CB8">
            <w:pPr>
              <w:pStyle w:val="CETBodytext"/>
              <w:rPr>
                <w:lang w:val="en-GB"/>
              </w:rPr>
            </w:pPr>
            <w:r>
              <w:rPr>
                <w:lang w:val="en-GB"/>
              </w:rPr>
              <w:t>0.10</w:t>
            </w:r>
          </w:p>
        </w:tc>
      </w:tr>
      <w:tr w:rsidR="00995CB8" w:rsidRPr="00B57B36" w14:paraId="0383657E" w14:textId="77777777" w:rsidTr="00683641">
        <w:trPr>
          <w:trHeight w:val="276"/>
        </w:trPr>
        <w:tc>
          <w:tcPr>
            <w:tcW w:w="3593" w:type="dxa"/>
            <w:tcBorders>
              <w:top w:val="nil"/>
              <w:bottom w:val="nil"/>
            </w:tcBorders>
            <w:shd w:val="clear" w:color="auto" w:fill="FFFFFF"/>
          </w:tcPr>
          <w:p w14:paraId="143AA77E" w14:textId="085CA496" w:rsidR="00995CB8" w:rsidRPr="00D020AE" w:rsidRDefault="00995CB8" w:rsidP="00995CB8">
            <w:pPr>
              <w:pStyle w:val="CETBodytext"/>
              <w:rPr>
                <w:lang w:val="en-GB"/>
              </w:rPr>
            </w:pPr>
            <w:r w:rsidRPr="00D020AE">
              <w:rPr>
                <w:lang w:val="en-GB"/>
              </w:rPr>
              <w:t>Stearic (C18:0)</w:t>
            </w:r>
          </w:p>
        </w:tc>
        <w:tc>
          <w:tcPr>
            <w:tcW w:w="2643" w:type="dxa"/>
            <w:tcBorders>
              <w:top w:val="nil"/>
              <w:bottom w:val="nil"/>
            </w:tcBorders>
            <w:shd w:val="clear" w:color="auto" w:fill="FFFFFF"/>
          </w:tcPr>
          <w:p w14:paraId="29384AF7" w14:textId="260D207D" w:rsidR="00995CB8" w:rsidRPr="00B57B36" w:rsidRDefault="00995CB8" w:rsidP="00995CB8">
            <w:pPr>
              <w:pStyle w:val="CETBodytext"/>
              <w:rPr>
                <w:lang w:val="en-GB"/>
              </w:rPr>
            </w:pPr>
            <w:r>
              <w:rPr>
                <w:lang w:val="en-GB"/>
              </w:rPr>
              <w:t>284.5</w:t>
            </w:r>
            <w:r w:rsidR="00051900">
              <w:rPr>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nil"/>
              <w:bottom w:val="nil"/>
            </w:tcBorders>
            <w:shd w:val="clear" w:color="auto" w:fill="FFFFFF"/>
          </w:tcPr>
          <w:p w14:paraId="6FA0B66D" w14:textId="55B2FE69" w:rsidR="00995CB8" w:rsidRPr="00B57B36" w:rsidRDefault="00995CB8" w:rsidP="00995CB8">
            <w:pPr>
              <w:pStyle w:val="CETBodytext"/>
              <w:rPr>
                <w:lang w:val="en-GB"/>
              </w:rPr>
            </w:pPr>
            <w:r>
              <w:rPr>
                <w:lang w:val="en-GB"/>
              </w:rPr>
              <w:t>4.05</w:t>
            </w:r>
          </w:p>
        </w:tc>
      </w:tr>
      <w:tr w:rsidR="00995CB8" w:rsidRPr="00B57B36" w14:paraId="3F91EC59" w14:textId="77777777" w:rsidTr="00683641">
        <w:trPr>
          <w:trHeight w:val="276"/>
        </w:trPr>
        <w:tc>
          <w:tcPr>
            <w:tcW w:w="3593" w:type="dxa"/>
            <w:tcBorders>
              <w:top w:val="nil"/>
              <w:bottom w:val="nil"/>
            </w:tcBorders>
            <w:shd w:val="clear" w:color="auto" w:fill="FFFFFF"/>
          </w:tcPr>
          <w:p w14:paraId="5C4ABCF8" w14:textId="4F8164F2" w:rsidR="00995CB8" w:rsidRPr="00653D8E" w:rsidRDefault="00995CB8" w:rsidP="00995CB8">
            <w:pPr>
              <w:pStyle w:val="CETBodytext"/>
              <w:rPr>
                <w:lang w:val="en-GB"/>
              </w:rPr>
            </w:pPr>
            <w:r w:rsidRPr="00D020AE">
              <w:rPr>
                <w:lang w:val="en-GB"/>
              </w:rPr>
              <w:t>Oleic (C18:1)</w:t>
            </w:r>
          </w:p>
        </w:tc>
        <w:tc>
          <w:tcPr>
            <w:tcW w:w="2643" w:type="dxa"/>
            <w:tcBorders>
              <w:top w:val="nil"/>
              <w:bottom w:val="nil"/>
            </w:tcBorders>
            <w:shd w:val="clear" w:color="auto" w:fill="FFFFFF"/>
          </w:tcPr>
          <w:p w14:paraId="3A40649D" w14:textId="1457040C" w:rsidR="00995CB8" w:rsidRPr="00B57B36" w:rsidRDefault="00995CB8" w:rsidP="00995CB8">
            <w:pPr>
              <w:pStyle w:val="CETBodytext"/>
              <w:rPr>
                <w:lang w:val="en-GB"/>
              </w:rPr>
            </w:pPr>
            <w:r>
              <w:rPr>
                <w:lang w:val="en-GB"/>
              </w:rPr>
              <w:t>282.5</w:t>
            </w:r>
            <w:r w:rsidR="00051900">
              <w:rPr>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nil"/>
              <w:bottom w:val="nil"/>
            </w:tcBorders>
            <w:shd w:val="clear" w:color="auto" w:fill="FFFFFF"/>
          </w:tcPr>
          <w:p w14:paraId="5360B1CD" w14:textId="4ED6E81F" w:rsidR="00995CB8" w:rsidRPr="00B57B36" w:rsidRDefault="00995CB8" w:rsidP="00995CB8">
            <w:pPr>
              <w:pStyle w:val="CETBodytext"/>
              <w:rPr>
                <w:lang w:val="en-GB"/>
              </w:rPr>
            </w:pPr>
            <w:r>
              <w:rPr>
                <w:lang w:val="en-GB"/>
              </w:rPr>
              <w:t>24.05</w:t>
            </w:r>
          </w:p>
        </w:tc>
      </w:tr>
      <w:tr w:rsidR="00995CB8" w:rsidRPr="00B57B36" w14:paraId="79B8B81A" w14:textId="77777777" w:rsidTr="00683641">
        <w:trPr>
          <w:trHeight w:val="276"/>
        </w:trPr>
        <w:tc>
          <w:tcPr>
            <w:tcW w:w="3593" w:type="dxa"/>
            <w:tcBorders>
              <w:top w:val="nil"/>
              <w:bottom w:val="nil"/>
            </w:tcBorders>
            <w:shd w:val="clear" w:color="auto" w:fill="FFFFFF"/>
          </w:tcPr>
          <w:p w14:paraId="10B8F6A7" w14:textId="08C2AEE5" w:rsidR="00995CB8" w:rsidRPr="00D020AE" w:rsidRDefault="00995CB8" w:rsidP="00995CB8">
            <w:pPr>
              <w:pStyle w:val="CETBodytext"/>
              <w:rPr>
                <w:lang w:val="en-GB"/>
              </w:rPr>
            </w:pPr>
            <w:r w:rsidRPr="00D020AE">
              <w:rPr>
                <w:lang w:val="en-GB"/>
              </w:rPr>
              <w:t>Linoleic (C18:2)</w:t>
            </w:r>
          </w:p>
        </w:tc>
        <w:tc>
          <w:tcPr>
            <w:tcW w:w="2643" w:type="dxa"/>
            <w:tcBorders>
              <w:top w:val="nil"/>
              <w:bottom w:val="nil"/>
            </w:tcBorders>
            <w:shd w:val="clear" w:color="auto" w:fill="FFFFFF"/>
          </w:tcPr>
          <w:p w14:paraId="22DB2928" w14:textId="4C84FCE4" w:rsidR="00995CB8" w:rsidRPr="00B57B36" w:rsidRDefault="00995CB8" w:rsidP="00995CB8">
            <w:pPr>
              <w:pStyle w:val="CETBodytext"/>
              <w:rPr>
                <w:lang w:val="en-GB"/>
              </w:rPr>
            </w:pPr>
            <w:r>
              <w:rPr>
                <w:lang w:val="en-GB"/>
              </w:rPr>
              <w:t>280.4</w:t>
            </w:r>
            <w:r w:rsidR="00051900">
              <w:rPr>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nil"/>
              <w:bottom w:val="nil"/>
            </w:tcBorders>
            <w:shd w:val="clear" w:color="auto" w:fill="FFFFFF"/>
          </w:tcPr>
          <w:p w14:paraId="4CC697C1" w14:textId="2593CF45" w:rsidR="00995CB8" w:rsidRPr="00B57B36" w:rsidRDefault="00995CB8" w:rsidP="00995CB8">
            <w:pPr>
              <w:pStyle w:val="CETBodytext"/>
              <w:rPr>
                <w:lang w:val="en-GB"/>
              </w:rPr>
            </w:pPr>
            <w:r>
              <w:rPr>
                <w:lang w:val="en-GB"/>
              </w:rPr>
              <w:t>53.36</w:t>
            </w:r>
          </w:p>
        </w:tc>
      </w:tr>
      <w:tr w:rsidR="00995CB8" w:rsidRPr="00B57B36" w14:paraId="18550228" w14:textId="77777777" w:rsidTr="00683641">
        <w:trPr>
          <w:trHeight w:val="276"/>
        </w:trPr>
        <w:tc>
          <w:tcPr>
            <w:tcW w:w="3593" w:type="dxa"/>
            <w:tcBorders>
              <w:top w:val="nil"/>
              <w:bottom w:val="nil"/>
            </w:tcBorders>
            <w:shd w:val="clear" w:color="auto" w:fill="FFFFFF"/>
          </w:tcPr>
          <w:p w14:paraId="5F7F0670" w14:textId="4012A991" w:rsidR="00995CB8" w:rsidRPr="00653D8E" w:rsidRDefault="00995CB8" w:rsidP="00995CB8">
            <w:pPr>
              <w:pStyle w:val="CETBodytext"/>
              <w:rPr>
                <w:lang w:val="en-GB"/>
              </w:rPr>
            </w:pPr>
            <w:r w:rsidRPr="00D020AE">
              <w:rPr>
                <w:lang w:val="en-GB"/>
              </w:rPr>
              <w:t>Linolenic (C18:3)</w:t>
            </w:r>
          </w:p>
        </w:tc>
        <w:tc>
          <w:tcPr>
            <w:tcW w:w="2643" w:type="dxa"/>
            <w:tcBorders>
              <w:top w:val="nil"/>
              <w:bottom w:val="nil"/>
            </w:tcBorders>
            <w:shd w:val="clear" w:color="auto" w:fill="FFFFFF"/>
          </w:tcPr>
          <w:p w14:paraId="2726D313" w14:textId="3D4B7627" w:rsidR="00995CB8" w:rsidRPr="00B57B36" w:rsidRDefault="00995CB8" w:rsidP="00995CB8">
            <w:pPr>
              <w:pStyle w:val="CETBodytext"/>
              <w:rPr>
                <w:lang w:val="en-GB"/>
              </w:rPr>
            </w:pPr>
            <w:r>
              <w:rPr>
                <w:lang w:val="en-GB"/>
              </w:rPr>
              <w:t>272.4</w:t>
            </w:r>
            <w:r w:rsidR="00051900">
              <w:rPr>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nil"/>
              <w:bottom w:val="nil"/>
            </w:tcBorders>
            <w:shd w:val="clear" w:color="auto" w:fill="FFFFFF"/>
          </w:tcPr>
          <w:p w14:paraId="177C5852" w14:textId="32835406" w:rsidR="00995CB8" w:rsidRPr="00B57B36" w:rsidRDefault="00995CB8" w:rsidP="00995CB8">
            <w:pPr>
              <w:pStyle w:val="CETBodytext"/>
              <w:rPr>
                <w:lang w:val="en-GB"/>
              </w:rPr>
            </w:pPr>
            <w:r>
              <w:rPr>
                <w:lang w:val="en-GB"/>
              </w:rPr>
              <w:t>7.48</w:t>
            </w:r>
          </w:p>
        </w:tc>
      </w:tr>
      <w:tr w:rsidR="009D2357" w:rsidRPr="00B57B36" w14:paraId="63B80451" w14:textId="77777777" w:rsidTr="00683641">
        <w:trPr>
          <w:trHeight w:val="287"/>
        </w:trPr>
        <w:tc>
          <w:tcPr>
            <w:tcW w:w="3593" w:type="dxa"/>
            <w:tcBorders>
              <w:top w:val="nil"/>
            </w:tcBorders>
            <w:shd w:val="clear" w:color="auto" w:fill="FFFFFF"/>
          </w:tcPr>
          <w:p w14:paraId="5354F385" w14:textId="4692E48C" w:rsidR="00995CB8" w:rsidRPr="00B57B36" w:rsidRDefault="00995CB8" w:rsidP="00995CB8">
            <w:pPr>
              <w:pStyle w:val="CETBodytext"/>
              <w:ind w:right="-1"/>
              <w:rPr>
                <w:rFonts w:cs="Arial"/>
                <w:szCs w:val="18"/>
                <w:lang w:val="en-GB"/>
              </w:rPr>
            </w:pPr>
            <w:r w:rsidRPr="00836170">
              <w:rPr>
                <w:rFonts w:cs="Arial"/>
                <w:szCs w:val="18"/>
                <w:lang w:val="en-GB"/>
              </w:rPr>
              <w:t xml:space="preserve">Arachidic </w:t>
            </w:r>
            <w:r>
              <w:rPr>
                <w:rFonts w:cs="Arial"/>
                <w:szCs w:val="18"/>
                <w:lang w:val="en-GB"/>
              </w:rPr>
              <w:t>(</w:t>
            </w:r>
            <w:r w:rsidRPr="00836170">
              <w:rPr>
                <w:rFonts w:cs="Arial"/>
                <w:szCs w:val="18"/>
                <w:lang w:val="en-GB"/>
              </w:rPr>
              <w:t>C20:0</w:t>
            </w:r>
            <w:r>
              <w:rPr>
                <w:rFonts w:cs="Arial"/>
                <w:szCs w:val="18"/>
                <w:lang w:val="en-GB"/>
              </w:rPr>
              <w:t>)</w:t>
            </w:r>
          </w:p>
        </w:tc>
        <w:tc>
          <w:tcPr>
            <w:tcW w:w="2643" w:type="dxa"/>
            <w:tcBorders>
              <w:top w:val="nil"/>
            </w:tcBorders>
            <w:shd w:val="clear" w:color="auto" w:fill="FFFFFF"/>
          </w:tcPr>
          <w:p w14:paraId="7D0F1958" w14:textId="1978D931" w:rsidR="00995CB8" w:rsidRPr="00B57B36" w:rsidRDefault="00995CB8" w:rsidP="00995CB8">
            <w:pPr>
              <w:pStyle w:val="CETBodytext"/>
              <w:ind w:right="-1"/>
              <w:rPr>
                <w:rFonts w:cs="Arial"/>
                <w:szCs w:val="18"/>
                <w:lang w:val="en-GB"/>
              </w:rPr>
            </w:pPr>
            <w:r>
              <w:rPr>
                <w:rFonts w:cs="Arial"/>
                <w:szCs w:val="18"/>
                <w:lang w:val="en-GB"/>
              </w:rPr>
              <w:t>312.5</w:t>
            </w:r>
            <w:r w:rsidR="00051900">
              <w:rPr>
                <w:rFonts w:cs="Arial"/>
                <w:szCs w:val="18"/>
                <w:lang w:val="en-GB"/>
              </w:rPr>
              <w:t xml:space="preserve"> </w:t>
            </w:r>
            <w:r w:rsidR="000A2FBB">
              <w:rPr>
                <w:rFonts w:cs="Arial"/>
                <w:lang w:val="en-GB"/>
              </w:rPr>
              <w:t>±</w:t>
            </w:r>
            <w:r w:rsidR="00051900">
              <w:rPr>
                <w:rFonts w:cs="Arial"/>
                <w:lang w:val="en-GB"/>
              </w:rPr>
              <w:t xml:space="preserve"> </w:t>
            </w:r>
            <w:r w:rsidR="000A2FBB">
              <w:rPr>
                <w:lang w:val="en-GB"/>
              </w:rPr>
              <w:t>0.1</w:t>
            </w:r>
          </w:p>
        </w:tc>
        <w:tc>
          <w:tcPr>
            <w:tcW w:w="2477" w:type="dxa"/>
            <w:tcBorders>
              <w:top w:val="nil"/>
            </w:tcBorders>
            <w:shd w:val="clear" w:color="auto" w:fill="FFFFFF"/>
          </w:tcPr>
          <w:p w14:paraId="474C319D" w14:textId="733B285E" w:rsidR="00995CB8" w:rsidRPr="00B57B36" w:rsidRDefault="00995CB8" w:rsidP="00995CB8">
            <w:pPr>
              <w:pStyle w:val="CETBodytext"/>
              <w:ind w:right="-1"/>
              <w:rPr>
                <w:rFonts w:cs="Arial"/>
                <w:szCs w:val="18"/>
                <w:lang w:val="en-GB"/>
              </w:rPr>
            </w:pPr>
            <w:r>
              <w:rPr>
                <w:rFonts w:cs="Arial"/>
                <w:szCs w:val="18"/>
                <w:lang w:val="en-GB"/>
              </w:rPr>
              <w:t>0.17</w:t>
            </w:r>
          </w:p>
        </w:tc>
      </w:tr>
    </w:tbl>
    <w:p w14:paraId="5FFC7290" w14:textId="1B1C17DB" w:rsidR="00520637" w:rsidRPr="000A2FBB" w:rsidRDefault="00995CB8" w:rsidP="00520637">
      <w:pPr>
        <w:pStyle w:val="CETBodytext"/>
        <w:rPr>
          <w:sz w:val="16"/>
          <w:szCs w:val="18"/>
        </w:rPr>
      </w:pPr>
      <w:r w:rsidRPr="000A2FBB">
        <w:rPr>
          <w:sz w:val="16"/>
          <w:szCs w:val="18"/>
        </w:rPr>
        <w:t xml:space="preserve">*The </w:t>
      </w:r>
      <w:r w:rsidR="00A903F4" w:rsidRPr="000A2FBB">
        <w:rPr>
          <w:sz w:val="16"/>
          <w:szCs w:val="18"/>
        </w:rPr>
        <w:t xml:space="preserve">average </w:t>
      </w:r>
      <w:r w:rsidR="000A2FBB" w:rsidRPr="000A2FBB">
        <w:rPr>
          <w:sz w:val="16"/>
          <w:szCs w:val="18"/>
        </w:rPr>
        <w:t xml:space="preserve">triglyceride </w:t>
      </w:r>
      <w:r w:rsidR="00A903F4" w:rsidRPr="000A2FBB">
        <w:rPr>
          <w:sz w:val="16"/>
          <w:szCs w:val="18"/>
        </w:rPr>
        <w:t>molar weight is 928.4 g/mol</w:t>
      </w:r>
    </w:p>
    <w:p w14:paraId="1F96CA21" w14:textId="038F4074" w:rsidR="00600535" w:rsidRPr="00B57B36" w:rsidRDefault="00FB07A2" w:rsidP="00973C5D">
      <w:pPr>
        <w:pStyle w:val="CETheadingx"/>
      </w:pPr>
      <w:r>
        <w:t>Comparative of reaction</w:t>
      </w:r>
      <w:r w:rsidR="00010C68">
        <w:t xml:space="preserve"> speed</w:t>
      </w:r>
    </w:p>
    <w:p w14:paraId="65E73FAD" w14:textId="68617F7F" w:rsidR="00600535" w:rsidRDefault="00BD62FD" w:rsidP="00750B59">
      <w:pPr>
        <w:pStyle w:val="CETBodytext"/>
        <w:rPr>
          <w:lang w:val="es-CO"/>
        </w:rPr>
      </w:pPr>
      <w:r w:rsidRPr="00BD62FD">
        <w:t xml:space="preserve">The obtaining of biodiesel by both methods was developed up to 45 </w:t>
      </w:r>
      <w:r w:rsidR="00542443">
        <w:t>min</w:t>
      </w:r>
      <w:r w:rsidRPr="00BD62FD">
        <w:t>, being a time apart sufficient for the stabilization of the reaction intensified by cavitation, as is observed in Figure 3. In turn, the reaction kinetics for both 6:1 and 12:1 molar ratios have a much higher slope in the process intensified by cavitation compared to the traditional stirring and heating, requiring 90 to 120 min to achieve good performance of at least 95</w:t>
      </w:r>
      <w:r w:rsidR="00542443">
        <w:t> </w:t>
      </w:r>
      <w:r w:rsidRPr="00BD62FD">
        <w:t>%</w:t>
      </w:r>
      <w:r>
        <w:t> </w:t>
      </w:r>
      <w:r w:rsidR="00CF0E44">
        <w:rPr>
          <w:lang w:val="es-CO"/>
        </w:rPr>
        <w:fldChar w:fldCharType="begin" w:fldLock="1"/>
      </w:r>
      <w:r w:rsidR="00546D55" w:rsidRPr="00BD62FD">
        <w:instrText>ADDIN CSL_CITATION {"citationItems":[{"id":"ITEM-1","itemData":{"DOI":"10.1007/s13399-019-00589-w","ISBN":"1339901900","ISSN":"21906823","abstract":"The acceleration of the biodiesel-glycerol separation has attracted the interest of many researchers in a quest to improve biodiesel production efficiency and reduce the overall production time. This has played a pivotal role in lowering the production cost and reducing the demand for other nonrenewable sources of energy. In the present study, the transesterification of soybean oil into biodiesel was done using methanol and sodium hydroxide (as a catalyst) under an applied electric field. Response surface methodology (RSM) via Box-Behnken design (BBD) was applied to evaluate the influences of transesterification response on the reaction parameters of biodiesel production. Analysis of variance (ANOVA) was adopted to investigate several parameters of the quadratic polynomial model. The optimum condition was found under an applied electric field of 5 kV at a catalyst concentration, molar ratio of methanol to oil, reaction temperature, and stirring rates of 1 wt.%, 6:1, 60 °C, and 450 rpm respectively. During the transesterification process, the biodiesel yield reached 96.85% within 180.0 s. This is a huge improvement as compared with the conventional biodiesel preparing method which takes more than 2 h to obtain similar biodiesel yield.","author":[{"dropping-particle":"","family":"Yongphet","given":"Piyaphong","non-dropping-particle":"","parse-names":false,"suffix":""},{"dropping-particle":"","family":"Wang","given":"Junfeng","non-dropping-particle":"","parse-names":false,"suffix":""},{"dropping-particle":"","family":"Wang","given":"Dongbao","non-dropping-particle":"","parse-names":false,"suffix":""},{"dropping-particle":"","family":"Mulbah","given":"Christian","non-dropping-particle":"","parse-names":false,"suffix":""},{"dropping-particle":"","family":"Fan","given":"Zhiheng","non-dropping-particle":"","parse-names":false,"suffix":""},{"dropping-particle":"","family":"Zhang","given":"Wei","non-dropping-particle":"","parse-names":false,"suffix":""},{"dropping-particle":"","family":"Amaral","given":"Paulo C.S.","non-dropping-particle":"","parse-names":false,"suffix":""}],"container-title":"Biomass Conversion and Biorefinery","id":"ITEM-1","issue":"5","issued":{"date-parts":[["2021"]]},"page":"2041-2051","publisher":"Biomass Conversion and Biorefinery","title":"Optimization of operation conditions for biodiesel preparation from soybean oil using an electric field","type":"article-journal","volume":"11"},"uris":["http://www.mendeley.com/documents/?uuid=1727542d-7bb5-42f9-a3d6-157f1aba16f4"]}],"mendeley":{"formattedCitation":"(Yongphet et al., 2021)","plainTextFormattedCitation":"(Yongphet et al., 2021)","previouslyFormattedCitation":"(Yongphet et al., 2021)"},"properties":{"noteIndex":0},"schema":"https://github.com/citation-style-language/schema/raw/master/csl-citation.json"}</w:instrText>
      </w:r>
      <w:r w:rsidR="00CF0E44">
        <w:rPr>
          <w:lang w:val="es-CO"/>
        </w:rPr>
        <w:fldChar w:fldCharType="separate"/>
      </w:r>
      <w:r w:rsidR="00CF0E44" w:rsidRPr="00BD62FD">
        <w:rPr>
          <w:noProof/>
        </w:rPr>
        <w:t>(Yongphet</w:t>
      </w:r>
      <w:r w:rsidR="0017612D">
        <w:rPr>
          <w:noProof/>
        </w:rPr>
        <w:t xml:space="preserve"> et al.</w:t>
      </w:r>
      <w:r w:rsidR="00CF0E44" w:rsidRPr="00BD62FD">
        <w:rPr>
          <w:noProof/>
        </w:rPr>
        <w:t>, 2021)</w:t>
      </w:r>
      <w:r w:rsidR="00CF0E44">
        <w:rPr>
          <w:lang w:val="es-CO"/>
        </w:rPr>
        <w:fldChar w:fldCharType="end"/>
      </w:r>
      <w:r w:rsidR="00C94E4C" w:rsidRPr="00BD62FD">
        <w:t xml:space="preserve">. </w:t>
      </w:r>
      <w:r w:rsidR="0024774D">
        <w:t>O</w:t>
      </w:r>
      <w:r w:rsidRPr="00BD62FD">
        <w:t>ther hand, the only configuration that reaches the standard EN 14214 of 96.5</w:t>
      </w:r>
      <w:r w:rsidR="00542443">
        <w:t xml:space="preserve"> </w:t>
      </w:r>
      <w:r w:rsidRPr="00BD62FD">
        <w:t xml:space="preserve">% w/w in FAME is under a molar methanol:oil ratio of 12:1. The kinetic curves obtained show a trend similar to that reported by other works that obtain biodiesel with more than 10 L allowing to consider that the behavior of this process would be scalable for large volumes </w:t>
      </w:r>
      <w:r w:rsidR="00546D55">
        <w:rPr>
          <w:lang w:val="es-CO"/>
        </w:rPr>
        <w:fldChar w:fldCharType="begin" w:fldLock="1"/>
      </w:r>
      <w:r w:rsidR="00450AF1" w:rsidRPr="00BD62FD">
        <w:instrText xml:space="preserve">ADDIN CSL_CITATION {"citationItems":[{"id":"ITEM-1","itemData":{"DOI":"10.1016/j.fuel.2014.08.013","ISSN":"00162361","abstract":"In the present work, hydrodynamic cavitation reactor has been used for the intensification of synthesis of biodiesel from waste cooking oil (WCO) based on the interesterification reaction. Experiments have been performed using different cavitating devices such as orifice plate, circular and slit venturi and under varying operating parameters viz. inlet pressure (2-5 bar), molar ratio of oil to methyl acetate (over the range of 1:10-1:14) and catalyst loading over the range of 0.5-1.25% by weight of oil. Maximum yield (90%) of biodiesel from WCO was obtained at oil to methyl acetate ratio of 1:12 and catalyst loading of 1.0% using slit venturi at the inlet pressure of 3 bar. Also, higher cavitational yield (biodiesel produced per unit energy consumed) was obtained for the hydrodynamic cavitation based approach as compared to the ultrasound based approach and conventional method. The observed intensification is attributed to the microscale turbulence generated due to the cavitational effects that help in intensifying the transfer processes. Overall, the potential of WCO to produce good quality methyl esters in energy efficient manner using </w:instrText>
      </w:r>
      <w:r w:rsidR="00450AF1">
        <w:rPr>
          <w:lang w:val="es-CO"/>
        </w:rPr>
        <w:instrText>hydrodynamic cavitation reactor has been demonstrated based on the cavitational yield calculations and properties of synthesized biodiesel. © 2014 Elsevier Ltd. All rights reserved.","author":[{"dropping-particle":"","family":"Maddikeri","given":"Ganesh L.","non-dropping-particle":"","parse-names":false,"suffix":""},{"dropping-particle":"","family":"Gogate","given":"Parag R.","non-dropping-particle":"","parse-names":false,"suffix":""},{"dropping-particle":"","family":"Pandit","given":"Aniruddha B.","non-dropping-particle":"","parse-names":false,"suffix":""}],"container-title":"Fuel","id":"ITEM-1","issued":{"date-parts":[["2014"]]},"page":"285-292","publisher":"Elsevier Ltd","title":"Intensified synthesis of biodiesel using hydrodynamic cavitation reactors based on the interesterification of waste cooking oil","type":"article-journal","volume":"137"},"uris":["http://www.mendeley.com/documents/?uuid=dc09ff11-e40b-4f4d-93ca-5ec50fd90103"]}],"mendeley":{"formattedCitation":"(Maddikeri et al., 2014)","plainTextFormattedCitation":"(Maddikeri et al., 2014)","previouslyFormattedCitation":"(Maddikeri et al., 2014)"},"properties":{"noteIndex":0},"schema":"https://github.com/citation-style-language/schema/raw/master/csl-citation.json"}</w:instrText>
      </w:r>
      <w:r w:rsidR="00546D55">
        <w:rPr>
          <w:lang w:val="es-CO"/>
        </w:rPr>
        <w:fldChar w:fldCharType="separate"/>
      </w:r>
      <w:r w:rsidR="00546D55" w:rsidRPr="00546D55">
        <w:rPr>
          <w:noProof/>
          <w:lang w:val="es-CO"/>
        </w:rPr>
        <w:t>(Maddikeri</w:t>
      </w:r>
      <w:r w:rsidR="0017612D">
        <w:rPr>
          <w:noProof/>
          <w:lang w:val="es-CO"/>
        </w:rPr>
        <w:t xml:space="preserve"> et al.</w:t>
      </w:r>
      <w:r w:rsidR="00546D55" w:rsidRPr="00546D55">
        <w:rPr>
          <w:noProof/>
          <w:lang w:val="es-CO"/>
        </w:rPr>
        <w:t>, 2014)</w:t>
      </w:r>
      <w:r w:rsidR="00546D55">
        <w:rPr>
          <w:lang w:val="es-CO"/>
        </w:rPr>
        <w:fldChar w:fldCharType="end"/>
      </w:r>
      <w:r w:rsidR="00CE147A">
        <w:rPr>
          <w:lang w:val="es-CO"/>
        </w:rPr>
        <w:t xml:space="preserve">. </w:t>
      </w:r>
    </w:p>
    <w:p w14:paraId="05CE07CA" w14:textId="77777777" w:rsidR="00942B4B" w:rsidRDefault="00942B4B" w:rsidP="00750B59">
      <w:pPr>
        <w:pStyle w:val="CETBodytext"/>
        <w:rPr>
          <w:lang w:val="es-CO"/>
        </w:rPr>
      </w:pPr>
    </w:p>
    <w:p w14:paraId="4DB37DE1" w14:textId="77777777" w:rsidR="00143B05" w:rsidRPr="00B57B36" w:rsidRDefault="00143B05" w:rsidP="00973C5D">
      <w:pPr>
        <w:pStyle w:val="CETheadingx"/>
      </w:pPr>
      <w:r>
        <w:t>Other characteristics of biodiesel obtains</w:t>
      </w:r>
    </w:p>
    <w:p w14:paraId="6B4910C0" w14:textId="7549214D" w:rsidR="00C02DDA" w:rsidRDefault="008271D2" w:rsidP="00CE147A">
      <w:pPr>
        <w:pStyle w:val="CETBodytext"/>
      </w:pPr>
      <w:r w:rsidRPr="00F52AC9">
        <w:t>To</w:t>
      </w:r>
      <w:r w:rsidR="00F52AC9" w:rsidRPr="00F52AC9">
        <w:t xml:space="preserve"> make a comparison more interesting than the time of obtaining, other properties are presented for the best results in FAME of biodiesel obtained by both methods. For hydrodynamic cavitation intensification, biodiesel obtained in 20 </w:t>
      </w:r>
      <w:r w:rsidR="00542443">
        <w:t>min</w:t>
      </w:r>
      <w:r w:rsidR="00F52AC9" w:rsidRPr="00F52AC9">
        <w:t xml:space="preserve"> at a molar ratio of 12:1, on the other hand, in the case of traditional biodiesel, there is a </w:t>
      </w:r>
      <w:r w:rsidR="00F52AC9" w:rsidRPr="00F52AC9">
        <w:lastRenderedPageBreak/>
        <w:t xml:space="preserve">reaction that was carried out over 120 </w:t>
      </w:r>
      <w:r w:rsidR="00542443">
        <w:t>min</w:t>
      </w:r>
      <w:r w:rsidR="00F52AC9" w:rsidRPr="00F52AC9">
        <w:t xml:space="preserve"> with the same molar ratio conditions. As shown in Table 3, the biodiesel obtained for both cases </w:t>
      </w:r>
      <w:r w:rsidR="00FB063C" w:rsidRPr="00F52AC9">
        <w:t>exceed</w:t>
      </w:r>
      <w:r w:rsidR="00F52AC9" w:rsidRPr="00F52AC9">
        <w:t xml:space="preserve"> the 96.5</w:t>
      </w:r>
      <w:r w:rsidR="00542443">
        <w:t xml:space="preserve"> </w:t>
      </w:r>
      <w:r w:rsidR="00F52AC9" w:rsidRPr="00F52AC9">
        <w:t>% w/w FAME limit, the calorific values, density, viscosity and distillation temperatures are approximately constant and within the permissive range of EN 14214. The energy consumed by the process intensified by cavitation is noticeably lower, because despite requiring greater demand for instantaneous energy, the operating time is only 16</w:t>
      </w:r>
      <w:r w:rsidR="00542443">
        <w:t xml:space="preserve"> </w:t>
      </w:r>
      <w:r w:rsidR="00F52AC9" w:rsidRPr="00F52AC9">
        <w:t>% of the traditional process, causing an energy saving of one third.</w:t>
      </w:r>
    </w:p>
    <w:p w14:paraId="118F884D" w14:textId="77777777" w:rsidR="00942B4B" w:rsidRPr="00F52AC9" w:rsidRDefault="00942B4B" w:rsidP="00CE147A">
      <w:pPr>
        <w:pStyle w:val="CETBodytext"/>
      </w:pPr>
    </w:p>
    <w:p w14:paraId="424873C4" w14:textId="555FD2B1" w:rsidR="008C4646" w:rsidRDefault="006F2615" w:rsidP="00F9082F">
      <w:pPr>
        <w:pStyle w:val="CETBodytext"/>
        <w:jc w:val="left"/>
        <w:rPr>
          <w:lang w:val="es-CO"/>
        </w:rPr>
      </w:pPr>
      <w:r>
        <w:rPr>
          <w:noProof/>
          <w:lang w:val="it-IT" w:eastAsia="it-IT"/>
        </w:rPr>
        <w:drawing>
          <wp:inline distT="0" distB="0" distL="0" distR="0" wp14:anchorId="5822A4D2" wp14:editId="5249D3A4">
            <wp:extent cx="2545689" cy="2173692"/>
            <wp:effectExtent l="0" t="0" r="762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2"/>
                    <a:srcRect l="3518"/>
                    <a:stretch/>
                  </pic:blipFill>
                  <pic:spPr bwMode="auto">
                    <a:xfrm>
                      <a:off x="0" y="0"/>
                      <a:ext cx="2644760" cy="2258286"/>
                    </a:xfrm>
                    <a:prstGeom prst="rect">
                      <a:avLst/>
                    </a:prstGeom>
                    <a:ln>
                      <a:noFill/>
                    </a:ln>
                    <a:extLst>
                      <a:ext uri="{53640926-AAD7-44D8-BBD7-CCE9431645EC}">
                        <a14:shadowObscured xmlns:a14="http://schemas.microsoft.com/office/drawing/2010/main"/>
                      </a:ext>
                    </a:extLst>
                  </pic:spPr>
                </pic:pic>
              </a:graphicData>
            </a:graphic>
          </wp:inline>
        </w:drawing>
      </w:r>
    </w:p>
    <w:p w14:paraId="10B4FC73" w14:textId="21CC607F" w:rsidR="00F9082F" w:rsidRDefault="00F9082F" w:rsidP="00F9082F">
      <w:pPr>
        <w:pStyle w:val="CETBodytext"/>
        <w:jc w:val="left"/>
        <w:rPr>
          <w:rStyle w:val="CETCaptionCarattere"/>
        </w:rPr>
      </w:pPr>
      <w:r w:rsidRPr="00BD077D">
        <w:rPr>
          <w:rStyle w:val="CETCaptionCarattere"/>
        </w:rPr>
        <w:t xml:space="preserve">Figure </w:t>
      </w:r>
      <w:r>
        <w:rPr>
          <w:rStyle w:val="CETCaptionCarattere"/>
          <w:i w:val="0"/>
        </w:rPr>
        <w:t>3</w:t>
      </w:r>
      <w:r w:rsidRPr="00BD077D">
        <w:rPr>
          <w:rStyle w:val="CETCaptionCarattere"/>
        </w:rPr>
        <w:t xml:space="preserve">: </w:t>
      </w:r>
      <w:r>
        <w:rPr>
          <w:rStyle w:val="CETCaptionCarattere"/>
        </w:rPr>
        <w:t>R</w:t>
      </w:r>
      <w:r w:rsidRPr="00F9082F">
        <w:rPr>
          <w:rStyle w:val="CETCaptionCarattere"/>
        </w:rPr>
        <w:t>eaction speed</w:t>
      </w:r>
      <w:r>
        <w:rPr>
          <w:rStyle w:val="CETCaptionCarattere"/>
        </w:rPr>
        <w:t xml:space="preserve"> of four experiment</w:t>
      </w:r>
      <w:r w:rsidR="003E7ADB">
        <w:rPr>
          <w:rStyle w:val="CETCaptionCarattere"/>
        </w:rPr>
        <w:t>.</w:t>
      </w:r>
    </w:p>
    <w:p w14:paraId="293AB8D2" w14:textId="5265D9FE" w:rsidR="004D2197" w:rsidRPr="00B57B36" w:rsidRDefault="004D2197" w:rsidP="004D2197">
      <w:pPr>
        <w:pStyle w:val="CETTabletitle"/>
      </w:pPr>
      <w:r w:rsidRPr="00B57B36">
        <w:t xml:space="preserve">Table </w:t>
      </w:r>
      <w:r>
        <w:t>3</w:t>
      </w:r>
      <w:r w:rsidRPr="00B57B36">
        <w:t xml:space="preserve">: </w:t>
      </w:r>
      <w:r w:rsidRPr="00CE6D2B">
        <w:t>Physical and chemical properties of</w:t>
      </w:r>
      <w:r>
        <w:t xml:space="preserve"> biodiesel</w:t>
      </w:r>
      <w:r w:rsidR="003E7ADB">
        <w:t>.</w:t>
      </w:r>
      <w:r>
        <w:t xml:space="preserve"> </w:t>
      </w:r>
    </w:p>
    <w:tbl>
      <w:tblPr>
        <w:tblW w:w="880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48"/>
        <w:gridCol w:w="1697"/>
        <w:gridCol w:w="1697"/>
        <w:gridCol w:w="2859"/>
      </w:tblGrid>
      <w:tr w:rsidR="00113E31" w:rsidRPr="00942B4B" w14:paraId="1CE1B025" w14:textId="77777777" w:rsidTr="00683641">
        <w:trPr>
          <w:trHeight w:val="290"/>
        </w:trPr>
        <w:tc>
          <w:tcPr>
            <w:tcW w:w="2548" w:type="dxa"/>
            <w:tcBorders>
              <w:top w:val="single" w:sz="12" w:space="0" w:color="008000"/>
              <w:bottom w:val="single" w:sz="6" w:space="0" w:color="008000"/>
            </w:tcBorders>
            <w:shd w:val="clear" w:color="auto" w:fill="FFFFFF"/>
            <w:vAlign w:val="center"/>
          </w:tcPr>
          <w:p w14:paraId="4CD121F6" w14:textId="77777777" w:rsidR="00113E31" w:rsidRPr="00942B4B" w:rsidRDefault="00113E31" w:rsidP="001D1765">
            <w:pPr>
              <w:pStyle w:val="CETBodytext"/>
              <w:jc w:val="left"/>
              <w:rPr>
                <w:lang w:val="en-GB"/>
              </w:rPr>
            </w:pPr>
            <w:r w:rsidRPr="00942B4B">
              <w:rPr>
                <w:lang w:val="en-GB"/>
              </w:rPr>
              <w:t xml:space="preserve">Properties </w:t>
            </w:r>
          </w:p>
        </w:tc>
        <w:tc>
          <w:tcPr>
            <w:tcW w:w="1697" w:type="dxa"/>
            <w:tcBorders>
              <w:top w:val="single" w:sz="12" w:space="0" w:color="008000"/>
              <w:bottom w:val="single" w:sz="6" w:space="0" w:color="008000"/>
            </w:tcBorders>
            <w:shd w:val="clear" w:color="auto" w:fill="FFFFFF"/>
            <w:vAlign w:val="center"/>
          </w:tcPr>
          <w:p w14:paraId="0E10B3C3" w14:textId="04B3E03C" w:rsidR="00113E31" w:rsidRPr="00942B4B" w:rsidRDefault="00113E31" w:rsidP="001D1765">
            <w:pPr>
              <w:pStyle w:val="CETBodytext"/>
              <w:jc w:val="left"/>
              <w:rPr>
                <w:lang w:val="en-GB"/>
              </w:rPr>
            </w:pPr>
            <w:r w:rsidRPr="00942B4B">
              <w:rPr>
                <w:lang w:val="en-GB"/>
              </w:rPr>
              <w:t>Cavitation system</w:t>
            </w:r>
            <w:r w:rsidR="00DB5E3F" w:rsidRPr="00942B4B">
              <w:rPr>
                <w:lang w:val="en-GB"/>
              </w:rPr>
              <w:t xml:space="preserve"> </w:t>
            </w:r>
          </w:p>
        </w:tc>
        <w:tc>
          <w:tcPr>
            <w:tcW w:w="1697" w:type="dxa"/>
            <w:tcBorders>
              <w:top w:val="single" w:sz="12" w:space="0" w:color="008000"/>
              <w:bottom w:val="single" w:sz="6" w:space="0" w:color="008000"/>
            </w:tcBorders>
            <w:shd w:val="clear" w:color="auto" w:fill="FFFFFF"/>
            <w:vAlign w:val="center"/>
          </w:tcPr>
          <w:p w14:paraId="7AD0EA2A" w14:textId="574AFD56" w:rsidR="00DB5E3F" w:rsidRPr="00942B4B" w:rsidRDefault="00113E31" w:rsidP="001D1765">
            <w:pPr>
              <w:pStyle w:val="CETBodytext"/>
              <w:jc w:val="left"/>
              <w:rPr>
                <w:lang w:val="en-GB"/>
              </w:rPr>
            </w:pPr>
            <w:r w:rsidRPr="00942B4B">
              <w:rPr>
                <w:lang w:val="en-GB"/>
              </w:rPr>
              <w:t>Tra</w:t>
            </w:r>
            <w:r w:rsidR="00FB0E8D" w:rsidRPr="00942B4B">
              <w:rPr>
                <w:lang w:val="en-GB"/>
              </w:rPr>
              <w:t>ditional system</w:t>
            </w:r>
          </w:p>
        </w:tc>
        <w:tc>
          <w:tcPr>
            <w:tcW w:w="2859" w:type="dxa"/>
            <w:tcBorders>
              <w:top w:val="single" w:sz="12" w:space="0" w:color="008000"/>
              <w:bottom w:val="single" w:sz="6" w:space="0" w:color="008000"/>
            </w:tcBorders>
            <w:shd w:val="clear" w:color="auto" w:fill="FFFFFF"/>
            <w:vAlign w:val="center"/>
          </w:tcPr>
          <w:p w14:paraId="31CCE7B4" w14:textId="1EBE04F5" w:rsidR="00113E31" w:rsidRPr="00942B4B" w:rsidRDefault="00113E31" w:rsidP="001D1765">
            <w:pPr>
              <w:pStyle w:val="CETBodytext"/>
              <w:jc w:val="left"/>
              <w:rPr>
                <w:lang w:val="en-GB"/>
              </w:rPr>
            </w:pPr>
            <w:r w:rsidRPr="00942B4B">
              <w:rPr>
                <w:lang w:val="en-GB"/>
              </w:rPr>
              <w:t>Standard</w:t>
            </w:r>
          </w:p>
        </w:tc>
      </w:tr>
      <w:tr w:rsidR="00113E31" w:rsidRPr="00942B4B" w14:paraId="16EC307F" w14:textId="77777777" w:rsidTr="00683641">
        <w:trPr>
          <w:trHeight w:val="277"/>
        </w:trPr>
        <w:tc>
          <w:tcPr>
            <w:tcW w:w="2548" w:type="dxa"/>
            <w:tcBorders>
              <w:bottom w:val="nil"/>
            </w:tcBorders>
            <w:shd w:val="clear" w:color="auto" w:fill="FFFFFF"/>
            <w:vAlign w:val="center"/>
          </w:tcPr>
          <w:p w14:paraId="192F476C" w14:textId="084F6856" w:rsidR="00113E31" w:rsidRPr="00942B4B" w:rsidRDefault="00113E31" w:rsidP="001D1765">
            <w:pPr>
              <w:pStyle w:val="CETBodytext"/>
              <w:jc w:val="left"/>
              <w:rPr>
                <w:lang w:val="en-GB"/>
              </w:rPr>
            </w:pPr>
            <w:r w:rsidRPr="00942B4B">
              <w:rPr>
                <w:lang w:val="en-GB"/>
              </w:rPr>
              <w:t>FAME (% w/w)</w:t>
            </w:r>
          </w:p>
        </w:tc>
        <w:tc>
          <w:tcPr>
            <w:tcW w:w="1697" w:type="dxa"/>
            <w:tcBorders>
              <w:bottom w:val="nil"/>
            </w:tcBorders>
            <w:shd w:val="clear" w:color="auto" w:fill="FFFFFF"/>
            <w:vAlign w:val="center"/>
          </w:tcPr>
          <w:p w14:paraId="45D3B4C1" w14:textId="2979A4B8" w:rsidR="00113E31" w:rsidRPr="00942B4B" w:rsidRDefault="00FB0E8D" w:rsidP="001D1765">
            <w:pPr>
              <w:pStyle w:val="CETBodytext"/>
              <w:jc w:val="left"/>
              <w:rPr>
                <w:lang w:val="en-GB"/>
              </w:rPr>
            </w:pPr>
            <w:r w:rsidRPr="00942B4B">
              <w:rPr>
                <w:rFonts w:cs="Arial"/>
                <w:lang w:val="en-GB"/>
              </w:rPr>
              <w:t>97.2</w:t>
            </w:r>
            <w:r w:rsidR="00D11374" w:rsidRPr="00942B4B">
              <w:rPr>
                <w:rFonts w:cs="Arial"/>
                <w:lang w:val="en-GB"/>
              </w:rPr>
              <w:t>0</w:t>
            </w:r>
            <w:r w:rsidR="00113E31" w:rsidRPr="00942B4B">
              <w:rPr>
                <w:rFonts w:cs="Arial"/>
                <w:lang w:val="en-GB"/>
              </w:rPr>
              <w:t xml:space="preserve"> ± </w:t>
            </w:r>
            <w:r w:rsidRPr="00942B4B">
              <w:rPr>
                <w:lang w:val="en-GB"/>
              </w:rPr>
              <w:t>1.2</w:t>
            </w:r>
            <w:r w:rsidR="00D11374" w:rsidRPr="00942B4B">
              <w:rPr>
                <w:lang w:val="en-GB"/>
              </w:rPr>
              <w:t>0</w:t>
            </w:r>
          </w:p>
        </w:tc>
        <w:tc>
          <w:tcPr>
            <w:tcW w:w="1697" w:type="dxa"/>
            <w:tcBorders>
              <w:bottom w:val="nil"/>
            </w:tcBorders>
            <w:shd w:val="clear" w:color="auto" w:fill="FFFFFF"/>
            <w:vAlign w:val="center"/>
          </w:tcPr>
          <w:p w14:paraId="69CD7F75" w14:textId="3AB0F512" w:rsidR="00113E31" w:rsidRPr="00942B4B" w:rsidRDefault="00FB0E8D" w:rsidP="001D1765">
            <w:pPr>
              <w:pStyle w:val="CETBodytext"/>
              <w:jc w:val="left"/>
              <w:rPr>
                <w:lang w:val="en-GB"/>
              </w:rPr>
            </w:pPr>
            <w:r w:rsidRPr="00942B4B">
              <w:rPr>
                <w:lang w:val="en-GB"/>
              </w:rPr>
              <w:t>98.</w:t>
            </w:r>
            <w:r w:rsidR="00D11374" w:rsidRPr="00942B4B">
              <w:rPr>
                <w:lang w:val="en-GB"/>
              </w:rPr>
              <w:t>58</w:t>
            </w:r>
            <w:r w:rsidR="00DB5E3F" w:rsidRPr="00942B4B">
              <w:rPr>
                <w:lang w:val="en-GB"/>
              </w:rPr>
              <w:t xml:space="preserve"> </w:t>
            </w:r>
            <w:r w:rsidR="00DB5E3F" w:rsidRPr="00942B4B">
              <w:rPr>
                <w:rFonts w:cs="Arial"/>
                <w:lang w:val="en-GB"/>
              </w:rPr>
              <w:t xml:space="preserve">± </w:t>
            </w:r>
            <w:r w:rsidR="00DB5E3F" w:rsidRPr="00942B4B">
              <w:rPr>
                <w:lang w:val="en-GB"/>
              </w:rPr>
              <w:t>1.4</w:t>
            </w:r>
            <w:r w:rsidR="00D11374" w:rsidRPr="00942B4B">
              <w:rPr>
                <w:lang w:val="en-GB"/>
              </w:rPr>
              <w:t>0</w:t>
            </w:r>
          </w:p>
        </w:tc>
        <w:tc>
          <w:tcPr>
            <w:tcW w:w="2859" w:type="dxa"/>
            <w:tcBorders>
              <w:bottom w:val="nil"/>
            </w:tcBorders>
            <w:shd w:val="clear" w:color="auto" w:fill="FFFFFF"/>
            <w:vAlign w:val="center"/>
          </w:tcPr>
          <w:p w14:paraId="65CA24A1" w14:textId="642AE4B1" w:rsidR="00113E31" w:rsidRPr="00942B4B" w:rsidRDefault="00D11374" w:rsidP="001D1765">
            <w:pPr>
              <w:pStyle w:val="CETBodytext"/>
              <w:jc w:val="left"/>
              <w:rPr>
                <w:lang w:val="en-GB"/>
              </w:rPr>
            </w:pPr>
            <w:r w:rsidRPr="00942B4B">
              <w:rPr>
                <w:lang w:val="en-GB"/>
              </w:rPr>
              <w:t>EN 14214</w:t>
            </w:r>
            <w:r w:rsidR="001D1765" w:rsidRPr="00942B4B">
              <w:rPr>
                <w:lang w:val="en-GB"/>
              </w:rPr>
              <w:t xml:space="preserve"> (Min 96.5)</w:t>
            </w:r>
          </w:p>
        </w:tc>
      </w:tr>
      <w:tr w:rsidR="00113E31" w:rsidRPr="00942B4B" w14:paraId="73D24D68" w14:textId="77777777" w:rsidTr="00683641">
        <w:trPr>
          <w:trHeight w:val="277"/>
        </w:trPr>
        <w:tc>
          <w:tcPr>
            <w:tcW w:w="2548" w:type="dxa"/>
            <w:tcBorders>
              <w:top w:val="nil"/>
              <w:bottom w:val="nil"/>
            </w:tcBorders>
            <w:shd w:val="clear" w:color="auto" w:fill="FFFFFF"/>
            <w:vAlign w:val="center"/>
          </w:tcPr>
          <w:p w14:paraId="7E0D4336" w14:textId="5A9BD06F" w:rsidR="00113E31" w:rsidRPr="00942B4B" w:rsidRDefault="00113E31" w:rsidP="001D1765">
            <w:pPr>
              <w:pStyle w:val="CETBodytext"/>
              <w:jc w:val="left"/>
              <w:rPr>
                <w:lang w:val="en-GB"/>
              </w:rPr>
            </w:pPr>
            <w:r w:rsidRPr="00942B4B">
              <w:rPr>
                <w:lang w:val="en-GB"/>
              </w:rPr>
              <w:t>Kinematic viscosity (mm</w:t>
            </w:r>
            <w:r w:rsidRPr="00942B4B">
              <w:rPr>
                <w:vertAlign w:val="superscript"/>
                <w:lang w:val="en-GB"/>
              </w:rPr>
              <w:t>2</w:t>
            </w:r>
            <w:r w:rsidRPr="00942B4B">
              <w:rPr>
                <w:lang w:val="en-GB"/>
              </w:rPr>
              <w:t>/s)</w:t>
            </w:r>
          </w:p>
        </w:tc>
        <w:tc>
          <w:tcPr>
            <w:tcW w:w="1697" w:type="dxa"/>
            <w:tcBorders>
              <w:top w:val="nil"/>
              <w:bottom w:val="nil"/>
            </w:tcBorders>
            <w:shd w:val="clear" w:color="auto" w:fill="FFFFFF"/>
            <w:vAlign w:val="center"/>
          </w:tcPr>
          <w:p w14:paraId="5DD86EF8" w14:textId="62835036" w:rsidR="00113E31" w:rsidRPr="00942B4B" w:rsidRDefault="001A5F70" w:rsidP="001D1765">
            <w:pPr>
              <w:pStyle w:val="CETBodytext"/>
              <w:jc w:val="left"/>
              <w:rPr>
                <w:lang w:val="en-GB"/>
              </w:rPr>
            </w:pPr>
            <w:r w:rsidRPr="00942B4B">
              <w:rPr>
                <w:rFonts w:cs="Arial"/>
                <w:lang w:val="en-GB"/>
              </w:rPr>
              <w:t>4.074</w:t>
            </w:r>
            <w:r w:rsidR="00113E31" w:rsidRPr="00942B4B">
              <w:rPr>
                <w:rFonts w:cs="Arial"/>
                <w:lang w:val="en-GB"/>
              </w:rPr>
              <w:t xml:space="preserve"> ± </w:t>
            </w:r>
            <w:r w:rsidR="00113E31" w:rsidRPr="00942B4B">
              <w:rPr>
                <w:lang w:val="en-GB"/>
              </w:rPr>
              <w:t>0.01</w:t>
            </w:r>
          </w:p>
        </w:tc>
        <w:tc>
          <w:tcPr>
            <w:tcW w:w="1697" w:type="dxa"/>
            <w:tcBorders>
              <w:top w:val="nil"/>
              <w:bottom w:val="nil"/>
            </w:tcBorders>
            <w:shd w:val="clear" w:color="auto" w:fill="FFFFFF"/>
            <w:vAlign w:val="center"/>
          </w:tcPr>
          <w:p w14:paraId="73A7008C" w14:textId="36CA2D00" w:rsidR="00113E31" w:rsidRPr="00942B4B" w:rsidRDefault="00A067F0" w:rsidP="001D1765">
            <w:pPr>
              <w:pStyle w:val="CETBodytext"/>
              <w:jc w:val="left"/>
              <w:rPr>
                <w:lang w:val="en-GB"/>
              </w:rPr>
            </w:pPr>
            <w:r w:rsidRPr="00942B4B">
              <w:rPr>
                <w:lang w:val="en-GB"/>
              </w:rPr>
              <w:t xml:space="preserve">4.141 </w:t>
            </w:r>
            <w:r w:rsidRPr="00942B4B">
              <w:rPr>
                <w:rFonts w:cs="Arial"/>
                <w:lang w:val="en-GB"/>
              </w:rPr>
              <w:t xml:space="preserve">± </w:t>
            </w:r>
            <w:r w:rsidRPr="00942B4B">
              <w:rPr>
                <w:lang w:val="en-GB"/>
              </w:rPr>
              <w:t>0.01</w:t>
            </w:r>
          </w:p>
        </w:tc>
        <w:tc>
          <w:tcPr>
            <w:tcW w:w="2859" w:type="dxa"/>
            <w:tcBorders>
              <w:top w:val="nil"/>
              <w:bottom w:val="nil"/>
            </w:tcBorders>
            <w:shd w:val="clear" w:color="auto" w:fill="FFFFFF"/>
            <w:vAlign w:val="center"/>
          </w:tcPr>
          <w:p w14:paraId="5325FFC7" w14:textId="47312A3D" w:rsidR="00113E31" w:rsidRPr="00942B4B" w:rsidRDefault="00113E31" w:rsidP="00BF52AE">
            <w:pPr>
              <w:pStyle w:val="CETBodytext"/>
              <w:jc w:val="left"/>
              <w:rPr>
                <w:lang w:val="en-GB"/>
              </w:rPr>
            </w:pPr>
            <w:r w:rsidRPr="00942B4B">
              <w:rPr>
                <w:lang w:val="en-GB"/>
              </w:rPr>
              <w:t>ASTM 445</w:t>
            </w:r>
            <w:r w:rsidR="001D1765" w:rsidRPr="00942B4B">
              <w:rPr>
                <w:lang w:val="en-GB"/>
              </w:rPr>
              <w:t xml:space="preserve"> (Min 3.5 – Max 5.0)</w:t>
            </w:r>
          </w:p>
        </w:tc>
      </w:tr>
      <w:tr w:rsidR="00F64B94" w:rsidRPr="00942B4B" w14:paraId="42066360" w14:textId="77777777" w:rsidTr="00683641">
        <w:trPr>
          <w:trHeight w:val="277"/>
        </w:trPr>
        <w:tc>
          <w:tcPr>
            <w:tcW w:w="2548" w:type="dxa"/>
            <w:tcBorders>
              <w:top w:val="nil"/>
              <w:bottom w:val="nil"/>
            </w:tcBorders>
            <w:shd w:val="clear" w:color="auto" w:fill="FFFFFF"/>
            <w:vAlign w:val="center"/>
          </w:tcPr>
          <w:p w14:paraId="71DB5B49" w14:textId="266AEF7E" w:rsidR="00F64B94" w:rsidRPr="00942B4B" w:rsidRDefault="00F64B94" w:rsidP="00F64B94">
            <w:pPr>
              <w:pStyle w:val="CETBodytext"/>
              <w:jc w:val="left"/>
              <w:rPr>
                <w:lang w:val="en-GB"/>
              </w:rPr>
            </w:pPr>
            <w:r w:rsidRPr="00942B4B">
              <w:rPr>
                <w:lang w:val="en-GB"/>
              </w:rPr>
              <w:t>Density (kg/m</w:t>
            </w:r>
            <w:r w:rsidRPr="00942B4B">
              <w:rPr>
                <w:vertAlign w:val="superscript"/>
                <w:lang w:val="en-GB"/>
              </w:rPr>
              <w:t>3</w:t>
            </w:r>
            <w:r w:rsidRPr="00942B4B">
              <w:rPr>
                <w:lang w:val="en-GB"/>
              </w:rPr>
              <w:t>)</w:t>
            </w:r>
          </w:p>
        </w:tc>
        <w:tc>
          <w:tcPr>
            <w:tcW w:w="1697" w:type="dxa"/>
            <w:tcBorders>
              <w:top w:val="nil"/>
              <w:bottom w:val="nil"/>
            </w:tcBorders>
            <w:shd w:val="clear" w:color="auto" w:fill="FFFFFF"/>
            <w:vAlign w:val="center"/>
          </w:tcPr>
          <w:p w14:paraId="0749EE6B" w14:textId="555CB3E8" w:rsidR="00F64B94" w:rsidRPr="00942B4B" w:rsidRDefault="00A067F0" w:rsidP="00F64B94">
            <w:pPr>
              <w:pStyle w:val="CETBodytext"/>
              <w:jc w:val="left"/>
              <w:rPr>
                <w:rFonts w:cs="Arial"/>
                <w:lang w:val="en-GB"/>
              </w:rPr>
            </w:pPr>
            <w:r w:rsidRPr="00942B4B">
              <w:rPr>
                <w:rFonts w:cs="Arial"/>
                <w:lang w:val="en-GB"/>
              </w:rPr>
              <w:t>882.1</w:t>
            </w:r>
            <w:r w:rsidR="00F64B94" w:rsidRPr="00942B4B">
              <w:rPr>
                <w:rFonts w:cs="Arial"/>
                <w:lang w:val="en-GB"/>
              </w:rPr>
              <w:t xml:space="preserve"> ± </w:t>
            </w:r>
            <w:r w:rsidR="00F64B94" w:rsidRPr="00942B4B">
              <w:rPr>
                <w:lang w:val="en-GB"/>
              </w:rPr>
              <w:t>0.1</w:t>
            </w:r>
          </w:p>
        </w:tc>
        <w:tc>
          <w:tcPr>
            <w:tcW w:w="1697" w:type="dxa"/>
            <w:tcBorders>
              <w:top w:val="nil"/>
              <w:bottom w:val="nil"/>
            </w:tcBorders>
            <w:shd w:val="clear" w:color="auto" w:fill="FFFFFF"/>
            <w:vAlign w:val="center"/>
          </w:tcPr>
          <w:p w14:paraId="3A4C2BC1" w14:textId="46233FD9" w:rsidR="00F64B94" w:rsidRPr="00942B4B" w:rsidRDefault="00A067F0" w:rsidP="00F64B94">
            <w:pPr>
              <w:pStyle w:val="CETBodytext"/>
              <w:jc w:val="left"/>
              <w:rPr>
                <w:lang w:val="en-GB"/>
              </w:rPr>
            </w:pPr>
            <w:r w:rsidRPr="00942B4B">
              <w:rPr>
                <w:rFonts w:cs="Arial"/>
                <w:lang w:val="en-GB"/>
              </w:rPr>
              <w:t xml:space="preserve">883.4 ± </w:t>
            </w:r>
            <w:r w:rsidRPr="00942B4B">
              <w:rPr>
                <w:lang w:val="en-GB"/>
              </w:rPr>
              <w:t>0.1</w:t>
            </w:r>
          </w:p>
        </w:tc>
        <w:tc>
          <w:tcPr>
            <w:tcW w:w="2859" w:type="dxa"/>
            <w:tcBorders>
              <w:top w:val="nil"/>
              <w:bottom w:val="nil"/>
            </w:tcBorders>
            <w:shd w:val="clear" w:color="auto" w:fill="FFFFFF"/>
            <w:vAlign w:val="center"/>
          </w:tcPr>
          <w:p w14:paraId="17375D63" w14:textId="03A48A3E" w:rsidR="00F64B94" w:rsidRPr="00942B4B" w:rsidRDefault="00F64B94" w:rsidP="00BF52AE">
            <w:pPr>
              <w:pStyle w:val="CETBodytext"/>
              <w:jc w:val="left"/>
              <w:rPr>
                <w:lang w:val="en-GB"/>
              </w:rPr>
            </w:pPr>
            <w:r w:rsidRPr="00942B4B">
              <w:rPr>
                <w:lang w:val="en-GB"/>
              </w:rPr>
              <w:t>ASTM D1298</w:t>
            </w:r>
            <w:r w:rsidR="00BF52AE" w:rsidRPr="00942B4B">
              <w:rPr>
                <w:lang w:val="en-GB"/>
              </w:rPr>
              <w:t xml:space="preserve"> </w:t>
            </w:r>
            <w:r w:rsidRPr="00942B4B">
              <w:rPr>
                <w:lang w:val="en-GB"/>
              </w:rPr>
              <w:t xml:space="preserve">(Min </w:t>
            </w:r>
            <w:r w:rsidR="00541C59" w:rsidRPr="00942B4B">
              <w:rPr>
                <w:lang w:val="en-GB"/>
              </w:rPr>
              <w:t>860</w:t>
            </w:r>
            <w:r w:rsidRPr="00942B4B">
              <w:rPr>
                <w:lang w:val="en-GB"/>
              </w:rPr>
              <w:t xml:space="preserve"> – Max </w:t>
            </w:r>
            <w:r w:rsidR="00541C59" w:rsidRPr="00942B4B">
              <w:rPr>
                <w:lang w:val="en-GB"/>
              </w:rPr>
              <w:t>90</w:t>
            </w:r>
            <w:r w:rsidRPr="00942B4B">
              <w:rPr>
                <w:lang w:val="en-GB"/>
              </w:rPr>
              <w:t>0)</w:t>
            </w:r>
          </w:p>
        </w:tc>
      </w:tr>
      <w:tr w:rsidR="00BF52AE" w:rsidRPr="00942B4B" w14:paraId="4067FCC5" w14:textId="77777777" w:rsidTr="00683641">
        <w:trPr>
          <w:trHeight w:val="277"/>
        </w:trPr>
        <w:tc>
          <w:tcPr>
            <w:tcW w:w="2548" w:type="dxa"/>
            <w:tcBorders>
              <w:top w:val="nil"/>
              <w:bottom w:val="nil"/>
            </w:tcBorders>
            <w:shd w:val="clear" w:color="auto" w:fill="FFFFFF"/>
            <w:vAlign w:val="center"/>
          </w:tcPr>
          <w:p w14:paraId="7F9CD729" w14:textId="01841376" w:rsidR="00BF52AE" w:rsidRPr="00942B4B" w:rsidRDefault="00BF52AE" w:rsidP="00F64B94">
            <w:pPr>
              <w:pStyle w:val="CETBodytext"/>
              <w:jc w:val="left"/>
              <w:rPr>
                <w:lang w:val="en-GB"/>
              </w:rPr>
            </w:pPr>
            <w:r w:rsidRPr="00942B4B">
              <w:rPr>
                <w:lang w:val="en-GB"/>
              </w:rPr>
              <w:t>Distillation</w:t>
            </w:r>
            <w:r w:rsidRPr="00942B4B">
              <w:rPr>
                <w:vertAlign w:val="superscript"/>
                <w:lang w:val="en-GB"/>
              </w:rPr>
              <w:t xml:space="preserve"> a</w:t>
            </w:r>
          </w:p>
        </w:tc>
        <w:tc>
          <w:tcPr>
            <w:tcW w:w="1697" w:type="dxa"/>
            <w:tcBorders>
              <w:top w:val="nil"/>
              <w:bottom w:val="nil"/>
            </w:tcBorders>
            <w:shd w:val="clear" w:color="auto" w:fill="FFFFFF"/>
            <w:vAlign w:val="center"/>
          </w:tcPr>
          <w:p w14:paraId="3EF7377B" w14:textId="77777777" w:rsidR="00BF52AE" w:rsidRPr="00942B4B" w:rsidRDefault="00BF52AE" w:rsidP="00F64B94">
            <w:pPr>
              <w:pStyle w:val="CETBodytext"/>
              <w:jc w:val="left"/>
              <w:rPr>
                <w:rFonts w:cs="Arial"/>
                <w:lang w:val="en-GB"/>
              </w:rPr>
            </w:pPr>
          </w:p>
        </w:tc>
        <w:tc>
          <w:tcPr>
            <w:tcW w:w="1697" w:type="dxa"/>
            <w:tcBorders>
              <w:top w:val="nil"/>
              <w:bottom w:val="nil"/>
            </w:tcBorders>
            <w:shd w:val="clear" w:color="auto" w:fill="FFFFFF"/>
            <w:vAlign w:val="center"/>
          </w:tcPr>
          <w:p w14:paraId="2D183FA1" w14:textId="77777777" w:rsidR="00BF52AE" w:rsidRPr="00942B4B" w:rsidRDefault="00BF52AE" w:rsidP="00F64B94">
            <w:pPr>
              <w:pStyle w:val="CETBodytext"/>
              <w:jc w:val="left"/>
              <w:rPr>
                <w:lang w:val="en-GB"/>
              </w:rPr>
            </w:pPr>
          </w:p>
        </w:tc>
        <w:tc>
          <w:tcPr>
            <w:tcW w:w="2859" w:type="dxa"/>
            <w:vMerge w:val="restart"/>
            <w:tcBorders>
              <w:top w:val="nil"/>
            </w:tcBorders>
            <w:shd w:val="clear" w:color="auto" w:fill="FFFFFF"/>
            <w:vAlign w:val="center"/>
          </w:tcPr>
          <w:p w14:paraId="164DC414" w14:textId="74712FB0" w:rsidR="00BF52AE" w:rsidRPr="00942B4B" w:rsidRDefault="00BF52AE" w:rsidP="00556901">
            <w:pPr>
              <w:pStyle w:val="CETBodytext"/>
              <w:jc w:val="left"/>
              <w:rPr>
                <w:lang w:val="en-GB"/>
              </w:rPr>
            </w:pPr>
            <w:r w:rsidRPr="00942B4B">
              <w:rPr>
                <w:lang w:val="en-GB"/>
              </w:rPr>
              <w:t>ASTM D86*</w:t>
            </w:r>
          </w:p>
        </w:tc>
      </w:tr>
      <w:tr w:rsidR="00BF52AE" w:rsidRPr="00942B4B" w14:paraId="66DA9BCF" w14:textId="77777777" w:rsidTr="00683641">
        <w:trPr>
          <w:trHeight w:val="277"/>
        </w:trPr>
        <w:tc>
          <w:tcPr>
            <w:tcW w:w="2548" w:type="dxa"/>
            <w:tcBorders>
              <w:top w:val="nil"/>
              <w:bottom w:val="nil"/>
            </w:tcBorders>
            <w:shd w:val="clear" w:color="auto" w:fill="FFFFFF"/>
            <w:vAlign w:val="center"/>
          </w:tcPr>
          <w:p w14:paraId="619C5740" w14:textId="2C5E7038" w:rsidR="00BF52AE" w:rsidRPr="00942B4B" w:rsidRDefault="00BF52AE" w:rsidP="00556901">
            <w:pPr>
              <w:pStyle w:val="CETBodytext"/>
              <w:jc w:val="left"/>
              <w:rPr>
                <w:lang w:val="en-GB"/>
              </w:rPr>
            </w:pPr>
            <w:r w:rsidRPr="00942B4B">
              <w:rPr>
                <w:lang w:val="en-GB"/>
              </w:rPr>
              <w:t xml:space="preserve">                    T</w:t>
            </w:r>
            <w:r w:rsidRPr="00942B4B">
              <w:rPr>
                <w:vertAlign w:val="subscript"/>
                <w:lang w:val="en-GB"/>
              </w:rPr>
              <w:t xml:space="preserve">10 </w:t>
            </w:r>
            <w:r w:rsidRPr="00942B4B">
              <w:rPr>
                <w:lang w:val="en-GB"/>
              </w:rPr>
              <w:t>(°C)</w:t>
            </w:r>
          </w:p>
        </w:tc>
        <w:tc>
          <w:tcPr>
            <w:tcW w:w="1697" w:type="dxa"/>
            <w:tcBorders>
              <w:top w:val="nil"/>
              <w:bottom w:val="nil"/>
            </w:tcBorders>
            <w:shd w:val="clear" w:color="auto" w:fill="FFFFFF"/>
            <w:vAlign w:val="center"/>
          </w:tcPr>
          <w:p w14:paraId="45CC106F" w14:textId="1126E1B8" w:rsidR="00BF52AE" w:rsidRPr="00942B4B" w:rsidRDefault="00BF52AE" w:rsidP="00556901">
            <w:pPr>
              <w:pStyle w:val="CETBodytext"/>
              <w:jc w:val="left"/>
              <w:rPr>
                <w:rFonts w:cs="Arial"/>
                <w:lang w:val="en-GB"/>
              </w:rPr>
            </w:pPr>
            <w:r w:rsidRPr="00942B4B">
              <w:rPr>
                <w:lang w:val="en-GB"/>
              </w:rPr>
              <w:t xml:space="preserve">331.3 </w:t>
            </w:r>
            <w:r w:rsidRPr="00942B4B">
              <w:rPr>
                <w:rFonts w:cs="Arial"/>
                <w:lang w:val="en-GB"/>
              </w:rPr>
              <w:t xml:space="preserve">± </w:t>
            </w:r>
            <w:r w:rsidRPr="00942B4B">
              <w:rPr>
                <w:lang w:val="en-GB"/>
              </w:rPr>
              <w:t>0.1</w:t>
            </w:r>
          </w:p>
        </w:tc>
        <w:tc>
          <w:tcPr>
            <w:tcW w:w="1697" w:type="dxa"/>
            <w:tcBorders>
              <w:top w:val="nil"/>
              <w:bottom w:val="nil"/>
            </w:tcBorders>
            <w:shd w:val="clear" w:color="auto" w:fill="FFFFFF"/>
            <w:vAlign w:val="center"/>
          </w:tcPr>
          <w:p w14:paraId="409F5887" w14:textId="3F780B8A" w:rsidR="00BF52AE" w:rsidRPr="00942B4B" w:rsidRDefault="00BF52AE" w:rsidP="00556901">
            <w:pPr>
              <w:pStyle w:val="CETBodytext"/>
              <w:jc w:val="left"/>
              <w:rPr>
                <w:lang w:val="en-GB"/>
              </w:rPr>
            </w:pPr>
            <w:r w:rsidRPr="00942B4B">
              <w:rPr>
                <w:lang w:val="en-GB"/>
              </w:rPr>
              <w:t xml:space="preserve">333.1 </w:t>
            </w:r>
            <w:r w:rsidRPr="00942B4B">
              <w:rPr>
                <w:rFonts w:cs="Arial"/>
                <w:lang w:val="en-GB"/>
              </w:rPr>
              <w:t xml:space="preserve">± </w:t>
            </w:r>
            <w:r w:rsidRPr="00942B4B">
              <w:rPr>
                <w:lang w:val="en-GB"/>
              </w:rPr>
              <w:t>0.1</w:t>
            </w:r>
          </w:p>
        </w:tc>
        <w:tc>
          <w:tcPr>
            <w:tcW w:w="2859" w:type="dxa"/>
            <w:vMerge/>
            <w:shd w:val="clear" w:color="auto" w:fill="FFFFFF"/>
            <w:vAlign w:val="center"/>
          </w:tcPr>
          <w:p w14:paraId="3C140397" w14:textId="12C7CEF4" w:rsidR="00BF52AE" w:rsidRPr="00942B4B" w:rsidRDefault="00BF52AE" w:rsidP="00556901">
            <w:pPr>
              <w:pStyle w:val="CETBodytext"/>
              <w:jc w:val="left"/>
              <w:rPr>
                <w:lang w:val="en-GB"/>
              </w:rPr>
            </w:pPr>
          </w:p>
        </w:tc>
      </w:tr>
      <w:tr w:rsidR="00BF52AE" w:rsidRPr="00942B4B" w14:paraId="600A3C21" w14:textId="77777777" w:rsidTr="00683641">
        <w:trPr>
          <w:trHeight w:val="277"/>
        </w:trPr>
        <w:tc>
          <w:tcPr>
            <w:tcW w:w="2548" w:type="dxa"/>
            <w:tcBorders>
              <w:top w:val="nil"/>
              <w:bottom w:val="nil"/>
            </w:tcBorders>
            <w:shd w:val="clear" w:color="auto" w:fill="FFFFFF"/>
            <w:vAlign w:val="center"/>
          </w:tcPr>
          <w:p w14:paraId="52409490" w14:textId="3534543B" w:rsidR="00BF52AE" w:rsidRPr="00942B4B" w:rsidRDefault="00BF52AE" w:rsidP="00556901">
            <w:pPr>
              <w:pStyle w:val="CETBodytext"/>
              <w:jc w:val="left"/>
              <w:rPr>
                <w:lang w:val="en-GB"/>
              </w:rPr>
            </w:pPr>
            <w:r w:rsidRPr="00942B4B">
              <w:rPr>
                <w:lang w:val="en-GB"/>
              </w:rPr>
              <w:t xml:space="preserve">                    T</w:t>
            </w:r>
            <w:r w:rsidRPr="00942B4B">
              <w:rPr>
                <w:vertAlign w:val="subscript"/>
                <w:lang w:val="en-GB"/>
              </w:rPr>
              <w:t xml:space="preserve">50 </w:t>
            </w:r>
            <w:r w:rsidRPr="00942B4B">
              <w:rPr>
                <w:lang w:val="en-GB"/>
              </w:rPr>
              <w:t>(°C)</w:t>
            </w:r>
          </w:p>
        </w:tc>
        <w:tc>
          <w:tcPr>
            <w:tcW w:w="1697" w:type="dxa"/>
            <w:tcBorders>
              <w:top w:val="nil"/>
              <w:bottom w:val="nil"/>
            </w:tcBorders>
            <w:shd w:val="clear" w:color="auto" w:fill="FFFFFF"/>
            <w:vAlign w:val="center"/>
          </w:tcPr>
          <w:p w14:paraId="12903155" w14:textId="2F27C5CC" w:rsidR="00BF52AE" w:rsidRPr="00942B4B" w:rsidRDefault="00BF52AE" w:rsidP="00556901">
            <w:pPr>
              <w:pStyle w:val="CETBodytext"/>
              <w:jc w:val="left"/>
              <w:rPr>
                <w:rFonts w:cs="Arial"/>
                <w:lang w:val="en-GB"/>
              </w:rPr>
            </w:pPr>
            <w:r w:rsidRPr="00942B4B">
              <w:rPr>
                <w:lang w:val="en-GB"/>
              </w:rPr>
              <w:t xml:space="preserve">335.4 </w:t>
            </w:r>
            <w:r w:rsidRPr="00942B4B">
              <w:rPr>
                <w:rFonts w:cs="Arial"/>
                <w:lang w:val="en-GB"/>
              </w:rPr>
              <w:t xml:space="preserve">± </w:t>
            </w:r>
            <w:r w:rsidRPr="00942B4B">
              <w:rPr>
                <w:lang w:val="en-GB"/>
              </w:rPr>
              <w:t>0.1</w:t>
            </w:r>
          </w:p>
        </w:tc>
        <w:tc>
          <w:tcPr>
            <w:tcW w:w="1697" w:type="dxa"/>
            <w:tcBorders>
              <w:top w:val="nil"/>
              <w:bottom w:val="nil"/>
            </w:tcBorders>
            <w:shd w:val="clear" w:color="auto" w:fill="FFFFFF"/>
            <w:vAlign w:val="center"/>
          </w:tcPr>
          <w:p w14:paraId="40C13543" w14:textId="44E8B9F6" w:rsidR="00BF52AE" w:rsidRPr="00942B4B" w:rsidRDefault="00BF52AE" w:rsidP="00556901">
            <w:pPr>
              <w:pStyle w:val="CETBodytext"/>
              <w:jc w:val="left"/>
              <w:rPr>
                <w:lang w:val="en-GB"/>
              </w:rPr>
            </w:pPr>
            <w:r w:rsidRPr="00942B4B">
              <w:rPr>
                <w:lang w:val="en-GB"/>
              </w:rPr>
              <w:t xml:space="preserve">336.7 </w:t>
            </w:r>
            <w:r w:rsidRPr="00942B4B">
              <w:rPr>
                <w:rFonts w:cs="Arial"/>
                <w:lang w:val="en-GB"/>
              </w:rPr>
              <w:t xml:space="preserve">± </w:t>
            </w:r>
            <w:r w:rsidRPr="00942B4B">
              <w:rPr>
                <w:lang w:val="en-GB"/>
              </w:rPr>
              <w:t>0.1</w:t>
            </w:r>
          </w:p>
        </w:tc>
        <w:tc>
          <w:tcPr>
            <w:tcW w:w="2859" w:type="dxa"/>
            <w:vMerge/>
            <w:shd w:val="clear" w:color="auto" w:fill="FFFFFF"/>
            <w:vAlign w:val="center"/>
          </w:tcPr>
          <w:p w14:paraId="4F252BB2" w14:textId="77777777" w:rsidR="00BF52AE" w:rsidRPr="00942B4B" w:rsidRDefault="00BF52AE" w:rsidP="00556901">
            <w:pPr>
              <w:pStyle w:val="CETBodytext"/>
              <w:jc w:val="left"/>
              <w:rPr>
                <w:lang w:val="en-GB"/>
              </w:rPr>
            </w:pPr>
          </w:p>
        </w:tc>
      </w:tr>
      <w:tr w:rsidR="00BF52AE" w:rsidRPr="00942B4B" w14:paraId="691AD244" w14:textId="77777777" w:rsidTr="00683641">
        <w:trPr>
          <w:trHeight w:val="277"/>
        </w:trPr>
        <w:tc>
          <w:tcPr>
            <w:tcW w:w="2548" w:type="dxa"/>
            <w:tcBorders>
              <w:top w:val="nil"/>
              <w:bottom w:val="nil"/>
            </w:tcBorders>
            <w:shd w:val="clear" w:color="auto" w:fill="FFFFFF"/>
            <w:vAlign w:val="center"/>
          </w:tcPr>
          <w:p w14:paraId="5B0B8F18" w14:textId="66DB490C" w:rsidR="00BF52AE" w:rsidRPr="00942B4B" w:rsidRDefault="00BF52AE" w:rsidP="00556901">
            <w:pPr>
              <w:pStyle w:val="CETBodytext"/>
              <w:jc w:val="left"/>
              <w:rPr>
                <w:lang w:val="en-GB"/>
              </w:rPr>
            </w:pPr>
            <w:r w:rsidRPr="00942B4B">
              <w:rPr>
                <w:lang w:val="en-GB"/>
              </w:rPr>
              <w:t xml:space="preserve">                    T</w:t>
            </w:r>
            <w:r w:rsidRPr="00942B4B">
              <w:rPr>
                <w:vertAlign w:val="subscript"/>
                <w:lang w:val="en-GB"/>
              </w:rPr>
              <w:t xml:space="preserve">90 </w:t>
            </w:r>
            <w:r w:rsidRPr="00942B4B">
              <w:rPr>
                <w:lang w:val="en-GB"/>
              </w:rPr>
              <w:t>(°C)</w:t>
            </w:r>
          </w:p>
        </w:tc>
        <w:tc>
          <w:tcPr>
            <w:tcW w:w="1697" w:type="dxa"/>
            <w:tcBorders>
              <w:top w:val="nil"/>
              <w:bottom w:val="nil"/>
            </w:tcBorders>
            <w:shd w:val="clear" w:color="auto" w:fill="FFFFFF"/>
            <w:vAlign w:val="center"/>
          </w:tcPr>
          <w:p w14:paraId="657D7272" w14:textId="28D8A3BB" w:rsidR="00BF52AE" w:rsidRPr="00942B4B" w:rsidRDefault="00BF52AE" w:rsidP="00556901">
            <w:pPr>
              <w:pStyle w:val="CETBodytext"/>
              <w:jc w:val="left"/>
              <w:rPr>
                <w:rFonts w:cs="Arial"/>
                <w:lang w:val="en-GB"/>
              </w:rPr>
            </w:pPr>
            <w:r w:rsidRPr="00942B4B">
              <w:rPr>
                <w:lang w:val="en-GB"/>
              </w:rPr>
              <w:t xml:space="preserve">338.1 </w:t>
            </w:r>
            <w:r w:rsidRPr="00942B4B">
              <w:rPr>
                <w:rFonts w:cs="Arial"/>
                <w:lang w:val="en-GB"/>
              </w:rPr>
              <w:t xml:space="preserve">± </w:t>
            </w:r>
            <w:r w:rsidRPr="00942B4B">
              <w:rPr>
                <w:lang w:val="en-GB"/>
              </w:rPr>
              <w:t>0.1</w:t>
            </w:r>
          </w:p>
        </w:tc>
        <w:tc>
          <w:tcPr>
            <w:tcW w:w="1697" w:type="dxa"/>
            <w:tcBorders>
              <w:top w:val="nil"/>
              <w:bottom w:val="nil"/>
            </w:tcBorders>
            <w:shd w:val="clear" w:color="auto" w:fill="FFFFFF"/>
            <w:vAlign w:val="center"/>
          </w:tcPr>
          <w:p w14:paraId="189C5A61" w14:textId="544AEC23" w:rsidR="00BF52AE" w:rsidRPr="00942B4B" w:rsidRDefault="00BF52AE" w:rsidP="00556901">
            <w:pPr>
              <w:pStyle w:val="CETBodytext"/>
              <w:jc w:val="left"/>
              <w:rPr>
                <w:lang w:val="en-GB"/>
              </w:rPr>
            </w:pPr>
            <w:r w:rsidRPr="00942B4B">
              <w:rPr>
                <w:lang w:val="en-GB"/>
              </w:rPr>
              <w:t xml:space="preserve">338.2 </w:t>
            </w:r>
            <w:r w:rsidRPr="00942B4B">
              <w:rPr>
                <w:rFonts w:cs="Arial"/>
                <w:lang w:val="en-GB"/>
              </w:rPr>
              <w:t xml:space="preserve">± </w:t>
            </w:r>
            <w:r w:rsidRPr="00942B4B">
              <w:rPr>
                <w:lang w:val="en-GB"/>
              </w:rPr>
              <w:t>0.1</w:t>
            </w:r>
          </w:p>
        </w:tc>
        <w:tc>
          <w:tcPr>
            <w:tcW w:w="2859" w:type="dxa"/>
            <w:vMerge/>
            <w:tcBorders>
              <w:bottom w:val="nil"/>
            </w:tcBorders>
            <w:shd w:val="clear" w:color="auto" w:fill="FFFFFF"/>
            <w:vAlign w:val="center"/>
          </w:tcPr>
          <w:p w14:paraId="41440258" w14:textId="77777777" w:rsidR="00BF52AE" w:rsidRPr="00942B4B" w:rsidRDefault="00BF52AE" w:rsidP="00556901">
            <w:pPr>
              <w:pStyle w:val="CETBodytext"/>
              <w:jc w:val="left"/>
              <w:rPr>
                <w:lang w:val="en-GB"/>
              </w:rPr>
            </w:pPr>
          </w:p>
        </w:tc>
      </w:tr>
      <w:tr w:rsidR="00556901" w:rsidRPr="00942B4B" w14:paraId="47F0A7DC" w14:textId="77777777" w:rsidTr="00683641">
        <w:trPr>
          <w:trHeight w:val="277"/>
        </w:trPr>
        <w:tc>
          <w:tcPr>
            <w:tcW w:w="2548" w:type="dxa"/>
            <w:tcBorders>
              <w:top w:val="nil"/>
              <w:bottom w:val="nil"/>
            </w:tcBorders>
            <w:shd w:val="clear" w:color="auto" w:fill="FFFFFF"/>
            <w:vAlign w:val="center"/>
          </w:tcPr>
          <w:p w14:paraId="65F07FFF" w14:textId="3A0996BC" w:rsidR="00556901" w:rsidRPr="00942B4B" w:rsidRDefault="00556901" w:rsidP="00556901">
            <w:pPr>
              <w:pStyle w:val="CETBodytext"/>
              <w:jc w:val="left"/>
              <w:rPr>
                <w:lang w:val="en-GB"/>
              </w:rPr>
            </w:pPr>
            <w:r w:rsidRPr="00942B4B">
              <w:rPr>
                <w:lang w:val="en-GB"/>
              </w:rPr>
              <w:t>Heating value (kJ/kg)</w:t>
            </w:r>
          </w:p>
        </w:tc>
        <w:tc>
          <w:tcPr>
            <w:tcW w:w="1697" w:type="dxa"/>
            <w:tcBorders>
              <w:top w:val="nil"/>
              <w:bottom w:val="nil"/>
            </w:tcBorders>
            <w:shd w:val="clear" w:color="auto" w:fill="FFFFFF"/>
            <w:vAlign w:val="center"/>
          </w:tcPr>
          <w:p w14:paraId="566B4528" w14:textId="28001D87" w:rsidR="00556901" w:rsidRPr="00942B4B" w:rsidRDefault="00556901" w:rsidP="00556901">
            <w:pPr>
              <w:pStyle w:val="CETBodytext"/>
              <w:jc w:val="left"/>
              <w:rPr>
                <w:lang w:val="en-GB"/>
              </w:rPr>
            </w:pPr>
            <w:r w:rsidRPr="00942B4B">
              <w:rPr>
                <w:lang w:val="en-GB"/>
              </w:rPr>
              <w:t xml:space="preserve">39 845 </w:t>
            </w:r>
            <w:r w:rsidRPr="00942B4B">
              <w:rPr>
                <w:rFonts w:cs="Arial"/>
                <w:lang w:val="en-GB"/>
              </w:rPr>
              <w:t xml:space="preserve">± </w:t>
            </w:r>
            <w:r w:rsidRPr="00942B4B">
              <w:rPr>
                <w:lang w:val="en-GB"/>
              </w:rPr>
              <w:t>25</w:t>
            </w:r>
          </w:p>
        </w:tc>
        <w:tc>
          <w:tcPr>
            <w:tcW w:w="1697" w:type="dxa"/>
            <w:tcBorders>
              <w:top w:val="nil"/>
              <w:bottom w:val="nil"/>
            </w:tcBorders>
            <w:shd w:val="clear" w:color="auto" w:fill="FFFFFF"/>
            <w:vAlign w:val="center"/>
          </w:tcPr>
          <w:p w14:paraId="466BDC68" w14:textId="01D8E144" w:rsidR="00556901" w:rsidRPr="00942B4B" w:rsidRDefault="00556901" w:rsidP="00556901">
            <w:pPr>
              <w:pStyle w:val="CETBodytext"/>
              <w:jc w:val="left"/>
              <w:rPr>
                <w:lang w:val="en-GB"/>
              </w:rPr>
            </w:pPr>
            <w:r w:rsidRPr="00942B4B">
              <w:rPr>
                <w:lang w:val="en-GB"/>
              </w:rPr>
              <w:t xml:space="preserve">39 749 </w:t>
            </w:r>
            <w:r w:rsidRPr="00942B4B">
              <w:rPr>
                <w:rFonts w:cs="Arial"/>
                <w:lang w:val="en-GB"/>
              </w:rPr>
              <w:t xml:space="preserve">± </w:t>
            </w:r>
            <w:r w:rsidRPr="00942B4B">
              <w:rPr>
                <w:lang w:val="en-GB"/>
              </w:rPr>
              <w:t>18</w:t>
            </w:r>
          </w:p>
        </w:tc>
        <w:tc>
          <w:tcPr>
            <w:tcW w:w="2859" w:type="dxa"/>
            <w:tcBorders>
              <w:top w:val="nil"/>
              <w:bottom w:val="nil"/>
            </w:tcBorders>
            <w:shd w:val="clear" w:color="auto" w:fill="FFFFFF"/>
            <w:vAlign w:val="center"/>
          </w:tcPr>
          <w:p w14:paraId="6C490278" w14:textId="4AFB891A" w:rsidR="00556901" w:rsidRPr="00942B4B" w:rsidRDefault="00556901" w:rsidP="00556901">
            <w:pPr>
              <w:pStyle w:val="CETBodytext"/>
              <w:jc w:val="left"/>
              <w:rPr>
                <w:lang w:val="en-GB"/>
              </w:rPr>
            </w:pPr>
            <w:r w:rsidRPr="00942B4B">
              <w:rPr>
                <w:lang w:val="en-GB"/>
              </w:rPr>
              <w:t>ASTM D240</w:t>
            </w:r>
            <w:r w:rsidR="00EA37DE" w:rsidRPr="00942B4B">
              <w:rPr>
                <w:lang w:val="en-GB"/>
              </w:rPr>
              <w:t>*</w:t>
            </w:r>
          </w:p>
        </w:tc>
      </w:tr>
      <w:tr w:rsidR="00556901" w:rsidRPr="00942B4B" w14:paraId="1CFD72C0" w14:textId="77777777" w:rsidTr="00683641">
        <w:trPr>
          <w:trHeight w:val="277"/>
        </w:trPr>
        <w:tc>
          <w:tcPr>
            <w:tcW w:w="2548" w:type="dxa"/>
            <w:tcBorders>
              <w:top w:val="nil"/>
              <w:bottom w:val="single" w:sz="12" w:space="0" w:color="008000"/>
            </w:tcBorders>
            <w:shd w:val="clear" w:color="auto" w:fill="FFFFFF"/>
            <w:vAlign w:val="center"/>
          </w:tcPr>
          <w:p w14:paraId="73E1C294" w14:textId="2873258E" w:rsidR="00556901" w:rsidRPr="00942B4B" w:rsidRDefault="00556901" w:rsidP="00556901">
            <w:pPr>
              <w:pStyle w:val="CETBodytext"/>
              <w:jc w:val="left"/>
              <w:rPr>
                <w:lang w:val="en-GB"/>
              </w:rPr>
            </w:pPr>
            <w:r w:rsidRPr="00942B4B">
              <w:rPr>
                <w:lang w:val="en-GB"/>
              </w:rPr>
              <w:t>Cetane number</w:t>
            </w:r>
          </w:p>
        </w:tc>
        <w:tc>
          <w:tcPr>
            <w:tcW w:w="1697" w:type="dxa"/>
            <w:tcBorders>
              <w:top w:val="nil"/>
              <w:bottom w:val="single" w:sz="12" w:space="0" w:color="008000"/>
            </w:tcBorders>
            <w:shd w:val="clear" w:color="auto" w:fill="FFFFFF"/>
            <w:vAlign w:val="center"/>
          </w:tcPr>
          <w:p w14:paraId="36F2A067" w14:textId="62009269" w:rsidR="00556901" w:rsidRPr="00942B4B" w:rsidRDefault="00681750" w:rsidP="00556901">
            <w:pPr>
              <w:pStyle w:val="CETBodytext"/>
              <w:jc w:val="left"/>
              <w:rPr>
                <w:lang w:val="en-GB"/>
              </w:rPr>
            </w:pPr>
            <w:r w:rsidRPr="00942B4B">
              <w:rPr>
                <w:lang w:val="en-GB"/>
              </w:rPr>
              <w:t xml:space="preserve">51.8 </w:t>
            </w:r>
            <w:r w:rsidRPr="00942B4B">
              <w:rPr>
                <w:rFonts w:cs="Arial"/>
                <w:lang w:val="en-GB"/>
              </w:rPr>
              <w:t xml:space="preserve">± </w:t>
            </w:r>
            <w:r w:rsidRPr="00942B4B">
              <w:rPr>
                <w:lang w:val="en-GB"/>
              </w:rPr>
              <w:t>0.1</w:t>
            </w:r>
          </w:p>
        </w:tc>
        <w:tc>
          <w:tcPr>
            <w:tcW w:w="1697" w:type="dxa"/>
            <w:tcBorders>
              <w:top w:val="nil"/>
              <w:bottom w:val="single" w:sz="12" w:space="0" w:color="008000"/>
            </w:tcBorders>
            <w:shd w:val="clear" w:color="auto" w:fill="FFFFFF"/>
            <w:vAlign w:val="center"/>
          </w:tcPr>
          <w:p w14:paraId="150053FB" w14:textId="4EC3D214" w:rsidR="00556901" w:rsidRPr="00942B4B" w:rsidRDefault="00681750" w:rsidP="00556901">
            <w:pPr>
              <w:pStyle w:val="CETBodytext"/>
              <w:jc w:val="left"/>
              <w:rPr>
                <w:lang w:val="en-GB"/>
              </w:rPr>
            </w:pPr>
            <w:r w:rsidRPr="00942B4B">
              <w:rPr>
                <w:lang w:val="en-GB"/>
              </w:rPr>
              <w:t xml:space="preserve">51.7 </w:t>
            </w:r>
            <w:r w:rsidRPr="00942B4B">
              <w:rPr>
                <w:rFonts w:cs="Arial"/>
                <w:lang w:val="en-GB"/>
              </w:rPr>
              <w:t xml:space="preserve">± </w:t>
            </w:r>
            <w:r w:rsidRPr="00942B4B">
              <w:rPr>
                <w:lang w:val="en-GB"/>
              </w:rPr>
              <w:t>0.1</w:t>
            </w:r>
          </w:p>
        </w:tc>
        <w:tc>
          <w:tcPr>
            <w:tcW w:w="2859" w:type="dxa"/>
            <w:tcBorders>
              <w:top w:val="nil"/>
              <w:bottom w:val="single" w:sz="12" w:space="0" w:color="008000"/>
            </w:tcBorders>
            <w:shd w:val="clear" w:color="auto" w:fill="FFFFFF"/>
            <w:vAlign w:val="center"/>
          </w:tcPr>
          <w:p w14:paraId="48A27F60" w14:textId="6E81D972" w:rsidR="00556901" w:rsidRPr="00942B4B" w:rsidRDefault="00556901" w:rsidP="00556901">
            <w:pPr>
              <w:pStyle w:val="CETBodytext"/>
              <w:jc w:val="left"/>
              <w:rPr>
                <w:lang w:val="en-GB"/>
              </w:rPr>
            </w:pPr>
            <w:r w:rsidRPr="00942B4B">
              <w:rPr>
                <w:lang w:val="en-GB"/>
              </w:rPr>
              <w:t>ASTM D 613 (Min 51)</w:t>
            </w:r>
            <w:r w:rsidRPr="00942B4B">
              <w:rPr>
                <w:vertAlign w:val="superscript"/>
                <w:lang w:val="en-GB"/>
              </w:rPr>
              <w:t xml:space="preserve"> b</w:t>
            </w:r>
          </w:p>
        </w:tc>
      </w:tr>
      <w:tr w:rsidR="00556901" w:rsidRPr="00942B4B" w14:paraId="26EDA3D1" w14:textId="77777777" w:rsidTr="00683641">
        <w:trPr>
          <w:trHeight w:val="277"/>
        </w:trPr>
        <w:tc>
          <w:tcPr>
            <w:tcW w:w="2548" w:type="dxa"/>
            <w:tcBorders>
              <w:top w:val="single" w:sz="12" w:space="0" w:color="008000"/>
              <w:bottom w:val="single" w:sz="6" w:space="0" w:color="008000"/>
            </w:tcBorders>
            <w:shd w:val="clear" w:color="auto" w:fill="FFFFFF"/>
            <w:vAlign w:val="center"/>
          </w:tcPr>
          <w:p w14:paraId="76647CE8" w14:textId="1B9AB9A2" w:rsidR="00556901" w:rsidRPr="00942B4B" w:rsidRDefault="00F27C1A" w:rsidP="00556901">
            <w:pPr>
              <w:pStyle w:val="CETBodytext"/>
              <w:jc w:val="left"/>
              <w:rPr>
                <w:lang w:val="en-GB"/>
              </w:rPr>
            </w:pPr>
            <w:r w:rsidRPr="00942B4B">
              <w:rPr>
                <w:lang w:val="en-GB"/>
              </w:rPr>
              <w:t>O</w:t>
            </w:r>
            <w:r w:rsidR="00556901" w:rsidRPr="00942B4B">
              <w:rPr>
                <w:lang w:val="en-GB"/>
              </w:rPr>
              <w:t>peration</w:t>
            </w:r>
            <w:r w:rsidRPr="00942B4B">
              <w:rPr>
                <w:lang w:val="en-GB"/>
              </w:rPr>
              <w:t xml:space="preserve"> characteristics</w:t>
            </w:r>
          </w:p>
        </w:tc>
        <w:tc>
          <w:tcPr>
            <w:tcW w:w="1697" w:type="dxa"/>
            <w:tcBorders>
              <w:top w:val="single" w:sz="12" w:space="0" w:color="008000"/>
              <w:bottom w:val="single" w:sz="6" w:space="0" w:color="008000"/>
            </w:tcBorders>
            <w:shd w:val="clear" w:color="auto" w:fill="FFFFFF"/>
            <w:vAlign w:val="center"/>
          </w:tcPr>
          <w:p w14:paraId="0818D642" w14:textId="26C4A2AA" w:rsidR="00556901" w:rsidRPr="00942B4B" w:rsidRDefault="00556901" w:rsidP="00556901">
            <w:pPr>
              <w:pStyle w:val="CETBodytext"/>
              <w:jc w:val="left"/>
              <w:rPr>
                <w:lang w:val="en-GB"/>
              </w:rPr>
            </w:pPr>
          </w:p>
        </w:tc>
        <w:tc>
          <w:tcPr>
            <w:tcW w:w="1697" w:type="dxa"/>
            <w:tcBorders>
              <w:top w:val="single" w:sz="12" w:space="0" w:color="008000"/>
              <w:bottom w:val="single" w:sz="6" w:space="0" w:color="008000"/>
            </w:tcBorders>
            <w:shd w:val="clear" w:color="auto" w:fill="FFFFFF"/>
            <w:vAlign w:val="center"/>
          </w:tcPr>
          <w:p w14:paraId="406EBB41" w14:textId="77777777" w:rsidR="00556901" w:rsidRPr="00942B4B" w:rsidRDefault="00556901" w:rsidP="00556901">
            <w:pPr>
              <w:pStyle w:val="CETBodytext"/>
              <w:jc w:val="left"/>
              <w:rPr>
                <w:lang w:val="en-GB"/>
              </w:rPr>
            </w:pPr>
          </w:p>
        </w:tc>
        <w:tc>
          <w:tcPr>
            <w:tcW w:w="2859" w:type="dxa"/>
            <w:tcBorders>
              <w:top w:val="single" w:sz="12" w:space="0" w:color="008000"/>
              <w:bottom w:val="single" w:sz="6" w:space="0" w:color="008000"/>
            </w:tcBorders>
            <w:shd w:val="clear" w:color="auto" w:fill="FFFFFF"/>
            <w:vAlign w:val="center"/>
          </w:tcPr>
          <w:p w14:paraId="3BE04CC3" w14:textId="039FEAAE" w:rsidR="00556901" w:rsidRPr="00942B4B" w:rsidRDefault="00556901" w:rsidP="00556901">
            <w:pPr>
              <w:pStyle w:val="CETBodytext"/>
              <w:jc w:val="left"/>
              <w:rPr>
                <w:lang w:val="en-GB"/>
              </w:rPr>
            </w:pPr>
          </w:p>
        </w:tc>
      </w:tr>
      <w:tr w:rsidR="00556901" w:rsidRPr="00942B4B" w14:paraId="454DF040" w14:textId="77777777" w:rsidTr="00683641">
        <w:trPr>
          <w:trHeight w:val="277"/>
        </w:trPr>
        <w:tc>
          <w:tcPr>
            <w:tcW w:w="2548" w:type="dxa"/>
            <w:tcBorders>
              <w:top w:val="single" w:sz="6" w:space="0" w:color="008000"/>
              <w:bottom w:val="nil"/>
            </w:tcBorders>
            <w:shd w:val="clear" w:color="auto" w:fill="FFFFFF"/>
            <w:vAlign w:val="center"/>
          </w:tcPr>
          <w:p w14:paraId="05B24DA4" w14:textId="7397E3AD" w:rsidR="00556901" w:rsidRPr="00942B4B" w:rsidRDefault="00556901" w:rsidP="00556901">
            <w:pPr>
              <w:pStyle w:val="CETBodytext"/>
              <w:jc w:val="left"/>
              <w:rPr>
                <w:lang w:val="en-GB"/>
              </w:rPr>
            </w:pPr>
            <w:r w:rsidRPr="00942B4B">
              <w:rPr>
                <w:lang w:val="en-GB"/>
              </w:rPr>
              <w:t xml:space="preserve">Time reaction (min) </w:t>
            </w:r>
          </w:p>
        </w:tc>
        <w:tc>
          <w:tcPr>
            <w:tcW w:w="1697" w:type="dxa"/>
            <w:tcBorders>
              <w:top w:val="single" w:sz="6" w:space="0" w:color="008000"/>
              <w:bottom w:val="nil"/>
            </w:tcBorders>
            <w:shd w:val="clear" w:color="auto" w:fill="FFFFFF"/>
            <w:vAlign w:val="center"/>
          </w:tcPr>
          <w:p w14:paraId="24592F59" w14:textId="7998547A" w:rsidR="00556901" w:rsidRPr="00942B4B" w:rsidRDefault="00556901" w:rsidP="00556901">
            <w:pPr>
              <w:pStyle w:val="CETBodytext"/>
              <w:jc w:val="left"/>
              <w:rPr>
                <w:lang w:val="en-GB"/>
              </w:rPr>
            </w:pPr>
            <w:r w:rsidRPr="00942B4B">
              <w:rPr>
                <w:lang w:val="en-GB"/>
              </w:rPr>
              <w:t>20</w:t>
            </w:r>
          </w:p>
        </w:tc>
        <w:tc>
          <w:tcPr>
            <w:tcW w:w="1697" w:type="dxa"/>
            <w:tcBorders>
              <w:top w:val="single" w:sz="6" w:space="0" w:color="008000"/>
              <w:bottom w:val="nil"/>
            </w:tcBorders>
            <w:shd w:val="clear" w:color="auto" w:fill="FFFFFF"/>
            <w:vAlign w:val="center"/>
          </w:tcPr>
          <w:p w14:paraId="391D2A51" w14:textId="584A4B6A" w:rsidR="00556901" w:rsidRPr="00942B4B" w:rsidRDefault="00556901" w:rsidP="00556901">
            <w:pPr>
              <w:pStyle w:val="CETBodytext"/>
              <w:jc w:val="left"/>
              <w:rPr>
                <w:lang w:val="en-GB"/>
              </w:rPr>
            </w:pPr>
            <w:r w:rsidRPr="00942B4B">
              <w:rPr>
                <w:lang w:val="en-GB"/>
              </w:rPr>
              <w:t>120</w:t>
            </w:r>
          </w:p>
        </w:tc>
        <w:tc>
          <w:tcPr>
            <w:tcW w:w="2859" w:type="dxa"/>
            <w:tcBorders>
              <w:top w:val="single" w:sz="6" w:space="0" w:color="008000"/>
              <w:bottom w:val="nil"/>
            </w:tcBorders>
            <w:shd w:val="clear" w:color="auto" w:fill="FFFFFF"/>
            <w:vAlign w:val="center"/>
          </w:tcPr>
          <w:p w14:paraId="0C7A279A" w14:textId="28FACBC3" w:rsidR="00556901" w:rsidRPr="00942B4B" w:rsidRDefault="00556901" w:rsidP="00556901">
            <w:pPr>
              <w:pStyle w:val="CETBodytext"/>
              <w:jc w:val="left"/>
              <w:rPr>
                <w:lang w:val="en-GB"/>
              </w:rPr>
            </w:pPr>
          </w:p>
        </w:tc>
      </w:tr>
      <w:tr w:rsidR="00556901" w:rsidRPr="00942B4B" w14:paraId="74C8472A" w14:textId="77777777" w:rsidTr="00683641">
        <w:trPr>
          <w:trHeight w:val="277"/>
        </w:trPr>
        <w:tc>
          <w:tcPr>
            <w:tcW w:w="2548" w:type="dxa"/>
            <w:tcBorders>
              <w:top w:val="nil"/>
              <w:bottom w:val="single" w:sz="12" w:space="0" w:color="008000"/>
            </w:tcBorders>
            <w:shd w:val="clear" w:color="auto" w:fill="FFFFFF"/>
            <w:vAlign w:val="center"/>
          </w:tcPr>
          <w:p w14:paraId="5A068EA8" w14:textId="49D0EA71" w:rsidR="00556901" w:rsidRPr="00942B4B" w:rsidRDefault="00556901" w:rsidP="00556901">
            <w:pPr>
              <w:pStyle w:val="CETBodytext"/>
              <w:jc w:val="left"/>
              <w:rPr>
                <w:lang w:val="en-GB"/>
              </w:rPr>
            </w:pPr>
            <w:r w:rsidRPr="00942B4B">
              <w:rPr>
                <w:lang w:val="en-GB"/>
              </w:rPr>
              <w:t xml:space="preserve"> Energy consumption (kWh)</w:t>
            </w:r>
          </w:p>
        </w:tc>
        <w:tc>
          <w:tcPr>
            <w:tcW w:w="1697" w:type="dxa"/>
            <w:tcBorders>
              <w:top w:val="nil"/>
              <w:bottom w:val="single" w:sz="12" w:space="0" w:color="008000"/>
            </w:tcBorders>
            <w:shd w:val="clear" w:color="auto" w:fill="FFFFFF"/>
            <w:vAlign w:val="center"/>
          </w:tcPr>
          <w:p w14:paraId="489BA0D7" w14:textId="221620A4" w:rsidR="00556901" w:rsidRPr="00942B4B" w:rsidRDefault="00556901" w:rsidP="00556901">
            <w:pPr>
              <w:pStyle w:val="CETBodytext"/>
              <w:jc w:val="left"/>
              <w:rPr>
                <w:lang w:val="en-GB"/>
              </w:rPr>
            </w:pPr>
            <w:r w:rsidRPr="00942B4B">
              <w:rPr>
                <w:lang w:val="en-GB"/>
              </w:rPr>
              <w:t>0.74</w:t>
            </w:r>
          </w:p>
        </w:tc>
        <w:tc>
          <w:tcPr>
            <w:tcW w:w="1697" w:type="dxa"/>
            <w:tcBorders>
              <w:top w:val="nil"/>
              <w:bottom w:val="single" w:sz="12" w:space="0" w:color="008000"/>
            </w:tcBorders>
            <w:shd w:val="clear" w:color="auto" w:fill="FFFFFF"/>
            <w:vAlign w:val="center"/>
          </w:tcPr>
          <w:p w14:paraId="118429C6" w14:textId="31222A17" w:rsidR="00556901" w:rsidRPr="00942B4B" w:rsidRDefault="00556901" w:rsidP="00556901">
            <w:pPr>
              <w:pStyle w:val="CETBodytext"/>
              <w:jc w:val="left"/>
              <w:rPr>
                <w:lang w:val="en-GB"/>
              </w:rPr>
            </w:pPr>
            <w:r w:rsidRPr="00942B4B">
              <w:rPr>
                <w:lang w:val="en-GB"/>
              </w:rPr>
              <w:t>2.04</w:t>
            </w:r>
          </w:p>
        </w:tc>
        <w:tc>
          <w:tcPr>
            <w:tcW w:w="2859" w:type="dxa"/>
            <w:tcBorders>
              <w:top w:val="nil"/>
              <w:bottom w:val="single" w:sz="12" w:space="0" w:color="008000"/>
            </w:tcBorders>
            <w:shd w:val="clear" w:color="auto" w:fill="FFFFFF"/>
            <w:vAlign w:val="center"/>
          </w:tcPr>
          <w:p w14:paraId="157641D5" w14:textId="28EC96FB" w:rsidR="00556901" w:rsidRPr="00942B4B" w:rsidRDefault="00556901" w:rsidP="00556901">
            <w:pPr>
              <w:pStyle w:val="CETBodytext"/>
              <w:jc w:val="left"/>
              <w:rPr>
                <w:lang w:val="en-GB"/>
              </w:rPr>
            </w:pPr>
          </w:p>
        </w:tc>
      </w:tr>
    </w:tbl>
    <w:p w14:paraId="06E6930B" w14:textId="532BF84A" w:rsidR="004D2197" w:rsidRPr="00942B4B" w:rsidRDefault="00F72830" w:rsidP="004D2197">
      <w:pPr>
        <w:pStyle w:val="CETBodytext"/>
        <w:rPr>
          <w:sz w:val="16"/>
          <w:szCs w:val="18"/>
        </w:rPr>
      </w:pPr>
      <w:r w:rsidRPr="00942B4B">
        <w:rPr>
          <w:vertAlign w:val="superscript"/>
          <w:lang w:val="en-GB"/>
        </w:rPr>
        <w:t>a</w:t>
      </w:r>
      <w:r w:rsidRPr="00942B4B">
        <w:rPr>
          <w:sz w:val="16"/>
          <w:szCs w:val="18"/>
        </w:rPr>
        <w:t xml:space="preserve"> </w:t>
      </w:r>
      <w:r w:rsidR="006C2340" w:rsidRPr="00942B4B">
        <w:rPr>
          <w:sz w:val="16"/>
          <w:szCs w:val="18"/>
        </w:rPr>
        <w:t xml:space="preserve">The local barometric pressure is 88.26 kPa. The value is verified by using a barometric sensor Bme280 registered  </w:t>
      </w:r>
    </w:p>
    <w:p w14:paraId="365E9F60" w14:textId="1E038C52" w:rsidR="00EA37DE" w:rsidRPr="00942B4B" w:rsidRDefault="006C2340" w:rsidP="006C2340">
      <w:pPr>
        <w:pStyle w:val="CETBodytext"/>
        <w:rPr>
          <w:sz w:val="16"/>
          <w:szCs w:val="18"/>
        </w:rPr>
      </w:pPr>
      <w:r w:rsidRPr="00942B4B">
        <w:rPr>
          <w:vertAlign w:val="superscript"/>
          <w:lang w:val="en-GB"/>
        </w:rPr>
        <w:t>b</w:t>
      </w:r>
      <w:r w:rsidRPr="00942B4B">
        <w:rPr>
          <w:sz w:val="16"/>
          <w:szCs w:val="18"/>
        </w:rPr>
        <w:t xml:space="preserve"> </w:t>
      </w:r>
      <w:r w:rsidR="00450AF1" w:rsidRPr="00942B4B">
        <w:rPr>
          <w:sz w:val="16"/>
          <w:szCs w:val="18"/>
        </w:rPr>
        <w:t xml:space="preserve">It is estimated with the equation presented by Giakoumis </w:t>
      </w:r>
      <w:r w:rsidR="00450AF1" w:rsidRPr="00942B4B">
        <w:rPr>
          <w:sz w:val="16"/>
          <w:szCs w:val="18"/>
        </w:rPr>
        <w:fldChar w:fldCharType="begin" w:fldLock="1"/>
      </w:r>
      <w:r w:rsidR="00DB0217" w:rsidRPr="00942B4B">
        <w:rPr>
          <w:sz w:val="16"/>
          <w:szCs w:val="18"/>
        </w:rPr>
        <w:instrText>ADDIN CSL_CITATION {"citationItems":[{"id":"ITEM-1","itemData":{"DOI":"10.1016/j.fuel.2018.02.187","ISSN":"00162361","abstract":"A detailed statistical investigation was conducted in order to correlate some important biodiesel properties with the respective methyl ester weight composition in fatty acids. The examined properties were cetane number, density, kinematic viscosity and heating values (lower and higher). The chosen method for the correlation was the multiple linear regression analysis. A comprehensive data set was chosen for each interesting property as the basis for the formulation of the linear relations with respect to the eight, most important, fatty acids (lauric, myristic, palmitic, stearic, palmitoleic, oleic, linoleic, linolenic). The derived correlations were then verified against other experimental data, selected from various sources, with the aim to assess their predictive capability. It was found that for both the cetane number and density, the derived correlations were, on the one hand highly statistical, and, on the other, proved successful in predicting the corresponding properties from randomly selected samples reported in the literature. On the contrary, for both heating values and kinematic viscosity, the statistical correlations were weaker, although for the HHV the relative error between experimental and predicted values was adequately small.","author":[{"dropping-particle":"","family":"Giakoumis","given":"Evangelos G.","non-dropping-particle":"","parse-names":false,"suffix":""},{"dropping-particle":"","family":"Sarakatsanis","given":"Christos K.","non-dropping-particle":"","parse-names":false,"suffix":""}],"container-title":"Fuel","id":"ITEM-1","issued":{"date-parts":[["2018","6","15"]]},"page":"574-585","publisher":"Elsevier Ltd","title":"Estimation of biodiesel cetane number, density, kinematic viscosity and heating values from its fatty acid weight composition","type":"article-journal","volume":"222"},"uris":["http://www.mendeley.com/documents/?uuid=d87925ac-24b7-33e4-98c5-c0efeef77f62"]}],"mendeley":{"formattedCitation":"(Giakoumis and Sarakatsanis, 2018)","plainTextFormattedCitation":"(Giakoumis and Sarakatsanis, 2018)","previouslyFormattedCitation":"(Giakoumis and Sarakatsanis, 2018)"},"properties":{"noteIndex":0},"schema":"https://github.com/citation-style-language/schema/raw/master/csl-citation.json"}</w:instrText>
      </w:r>
      <w:r w:rsidR="00450AF1" w:rsidRPr="00942B4B">
        <w:rPr>
          <w:sz w:val="16"/>
          <w:szCs w:val="18"/>
        </w:rPr>
        <w:fldChar w:fldCharType="separate"/>
      </w:r>
      <w:r w:rsidR="00450AF1" w:rsidRPr="00942B4B">
        <w:rPr>
          <w:noProof/>
          <w:sz w:val="16"/>
          <w:szCs w:val="18"/>
        </w:rPr>
        <w:t>(Giakoumis and Sarakatsanis, 2018)</w:t>
      </w:r>
      <w:r w:rsidR="00450AF1" w:rsidRPr="00942B4B">
        <w:rPr>
          <w:sz w:val="16"/>
          <w:szCs w:val="18"/>
        </w:rPr>
        <w:fldChar w:fldCharType="end"/>
      </w:r>
    </w:p>
    <w:p w14:paraId="33385DC5" w14:textId="1C982B45" w:rsidR="006C2340" w:rsidRPr="00942B4B" w:rsidRDefault="00EA37DE" w:rsidP="006C2340">
      <w:pPr>
        <w:pStyle w:val="CETBodytext"/>
        <w:rPr>
          <w:sz w:val="16"/>
          <w:szCs w:val="18"/>
        </w:rPr>
      </w:pPr>
      <w:r w:rsidRPr="00942B4B">
        <w:rPr>
          <w:sz w:val="16"/>
          <w:szCs w:val="18"/>
        </w:rPr>
        <w:t xml:space="preserve">* </w:t>
      </w:r>
      <w:r w:rsidR="006C2340" w:rsidRPr="00942B4B">
        <w:rPr>
          <w:sz w:val="16"/>
          <w:szCs w:val="18"/>
        </w:rPr>
        <w:t xml:space="preserve"> </w:t>
      </w:r>
      <w:r w:rsidR="00C02DDA" w:rsidRPr="00942B4B">
        <w:rPr>
          <w:sz w:val="16"/>
          <w:szCs w:val="18"/>
        </w:rPr>
        <w:t>The standard only report.</w:t>
      </w:r>
    </w:p>
    <w:p w14:paraId="3D5E0B17" w14:textId="374831D4" w:rsidR="004D2197" w:rsidRPr="00B57B36" w:rsidRDefault="008E1137" w:rsidP="00973C5D">
      <w:pPr>
        <w:pStyle w:val="CETheadingx"/>
      </w:pPr>
      <w:r w:rsidRPr="008E1137">
        <w:t>Cavitation demonstration</w:t>
      </w:r>
    </w:p>
    <w:p w14:paraId="3A18AD6E" w14:textId="517D6D58" w:rsidR="000B150C" w:rsidRPr="00F666FE" w:rsidRDefault="00F52AC9" w:rsidP="00EC1172">
      <w:pPr>
        <w:pStyle w:val="CETBodytext"/>
      </w:pPr>
      <w:r w:rsidRPr="00F52AC9">
        <w:t xml:space="preserve">The presence of cavitation in the orifice plate system can be demonstrated in a practical way by the pressures measured along the system, because </w:t>
      </w:r>
      <w:r w:rsidR="008271D2" w:rsidRPr="00F52AC9">
        <w:t>for</w:t>
      </w:r>
      <w:r w:rsidRPr="00F52AC9">
        <w:t xml:space="preserve"> there to be formation of bubbles the </w:t>
      </w:r>
      <w:r w:rsidR="008271D2" w:rsidRPr="00F52AC9">
        <w:t>vapor</w:t>
      </w:r>
      <w:r w:rsidRPr="00F52AC9">
        <w:t xml:space="preserve"> pressure of one of the two reagents (methanol and oil) must be reached. Since the methanol in the system is easily evaporated, the </w:t>
      </w:r>
      <w:r w:rsidR="008271D2" w:rsidRPr="00F52AC9">
        <w:t>vapor</w:t>
      </w:r>
      <w:r w:rsidRPr="00F52AC9">
        <w:t xml:space="preserve"> pressure of the methanol at 60°C is considered as the pressure limit to reach the imminent cavitation, this being 82.94 kPa </w:t>
      </w:r>
      <w:r w:rsidR="00DB0217">
        <w:rPr>
          <w:lang w:val="es-CO"/>
        </w:rPr>
        <w:fldChar w:fldCharType="begin" w:fldLock="1"/>
      </w:r>
      <w:r w:rsidR="00ED5142" w:rsidRPr="00F52AC9">
        <w:instrText>ADDIN CSL_CITATION {"citationItems":[{"id":"ITEM-1","itemData":{"DOI":"10.3390/separations5010004","ISSN":"22978739","abstract":"Hot, subcritical and supercritical water, methanol, ethanol and their binary mixtures have been employed to treat fuels (desulfurize coal and recover liquid fuels from coal and oil shales) and to extract valuable solutes from biomass. The properties of these solvents that are relevant to their extraction abilities are presented. Various extraction methods: Accelerated solvent extraction (ASE), pressurized liquid extraction (PLE), supercritical fluid extraction (SFE, but excluding supercritical carbon dioxide) with these solvents, including microwave- and ultrasound-assisted extraction, are dealt with. The extraction systems are extensively illustrated and discussed.","author":[{"dropping-particle":"","family":"Marcus","given":"Yizhak","non-dropping-particle":"","parse-names":false,"suffix":""}],"container-title":"Separations","id":"ITEM-1","issue":"1","issued":{"date-parts":[["2018"]]},"title":"Extraction by subcritical and supercriticalwater, methanol, ethanol and their mixtures","type":"article-journal","volume":"5"},"uris":["http://www.mendeley.com/documents/?uuid=b6824d0f-7cdd-45e5-9e18-ea2a549d58f3"]}],"mendeley":{"formattedCitation":"(Marcus, 2018)","plainTextFormattedCitation":"(Marcus, 2018)","previouslyFormattedCitation":"(Marcus, 2018)"},"properties":{"noteIndex":0},"schema":"https://github.com/citation-style-language/schema/raw/master/csl-citation.json"}</w:instrText>
      </w:r>
      <w:r w:rsidR="00DB0217">
        <w:rPr>
          <w:lang w:val="es-CO"/>
        </w:rPr>
        <w:fldChar w:fldCharType="separate"/>
      </w:r>
      <w:r w:rsidR="0008401E" w:rsidRPr="00F52AC9">
        <w:rPr>
          <w:noProof/>
        </w:rPr>
        <w:t>(Marcus</w:t>
      </w:r>
      <w:r w:rsidR="0017612D">
        <w:rPr>
          <w:noProof/>
        </w:rPr>
        <w:t xml:space="preserve"> et al.</w:t>
      </w:r>
      <w:r w:rsidR="0008401E" w:rsidRPr="00F52AC9">
        <w:rPr>
          <w:noProof/>
        </w:rPr>
        <w:t>, 2018)</w:t>
      </w:r>
      <w:r w:rsidR="00DB0217">
        <w:rPr>
          <w:lang w:val="es-CO"/>
        </w:rPr>
        <w:fldChar w:fldCharType="end"/>
      </w:r>
      <w:r w:rsidR="00DB0217" w:rsidRPr="00F52AC9">
        <w:t xml:space="preserve"> </w:t>
      </w:r>
      <w:r w:rsidR="00F666FE" w:rsidRPr="00F666FE">
        <w:t>and the local atmospheric pressure is 88.26 kPa, so achieving vacuum pressures of just -5.32 kPa would have the presence of methanol vapor interstices through the reaction fluid. The pressures in the discharge of the plate reach measurements of up to -8.00 kPa which shows the presence of cavitation after the discharge of the plate and bubbles along the system</w:t>
      </w:r>
      <w:r w:rsidR="00A65A68" w:rsidRPr="00F666FE">
        <w:t xml:space="preserve">. </w:t>
      </w:r>
    </w:p>
    <w:p w14:paraId="68D26B83" w14:textId="77777777" w:rsidR="00600535" w:rsidRPr="00B57B36" w:rsidRDefault="00600535" w:rsidP="00600535">
      <w:pPr>
        <w:pStyle w:val="CETHeading1"/>
        <w:rPr>
          <w:lang w:val="en-GB"/>
        </w:rPr>
      </w:pPr>
      <w:r w:rsidRPr="00B57B36">
        <w:rPr>
          <w:lang w:val="en-GB"/>
        </w:rPr>
        <w:lastRenderedPageBreak/>
        <w:t>Conclusions</w:t>
      </w:r>
    </w:p>
    <w:p w14:paraId="52DAFDE0" w14:textId="37F22671" w:rsidR="001D0CFB" w:rsidRPr="00367AD0" w:rsidRDefault="003D05D2" w:rsidP="00600535">
      <w:pPr>
        <w:pStyle w:val="CETBodytext"/>
      </w:pPr>
      <w:r w:rsidRPr="003D05D2">
        <w:rPr>
          <w:highlight w:val="yellow"/>
        </w:rPr>
        <w:t>The use of cavitation, despite being a phenomenon that is avoided in many processes, can be an alternative to the intensification of chemical reactions. This work has shown that the controlled use of hydrodynamic cavitation generated through an orifice plate produces an intensification in the transesterification reaction, managing to reduce the reaction time from 120 to 20 minutes, and consequently an energy saving of the production process of up to 66%.</w:t>
      </w:r>
      <w:r w:rsidRPr="003D05D2">
        <w:t xml:space="preserve"> The properties </w:t>
      </w:r>
      <w:r w:rsidR="00367AD0" w:rsidRPr="00367AD0">
        <w:t>such as the content of methyl esters is greater than 96.5</w:t>
      </w:r>
      <w:r w:rsidR="00542443">
        <w:t xml:space="preserve"> </w:t>
      </w:r>
      <w:r w:rsidR="00367AD0" w:rsidRPr="00367AD0">
        <w:t>% w/w, density, viscosity, calorific value and cetane number comply with the regulatory restrictions stipulated by the independent EN 14214 method used for its production.</w:t>
      </w:r>
    </w:p>
    <w:p w14:paraId="07A6D20F" w14:textId="0ECF229E" w:rsidR="00280FAF" w:rsidRPr="00CA4E4B" w:rsidRDefault="00280FAF" w:rsidP="00973C5D">
      <w:pPr>
        <w:pStyle w:val="CETHeadingxx"/>
        <w:sectPr w:rsidR="00280FAF" w:rsidRPr="00CA4E4B" w:rsidSect="00B57E6F">
          <w:type w:val="continuous"/>
          <w:pgSz w:w="11906" w:h="16838" w:code="9"/>
          <w:pgMar w:top="1701" w:right="1418" w:bottom="1701" w:left="1701" w:header="1701" w:footer="0" w:gutter="0"/>
          <w:cols w:space="708"/>
          <w:formProt w:val="0"/>
          <w:titlePg/>
          <w:docGrid w:linePitch="360"/>
        </w:sectPr>
      </w:pPr>
      <w:r w:rsidRPr="00CA4E4B">
        <w:t>Nomenclature</w:t>
      </w:r>
    </w:p>
    <w:p w14:paraId="25D52BD8" w14:textId="2CA16B93" w:rsidR="00280FAF" w:rsidRPr="00942B4B" w:rsidRDefault="00F42F48" w:rsidP="00280FAF">
      <w:pPr>
        <w:pStyle w:val="CETBodytext"/>
        <w:jc w:val="left"/>
        <w:rPr>
          <w:rFonts w:eastAsia="SimSun"/>
        </w:rPr>
      </w:pPr>
      <w:r w:rsidRPr="00942B4B">
        <w:t>FAME</w:t>
      </w:r>
      <w:r w:rsidR="00280FAF" w:rsidRPr="00942B4B">
        <w:rPr>
          <w:rFonts w:eastAsia="SimSun"/>
        </w:rPr>
        <w:t xml:space="preserve"> – </w:t>
      </w:r>
      <w:r w:rsidRPr="00942B4B">
        <w:rPr>
          <w:rFonts w:eastAsia="SimSun"/>
        </w:rPr>
        <w:t>Fatty Acid Methyl Esters</w:t>
      </w:r>
      <w:r w:rsidR="00280FAF" w:rsidRPr="00942B4B">
        <w:rPr>
          <w:rFonts w:eastAsia="SimSun"/>
        </w:rPr>
        <w:t xml:space="preserve">, </w:t>
      </w:r>
      <w:r w:rsidRPr="00942B4B">
        <w:rPr>
          <w:rFonts w:eastAsia="SimSun"/>
        </w:rPr>
        <w:t>% w/w</w:t>
      </w:r>
    </w:p>
    <w:p w14:paraId="57590CE2" w14:textId="5900C215" w:rsidR="00280FAF" w:rsidRPr="00942B4B" w:rsidRDefault="00F42F48" w:rsidP="00280FAF">
      <w:pPr>
        <w:pStyle w:val="CETBodytext"/>
        <w:jc w:val="left"/>
        <w:rPr>
          <w:rFonts w:eastAsia="SimSun"/>
        </w:rPr>
      </w:pPr>
      <w:r w:rsidRPr="00942B4B">
        <w:t xml:space="preserve">Re </w:t>
      </w:r>
      <w:r w:rsidR="00280FAF" w:rsidRPr="00942B4B">
        <w:rPr>
          <w:rFonts w:eastAsia="SimSun"/>
        </w:rPr>
        <w:t xml:space="preserve">– </w:t>
      </w:r>
      <w:r w:rsidRPr="00942B4B">
        <w:rPr>
          <w:rFonts w:eastAsia="SimSun"/>
        </w:rPr>
        <w:t>Number Reynolds</w:t>
      </w:r>
      <w:r w:rsidR="00280FAF" w:rsidRPr="00942B4B">
        <w:rPr>
          <w:rFonts w:eastAsia="SimSun"/>
        </w:rPr>
        <w:t xml:space="preserve">, </w:t>
      </w:r>
      <m:oMath>
        <m:f>
          <m:fPr>
            <m:ctrlPr>
              <w:rPr>
                <w:rFonts w:ascii="Cambria Math" w:eastAsia="SimSun" w:hAnsi="Cambria Math"/>
                <w:i/>
              </w:rPr>
            </m:ctrlPr>
          </m:fPr>
          <m:num>
            <m:r>
              <w:rPr>
                <w:rFonts w:ascii="Cambria Math" w:eastAsia="SimSun" w:hAnsi="Cambria Math"/>
              </w:rPr>
              <m:t>VD</m:t>
            </m:r>
          </m:num>
          <m:den>
            <m:r>
              <w:rPr>
                <w:rFonts w:ascii="Cambria Math" w:eastAsia="SimSun" w:hAnsi="Cambria Math"/>
              </w:rPr>
              <m:t>ν</m:t>
            </m:r>
          </m:den>
        </m:f>
      </m:oMath>
    </w:p>
    <w:p w14:paraId="0E502614" w14:textId="2106B828" w:rsidR="00280FAF" w:rsidRPr="00942B4B" w:rsidRDefault="001E00E7" w:rsidP="00280FAF">
      <w:pPr>
        <w:pStyle w:val="CETBodytext"/>
        <w:jc w:val="left"/>
        <w:rPr>
          <w:rFonts w:eastAsia="SimSun"/>
        </w:rPr>
      </w:pPr>
      <w:r w:rsidRPr="00942B4B">
        <w:rPr>
          <w:rFonts w:eastAsia="SimSun"/>
          <w:i/>
          <w:iCs/>
        </w:rPr>
        <w:t>V</w:t>
      </w:r>
      <w:r w:rsidR="00280FAF" w:rsidRPr="00942B4B">
        <w:rPr>
          <w:rFonts w:eastAsia="SimSun"/>
        </w:rPr>
        <w:t xml:space="preserve"> – </w:t>
      </w:r>
      <w:r w:rsidRPr="00942B4B">
        <w:rPr>
          <w:rFonts w:eastAsia="SimSun"/>
        </w:rPr>
        <w:t>Flow velocity</w:t>
      </w:r>
      <w:r w:rsidR="00280FAF" w:rsidRPr="00942B4B">
        <w:rPr>
          <w:rFonts w:eastAsia="SimSun"/>
        </w:rPr>
        <w:t>, m</w:t>
      </w:r>
      <w:r w:rsidRPr="00942B4B">
        <w:rPr>
          <w:rFonts w:eastAsia="SimSun"/>
        </w:rPr>
        <w:t>/s</w:t>
      </w:r>
    </w:p>
    <w:p w14:paraId="33D176ED" w14:textId="1AF83DFB" w:rsidR="00280FAF" w:rsidRPr="00942B4B" w:rsidRDefault="006D536F" w:rsidP="00280FAF">
      <w:pPr>
        <w:pStyle w:val="CETBodytext"/>
        <w:jc w:val="left"/>
        <w:rPr>
          <w:rFonts w:eastAsia="SimSun"/>
        </w:rPr>
      </w:pPr>
      <w:r w:rsidRPr="00942B4B">
        <w:rPr>
          <w:rFonts w:eastAsia="SimSun"/>
          <w:i/>
          <w:iCs/>
        </w:rPr>
        <w:t>D</w:t>
      </w:r>
      <w:r w:rsidR="00280FAF" w:rsidRPr="00942B4B">
        <w:rPr>
          <w:rFonts w:eastAsia="SimSun"/>
        </w:rPr>
        <w:t xml:space="preserve"> – </w:t>
      </w:r>
      <w:r w:rsidRPr="00942B4B">
        <w:rPr>
          <w:rFonts w:eastAsia="SimSun"/>
        </w:rPr>
        <w:t>Flow Diameter</w:t>
      </w:r>
      <w:r w:rsidR="00280FAF" w:rsidRPr="00942B4B">
        <w:rPr>
          <w:rFonts w:eastAsia="SimSun"/>
        </w:rPr>
        <w:t>, m</w:t>
      </w:r>
    </w:p>
    <w:p w14:paraId="05CC3BA4" w14:textId="462E21DC" w:rsidR="00280FAF" w:rsidRPr="00942B4B" w:rsidRDefault="00923F5B" w:rsidP="00280FAF">
      <w:pPr>
        <w:pStyle w:val="CETBodytext"/>
        <w:jc w:val="left"/>
        <w:rPr>
          <w:rFonts w:eastAsia="SimSun"/>
        </w:rPr>
      </w:pPr>
      <m:oMath>
        <m:r>
          <w:rPr>
            <w:rFonts w:ascii="Cambria Math" w:eastAsia="SimSun" w:hAnsi="Cambria Math"/>
          </w:rPr>
          <m:t>ν</m:t>
        </m:r>
      </m:oMath>
      <w:r w:rsidR="00280FAF" w:rsidRPr="00942B4B">
        <w:rPr>
          <w:rFonts w:eastAsia="SimSun"/>
        </w:rPr>
        <w:t xml:space="preserve"> – </w:t>
      </w:r>
      <w:r w:rsidR="006D536F" w:rsidRPr="00942B4B">
        <w:rPr>
          <w:rFonts w:eastAsia="SimSun"/>
        </w:rPr>
        <w:t>Kinematic Viscosity</w:t>
      </w:r>
      <w:r w:rsidR="00280FAF" w:rsidRPr="00942B4B">
        <w:rPr>
          <w:rFonts w:eastAsia="SimSun"/>
        </w:rPr>
        <w:t>,</w:t>
      </w:r>
      <w:r w:rsidR="00C814AB" w:rsidRPr="00942B4B">
        <w:rPr>
          <w:rFonts w:eastAsia="SimSun"/>
        </w:rPr>
        <w:t xml:space="preserve"> m</w:t>
      </w:r>
      <w:r w:rsidR="00C814AB" w:rsidRPr="00942B4B">
        <w:rPr>
          <w:rFonts w:eastAsia="SimSun"/>
          <w:vertAlign w:val="superscript"/>
        </w:rPr>
        <w:t>2</w:t>
      </w:r>
      <w:r w:rsidR="00C814AB" w:rsidRPr="00942B4B">
        <w:rPr>
          <w:rFonts w:eastAsia="SimSun"/>
        </w:rPr>
        <w:t>/s</w:t>
      </w:r>
      <w:r w:rsidR="00280FAF" w:rsidRPr="00942B4B">
        <w:rPr>
          <w:rFonts w:eastAsia="SimSun"/>
        </w:rPr>
        <w:t xml:space="preserve"> -</w:t>
      </w:r>
    </w:p>
    <w:p w14:paraId="0718B861" w14:textId="7EBD86F6" w:rsidR="00280FAF" w:rsidRPr="00942B4B" w:rsidRDefault="00855561" w:rsidP="00280FAF">
      <w:pPr>
        <w:pStyle w:val="CETBodytext"/>
        <w:jc w:val="left"/>
        <w:rPr>
          <w:rFonts w:eastAsia="SimSun"/>
        </w:rPr>
      </w:pPr>
      <w:r w:rsidRPr="00942B4B">
        <w:rPr>
          <w:rFonts w:eastAsia="SimSun"/>
        </w:rPr>
        <w:t>NaOH</w:t>
      </w:r>
      <w:r w:rsidR="00280FAF" w:rsidRPr="00942B4B">
        <w:rPr>
          <w:rFonts w:eastAsia="SimSun"/>
        </w:rPr>
        <w:t xml:space="preserve"> – </w:t>
      </w:r>
      <w:r w:rsidR="009408C7" w:rsidRPr="00942B4B">
        <w:rPr>
          <w:rFonts w:eastAsia="SimSun"/>
        </w:rPr>
        <w:t>Sodium hydroxide</w:t>
      </w:r>
    </w:p>
    <w:p w14:paraId="5A6624BF" w14:textId="355E3ED5" w:rsidR="00280FAF" w:rsidRPr="00942B4B" w:rsidRDefault="009408C7" w:rsidP="00280FAF">
      <w:pPr>
        <w:pStyle w:val="CETBodytext"/>
        <w:jc w:val="left"/>
        <w:rPr>
          <w:rFonts w:eastAsia="SimSun"/>
        </w:rPr>
      </w:pPr>
      <w:r w:rsidRPr="00942B4B">
        <w:rPr>
          <w:rFonts w:eastAsia="SimSun"/>
        </w:rPr>
        <w:t>KOH</w:t>
      </w:r>
      <w:r w:rsidR="00280FAF" w:rsidRPr="00942B4B">
        <w:rPr>
          <w:rFonts w:eastAsia="SimSun"/>
        </w:rPr>
        <w:t xml:space="preserve"> – </w:t>
      </w:r>
      <w:r w:rsidR="00AB19DC" w:rsidRPr="00942B4B">
        <w:rPr>
          <w:rFonts w:eastAsia="SimSun"/>
        </w:rPr>
        <w:t>Potassium hydroxide</w:t>
      </w:r>
    </w:p>
    <w:p w14:paraId="7B9D50AF" w14:textId="7EC52D7C" w:rsidR="00143B05" w:rsidRPr="00942B4B" w:rsidRDefault="00143B05" w:rsidP="00280FAF">
      <w:pPr>
        <w:pStyle w:val="CETBodytext"/>
        <w:jc w:val="left"/>
        <w:rPr>
          <w:rFonts w:eastAsia="SimSun"/>
        </w:rPr>
      </w:pPr>
      <w:r w:rsidRPr="00942B4B">
        <w:rPr>
          <w:rFonts w:eastAsia="SimSun"/>
        </w:rPr>
        <w:t>rpm – revolution per minute</w:t>
      </w:r>
    </w:p>
    <w:p w14:paraId="3654F51F" w14:textId="56AEF61A" w:rsidR="00143B05" w:rsidRPr="00143B05" w:rsidRDefault="00143B05" w:rsidP="00143B05">
      <w:pPr>
        <w:pStyle w:val="CETBodytext"/>
        <w:rPr>
          <w:lang w:val="en-GB"/>
        </w:rPr>
        <w:sectPr w:rsidR="00143B05" w:rsidRPr="00143B05" w:rsidSect="00D200C3">
          <w:type w:val="continuous"/>
          <w:pgSz w:w="11906" w:h="16838" w:code="9"/>
          <w:pgMar w:top="1701" w:right="1418" w:bottom="1701" w:left="1701" w:header="1701" w:footer="0" w:gutter="0"/>
          <w:cols w:num="2" w:space="708"/>
          <w:formProt w:val="0"/>
          <w:titlePg/>
          <w:docGrid w:linePitch="360"/>
        </w:sectPr>
      </w:pPr>
    </w:p>
    <w:p w14:paraId="4F1327F8" w14:textId="22CE36F5" w:rsidR="00600535" w:rsidRDefault="00600535" w:rsidP="00600535">
      <w:pPr>
        <w:pStyle w:val="CETReference"/>
        <w:rPr>
          <w:lang w:val="en-US"/>
        </w:rPr>
      </w:pPr>
      <w:r w:rsidRPr="0008401E">
        <w:rPr>
          <w:lang w:val="en-US"/>
        </w:rPr>
        <w:t>References</w:t>
      </w:r>
    </w:p>
    <w:p w14:paraId="337140A4" w14:textId="110E8AB0" w:rsidR="00942B4B" w:rsidRPr="00942B4B" w:rsidRDefault="00ED5142" w:rsidP="00942B4B">
      <w:pPr>
        <w:widowControl w:val="0"/>
        <w:autoSpaceDE w:val="0"/>
        <w:autoSpaceDN w:val="0"/>
        <w:adjustRightInd w:val="0"/>
        <w:spacing w:line="240" w:lineRule="auto"/>
        <w:ind w:left="480" w:hanging="480"/>
        <w:rPr>
          <w:rFonts w:cs="Arial"/>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942B4B" w:rsidRPr="00942B4B">
        <w:rPr>
          <w:rFonts w:cs="Arial"/>
          <w:noProof/>
          <w:szCs w:val="24"/>
        </w:rPr>
        <w:t>Aboelazayem O.,Gadalla M.,Alhajri I.,Saha B., 2021. Advanced process integration for supercritical production of biodiesel: Residual waste heat recovery via organic Rankine cycle (ORC). Renew. Energy 164, 433–443.</w:t>
      </w:r>
    </w:p>
    <w:p w14:paraId="1AC99A2A"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Aghbashlo M.,Peng W.,Tabatabaei M.,Kalogirou S.A.,Soltanian S.,Hosseinzadeh-Bandbafha H.,Mahian O.,Lam S.S., 2021. Machine learning technology in biodiesel research: A review. Prog. Energy Combust. Sci. 85, 100904.</w:t>
      </w:r>
    </w:p>
    <w:p w14:paraId="432C0BC8"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Angele K., 2021. Prediction of cavitation in orifice plates—A novel and simple rule-of-thumb. Exp. Comput. Multiph. Flow 3, 68–76.</w:t>
      </w:r>
    </w:p>
    <w:p w14:paraId="0BCCDF49"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Bargole S.,George S.,Kumar Saharan V., 2019. Improved rate of transesterification reaction in biodiesel synthesis using hydrodynamic cavitating devices of high throat perimeter to flow area ratios. Chem. Eng. Process. - Process Intensif. 139, 1–13.</w:t>
      </w:r>
    </w:p>
    <w:p w14:paraId="4D9EAF03"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Ghayal D.,Pandit A.B.,Rathod V.K., 2013a. Optimization of biodiesel production in a hydrodynamic cavitation reactor using used frying oil. Ultrason. Sonochem. 20, 322–328.</w:t>
      </w:r>
    </w:p>
    <w:p w14:paraId="5BACE878"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Ghayal D.,Pandit A.B.,Rathod V.K., 2013b. Optimization of biodiesel production in a hydrodynamic cavitation reactor using used frying oil. Ultrason. Sonochem. 20, 322–328.</w:t>
      </w:r>
    </w:p>
    <w:p w14:paraId="135F3065"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Giakoumis E.G.,Sarakatsanis C.K., 2018. Estimation of biodiesel cetane number, density, kinematic viscosity and heating values from its fatty acid weight composition. Fuel 222, 574–585.</w:t>
      </w:r>
    </w:p>
    <w:p w14:paraId="45D03C47"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Gogate P.R.,Tayal R.K.,Pandit A.B., 2006. Cavitation: A technology on the horizon. Curr. Sci. 91, 35–46.</w:t>
      </w:r>
    </w:p>
    <w:p w14:paraId="60A5425D"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Knothe G., 1985. Transesterification Kinetics of Soybean Oil. Biodiesel Handb. Second Ed. 63, 1375–1380.</w:t>
      </w:r>
    </w:p>
    <w:p w14:paraId="3EEFCA12"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Maddikeri G.L.,Gogate P.R.,Pandit A.B., 2014. Intensified synthesis of biodiesel using hydrodynamic cavitation reactors based on the interesterification of waste cooking oil. Fuel 137, 285–292.</w:t>
      </w:r>
    </w:p>
    <w:p w14:paraId="1027D7AE" w14:textId="77777777" w:rsidR="00942B4B" w:rsidRPr="00AF2CF0" w:rsidRDefault="00942B4B" w:rsidP="00942B4B">
      <w:pPr>
        <w:widowControl w:val="0"/>
        <w:autoSpaceDE w:val="0"/>
        <w:autoSpaceDN w:val="0"/>
        <w:adjustRightInd w:val="0"/>
        <w:spacing w:line="240" w:lineRule="auto"/>
        <w:ind w:left="480" w:hanging="480"/>
        <w:rPr>
          <w:rFonts w:cs="Arial"/>
          <w:noProof/>
          <w:szCs w:val="24"/>
          <w:lang w:val="es-ES"/>
        </w:rPr>
      </w:pPr>
      <w:r w:rsidRPr="00942B4B">
        <w:rPr>
          <w:rFonts w:cs="Arial"/>
          <w:noProof/>
          <w:szCs w:val="24"/>
        </w:rPr>
        <w:t xml:space="preserve">Marcus Y., 2018. Extraction by subcritical and supercriticalwater, methanol, ethanol and their mixtures. </w:t>
      </w:r>
      <w:r w:rsidRPr="00AF2CF0">
        <w:rPr>
          <w:rFonts w:cs="Arial"/>
          <w:noProof/>
          <w:szCs w:val="24"/>
          <w:lang w:val="es-ES"/>
        </w:rPr>
        <w:t>Separations 5.</w:t>
      </w:r>
    </w:p>
    <w:p w14:paraId="6389D818"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AF2CF0">
        <w:rPr>
          <w:rFonts w:cs="Arial"/>
          <w:noProof/>
          <w:szCs w:val="24"/>
          <w:lang w:val="es-ES"/>
        </w:rPr>
        <w:t xml:space="preserve">Sahasrabudhe S.N.,Rodriguez-Martinez V.,O’Meara M.,Farkas B.E., 2017. </w:t>
      </w:r>
      <w:r w:rsidRPr="00942B4B">
        <w:rPr>
          <w:rFonts w:cs="Arial"/>
          <w:noProof/>
          <w:szCs w:val="24"/>
        </w:rPr>
        <w:t>Density, viscosity, and surface tension of five vegetable oils at elevated temperatures: Measurement and modeling. Int. J. Food Prop. 20, 1965–1981.</w:t>
      </w:r>
    </w:p>
    <w:p w14:paraId="3A33FF2A"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Silva C.C.C.M.,Ribeiro N.F.P.,Souza M.M.V.M.,Aranda D.A.G., 2010. Biodiesel production from soybean oil and methanol using hydrotalcites as catalyst. Fuel Process. Technol. 91, 205–210.</w:t>
      </w:r>
    </w:p>
    <w:p w14:paraId="77D0BE0E"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942B4B">
        <w:rPr>
          <w:rFonts w:cs="Arial"/>
          <w:noProof/>
          <w:szCs w:val="24"/>
        </w:rPr>
        <w:t>Tabatabaei M.,Aghbashlo M.,Dehhaghi M.,Panahi H.K.S.,Mollahosseini A.,Hosseini M.,Soufiyan M.M., 2019. Reactor technologies for biodiesel production and processing: A review. Prog. Energy Combust. Sci.</w:t>
      </w:r>
    </w:p>
    <w:p w14:paraId="1E180A16" w14:textId="77777777" w:rsidR="00942B4B" w:rsidRPr="00AF2CF0" w:rsidRDefault="00942B4B" w:rsidP="00942B4B">
      <w:pPr>
        <w:widowControl w:val="0"/>
        <w:autoSpaceDE w:val="0"/>
        <w:autoSpaceDN w:val="0"/>
        <w:adjustRightInd w:val="0"/>
        <w:spacing w:line="240" w:lineRule="auto"/>
        <w:ind w:left="480" w:hanging="480"/>
        <w:rPr>
          <w:rFonts w:cs="Arial"/>
          <w:noProof/>
          <w:szCs w:val="24"/>
          <w:lang w:val="es-ES"/>
        </w:rPr>
      </w:pPr>
      <w:r w:rsidRPr="00942B4B">
        <w:rPr>
          <w:rFonts w:cs="Arial"/>
          <w:noProof/>
          <w:szCs w:val="24"/>
        </w:rPr>
        <w:t xml:space="preserve">Tang T.,Gao L.,Li B.,Liao L.,Xi Y.,Yang G., 2019. Cavitation optimization of a throttle orifice plate based on three-dimensional genetic algorithm and topology optimization. </w:t>
      </w:r>
      <w:r w:rsidRPr="00AF2CF0">
        <w:rPr>
          <w:rFonts w:cs="Arial"/>
          <w:noProof/>
          <w:szCs w:val="24"/>
          <w:lang w:val="es-ES"/>
        </w:rPr>
        <w:t>Struct. Multidiscip. Optim. 60, 1227–1244.</w:t>
      </w:r>
    </w:p>
    <w:p w14:paraId="1B47B028" w14:textId="77777777" w:rsidR="00942B4B" w:rsidRPr="00942B4B" w:rsidRDefault="00942B4B" w:rsidP="00942B4B">
      <w:pPr>
        <w:widowControl w:val="0"/>
        <w:autoSpaceDE w:val="0"/>
        <w:autoSpaceDN w:val="0"/>
        <w:adjustRightInd w:val="0"/>
        <w:spacing w:line="240" w:lineRule="auto"/>
        <w:ind w:left="480" w:hanging="480"/>
        <w:rPr>
          <w:rFonts w:cs="Arial"/>
          <w:noProof/>
          <w:szCs w:val="24"/>
        </w:rPr>
      </w:pPr>
      <w:r w:rsidRPr="00AF2CF0">
        <w:rPr>
          <w:rFonts w:cs="Arial"/>
          <w:noProof/>
          <w:szCs w:val="24"/>
          <w:lang w:val="es-ES"/>
        </w:rPr>
        <w:t xml:space="preserve">Vera-Rozo J.R.,Riesco-Avila J.M.,Elizalde-Blanca F.,Cano-Andrade S., 2021. </w:t>
      </w:r>
      <w:r w:rsidRPr="00942B4B">
        <w:rPr>
          <w:rFonts w:cs="Arial"/>
          <w:noProof/>
          <w:szCs w:val="24"/>
        </w:rPr>
        <w:t>OPTIMIZATION OF THE REAL CONVERSION EFFICIENCY OF WASTE COOKING OIL. Therm. Sci. 1–14.</w:t>
      </w:r>
    </w:p>
    <w:p w14:paraId="283DB0EB" w14:textId="77777777" w:rsidR="00942B4B" w:rsidRPr="00942B4B" w:rsidRDefault="00942B4B" w:rsidP="00942B4B">
      <w:pPr>
        <w:widowControl w:val="0"/>
        <w:autoSpaceDE w:val="0"/>
        <w:autoSpaceDN w:val="0"/>
        <w:adjustRightInd w:val="0"/>
        <w:spacing w:line="240" w:lineRule="auto"/>
        <w:ind w:left="480" w:hanging="480"/>
        <w:rPr>
          <w:rFonts w:cs="Arial"/>
          <w:noProof/>
        </w:rPr>
      </w:pPr>
      <w:r w:rsidRPr="00942B4B">
        <w:rPr>
          <w:rFonts w:cs="Arial"/>
          <w:noProof/>
          <w:szCs w:val="24"/>
        </w:rPr>
        <w:t>Yongphet P.,Wang J.,Wang D.,Mulbah C.,Fan Z.,Zhang W.,Amaral P.C.S., 2021. Optimization of operation conditions for biodiesel preparation from soybean oil using an electric field. Biomass Convers. Biorefinery 11, 2041–2051.</w:t>
      </w:r>
    </w:p>
    <w:p w14:paraId="775F3AEF" w14:textId="577161EA" w:rsidR="00FF0623" w:rsidRPr="00A46A47" w:rsidRDefault="00ED5142" w:rsidP="00683641">
      <w:pPr>
        <w:pStyle w:val="CETReference"/>
        <w:spacing w:before="0"/>
        <w:jc w:val="both"/>
        <w:rPr>
          <w:lang w:val="en-US"/>
        </w:rPr>
      </w:pPr>
      <w:r>
        <w:rPr>
          <w:lang w:val="en-US"/>
        </w:rPr>
        <w:fldChar w:fldCharType="end"/>
      </w:r>
    </w:p>
    <w:sectPr w:rsidR="00FF0623" w:rsidRPr="00A46A4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65700" w14:textId="77777777" w:rsidR="00920F19" w:rsidRDefault="00920F19" w:rsidP="004F5E36">
      <w:r>
        <w:separator/>
      </w:r>
    </w:p>
  </w:endnote>
  <w:endnote w:type="continuationSeparator" w:id="0">
    <w:p w14:paraId="77587563" w14:textId="77777777" w:rsidR="00920F19" w:rsidRDefault="00920F1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579B6" w14:textId="77777777" w:rsidR="00920F19" w:rsidRDefault="00920F19" w:rsidP="004F5E36">
      <w:r>
        <w:separator/>
      </w:r>
    </w:p>
  </w:footnote>
  <w:footnote w:type="continuationSeparator" w:id="0">
    <w:p w14:paraId="15219D16" w14:textId="77777777" w:rsidR="00920F19" w:rsidRDefault="00920F1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FEEED9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b/>
        <w:bCs/>
      </w:rPr>
    </w:lvl>
    <w:lvl w:ilvl="2">
      <w:start w:val="1"/>
      <w:numFmt w:val="decimal"/>
      <w:pStyle w:val="CETheadingx"/>
      <w:suff w:val="space"/>
      <w:lvlText w:val="%2.%3"/>
      <w:lvlJc w:val="left"/>
      <w:pPr>
        <w:ind w:left="14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35A"/>
    <w:rsid w:val="00006E47"/>
    <w:rsid w:val="00010C68"/>
    <w:rsid w:val="000117CB"/>
    <w:rsid w:val="00011B64"/>
    <w:rsid w:val="00022623"/>
    <w:rsid w:val="0002482C"/>
    <w:rsid w:val="00026B7A"/>
    <w:rsid w:val="0003148D"/>
    <w:rsid w:val="00031EEC"/>
    <w:rsid w:val="000415AD"/>
    <w:rsid w:val="000458F0"/>
    <w:rsid w:val="00051566"/>
    <w:rsid w:val="00051900"/>
    <w:rsid w:val="00051DFC"/>
    <w:rsid w:val="00056EB2"/>
    <w:rsid w:val="00061842"/>
    <w:rsid w:val="00062A9A"/>
    <w:rsid w:val="00063614"/>
    <w:rsid w:val="00065058"/>
    <w:rsid w:val="00071C3F"/>
    <w:rsid w:val="0008401E"/>
    <w:rsid w:val="00085F22"/>
    <w:rsid w:val="00086C39"/>
    <w:rsid w:val="00087714"/>
    <w:rsid w:val="00087DAF"/>
    <w:rsid w:val="00093E65"/>
    <w:rsid w:val="000A03B2"/>
    <w:rsid w:val="000A2FBB"/>
    <w:rsid w:val="000A62E8"/>
    <w:rsid w:val="000A7D67"/>
    <w:rsid w:val="000B150C"/>
    <w:rsid w:val="000B500C"/>
    <w:rsid w:val="000B5CC4"/>
    <w:rsid w:val="000B7972"/>
    <w:rsid w:val="000C0E3A"/>
    <w:rsid w:val="000C4734"/>
    <w:rsid w:val="000C79B2"/>
    <w:rsid w:val="000D0268"/>
    <w:rsid w:val="000D1E64"/>
    <w:rsid w:val="000D34BE"/>
    <w:rsid w:val="000E102F"/>
    <w:rsid w:val="000E36F1"/>
    <w:rsid w:val="000E3A73"/>
    <w:rsid w:val="000E414A"/>
    <w:rsid w:val="000E5330"/>
    <w:rsid w:val="000E56F9"/>
    <w:rsid w:val="000F03ED"/>
    <w:rsid w:val="000F093C"/>
    <w:rsid w:val="000F787B"/>
    <w:rsid w:val="00110B3C"/>
    <w:rsid w:val="00113E31"/>
    <w:rsid w:val="0012091F"/>
    <w:rsid w:val="001249D8"/>
    <w:rsid w:val="00126202"/>
    <w:rsid w:val="00126B8B"/>
    <w:rsid w:val="00126BC2"/>
    <w:rsid w:val="001308B6"/>
    <w:rsid w:val="0013121F"/>
    <w:rsid w:val="00131FE6"/>
    <w:rsid w:val="0013263F"/>
    <w:rsid w:val="001331DF"/>
    <w:rsid w:val="00134DE4"/>
    <w:rsid w:val="00135BF4"/>
    <w:rsid w:val="00137A03"/>
    <w:rsid w:val="0014034D"/>
    <w:rsid w:val="00143B05"/>
    <w:rsid w:val="00144D16"/>
    <w:rsid w:val="00150E59"/>
    <w:rsid w:val="00152DE3"/>
    <w:rsid w:val="00152E55"/>
    <w:rsid w:val="0015678E"/>
    <w:rsid w:val="00163D30"/>
    <w:rsid w:val="00164CF9"/>
    <w:rsid w:val="001667A6"/>
    <w:rsid w:val="00170C9A"/>
    <w:rsid w:val="00171E50"/>
    <w:rsid w:val="001722EB"/>
    <w:rsid w:val="0017612D"/>
    <w:rsid w:val="00180743"/>
    <w:rsid w:val="00181A16"/>
    <w:rsid w:val="00184AD6"/>
    <w:rsid w:val="0018638A"/>
    <w:rsid w:val="00190684"/>
    <w:rsid w:val="00192651"/>
    <w:rsid w:val="00192F3D"/>
    <w:rsid w:val="00193FDF"/>
    <w:rsid w:val="001957E2"/>
    <w:rsid w:val="001977B8"/>
    <w:rsid w:val="001A4AF7"/>
    <w:rsid w:val="001A5F70"/>
    <w:rsid w:val="001B0349"/>
    <w:rsid w:val="001B1E93"/>
    <w:rsid w:val="001B65C1"/>
    <w:rsid w:val="001C1C04"/>
    <w:rsid w:val="001C684B"/>
    <w:rsid w:val="001D0CFB"/>
    <w:rsid w:val="001D1765"/>
    <w:rsid w:val="001D21AF"/>
    <w:rsid w:val="001D27AD"/>
    <w:rsid w:val="001D53FC"/>
    <w:rsid w:val="001E00E7"/>
    <w:rsid w:val="001F239B"/>
    <w:rsid w:val="001F42A5"/>
    <w:rsid w:val="001F7B9D"/>
    <w:rsid w:val="00201C93"/>
    <w:rsid w:val="00203AE7"/>
    <w:rsid w:val="00205098"/>
    <w:rsid w:val="00207656"/>
    <w:rsid w:val="002121B2"/>
    <w:rsid w:val="0021479E"/>
    <w:rsid w:val="00214CB7"/>
    <w:rsid w:val="00215130"/>
    <w:rsid w:val="0021652B"/>
    <w:rsid w:val="002224B4"/>
    <w:rsid w:val="00224586"/>
    <w:rsid w:val="00232ADD"/>
    <w:rsid w:val="002333DD"/>
    <w:rsid w:val="00240C09"/>
    <w:rsid w:val="002447EF"/>
    <w:rsid w:val="0024774D"/>
    <w:rsid w:val="00247DB8"/>
    <w:rsid w:val="00251550"/>
    <w:rsid w:val="00254096"/>
    <w:rsid w:val="00263B05"/>
    <w:rsid w:val="002643AA"/>
    <w:rsid w:val="00270385"/>
    <w:rsid w:val="0027221A"/>
    <w:rsid w:val="00274168"/>
    <w:rsid w:val="00275B61"/>
    <w:rsid w:val="00280FAF"/>
    <w:rsid w:val="00282656"/>
    <w:rsid w:val="00282683"/>
    <w:rsid w:val="002947AE"/>
    <w:rsid w:val="002950DC"/>
    <w:rsid w:val="00296B83"/>
    <w:rsid w:val="002A039E"/>
    <w:rsid w:val="002A0EB5"/>
    <w:rsid w:val="002A23BB"/>
    <w:rsid w:val="002B201A"/>
    <w:rsid w:val="002B4015"/>
    <w:rsid w:val="002B78CE"/>
    <w:rsid w:val="002C29CA"/>
    <w:rsid w:val="002C2FB6"/>
    <w:rsid w:val="002C4B2E"/>
    <w:rsid w:val="002E241E"/>
    <w:rsid w:val="002E5FA7"/>
    <w:rsid w:val="002E6661"/>
    <w:rsid w:val="002E7544"/>
    <w:rsid w:val="002F0BF7"/>
    <w:rsid w:val="002F122E"/>
    <w:rsid w:val="002F3309"/>
    <w:rsid w:val="002F52BF"/>
    <w:rsid w:val="003008CE"/>
    <w:rsid w:val="003009B7"/>
    <w:rsid w:val="00300E56"/>
    <w:rsid w:val="003020C0"/>
    <w:rsid w:val="0030469C"/>
    <w:rsid w:val="00310B3C"/>
    <w:rsid w:val="0031759B"/>
    <w:rsid w:val="0031759F"/>
    <w:rsid w:val="00321A61"/>
    <w:rsid w:val="00321CA6"/>
    <w:rsid w:val="00323763"/>
    <w:rsid w:val="00323888"/>
    <w:rsid w:val="00327184"/>
    <w:rsid w:val="00327CAD"/>
    <w:rsid w:val="00334C09"/>
    <w:rsid w:val="00342EEF"/>
    <w:rsid w:val="00344352"/>
    <w:rsid w:val="00351B34"/>
    <w:rsid w:val="00352086"/>
    <w:rsid w:val="003655B9"/>
    <w:rsid w:val="00367AD0"/>
    <w:rsid w:val="00370F17"/>
    <w:rsid w:val="003723D4"/>
    <w:rsid w:val="00374528"/>
    <w:rsid w:val="003805E1"/>
    <w:rsid w:val="003811E3"/>
    <w:rsid w:val="00381905"/>
    <w:rsid w:val="00384CC8"/>
    <w:rsid w:val="003871FD"/>
    <w:rsid w:val="00391053"/>
    <w:rsid w:val="00392738"/>
    <w:rsid w:val="003A1E30"/>
    <w:rsid w:val="003A2829"/>
    <w:rsid w:val="003A7D1C"/>
    <w:rsid w:val="003B0FDE"/>
    <w:rsid w:val="003B304B"/>
    <w:rsid w:val="003B3146"/>
    <w:rsid w:val="003D05D2"/>
    <w:rsid w:val="003D382E"/>
    <w:rsid w:val="003D4D34"/>
    <w:rsid w:val="003E448D"/>
    <w:rsid w:val="003E4D93"/>
    <w:rsid w:val="003E7ADB"/>
    <w:rsid w:val="003E7B01"/>
    <w:rsid w:val="003F015E"/>
    <w:rsid w:val="003F56F3"/>
    <w:rsid w:val="00400414"/>
    <w:rsid w:val="0041446B"/>
    <w:rsid w:val="00414AA9"/>
    <w:rsid w:val="004206A5"/>
    <w:rsid w:val="004272C8"/>
    <w:rsid w:val="0042791E"/>
    <w:rsid w:val="0043543D"/>
    <w:rsid w:val="00435FB9"/>
    <w:rsid w:val="0044071E"/>
    <w:rsid w:val="0044329C"/>
    <w:rsid w:val="00445536"/>
    <w:rsid w:val="004465C7"/>
    <w:rsid w:val="00450AF1"/>
    <w:rsid w:val="00453E24"/>
    <w:rsid w:val="00457456"/>
    <w:rsid w:val="004577FE"/>
    <w:rsid w:val="00457B9C"/>
    <w:rsid w:val="0046164A"/>
    <w:rsid w:val="004628D2"/>
    <w:rsid w:val="00462DCD"/>
    <w:rsid w:val="004648AD"/>
    <w:rsid w:val="004676FD"/>
    <w:rsid w:val="00467F61"/>
    <w:rsid w:val="004703A9"/>
    <w:rsid w:val="00471270"/>
    <w:rsid w:val="0047448A"/>
    <w:rsid w:val="0047482F"/>
    <w:rsid w:val="004760DE"/>
    <w:rsid w:val="004763D7"/>
    <w:rsid w:val="00483498"/>
    <w:rsid w:val="00486967"/>
    <w:rsid w:val="004A004E"/>
    <w:rsid w:val="004A24CF"/>
    <w:rsid w:val="004A2ACC"/>
    <w:rsid w:val="004A6BD6"/>
    <w:rsid w:val="004B0030"/>
    <w:rsid w:val="004B1E53"/>
    <w:rsid w:val="004C2874"/>
    <w:rsid w:val="004C3614"/>
    <w:rsid w:val="004C3D1D"/>
    <w:rsid w:val="004C3E8A"/>
    <w:rsid w:val="004C73A7"/>
    <w:rsid w:val="004C7913"/>
    <w:rsid w:val="004D2197"/>
    <w:rsid w:val="004D58E1"/>
    <w:rsid w:val="004D7795"/>
    <w:rsid w:val="004E3498"/>
    <w:rsid w:val="004E4DD6"/>
    <w:rsid w:val="004E6400"/>
    <w:rsid w:val="004F3C62"/>
    <w:rsid w:val="004F5E36"/>
    <w:rsid w:val="00500A55"/>
    <w:rsid w:val="00501313"/>
    <w:rsid w:val="00504970"/>
    <w:rsid w:val="00504ED3"/>
    <w:rsid w:val="00506C92"/>
    <w:rsid w:val="00507B47"/>
    <w:rsid w:val="00507BEF"/>
    <w:rsid w:val="00507CC9"/>
    <w:rsid w:val="005119A5"/>
    <w:rsid w:val="00514C30"/>
    <w:rsid w:val="00516023"/>
    <w:rsid w:val="00520637"/>
    <w:rsid w:val="0052149F"/>
    <w:rsid w:val="005245CC"/>
    <w:rsid w:val="005278B7"/>
    <w:rsid w:val="005315CE"/>
    <w:rsid w:val="00532016"/>
    <w:rsid w:val="005346C8"/>
    <w:rsid w:val="005350EC"/>
    <w:rsid w:val="00541C59"/>
    <w:rsid w:val="00542443"/>
    <w:rsid w:val="00543E7D"/>
    <w:rsid w:val="00546D55"/>
    <w:rsid w:val="0054790E"/>
    <w:rsid w:val="00547A68"/>
    <w:rsid w:val="00547F51"/>
    <w:rsid w:val="00550067"/>
    <w:rsid w:val="0055259B"/>
    <w:rsid w:val="005531C9"/>
    <w:rsid w:val="00553C87"/>
    <w:rsid w:val="00556901"/>
    <w:rsid w:val="00563C25"/>
    <w:rsid w:val="00566CCC"/>
    <w:rsid w:val="00570C43"/>
    <w:rsid w:val="00574579"/>
    <w:rsid w:val="0057570C"/>
    <w:rsid w:val="00576857"/>
    <w:rsid w:val="00582745"/>
    <w:rsid w:val="00585728"/>
    <w:rsid w:val="005859DD"/>
    <w:rsid w:val="00586CD6"/>
    <w:rsid w:val="00587EAC"/>
    <w:rsid w:val="00591386"/>
    <w:rsid w:val="0059214D"/>
    <w:rsid w:val="00593145"/>
    <w:rsid w:val="00593C02"/>
    <w:rsid w:val="00593C92"/>
    <w:rsid w:val="005A0565"/>
    <w:rsid w:val="005A5261"/>
    <w:rsid w:val="005B2110"/>
    <w:rsid w:val="005B61E6"/>
    <w:rsid w:val="005C1105"/>
    <w:rsid w:val="005C3B4E"/>
    <w:rsid w:val="005C77E1"/>
    <w:rsid w:val="005D0E26"/>
    <w:rsid w:val="005D12B0"/>
    <w:rsid w:val="005D668A"/>
    <w:rsid w:val="005D6A2F"/>
    <w:rsid w:val="005E18ED"/>
    <w:rsid w:val="005E1A82"/>
    <w:rsid w:val="005E794C"/>
    <w:rsid w:val="005F0A28"/>
    <w:rsid w:val="005F0E5E"/>
    <w:rsid w:val="00600535"/>
    <w:rsid w:val="00605EE3"/>
    <w:rsid w:val="006068B0"/>
    <w:rsid w:val="00610297"/>
    <w:rsid w:val="00610CD6"/>
    <w:rsid w:val="006135DB"/>
    <w:rsid w:val="006140AA"/>
    <w:rsid w:val="00616072"/>
    <w:rsid w:val="00616CD6"/>
    <w:rsid w:val="00620DEE"/>
    <w:rsid w:val="00621F92"/>
    <w:rsid w:val="0062280A"/>
    <w:rsid w:val="00625639"/>
    <w:rsid w:val="00631B33"/>
    <w:rsid w:val="00635D61"/>
    <w:rsid w:val="0063788A"/>
    <w:rsid w:val="00640A72"/>
    <w:rsid w:val="0064184D"/>
    <w:rsid w:val="00641C92"/>
    <w:rsid w:val="006422CC"/>
    <w:rsid w:val="0064474E"/>
    <w:rsid w:val="006538EA"/>
    <w:rsid w:val="00653983"/>
    <w:rsid w:val="00653D8E"/>
    <w:rsid w:val="00655E9F"/>
    <w:rsid w:val="006602B8"/>
    <w:rsid w:val="00660E3E"/>
    <w:rsid w:val="006613DD"/>
    <w:rsid w:val="00662E74"/>
    <w:rsid w:val="006674F9"/>
    <w:rsid w:val="00680C23"/>
    <w:rsid w:val="00681750"/>
    <w:rsid w:val="00682809"/>
    <w:rsid w:val="00683641"/>
    <w:rsid w:val="00693766"/>
    <w:rsid w:val="006940AD"/>
    <w:rsid w:val="006955AD"/>
    <w:rsid w:val="006A1EA0"/>
    <w:rsid w:val="006A3281"/>
    <w:rsid w:val="006A3311"/>
    <w:rsid w:val="006A56B9"/>
    <w:rsid w:val="006B0FD4"/>
    <w:rsid w:val="006B3F50"/>
    <w:rsid w:val="006B4888"/>
    <w:rsid w:val="006B5051"/>
    <w:rsid w:val="006B72A7"/>
    <w:rsid w:val="006C2340"/>
    <w:rsid w:val="006C2E45"/>
    <w:rsid w:val="006C359C"/>
    <w:rsid w:val="006C5579"/>
    <w:rsid w:val="006D02A0"/>
    <w:rsid w:val="006D1CA6"/>
    <w:rsid w:val="006D536F"/>
    <w:rsid w:val="006D6E8B"/>
    <w:rsid w:val="006E165F"/>
    <w:rsid w:val="006E4558"/>
    <w:rsid w:val="006E737D"/>
    <w:rsid w:val="006E7925"/>
    <w:rsid w:val="006F2615"/>
    <w:rsid w:val="006F4C80"/>
    <w:rsid w:val="00701416"/>
    <w:rsid w:val="0070395A"/>
    <w:rsid w:val="00713973"/>
    <w:rsid w:val="00713EF9"/>
    <w:rsid w:val="00720A24"/>
    <w:rsid w:val="00722DA0"/>
    <w:rsid w:val="00724F7C"/>
    <w:rsid w:val="00725E08"/>
    <w:rsid w:val="00731BB5"/>
    <w:rsid w:val="00732386"/>
    <w:rsid w:val="00733D8F"/>
    <w:rsid w:val="00735074"/>
    <w:rsid w:val="00735103"/>
    <w:rsid w:val="0073514D"/>
    <w:rsid w:val="00744649"/>
    <w:rsid w:val="007447F3"/>
    <w:rsid w:val="00750B59"/>
    <w:rsid w:val="0075499F"/>
    <w:rsid w:val="0075550A"/>
    <w:rsid w:val="00763542"/>
    <w:rsid w:val="007661C8"/>
    <w:rsid w:val="00766C21"/>
    <w:rsid w:val="0077098D"/>
    <w:rsid w:val="007726C6"/>
    <w:rsid w:val="0078453C"/>
    <w:rsid w:val="007845B4"/>
    <w:rsid w:val="0078520F"/>
    <w:rsid w:val="00791D3A"/>
    <w:rsid w:val="007923D9"/>
    <w:rsid w:val="007931FA"/>
    <w:rsid w:val="0079586C"/>
    <w:rsid w:val="00796B8C"/>
    <w:rsid w:val="007A4861"/>
    <w:rsid w:val="007A6117"/>
    <w:rsid w:val="007A7BBA"/>
    <w:rsid w:val="007B0C50"/>
    <w:rsid w:val="007B23F2"/>
    <w:rsid w:val="007B4820"/>
    <w:rsid w:val="007B48F9"/>
    <w:rsid w:val="007B4E6B"/>
    <w:rsid w:val="007C0E5A"/>
    <w:rsid w:val="007C1A43"/>
    <w:rsid w:val="007C41FF"/>
    <w:rsid w:val="007D7F00"/>
    <w:rsid w:val="007E0339"/>
    <w:rsid w:val="007E19A2"/>
    <w:rsid w:val="007E27EB"/>
    <w:rsid w:val="007E338A"/>
    <w:rsid w:val="007E44DF"/>
    <w:rsid w:val="007F0902"/>
    <w:rsid w:val="007F4050"/>
    <w:rsid w:val="0080013E"/>
    <w:rsid w:val="0080059B"/>
    <w:rsid w:val="00800DFE"/>
    <w:rsid w:val="008059A0"/>
    <w:rsid w:val="00806CC5"/>
    <w:rsid w:val="00813288"/>
    <w:rsid w:val="00813553"/>
    <w:rsid w:val="00813733"/>
    <w:rsid w:val="008168FC"/>
    <w:rsid w:val="008229DE"/>
    <w:rsid w:val="00823166"/>
    <w:rsid w:val="008259D6"/>
    <w:rsid w:val="008271D2"/>
    <w:rsid w:val="00830996"/>
    <w:rsid w:val="00832DAC"/>
    <w:rsid w:val="008344ED"/>
    <w:rsid w:val="008345F1"/>
    <w:rsid w:val="008355CE"/>
    <w:rsid w:val="00836170"/>
    <w:rsid w:val="0084059C"/>
    <w:rsid w:val="00855561"/>
    <w:rsid w:val="00864467"/>
    <w:rsid w:val="00865B07"/>
    <w:rsid w:val="00865E49"/>
    <w:rsid w:val="008667EA"/>
    <w:rsid w:val="008715D6"/>
    <w:rsid w:val="0087375C"/>
    <w:rsid w:val="00873B54"/>
    <w:rsid w:val="0087637F"/>
    <w:rsid w:val="00884B4E"/>
    <w:rsid w:val="00892AD5"/>
    <w:rsid w:val="00893ED1"/>
    <w:rsid w:val="00897518"/>
    <w:rsid w:val="008A025C"/>
    <w:rsid w:val="008A03F5"/>
    <w:rsid w:val="008A1512"/>
    <w:rsid w:val="008A25F2"/>
    <w:rsid w:val="008B35BF"/>
    <w:rsid w:val="008C4646"/>
    <w:rsid w:val="008C5630"/>
    <w:rsid w:val="008D32B9"/>
    <w:rsid w:val="008D433B"/>
    <w:rsid w:val="008D719B"/>
    <w:rsid w:val="008E1137"/>
    <w:rsid w:val="008E1233"/>
    <w:rsid w:val="008E566E"/>
    <w:rsid w:val="0090161A"/>
    <w:rsid w:val="00901EB6"/>
    <w:rsid w:val="00904B94"/>
    <w:rsid w:val="00904C62"/>
    <w:rsid w:val="00920F19"/>
    <w:rsid w:val="009212D7"/>
    <w:rsid w:val="00922BA8"/>
    <w:rsid w:val="009231DA"/>
    <w:rsid w:val="00923F5B"/>
    <w:rsid w:val="00924DAC"/>
    <w:rsid w:val="00927058"/>
    <w:rsid w:val="00936EB6"/>
    <w:rsid w:val="009408C7"/>
    <w:rsid w:val="00942750"/>
    <w:rsid w:val="00942B4B"/>
    <w:rsid w:val="009450CE"/>
    <w:rsid w:val="00946E85"/>
    <w:rsid w:val="00947179"/>
    <w:rsid w:val="00951001"/>
    <w:rsid w:val="0095164B"/>
    <w:rsid w:val="00951C27"/>
    <w:rsid w:val="00951C62"/>
    <w:rsid w:val="00954090"/>
    <w:rsid w:val="00954629"/>
    <w:rsid w:val="0095488A"/>
    <w:rsid w:val="009573E7"/>
    <w:rsid w:val="00963E05"/>
    <w:rsid w:val="0096414D"/>
    <w:rsid w:val="00964A45"/>
    <w:rsid w:val="00964B72"/>
    <w:rsid w:val="00967843"/>
    <w:rsid w:val="00967D54"/>
    <w:rsid w:val="00971028"/>
    <w:rsid w:val="009736D3"/>
    <w:rsid w:val="00973C5D"/>
    <w:rsid w:val="00974D82"/>
    <w:rsid w:val="0099177C"/>
    <w:rsid w:val="00993B84"/>
    <w:rsid w:val="00995CB8"/>
    <w:rsid w:val="00996483"/>
    <w:rsid w:val="00996F5A"/>
    <w:rsid w:val="00997E01"/>
    <w:rsid w:val="009B041A"/>
    <w:rsid w:val="009B0C34"/>
    <w:rsid w:val="009B3760"/>
    <w:rsid w:val="009C37C3"/>
    <w:rsid w:val="009C7C86"/>
    <w:rsid w:val="009D1962"/>
    <w:rsid w:val="009D2357"/>
    <w:rsid w:val="009D2E79"/>
    <w:rsid w:val="009D2FF7"/>
    <w:rsid w:val="009D3B53"/>
    <w:rsid w:val="009D3E90"/>
    <w:rsid w:val="009E16A5"/>
    <w:rsid w:val="009E2A74"/>
    <w:rsid w:val="009E2A79"/>
    <w:rsid w:val="009E5EF2"/>
    <w:rsid w:val="009E7884"/>
    <w:rsid w:val="009E788A"/>
    <w:rsid w:val="009F0E08"/>
    <w:rsid w:val="009F2B78"/>
    <w:rsid w:val="009F4914"/>
    <w:rsid w:val="00A04C82"/>
    <w:rsid w:val="00A057C5"/>
    <w:rsid w:val="00A057F3"/>
    <w:rsid w:val="00A067F0"/>
    <w:rsid w:val="00A10633"/>
    <w:rsid w:val="00A1763D"/>
    <w:rsid w:val="00A17CEC"/>
    <w:rsid w:val="00A22892"/>
    <w:rsid w:val="00A24E52"/>
    <w:rsid w:val="00A27EF0"/>
    <w:rsid w:val="00A32B78"/>
    <w:rsid w:val="00A32BF2"/>
    <w:rsid w:val="00A415D5"/>
    <w:rsid w:val="00A42361"/>
    <w:rsid w:val="00A4251C"/>
    <w:rsid w:val="00A46A47"/>
    <w:rsid w:val="00A50B20"/>
    <w:rsid w:val="00A51390"/>
    <w:rsid w:val="00A51615"/>
    <w:rsid w:val="00A55828"/>
    <w:rsid w:val="00A564DF"/>
    <w:rsid w:val="00A60D13"/>
    <w:rsid w:val="00A62F61"/>
    <w:rsid w:val="00A65A68"/>
    <w:rsid w:val="00A72745"/>
    <w:rsid w:val="00A731E1"/>
    <w:rsid w:val="00A752F4"/>
    <w:rsid w:val="00A753EF"/>
    <w:rsid w:val="00A76EFC"/>
    <w:rsid w:val="00A7700C"/>
    <w:rsid w:val="00A838E9"/>
    <w:rsid w:val="00A85CE6"/>
    <w:rsid w:val="00A903F4"/>
    <w:rsid w:val="00A91010"/>
    <w:rsid w:val="00A97F29"/>
    <w:rsid w:val="00AA6236"/>
    <w:rsid w:val="00AA702E"/>
    <w:rsid w:val="00AA7E81"/>
    <w:rsid w:val="00AB05E7"/>
    <w:rsid w:val="00AB0964"/>
    <w:rsid w:val="00AB19DC"/>
    <w:rsid w:val="00AB5011"/>
    <w:rsid w:val="00AC7368"/>
    <w:rsid w:val="00AD00E9"/>
    <w:rsid w:val="00AD0A94"/>
    <w:rsid w:val="00AD0E49"/>
    <w:rsid w:val="00AD16B9"/>
    <w:rsid w:val="00AD6372"/>
    <w:rsid w:val="00AD66AE"/>
    <w:rsid w:val="00AD7121"/>
    <w:rsid w:val="00AD7AA0"/>
    <w:rsid w:val="00AE377D"/>
    <w:rsid w:val="00AE4086"/>
    <w:rsid w:val="00AF0EBA"/>
    <w:rsid w:val="00AF2CF0"/>
    <w:rsid w:val="00AF3B91"/>
    <w:rsid w:val="00AF4F9C"/>
    <w:rsid w:val="00AF5492"/>
    <w:rsid w:val="00B02C8A"/>
    <w:rsid w:val="00B17FBD"/>
    <w:rsid w:val="00B23008"/>
    <w:rsid w:val="00B315A6"/>
    <w:rsid w:val="00B31813"/>
    <w:rsid w:val="00B33365"/>
    <w:rsid w:val="00B42E33"/>
    <w:rsid w:val="00B46E62"/>
    <w:rsid w:val="00B478E1"/>
    <w:rsid w:val="00B47A5C"/>
    <w:rsid w:val="00B54364"/>
    <w:rsid w:val="00B578BF"/>
    <w:rsid w:val="00B57B36"/>
    <w:rsid w:val="00B57E6F"/>
    <w:rsid w:val="00B60391"/>
    <w:rsid w:val="00B60431"/>
    <w:rsid w:val="00B6161C"/>
    <w:rsid w:val="00B7113C"/>
    <w:rsid w:val="00B77FE1"/>
    <w:rsid w:val="00B82EF5"/>
    <w:rsid w:val="00B8686D"/>
    <w:rsid w:val="00B93F69"/>
    <w:rsid w:val="00B95945"/>
    <w:rsid w:val="00BA3CB4"/>
    <w:rsid w:val="00BB0E9A"/>
    <w:rsid w:val="00BB1DDC"/>
    <w:rsid w:val="00BB2AE8"/>
    <w:rsid w:val="00BB338F"/>
    <w:rsid w:val="00BB38BA"/>
    <w:rsid w:val="00BB4A0E"/>
    <w:rsid w:val="00BB4D92"/>
    <w:rsid w:val="00BB553F"/>
    <w:rsid w:val="00BC30C9"/>
    <w:rsid w:val="00BD077D"/>
    <w:rsid w:val="00BD29AD"/>
    <w:rsid w:val="00BD4D66"/>
    <w:rsid w:val="00BD62FD"/>
    <w:rsid w:val="00BD6B3F"/>
    <w:rsid w:val="00BD7134"/>
    <w:rsid w:val="00BE3E58"/>
    <w:rsid w:val="00BE6103"/>
    <w:rsid w:val="00BF52AE"/>
    <w:rsid w:val="00BF5B9A"/>
    <w:rsid w:val="00BF753E"/>
    <w:rsid w:val="00C01616"/>
    <w:rsid w:val="00C0162B"/>
    <w:rsid w:val="00C02DDA"/>
    <w:rsid w:val="00C068ED"/>
    <w:rsid w:val="00C06A1D"/>
    <w:rsid w:val="00C22E0C"/>
    <w:rsid w:val="00C345B1"/>
    <w:rsid w:val="00C360A6"/>
    <w:rsid w:val="00C36610"/>
    <w:rsid w:val="00C40142"/>
    <w:rsid w:val="00C41409"/>
    <w:rsid w:val="00C421DC"/>
    <w:rsid w:val="00C5020F"/>
    <w:rsid w:val="00C52073"/>
    <w:rsid w:val="00C52C3C"/>
    <w:rsid w:val="00C5563B"/>
    <w:rsid w:val="00C57182"/>
    <w:rsid w:val="00C57863"/>
    <w:rsid w:val="00C655FD"/>
    <w:rsid w:val="00C74B5B"/>
    <w:rsid w:val="00C75407"/>
    <w:rsid w:val="00C755E9"/>
    <w:rsid w:val="00C80768"/>
    <w:rsid w:val="00C814AB"/>
    <w:rsid w:val="00C870A8"/>
    <w:rsid w:val="00C87E88"/>
    <w:rsid w:val="00C87F7C"/>
    <w:rsid w:val="00C925B0"/>
    <w:rsid w:val="00C942EE"/>
    <w:rsid w:val="00C94434"/>
    <w:rsid w:val="00C94E4C"/>
    <w:rsid w:val="00CA0544"/>
    <w:rsid w:val="00CA0D75"/>
    <w:rsid w:val="00CA1C95"/>
    <w:rsid w:val="00CA4E4B"/>
    <w:rsid w:val="00CA5A9C"/>
    <w:rsid w:val="00CA6A70"/>
    <w:rsid w:val="00CB5673"/>
    <w:rsid w:val="00CB74A2"/>
    <w:rsid w:val="00CC1020"/>
    <w:rsid w:val="00CC2760"/>
    <w:rsid w:val="00CC4C20"/>
    <w:rsid w:val="00CC60B8"/>
    <w:rsid w:val="00CD28B2"/>
    <w:rsid w:val="00CD2A48"/>
    <w:rsid w:val="00CD3517"/>
    <w:rsid w:val="00CD5FE2"/>
    <w:rsid w:val="00CD67D1"/>
    <w:rsid w:val="00CE147A"/>
    <w:rsid w:val="00CE22E9"/>
    <w:rsid w:val="00CE2DD9"/>
    <w:rsid w:val="00CE3118"/>
    <w:rsid w:val="00CE55DB"/>
    <w:rsid w:val="00CE63D3"/>
    <w:rsid w:val="00CE6780"/>
    <w:rsid w:val="00CE6D2B"/>
    <w:rsid w:val="00CE7C68"/>
    <w:rsid w:val="00CF0E44"/>
    <w:rsid w:val="00CF46C3"/>
    <w:rsid w:val="00D020AE"/>
    <w:rsid w:val="00D02B4C"/>
    <w:rsid w:val="00D040C4"/>
    <w:rsid w:val="00D11374"/>
    <w:rsid w:val="00D1500C"/>
    <w:rsid w:val="00D16AFE"/>
    <w:rsid w:val="00D200C3"/>
    <w:rsid w:val="00D2722C"/>
    <w:rsid w:val="00D30570"/>
    <w:rsid w:val="00D35469"/>
    <w:rsid w:val="00D37088"/>
    <w:rsid w:val="00D373B0"/>
    <w:rsid w:val="00D466D0"/>
    <w:rsid w:val="00D46B7E"/>
    <w:rsid w:val="00D47C86"/>
    <w:rsid w:val="00D515CC"/>
    <w:rsid w:val="00D53644"/>
    <w:rsid w:val="00D53E49"/>
    <w:rsid w:val="00D544F9"/>
    <w:rsid w:val="00D57C84"/>
    <w:rsid w:val="00D6057D"/>
    <w:rsid w:val="00D62A5E"/>
    <w:rsid w:val="00D6378F"/>
    <w:rsid w:val="00D65AE4"/>
    <w:rsid w:val="00D71640"/>
    <w:rsid w:val="00D80867"/>
    <w:rsid w:val="00D80E42"/>
    <w:rsid w:val="00D814C5"/>
    <w:rsid w:val="00D836C5"/>
    <w:rsid w:val="00D84576"/>
    <w:rsid w:val="00D85DD5"/>
    <w:rsid w:val="00D87200"/>
    <w:rsid w:val="00D90164"/>
    <w:rsid w:val="00D90F0C"/>
    <w:rsid w:val="00DA1399"/>
    <w:rsid w:val="00DA24C6"/>
    <w:rsid w:val="00DA4D7B"/>
    <w:rsid w:val="00DA657C"/>
    <w:rsid w:val="00DA788B"/>
    <w:rsid w:val="00DB0217"/>
    <w:rsid w:val="00DB088D"/>
    <w:rsid w:val="00DB5E3F"/>
    <w:rsid w:val="00DC793E"/>
    <w:rsid w:val="00DD2F93"/>
    <w:rsid w:val="00DE264A"/>
    <w:rsid w:val="00DE267B"/>
    <w:rsid w:val="00DE7090"/>
    <w:rsid w:val="00DF060A"/>
    <w:rsid w:val="00DF3808"/>
    <w:rsid w:val="00DF5072"/>
    <w:rsid w:val="00DF7EE9"/>
    <w:rsid w:val="00E0059F"/>
    <w:rsid w:val="00E00F13"/>
    <w:rsid w:val="00E02D18"/>
    <w:rsid w:val="00E041E7"/>
    <w:rsid w:val="00E12DD0"/>
    <w:rsid w:val="00E23CA1"/>
    <w:rsid w:val="00E246BF"/>
    <w:rsid w:val="00E26BBD"/>
    <w:rsid w:val="00E27EF8"/>
    <w:rsid w:val="00E326C5"/>
    <w:rsid w:val="00E36DA4"/>
    <w:rsid w:val="00E409A8"/>
    <w:rsid w:val="00E40B08"/>
    <w:rsid w:val="00E43BA2"/>
    <w:rsid w:val="00E50C12"/>
    <w:rsid w:val="00E51669"/>
    <w:rsid w:val="00E607FF"/>
    <w:rsid w:val="00E65B91"/>
    <w:rsid w:val="00E7165E"/>
    <w:rsid w:val="00E7209D"/>
    <w:rsid w:val="00E72EAD"/>
    <w:rsid w:val="00E77223"/>
    <w:rsid w:val="00E777AE"/>
    <w:rsid w:val="00E7794F"/>
    <w:rsid w:val="00E82F78"/>
    <w:rsid w:val="00E8528B"/>
    <w:rsid w:val="00E85B94"/>
    <w:rsid w:val="00E9241A"/>
    <w:rsid w:val="00E94C56"/>
    <w:rsid w:val="00E978D0"/>
    <w:rsid w:val="00E97F33"/>
    <w:rsid w:val="00EA0617"/>
    <w:rsid w:val="00EA2DEC"/>
    <w:rsid w:val="00EA306D"/>
    <w:rsid w:val="00EA37DE"/>
    <w:rsid w:val="00EA4613"/>
    <w:rsid w:val="00EA492D"/>
    <w:rsid w:val="00EA615C"/>
    <w:rsid w:val="00EA7F91"/>
    <w:rsid w:val="00EB1523"/>
    <w:rsid w:val="00EB51BD"/>
    <w:rsid w:val="00EC0CE4"/>
    <w:rsid w:val="00EC0E49"/>
    <w:rsid w:val="00EC0EE9"/>
    <w:rsid w:val="00EC101F"/>
    <w:rsid w:val="00EC1172"/>
    <w:rsid w:val="00EC1D9F"/>
    <w:rsid w:val="00ED134E"/>
    <w:rsid w:val="00ED5142"/>
    <w:rsid w:val="00ED58CE"/>
    <w:rsid w:val="00ED5B21"/>
    <w:rsid w:val="00ED61F4"/>
    <w:rsid w:val="00EE0131"/>
    <w:rsid w:val="00EE17B0"/>
    <w:rsid w:val="00EE1A95"/>
    <w:rsid w:val="00EE65EB"/>
    <w:rsid w:val="00EF06D9"/>
    <w:rsid w:val="00EF08E7"/>
    <w:rsid w:val="00EF3796"/>
    <w:rsid w:val="00F0321A"/>
    <w:rsid w:val="00F033C1"/>
    <w:rsid w:val="00F06CFE"/>
    <w:rsid w:val="00F111E5"/>
    <w:rsid w:val="00F16F43"/>
    <w:rsid w:val="00F27C1A"/>
    <w:rsid w:val="00F30C64"/>
    <w:rsid w:val="00F324A0"/>
    <w:rsid w:val="00F32BA2"/>
    <w:rsid w:val="00F32CDB"/>
    <w:rsid w:val="00F42F48"/>
    <w:rsid w:val="00F52AC9"/>
    <w:rsid w:val="00F565FE"/>
    <w:rsid w:val="00F57C63"/>
    <w:rsid w:val="00F60BEB"/>
    <w:rsid w:val="00F622BA"/>
    <w:rsid w:val="00F63A70"/>
    <w:rsid w:val="00F64B94"/>
    <w:rsid w:val="00F666FE"/>
    <w:rsid w:val="00F66981"/>
    <w:rsid w:val="00F71CAA"/>
    <w:rsid w:val="00F72830"/>
    <w:rsid w:val="00F748EC"/>
    <w:rsid w:val="00F7534E"/>
    <w:rsid w:val="00F77A14"/>
    <w:rsid w:val="00F9082F"/>
    <w:rsid w:val="00F95A8C"/>
    <w:rsid w:val="00FA1802"/>
    <w:rsid w:val="00FA21D0"/>
    <w:rsid w:val="00FA342A"/>
    <w:rsid w:val="00FA45CC"/>
    <w:rsid w:val="00FA54CB"/>
    <w:rsid w:val="00FA5B81"/>
    <w:rsid w:val="00FA5F5F"/>
    <w:rsid w:val="00FA6BAE"/>
    <w:rsid w:val="00FB063C"/>
    <w:rsid w:val="00FB07A2"/>
    <w:rsid w:val="00FB0E8D"/>
    <w:rsid w:val="00FB40D1"/>
    <w:rsid w:val="00FB730C"/>
    <w:rsid w:val="00FB7973"/>
    <w:rsid w:val="00FB7AAF"/>
    <w:rsid w:val="00FC2695"/>
    <w:rsid w:val="00FC3E03"/>
    <w:rsid w:val="00FC3FC1"/>
    <w:rsid w:val="00FC7DF3"/>
    <w:rsid w:val="00FD685E"/>
    <w:rsid w:val="00FD7D6D"/>
    <w:rsid w:val="00FE4F80"/>
    <w:rsid w:val="00FE6F02"/>
    <w:rsid w:val="00FF0623"/>
    <w:rsid w:val="00FF76B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73C5D"/>
    <w:pPr>
      <w:keepNext/>
      <w:numPr>
        <w:ilvl w:val="2"/>
        <w:numId w:val="1"/>
      </w:numPr>
      <w:suppressAutoHyphens/>
      <w:spacing w:before="24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73C5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Rimandonotaapidipagina">
    <w:name w:val="footnote reference"/>
    <w:basedOn w:val="Carpredefinitoparagrafo"/>
    <w:uiPriority w:val="99"/>
    <w:semiHidden/>
    <w:unhideWhenUsed/>
    <w:rsid w:val="00061842"/>
    <w:rPr>
      <w:vertAlign w:val="superscript"/>
    </w:rPr>
  </w:style>
  <w:style w:type="paragraph" w:styleId="Revisione">
    <w:name w:val="Revision"/>
    <w:hidden/>
    <w:uiPriority w:val="99"/>
    <w:semiHidden/>
    <w:rsid w:val="00997E0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7BA9-A30E-49BB-875A-43C8F504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8553</Words>
  <Characters>48757</Characters>
  <Application>Microsoft Office Word</Application>
  <DocSecurity>0</DocSecurity>
  <Lines>406</Lines>
  <Paragraphs>114</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Dipartimento CMIC - Politecnico di Milano</Company>
  <LinksUpToDate>false</LinksUpToDate>
  <CharactersWithSpaces>57196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ePhD. James R Vera-Rozo</dc:creator>
  <cp:lastModifiedBy>manuela</cp:lastModifiedBy>
  <cp:revision>2</cp:revision>
  <cp:lastPrinted>2022-01-12T20:58:00Z</cp:lastPrinted>
  <dcterms:created xsi:type="dcterms:W3CDTF">2022-03-31T08:10:00Z</dcterms:created>
  <dcterms:modified xsi:type="dcterms:W3CDTF">2022-03-31T08:10:00Z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9dacbbad-210e-3f34-a5b7-9bcfbabac65b</vt:lpwstr>
  </property>
  <property fmtid="{D5CDD505-2E9C-101B-9397-08002B2CF9AE}" pid="6" name="Mendeley Citation Style_1">
    <vt:lpwstr>http://csl.mendeley.com/styles/593013781/AIDIC</vt:lpwstr>
  </property>
  <property fmtid="{D5CDD505-2E9C-101B-9397-08002B2CF9AE}" pid="7" name="Mendeley Recent Style Id 0_1">
    <vt:lpwstr>http://www.zotero.org/styles/bioresource-technology</vt:lpwstr>
  </property>
  <property fmtid="{D5CDD505-2E9C-101B-9397-08002B2CF9AE}" pid="8" name="Mendeley Recent Style Name 0_1">
    <vt:lpwstr>Bioresource Technology</vt:lpwstr>
  </property>
  <property fmtid="{D5CDD505-2E9C-101B-9397-08002B2CF9AE}" pid="9" name="Mendeley Recent Style Id 1_1">
    <vt:lpwstr>http://www.zotero.org/styles/chicago-author-date</vt:lpwstr>
  </property>
  <property fmtid="{D5CDD505-2E9C-101B-9397-08002B2CF9AE}" pid="10" name="Mendeley Recent Style Name 1_1">
    <vt:lpwstr>Chicago Manual of Style 17th edition (author-date)</vt:lpwstr>
  </property>
  <property fmtid="{D5CDD505-2E9C-101B-9397-08002B2CF9AE}" pid="11" name="Mendeley Recent Style Id 2_1">
    <vt:lpwstr>http://www.zotero.org/styles/harvard-cite-them-right</vt:lpwstr>
  </property>
  <property fmtid="{D5CDD505-2E9C-101B-9397-08002B2CF9AE}" pid="12" name="Mendeley Recent Style Name 2_1">
    <vt:lpwstr>Cite Them Right 10th edition - Harvard</vt:lpwstr>
  </property>
  <property fmtid="{D5CDD505-2E9C-101B-9397-08002B2CF9AE}" pid="13" name="Mendeley Recent Style Id 3_1">
    <vt:lpwstr>http://csl.mendeley.com/styles/593013781/elsevier-harvard-3</vt:lpwstr>
  </property>
  <property fmtid="{D5CDD505-2E9C-101B-9397-08002B2CF9AE}" pid="14" name="Mendeley Recent Style Name 3_1">
    <vt:lpwstr>Elsevier - Harvard (with titles) - James Vera</vt:lpwstr>
  </property>
  <property fmtid="{D5CDD505-2E9C-101B-9397-08002B2CF9AE}" pid="15" name="Mendeley Recent Style Id 4_1">
    <vt:lpwstr>https://csl.mendeley.com/styles/593013781/AIDIC</vt:lpwstr>
  </property>
  <property fmtid="{D5CDD505-2E9C-101B-9397-08002B2CF9AE}" pid="16" name="Mendeley Recent Style Name 4_1">
    <vt:lpwstr>Elsevier - Harvard (with titles) - James Vera</vt:lpwstr>
  </property>
  <property fmtid="{D5CDD505-2E9C-101B-9397-08002B2CF9AE}" pid="17" name="Mendeley Recent Style Id 5_1">
    <vt:lpwstr>http://csl.mendeley.com/styles/593013781/elsevier-harvard-2</vt:lpwstr>
  </property>
  <property fmtid="{D5CDD505-2E9C-101B-9397-08002B2CF9AE}" pid="18" name="Mendeley Recent Style Name 5_1">
    <vt:lpwstr>Elsevier - Harvard (with titles) - James Vera</vt:lpwstr>
  </property>
  <property fmtid="{D5CDD505-2E9C-101B-9397-08002B2CF9AE}" pid="19" name="Mendeley Recent Style Id 6_1">
    <vt:lpwstr>http://csl.mendeley.com/styles/593013781/AIDIC</vt:lpwstr>
  </property>
  <property fmtid="{D5CDD505-2E9C-101B-9397-08002B2CF9AE}" pid="20" name="Mendeley Recent Style Name 6_1">
    <vt:lpwstr>Elsevier - Harvard (with titles) - James Vera</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http://www.zotero.org/styles/thermal-science</vt:lpwstr>
  </property>
  <property fmtid="{D5CDD505-2E9C-101B-9397-08002B2CF9AE}" pid="26" name="Mendeley Recent Style Name 9_1">
    <vt:lpwstr>Thermal Science</vt:lpwstr>
  </property>
</Properties>
</file>