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w:t>
            </w:r>
            <w:proofErr w:type="spellStart"/>
            <w:r w:rsidR="001D21AF" w:rsidRPr="0044071E">
              <w:rPr>
                <w:rFonts w:ascii="Tahoma" w:hAnsi="Tahoma" w:cs="Tahoma"/>
                <w:color w:val="000000"/>
                <w:sz w:val="14"/>
                <w:szCs w:val="14"/>
                <w:shd w:val="clear" w:color="auto" w:fill="FFFFFF"/>
                <w:lang w:val="it-IT"/>
              </w:rPr>
              <w:t>Filho</w:t>
            </w:r>
            <w:proofErr w:type="spellEnd"/>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xml:space="preserve">, Leonardo </w:t>
            </w:r>
            <w:proofErr w:type="spellStart"/>
            <w:r w:rsidR="00964A45">
              <w:rPr>
                <w:rFonts w:ascii="Tahoma" w:hAnsi="Tahoma" w:cs="Tahoma"/>
                <w:color w:val="000000"/>
                <w:sz w:val="14"/>
                <w:szCs w:val="14"/>
                <w:shd w:val="clear" w:color="auto" w:fill="FFFFFF"/>
                <w:lang w:val="it-IT"/>
              </w:rPr>
              <w:t>Tognotti</w:t>
            </w:r>
            <w:proofErr w:type="spellEnd"/>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8B66C82" w:rsidR="00E978D0" w:rsidRPr="00B57B36" w:rsidRDefault="00B7028E" w:rsidP="00E978D0">
      <w:pPr>
        <w:pStyle w:val="CETTitle"/>
      </w:pPr>
      <w:r>
        <w:t>Determination of pollutant emissions from wood-fired pizza ovens</w:t>
      </w:r>
    </w:p>
    <w:p w14:paraId="0488FED2" w14:textId="540E3BE9" w:rsidR="00B57E6F" w:rsidRPr="00B7028E" w:rsidRDefault="00B7028E" w:rsidP="00B57E6F">
      <w:pPr>
        <w:pStyle w:val="CETAuthors"/>
        <w:rPr>
          <w:lang w:val="it-IT"/>
        </w:rPr>
      </w:pPr>
      <w:r w:rsidRPr="00B7028E">
        <w:rPr>
          <w:lang w:val="it-IT"/>
        </w:rPr>
        <w:t>Andrea Bergomi</w:t>
      </w:r>
      <w:r w:rsidR="00B57E6F" w:rsidRPr="00B7028E">
        <w:rPr>
          <w:vertAlign w:val="superscript"/>
          <w:lang w:val="it-IT"/>
        </w:rPr>
        <w:t>a</w:t>
      </w:r>
      <w:r w:rsidR="00B57E6F" w:rsidRPr="00B7028E">
        <w:rPr>
          <w:lang w:val="it-IT"/>
        </w:rPr>
        <w:t xml:space="preserve">, </w:t>
      </w:r>
      <w:r w:rsidRPr="00B7028E">
        <w:rPr>
          <w:lang w:val="it-IT"/>
        </w:rPr>
        <w:t>Carmen Morreale</w:t>
      </w:r>
      <w:r w:rsidR="00B57E6F" w:rsidRPr="00B7028E">
        <w:rPr>
          <w:vertAlign w:val="superscript"/>
          <w:lang w:val="it-IT"/>
        </w:rPr>
        <w:t>b</w:t>
      </w:r>
      <w:r w:rsidR="00B57E6F" w:rsidRPr="00B7028E">
        <w:rPr>
          <w:lang w:val="it-IT"/>
        </w:rPr>
        <w:t>,</w:t>
      </w:r>
      <w:r w:rsidRPr="00B7028E">
        <w:rPr>
          <w:lang w:val="it-IT"/>
        </w:rPr>
        <w:t xml:space="preserve"> Paola Fermo</w:t>
      </w:r>
      <w:r w:rsidRPr="00B7028E">
        <w:rPr>
          <w:vertAlign w:val="superscript"/>
          <w:lang w:val="it-IT"/>
        </w:rPr>
        <w:t>a</w:t>
      </w:r>
      <w:r w:rsidRPr="00B7028E">
        <w:rPr>
          <w:lang w:val="it-IT"/>
        </w:rPr>
        <w:t>, Gabriele Migliavacca</w:t>
      </w:r>
      <w:r w:rsidRPr="00B7028E">
        <w:rPr>
          <w:vertAlign w:val="superscript"/>
          <w:lang w:val="it-IT"/>
        </w:rPr>
        <w:t>b</w:t>
      </w:r>
      <w:r w:rsidR="00445C94">
        <w:rPr>
          <w:vertAlign w:val="superscript"/>
          <w:lang w:val="it-IT"/>
        </w:rPr>
        <w:t>,*</w:t>
      </w:r>
    </w:p>
    <w:p w14:paraId="6B2D21B3" w14:textId="39A6937C" w:rsidR="00B57E6F" w:rsidRPr="00B7028E" w:rsidRDefault="00B57E6F" w:rsidP="00B57E6F">
      <w:pPr>
        <w:pStyle w:val="CETAddress"/>
        <w:rPr>
          <w:lang w:val="it-IT"/>
        </w:rPr>
      </w:pPr>
      <w:r w:rsidRPr="00B7028E">
        <w:rPr>
          <w:vertAlign w:val="superscript"/>
          <w:lang w:val="it-IT"/>
        </w:rPr>
        <w:t>a</w:t>
      </w:r>
      <w:r w:rsidR="00B7028E" w:rsidRPr="00B7028E">
        <w:rPr>
          <w:lang w:val="it-IT"/>
        </w:rPr>
        <w:t xml:space="preserve">Università degli Studi di Milano, Dipartimento </w:t>
      </w:r>
      <w:r w:rsidR="00B7028E">
        <w:rPr>
          <w:lang w:val="it-IT"/>
        </w:rPr>
        <w:t>di Chimica, Via Golgi 1</w:t>
      </w:r>
      <w:r w:rsidR="006515A2">
        <w:rPr>
          <w:lang w:val="it-IT"/>
        </w:rPr>
        <w:t>9</w:t>
      </w:r>
      <w:r w:rsidR="00B7028E">
        <w:rPr>
          <w:lang w:val="it-IT"/>
        </w:rPr>
        <w:t>, 20133, Milano</w:t>
      </w:r>
      <w:r w:rsidRPr="00B7028E">
        <w:rPr>
          <w:lang w:val="it-IT"/>
        </w:rPr>
        <w:t xml:space="preserve"> </w:t>
      </w:r>
    </w:p>
    <w:p w14:paraId="7B201D19" w14:textId="2C394614" w:rsidR="00B7028E" w:rsidRDefault="00B57E6F" w:rsidP="00B57E6F">
      <w:pPr>
        <w:pStyle w:val="CETAddress"/>
        <w:rPr>
          <w:lang w:val="it-IT"/>
        </w:rPr>
      </w:pPr>
      <w:r w:rsidRPr="00B7028E">
        <w:rPr>
          <w:vertAlign w:val="superscript"/>
          <w:lang w:val="it-IT"/>
        </w:rPr>
        <w:t>b</w:t>
      </w:r>
      <w:r w:rsidR="00B7028E" w:rsidRPr="00B7028E">
        <w:rPr>
          <w:lang w:val="it-IT"/>
        </w:rPr>
        <w:t>Innovhub Stazioni Sperimentali per l</w:t>
      </w:r>
      <w:r w:rsidR="00B7028E">
        <w:rPr>
          <w:lang w:val="it-IT"/>
        </w:rPr>
        <w:t>’Industria, Area Combustibili, Via Galilei 1, 20097, San Donato Milanese (MI)</w:t>
      </w:r>
    </w:p>
    <w:p w14:paraId="73F1267A" w14:textId="637A5906" w:rsidR="00B57E6F" w:rsidRPr="00B57B36" w:rsidRDefault="00445C94" w:rsidP="00B57E6F">
      <w:pPr>
        <w:pStyle w:val="CETemail"/>
      </w:pPr>
      <w:r>
        <w:t>gabriele.migliavacca@mi</w:t>
      </w:r>
      <w:r w:rsidR="00B7028E">
        <w:t>.</w:t>
      </w:r>
      <w:r>
        <w:t>camcom.it</w:t>
      </w:r>
    </w:p>
    <w:p w14:paraId="1C90E6FB" w14:textId="7A68456F" w:rsidR="00445C94" w:rsidRPr="001073C1" w:rsidRDefault="00445C94" w:rsidP="00600535">
      <w:pPr>
        <w:pStyle w:val="CETBodytext"/>
      </w:pPr>
      <w:r>
        <w:rPr>
          <w:lang w:val="en-GB"/>
        </w:rPr>
        <w:t>The present study deals with the determination of pollutant emissions from wood-fired pizza ovens throughout the implementation of an innovative sampling system, specifically designed for the source in question.</w:t>
      </w:r>
      <w:r w:rsidR="00613DB2">
        <w:rPr>
          <w:lang w:val="en-GB"/>
        </w:rPr>
        <w:t xml:space="preserve"> </w:t>
      </w:r>
      <w:r>
        <w:rPr>
          <w:lang w:val="en-GB"/>
        </w:rPr>
        <w:t>The experiments were conducted on a traditional wood-fired oven</w:t>
      </w:r>
      <w:r w:rsidR="00371993">
        <w:rPr>
          <w:lang w:val="en-GB"/>
        </w:rPr>
        <w:t xml:space="preserve"> using</w:t>
      </w:r>
      <w:r w:rsidR="00493873">
        <w:rPr>
          <w:lang w:val="en-GB"/>
        </w:rPr>
        <w:t xml:space="preserve"> two different forms of</w:t>
      </w:r>
      <w:r w:rsidR="00371993">
        <w:rPr>
          <w:lang w:val="en-GB"/>
        </w:rPr>
        <w:t xml:space="preserve"> beechwood as fuel</w:t>
      </w:r>
      <w:r w:rsidR="00493873">
        <w:rPr>
          <w:lang w:val="en-GB"/>
        </w:rPr>
        <w:t xml:space="preserve">: </w:t>
      </w:r>
      <w:r w:rsidR="00371993">
        <w:rPr>
          <w:lang w:val="en-GB"/>
        </w:rPr>
        <w:t xml:space="preserve">wood logs and briquettes. </w:t>
      </w:r>
      <w:r w:rsidR="00613DB2">
        <w:rPr>
          <w:lang w:val="en-GB"/>
        </w:rPr>
        <w:t>Three different combustion cycles were used to carry out the tests, two for the wood logs and one for the briquettes. Different sampling sites along the system allowed for the collection and analysis of several gaseous pollutants, such as nit</w:t>
      </w:r>
      <w:r w:rsidR="00E55A57">
        <w:rPr>
          <w:lang w:val="en-GB"/>
        </w:rPr>
        <w:t>rogen</w:t>
      </w:r>
      <w:r w:rsidR="00613DB2">
        <w:rPr>
          <w:lang w:val="en-GB"/>
        </w:rPr>
        <w:t xml:space="preserve"> oxides (NO</w:t>
      </w:r>
      <w:r w:rsidR="00613DB2" w:rsidRPr="00493873">
        <w:rPr>
          <w:vertAlign w:val="subscript"/>
          <w:lang w:val="en-GB"/>
        </w:rPr>
        <w:t>x</w:t>
      </w:r>
      <w:r w:rsidR="00613DB2">
        <w:rPr>
          <w:lang w:val="en-GB"/>
        </w:rPr>
        <w:t>), carbon monoxide (CO), carbon dioxide (CO</w:t>
      </w:r>
      <w:r w:rsidR="00613DB2" w:rsidRPr="00493873">
        <w:rPr>
          <w:vertAlign w:val="subscript"/>
          <w:lang w:val="en-GB"/>
        </w:rPr>
        <w:t>2</w:t>
      </w:r>
      <w:r w:rsidR="00613DB2">
        <w:rPr>
          <w:lang w:val="en-GB"/>
        </w:rPr>
        <w:t>) and OGC (organic gaseous carbon); along with total particulate matter</w:t>
      </w:r>
      <w:r w:rsidR="001073C1">
        <w:rPr>
          <w:lang w:val="en-GB"/>
        </w:rPr>
        <w:t xml:space="preserve"> (TPM)</w:t>
      </w:r>
      <w:r w:rsidR="00613DB2">
        <w:rPr>
          <w:lang w:val="en-GB"/>
        </w:rPr>
        <w:t xml:space="preserve">. In order to study the </w:t>
      </w:r>
      <w:r w:rsidR="00020E13">
        <w:rPr>
          <w:lang w:val="en-GB"/>
        </w:rPr>
        <w:t xml:space="preserve">synergistic effect </w:t>
      </w:r>
      <w:r w:rsidR="00493873">
        <w:rPr>
          <w:lang w:val="en-GB"/>
        </w:rPr>
        <w:t>o</w:t>
      </w:r>
      <w:r w:rsidR="00020E13">
        <w:rPr>
          <w:lang w:val="en-GB"/>
        </w:rPr>
        <w:t>f biomass burning</w:t>
      </w:r>
      <w:r w:rsidR="001073C1">
        <w:rPr>
          <w:lang w:val="en-GB"/>
        </w:rPr>
        <w:t xml:space="preserve"> and</w:t>
      </w:r>
      <w:r w:rsidR="00020E13">
        <w:rPr>
          <w:lang w:val="en-GB"/>
        </w:rPr>
        <w:t xml:space="preserve"> pizza cooking, combustion cycles were performed both with and without </w:t>
      </w:r>
      <w:r w:rsidR="004E5C68">
        <w:rPr>
          <w:lang w:val="en-GB"/>
        </w:rPr>
        <w:t>the presence of the pizzas</w:t>
      </w:r>
      <w:r w:rsidR="001073C1">
        <w:rPr>
          <w:lang w:val="en-GB"/>
        </w:rPr>
        <w:t>. The results show that the concentration</w:t>
      </w:r>
      <w:r w:rsidR="006E0793">
        <w:rPr>
          <w:lang w:val="en-GB"/>
        </w:rPr>
        <w:t>s</w:t>
      </w:r>
      <w:r w:rsidR="001073C1">
        <w:rPr>
          <w:lang w:val="en-GB"/>
        </w:rPr>
        <w:t xml:space="preserve"> of gaseous pollutants w</w:t>
      </w:r>
      <w:r w:rsidR="006E0793">
        <w:rPr>
          <w:lang w:val="en-GB"/>
        </w:rPr>
        <w:t>ere</w:t>
      </w:r>
      <w:r w:rsidR="001073C1">
        <w:rPr>
          <w:lang w:val="en-GB"/>
        </w:rPr>
        <w:t xml:space="preserve"> affected m</w:t>
      </w:r>
      <w:r w:rsidR="006E0793">
        <w:rPr>
          <w:lang w:val="en-GB"/>
        </w:rPr>
        <w:t>ainly</w:t>
      </w:r>
      <w:r w:rsidR="001073C1">
        <w:rPr>
          <w:lang w:val="en-GB"/>
        </w:rPr>
        <w:t xml:space="preserve"> by the combustion conditions in the oven, whereas the </w:t>
      </w:r>
      <w:r w:rsidR="00F14FD6">
        <w:rPr>
          <w:lang w:val="en-GB"/>
        </w:rPr>
        <w:t>values of TPM depended more on the amount of fuelwood used. Pizza cooking had a great impact on the emission</w:t>
      </w:r>
      <w:r w:rsidR="004E5C68">
        <w:rPr>
          <w:lang w:val="en-GB"/>
        </w:rPr>
        <w:t>s</w:t>
      </w:r>
      <w:r w:rsidR="00F14FD6">
        <w:rPr>
          <w:lang w:val="en-GB"/>
        </w:rPr>
        <w:t xml:space="preserve"> of OGC</w:t>
      </w:r>
      <w:r w:rsidR="004E5C68">
        <w:rPr>
          <w:lang w:val="en-GB"/>
        </w:rPr>
        <w:t xml:space="preserve"> </w:t>
      </w:r>
      <w:r w:rsidR="00F14FD6">
        <w:rPr>
          <w:lang w:val="en-GB"/>
        </w:rPr>
        <w:t>and</w:t>
      </w:r>
      <w:r w:rsidR="004E5C68">
        <w:rPr>
          <w:lang w:val="en-GB"/>
        </w:rPr>
        <w:t>,</w:t>
      </w:r>
      <w:r w:rsidR="00F14FD6">
        <w:rPr>
          <w:lang w:val="en-GB"/>
        </w:rPr>
        <w:t xml:space="preserve"> to a lesser extent</w:t>
      </w:r>
      <w:r w:rsidR="004E5C68">
        <w:rPr>
          <w:lang w:val="en-GB"/>
        </w:rPr>
        <w:t>,</w:t>
      </w:r>
      <w:r w:rsidR="00F14FD6">
        <w:rPr>
          <w:lang w:val="en-GB"/>
        </w:rPr>
        <w:t xml:space="preserve"> on CO</w:t>
      </w:r>
      <w:r w:rsidR="00985738">
        <w:rPr>
          <w:lang w:val="en-GB"/>
        </w:rPr>
        <w:t xml:space="preserve"> and TPM. </w:t>
      </w:r>
    </w:p>
    <w:p w14:paraId="476B2F2E" w14:textId="77777777" w:rsidR="00600535" w:rsidRPr="00B57B36" w:rsidRDefault="00600535" w:rsidP="00600535">
      <w:pPr>
        <w:pStyle w:val="CETHeading1"/>
        <w:rPr>
          <w:lang w:val="en-GB"/>
        </w:rPr>
      </w:pPr>
      <w:r w:rsidRPr="00B57B36">
        <w:rPr>
          <w:lang w:val="en-GB"/>
        </w:rPr>
        <w:t>Introduction</w:t>
      </w:r>
    </w:p>
    <w:p w14:paraId="701FD582" w14:textId="3D2FA41B" w:rsidR="005C01D3" w:rsidRDefault="005C01D3" w:rsidP="005C01D3">
      <w:pPr>
        <w:pStyle w:val="CETBodytext"/>
        <w:rPr>
          <w:lang w:val="en-GB"/>
        </w:rPr>
      </w:pPr>
      <w:r w:rsidRPr="005C01D3">
        <w:rPr>
          <w:lang w:val="en-GB"/>
        </w:rPr>
        <w:t xml:space="preserve">Non-industrial combustion is one of the eleven categories of emitters identified by the European Environmental Agency (EEA) listed in the Selected Nomenclature for Air Pollution (SNAP) </w:t>
      </w:r>
      <w:r w:rsidR="001F0F6D">
        <w:rPr>
          <w:lang w:val="en-GB"/>
        </w:rPr>
        <w:t>(Dietmar, 1998)</w:t>
      </w:r>
      <w:r w:rsidRPr="005C01D3">
        <w:rPr>
          <w:lang w:val="en-GB"/>
        </w:rPr>
        <w:t xml:space="preserve">. This macrosector includes combustion processes aimed at the production of heat for non-industrial activities such as commercial and institutional plants, residential heating and domestic combustion processes such as fireplaces and stoves, and agricultural installations </w:t>
      </w:r>
      <w:r w:rsidR="00F33086">
        <w:rPr>
          <w:lang w:val="en-GB"/>
        </w:rPr>
        <w:t>(ARPA Sicilia, 2018)</w:t>
      </w:r>
      <w:r w:rsidRPr="005C01D3">
        <w:rPr>
          <w:lang w:val="en-GB"/>
        </w:rPr>
        <w:t>. Non-industrial combustion contributes to the emissions of all major air pollutants (SO</w:t>
      </w:r>
      <w:r w:rsidRPr="005C01D3">
        <w:rPr>
          <w:vertAlign w:val="subscript"/>
          <w:lang w:val="en-GB"/>
        </w:rPr>
        <w:t>2</w:t>
      </w:r>
      <w:r w:rsidRPr="005C01D3">
        <w:rPr>
          <w:lang w:val="en-GB"/>
        </w:rPr>
        <w:t>, NO</w:t>
      </w:r>
      <w:r w:rsidRPr="005C01D3">
        <w:rPr>
          <w:vertAlign w:val="subscript"/>
          <w:lang w:val="en-GB"/>
        </w:rPr>
        <w:t>x</w:t>
      </w:r>
      <w:r w:rsidRPr="005C01D3">
        <w:rPr>
          <w:lang w:val="en-GB"/>
        </w:rPr>
        <w:t>, CH</w:t>
      </w:r>
      <w:r w:rsidRPr="005C01D3">
        <w:rPr>
          <w:vertAlign w:val="subscript"/>
          <w:lang w:val="en-GB"/>
        </w:rPr>
        <w:t>4</w:t>
      </w:r>
      <w:r w:rsidRPr="005C01D3">
        <w:rPr>
          <w:lang w:val="en-GB"/>
        </w:rPr>
        <w:t>, CO, CO</w:t>
      </w:r>
      <w:r w:rsidRPr="005C01D3">
        <w:rPr>
          <w:vertAlign w:val="subscript"/>
          <w:lang w:val="en-GB"/>
        </w:rPr>
        <w:t>2</w:t>
      </w:r>
      <w:r w:rsidRPr="005C01D3">
        <w:rPr>
          <w:lang w:val="en-GB"/>
        </w:rPr>
        <w:t>, N</w:t>
      </w:r>
      <w:r w:rsidRPr="005C01D3">
        <w:rPr>
          <w:vertAlign w:val="subscript"/>
          <w:lang w:val="en-GB"/>
        </w:rPr>
        <w:t>2</w:t>
      </w:r>
      <w:r w:rsidRPr="005C01D3">
        <w:rPr>
          <w:lang w:val="en-GB"/>
        </w:rPr>
        <w:t>O, NH</w:t>
      </w:r>
      <w:r w:rsidRPr="005C01D3">
        <w:rPr>
          <w:vertAlign w:val="subscript"/>
          <w:lang w:val="en-GB"/>
        </w:rPr>
        <w:t>3</w:t>
      </w:r>
      <w:r w:rsidR="00F33086">
        <w:rPr>
          <w:lang w:val="en-GB"/>
        </w:rPr>
        <w:t xml:space="preserve"> and volatile organic compounds</w:t>
      </w:r>
      <w:r w:rsidRPr="005C01D3">
        <w:rPr>
          <w:lang w:val="en-GB"/>
        </w:rPr>
        <w:t>), with a significant impact on particulate matter. For instance, according to the most recent emission inventories developed by the INEMAR database, 42</w:t>
      </w:r>
      <w:r w:rsidR="002C50A1">
        <w:rPr>
          <w:lang w:val="en-GB"/>
        </w:rPr>
        <w:t>.</w:t>
      </w:r>
      <w:r w:rsidRPr="005C01D3">
        <w:rPr>
          <w:lang w:val="en-GB"/>
        </w:rPr>
        <w:t>5% of all the PM10 emitted in the Lombardy region of Italy can be traced back to non-industrial combustion, and this percentage reaches 49</w:t>
      </w:r>
      <w:r w:rsidR="002C50A1">
        <w:rPr>
          <w:lang w:val="en-GB"/>
        </w:rPr>
        <w:t>.</w:t>
      </w:r>
      <w:r w:rsidRPr="005C01D3">
        <w:rPr>
          <w:lang w:val="en-GB"/>
        </w:rPr>
        <w:t xml:space="preserve">1% if PM2.5 is considered </w:t>
      </w:r>
      <w:r w:rsidR="00F33086">
        <w:rPr>
          <w:lang w:val="en-GB"/>
        </w:rPr>
        <w:t>(ARPA Lombardia, 2018)</w:t>
      </w:r>
      <w:r w:rsidRPr="005C01D3">
        <w:rPr>
          <w:lang w:val="en-GB"/>
        </w:rPr>
        <w:t xml:space="preserve">. </w:t>
      </w:r>
    </w:p>
    <w:p w14:paraId="105D4EBD" w14:textId="77777777" w:rsidR="005C01D3" w:rsidRPr="005C01D3" w:rsidRDefault="005C01D3" w:rsidP="005C01D3">
      <w:pPr>
        <w:pStyle w:val="CETBodytext"/>
        <w:rPr>
          <w:lang w:val="en-GB"/>
        </w:rPr>
      </w:pPr>
    </w:p>
    <w:p w14:paraId="62A7C554" w14:textId="2E47D590" w:rsidR="005C01D3" w:rsidRDefault="005C01D3" w:rsidP="005C01D3">
      <w:pPr>
        <w:pStyle w:val="CETBodytext"/>
        <w:rPr>
          <w:lang w:val="en-GB"/>
        </w:rPr>
      </w:pPr>
      <w:r w:rsidRPr="005C01D3">
        <w:rPr>
          <w:lang w:val="en-GB"/>
        </w:rPr>
        <w:t>Correlations between emissions from the civil sector and the different fuels used highlight the fact that wood combustion is the most relevant source of all major pollutants, with the exception of nit</w:t>
      </w:r>
      <w:r w:rsidR="00E55A57">
        <w:rPr>
          <w:lang w:val="en-GB"/>
        </w:rPr>
        <w:t>rogen</w:t>
      </w:r>
      <w:r w:rsidRPr="005C01D3">
        <w:rPr>
          <w:lang w:val="en-GB"/>
        </w:rPr>
        <w:t xml:space="preserve"> oxides, in which case fossil fuels contribute the most </w:t>
      </w:r>
      <w:r w:rsidR="00FD1372">
        <w:rPr>
          <w:lang w:val="en-GB"/>
        </w:rPr>
        <w:t>(ARPA Sicilia, 2018)</w:t>
      </w:r>
      <w:r w:rsidRPr="005C01D3">
        <w:rPr>
          <w:lang w:val="en-GB"/>
        </w:rPr>
        <w:t>.</w:t>
      </w:r>
      <w:r w:rsidR="00391142">
        <w:rPr>
          <w:lang w:val="en-GB"/>
        </w:rPr>
        <w:t xml:space="preserve"> </w:t>
      </w:r>
      <w:r w:rsidRPr="005C01D3">
        <w:rPr>
          <w:lang w:val="en-GB"/>
        </w:rPr>
        <w:t>From the analysis of specific trac</w:t>
      </w:r>
      <w:r w:rsidR="00E2263D">
        <w:rPr>
          <w:lang w:val="en-GB"/>
        </w:rPr>
        <w:t>ers</w:t>
      </w:r>
      <w:r w:rsidRPr="005C01D3">
        <w:rPr>
          <w:lang w:val="en-GB"/>
        </w:rPr>
        <w:t xml:space="preserve"> such as levoglucosan and benzo(a)pyrene, several studies identified the rural mountainous areas as the most influenced by wood combustion; however, important contributions from biomass burning have been found also in urban areas </w:t>
      </w:r>
      <w:r w:rsidR="00FD1372">
        <w:rPr>
          <w:lang w:val="en-GB"/>
        </w:rPr>
        <w:t>(Lanzani, 2014)</w:t>
      </w:r>
      <w:r w:rsidRPr="005C01D3">
        <w:rPr>
          <w:lang w:val="en-GB"/>
        </w:rPr>
        <w:t>. Moreover, the problem of air pollution deriving from wood burning is not confined to specific regions, but is widespread around the world</w:t>
      </w:r>
      <w:r w:rsidR="00293997">
        <w:rPr>
          <w:lang w:val="en-GB"/>
        </w:rPr>
        <w:t>, impacting mainly on the levels of PM2.5</w:t>
      </w:r>
      <w:r w:rsidRPr="005C01D3">
        <w:rPr>
          <w:lang w:val="en-GB"/>
        </w:rPr>
        <w:t xml:space="preserve"> </w:t>
      </w:r>
      <w:r w:rsidR="00DC3DD0">
        <w:rPr>
          <w:lang w:val="en-GB"/>
        </w:rPr>
        <w:t>(Favez et.al., 2009</w:t>
      </w:r>
      <w:r w:rsidR="00293997">
        <w:rPr>
          <w:lang w:val="en-GB"/>
        </w:rPr>
        <w:t>)</w:t>
      </w:r>
      <w:r w:rsidR="00DC3DD0">
        <w:rPr>
          <w:lang w:val="en-GB"/>
        </w:rPr>
        <w:t xml:space="preserve"> and </w:t>
      </w:r>
      <w:r w:rsidR="00293997">
        <w:rPr>
          <w:lang w:val="en-GB"/>
        </w:rPr>
        <w:t>PM10 (</w:t>
      </w:r>
      <w:r w:rsidR="00DC3DD0">
        <w:rPr>
          <w:lang w:val="en-GB"/>
        </w:rPr>
        <w:t>Borrego et.al., 2010)</w:t>
      </w:r>
      <w:r w:rsidRPr="005C01D3">
        <w:rPr>
          <w:lang w:val="en-GB"/>
        </w:rPr>
        <w:t>.</w:t>
      </w:r>
    </w:p>
    <w:p w14:paraId="7C28CE3B" w14:textId="447CA671" w:rsidR="005C01D3" w:rsidRDefault="005C01D3" w:rsidP="005C01D3">
      <w:pPr>
        <w:pStyle w:val="CETBodytext"/>
        <w:rPr>
          <w:lang w:val="en-GB"/>
        </w:rPr>
      </w:pPr>
    </w:p>
    <w:p w14:paraId="38179AB8" w14:textId="523CB182" w:rsidR="005C01D3" w:rsidRDefault="005C01D3" w:rsidP="005C01D3">
      <w:pPr>
        <w:pStyle w:val="CETBodytext"/>
        <w:rPr>
          <w:lang w:val="en-GB"/>
        </w:rPr>
      </w:pPr>
      <w:r w:rsidRPr="005C01D3">
        <w:rPr>
          <w:lang w:val="en-GB"/>
        </w:rPr>
        <w:t xml:space="preserve">Wood burning in the non-industrial sector is employed mainly in small-scale domestic heating and cooking appliances including closed and open fireplaces, traditional and advanced stoves, boilers and kitchen stoves </w:t>
      </w:r>
      <w:r w:rsidR="00730709">
        <w:rPr>
          <w:lang w:val="en-GB"/>
        </w:rPr>
        <w:t>(Ozgen et.al., 2014)</w:t>
      </w:r>
      <w:r w:rsidRPr="005C01D3">
        <w:rPr>
          <w:lang w:val="en-GB"/>
        </w:rPr>
        <w:t>, along with wood-burning ovens used in pizzerias and bakeries</w:t>
      </w:r>
      <w:r w:rsidR="00E2263D">
        <w:rPr>
          <w:lang w:val="en-GB"/>
        </w:rPr>
        <w:t xml:space="preserve"> (Ielpo et.al., 2020)</w:t>
      </w:r>
      <w:r w:rsidRPr="005C01D3">
        <w:rPr>
          <w:lang w:val="en-GB"/>
        </w:rPr>
        <w:t xml:space="preserve">. Whereas the contribution in rural mountainous areas is dominated by small-scale appliances used for heating purposes </w:t>
      </w:r>
      <w:r w:rsidR="00541D84">
        <w:rPr>
          <w:lang w:val="en-GB"/>
        </w:rPr>
        <w:lastRenderedPageBreak/>
        <w:t>(Lanzani, 2014)</w:t>
      </w:r>
      <w:r w:rsidRPr="005C01D3">
        <w:rPr>
          <w:lang w:val="en-GB"/>
        </w:rPr>
        <w:t xml:space="preserve">, in urban areas there is a non-negligible contribution deriving from wood-burning ovens </w:t>
      </w:r>
      <w:r w:rsidR="00541D84">
        <w:rPr>
          <w:lang w:val="en-GB"/>
        </w:rPr>
        <w:t>(ARPA Sicilia, 2018)</w:t>
      </w:r>
      <w:r w:rsidRPr="005C01D3">
        <w:rPr>
          <w:lang w:val="en-GB"/>
        </w:rPr>
        <w:t>. To the knowledge of the author</w:t>
      </w:r>
      <w:r w:rsidR="00FC4E74">
        <w:rPr>
          <w:lang w:val="en-GB"/>
        </w:rPr>
        <w:t>s</w:t>
      </w:r>
      <w:r w:rsidRPr="005C01D3">
        <w:rPr>
          <w:lang w:val="en-GB"/>
        </w:rPr>
        <w:t>, there have been very few studies concerned with calculating the extent of this contribution. Within the Metropizza project</w:t>
      </w:r>
      <w:r w:rsidR="00E2263D">
        <w:rPr>
          <w:lang w:val="en-GB"/>
        </w:rPr>
        <w:t xml:space="preserve"> (Hugony, 2018)</w:t>
      </w:r>
      <w:r w:rsidRPr="005C01D3">
        <w:rPr>
          <w:lang w:val="en-GB"/>
        </w:rPr>
        <w:t>, a first attempt was made starting from emission inventory data using a modelling approach; the results showed that wood-burning pizza ovens in the province of Milan contributed in particular to the emissions of particulate matter and polycyclic aromatic hydrocarbons (PAHs)</w:t>
      </w:r>
      <w:r w:rsidR="00E2263D">
        <w:rPr>
          <w:lang w:val="en-GB"/>
        </w:rPr>
        <w:t>.</w:t>
      </w:r>
    </w:p>
    <w:p w14:paraId="6F464BB5" w14:textId="77777777" w:rsidR="005C01D3" w:rsidRPr="005C01D3" w:rsidRDefault="005C01D3" w:rsidP="005C01D3">
      <w:pPr>
        <w:pStyle w:val="CETBodytext"/>
        <w:rPr>
          <w:lang w:val="en-GB"/>
        </w:rPr>
      </w:pPr>
    </w:p>
    <w:p w14:paraId="5D7431FF" w14:textId="6727332C" w:rsidR="007051A3" w:rsidRPr="00CC6D60" w:rsidRDefault="00985738" w:rsidP="005C01D3">
      <w:pPr>
        <w:pStyle w:val="CETBodytext"/>
        <w:rPr>
          <w:lang w:val="en-GB"/>
        </w:rPr>
      </w:pPr>
      <w:r>
        <w:rPr>
          <w:lang w:val="en-GB"/>
        </w:rPr>
        <w:t>Despite these preliminary studies</w:t>
      </w:r>
      <w:r w:rsidR="005C01D3" w:rsidRPr="005C01D3">
        <w:rPr>
          <w:lang w:val="en-GB"/>
        </w:rPr>
        <w:t xml:space="preserve">, there is </w:t>
      </w:r>
      <w:r>
        <w:rPr>
          <w:lang w:val="en-GB"/>
        </w:rPr>
        <w:t xml:space="preserve">still </w:t>
      </w:r>
      <w:r w:rsidR="005C01D3" w:rsidRPr="005C01D3">
        <w:rPr>
          <w:lang w:val="en-GB"/>
        </w:rPr>
        <w:t xml:space="preserve">an impressive lack of </w:t>
      </w:r>
      <w:r w:rsidR="00CC6D60">
        <w:rPr>
          <w:lang w:val="en-GB"/>
        </w:rPr>
        <w:t xml:space="preserve">experimental </w:t>
      </w:r>
      <w:r w:rsidR="005C01D3" w:rsidRPr="005C01D3">
        <w:rPr>
          <w:lang w:val="en-GB"/>
        </w:rPr>
        <w:t xml:space="preserve">data on the emissions of </w:t>
      </w:r>
      <w:r>
        <w:rPr>
          <w:lang w:val="en-GB"/>
        </w:rPr>
        <w:t>this source</w:t>
      </w:r>
      <w:r w:rsidR="00CC6D60">
        <w:rPr>
          <w:lang w:val="en-GB"/>
        </w:rPr>
        <w:t>.</w:t>
      </w:r>
      <w:r w:rsidR="005C01D3" w:rsidRPr="005C01D3">
        <w:rPr>
          <w:lang w:val="en-GB"/>
        </w:rPr>
        <w:t xml:space="preserve"> </w:t>
      </w:r>
      <w:r w:rsidR="00CC6D60">
        <w:rPr>
          <w:lang w:val="en-GB"/>
        </w:rPr>
        <w:t>T</w:t>
      </w:r>
      <w:r w:rsidR="005C01D3" w:rsidRPr="005C01D3">
        <w:rPr>
          <w:lang w:val="en-GB"/>
        </w:rPr>
        <w:t xml:space="preserve">o date, only one study has been published dealing with the characterization of particles emitted by </w:t>
      </w:r>
      <w:r w:rsidR="00CC6D60">
        <w:rPr>
          <w:lang w:val="en-GB"/>
        </w:rPr>
        <w:t>ovens</w:t>
      </w:r>
      <w:r w:rsidR="005C01D3" w:rsidRPr="005C01D3">
        <w:rPr>
          <w:lang w:val="en-GB"/>
        </w:rPr>
        <w:t xml:space="preserve"> burning wood and briquettes. The results from this work highlight that </w:t>
      </w:r>
      <w:r>
        <w:rPr>
          <w:lang w:val="en-GB"/>
        </w:rPr>
        <w:t>wood-burning pizza ovens</w:t>
      </w:r>
      <w:r w:rsidR="005C01D3" w:rsidRPr="005C01D3">
        <w:rPr>
          <w:lang w:val="en-GB"/>
        </w:rPr>
        <w:t xml:space="preserve"> </w:t>
      </w:r>
      <w:r w:rsidR="00EA19AB">
        <w:rPr>
          <w:lang w:val="en-GB"/>
        </w:rPr>
        <w:t xml:space="preserve">are </w:t>
      </w:r>
      <w:r w:rsidR="005C01D3" w:rsidRPr="005C01D3">
        <w:rPr>
          <w:lang w:val="en-GB"/>
        </w:rPr>
        <w:t xml:space="preserve">an important source of fine particulate matter (PM2.5) characterized by a high content of black carbon (20-30%) </w:t>
      </w:r>
      <w:r w:rsidR="00CC6D60">
        <w:rPr>
          <w:lang w:val="en-GB"/>
        </w:rPr>
        <w:t>(Mota Lima et.al., 2020)</w:t>
      </w:r>
      <w:r w:rsidR="005C01D3" w:rsidRPr="005C01D3">
        <w:rPr>
          <w:lang w:val="en-GB"/>
        </w:rPr>
        <w:t xml:space="preserve">. </w:t>
      </w:r>
      <w:r w:rsidR="00D71946">
        <w:rPr>
          <w:lang w:val="en-GB"/>
        </w:rPr>
        <w:t>Moreover, there are no specific technical standards defining the constructional aspects of sampling systems or specifying tests methods for the analysis of pollutants</w:t>
      </w:r>
      <w:r w:rsidR="00CC6D60">
        <w:rPr>
          <w:lang w:val="en-GB"/>
        </w:rPr>
        <w:t>.</w:t>
      </w:r>
      <w:r w:rsidR="00D71946">
        <w:rPr>
          <w:lang w:val="en-GB"/>
        </w:rPr>
        <w:t xml:space="preserve"> </w:t>
      </w:r>
      <w:r w:rsidR="00D71946">
        <w:t>The only standard document that can deal with the subject is a 1995 UNI standard, currently withdrawn (UNI 10474:95), which deals with solid fuel ovens. In the broader field of biomass combustion, t</w:t>
      </w:r>
      <w:r w:rsidR="007051A3">
        <w:t>he European Commission has introduced source-specific emission standards in the Ecodesign Directive (EDD) for other appliances</w:t>
      </w:r>
      <w:r w:rsidR="00D71946">
        <w:t xml:space="preserve"> such as woodstoves and fireplaces</w:t>
      </w:r>
      <w:r w:rsidR="007051A3">
        <w:t xml:space="preserve">, </w:t>
      </w:r>
      <w:r w:rsidR="00D71946">
        <w:t>however excluding</w:t>
      </w:r>
      <w:r w:rsidR="007051A3">
        <w:t xml:space="preserve"> wood-fired ovens (Wolters, 2018). </w:t>
      </w:r>
    </w:p>
    <w:p w14:paraId="03F45053" w14:textId="77777777" w:rsidR="00B23F33" w:rsidRDefault="00B23F33" w:rsidP="005C01D3">
      <w:pPr>
        <w:pStyle w:val="CETBodytext"/>
      </w:pPr>
    </w:p>
    <w:p w14:paraId="7D0A2460" w14:textId="0F99378A" w:rsidR="005C01D3" w:rsidRDefault="00AF67D1" w:rsidP="005C01D3">
      <w:pPr>
        <w:pStyle w:val="CETBodytext"/>
        <w:rPr>
          <w:lang w:val="en-GB"/>
        </w:rPr>
      </w:pPr>
      <w:r>
        <w:t>The present work is a preliminary study on the emission profile of wood-fired oven</w:t>
      </w:r>
      <w:r w:rsidR="00EA19AB">
        <w:t>s</w:t>
      </w:r>
      <w:r>
        <w:t xml:space="preserve"> used in pizzerias. The aim is to determine the concentrations of the main air pollutants emitted by this source and </w:t>
      </w:r>
      <w:r w:rsidR="00985738">
        <w:t xml:space="preserve">to evaluate </w:t>
      </w:r>
      <w:r>
        <w:t>the extent to which pizza cooking</w:t>
      </w:r>
      <w:r w:rsidR="00985738">
        <w:t xml:space="preserve"> impacts</w:t>
      </w:r>
      <w:r>
        <w:t xml:space="preserve"> the overall emissions. </w:t>
      </w:r>
      <w:r w:rsidR="007051A3">
        <w:t xml:space="preserve">In order to address these issues, an innovative sampling system </w:t>
      </w:r>
      <w:r>
        <w:t>was</w:t>
      </w:r>
      <w:r w:rsidR="007051A3">
        <w:t xml:space="preserve"> designed</w:t>
      </w:r>
      <w:r>
        <w:t xml:space="preserve"> enabling the</w:t>
      </w:r>
      <w:r w:rsidR="007051A3">
        <w:t xml:space="preserve"> </w:t>
      </w:r>
      <w:r w:rsidR="00E020CE">
        <w:t>collect</w:t>
      </w:r>
      <w:r>
        <w:t>ion</w:t>
      </w:r>
      <w:r w:rsidR="00E020CE">
        <w:t xml:space="preserve"> a</w:t>
      </w:r>
      <w:r>
        <w:t>nd analysis of the desired pollutants</w:t>
      </w:r>
      <w:r w:rsidR="00A91C5D">
        <w:t xml:space="preserve">, and two different types of fuels were tested. </w:t>
      </w:r>
      <w:r>
        <w:rPr>
          <w:lang w:val="en-GB"/>
        </w:rPr>
        <w:t xml:space="preserve">Moreover, combustion cycles were created with the aim of reproducing the real-life operating conditions of the oven and at the same time ensuring repeatability and reproducibility of the measurements. </w:t>
      </w:r>
    </w:p>
    <w:p w14:paraId="11B5278C" w14:textId="4F513712" w:rsidR="00786B19" w:rsidRPr="00B57B36" w:rsidRDefault="0033139F" w:rsidP="00786B19">
      <w:pPr>
        <w:pStyle w:val="CETHeading1"/>
        <w:rPr>
          <w:lang w:val="en-GB"/>
        </w:rPr>
      </w:pPr>
      <w:r>
        <w:rPr>
          <w:lang w:val="en-GB"/>
        </w:rPr>
        <w:t>Materials and Methods</w:t>
      </w:r>
    </w:p>
    <w:p w14:paraId="61A9B77A" w14:textId="2CB7B70B" w:rsidR="00600535" w:rsidRPr="00B57B36" w:rsidRDefault="009E7079" w:rsidP="00FA5F5F">
      <w:pPr>
        <w:pStyle w:val="CETheadingx"/>
      </w:pPr>
      <w:r>
        <w:t>Appliance and fuels</w:t>
      </w:r>
    </w:p>
    <w:p w14:paraId="6111E2AD" w14:textId="52400D7C" w:rsidR="00EE402A" w:rsidRDefault="00934487" w:rsidP="009E7079">
      <w:pPr>
        <w:pStyle w:val="CETBodytext"/>
        <w:rPr>
          <w:lang w:val="en-GB"/>
        </w:rPr>
      </w:pPr>
      <w:r w:rsidRPr="00934487">
        <w:rPr>
          <w:lang w:val="en-GB"/>
        </w:rPr>
        <w:t>The</w:t>
      </w:r>
      <w:r w:rsidR="007529A0">
        <w:rPr>
          <w:lang w:val="en-GB"/>
        </w:rPr>
        <w:t xml:space="preserve"> experimental tests were carried out using a traditional</w:t>
      </w:r>
      <w:r w:rsidR="00EE402A">
        <w:rPr>
          <w:lang w:val="en-GB"/>
        </w:rPr>
        <w:t xml:space="preserve"> </w:t>
      </w:r>
      <w:r w:rsidR="007529A0">
        <w:rPr>
          <w:lang w:val="en-GB"/>
        </w:rPr>
        <w:t>fixed top</w:t>
      </w:r>
      <w:r w:rsidR="00EE402A">
        <w:rPr>
          <w:lang w:val="en-GB"/>
        </w:rPr>
        <w:t xml:space="preserve"> </w:t>
      </w:r>
      <w:r w:rsidR="007529A0">
        <w:rPr>
          <w:lang w:val="en-GB"/>
        </w:rPr>
        <w:t>wood-fired pizza oven</w:t>
      </w:r>
      <w:r w:rsidR="00EE402A">
        <w:rPr>
          <w:lang w:val="en-GB"/>
        </w:rPr>
        <w:t xml:space="preserve">, which included a cooking surface made of refractory slabs with high-percentage alumina. A large amount of refractory material </w:t>
      </w:r>
      <w:r w:rsidR="002A11F3">
        <w:rPr>
          <w:lang w:val="en-GB"/>
        </w:rPr>
        <w:t>wa</w:t>
      </w:r>
      <w:r w:rsidR="00EE402A">
        <w:rPr>
          <w:lang w:val="en-GB"/>
        </w:rPr>
        <w:t>s also present u</w:t>
      </w:r>
      <w:r w:rsidR="00123314" w:rsidRPr="00123314">
        <w:rPr>
          <w:lang w:val="en-GB"/>
        </w:rPr>
        <w:t xml:space="preserve">nder these </w:t>
      </w:r>
      <w:r w:rsidR="00EE402A">
        <w:rPr>
          <w:lang w:val="en-GB"/>
        </w:rPr>
        <w:t>p</w:t>
      </w:r>
      <w:r w:rsidR="00123314" w:rsidRPr="00123314">
        <w:rPr>
          <w:lang w:val="en-GB"/>
        </w:rPr>
        <w:t>lates</w:t>
      </w:r>
      <w:r w:rsidR="00EE402A">
        <w:rPr>
          <w:lang w:val="en-GB"/>
        </w:rPr>
        <w:t>,</w:t>
      </w:r>
      <w:r w:rsidR="00123314" w:rsidRPr="00123314">
        <w:rPr>
          <w:lang w:val="en-GB"/>
        </w:rPr>
        <w:t xml:space="preserve"> </w:t>
      </w:r>
      <w:r w:rsidR="002A11F3">
        <w:rPr>
          <w:lang w:val="en-GB"/>
        </w:rPr>
        <w:t>guaranteeing</w:t>
      </w:r>
      <w:r w:rsidR="00123314" w:rsidRPr="00123314">
        <w:rPr>
          <w:lang w:val="en-GB"/>
        </w:rPr>
        <w:t xml:space="preserve"> a supply of heat without temperature changes.</w:t>
      </w:r>
      <w:r w:rsidR="00123314">
        <w:rPr>
          <w:lang w:val="en-GB"/>
        </w:rPr>
        <w:t xml:space="preserve"> </w:t>
      </w:r>
      <w:r w:rsidR="00EE402A">
        <w:rPr>
          <w:lang w:val="en-GB"/>
        </w:rPr>
        <w:t>Also, t</w:t>
      </w:r>
      <w:r w:rsidR="00123314" w:rsidRPr="00123314">
        <w:rPr>
          <w:lang w:val="en-GB"/>
        </w:rPr>
        <w:t xml:space="preserve">he cooking chambers </w:t>
      </w:r>
      <w:r w:rsidR="002A11F3">
        <w:rPr>
          <w:lang w:val="en-GB"/>
        </w:rPr>
        <w:t>were</w:t>
      </w:r>
      <w:r w:rsidR="00123314" w:rsidRPr="00123314">
        <w:rPr>
          <w:lang w:val="en-GB"/>
        </w:rPr>
        <w:t xml:space="preserve"> made of vibrated refractory concrete.</w:t>
      </w:r>
      <w:r w:rsidR="00FA5E0A">
        <w:rPr>
          <w:lang w:val="en-GB"/>
        </w:rPr>
        <w:t xml:space="preserve"> </w:t>
      </w:r>
    </w:p>
    <w:p w14:paraId="1F7A89A5" w14:textId="11EC9BC9" w:rsidR="00600535" w:rsidRPr="00EE402A" w:rsidRDefault="003A4DF4" w:rsidP="009E7079">
      <w:pPr>
        <w:pStyle w:val="CETBodytext"/>
        <w:rPr>
          <w:lang w:val="en-GB"/>
        </w:rPr>
      </w:pPr>
      <w:r>
        <w:rPr>
          <w:lang w:val="en-GB"/>
        </w:rPr>
        <w:t xml:space="preserve">The oven was fed with </w:t>
      </w:r>
      <w:r w:rsidRPr="003A4DF4">
        <w:rPr>
          <w:lang w:val="en-GB"/>
        </w:rPr>
        <w:t>beech wood</w:t>
      </w:r>
      <w:r>
        <w:rPr>
          <w:lang w:val="en-GB"/>
        </w:rPr>
        <w:t xml:space="preserve"> log</w:t>
      </w:r>
      <w:r w:rsidR="007529A0">
        <w:rPr>
          <w:lang w:val="en-GB"/>
        </w:rPr>
        <w:t>s normally sold to pizzerias,</w:t>
      </w:r>
      <w:r>
        <w:rPr>
          <w:lang w:val="en-GB"/>
        </w:rPr>
        <w:t xml:space="preserve"> of</w:t>
      </w:r>
      <w:r w:rsidRPr="003A4DF4">
        <w:rPr>
          <w:lang w:val="en-GB"/>
        </w:rPr>
        <w:t xml:space="preserve"> length 50 cm</w:t>
      </w:r>
      <w:r w:rsidR="002D1455">
        <w:rPr>
          <w:lang w:val="en-GB"/>
        </w:rPr>
        <w:t xml:space="preserve">, </w:t>
      </w:r>
      <w:r w:rsidRPr="003A4DF4">
        <w:rPr>
          <w:lang w:val="en-GB"/>
        </w:rPr>
        <w:t>split diameter 6-8 cm</w:t>
      </w:r>
      <w:r w:rsidR="002A11F3">
        <w:rPr>
          <w:lang w:val="en-GB"/>
        </w:rPr>
        <w:t>,</w:t>
      </w:r>
      <w:r w:rsidRPr="003A4DF4">
        <w:rPr>
          <w:lang w:val="en-GB"/>
        </w:rPr>
        <w:t xml:space="preserve"> </w:t>
      </w:r>
      <w:r w:rsidR="002D1455">
        <w:rPr>
          <w:lang w:val="en-GB"/>
        </w:rPr>
        <w:t xml:space="preserve">and </w:t>
      </w:r>
      <w:r>
        <w:rPr>
          <w:lang w:val="en-GB"/>
        </w:rPr>
        <w:t xml:space="preserve">with </w:t>
      </w:r>
      <w:r w:rsidR="002A11F3">
        <w:rPr>
          <w:lang w:val="en-GB"/>
        </w:rPr>
        <w:t xml:space="preserve">a </w:t>
      </w:r>
      <w:r w:rsidRPr="007529A0">
        <w:rPr>
          <w:lang w:val="en-GB"/>
        </w:rPr>
        <w:t>moist</w:t>
      </w:r>
      <w:r w:rsidR="00D67037" w:rsidRPr="007529A0">
        <w:rPr>
          <w:lang w:val="en-GB"/>
        </w:rPr>
        <w:t>ure</w:t>
      </w:r>
      <w:r w:rsidRPr="007529A0">
        <w:rPr>
          <w:lang w:val="en-GB"/>
        </w:rPr>
        <w:t xml:space="preserve"> content </w:t>
      </w:r>
      <w:r w:rsidR="002A11F3">
        <w:rPr>
          <w:lang w:val="en-GB"/>
        </w:rPr>
        <w:t>below</w:t>
      </w:r>
      <w:r w:rsidRPr="007529A0">
        <w:rPr>
          <w:lang w:val="en-GB"/>
        </w:rPr>
        <w:t xml:space="preserve"> 20</w:t>
      </w:r>
      <w:r w:rsidR="002A11F3" w:rsidRPr="007529A0">
        <w:rPr>
          <w:lang w:val="en-GB"/>
        </w:rPr>
        <w:t>%</w:t>
      </w:r>
      <w:r w:rsidR="00D67037">
        <w:rPr>
          <w:lang w:val="en-GB"/>
        </w:rPr>
        <w:t xml:space="preserve">. </w:t>
      </w:r>
      <w:r w:rsidR="002D1455">
        <w:rPr>
          <w:lang w:val="en-GB"/>
        </w:rPr>
        <w:t>Instead, t</w:t>
      </w:r>
      <w:r w:rsidR="00D67037" w:rsidRPr="00D67037">
        <w:rPr>
          <w:lang w:val="en-GB"/>
        </w:rPr>
        <w:t>he wood briquettes</w:t>
      </w:r>
      <w:r w:rsidR="002D1455">
        <w:rPr>
          <w:lang w:val="en-GB"/>
        </w:rPr>
        <w:t xml:space="preserve"> wer</w:t>
      </w:r>
      <w:r w:rsidR="00D67037" w:rsidRPr="00D67037">
        <w:rPr>
          <w:lang w:val="en-GB"/>
        </w:rPr>
        <w:t xml:space="preserve">e made of compressed beech wood </w:t>
      </w:r>
      <w:r w:rsidR="006062FB">
        <w:rPr>
          <w:lang w:val="en-GB"/>
        </w:rPr>
        <w:t>without any use of adhesive</w:t>
      </w:r>
      <w:r w:rsidR="002D1455">
        <w:rPr>
          <w:lang w:val="en-GB"/>
        </w:rPr>
        <w:t>s</w:t>
      </w:r>
      <w:r w:rsidR="006062FB">
        <w:rPr>
          <w:lang w:val="en-GB"/>
        </w:rPr>
        <w:t xml:space="preserve"> or additives</w:t>
      </w:r>
      <w:r w:rsidR="002D1455">
        <w:rPr>
          <w:lang w:val="en-GB"/>
        </w:rPr>
        <w:t>,</w:t>
      </w:r>
      <w:r w:rsidR="006062FB">
        <w:rPr>
          <w:lang w:val="en-GB"/>
        </w:rPr>
        <w:t xml:space="preserve"> </w:t>
      </w:r>
      <w:r w:rsidR="00D67037" w:rsidRPr="00D67037">
        <w:rPr>
          <w:lang w:val="en-GB"/>
        </w:rPr>
        <w:t>certified for food use</w:t>
      </w:r>
      <w:r w:rsidR="006062FB">
        <w:rPr>
          <w:lang w:val="en-GB"/>
        </w:rPr>
        <w:t xml:space="preserve"> with a moisture content between 5.4-6.6%</w:t>
      </w:r>
      <w:r w:rsidR="00D67037">
        <w:rPr>
          <w:lang w:val="en-GB"/>
        </w:rPr>
        <w:t xml:space="preserve">. </w:t>
      </w:r>
      <w:r w:rsidR="004452B8">
        <w:rPr>
          <w:lang w:val="en-GB"/>
        </w:rPr>
        <w:t xml:space="preserve">The length of the briquettes </w:t>
      </w:r>
      <w:r w:rsidR="002D1455">
        <w:rPr>
          <w:lang w:val="en-GB"/>
        </w:rPr>
        <w:t>wa</w:t>
      </w:r>
      <w:r w:rsidR="004452B8">
        <w:rPr>
          <w:lang w:val="en-GB"/>
        </w:rPr>
        <w:t xml:space="preserve">s 30 cm and the diameter </w:t>
      </w:r>
      <w:r w:rsidR="002D1455">
        <w:rPr>
          <w:lang w:val="en-GB"/>
        </w:rPr>
        <w:t>wa</w:t>
      </w:r>
      <w:r w:rsidR="004452B8">
        <w:rPr>
          <w:lang w:val="en-GB"/>
        </w:rPr>
        <w:t>s 8.5 cm (octagonal shape).</w:t>
      </w:r>
    </w:p>
    <w:p w14:paraId="6B4C63E5" w14:textId="6D3A53E2" w:rsidR="00600535" w:rsidRPr="00B57B36" w:rsidRDefault="009E7079" w:rsidP="00FA5F5F">
      <w:pPr>
        <w:pStyle w:val="CETheadingx"/>
      </w:pPr>
      <w:r>
        <w:t>Sampling system</w:t>
      </w:r>
    </w:p>
    <w:p w14:paraId="6E2A5651" w14:textId="783893F4" w:rsidR="00FB603F" w:rsidRDefault="008E002A" w:rsidP="00FB603F">
      <w:pPr>
        <w:pStyle w:val="CETListbullets"/>
        <w:ind w:left="0" w:firstLine="0"/>
      </w:pPr>
      <w:r>
        <w:t xml:space="preserve">The sampling system employed in the execution of experimental tests on the oven was constructed </w:t>
      </w:r>
      <w:r w:rsidR="00413830">
        <w:t xml:space="preserve">by making reference to the </w:t>
      </w:r>
      <w:r w:rsidR="00413830" w:rsidRPr="00413830">
        <w:t>UNI EN 16510-1:2019</w:t>
      </w:r>
      <w:r w:rsidR="00413830">
        <w:t xml:space="preserve"> technical stan</w:t>
      </w:r>
      <w:r w:rsidR="00A73447">
        <w:t>dard, which</w:t>
      </w:r>
      <w:r w:rsidR="00413830">
        <w:t xml:space="preserve"> describes the test methods for sampling and measurement of the pollutant emissions of solid biomass residential heating appliances</w:t>
      </w:r>
      <w:r w:rsidR="00A73447">
        <w:t xml:space="preserve"> (Figure 1)</w:t>
      </w:r>
      <w:r w:rsidR="00413830">
        <w:t xml:space="preserve">. </w:t>
      </w:r>
    </w:p>
    <w:p w14:paraId="04AD0C54" w14:textId="36FB411F" w:rsidR="00FB603F" w:rsidRPr="002C50A1" w:rsidRDefault="002C50A1" w:rsidP="00FB603F">
      <w:pPr>
        <w:pStyle w:val="CETListbullets"/>
        <w:ind w:left="0" w:firstLine="0"/>
      </w:pPr>
      <w:r>
        <w:t>As reported in Annex F of the aforementioned standard, t</w:t>
      </w:r>
      <w:r w:rsidR="00FB603F">
        <w:t>his system enables the simultaneous measurement of pollutants and other substances on the hot flue gases</w:t>
      </w:r>
      <w:r w:rsidR="002F643E">
        <w:t xml:space="preserve"> </w:t>
      </w:r>
      <w:r w:rsidR="00FB603F">
        <w:t>and on the cold flue gases after dilution in the tunnel</w:t>
      </w:r>
      <w:r>
        <w:t>.</w:t>
      </w:r>
      <w:r w:rsidR="002F643E">
        <w:t xml:space="preserve"> </w:t>
      </w:r>
      <w:r w:rsidR="00FB603F" w:rsidRPr="00F77502">
        <w:rPr>
          <w:lang w:val="en-US"/>
        </w:rPr>
        <w:t>The dilution is controlled by a variable power exhaust fan located at the top of the dilution tunnel, and</w:t>
      </w:r>
      <w:r w:rsidR="00FB603F">
        <w:rPr>
          <w:lang w:val="en-US"/>
        </w:rPr>
        <w:t xml:space="preserve"> </w:t>
      </w:r>
      <w:r w:rsidR="00FB603F" w:rsidRPr="00F77502">
        <w:rPr>
          <w:lang w:val="en-US"/>
        </w:rPr>
        <w:t xml:space="preserve">through a damper on a secondary section of the dilution tunnel. </w:t>
      </w:r>
    </w:p>
    <w:p w14:paraId="18571767" w14:textId="044B1FCA" w:rsidR="00FB603F" w:rsidRPr="000D6409" w:rsidRDefault="00FB603F" w:rsidP="00FB603F">
      <w:pPr>
        <w:pStyle w:val="CETListbullets"/>
        <w:ind w:left="0" w:firstLine="0"/>
      </w:pPr>
      <w:r>
        <w:t xml:space="preserve">The gaseous </w:t>
      </w:r>
      <w:r w:rsidR="00A73447">
        <w:t>substances</w:t>
      </w:r>
      <w:r>
        <w:t xml:space="preserve"> </w:t>
      </w:r>
      <w:r w:rsidR="00A73447">
        <w:t>(</w:t>
      </w:r>
      <w:r>
        <w:t>CO, NO</w:t>
      </w:r>
      <w:r>
        <w:rPr>
          <w:vertAlign w:val="subscript"/>
        </w:rPr>
        <w:t>x</w:t>
      </w:r>
      <w:r>
        <w:t>, CO</w:t>
      </w:r>
      <w:r>
        <w:rPr>
          <w:vertAlign w:val="subscript"/>
        </w:rPr>
        <w:t>2</w:t>
      </w:r>
      <w:r>
        <w:t>, O</w:t>
      </w:r>
      <w:r>
        <w:rPr>
          <w:vertAlign w:val="subscript"/>
        </w:rPr>
        <w:t>2</w:t>
      </w:r>
      <w:r w:rsidR="00A73447">
        <w:t xml:space="preserve">) </w:t>
      </w:r>
      <w:r>
        <w:t>were measured both on the concentrated and diluted fumes</w:t>
      </w:r>
      <w:r w:rsidR="00A73447">
        <w:t>, except for OGC which was measured only before dilution</w:t>
      </w:r>
      <w:r>
        <w:t>. Instead, TPM was sampled in continuous mode on the diluted gases using an opacimeter, and in discontinuous mode using appropriate filters on both the hot and cold flue gases.</w:t>
      </w:r>
      <w:r w:rsidR="00507AED">
        <w:t xml:space="preserve"> Also, t</w:t>
      </w:r>
      <w:r>
        <w:t xml:space="preserve">he </w:t>
      </w:r>
      <w:r w:rsidRPr="00F77502">
        <w:rPr>
          <w:lang w:val="en-US"/>
        </w:rPr>
        <w:t xml:space="preserve">draught in the flue gas duct </w:t>
      </w:r>
      <w:r>
        <w:rPr>
          <w:lang w:val="en-US"/>
        </w:rPr>
        <w:t>was</w:t>
      </w:r>
      <w:r w:rsidRPr="00F77502">
        <w:rPr>
          <w:lang w:val="en-US"/>
        </w:rPr>
        <w:t xml:space="preserve"> continuously measured</w:t>
      </w:r>
      <w:r>
        <w:rPr>
          <w:lang w:val="en-US"/>
        </w:rPr>
        <w:t xml:space="preserve"> on the hot gases</w:t>
      </w:r>
      <w:r w:rsidRPr="00F77502">
        <w:rPr>
          <w:lang w:val="en-US"/>
        </w:rPr>
        <w:t xml:space="preserve">, </w:t>
      </w:r>
      <w:r>
        <w:rPr>
          <w:lang w:val="en-US"/>
        </w:rPr>
        <w:t xml:space="preserve">and </w:t>
      </w:r>
      <w:r w:rsidRPr="00F77502">
        <w:rPr>
          <w:lang w:val="en-US"/>
        </w:rPr>
        <w:t>adjusted by varying the distance between</w:t>
      </w:r>
      <w:r>
        <w:rPr>
          <w:lang w:val="en-US"/>
        </w:rPr>
        <w:t xml:space="preserve"> </w:t>
      </w:r>
      <w:r w:rsidRPr="00F77502">
        <w:rPr>
          <w:lang w:val="en-US"/>
        </w:rPr>
        <w:t xml:space="preserve">the top of the measuring section and the suction hood of the dilution tunnel, as well as by </w:t>
      </w:r>
      <w:r>
        <w:rPr>
          <w:lang w:val="en-US"/>
        </w:rPr>
        <w:t>varying the settings</w:t>
      </w:r>
      <w:r w:rsidRPr="00F77502">
        <w:rPr>
          <w:lang w:val="en-US"/>
        </w:rPr>
        <w:t xml:space="preserve"> of the exhaust fan by means of an inverter.</w:t>
      </w:r>
      <w:r>
        <w:rPr>
          <w:lang w:val="en-US"/>
        </w:rPr>
        <w:t xml:space="preserve"> </w:t>
      </w:r>
    </w:p>
    <w:p w14:paraId="7981497B" w14:textId="77777777" w:rsidR="00507AED" w:rsidRDefault="00507AED" w:rsidP="00507AED">
      <w:pPr>
        <w:pStyle w:val="CETheadingx"/>
      </w:pPr>
      <w:r>
        <w:t>Dilution factor</w:t>
      </w:r>
    </w:p>
    <w:p w14:paraId="6FECE5B9" w14:textId="2AED410C" w:rsidR="00507AED" w:rsidRPr="00D23B7F" w:rsidRDefault="00507AED" w:rsidP="00507AED">
      <w:pPr>
        <w:pStyle w:val="CETBodytext"/>
        <w:rPr>
          <w:vanish/>
          <w:specVanish/>
        </w:rPr>
      </w:pPr>
      <w:r>
        <w:t xml:space="preserve">In order to report </w:t>
      </w:r>
      <w:r w:rsidR="00925E1A">
        <w:t>the concentrations of TPM measured in the diluted flue gases</w:t>
      </w:r>
      <w:r>
        <w:t xml:space="preserve"> under the same conditions, it is necessary to determine the degree of dilution achieved in the tunnel. This was done by using the measured concentration values of CO</w:t>
      </w:r>
      <w:r>
        <w:rPr>
          <w:vertAlign w:val="subscript"/>
        </w:rPr>
        <w:t>2</w:t>
      </w:r>
      <w:r>
        <w:t xml:space="preserve"> both upstream [CO2</w:t>
      </w:r>
      <w:r>
        <w:rPr>
          <w:vertAlign w:val="subscript"/>
        </w:rPr>
        <w:t>upstream</w:t>
      </w:r>
      <w:r>
        <w:t>] and downstream [</w:t>
      </w:r>
      <w:r w:rsidRPr="00D23B7F">
        <w:t>CO2</w:t>
      </w:r>
      <w:r>
        <w:rPr>
          <w:vertAlign w:val="subscript"/>
        </w:rPr>
        <w:t>downstream</w:t>
      </w:r>
      <w:r>
        <w:t xml:space="preserve">] </w:t>
      </w:r>
      <w:r w:rsidRPr="00D23B7F">
        <w:t>of</w:t>
      </w:r>
      <w:r>
        <w:t xml:space="preserve"> dilution and subsequently applying the following formula to calculate the dilution factor</w:t>
      </w:r>
      <w:r w:rsidR="0038457B">
        <w:t xml:space="preserve">, </w:t>
      </w:r>
      <w:r>
        <w:t>d</w:t>
      </w:r>
      <w:r w:rsidR="0038457B">
        <w:t>, which takes into account also the concentration of carbon dioxide in ambient air</w:t>
      </w:r>
      <w:r w:rsidR="00A46269">
        <w:t>, which was 300 ppm.</w:t>
      </w:r>
      <w:r>
        <w:t xml:space="preserve">  </w:t>
      </w:r>
    </w:p>
    <w:p w14:paraId="6E35D5BA" w14:textId="77777777" w:rsidR="00507AED" w:rsidRDefault="00507AED" w:rsidP="00507AED">
      <w:pPr>
        <w:pStyle w:val="CETListbullets"/>
        <w:ind w:left="0" w:firstLine="0"/>
      </w:pPr>
      <w:r>
        <w:tab/>
      </w:r>
      <w:r>
        <w:tab/>
      </w:r>
      <w:r>
        <w:tab/>
      </w:r>
    </w:p>
    <w:tbl>
      <w:tblPr>
        <w:tblW w:w="5000" w:type="pct"/>
        <w:tblLook w:val="04A0" w:firstRow="1" w:lastRow="0" w:firstColumn="1" w:lastColumn="0" w:noHBand="0" w:noVBand="1"/>
      </w:tblPr>
      <w:tblGrid>
        <w:gridCol w:w="7997"/>
        <w:gridCol w:w="790"/>
      </w:tblGrid>
      <w:tr w:rsidR="00507AED" w:rsidRPr="00B57B36" w14:paraId="1CEAA974" w14:textId="77777777" w:rsidTr="005A70D6">
        <w:tc>
          <w:tcPr>
            <w:tcW w:w="7997" w:type="dxa"/>
            <w:shd w:val="clear" w:color="auto" w:fill="auto"/>
            <w:vAlign w:val="center"/>
          </w:tcPr>
          <w:p w14:paraId="22553396" w14:textId="77777777" w:rsidR="00507AED" w:rsidRPr="00B57B36" w:rsidRDefault="00507AED" w:rsidP="005A70D6">
            <w:pPr>
              <w:pStyle w:val="CETEquation"/>
            </w:pPr>
            <w:r w:rsidRPr="003F7D0D">
              <w:rPr>
                <w:noProof/>
                <w:lang w:val="it-IT" w:eastAsia="it-IT"/>
              </w:rPr>
              <w:lastRenderedPageBreak/>
              <w:drawing>
                <wp:anchor distT="0" distB="0" distL="114300" distR="114300" simplePos="0" relativeHeight="251659264" behindDoc="0" locked="0" layoutInCell="1" allowOverlap="1" wp14:anchorId="7576199A" wp14:editId="7253B024">
                  <wp:simplePos x="0" y="0"/>
                  <wp:positionH relativeFrom="column">
                    <wp:posOffset>-3362325</wp:posOffset>
                  </wp:positionH>
                  <wp:positionV relativeFrom="paragraph">
                    <wp:posOffset>80010</wp:posOffset>
                  </wp:positionV>
                  <wp:extent cx="3248025" cy="25717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1880" t="3333" r="19829" b="6666"/>
                          <a:stretch/>
                        </pic:blipFill>
                        <pic:spPr bwMode="auto">
                          <a:xfrm>
                            <a:off x="0" y="0"/>
                            <a:ext cx="3248025" cy="257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90" w:type="dxa"/>
            <w:shd w:val="clear" w:color="auto" w:fill="auto"/>
            <w:vAlign w:val="center"/>
          </w:tcPr>
          <w:p w14:paraId="39A8D470" w14:textId="77777777" w:rsidR="00507AED" w:rsidRPr="00B57B36" w:rsidRDefault="00507AED" w:rsidP="005A70D6">
            <w:pPr>
              <w:pStyle w:val="CETEquation"/>
              <w:jc w:val="right"/>
            </w:pPr>
            <w:r w:rsidRPr="00B57B36">
              <w:t>(1)</w:t>
            </w:r>
          </w:p>
        </w:tc>
      </w:tr>
    </w:tbl>
    <w:p w14:paraId="717375AB" w14:textId="1C920AE4" w:rsidR="00507AED" w:rsidRDefault="00507AED" w:rsidP="00507AED">
      <w:pPr>
        <w:pStyle w:val="CETBodytext"/>
      </w:pPr>
      <w:r>
        <w:t xml:space="preserve">Due to the fact that the dilution factor depends on the flue gas flow rate instantaneously generated by the combustion, as well as on the initial tunnel settings, this parameter may vary from test to test and during each test. It was therefore calculated punctually on the bases of the concentrations averaged over every measurement (every 10 seconds).  </w:t>
      </w:r>
    </w:p>
    <w:p w14:paraId="77440C73" w14:textId="46C5B922" w:rsidR="00630277" w:rsidRPr="00507AED" w:rsidRDefault="00630277" w:rsidP="009E7079">
      <w:pPr>
        <w:pStyle w:val="CETListbullets"/>
        <w:ind w:left="0" w:firstLine="0"/>
        <w:rPr>
          <w:lang w:val="en-US"/>
        </w:rPr>
      </w:pPr>
    </w:p>
    <w:p w14:paraId="48A30EFC" w14:textId="77777777" w:rsidR="00FB603F" w:rsidRDefault="00FB603F" w:rsidP="00FB603F">
      <w:pPr>
        <w:pStyle w:val="CETListbullets"/>
        <w:keepNext/>
        <w:ind w:left="0" w:firstLine="0"/>
      </w:pPr>
      <w:r w:rsidRPr="00FB603F">
        <w:rPr>
          <w:noProof/>
        </w:rPr>
        <w:drawing>
          <wp:inline distT="0" distB="0" distL="0" distR="0" wp14:anchorId="23557E32" wp14:editId="2979561E">
            <wp:extent cx="3210673" cy="2787650"/>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34107"/>
                    <a:stretch/>
                  </pic:blipFill>
                  <pic:spPr bwMode="auto">
                    <a:xfrm>
                      <a:off x="0" y="0"/>
                      <a:ext cx="3270669" cy="2839741"/>
                    </a:xfrm>
                    <a:prstGeom prst="rect">
                      <a:avLst/>
                    </a:prstGeom>
                    <a:noFill/>
                    <a:ln>
                      <a:noFill/>
                    </a:ln>
                    <a:extLst>
                      <a:ext uri="{53640926-AAD7-44D8-BBD7-CCE9431645EC}">
                        <a14:shadowObscured xmlns:a14="http://schemas.microsoft.com/office/drawing/2010/main"/>
                      </a:ext>
                    </a:extLst>
                  </pic:spPr>
                </pic:pic>
              </a:graphicData>
            </a:graphic>
          </wp:inline>
        </w:drawing>
      </w:r>
    </w:p>
    <w:p w14:paraId="5C0979BF" w14:textId="2FA26943" w:rsidR="00F77502" w:rsidRPr="00FB603F" w:rsidRDefault="00FB603F" w:rsidP="00FB603F">
      <w:pPr>
        <w:pStyle w:val="CETCaption"/>
      </w:pPr>
      <w:r w:rsidRPr="00BD077D">
        <w:rPr>
          <w:rStyle w:val="CETCaptionCarattere"/>
          <w:i/>
        </w:rPr>
        <w:t xml:space="preserve">Figure 1: </w:t>
      </w:r>
      <w:r>
        <w:rPr>
          <w:rStyle w:val="CETCaptionCarattere"/>
          <w:i/>
        </w:rPr>
        <w:t xml:space="preserve">Scheme of the sampling system (not to scale) </w:t>
      </w:r>
    </w:p>
    <w:p w14:paraId="0E2E9840" w14:textId="00B0D04F" w:rsidR="009E7079" w:rsidRPr="00B57B36" w:rsidRDefault="009E7079" w:rsidP="009E7079">
      <w:pPr>
        <w:pStyle w:val="CETheadingx"/>
      </w:pPr>
      <w:r>
        <w:t>Combustion cycles</w:t>
      </w:r>
    </w:p>
    <w:p w14:paraId="20D0FDD2" w14:textId="28E31B1F" w:rsidR="00E56B7E" w:rsidRDefault="009D4757" w:rsidP="009E7079">
      <w:pPr>
        <w:pStyle w:val="CETBodytext"/>
      </w:pPr>
      <w:r>
        <w:t>In order to study the emissions of residential heating appliances burning solid biomass</w:t>
      </w:r>
      <w:r w:rsidR="00507AED">
        <w:t xml:space="preserve"> </w:t>
      </w:r>
      <w:r>
        <w:t>technical standards have laid out the combustion cycles that need to be followed (</w:t>
      </w:r>
      <w:r w:rsidRPr="009D4757">
        <w:t>EN 13240:2001, EN 13229:2001, EN 14785:2006</w:t>
      </w:r>
      <w:r>
        <w:t>). Due to the lack of regulations regarding wood-fired ovens, new combustion cycles were developed specifically for the purposes of this stud</w:t>
      </w:r>
      <w:r w:rsidR="00507AED">
        <w:t>y</w:t>
      </w:r>
      <w:r>
        <w:t xml:space="preserve">. </w:t>
      </w:r>
      <w:r w:rsidRPr="009D4757">
        <w:t xml:space="preserve">Tests on wood-fired ovens must be conducted in such a way as to simulate, as far as possible, the </w:t>
      </w:r>
      <w:r>
        <w:t xml:space="preserve">real-life </w:t>
      </w:r>
      <w:r w:rsidRPr="009D4757">
        <w:t>operatin</w:t>
      </w:r>
      <w:r>
        <w:t>g conditions</w:t>
      </w:r>
      <w:r w:rsidRPr="009D4757">
        <w:t xml:space="preserve"> of a</w:t>
      </w:r>
      <w:r>
        <w:t>n</w:t>
      </w:r>
      <w:r w:rsidRPr="009D4757">
        <w:t xml:space="preserve"> </w:t>
      </w:r>
      <w:r>
        <w:t>o</w:t>
      </w:r>
      <w:r w:rsidRPr="009D4757">
        <w:t xml:space="preserve">ven in </w:t>
      </w:r>
      <w:r>
        <w:t xml:space="preserve">a </w:t>
      </w:r>
      <w:r w:rsidRPr="009D4757">
        <w:t>normal public establishment. This is highly dependent on specific and local factors, such as the type of establishment and clientele, the season and local habits. However, it is necessary to define a standard reference cycle to be used in conducting the tests</w:t>
      </w:r>
      <w:r w:rsidR="003907A4">
        <w:t xml:space="preserve">. </w:t>
      </w:r>
    </w:p>
    <w:p w14:paraId="2B94335A" w14:textId="330EF9EF" w:rsidR="007259DC" w:rsidRDefault="007259DC" w:rsidP="009E7079">
      <w:pPr>
        <w:pStyle w:val="CETBodytext"/>
      </w:pPr>
      <w:r>
        <w:t>First of all, the oven used in the tests was managed following five operational phases:</w:t>
      </w:r>
    </w:p>
    <w:p w14:paraId="60971AB7" w14:textId="77777777" w:rsidR="004934E0" w:rsidRDefault="004934E0" w:rsidP="009E7079">
      <w:pPr>
        <w:pStyle w:val="CETBodytext"/>
      </w:pPr>
    </w:p>
    <w:p w14:paraId="56A85A53" w14:textId="2CB4A864" w:rsidR="00DC4A38" w:rsidRDefault="00DC4A38" w:rsidP="009E7079">
      <w:pPr>
        <w:pStyle w:val="CETBodytext"/>
      </w:pPr>
      <w:r>
        <w:t xml:space="preserve">1. </w:t>
      </w:r>
      <w:r w:rsidRPr="00DC4A38">
        <w:t xml:space="preserve">Cold ignition: the cold furnace is ignited after several days of dormancy with a </w:t>
      </w:r>
      <w:r>
        <w:t>load of wood used as kindling</w:t>
      </w:r>
      <w:r w:rsidRPr="00DC4A38">
        <w:t>, sold on the market specifically for this purpose</w:t>
      </w:r>
      <w:r>
        <w:t>;</w:t>
      </w:r>
    </w:p>
    <w:p w14:paraId="135F1752" w14:textId="1BDD6858" w:rsidR="00DC4A38" w:rsidRDefault="00DC4A38" w:rsidP="009E7079">
      <w:pPr>
        <w:pStyle w:val="CETBodytext"/>
      </w:pPr>
      <w:r w:rsidRPr="00DC4A38">
        <w:t xml:space="preserve">2. Pre-heating: a series of fuel </w:t>
      </w:r>
      <w:r>
        <w:t xml:space="preserve">loads are </w:t>
      </w:r>
      <w:r w:rsidRPr="00DC4A38">
        <w:t>selected for the test</w:t>
      </w:r>
      <w:r>
        <w:t>s and</w:t>
      </w:r>
      <w:r w:rsidRPr="00DC4A38">
        <w:t xml:space="preserve"> are fed to the furnace in sequence, taking advantage of the bed of embers formed during the ignition phase, in order to bring the furnace to operating temperature (approximately 350 °C);</w:t>
      </w:r>
    </w:p>
    <w:p w14:paraId="2A07E1A6" w14:textId="428064BF" w:rsidR="00DC4A38" w:rsidRDefault="00DC4A38" w:rsidP="009E7079">
      <w:pPr>
        <w:pStyle w:val="CETBodytext"/>
      </w:pPr>
      <w:r>
        <w:t xml:space="preserve">3. </w:t>
      </w:r>
      <w:r w:rsidRPr="00DC4A38">
        <w:t xml:space="preserve">Hot re-ignition: the furnace, which has been </w:t>
      </w:r>
      <w:r>
        <w:t>inactive</w:t>
      </w:r>
      <w:r w:rsidRPr="00DC4A38">
        <w:t xml:space="preserve"> for several hours (12-14), is re-ignited, as in point 1, when its internal temperature is still relatively high (80-180 °C), as is normally the case following the daily opening of </w:t>
      </w:r>
      <w:r w:rsidR="00441B01">
        <w:t>a</w:t>
      </w:r>
      <w:r w:rsidRPr="00DC4A38">
        <w:t xml:space="preserve"> business, and is then fed with successive fuel loads until it reaches </w:t>
      </w:r>
      <w:r w:rsidR="00441B01">
        <w:t xml:space="preserve">the </w:t>
      </w:r>
      <w:r w:rsidRPr="00DC4A38">
        <w:t xml:space="preserve">operating </w:t>
      </w:r>
      <w:r>
        <w:t>temperature</w:t>
      </w:r>
      <w:r w:rsidR="003907A4">
        <w:t xml:space="preserve">. At that point, the fuelwood and the embers are moved to one side of the oven, leaving space to cook the pizzas </w:t>
      </w:r>
      <w:r w:rsidR="00441B01">
        <w:t xml:space="preserve">on the other side </w:t>
      </w:r>
      <w:r w:rsidR="003907A4">
        <w:t>in the following phase</w:t>
      </w:r>
      <w:r>
        <w:t>;</w:t>
      </w:r>
    </w:p>
    <w:p w14:paraId="190DFE0E" w14:textId="3347107F" w:rsidR="00DC4A38" w:rsidRDefault="00DC4A38" w:rsidP="00DC4A38">
      <w:pPr>
        <w:pStyle w:val="CETBodytext"/>
      </w:pPr>
      <w:r>
        <w:t xml:space="preserve">4. Cooking phase: the hot oven is periodically fed with fuel loads in order to maintain a constant operating temperature, and at the same time, the pizzas are introduced. The normal operations of cleaning and moving the ashes and embers that are necessary for effective management of the oven under operating conditions are also carried out, but </w:t>
      </w:r>
      <w:r w:rsidR="003907A4">
        <w:t xml:space="preserve">are excluded from the </w:t>
      </w:r>
      <w:r w:rsidR="00441B01">
        <w:t xml:space="preserve">combustion cycles. </w:t>
      </w:r>
      <w:r w:rsidR="003907A4">
        <w:t xml:space="preserve">  </w:t>
      </w:r>
      <w:r>
        <w:t xml:space="preserve"> </w:t>
      </w:r>
    </w:p>
    <w:p w14:paraId="720C7826" w14:textId="1FE8D6F8" w:rsidR="00DA1922" w:rsidRDefault="00DC4A38" w:rsidP="003907A4">
      <w:pPr>
        <w:pStyle w:val="CETBodytext"/>
      </w:pPr>
      <w:r>
        <w:t xml:space="preserve">5. Shutdown: during this phase no fuel is supplied and no firing operations are carried out. </w:t>
      </w:r>
    </w:p>
    <w:p w14:paraId="428B9E91" w14:textId="77777777" w:rsidR="004934E0" w:rsidRDefault="004934E0" w:rsidP="003907A4">
      <w:pPr>
        <w:pStyle w:val="CETBodytext"/>
      </w:pPr>
    </w:p>
    <w:p w14:paraId="1A9E78DC" w14:textId="5426DD81" w:rsidR="003907A4" w:rsidRDefault="003907A4" w:rsidP="003907A4">
      <w:pPr>
        <w:pStyle w:val="CETBodytext"/>
      </w:pPr>
      <w:r>
        <w:t xml:space="preserve">The pollutant emissions of the oven were measured during the cooking phase. </w:t>
      </w:r>
      <w:r w:rsidR="007259DC">
        <w:t>The combustion cycles defined consisted of a single lo</w:t>
      </w:r>
      <w:r w:rsidR="00181264">
        <w:t>ad</w:t>
      </w:r>
      <w:r w:rsidR="007259DC">
        <w:t xml:space="preserve"> of fuelwood</w:t>
      </w:r>
      <w:r w:rsidR="00C37633">
        <w:t>, sampled for a f</w:t>
      </w:r>
      <w:r w:rsidR="00181264">
        <w:t>ixed amount of time</w:t>
      </w:r>
      <w:r w:rsidR="00C37633">
        <w:t xml:space="preserve"> starting from the moment of entry </w:t>
      </w:r>
      <w:r w:rsidR="00A46269">
        <w:t xml:space="preserve">of </w:t>
      </w:r>
      <w:r w:rsidR="00A46269">
        <w:lastRenderedPageBreak/>
        <w:t xml:space="preserve">the fuel </w:t>
      </w:r>
      <w:r w:rsidR="00C37633">
        <w:t>in the oven</w:t>
      </w:r>
      <w:r w:rsidR="00181264">
        <w:t xml:space="preserve">. </w:t>
      </w:r>
      <w:r>
        <w:t>Depending on the type of fuel</w:t>
      </w:r>
      <w:r w:rsidR="00181264">
        <w:t xml:space="preserve"> </w:t>
      </w:r>
      <w:r>
        <w:t xml:space="preserve">and on the amount of beechwood used for the tests, different </w:t>
      </w:r>
      <w:r w:rsidR="00181264">
        <w:t>modifications were made to the standard reference cycle</w:t>
      </w:r>
      <w:r>
        <w:t xml:space="preserve"> (Table </w:t>
      </w:r>
      <w:r w:rsidR="009F6C41">
        <w:t>1</w:t>
      </w:r>
      <w:r>
        <w:t xml:space="preserve">). </w:t>
      </w:r>
    </w:p>
    <w:p w14:paraId="09EFF59E" w14:textId="3B0FFFC4" w:rsidR="003907A4" w:rsidRPr="00B57B36" w:rsidRDefault="003907A4" w:rsidP="003907A4">
      <w:pPr>
        <w:pStyle w:val="CETTabletitle"/>
      </w:pPr>
      <w:r w:rsidRPr="00B57B36">
        <w:t xml:space="preserve">Table </w:t>
      </w:r>
      <w:r w:rsidR="009F6C41">
        <w:t>1</w:t>
      </w:r>
      <w:r w:rsidRPr="00B57B36">
        <w:t xml:space="preserve">: </w:t>
      </w:r>
      <w:r>
        <w:t>Combustion cycle details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09"/>
        <w:gridCol w:w="2019"/>
        <w:gridCol w:w="3118"/>
        <w:gridCol w:w="1841"/>
      </w:tblGrid>
      <w:tr w:rsidR="00847BE5" w:rsidRPr="00B57B36" w14:paraId="31FF4B8B" w14:textId="77777777" w:rsidTr="00847BE5">
        <w:tc>
          <w:tcPr>
            <w:tcW w:w="1809" w:type="dxa"/>
            <w:tcBorders>
              <w:top w:val="single" w:sz="12" w:space="0" w:color="008000"/>
              <w:bottom w:val="single" w:sz="6" w:space="0" w:color="008000"/>
            </w:tcBorders>
            <w:shd w:val="clear" w:color="auto" w:fill="FFFFFF"/>
          </w:tcPr>
          <w:p w14:paraId="7E7470ED" w14:textId="0F8408F9" w:rsidR="00847BE5" w:rsidRDefault="00847BE5" w:rsidP="000B5397">
            <w:pPr>
              <w:pStyle w:val="CETBodytext"/>
              <w:rPr>
                <w:lang w:val="en-GB"/>
              </w:rPr>
            </w:pPr>
            <w:r>
              <w:rPr>
                <w:lang w:val="en-GB"/>
              </w:rPr>
              <w:t>Combustion cycle</w:t>
            </w:r>
          </w:p>
        </w:tc>
        <w:tc>
          <w:tcPr>
            <w:tcW w:w="2019" w:type="dxa"/>
            <w:tcBorders>
              <w:top w:val="single" w:sz="12" w:space="0" w:color="008000"/>
              <w:bottom w:val="single" w:sz="6" w:space="0" w:color="008000"/>
            </w:tcBorders>
            <w:shd w:val="clear" w:color="auto" w:fill="FFFFFF"/>
          </w:tcPr>
          <w:p w14:paraId="55AE5B21" w14:textId="2F3E273F" w:rsidR="00847BE5" w:rsidRPr="00B57B36" w:rsidRDefault="00847BE5" w:rsidP="000B5397">
            <w:pPr>
              <w:pStyle w:val="CETBodytext"/>
              <w:rPr>
                <w:lang w:val="en-GB"/>
              </w:rPr>
            </w:pPr>
            <w:r>
              <w:rPr>
                <w:lang w:val="en-GB"/>
              </w:rPr>
              <w:t>Fuelwood</w:t>
            </w:r>
          </w:p>
        </w:tc>
        <w:tc>
          <w:tcPr>
            <w:tcW w:w="3118" w:type="dxa"/>
            <w:tcBorders>
              <w:top w:val="single" w:sz="12" w:space="0" w:color="008000"/>
              <w:bottom w:val="single" w:sz="6" w:space="0" w:color="008000"/>
            </w:tcBorders>
            <w:shd w:val="clear" w:color="auto" w:fill="FFFFFF"/>
          </w:tcPr>
          <w:p w14:paraId="1CEAEBB0" w14:textId="0FC057D7" w:rsidR="00847BE5" w:rsidRPr="00B57B36" w:rsidRDefault="00847BE5" w:rsidP="0014183E">
            <w:pPr>
              <w:pStyle w:val="CETBodytext"/>
              <w:jc w:val="left"/>
              <w:rPr>
                <w:lang w:val="en-GB"/>
              </w:rPr>
            </w:pPr>
            <w:r>
              <w:rPr>
                <w:lang w:val="en-GB"/>
              </w:rPr>
              <w:t>Mass of fuelwood supplied for each load / kg</w:t>
            </w:r>
          </w:p>
        </w:tc>
        <w:tc>
          <w:tcPr>
            <w:tcW w:w="1841" w:type="dxa"/>
            <w:tcBorders>
              <w:top w:val="single" w:sz="12" w:space="0" w:color="008000"/>
              <w:bottom w:val="single" w:sz="6" w:space="0" w:color="008000"/>
            </w:tcBorders>
            <w:shd w:val="clear" w:color="auto" w:fill="FFFFFF"/>
          </w:tcPr>
          <w:p w14:paraId="7B608B96" w14:textId="61C932C2" w:rsidR="00847BE5" w:rsidRPr="00B57B36" w:rsidRDefault="00847BE5" w:rsidP="0014183E">
            <w:pPr>
              <w:pStyle w:val="CETBodytext"/>
              <w:ind w:right="-1"/>
              <w:jc w:val="left"/>
              <w:rPr>
                <w:rFonts w:cs="Arial"/>
                <w:szCs w:val="18"/>
                <w:lang w:val="en-GB"/>
              </w:rPr>
            </w:pPr>
            <w:r>
              <w:rPr>
                <w:rFonts w:cs="Arial"/>
                <w:szCs w:val="18"/>
                <w:lang w:val="en-GB"/>
              </w:rPr>
              <w:t>Sampling time / minutes</w:t>
            </w:r>
          </w:p>
        </w:tc>
      </w:tr>
      <w:tr w:rsidR="00847BE5" w:rsidRPr="00B57B36" w14:paraId="2ACEDC05" w14:textId="77777777" w:rsidTr="00847BE5">
        <w:tc>
          <w:tcPr>
            <w:tcW w:w="1809" w:type="dxa"/>
            <w:shd w:val="clear" w:color="auto" w:fill="FFFFFF"/>
          </w:tcPr>
          <w:p w14:paraId="005AD511" w14:textId="392755C8" w:rsidR="00847BE5" w:rsidRDefault="00847BE5" w:rsidP="000B5397">
            <w:pPr>
              <w:pStyle w:val="CETBodytext"/>
              <w:rPr>
                <w:lang w:val="en-GB"/>
              </w:rPr>
            </w:pPr>
            <w:r>
              <w:rPr>
                <w:lang w:val="en-GB"/>
              </w:rPr>
              <w:t>A</w:t>
            </w:r>
          </w:p>
        </w:tc>
        <w:tc>
          <w:tcPr>
            <w:tcW w:w="2019" w:type="dxa"/>
            <w:shd w:val="clear" w:color="auto" w:fill="FFFFFF"/>
          </w:tcPr>
          <w:p w14:paraId="2A01DD01" w14:textId="541D3A85" w:rsidR="00847BE5" w:rsidRPr="00B57B36" w:rsidRDefault="00847BE5" w:rsidP="000B5397">
            <w:pPr>
              <w:pStyle w:val="CETBodytext"/>
              <w:rPr>
                <w:lang w:val="en-GB"/>
              </w:rPr>
            </w:pPr>
            <w:r>
              <w:rPr>
                <w:lang w:val="en-GB"/>
              </w:rPr>
              <w:t>Beechwood logs</w:t>
            </w:r>
          </w:p>
        </w:tc>
        <w:tc>
          <w:tcPr>
            <w:tcW w:w="3118" w:type="dxa"/>
            <w:shd w:val="clear" w:color="auto" w:fill="FFFFFF"/>
          </w:tcPr>
          <w:p w14:paraId="24882A1C" w14:textId="64D607B5" w:rsidR="00847BE5" w:rsidRPr="00B57B36" w:rsidRDefault="00847BE5" w:rsidP="000B5397">
            <w:pPr>
              <w:pStyle w:val="CETBodytext"/>
              <w:jc w:val="left"/>
              <w:rPr>
                <w:lang w:val="en-GB"/>
              </w:rPr>
            </w:pPr>
            <w:r>
              <w:rPr>
                <w:lang w:val="en-GB"/>
              </w:rPr>
              <w:t>1.7-1.9</w:t>
            </w:r>
          </w:p>
        </w:tc>
        <w:tc>
          <w:tcPr>
            <w:tcW w:w="1841" w:type="dxa"/>
            <w:shd w:val="clear" w:color="auto" w:fill="FFFFFF"/>
          </w:tcPr>
          <w:p w14:paraId="16C4373C" w14:textId="1F940F47" w:rsidR="00847BE5" w:rsidRPr="00B57B36" w:rsidRDefault="00847BE5" w:rsidP="000B5397">
            <w:pPr>
              <w:pStyle w:val="CETBodytext"/>
              <w:ind w:right="-1"/>
              <w:rPr>
                <w:rFonts w:cs="Arial"/>
                <w:szCs w:val="18"/>
                <w:lang w:val="en-GB"/>
              </w:rPr>
            </w:pPr>
            <w:r>
              <w:rPr>
                <w:rFonts w:cs="Arial"/>
                <w:szCs w:val="18"/>
                <w:lang w:val="en-GB"/>
              </w:rPr>
              <w:t xml:space="preserve">20 </w:t>
            </w:r>
          </w:p>
        </w:tc>
      </w:tr>
      <w:tr w:rsidR="00847BE5" w:rsidRPr="00B57B36" w14:paraId="4875ECF8" w14:textId="77777777" w:rsidTr="00847BE5">
        <w:tc>
          <w:tcPr>
            <w:tcW w:w="1809" w:type="dxa"/>
            <w:shd w:val="clear" w:color="auto" w:fill="FFFFFF"/>
          </w:tcPr>
          <w:p w14:paraId="715D3DB7" w14:textId="3358CDC8" w:rsidR="00847BE5" w:rsidRDefault="00847BE5" w:rsidP="000B5397">
            <w:pPr>
              <w:pStyle w:val="CETBodytext"/>
              <w:ind w:right="-1"/>
              <w:rPr>
                <w:rFonts w:cs="Arial"/>
                <w:szCs w:val="18"/>
                <w:lang w:val="en-GB"/>
              </w:rPr>
            </w:pPr>
            <w:r>
              <w:rPr>
                <w:rFonts w:cs="Arial"/>
                <w:szCs w:val="18"/>
                <w:lang w:val="en-GB"/>
              </w:rPr>
              <w:t>B</w:t>
            </w:r>
          </w:p>
        </w:tc>
        <w:tc>
          <w:tcPr>
            <w:tcW w:w="2019" w:type="dxa"/>
            <w:shd w:val="clear" w:color="auto" w:fill="FFFFFF"/>
          </w:tcPr>
          <w:p w14:paraId="5CDB7F83" w14:textId="37AC8B00" w:rsidR="00847BE5" w:rsidRPr="00DD13C7" w:rsidRDefault="00847BE5" w:rsidP="000B5397">
            <w:pPr>
              <w:pStyle w:val="CETBodytext"/>
              <w:ind w:right="-1"/>
              <w:rPr>
                <w:rFonts w:cs="Arial"/>
                <w:szCs w:val="18"/>
                <w:lang w:val="en-GB"/>
              </w:rPr>
            </w:pPr>
            <w:r>
              <w:rPr>
                <w:rFonts w:cs="Arial"/>
                <w:szCs w:val="18"/>
                <w:lang w:val="en-GB"/>
              </w:rPr>
              <w:t>Beechwood logs</w:t>
            </w:r>
          </w:p>
        </w:tc>
        <w:tc>
          <w:tcPr>
            <w:tcW w:w="3118" w:type="dxa"/>
            <w:shd w:val="clear" w:color="auto" w:fill="FFFFFF"/>
          </w:tcPr>
          <w:p w14:paraId="6BB79A4E" w14:textId="46A5942E" w:rsidR="00847BE5" w:rsidRPr="00B57B36" w:rsidRDefault="00847BE5" w:rsidP="000B5397">
            <w:pPr>
              <w:pStyle w:val="CETBodytext"/>
              <w:ind w:right="-1"/>
              <w:jc w:val="left"/>
              <w:rPr>
                <w:rFonts w:cs="Arial"/>
                <w:szCs w:val="18"/>
                <w:lang w:val="en-GB"/>
              </w:rPr>
            </w:pPr>
            <w:r>
              <w:rPr>
                <w:rFonts w:cs="Arial"/>
                <w:szCs w:val="18"/>
                <w:lang w:val="en-GB"/>
              </w:rPr>
              <w:t>0.8-1.0</w:t>
            </w:r>
          </w:p>
        </w:tc>
        <w:tc>
          <w:tcPr>
            <w:tcW w:w="1841" w:type="dxa"/>
            <w:shd w:val="clear" w:color="auto" w:fill="FFFFFF"/>
          </w:tcPr>
          <w:p w14:paraId="7DA79ABE" w14:textId="352D6679" w:rsidR="00847BE5" w:rsidRPr="00B57B36" w:rsidRDefault="00847BE5" w:rsidP="000B5397">
            <w:pPr>
              <w:pStyle w:val="CETBodytext"/>
              <w:ind w:right="-1"/>
              <w:rPr>
                <w:rFonts w:cs="Arial"/>
                <w:szCs w:val="18"/>
                <w:lang w:val="en-GB"/>
              </w:rPr>
            </w:pPr>
            <w:r>
              <w:rPr>
                <w:rFonts w:cs="Arial"/>
                <w:szCs w:val="18"/>
                <w:lang w:val="en-GB"/>
              </w:rPr>
              <w:t>15</w:t>
            </w:r>
          </w:p>
        </w:tc>
      </w:tr>
      <w:tr w:rsidR="00847BE5" w:rsidRPr="00B57B36" w14:paraId="06B5B373" w14:textId="77777777" w:rsidTr="00847BE5">
        <w:tc>
          <w:tcPr>
            <w:tcW w:w="1809" w:type="dxa"/>
            <w:shd w:val="clear" w:color="auto" w:fill="FFFFFF"/>
          </w:tcPr>
          <w:p w14:paraId="50B5336E" w14:textId="22D45669" w:rsidR="00847BE5" w:rsidRDefault="00847BE5" w:rsidP="000B5397">
            <w:pPr>
              <w:pStyle w:val="CETBodytext"/>
              <w:ind w:right="-1"/>
              <w:rPr>
                <w:rFonts w:cs="Arial"/>
                <w:szCs w:val="18"/>
                <w:lang w:val="en-GB"/>
              </w:rPr>
            </w:pPr>
            <w:r>
              <w:rPr>
                <w:rFonts w:cs="Arial"/>
                <w:szCs w:val="18"/>
                <w:lang w:val="en-GB"/>
              </w:rPr>
              <w:t xml:space="preserve">C </w:t>
            </w:r>
          </w:p>
        </w:tc>
        <w:tc>
          <w:tcPr>
            <w:tcW w:w="2019" w:type="dxa"/>
            <w:shd w:val="clear" w:color="auto" w:fill="FFFFFF"/>
          </w:tcPr>
          <w:p w14:paraId="6F10C33A" w14:textId="21157EFB" w:rsidR="00847BE5" w:rsidRPr="00DD13C7" w:rsidRDefault="00847BE5" w:rsidP="000B5397">
            <w:pPr>
              <w:pStyle w:val="CETBodytext"/>
              <w:ind w:right="-1"/>
              <w:rPr>
                <w:rFonts w:cs="Arial"/>
                <w:szCs w:val="18"/>
                <w:lang w:val="en-GB"/>
              </w:rPr>
            </w:pPr>
            <w:r>
              <w:rPr>
                <w:rFonts w:cs="Arial"/>
                <w:szCs w:val="18"/>
                <w:lang w:val="en-GB"/>
              </w:rPr>
              <w:t>Beechwood briquettes</w:t>
            </w:r>
          </w:p>
        </w:tc>
        <w:tc>
          <w:tcPr>
            <w:tcW w:w="3118" w:type="dxa"/>
            <w:shd w:val="clear" w:color="auto" w:fill="FFFFFF"/>
          </w:tcPr>
          <w:p w14:paraId="711E7FCE" w14:textId="2BA24D16" w:rsidR="00847BE5" w:rsidRDefault="00847BE5" w:rsidP="000B5397">
            <w:pPr>
              <w:pStyle w:val="CETBodytext"/>
              <w:ind w:right="-1"/>
              <w:jc w:val="left"/>
              <w:rPr>
                <w:lang w:val="en-GB"/>
              </w:rPr>
            </w:pPr>
            <w:r>
              <w:rPr>
                <w:lang w:val="en-GB"/>
              </w:rPr>
              <w:t>1.7</w:t>
            </w:r>
          </w:p>
        </w:tc>
        <w:tc>
          <w:tcPr>
            <w:tcW w:w="1841" w:type="dxa"/>
            <w:shd w:val="clear" w:color="auto" w:fill="FFFFFF"/>
          </w:tcPr>
          <w:p w14:paraId="3A19E5DE" w14:textId="23135AAE" w:rsidR="00847BE5" w:rsidRPr="00B57B36" w:rsidRDefault="00847BE5" w:rsidP="000B5397">
            <w:pPr>
              <w:pStyle w:val="CETBodytext"/>
              <w:ind w:right="-1"/>
              <w:rPr>
                <w:rFonts w:cs="Arial"/>
                <w:szCs w:val="18"/>
                <w:lang w:val="en-GB"/>
              </w:rPr>
            </w:pPr>
            <w:r>
              <w:rPr>
                <w:rFonts w:cs="Arial"/>
                <w:szCs w:val="18"/>
                <w:lang w:val="en-GB"/>
              </w:rPr>
              <w:t>15</w:t>
            </w:r>
          </w:p>
        </w:tc>
      </w:tr>
    </w:tbl>
    <w:p w14:paraId="462E091F" w14:textId="77777777" w:rsidR="003907A4" w:rsidRPr="00304CDE" w:rsidRDefault="003907A4" w:rsidP="003907A4">
      <w:pPr>
        <w:pStyle w:val="CETListbullets"/>
        <w:ind w:left="0" w:firstLine="0"/>
        <w:rPr>
          <w:lang w:val="it-IT"/>
        </w:rPr>
      </w:pPr>
    </w:p>
    <w:p w14:paraId="35D2DD54" w14:textId="094E4CDB" w:rsidR="003907A4" w:rsidRDefault="0014183E" w:rsidP="003907A4">
      <w:pPr>
        <w:pStyle w:val="CETBodytext"/>
      </w:pPr>
      <w:r>
        <w:t xml:space="preserve">In order to evaluate the impact of pizza cooking on the overall emissions, during each day of sampling 4 </w:t>
      </w:r>
      <w:r w:rsidR="00997964">
        <w:t>cycles</w:t>
      </w:r>
      <w:r>
        <w:t xml:space="preserve"> were</w:t>
      </w:r>
      <w:r w:rsidR="00997964">
        <w:t xml:space="preserve"> conducted</w:t>
      </w:r>
      <w:r>
        <w:t xml:space="preserve"> with pizza cooking and 3-4 </w:t>
      </w:r>
      <w:r w:rsidR="00997964">
        <w:t>cycles</w:t>
      </w:r>
      <w:r>
        <w:t xml:space="preserve"> were </w:t>
      </w:r>
      <w:r w:rsidR="00997964">
        <w:t>carried out</w:t>
      </w:r>
      <w:r>
        <w:t xml:space="preserve"> without pizza cooking</w:t>
      </w:r>
      <w:r w:rsidR="00847BE5">
        <w:t>, for a total of 7-8 loads for each test</w:t>
      </w:r>
      <w:r w:rsidR="00BD10DA">
        <w:t xml:space="preserve"> on a particular fuel.</w:t>
      </w:r>
      <w:r w:rsidR="00847BE5">
        <w:t xml:space="preserve"> </w:t>
      </w:r>
      <w:r w:rsidR="00A46269">
        <w:t xml:space="preserve">The </w:t>
      </w:r>
      <w:r w:rsidR="00D32FE2">
        <w:t xml:space="preserve">start of the first cycle of every day was set once the temperature of the oven reached 350°C; the others followed the first one. </w:t>
      </w:r>
    </w:p>
    <w:p w14:paraId="62FB830E" w14:textId="3A26FAB3" w:rsidR="00413830" w:rsidRPr="00B57B36" w:rsidRDefault="007A1A3E" w:rsidP="00413830">
      <w:pPr>
        <w:pStyle w:val="CETheadingx"/>
      </w:pPr>
      <w:r>
        <w:t>Sampling methods and techniques</w:t>
      </w:r>
    </w:p>
    <w:p w14:paraId="45247928" w14:textId="0E4A13BA" w:rsidR="008B2DCE" w:rsidRPr="00466C11" w:rsidRDefault="00E55A57" w:rsidP="00413830">
      <w:pPr>
        <w:pStyle w:val="CETListbullets"/>
        <w:ind w:left="0" w:firstLine="0"/>
      </w:pPr>
      <w:r w:rsidRPr="00E55A57">
        <w:t xml:space="preserve">All the instrumentation used during the execution of the tests complies with the indications of the UNI EN 16510-1 </w:t>
      </w:r>
      <w:r>
        <w:t xml:space="preserve">technical </w:t>
      </w:r>
      <w:r w:rsidRPr="00E55A57">
        <w:t xml:space="preserve">standard and is managed in accordance with the specific reference </w:t>
      </w:r>
      <w:r>
        <w:t xml:space="preserve">technical </w:t>
      </w:r>
      <w:r w:rsidRPr="00E55A57">
        <w:t>standards for each parameter whose concentration is determined in the combustion fume</w:t>
      </w:r>
      <w:r>
        <w:t xml:space="preserve">s: </w:t>
      </w:r>
      <w:r w:rsidRPr="00E55A57">
        <w:t>UNI EN 14789:2017</w:t>
      </w:r>
      <w:r>
        <w:t xml:space="preserve"> for O</w:t>
      </w:r>
      <w:r>
        <w:rPr>
          <w:vertAlign w:val="subscript"/>
        </w:rPr>
        <w:t>2</w:t>
      </w:r>
      <w:r>
        <w:t xml:space="preserve">, UNI EN 15058:2017 for CO, UNI EN </w:t>
      </w:r>
      <w:r w:rsidR="008A6591">
        <w:t>14792:2017 for NO</w:t>
      </w:r>
      <w:r w:rsidR="008A6591">
        <w:rPr>
          <w:vertAlign w:val="subscript"/>
        </w:rPr>
        <w:t>x</w:t>
      </w:r>
      <w:r w:rsidR="008A6591">
        <w:t xml:space="preserve">, UNI EN 12619:2013 for OGCs, and UNI EN 13284-1:2017 for TPM. </w:t>
      </w:r>
    </w:p>
    <w:p w14:paraId="79F8A721" w14:textId="6F211237" w:rsidR="001C1B97" w:rsidRDefault="00886E2F" w:rsidP="00886E2F">
      <w:pPr>
        <w:pStyle w:val="CETListbullets"/>
        <w:ind w:left="0" w:firstLine="0"/>
      </w:pPr>
      <w:r>
        <w:t>All of the gaseous pollutants were measured using continuous analysers which were calibrated before the start of each test using calibration mixtures of known concentration.</w:t>
      </w:r>
      <w:r w:rsidR="001C1B97">
        <w:t xml:space="preserve"> The fumes were extracted using a heated probe at 180°C and conditioned using a ceramic filter heated at 200°C, along with a </w:t>
      </w:r>
      <w:r w:rsidR="001C1B97" w:rsidRPr="001C1B97">
        <w:t xml:space="preserve">Chilly compressor refrigeration unit and internal pump with dew-point output </w:t>
      </w:r>
      <w:r w:rsidR="001C1B97">
        <w:t xml:space="preserve">of </w:t>
      </w:r>
      <w:r w:rsidR="001C1B97" w:rsidRPr="001C1B97">
        <w:t>5°C</w:t>
      </w:r>
      <w:r w:rsidR="001C1B97">
        <w:t xml:space="preserve">. </w:t>
      </w:r>
    </w:p>
    <w:p w14:paraId="05BE3B8C" w14:textId="77777777" w:rsidR="00B67756" w:rsidRDefault="001C1B97" w:rsidP="00886E2F">
      <w:pPr>
        <w:pStyle w:val="CETListbullets"/>
        <w:ind w:left="0" w:firstLine="0"/>
      </w:pPr>
      <w:r>
        <w:t>Instead, s</w:t>
      </w:r>
      <w:r w:rsidRPr="007A1A3E">
        <w:t>moke sampling for the determination of</w:t>
      </w:r>
      <w:r>
        <w:t xml:space="preserve"> TPM wa</w:t>
      </w:r>
      <w:r w:rsidRPr="007A1A3E">
        <w:t xml:space="preserve">s carried out on a section of the emission duct, as established by the reference standard, using a probe with a housing at the end in which the sampling filter </w:t>
      </w:r>
      <w:r>
        <w:t>wa</w:t>
      </w:r>
      <w:r w:rsidRPr="007A1A3E">
        <w:t>s positioned; downstream of the probe are placed in succession: a smoke cooling device consisting of a condensate collector immersed in an ice bath, an absorption tower with silica gel and the suction pump.</w:t>
      </w:r>
      <w:r w:rsidRPr="001C1B97">
        <w:t xml:space="preserve"> </w:t>
      </w:r>
    </w:p>
    <w:p w14:paraId="584277FC" w14:textId="62F90192" w:rsidR="001C1B97" w:rsidRDefault="001C1B97" w:rsidP="00886E2F">
      <w:pPr>
        <w:pStyle w:val="CETListbullets"/>
        <w:ind w:left="0" w:firstLine="0"/>
      </w:pPr>
      <w:r>
        <w:t xml:space="preserve">The mass concentration of the emitted dust was determined gravimetrically after proper conditioning. </w:t>
      </w:r>
      <w:r w:rsidR="00375BBF">
        <w:t xml:space="preserve">The filters </w:t>
      </w:r>
      <w:r w:rsidR="00375BBF" w:rsidRPr="00375BBF">
        <w:t>subject</w:t>
      </w:r>
      <w:r w:rsidR="00375BBF">
        <w:t>ed</w:t>
      </w:r>
      <w:r w:rsidR="00375BBF" w:rsidRPr="00375BBF">
        <w:t xml:space="preserve"> to hot sampling were initially placed in an oven at 180°C for 1 hour, then in a desiccator for 4 hours, again in the oven at 160°C for one hour, and finally in the desiccator for another 4 hours before being weighed. Instead, the ones subject</w:t>
      </w:r>
      <w:r w:rsidR="00375BBF">
        <w:t>ed</w:t>
      </w:r>
      <w:r w:rsidR="00375BBF" w:rsidRPr="00375BBF">
        <w:t xml:space="preserve"> to cold sampling were left to dry for 24 hours in a desiccator before being weighed.</w:t>
      </w:r>
    </w:p>
    <w:p w14:paraId="1B5D8693" w14:textId="77FA300B" w:rsidR="00886E2F" w:rsidRDefault="00375BBF" w:rsidP="00886E2F">
      <w:pPr>
        <w:pStyle w:val="CETListbullets"/>
        <w:ind w:left="0" w:firstLine="0"/>
      </w:pPr>
      <w:r>
        <w:t>Finally, t</w:t>
      </w:r>
      <w:r w:rsidR="00886E2F">
        <w:t xml:space="preserve">he opacimeter used to sample TPM continuously on the diluted fumes was not calibrated: the absolute values do not reflect the actual dust concentration; the only purpose of this measurement was to highlight possible trends during the combustion cycles. </w:t>
      </w:r>
    </w:p>
    <w:p w14:paraId="503A78FF" w14:textId="021234ED" w:rsidR="00E97AD3" w:rsidRDefault="009E7079" w:rsidP="00E97AD3">
      <w:pPr>
        <w:pStyle w:val="CETHeading1"/>
        <w:rPr>
          <w:lang w:val="en-GB"/>
        </w:rPr>
      </w:pPr>
      <w:r>
        <w:rPr>
          <w:lang w:val="en-GB"/>
        </w:rPr>
        <w:t>Results and Discussion</w:t>
      </w:r>
    </w:p>
    <w:p w14:paraId="7E96FE0F" w14:textId="4B997462" w:rsidR="00E97AD3" w:rsidRPr="00B57B36" w:rsidRDefault="00E97AD3" w:rsidP="00E97AD3">
      <w:pPr>
        <w:pStyle w:val="CETheadingx"/>
      </w:pPr>
      <w:r>
        <w:t>Pollutant emissions of the wood-fired oven</w:t>
      </w:r>
    </w:p>
    <w:p w14:paraId="6C3BA527" w14:textId="2E729231" w:rsidR="00227C89" w:rsidRDefault="00227C89" w:rsidP="00227C89">
      <w:pPr>
        <w:pStyle w:val="CETListbullets"/>
        <w:ind w:left="0" w:firstLine="0"/>
      </w:pPr>
      <w:r>
        <w:t xml:space="preserve">The main parameters kept under control for a correct execution of the test </w:t>
      </w:r>
      <w:r w:rsidR="000074CA">
        <w:t>wer</w:t>
      </w:r>
      <w:r>
        <w:t>e: the draught, which significantly influences the combustion process and therefore the operation of the oven; the dilution factor, and the temperature of the diluted smoke at the sampling point, which affects the degree of condensation of semi-volatile organic compounds (SVOC</w:t>
      </w:r>
      <w:r w:rsidR="00CB17E3">
        <w:t>s</w:t>
      </w:r>
      <w:r>
        <w:t xml:space="preserve">). Average values are reported in Table </w:t>
      </w:r>
      <w:r w:rsidR="002F643E">
        <w:t>2</w:t>
      </w:r>
      <w:r>
        <w:t xml:space="preserve">, along with other key sampling parameters. </w:t>
      </w:r>
    </w:p>
    <w:p w14:paraId="5FEB5BDC" w14:textId="722E3B11" w:rsidR="00227C89" w:rsidRPr="00B57B36" w:rsidRDefault="00227C89" w:rsidP="00227C89">
      <w:pPr>
        <w:pStyle w:val="CETTabletitle"/>
      </w:pPr>
      <w:r w:rsidRPr="00B57B36">
        <w:t xml:space="preserve">Table </w:t>
      </w:r>
      <w:r w:rsidR="008B6A2F">
        <w:t>2</w:t>
      </w:r>
      <w:r w:rsidRPr="00B57B36">
        <w:t xml:space="preserve">: </w:t>
      </w:r>
      <w:r>
        <w:t>Sampling parameters</w:t>
      </w:r>
      <w:r w:rsidR="000074CA">
        <w:t xml:space="preserve"> (average values)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701"/>
        <w:gridCol w:w="1701"/>
        <w:gridCol w:w="1701"/>
        <w:gridCol w:w="1134"/>
        <w:gridCol w:w="1274"/>
      </w:tblGrid>
      <w:tr w:rsidR="00D823FD" w:rsidRPr="00B57B36" w14:paraId="0C778EFE" w14:textId="6B5A615E" w:rsidTr="00D823FD">
        <w:tc>
          <w:tcPr>
            <w:tcW w:w="1276" w:type="dxa"/>
            <w:tcBorders>
              <w:top w:val="single" w:sz="12" w:space="0" w:color="008000"/>
              <w:bottom w:val="single" w:sz="6" w:space="0" w:color="008000"/>
            </w:tcBorders>
            <w:shd w:val="clear" w:color="auto" w:fill="FFFFFF"/>
          </w:tcPr>
          <w:p w14:paraId="632FE2DB" w14:textId="79A1010E" w:rsidR="00D823FD" w:rsidRPr="00B57B36" w:rsidRDefault="00D823FD" w:rsidP="00657BFA">
            <w:pPr>
              <w:pStyle w:val="CETBodytext"/>
              <w:rPr>
                <w:lang w:val="en-GB"/>
              </w:rPr>
            </w:pPr>
            <w:r>
              <w:rPr>
                <w:lang w:val="en-GB"/>
              </w:rPr>
              <w:t xml:space="preserve">Combustion Cycle </w:t>
            </w:r>
          </w:p>
        </w:tc>
        <w:tc>
          <w:tcPr>
            <w:tcW w:w="1701" w:type="dxa"/>
            <w:tcBorders>
              <w:top w:val="single" w:sz="12" w:space="0" w:color="008000"/>
              <w:bottom w:val="single" w:sz="6" w:space="0" w:color="008000"/>
            </w:tcBorders>
            <w:shd w:val="clear" w:color="auto" w:fill="FFFFFF"/>
          </w:tcPr>
          <w:p w14:paraId="3F1EE6E4" w14:textId="29A297AC" w:rsidR="00D823FD" w:rsidRPr="00B57B36" w:rsidRDefault="00D823FD" w:rsidP="00D823FD">
            <w:pPr>
              <w:pStyle w:val="CETBodytext"/>
              <w:jc w:val="left"/>
              <w:rPr>
                <w:lang w:val="en-GB"/>
              </w:rPr>
            </w:pPr>
            <w:r>
              <w:rPr>
                <w:lang w:val="en-GB"/>
              </w:rPr>
              <w:t>Wood consumption / kg h</w:t>
            </w:r>
            <w:r>
              <w:rPr>
                <w:vertAlign w:val="superscript"/>
                <w:lang w:val="en-GB"/>
              </w:rPr>
              <w:t>-1</w:t>
            </w:r>
            <w:r>
              <w:rPr>
                <w:lang w:val="en-GB"/>
              </w:rPr>
              <w:t xml:space="preserve"> </w:t>
            </w:r>
          </w:p>
        </w:tc>
        <w:tc>
          <w:tcPr>
            <w:tcW w:w="1701" w:type="dxa"/>
            <w:tcBorders>
              <w:top w:val="single" w:sz="12" w:space="0" w:color="008000"/>
              <w:bottom w:val="single" w:sz="6" w:space="0" w:color="008000"/>
            </w:tcBorders>
            <w:shd w:val="clear" w:color="auto" w:fill="FFFFFF"/>
          </w:tcPr>
          <w:p w14:paraId="1F8C91EC" w14:textId="1F34DC9C" w:rsidR="00D823FD" w:rsidRPr="00B57B36" w:rsidRDefault="00D823FD" w:rsidP="00D823FD">
            <w:pPr>
              <w:pStyle w:val="CETBodytext"/>
              <w:ind w:right="-1"/>
              <w:jc w:val="left"/>
              <w:rPr>
                <w:rFonts w:cs="Arial"/>
                <w:szCs w:val="18"/>
                <w:lang w:val="en-GB"/>
              </w:rPr>
            </w:pPr>
            <w:r>
              <w:rPr>
                <w:rFonts w:cs="Arial"/>
                <w:szCs w:val="18"/>
                <w:lang w:val="en-GB"/>
              </w:rPr>
              <w:t>Hot flue gas temperature / °C</w:t>
            </w:r>
          </w:p>
        </w:tc>
        <w:tc>
          <w:tcPr>
            <w:tcW w:w="1701" w:type="dxa"/>
            <w:tcBorders>
              <w:top w:val="single" w:sz="12" w:space="0" w:color="008000"/>
              <w:bottom w:val="single" w:sz="6" w:space="0" w:color="008000"/>
            </w:tcBorders>
            <w:shd w:val="clear" w:color="auto" w:fill="FFFFFF"/>
          </w:tcPr>
          <w:p w14:paraId="6EC6BD15" w14:textId="0573F7D0" w:rsidR="00D823FD" w:rsidRPr="00B57B36" w:rsidRDefault="00D823FD" w:rsidP="00657BFA">
            <w:pPr>
              <w:pStyle w:val="CETBodytext"/>
              <w:ind w:right="-1"/>
              <w:jc w:val="left"/>
              <w:rPr>
                <w:rFonts w:cs="Arial"/>
                <w:szCs w:val="18"/>
                <w:lang w:val="en-GB"/>
              </w:rPr>
            </w:pPr>
            <w:r>
              <w:rPr>
                <w:rFonts w:cs="Arial"/>
                <w:szCs w:val="18"/>
                <w:lang w:val="en-GB"/>
              </w:rPr>
              <w:t>Cold flue gas temperature / °C</w:t>
            </w:r>
          </w:p>
        </w:tc>
        <w:tc>
          <w:tcPr>
            <w:tcW w:w="1134" w:type="dxa"/>
            <w:tcBorders>
              <w:top w:val="single" w:sz="12" w:space="0" w:color="008000"/>
              <w:bottom w:val="single" w:sz="6" w:space="0" w:color="008000"/>
            </w:tcBorders>
            <w:shd w:val="clear" w:color="auto" w:fill="FFFFFF"/>
          </w:tcPr>
          <w:p w14:paraId="5950D13A" w14:textId="16579421" w:rsidR="00D823FD" w:rsidRPr="00B57B36" w:rsidRDefault="00D823FD" w:rsidP="00657BFA">
            <w:pPr>
              <w:pStyle w:val="CETBodytext"/>
              <w:ind w:right="-1"/>
              <w:rPr>
                <w:rFonts w:cs="Arial"/>
                <w:szCs w:val="18"/>
                <w:lang w:val="en-GB"/>
              </w:rPr>
            </w:pPr>
            <w:r>
              <w:rPr>
                <w:rFonts w:cs="Arial"/>
                <w:szCs w:val="18"/>
                <w:lang w:val="en-GB"/>
              </w:rPr>
              <w:t>Draught</w:t>
            </w:r>
            <w:r w:rsidR="00391376">
              <w:rPr>
                <w:rFonts w:cs="Arial"/>
                <w:szCs w:val="18"/>
                <w:lang w:val="en-GB"/>
              </w:rPr>
              <w:t xml:space="preserve"> / Pa</w:t>
            </w:r>
          </w:p>
        </w:tc>
        <w:tc>
          <w:tcPr>
            <w:tcW w:w="1274" w:type="dxa"/>
            <w:tcBorders>
              <w:top w:val="single" w:sz="12" w:space="0" w:color="008000"/>
              <w:bottom w:val="single" w:sz="6" w:space="0" w:color="008000"/>
            </w:tcBorders>
            <w:shd w:val="clear" w:color="auto" w:fill="FFFFFF"/>
          </w:tcPr>
          <w:p w14:paraId="05564BDD" w14:textId="531399F6" w:rsidR="00D823FD" w:rsidRDefault="00D823FD" w:rsidP="00657BFA">
            <w:pPr>
              <w:pStyle w:val="CETBodytext"/>
              <w:ind w:right="-1"/>
              <w:rPr>
                <w:rFonts w:cs="Arial"/>
                <w:szCs w:val="18"/>
                <w:lang w:val="en-GB"/>
              </w:rPr>
            </w:pPr>
            <w:r>
              <w:rPr>
                <w:rFonts w:cs="Arial"/>
                <w:szCs w:val="18"/>
                <w:lang w:val="en-GB"/>
              </w:rPr>
              <w:t>Dilution factor</w:t>
            </w:r>
          </w:p>
        </w:tc>
      </w:tr>
      <w:tr w:rsidR="00AA7110" w:rsidRPr="00B57B36" w14:paraId="01EF3D94" w14:textId="5AA90260" w:rsidTr="00D823FD">
        <w:tc>
          <w:tcPr>
            <w:tcW w:w="1276" w:type="dxa"/>
            <w:shd w:val="clear" w:color="auto" w:fill="FFFFFF"/>
          </w:tcPr>
          <w:p w14:paraId="61B54F7B" w14:textId="5D9750A6" w:rsidR="00AA7110" w:rsidRPr="00B57B36" w:rsidRDefault="00AA7110" w:rsidP="00AA7110">
            <w:pPr>
              <w:pStyle w:val="CETBodytext"/>
              <w:rPr>
                <w:lang w:val="en-GB"/>
              </w:rPr>
            </w:pPr>
            <w:r>
              <w:rPr>
                <w:lang w:val="en-GB"/>
              </w:rPr>
              <w:t>A</w:t>
            </w:r>
          </w:p>
        </w:tc>
        <w:tc>
          <w:tcPr>
            <w:tcW w:w="1701" w:type="dxa"/>
            <w:shd w:val="clear" w:color="auto" w:fill="FFFFFF"/>
          </w:tcPr>
          <w:p w14:paraId="03B71E25" w14:textId="5F733D4F" w:rsidR="00AA7110" w:rsidRPr="00B57B36" w:rsidRDefault="00AA7110" w:rsidP="00AA7110">
            <w:pPr>
              <w:pStyle w:val="CETBodytext"/>
              <w:jc w:val="left"/>
              <w:rPr>
                <w:lang w:val="en-GB"/>
              </w:rPr>
            </w:pPr>
            <w:r>
              <w:rPr>
                <w:lang w:val="en-GB"/>
              </w:rPr>
              <w:t>6.2</w:t>
            </w:r>
          </w:p>
        </w:tc>
        <w:tc>
          <w:tcPr>
            <w:tcW w:w="1701" w:type="dxa"/>
            <w:shd w:val="clear" w:color="auto" w:fill="FFFFFF"/>
          </w:tcPr>
          <w:p w14:paraId="230C199B" w14:textId="119733D2" w:rsidR="00AA7110" w:rsidRPr="00B57B36" w:rsidRDefault="00AA7110" w:rsidP="00AA7110">
            <w:pPr>
              <w:pStyle w:val="CETBodytext"/>
              <w:ind w:right="-1"/>
              <w:rPr>
                <w:rFonts w:cs="Arial"/>
                <w:szCs w:val="18"/>
                <w:lang w:val="en-GB"/>
              </w:rPr>
            </w:pPr>
            <w:r w:rsidRPr="00E505F9">
              <w:t>189</w:t>
            </w:r>
          </w:p>
        </w:tc>
        <w:tc>
          <w:tcPr>
            <w:tcW w:w="1701" w:type="dxa"/>
            <w:shd w:val="clear" w:color="auto" w:fill="FFFFFF"/>
          </w:tcPr>
          <w:p w14:paraId="223F1093" w14:textId="719DC77E" w:rsidR="00AA7110" w:rsidRPr="00B57B36" w:rsidRDefault="00AA7110" w:rsidP="00AA7110">
            <w:pPr>
              <w:pStyle w:val="CETBodytext"/>
              <w:ind w:right="-1"/>
              <w:rPr>
                <w:rFonts w:cs="Arial"/>
                <w:szCs w:val="18"/>
                <w:lang w:val="en-GB"/>
              </w:rPr>
            </w:pPr>
            <w:r w:rsidRPr="009F3EC2">
              <w:t>54</w:t>
            </w:r>
            <w:r>
              <w:t>.</w:t>
            </w:r>
            <w:r w:rsidR="000074CA">
              <w:t>4</w:t>
            </w:r>
          </w:p>
        </w:tc>
        <w:tc>
          <w:tcPr>
            <w:tcW w:w="1134" w:type="dxa"/>
            <w:shd w:val="clear" w:color="auto" w:fill="FFFFFF"/>
          </w:tcPr>
          <w:p w14:paraId="686B92E5" w14:textId="791E946B" w:rsidR="00AA7110" w:rsidRPr="00B57B36" w:rsidRDefault="00AA7110" w:rsidP="00AA7110">
            <w:pPr>
              <w:pStyle w:val="CETBodytext"/>
              <w:ind w:right="-1"/>
              <w:rPr>
                <w:rFonts w:cs="Arial"/>
                <w:szCs w:val="18"/>
                <w:lang w:val="en-GB"/>
              </w:rPr>
            </w:pPr>
            <w:r w:rsidRPr="002760E1">
              <w:t>-18</w:t>
            </w:r>
          </w:p>
        </w:tc>
        <w:tc>
          <w:tcPr>
            <w:tcW w:w="1274" w:type="dxa"/>
            <w:shd w:val="clear" w:color="auto" w:fill="FFFFFF"/>
          </w:tcPr>
          <w:p w14:paraId="20CCF358" w14:textId="19639D91" w:rsidR="00AA7110" w:rsidRPr="00B57B36" w:rsidRDefault="00AA7110" w:rsidP="00AA7110">
            <w:pPr>
              <w:pStyle w:val="CETBodytext"/>
              <w:ind w:right="-1"/>
              <w:rPr>
                <w:rFonts w:cs="Arial"/>
                <w:szCs w:val="18"/>
                <w:lang w:val="en-GB"/>
              </w:rPr>
            </w:pPr>
            <w:r>
              <w:rPr>
                <w:rFonts w:cs="Arial"/>
                <w:szCs w:val="18"/>
                <w:lang w:val="en-GB"/>
              </w:rPr>
              <w:t>5.4</w:t>
            </w:r>
          </w:p>
        </w:tc>
      </w:tr>
      <w:tr w:rsidR="00AA7110" w:rsidRPr="00B57B36" w14:paraId="682F75E2" w14:textId="71A041F8" w:rsidTr="00D823FD">
        <w:tc>
          <w:tcPr>
            <w:tcW w:w="1276" w:type="dxa"/>
            <w:shd w:val="clear" w:color="auto" w:fill="FFFFFF"/>
          </w:tcPr>
          <w:p w14:paraId="5219F6D6" w14:textId="7B84B75B" w:rsidR="00AA7110" w:rsidRPr="00DD13C7" w:rsidRDefault="00AA7110" w:rsidP="00AA7110">
            <w:pPr>
              <w:pStyle w:val="CETBodytext"/>
              <w:ind w:right="-1"/>
              <w:rPr>
                <w:rFonts w:cs="Arial"/>
                <w:szCs w:val="18"/>
                <w:lang w:val="en-GB"/>
              </w:rPr>
            </w:pPr>
            <w:r>
              <w:rPr>
                <w:rFonts w:cs="Arial"/>
                <w:szCs w:val="18"/>
                <w:lang w:val="en-GB"/>
              </w:rPr>
              <w:t>B</w:t>
            </w:r>
          </w:p>
        </w:tc>
        <w:tc>
          <w:tcPr>
            <w:tcW w:w="1701" w:type="dxa"/>
            <w:shd w:val="clear" w:color="auto" w:fill="FFFFFF"/>
          </w:tcPr>
          <w:p w14:paraId="491F3FB1" w14:textId="33FA3E84" w:rsidR="00AA7110" w:rsidRPr="00B57B36" w:rsidRDefault="00AA7110" w:rsidP="00AA7110">
            <w:pPr>
              <w:pStyle w:val="CETBodytext"/>
              <w:ind w:right="-1"/>
              <w:jc w:val="left"/>
              <w:rPr>
                <w:rFonts w:cs="Arial"/>
                <w:szCs w:val="18"/>
                <w:lang w:val="en-GB"/>
              </w:rPr>
            </w:pPr>
            <w:r>
              <w:rPr>
                <w:rFonts w:cs="Arial"/>
                <w:szCs w:val="18"/>
                <w:lang w:val="en-GB"/>
              </w:rPr>
              <w:t>5.1</w:t>
            </w:r>
          </w:p>
        </w:tc>
        <w:tc>
          <w:tcPr>
            <w:tcW w:w="1701" w:type="dxa"/>
            <w:shd w:val="clear" w:color="auto" w:fill="FFFFFF"/>
          </w:tcPr>
          <w:p w14:paraId="4EDB52E0" w14:textId="2029367C" w:rsidR="00AA7110" w:rsidRPr="00B57B36" w:rsidRDefault="00AA7110" w:rsidP="00AA7110">
            <w:pPr>
              <w:pStyle w:val="CETBodytext"/>
              <w:ind w:right="-1"/>
              <w:rPr>
                <w:rFonts w:cs="Arial"/>
                <w:szCs w:val="18"/>
                <w:lang w:val="en-GB"/>
              </w:rPr>
            </w:pPr>
            <w:r w:rsidRPr="00E505F9">
              <w:t>153</w:t>
            </w:r>
          </w:p>
        </w:tc>
        <w:tc>
          <w:tcPr>
            <w:tcW w:w="1701" w:type="dxa"/>
            <w:shd w:val="clear" w:color="auto" w:fill="FFFFFF"/>
          </w:tcPr>
          <w:p w14:paraId="4F073297" w14:textId="57817F41" w:rsidR="00AA7110" w:rsidRPr="00B57B36" w:rsidRDefault="00AA7110" w:rsidP="00AA7110">
            <w:pPr>
              <w:pStyle w:val="CETBodytext"/>
              <w:ind w:right="-1"/>
              <w:rPr>
                <w:rFonts w:cs="Arial"/>
                <w:szCs w:val="18"/>
                <w:lang w:val="en-GB"/>
              </w:rPr>
            </w:pPr>
            <w:r w:rsidRPr="009F3EC2">
              <w:t>44</w:t>
            </w:r>
            <w:r>
              <w:t>.</w:t>
            </w:r>
            <w:r w:rsidR="000074CA">
              <w:t>1</w:t>
            </w:r>
          </w:p>
        </w:tc>
        <w:tc>
          <w:tcPr>
            <w:tcW w:w="1134" w:type="dxa"/>
            <w:shd w:val="clear" w:color="auto" w:fill="FFFFFF"/>
          </w:tcPr>
          <w:p w14:paraId="622CB52D" w14:textId="33B30AFF" w:rsidR="00AA7110" w:rsidRPr="00B57B36" w:rsidRDefault="00AA7110" w:rsidP="00AA7110">
            <w:pPr>
              <w:pStyle w:val="CETBodytext"/>
              <w:ind w:right="-1"/>
              <w:rPr>
                <w:rFonts w:cs="Arial"/>
                <w:szCs w:val="18"/>
                <w:lang w:val="en-GB"/>
              </w:rPr>
            </w:pPr>
            <w:r w:rsidRPr="002760E1">
              <w:t>-19</w:t>
            </w:r>
          </w:p>
        </w:tc>
        <w:tc>
          <w:tcPr>
            <w:tcW w:w="1274" w:type="dxa"/>
            <w:shd w:val="clear" w:color="auto" w:fill="FFFFFF"/>
          </w:tcPr>
          <w:p w14:paraId="2C0FC07B" w14:textId="59884996" w:rsidR="00AA7110" w:rsidRPr="00B57B36" w:rsidRDefault="00AA7110" w:rsidP="00AA7110">
            <w:pPr>
              <w:pStyle w:val="CETBodytext"/>
              <w:ind w:right="-1"/>
              <w:rPr>
                <w:rFonts w:cs="Arial"/>
                <w:szCs w:val="18"/>
                <w:lang w:val="en-GB"/>
              </w:rPr>
            </w:pPr>
            <w:r>
              <w:rPr>
                <w:rFonts w:cs="Arial"/>
                <w:szCs w:val="18"/>
                <w:lang w:val="en-GB"/>
              </w:rPr>
              <w:t>5.2</w:t>
            </w:r>
          </w:p>
        </w:tc>
      </w:tr>
      <w:tr w:rsidR="00AA7110" w:rsidRPr="00B57B36" w14:paraId="0AE53918" w14:textId="7357EC0C" w:rsidTr="00D823FD">
        <w:tc>
          <w:tcPr>
            <w:tcW w:w="1276" w:type="dxa"/>
            <w:shd w:val="clear" w:color="auto" w:fill="FFFFFF"/>
          </w:tcPr>
          <w:p w14:paraId="7FCA4693" w14:textId="6880F3DC" w:rsidR="00AA7110" w:rsidRPr="00DD13C7" w:rsidRDefault="00AA7110" w:rsidP="00AA7110">
            <w:pPr>
              <w:pStyle w:val="CETBodytext"/>
              <w:ind w:right="-1"/>
              <w:rPr>
                <w:rFonts w:cs="Arial"/>
                <w:szCs w:val="18"/>
                <w:lang w:val="en-GB"/>
              </w:rPr>
            </w:pPr>
            <w:r>
              <w:rPr>
                <w:rFonts w:cs="Arial"/>
                <w:szCs w:val="18"/>
                <w:lang w:val="en-GB"/>
              </w:rPr>
              <w:t>C</w:t>
            </w:r>
          </w:p>
        </w:tc>
        <w:tc>
          <w:tcPr>
            <w:tcW w:w="1701" w:type="dxa"/>
            <w:shd w:val="clear" w:color="auto" w:fill="FFFFFF"/>
          </w:tcPr>
          <w:p w14:paraId="0E026FB0" w14:textId="1230089C" w:rsidR="00AA7110" w:rsidRDefault="00AA7110" w:rsidP="00AA7110">
            <w:pPr>
              <w:pStyle w:val="CETBodytext"/>
              <w:ind w:right="-1"/>
              <w:jc w:val="left"/>
              <w:rPr>
                <w:lang w:val="en-GB"/>
              </w:rPr>
            </w:pPr>
            <w:r>
              <w:rPr>
                <w:lang w:val="en-GB"/>
              </w:rPr>
              <w:t>5.8</w:t>
            </w:r>
          </w:p>
        </w:tc>
        <w:tc>
          <w:tcPr>
            <w:tcW w:w="1701" w:type="dxa"/>
            <w:shd w:val="clear" w:color="auto" w:fill="FFFFFF"/>
          </w:tcPr>
          <w:p w14:paraId="0E837733" w14:textId="64238483" w:rsidR="00AA7110" w:rsidRPr="00B57B36" w:rsidRDefault="00AA7110" w:rsidP="00AA7110">
            <w:pPr>
              <w:pStyle w:val="CETBodytext"/>
              <w:ind w:right="-1"/>
              <w:rPr>
                <w:rFonts w:cs="Arial"/>
                <w:szCs w:val="18"/>
                <w:lang w:val="en-GB"/>
              </w:rPr>
            </w:pPr>
            <w:r w:rsidRPr="00E505F9">
              <w:t>174</w:t>
            </w:r>
          </w:p>
        </w:tc>
        <w:tc>
          <w:tcPr>
            <w:tcW w:w="1701" w:type="dxa"/>
            <w:shd w:val="clear" w:color="auto" w:fill="FFFFFF"/>
          </w:tcPr>
          <w:p w14:paraId="6480A535" w14:textId="07D4E2BD" w:rsidR="00AA7110" w:rsidRPr="00B57B36" w:rsidRDefault="00AA7110" w:rsidP="00AA7110">
            <w:pPr>
              <w:pStyle w:val="CETBodytext"/>
              <w:ind w:right="-1"/>
              <w:rPr>
                <w:rFonts w:cs="Arial"/>
                <w:szCs w:val="18"/>
                <w:lang w:val="en-GB"/>
              </w:rPr>
            </w:pPr>
            <w:r w:rsidRPr="009F3EC2">
              <w:t>51</w:t>
            </w:r>
            <w:r>
              <w:t>.</w:t>
            </w:r>
            <w:r w:rsidR="000074CA">
              <w:t>6</w:t>
            </w:r>
          </w:p>
        </w:tc>
        <w:tc>
          <w:tcPr>
            <w:tcW w:w="1134" w:type="dxa"/>
            <w:shd w:val="clear" w:color="auto" w:fill="FFFFFF"/>
          </w:tcPr>
          <w:p w14:paraId="364EDF9C" w14:textId="510D6ECF" w:rsidR="00AA7110" w:rsidRPr="00B57B36" w:rsidRDefault="00AA7110" w:rsidP="00AA7110">
            <w:pPr>
              <w:pStyle w:val="CETBodytext"/>
              <w:ind w:right="-1"/>
              <w:rPr>
                <w:rFonts w:cs="Arial"/>
                <w:szCs w:val="18"/>
                <w:lang w:val="en-GB"/>
              </w:rPr>
            </w:pPr>
            <w:r w:rsidRPr="002760E1">
              <w:t>-1</w:t>
            </w:r>
            <w:r>
              <w:t>6</w:t>
            </w:r>
          </w:p>
        </w:tc>
        <w:tc>
          <w:tcPr>
            <w:tcW w:w="1274" w:type="dxa"/>
            <w:shd w:val="clear" w:color="auto" w:fill="FFFFFF"/>
          </w:tcPr>
          <w:p w14:paraId="0F077F80" w14:textId="185D9109" w:rsidR="00AA7110" w:rsidRPr="00B57B36" w:rsidRDefault="00AA7110" w:rsidP="00AA7110">
            <w:pPr>
              <w:pStyle w:val="CETBodytext"/>
              <w:ind w:right="-1"/>
              <w:rPr>
                <w:rFonts w:cs="Arial"/>
                <w:szCs w:val="18"/>
                <w:lang w:val="en-GB"/>
              </w:rPr>
            </w:pPr>
            <w:r>
              <w:rPr>
                <w:rFonts w:cs="Arial"/>
                <w:szCs w:val="18"/>
                <w:lang w:val="en-GB"/>
              </w:rPr>
              <w:t>4.8</w:t>
            </w:r>
          </w:p>
        </w:tc>
      </w:tr>
    </w:tbl>
    <w:p w14:paraId="3607AFAD" w14:textId="77777777" w:rsidR="00227C89" w:rsidRDefault="00227C89" w:rsidP="00227C89">
      <w:pPr>
        <w:pStyle w:val="CETListbullets"/>
        <w:ind w:left="0" w:firstLine="0"/>
      </w:pPr>
    </w:p>
    <w:p w14:paraId="7630486F" w14:textId="5912A98B" w:rsidR="00ED3ED1" w:rsidRDefault="00391376" w:rsidP="009E7079">
      <w:pPr>
        <w:pStyle w:val="CETListbullets"/>
        <w:ind w:left="0" w:firstLine="0"/>
      </w:pPr>
      <w:r>
        <w:t xml:space="preserve">Another important sampling parameter is the number of pizzas cooked during each day of tests: this was kept constant at a value equal to 16. </w:t>
      </w:r>
    </w:p>
    <w:p w14:paraId="3A92009F" w14:textId="4FA57B9C" w:rsidR="009E7079" w:rsidRPr="00F70098" w:rsidRDefault="00E97AD3" w:rsidP="009E7079">
      <w:pPr>
        <w:pStyle w:val="CETListbullets"/>
        <w:ind w:left="0" w:firstLine="0"/>
      </w:pPr>
      <w:r>
        <w:t>The emissions of the air pollutants for the various cycles were calculated as the average of the measured values for each cycle</w:t>
      </w:r>
      <w:r w:rsidR="00B023D7">
        <w:t xml:space="preserve">, </w:t>
      </w:r>
      <w:r>
        <w:t>with and without pizza cooking</w:t>
      </w:r>
      <w:r w:rsidR="00B023D7">
        <w:t xml:space="preserve"> (Table </w:t>
      </w:r>
      <w:r w:rsidR="008B6A2F">
        <w:t>3</w:t>
      </w:r>
      <w:r w:rsidR="00B023D7">
        <w:t>)</w:t>
      </w:r>
      <w:r>
        <w:t>.</w:t>
      </w:r>
      <w:r w:rsidR="00BD10DA">
        <w:t xml:space="preserve"> </w:t>
      </w:r>
      <w:r w:rsidR="00B023D7">
        <w:t xml:space="preserve">The impact of the pizzas will be discussed in the </w:t>
      </w:r>
      <w:r w:rsidR="00B023D7">
        <w:lastRenderedPageBreak/>
        <w:t xml:space="preserve">following section. </w:t>
      </w:r>
      <w:r w:rsidR="00F70098">
        <w:t>NO</w:t>
      </w:r>
      <w:r w:rsidR="00F70098">
        <w:rPr>
          <w:vertAlign w:val="subscript"/>
        </w:rPr>
        <w:t>x</w:t>
      </w:r>
      <w:r w:rsidR="00F70098">
        <w:t xml:space="preserve"> and TPM concentrations fall within the </w:t>
      </w:r>
      <w:r w:rsidR="006D61C1">
        <w:t xml:space="preserve">wide </w:t>
      </w:r>
      <w:r w:rsidR="00F70098">
        <w:t xml:space="preserve">range of </w:t>
      </w:r>
      <w:r w:rsidR="000D69F5">
        <w:t xml:space="preserve">values observed in literature data for domestic wood-burning appliances (Tomlin, 2021). </w:t>
      </w:r>
      <w:r w:rsidR="006D61C1">
        <w:t xml:space="preserve">Differently, </w:t>
      </w:r>
      <w:r w:rsidR="00A65E9C">
        <w:t xml:space="preserve">when compared to the same devices, </w:t>
      </w:r>
      <w:r w:rsidR="006D61C1">
        <w:t>the tested oven emitted lower concentrations of CO and OGC</w:t>
      </w:r>
      <w:r w:rsidR="00A65E9C">
        <w:t xml:space="preserve">, closer to the performances of pellet </w:t>
      </w:r>
      <w:r w:rsidR="002F643E">
        <w:t>fuelled</w:t>
      </w:r>
      <w:r w:rsidR="00215D49">
        <w:t xml:space="preserve"> appliances</w:t>
      </w:r>
      <w:r w:rsidR="00A65E9C">
        <w:t xml:space="preserve"> (Ozgen, 2014). </w:t>
      </w:r>
    </w:p>
    <w:p w14:paraId="37EABA1E" w14:textId="4CA32E0D" w:rsidR="009F6C41" w:rsidRPr="00B57B36" w:rsidRDefault="009F6C41" w:rsidP="009F6C41">
      <w:pPr>
        <w:pStyle w:val="CETTabletitle"/>
      </w:pPr>
      <w:r w:rsidRPr="00B57B36">
        <w:t xml:space="preserve">Table </w:t>
      </w:r>
      <w:r w:rsidR="008B6A2F">
        <w:t>3</w:t>
      </w:r>
      <w:r w:rsidRPr="00B57B36">
        <w:t xml:space="preserve">: </w:t>
      </w:r>
      <w:r>
        <w:t>Average concentration</w:t>
      </w:r>
      <w:r w:rsidR="00835ED8">
        <w:t>s</w:t>
      </w:r>
      <w:r w:rsidR="00BD10DA">
        <w:t xml:space="preserve"> of the measured substances</w:t>
      </w:r>
    </w:p>
    <w:tbl>
      <w:tblPr>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70"/>
        <w:gridCol w:w="525"/>
        <w:gridCol w:w="605"/>
        <w:gridCol w:w="571"/>
        <w:gridCol w:w="568"/>
        <w:gridCol w:w="743"/>
        <w:gridCol w:w="815"/>
        <w:gridCol w:w="141"/>
        <w:gridCol w:w="568"/>
        <w:gridCol w:w="469"/>
        <w:gridCol w:w="583"/>
        <w:gridCol w:w="506"/>
        <w:gridCol w:w="1276"/>
        <w:gridCol w:w="847"/>
      </w:tblGrid>
      <w:tr w:rsidR="003E1695" w:rsidRPr="00B57B36" w14:paraId="35265F96" w14:textId="613A43C9" w:rsidTr="003E1695">
        <w:trPr>
          <w:trHeight w:val="279"/>
        </w:trPr>
        <w:tc>
          <w:tcPr>
            <w:tcW w:w="324" w:type="pct"/>
            <w:tcBorders>
              <w:top w:val="single" w:sz="12" w:space="0" w:color="008000"/>
              <w:bottom w:val="single" w:sz="6" w:space="0" w:color="008000"/>
            </w:tcBorders>
            <w:shd w:val="clear" w:color="auto" w:fill="FFFFFF"/>
          </w:tcPr>
          <w:p w14:paraId="2D6C9593" w14:textId="77777777" w:rsidR="00B023D7" w:rsidRDefault="00B023D7" w:rsidP="00814766">
            <w:pPr>
              <w:pStyle w:val="CETBodytext"/>
              <w:jc w:val="left"/>
              <w:rPr>
                <w:lang w:val="en-GB"/>
              </w:rPr>
            </w:pPr>
          </w:p>
        </w:tc>
        <w:tc>
          <w:tcPr>
            <w:tcW w:w="2178" w:type="pct"/>
            <w:gridSpan w:val="6"/>
            <w:tcBorders>
              <w:top w:val="single" w:sz="12" w:space="0" w:color="008000"/>
              <w:bottom w:val="single" w:sz="6" w:space="0" w:color="008000"/>
            </w:tcBorders>
            <w:shd w:val="clear" w:color="auto" w:fill="FFFFFF"/>
          </w:tcPr>
          <w:p w14:paraId="0786DC53" w14:textId="44F86B91" w:rsidR="00B023D7" w:rsidRDefault="00B023D7" w:rsidP="00814766">
            <w:pPr>
              <w:pStyle w:val="CETBodytext"/>
              <w:ind w:right="-1"/>
              <w:jc w:val="center"/>
              <w:rPr>
                <w:rFonts w:cs="Arial"/>
                <w:szCs w:val="18"/>
                <w:lang w:val="en-GB"/>
              </w:rPr>
            </w:pPr>
            <w:r>
              <w:rPr>
                <w:rFonts w:cs="Arial"/>
                <w:szCs w:val="18"/>
                <w:lang w:val="en-GB"/>
              </w:rPr>
              <w:t>HOT FLUE GASES</w:t>
            </w:r>
          </w:p>
        </w:tc>
        <w:tc>
          <w:tcPr>
            <w:tcW w:w="80" w:type="pct"/>
            <w:tcBorders>
              <w:top w:val="single" w:sz="12" w:space="0" w:color="008000"/>
              <w:bottom w:val="single" w:sz="6" w:space="0" w:color="008000"/>
            </w:tcBorders>
            <w:shd w:val="clear" w:color="auto" w:fill="FFFFFF"/>
          </w:tcPr>
          <w:p w14:paraId="24BB3225" w14:textId="6115F396" w:rsidR="00B023D7" w:rsidRDefault="00B023D7" w:rsidP="00BD10DA">
            <w:pPr>
              <w:pStyle w:val="CETBodytext"/>
              <w:ind w:right="-1"/>
              <w:jc w:val="center"/>
              <w:rPr>
                <w:rFonts w:cs="Arial"/>
                <w:szCs w:val="18"/>
                <w:lang w:val="en-GB"/>
              </w:rPr>
            </w:pPr>
          </w:p>
        </w:tc>
        <w:tc>
          <w:tcPr>
            <w:tcW w:w="2418" w:type="pct"/>
            <w:gridSpan w:val="6"/>
            <w:tcBorders>
              <w:top w:val="single" w:sz="12" w:space="0" w:color="008000"/>
              <w:bottom w:val="single" w:sz="6" w:space="0" w:color="008000"/>
            </w:tcBorders>
            <w:shd w:val="clear" w:color="auto" w:fill="FFFFFF"/>
          </w:tcPr>
          <w:p w14:paraId="3EBEB4AE" w14:textId="6905F5FF" w:rsidR="00B023D7" w:rsidRDefault="00B023D7" w:rsidP="00BD10DA">
            <w:pPr>
              <w:pStyle w:val="CETBodytext"/>
              <w:ind w:right="-1"/>
              <w:jc w:val="center"/>
              <w:rPr>
                <w:rFonts w:cs="Arial"/>
                <w:szCs w:val="18"/>
                <w:lang w:val="en-GB"/>
              </w:rPr>
            </w:pPr>
            <w:r>
              <w:rPr>
                <w:rFonts w:cs="Arial"/>
                <w:szCs w:val="18"/>
                <w:lang w:val="en-GB"/>
              </w:rPr>
              <w:t>COLD FLUE GASES</w:t>
            </w:r>
          </w:p>
        </w:tc>
      </w:tr>
      <w:tr w:rsidR="003E1695" w:rsidRPr="00B57B36" w14:paraId="615EB3F0" w14:textId="34170257" w:rsidTr="003E1695">
        <w:trPr>
          <w:trHeight w:val="643"/>
        </w:trPr>
        <w:tc>
          <w:tcPr>
            <w:tcW w:w="324" w:type="pct"/>
            <w:tcBorders>
              <w:top w:val="single" w:sz="12" w:space="0" w:color="008000"/>
              <w:bottom w:val="single" w:sz="6" w:space="0" w:color="008000"/>
            </w:tcBorders>
            <w:shd w:val="clear" w:color="auto" w:fill="FFFFFF"/>
          </w:tcPr>
          <w:p w14:paraId="42F2F501" w14:textId="0B9FD020" w:rsidR="00B023D7" w:rsidRPr="00B57B36" w:rsidRDefault="00B023D7" w:rsidP="00814766">
            <w:pPr>
              <w:pStyle w:val="CETBodytext"/>
              <w:jc w:val="left"/>
              <w:rPr>
                <w:lang w:val="en-GB"/>
              </w:rPr>
            </w:pPr>
            <w:r>
              <w:rPr>
                <w:lang w:val="en-GB"/>
              </w:rPr>
              <w:t>Cycle</w:t>
            </w:r>
          </w:p>
        </w:tc>
        <w:tc>
          <w:tcPr>
            <w:tcW w:w="299" w:type="pct"/>
            <w:tcBorders>
              <w:top w:val="single" w:sz="12" w:space="0" w:color="008000"/>
              <w:bottom w:val="single" w:sz="6" w:space="0" w:color="008000"/>
            </w:tcBorders>
            <w:shd w:val="clear" w:color="auto" w:fill="FFFFFF"/>
          </w:tcPr>
          <w:p w14:paraId="158E0F4B" w14:textId="5B7A087D" w:rsidR="00B023D7" w:rsidRPr="009F6C41" w:rsidRDefault="00B023D7" w:rsidP="00814766">
            <w:pPr>
              <w:pStyle w:val="CETBodytext"/>
              <w:ind w:right="-1"/>
              <w:jc w:val="left"/>
              <w:rPr>
                <w:rFonts w:cs="Arial"/>
                <w:szCs w:val="18"/>
                <w:lang w:val="en-GB"/>
              </w:rPr>
            </w:pPr>
            <w:r>
              <w:rPr>
                <w:rFonts w:cs="Arial"/>
                <w:szCs w:val="18"/>
                <w:lang w:val="en-GB"/>
              </w:rPr>
              <w:t>NO</w:t>
            </w:r>
            <w:r>
              <w:rPr>
                <w:rFonts w:cs="Arial"/>
                <w:szCs w:val="18"/>
                <w:vertAlign w:val="subscript"/>
                <w:lang w:val="en-GB"/>
              </w:rPr>
              <w:t>x</w:t>
            </w:r>
            <w:r>
              <w:rPr>
                <w:rFonts w:cs="Arial"/>
                <w:szCs w:val="18"/>
                <w:lang w:val="en-GB"/>
              </w:rPr>
              <w:t xml:space="preserve"> / ppm</w:t>
            </w:r>
          </w:p>
        </w:tc>
        <w:tc>
          <w:tcPr>
            <w:tcW w:w="344" w:type="pct"/>
            <w:tcBorders>
              <w:top w:val="single" w:sz="12" w:space="0" w:color="008000"/>
              <w:bottom w:val="single" w:sz="6" w:space="0" w:color="008000"/>
            </w:tcBorders>
            <w:shd w:val="clear" w:color="auto" w:fill="FFFFFF"/>
          </w:tcPr>
          <w:p w14:paraId="05ED6539" w14:textId="5A7BD3D2" w:rsidR="00B023D7" w:rsidRPr="00B57B36" w:rsidRDefault="00B023D7" w:rsidP="00814766">
            <w:pPr>
              <w:pStyle w:val="CETBodytext"/>
              <w:ind w:right="-1"/>
              <w:jc w:val="left"/>
              <w:rPr>
                <w:rFonts w:cs="Arial"/>
                <w:szCs w:val="18"/>
                <w:lang w:val="en-GB"/>
              </w:rPr>
            </w:pPr>
            <w:r>
              <w:rPr>
                <w:rFonts w:cs="Arial"/>
                <w:szCs w:val="18"/>
                <w:lang w:val="en-GB"/>
              </w:rPr>
              <w:t xml:space="preserve">CO / ppm </w:t>
            </w:r>
          </w:p>
        </w:tc>
        <w:tc>
          <w:tcPr>
            <w:tcW w:w="325" w:type="pct"/>
            <w:tcBorders>
              <w:top w:val="single" w:sz="12" w:space="0" w:color="008000"/>
              <w:bottom w:val="single" w:sz="6" w:space="0" w:color="008000"/>
            </w:tcBorders>
            <w:shd w:val="clear" w:color="auto" w:fill="FFFFFF"/>
          </w:tcPr>
          <w:p w14:paraId="590490EF" w14:textId="230A7057" w:rsidR="00B023D7" w:rsidRPr="009F6C41" w:rsidRDefault="00B023D7" w:rsidP="00814766">
            <w:pPr>
              <w:pStyle w:val="CETBodytext"/>
              <w:ind w:right="-1"/>
              <w:jc w:val="left"/>
              <w:rPr>
                <w:rFonts w:cs="Arial"/>
                <w:szCs w:val="18"/>
                <w:lang w:val="en-GB"/>
              </w:rPr>
            </w:pPr>
            <w:r>
              <w:rPr>
                <w:rFonts w:cs="Arial"/>
                <w:szCs w:val="18"/>
                <w:lang w:val="en-GB"/>
              </w:rPr>
              <w:t>CO</w:t>
            </w:r>
            <w:r>
              <w:rPr>
                <w:rFonts w:cs="Arial"/>
                <w:szCs w:val="18"/>
                <w:vertAlign w:val="subscript"/>
                <w:lang w:val="en-GB"/>
              </w:rPr>
              <w:t>2</w:t>
            </w:r>
            <w:r>
              <w:rPr>
                <w:rFonts w:cs="Arial"/>
                <w:szCs w:val="18"/>
                <w:lang w:val="en-GB"/>
              </w:rPr>
              <w:t xml:space="preserve"> /         %v</w:t>
            </w:r>
          </w:p>
        </w:tc>
        <w:tc>
          <w:tcPr>
            <w:tcW w:w="323" w:type="pct"/>
            <w:tcBorders>
              <w:top w:val="single" w:sz="12" w:space="0" w:color="008000"/>
              <w:bottom w:val="single" w:sz="6" w:space="0" w:color="008000"/>
            </w:tcBorders>
            <w:shd w:val="clear" w:color="auto" w:fill="FFFFFF"/>
          </w:tcPr>
          <w:p w14:paraId="4B963943" w14:textId="7EA7333B" w:rsidR="00B023D7" w:rsidRPr="00814766" w:rsidRDefault="00B023D7" w:rsidP="00BD10DA">
            <w:pPr>
              <w:pStyle w:val="CETBodytext"/>
              <w:ind w:right="-1"/>
              <w:jc w:val="left"/>
              <w:rPr>
                <w:rFonts w:cs="Arial"/>
                <w:szCs w:val="18"/>
                <w:lang w:val="en-GB"/>
              </w:rPr>
            </w:pPr>
            <w:r>
              <w:rPr>
                <w:rFonts w:cs="Arial"/>
                <w:szCs w:val="18"/>
                <w:lang w:val="en-GB"/>
              </w:rPr>
              <w:t>O</w:t>
            </w:r>
            <w:r>
              <w:rPr>
                <w:rFonts w:cs="Arial"/>
                <w:szCs w:val="18"/>
                <w:vertAlign w:val="subscript"/>
                <w:lang w:val="en-GB"/>
              </w:rPr>
              <w:t>2</w:t>
            </w:r>
            <w:r>
              <w:rPr>
                <w:rFonts w:cs="Arial"/>
                <w:szCs w:val="18"/>
                <w:lang w:val="en-GB"/>
              </w:rPr>
              <w:t xml:space="preserve"> / %v</w:t>
            </w:r>
          </w:p>
        </w:tc>
        <w:tc>
          <w:tcPr>
            <w:tcW w:w="423" w:type="pct"/>
            <w:tcBorders>
              <w:top w:val="single" w:sz="12" w:space="0" w:color="008000"/>
              <w:bottom w:val="single" w:sz="6" w:space="0" w:color="008000"/>
            </w:tcBorders>
            <w:shd w:val="clear" w:color="auto" w:fill="FFFFFF"/>
          </w:tcPr>
          <w:p w14:paraId="28275612" w14:textId="6F3EE359" w:rsidR="00B023D7" w:rsidRDefault="00B023D7" w:rsidP="00814766">
            <w:pPr>
              <w:pStyle w:val="CETBodytext"/>
              <w:ind w:right="-1"/>
              <w:jc w:val="left"/>
              <w:rPr>
                <w:rFonts w:cs="Arial"/>
                <w:szCs w:val="18"/>
                <w:lang w:val="en-GB"/>
              </w:rPr>
            </w:pPr>
            <w:r>
              <w:rPr>
                <w:rFonts w:cs="Arial"/>
                <w:szCs w:val="18"/>
                <w:lang w:val="en-GB"/>
              </w:rPr>
              <w:t xml:space="preserve">OGC /  </w:t>
            </w:r>
          </w:p>
          <w:p w14:paraId="7F50FF4A" w14:textId="6088FB2D" w:rsidR="00B023D7" w:rsidRPr="00814766" w:rsidRDefault="00B023D7" w:rsidP="00814766">
            <w:pPr>
              <w:pStyle w:val="CETBodytext"/>
              <w:ind w:right="-1"/>
              <w:jc w:val="left"/>
              <w:rPr>
                <w:rFonts w:cs="Arial"/>
                <w:szCs w:val="18"/>
                <w:vertAlign w:val="superscript"/>
                <w:lang w:val="en-GB"/>
              </w:rPr>
            </w:pPr>
            <w:r>
              <w:rPr>
                <w:rFonts w:cs="Arial"/>
                <w:szCs w:val="18"/>
                <w:lang w:val="en-GB"/>
              </w:rPr>
              <w:t>mg m</w:t>
            </w:r>
            <w:r>
              <w:rPr>
                <w:rFonts w:cs="Arial"/>
                <w:szCs w:val="18"/>
                <w:vertAlign w:val="superscript"/>
                <w:lang w:val="en-GB"/>
              </w:rPr>
              <w:t>-3</w:t>
            </w:r>
          </w:p>
        </w:tc>
        <w:tc>
          <w:tcPr>
            <w:tcW w:w="464" w:type="pct"/>
            <w:tcBorders>
              <w:top w:val="single" w:sz="12" w:space="0" w:color="008000"/>
              <w:bottom w:val="single" w:sz="6" w:space="0" w:color="008000"/>
            </w:tcBorders>
            <w:shd w:val="clear" w:color="auto" w:fill="FFFFFF"/>
          </w:tcPr>
          <w:p w14:paraId="30BE03E0" w14:textId="76571355" w:rsidR="00B023D7" w:rsidRDefault="00B023D7" w:rsidP="00814766">
            <w:pPr>
              <w:pStyle w:val="CETBodytext"/>
              <w:ind w:right="-1"/>
              <w:jc w:val="left"/>
              <w:rPr>
                <w:rFonts w:cs="Arial"/>
                <w:szCs w:val="18"/>
                <w:lang w:val="en-GB"/>
              </w:rPr>
            </w:pPr>
            <w:r>
              <w:rPr>
                <w:rFonts w:cs="Arial"/>
                <w:szCs w:val="18"/>
                <w:lang w:val="en-GB"/>
              </w:rPr>
              <w:t xml:space="preserve">TPM /          </w:t>
            </w:r>
          </w:p>
          <w:p w14:paraId="56C7D37B" w14:textId="59E13BBF" w:rsidR="00B023D7" w:rsidRPr="00814766" w:rsidRDefault="00B023D7" w:rsidP="00814766">
            <w:pPr>
              <w:pStyle w:val="CETBodytext"/>
              <w:ind w:right="-1"/>
              <w:jc w:val="left"/>
              <w:rPr>
                <w:rFonts w:cs="Arial"/>
                <w:szCs w:val="18"/>
                <w:vertAlign w:val="superscript"/>
                <w:lang w:val="en-GB"/>
              </w:rPr>
            </w:pPr>
            <w:r>
              <w:rPr>
                <w:rFonts w:cs="Arial"/>
                <w:szCs w:val="18"/>
                <w:lang w:val="en-GB"/>
              </w:rPr>
              <w:t>mg Nm</w:t>
            </w:r>
            <w:r>
              <w:rPr>
                <w:rFonts w:cs="Arial"/>
                <w:szCs w:val="18"/>
                <w:vertAlign w:val="superscript"/>
                <w:lang w:val="en-GB"/>
              </w:rPr>
              <w:t>-3</w:t>
            </w:r>
          </w:p>
        </w:tc>
        <w:tc>
          <w:tcPr>
            <w:tcW w:w="80" w:type="pct"/>
            <w:tcBorders>
              <w:top w:val="single" w:sz="12" w:space="0" w:color="008000"/>
              <w:bottom w:val="single" w:sz="6" w:space="0" w:color="008000"/>
            </w:tcBorders>
            <w:shd w:val="clear" w:color="auto" w:fill="FFFFFF"/>
          </w:tcPr>
          <w:p w14:paraId="048EAFFF" w14:textId="77777777" w:rsidR="00B023D7" w:rsidRDefault="00B023D7" w:rsidP="00814766">
            <w:pPr>
              <w:pStyle w:val="CETBodytext"/>
              <w:ind w:right="-1"/>
              <w:jc w:val="left"/>
              <w:rPr>
                <w:rFonts w:cs="Arial"/>
                <w:szCs w:val="18"/>
                <w:lang w:val="en-GB"/>
              </w:rPr>
            </w:pPr>
          </w:p>
        </w:tc>
        <w:tc>
          <w:tcPr>
            <w:tcW w:w="323" w:type="pct"/>
            <w:tcBorders>
              <w:top w:val="single" w:sz="12" w:space="0" w:color="008000"/>
              <w:bottom w:val="single" w:sz="6" w:space="0" w:color="008000"/>
            </w:tcBorders>
            <w:shd w:val="clear" w:color="auto" w:fill="FFFFFF"/>
          </w:tcPr>
          <w:p w14:paraId="04196023" w14:textId="3C7F8E9B" w:rsidR="00B023D7" w:rsidRDefault="00B023D7" w:rsidP="00814766">
            <w:pPr>
              <w:pStyle w:val="CETBodytext"/>
              <w:ind w:right="-1"/>
              <w:jc w:val="left"/>
              <w:rPr>
                <w:rFonts w:cs="Arial"/>
                <w:szCs w:val="18"/>
                <w:lang w:val="en-GB"/>
              </w:rPr>
            </w:pPr>
            <w:r>
              <w:rPr>
                <w:rFonts w:cs="Arial"/>
                <w:szCs w:val="18"/>
                <w:lang w:val="en-GB"/>
              </w:rPr>
              <w:t>NO</w:t>
            </w:r>
            <w:r>
              <w:rPr>
                <w:rFonts w:cs="Arial"/>
                <w:szCs w:val="18"/>
                <w:vertAlign w:val="subscript"/>
                <w:lang w:val="en-GB"/>
              </w:rPr>
              <w:t>x</w:t>
            </w:r>
            <w:r>
              <w:rPr>
                <w:rFonts w:cs="Arial"/>
                <w:szCs w:val="18"/>
                <w:lang w:val="en-GB"/>
              </w:rPr>
              <w:t xml:space="preserve"> / ppm</w:t>
            </w:r>
          </w:p>
        </w:tc>
        <w:tc>
          <w:tcPr>
            <w:tcW w:w="267" w:type="pct"/>
            <w:tcBorders>
              <w:top w:val="single" w:sz="12" w:space="0" w:color="008000"/>
              <w:bottom w:val="single" w:sz="6" w:space="0" w:color="008000"/>
            </w:tcBorders>
            <w:shd w:val="clear" w:color="auto" w:fill="FFFFFF"/>
          </w:tcPr>
          <w:p w14:paraId="1F7FF7BE" w14:textId="5DFC5EBB" w:rsidR="00B023D7" w:rsidRDefault="00B023D7" w:rsidP="00814766">
            <w:pPr>
              <w:pStyle w:val="CETBodytext"/>
              <w:ind w:right="-1"/>
              <w:jc w:val="left"/>
              <w:rPr>
                <w:rFonts w:cs="Arial"/>
                <w:szCs w:val="18"/>
                <w:lang w:val="en-GB"/>
              </w:rPr>
            </w:pPr>
            <w:r>
              <w:rPr>
                <w:rFonts w:cs="Arial"/>
                <w:szCs w:val="18"/>
                <w:lang w:val="en-GB"/>
              </w:rPr>
              <w:t xml:space="preserve">CO / ppm </w:t>
            </w:r>
          </w:p>
        </w:tc>
        <w:tc>
          <w:tcPr>
            <w:tcW w:w="332" w:type="pct"/>
            <w:tcBorders>
              <w:top w:val="single" w:sz="12" w:space="0" w:color="008000"/>
              <w:bottom w:val="single" w:sz="6" w:space="0" w:color="008000"/>
            </w:tcBorders>
            <w:shd w:val="clear" w:color="auto" w:fill="FFFFFF"/>
          </w:tcPr>
          <w:p w14:paraId="08C38899" w14:textId="52FB9D88" w:rsidR="00B023D7" w:rsidRDefault="00B023D7" w:rsidP="00814766">
            <w:pPr>
              <w:pStyle w:val="CETBodytext"/>
              <w:ind w:right="-1"/>
              <w:jc w:val="left"/>
              <w:rPr>
                <w:rFonts w:cs="Arial"/>
                <w:szCs w:val="18"/>
                <w:lang w:val="en-GB"/>
              </w:rPr>
            </w:pPr>
            <w:r>
              <w:rPr>
                <w:rFonts w:cs="Arial"/>
                <w:szCs w:val="18"/>
                <w:lang w:val="en-GB"/>
              </w:rPr>
              <w:t>CO</w:t>
            </w:r>
            <w:r>
              <w:rPr>
                <w:rFonts w:cs="Arial"/>
                <w:szCs w:val="18"/>
                <w:vertAlign w:val="subscript"/>
                <w:lang w:val="en-GB"/>
              </w:rPr>
              <w:t>2</w:t>
            </w:r>
            <w:r>
              <w:rPr>
                <w:rFonts w:cs="Arial"/>
                <w:szCs w:val="18"/>
                <w:lang w:val="en-GB"/>
              </w:rPr>
              <w:t xml:space="preserve"> / %v</w:t>
            </w:r>
          </w:p>
        </w:tc>
        <w:tc>
          <w:tcPr>
            <w:tcW w:w="288" w:type="pct"/>
            <w:tcBorders>
              <w:top w:val="single" w:sz="12" w:space="0" w:color="008000"/>
              <w:bottom w:val="single" w:sz="6" w:space="0" w:color="008000"/>
            </w:tcBorders>
            <w:shd w:val="clear" w:color="auto" w:fill="FFFFFF"/>
          </w:tcPr>
          <w:p w14:paraId="357CF48E" w14:textId="4A1EFDCA" w:rsidR="00B023D7" w:rsidRDefault="00B023D7" w:rsidP="00814766">
            <w:pPr>
              <w:pStyle w:val="CETBodytext"/>
              <w:ind w:right="-1"/>
              <w:jc w:val="left"/>
              <w:rPr>
                <w:rFonts w:cs="Arial"/>
                <w:szCs w:val="18"/>
                <w:lang w:val="en-GB"/>
              </w:rPr>
            </w:pPr>
            <w:r>
              <w:rPr>
                <w:rFonts w:cs="Arial"/>
                <w:szCs w:val="18"/>
                <w:lang w:val="en-GB"/>
              </w:rPr>
              <w:t>O</w:t>
            </w:r>
            <w:r>
              <w:rPr>
                <w:rFonts w:cs="Arial"/>
                <w:szCs w:val="18"/>
                <w:vertAlign w:val="subscript"/>
                <w:lang w:val="en-GB"/>
              </w:rPr>
              <w:t>2</w:t>
            </w:r>
            <w:r>
              <w:rPr>
                <w:rFonts w:cs="Arial"/>
                <w:szCs w:val="18"/>
                <w:lang w:val="en-GB"/>
              </w:rPr>
              <w:t xml:space="preserve"> / </w:t>
            </w:r>
          </w:p>
          <w:p w14:paraId="5C7A2E98" w14:textId="4DE0784E" w:rsidR="00B023D7" w:rsidRDefault="00B023D7" w:rsidP="00814766">
            <w:pPr>
              <w:pStyle w:val="CETBodytext"/>
              <w:ind w:right="-1"/>
              <w:jc w:val="left"/>
              <w:rPr>
                <w:rFonts w:cs="Arial"/>
                <w:szCs w:val="18"/>
                <w:lang w:val="en-GB"/>
              </w:rPr>
            </w:pPr>
            <w:r>
              <w:rPr>
                <w:rFonts w:cs="Arial"/>
                <w:szCs w:val="18"/>
                <w:lang w:val="en-GB"/>
              </w:rPr>
              <w:t>%v</w:t>
            </w:r>
          </w:p>
        </w:tc>
        <w:tc>
          <w:tcPr>
            <w:tcW w:w="726" w:type="pct"/>
            <w:tcBorders>
              <w:top w:val="single" w:sz="12" w:space="0" w:color="008000"/>
              <w:bottom w:val="single" w:sz="6" w:space="0" w:color="008000"/>
            </w:tcBorders>
            <w:shd w:val="clear" w:color="auto" w:fill="FFFFFF"/>
          </w:tcPr>
          <w:p w14:paraId="258E4828" w14:textId="5F51B3A3" w:rsidR="00B023D7" w:rsidRDefault="00B023D7" w:rsidP="00BD10DA">
            <w:pPr>
              <w:pStyle w:val="CETBodytext"/>
              <w:ind w:right="-1"/>
              <w:jc w:val="left"/>
              <w:rPr>
                <w:rFonts w:cs="Arial"/>
                <w:szCs w:val="18"/>
                <w:lang w:val="en-GB"/>
              </w:rPr>
            </w:pPr>
            <w:r>
              <w:rPr>
                <w:rFonts w:cs="Arial"/>
                <w:szCs w:val="18"/>
                <w:lang w:val="en-GB"/>
              </w:rPr>
              <w:t>Dust (opacimeter) / mg m</w:t>
            </w:r>
            <w:r>
              <w:rPr>
                <w:rFonts w:cs="Arial"/>
                <w:szCs w:val="18"/>
                <w:vertAlign w:val="superscript"/>
                <w:lang w:val="en-GB"/>
              </w:rPr>
              <w:t>-3</w:t>
            </w:r>
          </w:p>
        </w:tc>
        <w:tc>
          <w:tcPr>
            <w:tcW w:w="483" w:type="pct"/>
            <w:tcBorders>
              <w:top w:val="single" w:sz="12" w:space="0" w:color="008000"/>
              <w:bottom w:val="single" w:sz="6" w:space="0" w:color="008000"/>
            </w:tcBorders>
            <w:shd w:val="clear" w:color="auto" w:fill="FFFFFF"/>
          </w:tcPr>
          <w:p w14:paraId="6004FAAC" w14:textId="5D4D8C28" w:rsidR="00B023D7" w:rsidRDefault="00B023D7" w:rsidP="00814766">
            <w:pPr>
              <w:pStyle w:val="CETBodytext"/>
              <w:ind w:right="-1"/>
              <w:jc w:val="left"/>
              <w:rPr>
                <w:rFonts w:cs="Arial"/>
                <w:szCs w:val="18"/>
                <w:lang w:val="en-GB"/>
              </w:rPr>
            </w:pPr>
            <w:r>
              <w:rPr>
                <w:rFonts w:cs="Arial"/>
                <w:szCs w:val="18"/>
                <w:lang w:val="en-GB"/>
              </w:rPr>
              <w:t xml:space="preserve">TPM /          </w:t>
            </w:r>
          </w:p>
          <w:p w14:paraId="14C1B4AF" w14:textId="3A11844F" w:rsidR="00B023D7" w:rsidRDefault="00B023D7" w:rsidP="00814766">
            <w:pPr>
              <w:pStyle w:val="CETBodytext"/>
              <w:ind w:right="-1"/>
              <w:jc w:val="left"/>
              <w:rPr>
                <w:rFonts w:cs="Arial"/>
                <w:szCs w:val="18"/>
                <w:lang w:val="en-GB"/>
              </w:rPr>
            </w:pPr>
            <w:r>
              <w:rPr>
                <w:rFonts w:cs="Arial"/>
                <w:szCs w:val="18"/>
                <w:lang w:val="en-GB"/>
              </w:rPr>
              <w:t>mg Nm</w:t>
            </w:r>
            <w:r>
              <w:rPr>
                <w:rFonts w:cs="Arial"/>
                <w:szCs w:val="18"/>
                <w:vertAlign w:val="superscript"/>
                <w:lang w:val="en-GB"/>
              </w:rPr>
              <w:t>-3</w:t>
            </w:r>
          </w:p>
        </w:tc>
      </w:tr>
      <w:tr w:rsidR="003E1695" w:rsidRPr="00B57B36" w14:paraId="3673CAB6" w14:textId="2CCD440F" w:rsidTr="003E1695">
        <w:trPr>
          <w:trHeight w:val="342"/>
        </w:trPr>
        <w:tc>
          <w:tcPr>
            <w:tcW w:w="324" w:type="pct"/>
            <w:shd w:val="clear" w:color="auto" w:fill="FFFFFF"/>
          </w:tcPr>
          <w:p w14:paraId="0929FA59" w14:textId="58B40404" w:rsidR="00B023D7" w:rsidRPr="00B57B36" w:rsidRDefault="00B023D7" w:rsidP="003C7656">
            <w:pPr>
              <w:pStyle w:val="CETBodytext"/>
              <w:rPr>
                <w:lang w:val="en-GB"/>
              </w:rPr>
            </w:pPr>
            <w:r>
              <w:rPr>
                <w:lang w:val="en-GB"/>
              </w:rPr>
              <w:t>A</w:t>
            </w:r>
          </w:p>
        </w:tc>
        <w:tc>
          <w:tcPr>
            <w:tcW w:w="299" w:type="pct"/>
            <w:shd w:val="clear" w:color="auto" w:fill="FFFFFF"/>
          </w:tcPr>
          <w:p w14:paraId="065EC74C" w14:textId="3BF4C84D" w:rsidR="00B023D7" w:rsidRPr="00B57B36" w:rsidRDefault="00B023D7" w:rsidP="003C7656">
            <w:pPr>
              <w:pStyle w:val="CETBodytext"/>
              <w:ind w:right="-1"/>
              <w:rPr>
                <w:rFonts w:cs="Arial"/>
                <w:szCs w:val="18"/>
                <w:lang w:val="en-GB"/>
              </w:rPr>
            </w:pPr>
            <w:r w:rsidRPr="00573BF5">
              <w:t>21</w:t>
            </w:r>
            <w:r>
              <w:t>.8</w:t>
            </w:r>
          </w:p>
        </w:tc>
        <w:tc>
          <w:tcPr>
            <w:tcW w:w="344" w:type="pct"/>
            <w:shd w:val="clear" w:color="auto" w:fill="FFFFFF"/>
          </w:tcPr>
          <w:p w14:paraId="7D10689A" w14:textId="25B83929" w:rsidR="00B023D7" w:rsidRPr="00B57B36" w:rsidRDefault="00B023D7" w:rsidP="003C7656">
            <w:pPr>
              <w:pStyle w:val="CETBodytext"/>
              <w:ind w:right="-1"/>
              <w:rPr>
                <w:rFonts w:cs="Arial"/>
                <w:szCs w:val="18"/>
                <w:lang w:val="en-GB"/>
              </w:rPr>
            </w:pPr>
            <w:r w:rsidRPr="004B0791">
              <w:t>165</w:t>
            </w:r>
          </w:p>
        </w:tc>
        <w:tc>
          <w:tcPr>
            <w:tcW w:w="325" w:type="pct"/>
            <w:shd w:val="clear" w:color="auto" w:fill="FFFFFF"/>
          </w:tcPr>
          <w:p w14:paraId="6C928846" w14:textId="28A00ACF" w:rsidR="00B023D7" w:rsidRPr="00B57B36" w:rsidRDefault="00B023D7" w:rsidP="003C7656">
            <w:pPr>
              <w:pStyle w:val="CETBodytext"/>
              <w:ind w:right="-1"/>
              <w:rPr>
                <w:rFonts w:cs="Arial"/>
                <w:szCs w:val="18"/>
                <w:lang w:val="en-GB"/>
              </w:rPr>
            </w:pPr>
            <w:r w:rsidRPr="003D6E0B">
              <w:t>2</w:t>
            </w:r>
            <w:r>
              <w:t>.8</w:t>
            </w:r>
          </w:p>
        </w:tc>
        <w:tc>
          <w:tcPr>
            <w:tcW w:w="323" w:type="pct"/>
            <w:shd w:val="clear" w:color="auto" w:fill="FFFFFF"/>
          </w:tcPr>
          <w:p w14:paraId="23778687" w14:textId="46D566FF" w:rsidR="00B023D7" w:rsidRPr="00B57B36" w:rsidRDefault="00B023D7" w:rsidP="003C7656">
            <w:pPr>
              <w:pStyle w:val="CETBodytext"/>
              <w:ind w:right="-1"/>
              <w:rPr>
                <w:rFonts w:cs="Arial"/>
                <w:szCs w:val="18"/>
                <w:lang w:val="en-GB"/>
              </w:rPr>
            </w:pPr>
            <w:r w:rsidRPr="003D6E0B">
              <w:t>18</w:t>
            </w:r>
            <w:r>
              <w:t>.4</w:t>
            </w:r>
          </w:p>
        </w:tc>
        <w:tc>
          <w:tcPr>
            <w:tcW w:w="423" w:type="pct"/>
            <w:shd w:val="clear" w:color="auto" w:fill="FFFFFF"/>
          </w:tcPr>
          <w:p w14:paraId="7989CC69" w14:textId="744A34B1" w:rsidR="00B023D7" w:rsidRPr="00B57B36" w:rsidRDefault="00B023D7" w:rsidP="003C7656">
            <w:pPr>
              <w:pStyle w:val="CETBodytext"/>
              <w:ind w:right="-1"/>
              <w:rPr>
                <w:rFonts w:cs="Arial"/>
                <w:szCs w:val="18"/>
                <w:lang w:val="en-GB"/>
              </w:rPr>
            </w:pPr>
            <w:r w:rsidRPr="008269CB">
              <w:t>10</w:t>
            </w:r>
            <w:r>
              <w:t>.</w:t>
            </w:r>
            <w:r w:rsidRPr="008269CB">
              <w:t>5</w:t>
            </w:r>
          </w:p>
        </w:tc>
        <w:tc>
          <w:tcPr>
            <w:tcW w:w="464" w:type="pct"/>
            <w:shd w:val="clear" w:color="auto" w:fill="FFFFFF"/>
          </w:tcPr>
          <w:p w14:paraId="32524869" w14:textId="5D16E7C9" w:rsidR="00B023D7" w:rsidRPr="00B57B36" w:rsidRDefault="001E3632" w:rsidP="003C7656">
            <w:pPr>
              <w:pStyle w:val="CETBodytext"/>
              <w:ind w:right="-1"/>
              <w:rPr>
                <w:rFonts w:cs="Arial"/>
                <w:szCs w:val="18"/>
                <w:lang w:val="en-GB"/>
              </w:rPr>
            </w:pPr>
            <w:r>
              <w:t>100 (</w:t>
            </w:r>
            <m:oMath>
              <m:r>
                <w:rPr>
                  <w:rFonts w:ascii="Cambria Math" w:hAnsi="Cambria Math"/>
                </w:rPr>
                <m:t>±</m:t>
              </m:r>
            </m:oMath>
            <w:r>
              <w:t>10)</w:t>
            </w:r>
          </w:p>
        </w:tc>
        <w:tc>
          <w:tcPr>
            <w:tcW w:w="80" w:type="pct"/>
            <w:shd w:val="clear" w:color="auto" w:fill="FFFFFF"/>
          </w:tcPr>
          <w:p w14:paraId="0744762F" w14:textId="77777777" w:rsidR="00B023D7" w:rsidRPr="00BC445A" w:rsidRDefault="00B023D7" w:rsidP="003C7656">
            <w:pPr>
              <w:pStyle w:val="CETBodytext"/>
              <w:ind w:right="-1"/>
            </w:pPr>
          </w:p>
        </w:tc>
        <w:tc>
          <w:tcPr>
            <w:tcW w:w="323" w:type="pct"/>
            <w:shd w:val="clear" w:color="auto" w:fill="FFFFFF"/>
          </w:tcPr>
          <w:p w14:paraId="2EE12D02" w14:textId="71027B63" w:rsidR="00B023D7" w:rsidRPr="00B57B36" w:rsidRDefault="00B023D7" w:rsidP="003C7656">
            <w:pPr>
              <w:pStyle w:val="CETBodytext"/>
              <w:ind w:right="-1"/>
              <w:rPr>
                <w:rFonts w:cs="Arial"/>
                <w:szCs w:val="18"/>
                <w:lang w:val="en-GB"/>
              </w:rPr>
            </w:pPr>
            <w:r w:rsidRPr="00BC445A">
              <w:t>4</w:t>
            </w:r>
            <w:r>
              <w:t>.</w:t>
            </w:r>
            <w:r w:rsidRPr="00BC445A">
              <w:t>3</w:t>
            </w:r>
          </w:p>
        </w:tc>
        <w:tc>
          <w:tcPr>
            <w:tcW w:w="267" w:type="pct"/>
            <w:shd w:val="clear" w:color="auto" w:fill="FFFFFF"/>
          </w:tcPr>
          <w:p w14:paraId="1370EB2D" w14:textId="6D91DABC" w:rsidR="00B023D7" w:rsidRPr="00B57B36" w:rsidRDefault="00B023D7" w:rsidP="003C7656">
            <w:pPr>
              <w:pStyle w:val="CETBodytext"/>
              <w:ind w:right="-1"/>
              <w:rPr>
                <w:rFonts w:cs="Arial"/>
                <w:szCs w:val="18"/>
                <w:lang w:val="en-GB"/>
              </w:rPr>
            </w:pPr>
            <w:r w:rsidRPr="00BC445A">
              <w:t>34</w:t>
            </w:r>
            <w:r>
              <w:t>.2</w:t>
            </w:r>
          </w:p>
        </w:tc>
        <w:tc>
          <w:tcPr>
            <w:tcW w:w="332" w:type="pct"/>
            <w:shd w:val="clear" w:color="auto" w:fill="FFFFFF"/>
          </w:tcPr>
          <w:p w14:paraId="734AB359" w14:textId="1CE1BBB4" w:rsidR="00B023D7" w:rsidRPr="00B57B36" w:rsidRDefault="00B023D7" w:rsidP="003C7656">
            <w:pPr>
              <w:pStyle w:val="CETBodytext"/>
              <w:ind w:right="-1"/>
              <w:rPr>
                <w:rFonts w:cs="Arial"/>
                <w:szCs w:val="18"/>
                <w:lang w:val="en-GB"/>
              </w:rPr>
            </w:pPr>
            <w:r w:rsidRPr="00BC445A">
              <w:t>0</w:t>
            </w:r>
            <w:r>
              <w:t>.</w:t>
            </w:r>
            <w:r w:rsidRPr="00BC445A">
              <w:t>54</w:t>
            </w:r>
          </w:p>
        </w:tc>
        <w:tc>
          <w:tcPr>
            <w:tcW w:w="288" w:type="pct"/>
            <w:shd w:val="clear" w:color="auto" w:fill="FFFFFF"/>
          </w:tcPr>
          <w:p w14:paraId="64ECD38C" w14:textId="5B2AE307" w:rsidR="00B023D7" w:rsidRPr="00B57B36" w:rsidRDefault="00B023D7" w:rsidP="003C7656">
            <w:pPr>
              <w:pStyle w:val="CETBodytext"/>
              <w:ind w:right="-1"/>
              <w:rPr>
                <w:rFonts w:cs="Arial"/>
                <w:szCs w:val="18"/>
                <w:lang w:val="en-GB"/>
              </w:rPr>
            </w:pPr>
            <w:r w:rsidRPr="00BC445A">
              <w:t>20</w:t>
            </w:r>
            <w:r>
              <w:t>.5</w:t>
            </w:r>
          </w:p>
        </w:tc>
        <w:tc>
          <w:tcPr>
            <w:tcW w:w="726" w:type="pct"/>
            <w:shd w:val="clear" w:color="auto" w:fill="FFFFFF"/>
          </w:tcPr>
          <w:p w14:paraId="7C3595F1" w14:textId="515C3183" w:rsidR="00B023D7" w:rsidRPr="00B57B36" w:rsidRDefault="00B023D7" w:rsidP="003C7656">
            <w:pPr>
              <w:pStyle w:val="CETBodytext"/>
              <w:ind w:right="-1"/>
              <w:rPr>
                <w:rFonts w:cs="Arial"/>
                <w:szCs w:val="18"/>
                <w:lang w:val="en-GB"/>
              </w:rPr>
            </w:pPr>
            <w:r>
              <w:t>30.0</w:t>
            </w:r>
          </w:p>
        </w:tc>
        <w:tc>
          <w:tcPr>
            <w:tcW w:w="483" w:type="pct"/>
            <w:shd w:val="clear" w:color="auto" w:fill="FFFFFF"/>
          </w:tcPr>
          <w:p w14:paraId="595291C8" w14:textId="7D56040E" w:rsidR="00B023D7" w:rsidRPr="00B57B36" w:rsidRDefault="00B023D7" w:rsidP="003C7656">
            <w:pPr>
              <w:pStyle w:val="CETBodytext"/>
              <w:ind w:right="-1"/>
              <w:rPr>
                <w:rFonts w:cs="Arial"/>
                <w:szCs w:val="18"/>
                <w:lang w:val="en-GB"/>
              </w:rPr>
            </w:pPr>
            <w:r w:rsidRPr="00AA68D6">
              <w:t>91</w:t>
            </w:r>
            <w:r w:rsidR="001E3632">
              <w:t xml:space="preserve"> (</w:t>
            </w:r>
            <m:oMath>
              <m:r>
                <w:rPr>
                  <w:rFonts w:ascii="Cambria Math" w:hAnsi="Cambria Math"/>
                </w:rPr>
                <m:t>±</m:t>
              </m:r>
            </m:oMath>
            <w:r w:rsidR="001E3632">
              <w:t>8)</w:t>
            </w:r>
          </w:p>
        </w:tc>
      </w:tr>
      <w:tr w:rsidR="003E1695" w:rsidRPr="00B57B36" w14:paraId="36D3DF79" w14:textId="21A8618F" w:rsidTr="003E1695">
        <w:trPr>
          <w:trHeight w:val="321"/>
        </w:trPr>
        <w:tc>
          <w:tcPr>
            <w:tcW w:w="324" w:type="pct"/>
            <w:shd w:val="clear" w:color="auto" w:fill="FFFFFF"/>
          </w:tcPr>
          <w:p w14:paraId="1334779F" w14:textId="58E0633C" w:rsidR="00B023D7" w:rsidRPr="00DD13C7" w:rsidRDefault="00B023D7" w:rsidP="003C7656">
            <w:pPr>
              <w:pStyle w:val="CETBodytext"/>
              <w:ind w:right="-1"/>
              <w:rPr>
                <w:rFonts w:cs="Arial"/>
                <w:szCs w:val="18"/>
                <w:lang w:val="en-GB"/>
              </w:rPr>
            </w:pPr>
            <w:r>
              <w:rPr>
                <w:rFonts w:cs="Arial"/>
                <w:szCs w:val="18"/>
                <w:lang w:val="en-GB"/>
              </w:rPr>
              <w:t>B</w:t>
            </w:r>
          </w:p>
        </w:tc>
        <w:tc>
          <w:tcPr>
            <w:tcW w:w="299" w:type="pct"/>
            <w:shd w:val="clear" w:color="auto" w:fill="FFFFFF"/>
          </w:tcPr>
          <w:p w14:paraId="7AD66253" w14:textId="1F3B44F7" w:rsidR="00B023D7" w:rsidRPr="00B57B36" w:rsidRDefault="00B023D7" w:rsidP="003C7656">
            <w:pPr>
              <w:pStyle w:val="CETBodytext"/>
              <w:ind w:right="-1"/>
              <w:rPr>
                <w:rFonts w:cs="Arial"/>
                <w:szCs w:val="18"/>
                <w:lang w:val="en-GB"/>
              </w:rPr>
            </w:pPr>
            <w:r w:rsidRPr="00573BF5">
              <w:t>15</w:t>
            </w:r>
            <w:r>
              <w:t>.0</w:t>
            </w:r>
          </w:p>
        </w:tc>
        <w:tc>
          <w:tcPr>
            <w:tcW w:w="344" w:type="pct"/>
            <w:shd w:val="clear" w:color="auto" w:fill="FFFFFF"/>
          </w:tcPr>
          <w:p w14:paraId="0D86F168" w14:textId="6549F556" w:rsidR="00B023D7" w:rsidRPr="00B57B36" w:rsidRDefault="00B023D7" w:rsidP="003C7656">
            <w:pPr>
              <w:pStyle w:val="CETBodytext"/>
              <w:ind w:right="-1"/>
              <w:rPr>
                <w:rFonts w:cs="Arial"/>
                <w:szCs w:val="18"/>
                <w:lang w:val="en-GB"/>
              </w:rPr>
            </w:pPr>
            <w:r w:rsidRPr="004B0791">
              <w:t>355</w:t>
            </w:r>
          </w:p>
        </w:tc>
        <w:tc>
          <w:tcPr>
            <w:tcW w:w="325" w:type="pct"/>
            <w:shd w:val="clear" w:color="auto" w:fill="FFFFFF"/>
          </w:tcPr>
          <w:p w14:paraId="53C1B442" w14:textId="1ECB829D" w:rsidR="00B023D7" w:rsidRPr="00B57B36" w:rsidRDefault="00B023D7" w:rsidP="003C7656">
            <w:pPr>
              <w:pStyle w:val="CETBodytext"/>
              <w:ind w:right="-1"/>
              <w:rPr>
                <w:rFonts w:cs="Arial"/>
                <w:szCs w:val="18"/>
                <w:lang w:val="en-GB"/>
              </w:rPr>
            </w:pPr>
            <w:r w:rsidRPr="003D6E0B">
              <w:t>1</w:t>
            </w:r>
            <w:r>
              <w:t>.</w:t>
            </w:r>
            <w:r w:rsidRPr="003D6E0B">
              <w:t>9</w:t>
            </w:r>
          </w:p>
        </w:tc>
        <w:tc>
          <w:tcPr>
            <w:tcW w:w="323" w:type="pct"/>
            <w:shd w:val="clear" w:color="auto" w:fill="FFFFFF"/>
          </w:tcPr>
          <w:p w14:paraId="6C567349" w14:textId="6DF92F8A" w:rsidR="00B023D7" w:rsidRPr="00B57B36" w:rsidRDefault="00B023D7" w:rsidP="003C7656">
            <w:pPr>
              <w:pStyle w:val="CETBodytext"/>
              <w:ind w:right="-1"/>
              <w:rPr>
                <w:rFonts w:cs="Arial"/>
                <w:szCs w:val="18"/>
                <w:lang w:val="en-GB"/>
              </w:rPr>
            </w:pPr>
            <w:r w:rsidRPr="003D6E0B">
              <w:t>19</w:t>
            </w:r>
            <w:r>
              <w:t>.4</w:t>
            </w:r>
          </w:p>
        </w:tc>
        <w:tc>
          <w:tcPr>
            <w:tcW w:w="423" w:type="pct"/>
            <w:shd w:val="clear" w:color="auto" w:fill="FFFFFF"/>
          </w:tcPr>
          <w:p w14:paraId="0CE7E1F3" w14:textId="5DD46242" w:rsidR="00B023D7" w:rsidRPr="00B57B36" w:rsidRDefault="00B023D7" w:rsidP="003C7656">
            <w:pPr>
              <w:pStyle w:val="CETBodytext"/>
              <w:ind w:right="-1"/>
              <w:rPr>
                <w:rFonts w:cs="Arial"/>
                <w:szCs w:val="18"/>
                <w:lang w:val="en-GB"/>
              </w:rPr>
            </w:pPr>
            <w:r w:rsidRPr="008269CB">
              <w:t>26</w:t>
            </w:r>
            <w:r>
              <w:t>.</w:t>
            </w:r>
            <w:r w:rsidRPr="008269CB">
              <w:t>3</w:t>
            </w:r>
          </w:p>
        </w:tc>
        <w:tc>
          <w:tcPr>
            <w:tcW w:w="464" w:type="pct"/>
            <w:shd w:val="clear" w:color="auto" w:fill="FFFFFF"/>
          </w:tcPr>
          <w:p w14:paraId="2BF9A3C8" w14:textId="62403833" w:rsidR="00B023D7" w:rsidRPr="00B57B36" w:rsidRDefault="00B023D7" w:rsidP="003C7656">
            <w:pPr>
              <w:pStyle w:val="CETBodytext"/>
              <w:ind w:right="-1"/>
              <w:rPr>
                <w:rFonts w:cs="Arial"/>
                <w:szCs w:val="18"/>
                <w:lang w:val="en-GB"/>
              </w:rPr>
            </w:pPr>
            <w:r w:rsidRPr="00F96A0F">
              <w:t>2</w:t>
            </w:r>
            <w:r w:rsidR="001E3632">
              <w:t>4 (</w:t>
            </w:r>
            <m:oMath>
              <m:r>
                <w:rPr>
                  <w:rFonts w:ascii="Cambria Math" w:hAnsi="Cambria Math"/>
                </w:rPr>
                <m:t>±</m:t>
              </m:r>
            </m:oMath>
            <w:r w:rsidR="001E3632">
              <w:t>4)</w:t>
            </w:r>
          </w:p>
        </w:tc>
        <w:tc>
          <w:tcPr>
            <w:tcW w:w="80" w:type="pct"/>
            <w:shd w:val="clear" w:color="auto" w:fill="FFFFFF"/>
          </w:tcPr>
          <w:p w14:paraId="2C070060" w14:textId="77777777" w:rsidR="00B023D7" w:rsidRPr="00BC445A" w:rsidRDefault="00B023D7" w:rsidP="003C7656">
            <w:pPr>
              <w:pStyle w:val="CETBodytext"/>
              <w:ind w:right="-1"/>
            </w:pPr>
          </w:p>
        </w:tc>
        <w:tc>
          <w:tcPr>
            <w:tcW w:w="323" w:type="pct"/>
            <w:shd w:val="clear" w:color="auto" w:fill="FFFFFF"/>
          </w:tcPr>
          <w:p w14:paraId="005F48B3" w14:textId="6876AE3B" w:rsidR="00B023D7" w:rsidRPr="00B57B36" w:rsidRDefault="00B023D7" w:rsidP="003C7656">
            <w:pPr>
              <w:pStyle w:val="CETBodytext"/>
              <w:ind w:right="-1"/>
              <w:rPr>
                <w:rFonts w:cs="Arial"/>
                <w:szCs w:val="18"/>
                <w:lang w:val="en-GB"/>
              </w:rPr>
            </w:pPr>
            <w:r w:rsidRPr="00BC445A">
              <w:t>2</w:t>
            </w:r>
            <w:r>
              <w:t>.</w:t>
            </w:r>
            <w:r w:rsidRPr="00BC445A">
              <w:t>8</w:t>
            </w:r>
          </w:p>
        </w:tc>
        <w:tc>
          <w:tcPr>
            <w:tcW w:w="267" w:type="pct"/>
            <w:shd w:val="clear" w:color="auto" w:fill="FFFFFF"/>
          </w:tcPr>
          <w:p w14:paraId="4A18C11A" w14:textId="0F8144A7" w:rsidR="00B023D7" w:rsidRPr="00B57B36" w:rsidRDefault="00B023D7" w:rsidP="003C7656">
            <w:pPr>
              <w:pStyle w:val="CETBodytext"/>
              <w:ind w:right="-1"/>
              <w:rPr>
                <w:rFonts w:cs="Arial"/>
                <w:szCs w:val="18"/>
                <w:lang w:val="en-GB"/>
              </w:rPr>
            </w:pPr>
            <w:r w:rsidRPr="00BC445A">
              <w:t>71</w:t>
            </w:r>
            <w:r>
              <w:t>.</w:t>
            </w:r>
            <w:r w:rsidRPr="00BC445A">
              <w:t>8</w:t>
            </w:r>
          </w:p>
        </w:tc>
        <w:tc>
          <w:tcPr>
            <w:tcW w:w="332" w:type="pct"/>
            <w:shd w:val="clear" w:color="auto" w:fill="FFFFFF"/>
          </w:tcPr>
          <w:p w14:paraId="110B5325" w14:textId="38CFEE33" w:rsidR="00B023D7" w:rsidRPr="00B57B36" w:rsidRDefault="00B023D7" w:rsidP="003C7656">
            <w:pPr>
              <w:pStyle w:val="CETBodytext"/>
              <w:ind w:right="-1"/>
              <w:rPr>
                <w:rFonts w:cs="Arial"/>
                <w:szCs w:val="18"/>
                <w:lang w:val="en-GB"/>
              </w:rPr>
            </w:pPr>
            <w:r w:rsidRPr="00BC445A">
              <w:t>0</w:t>
            </w:r>
            <w:r>
              <w:t>.</w:t>
            </w:r>
            <w:r w:rsidRPr="00BC445A">
              <w:t>39</w:t>
            </w:r>
          </w:p>
        </w:tc>
        <w:tc>
          <w:tcPr>
            <w:tcW w:w="288" w:type="pct"/>
            <w:shd w:val="clear" w:color="auto" w:fill="FFFFFF"/>
          </w:tcPr>
          <w:p w14:paraId="01F52D6C" w14:textId="626FD263" w:rsidR="00B023D7" w:rsidRPr="00B57B36" w:rsidRDefault="00B023D7" w:rsidP="003C7656">
            <w:pPr>
              <w:pStyle w:val="CETBodytext"/>
              <w:ind w:right="-1"/>
              <w:rPr>
                <w:rFonts w:cs="Arial"/>
                <w:szCs w:val="18"/>
                <w:lang w:val="en-GB"/>
              </w:rPr>
            </w:pPr>
            <w:r w:rsidRPr="00BC445A">
              <w:t>20</w:t>
            </w:r>
            <w:r>
              <w:t>.8</w:t>
            </w:r>
          </w:p>
        </w:tc>
        <w:tc>
          <w:tcPr>
            <w:tcW w:w="726" w:type="pct"/>
            <w:shd w:val="clear" w:color="auto" w:fill="FFFFFF"/>
          </w:tcPr>
          <w:p w14:paraId="0320A95E" w14:textId="7AC3D815" w:rsidR="00B023D7" w:rsidRPr="00B57B36" w:rsidRDefault="00B023D7" w:rsidP="003C7656">
            <w:pPr>
              <w:pStyle w:val="CETBodytext"/>
              <w:ind w:right="-1"/>
              <w:rPr>
                <w:rFonts w:cs="Arial"/>
                <w:szCs w:val="18"/>
                <w:lang w:val="en-GB"/>
              </w:rPr>
            </w:pPr>
            <w:r w:rsidRPr="004B59A2">
              <w:t>6</w:t>
            </w:r>
            <w:r>
              <w:t>.</w:t>
            </w:r>
            <w:r w:rsidRPr="004B59A2">
              <w:t>0</w:t>
            </w:r>
          </w:p>
        </w:tc>
        <w:tc>
          <w:tcPr>
            <w:tcW w:w="483" w:type="pct"/>
            <w:shd w:val="clear" w:color="auto" w:fill="FFFFFF"/>
          </w:tcPr>
          <w:p w14:paraId="1C840840" w14:textId="6A7E030F" w:rsidR="00B023D7" w:rsidRPr="00B57B36" w:rsidRDefault="00B023D7" w:rsidP="003C7656">
            <w:pPr>
              <w:pStyle w:val="CETBodytext"/>
              <w:ind w:right="-1"/>
              <w:rPr>
                <w:rFonts w:cs="Arial"/>
                <w:szCs w:val="18"/>
                <w:lang w:val="en-GB"/>
              </w:rPr>
            </w:pPr>
            <w:r w:rsidRPr="00AA68D6">
              <w:t>30</w:t>
            </w:r>
            <w:r w:rsidR="001E3632">
              <w:t xml:space="preserve"> (</w:t>
            </w:r>
            <m:oMath>
              <m:r>
                <w:rPr>
                  <w:rFonts w:ascii="Cambria Math" w:hAnsi="Cambria Math"/>
                </w:rPr>
                <m:t>±</m:t>
              </m:r>
            </m:oMath>
            <w:r w:rsidR="001E3632">
              <w:t>3)</w:t>
            </w:r>
          </w:p>
        </w:tc>
      </w:tr>
      <w:tr w:rsidR="003E1695" w:rsidRPr="00B57B36" w14:paraId="64A07ED2" w14:textId="23290E0C" w:rsidTr="003E1695">
        <w:trPr>
          <w:trHeight w:val="321"/>
        </w:trPr>
        <w:tc>
          <w:tcPr>
            <w:tcW w:w="324" w:type="pct"/>
            <w:shd w:val="clear" w:color="auto" w:fill="FFFFFF"/>
          </w:tcPr>
          <w:p w14:paraId="793107A2" w14:textId="015F5111" w:rsidR="00B023D7" w:rsidRPr="00DD13C7" w:rsidRDefault="00B023D7" w:rsidP="003C7656">
            <w:pPr>
              <w:pStyle w:val="CETBodytext"/>
              <w:ind w:right="-1"/>
              <w:rPr>
                <w:rFonts w:cs="Arial"/>
                <w:szCs w:val="18"/>
                <w:lang w:val="en-GB"/>
              </w:rPr>
            </w:pPr>
            <w:r>
              <w:rPr>
                <w:rFonts w:cs="Arial"/>
                <w:szCs w:val="18"/>
                <w:lang w:val="en-GB"/>
              </w:rPr>
              <w:t>C</w:t>
            </w:r>
          </w:p>
        </w:tc>
        <w:tc>
          <w:tcPr>
            <w:tcW w:w="299" w:type="pct"/>
            <w:shd w:val="clear" w:color="auto" w:fill="FFFFFF"/>
          </w:tcPr>
          <w:p w14:paraId="14120626" w14:textId="3FD17D1D" w:rsidR="00B023D7" w:rsidRPr="003F218D" w:rsidRDefault="00B023D7" w:rsidP="003C7656">
            <w:pPr>
              <w:pStyle w:val="CETBodytext"/>
              <w:ind w:right="-1"/>
            </w:pPr>
            <w:r w:rsidRPr="00573BF5">
              <w:t>18</w:t>
            </w:r>
            <w:r>
              <w:t>.</w:t>
            </w:r>
            <w:r w:rsidRPr="00573BF5">
              <w:t>5</w:t>
            </w:r>
          </w:p>
        </w:tc>
        <w:tc>
          <w:tcPr>
            <w:tcW w:w="344" w:type="pct"/>
            <w:shd w:val="clear" w:color="auto" w:fill="FFFFFF"/>
          </w:tcPr>
          <w:p w14:paraId="12828D84" w14:textId="08B59BD7" w:rsidR="00B023D7" w:rsidRPr="00B57B36" w:rsidRDefault="00B023D7" w:rsidP="003C7656">
            <w:pPr>
              <w:pStyle w:val="CETBodytext"/>
              <w:ind w:right="-1"/>
              <w:rPr>
                <w:rFonts w:cs="Arial"/>
                <w:szCs w:val="18"/>
                <w:lang w:val="en-GB"/>
              </w:rPr>
            </w:pPr>
            <w:r w:rsidRPr="004B0791">
              <w:t>26</w:t>
            </w:r>
            <w:r>
              <w:t>2</w:t>
            </w:r>
          </w:p>
        </w:tc>
        <w:tc>
          <w:tcPr>
            <w:tcW w:w="325" w:type="pct"/>
            <w:shd w:val="clear" w:color="auto" w:fill="FFFFFF"/>
          </w:tcPr>
          <w:p w14:paraId="62EA46EF" w14:textId="005E8B98" w:rsidR="00B023D7" w:rsidRPr="00B57B36" w:rsidRDefault="00B023D7" w:rsidP="003C7656">
            <w:pPr>
              <w:pStyle w:val="CETBodytext"/>
              <w:ind w:right="-1"/>
              <w:rPr>
                <w:rFonts w:cs="Arial"/>
                <w:szCs w:val="18"/>
                <w:lang w:val="en-GB"/>
              </w:rPr>
            </w:pPr>
            <w:r w:rsidRPr="003D6E0B">
              <w:t>2</w:t>
            </w:r>
            <w:r>
              <w:t>.</w:t>
            </w:r>
            <w:r w:rsidRPr="003D6E0B">
              <w:t>9</w:t>
            </w:r>
          </w:p>
        </w:tc>
        <w:tc>
          <w:tcPr>
            <w:tcW w:w="323" w:type="pct"/>
            <w:shd w:val="clear" w:color="auto" w:fill="FFFFFF"/>
          </w:tcPr>
          <w:p w14:paraId="2D3708ED" w14:textId="744E20B8" w:rsidR="00B023D7" w:rsidRPr="00B57B36" w:rsidRDefault="00B023D7" w:rsidP="003C7656">
            <w:pPr>
              <w:pStyle w:val="CETBodytext"/>
              <w:ind w:right="-1"/>
              <w:rPr>
                <w:rFonts w:cs="Arial"/>
                <w:szCs w:val="18"/>
                <w:lang w:val="en-GB"/>
              </w:rPr>
            </w:pPr>
            <w:r w:rsidRPr="003D6E0B">
              <w:t>18</w:t>
            </w:r>
            <w:r>
              <w:t>.3</w:t>
            </w:r>
          </w:p>
        </w:tc>
        <w:tc>
          <w:tcPr>
            <w:tcW w:w="423" w:type="pct"/>
            <w:shd w:val="clear" w:color="auto" w:fill="FFFFFF"/>
          </w:tcPr>
          <w:p w14:paraId="357BACCA" w14:textId="37CA76D6" w:rsidR="00B023D7" w:rsidRPr="00B57B36" w:rsidRDefault="00B023D7" w:rsidP="003C7656">
            <w:pPr>
              <w:pStyle w:val="CETBodytext"/>
              <w:ind w:right="-1"/>
              <w:rPr>
                <w:rFonts w:cs="Arial"/>
                <w:szCs w:val="18"/>
                <w:lang w:val="en-GB"/>
              </w:rPr>
            </w:pPr>
            <w:r w:rsidRPr="008269CB">
              <w:t>16</w:t>
            </w:r>
            <w:r>
              <w:t>.</w:t>
            </w:r>
            <w:r w:rsidRPr="008269CB">
              <w:t>3</w:t>
            </w:r>
          </w:p>
        </w:tc>
        <w:tc>
          <w:tcPr>
            <w:tcW w:w="464" w:type="pct"/>
            <w:shd w:val="clear" w:color="auto" w:fill="FFFFFF"/>
          </w:tcPr>
          <w:p w14:paraId="43F058CE" w14:textId="4B1E3E9D" w:rsidR="00B023D7" w:rsidRPr="00B57B36" w:rsidRDefault="00B023D7" w:rsidP="003C7656">
            <w:pPr>
              <w:pStyle w:val="CETBodytext"/>
              <w:ind w:right="-1"/>
              <w:rPr>
                <w:rFonts w:cs="Arial"/>
                <w:szCs w:val="18"/>
                <w:lang w:val="en-GB"/>
              </w:rPr>
            </w:pPr>
            <w:r>
              <w:rPr>
                <w:rFonts w:cs="Arial"/>
                <w:szCs w:val="18"/>
                <w:lang w:val="en-GB"/>
              </w:rPr>
              <w:t>9</w:t>
            </w:r>
            <w:r w:rsidR="005D4481">
              <w:rPr>
                <w:rFonts w:cs="Arial"/>
                <w:szCs w:val="18"/>
                <w:lang w:val="en-GB"/>
              </w:rPr>
              <w:t xml:space="preserve">6 </w:t>
            </w:r>
            <w:r w:rsidR="005D4481">
              <w:t>(</w:t>
            </w:r>
            <m:oMath>
              <m:r>
                <w:rPr>
                  <w:rFonts w:ascii="Cambria Math" w:hAnsi="Cambria Math"/>
                </w:rPr>
                <m:t>±</m:t>
              </m:r>
            </m:oMath>
            <w:r w:rsidR="005D4481">
              <w:t>11)</w:t>
            </w:r>
          </w:p>
        </w:tc>
        <w:tc>
          <w:tcPr>
            <w:tcW w:w="80" w:type="pct"/>
            <w:shd w:val="clear" w:color="auto" w:fill="FFFFFF"/>
          </w:tcPr>
          <w:p w14:paraId="395D6235" w14:textId="77777777" w:rsidR="00B023D7" w:rsidRPr="00BC445A" w:rsidRDefault="00B023D7" w:rsidP="003C7656">
            <w:pPr>
              <w:pStyle w:val="CETBodytext"/>
              <w:ind w:right="-1"/>
            </w:pPr>
          </w:p>
        </w:tc>
        <w:tc>
          <w:tcPr>
            <w:tcW w:w="323" w:type="pct"/>
            <w:shd w:val="clear" w:color="auto" w:fill="FFFFFF"/>
          </w:tcPr>
          <w:p w14:paraId="319699B1" w14:textId="23A62EC8" w:rsidR="00B023D7" w:rsidRPr="00B57B36" w:rsidRDefault="00B023D7" w:rsidP="003C7656">
            <w:pPr>
              <w:pStyle w:val="CETBodytext"/>
              <w:ind w:right="-1"/>
              <w:rPr>
                <w:rFonts w:cs="Arial"/>
                <w:szCs w:val="18"/>
                <w:lang w:val="en-GB"/>
              </w:rPr>
            </w:pPr>
            <w:r w:rsidRPr="00BC445A">
              <w:t>4</w:t>
            </w:r>
            <w:r>
              <w:t>.</w:t>
            </w:r>
            <w:r w:rsidRPr="00BC445A">
              <w:t>2</w:t>
            </w:r>
          </w:p>
        </w:tc>
        <w:tc>
          <w:tcPr>
            <w:tcW w:w="267" w:type="pct"/>
            <w:shd w:val="clear" w:color="auto" w:fill="FFFFFF"/>
          </w:tcPr>
          <w:p w14:paraId="5D574681" w14:textId="03BCD215" w:rsidR="00B023D7" w:rsidRPr="00B57B36" w:rsidRDefault="00B023D7" w:rsidP="003C7656">
            <w:pPr>
              <w:pStyle w:val="CETBodytext"/>
              <w:ind w:right="-1"/>
              <w:rPr>
                <w:rFonts w:cs="Arial"/>
                <w:szCs w:val="18"/>
                <w:lang w:val="en-GB"/>
              </w:rPr>
            </w:pPr>
            <w:r w:rsidRPr="00BC445A">
              <w:t>59</w:t>
            </w:r>
            <w:r>
              <w:t>.3</w:t>
            </w:r>
          </w:p>
        </w:tc>
        <w:tc>
          <w:tcPr>
            <w:tcW w:w="332" w:type="pct"/>
            <w:shd w:val="clear" w:color="auto" w:fill="FFFFFF"/>
          </w:tcPr>
          <w:p w14:paraId="5468B4ED" w14:textId="2C2E7C3D" w:rsidR="00B023D7" w:rsidRPr="00B57B36" w:rsidRDefault="00B023D7" w:rsidP="003C7656">
            <w:pPr>
              <w:pStyle w:val="CETBodytext"/>
              <w:ind w:right="-1"/>
              <w:rPr>
                <w:rFonts w:cs="Arial"/>
                <w:szCs w:val="18"/>
                <w:lang w:val="en-GB"/>
              </w:rPr>
            </w:pPr>
            <w:r w:rsidRPr="00BC445A">
              <w:t>0</w:t>
            </w:r>
            <w:r>
              <w:t>.</w:t>
            </w:r>
            <w:r w:rsidRPr="00BC445A">
              <w:t>66</w:t>
            </w:r>
          </w:p>
        </w:tc>
        <w:tc>
          <w:tcPr>
            <w:tcW w:w="288" w:type="pct"/>
            <w:shd w:val="clear" w:color="auto" w:fill="FFFFFF"/>
          </w:tcPr>
          <w:p w14:paraId="5E0AF9DB" w14:textId="1A60E075" w:rsidR="00B023D7" w:rsidRPr="00B57B36" w:rsidRDefault="00B023D7" w:rsidP="003C7656">
            <w:pPr>
              <w:pStyle w:val="CETBodytext"/>
              <w:ind w:right="-1"/>
              <w:rPr>
                <w:rFonts w:cs="Arial"/>
                <w:szCs w:val="18"/>
                <w:lang w:val="en-GB"/>
              </w:rPr>
            </w:pPr>
            <w:r w:rsidRPr="00BC445A">
              <w:t>20</w:t>
            </w:r>
            <w:r>
              <w:t>.3</w:t>
            </w:r>
          </w:p>
        </w:tc>
        <w:tc>
          <w:tcPr>
            <w:tcW w:w="726" w:type="pct"/>
            <w:shd w:val="clear" w:color="auto" w:fill="FFFFFF"/>
          </w:tcPr>
          <w:p w14:paraId="17F9CC77" w14:textId="01F1C5C1" w:rsidR="00B023D7" w:rsidRPr="00B57B36" w:rsidRDefault="00B023D7" w:rsidP="003C7656">
            <w:pPr>
              <w:pStyle w:val="CETBodytext"/>
              <w:ind w:right="-1"/>
              <w:rPr>
                <w:rFonts w:cs="Arial"/>
                <w:szCs w:val="18"/>
                <w:lang w:val="en-GB"/>
              </w:rPr>
            </w:pPr>
            <w:r w:rsidRPr="004B59A2">
              <w:t>36</w:t>
            </w:r>
            <w:r>
              <w:t>.1</w:t>
            </w:r>
          </w:p>
        </w:tc>
        <w:tc>
          <w:tcPr>
            <w:tcW w:w="483" w:type="pct"/>
            <w:shd w:val="clear" w:color="auto" w:fill="FFFFFF"/>
          </w:tcPr>
          <w:p w14:paraId="1648C153" w14:textId="1ACFB366" w:rsidR="00B023D7" w:rsidRPr="00B57B36" w:rsidRDefault="00B023D7" w:rsidP="003C7656">
            <w:pPr>
              <w:pStyle w:val="CETBodytext"/>
              <w:ind w:right="-1"/>
              <w:rPr>
                <w:rFonts w:cs="Arial"/>
                <w:szCs w:val="18"/>
                <w:lang w:val="en-GB"/>
              </w:rPr>
            </w:pPr>
            <w:r>
              <w:rPr>
                <w:rFonts w:cs="Arial"/>
                <w:szCs w:val="18"/>
                <w:lang w:val="en-GB"/>
              </w:rPr>
              <w:t>105</w:t>
            </w:r>
            <w:r w:rsidR="00A865E3">
              <w:rPr>
                <w:rFonts w:cs="Arial"/>
                <w:szCs w:val="18"/>
                <w:lang w:val="en-GB"/>
              </w:rPr>
              <w:t xml:space="preserve"> </w:t>
            </w:r>
            <w:r w:rsidR="00A865E3">
              <w:t>(</w:t>
            </w:r>
            <m:oMath>
              <m:r>
                <w:rPr>
                  <w:rFonts w:ascii="Cambria Math" w:hAnsi="Cambria Math"/>
                </w:rPr>
                <m:t>±</m:t>
              </m:r>
            </m:oMath>
            <w:r w:rsidR="00A865E3">
              <w:t>9)</w:t>
            </w:r>
          </w:p>
        </w:tc>
      </w:tr>
    </w:tbl>
    <w:p w14:paraId="1BC8E848" w14:textId="77777777" w:rsidR="009F6C41" w:rsidRDefault="009F6C41" w:rsidP="009E7079">
      <w:pPr>
        <w:pStyle w:val="CETListbullets"/>
        <w:ind w:left="0" w:firstLine="0"/>
      </w:pPr>
    </w:p>
    <w:p w14:paraId="4A9A8E59" w14:textId="7D9FA8D5" w:rsidR="005E4156" w:rsidRDefault="00ED3ED1" w:rsidP="0087169F">
      <w:pPr>
        <w:pStyle w:val="CETBodytext"/>
      </w:pPr>
      <w:r>
        <w:t xml:space="preserve">These results show that the concentration of CO and OGC emitted by the oven are </w:t>
      </w:r>
      <w:r w:rsidR="00657BFA">
        <w:t>greater</w:t>
      </w:r>
      <w:r>
        <w:t xml:space="preserve"> when performing loadings using </w:t>
      </w:r>
      <w:r w:rsidR="00657BFA">
        <w:t>smaller</w:t>
      </w:r>
      <w:r>
        <w:t xml:space="preserve"> amounts of beechwood separated by</w:t>
      </w:r>
      <w:r w:rsidR="00657BFA">
        <w:t xml:space="preserve"> shorter</w:t>
      </w:r>
      <w:r>
        <w:t xml:space="preserve"> time intervals (Cycle </w:t>
      </w:r>
      <w:r w:rsidR="00657BFA">
        <w:t>B</w:t>
      </w:r>
      <w:r>
        <w:t xml:space="preserve">). </w:t>
      </w:r>
      <w:r w:rsidR="000164E5">
        <w:t>An opposite trend is observed in terms of NO</w:t>
      </w:r>
      <w:r w:rsidR="000164E5">
        <w:rPr>
          <w:vertAlign w:val="subscript"/>
        </w:rPr>
        <w:t>x</w:t>
      </w:r>
      <w:r w:rsidR="0087169F">
        <w:t xml:space="preserve"> and</w:t>
      </w:r>
      <w:r w:rsidR="000164E5">
        <w:t xml:space="preserve"> CO</w:t>
      </w:r>
      <w:r w:rsidR="000164E5">
        <w:rPr>
          <w:vertAlign w:val="subscript"/>
        </w:rPr>
        <w:t>2</w:t>
      </w:r>
      <w:r w:rsidR="000164E5">
        <w:t>: these pollutants are emitted in greater amounts when performing loading</w:t>
      </w:r>
      <w:r w:rsidR="00CB17E3">
        <w:t>s</w:t>
      </w:r>
      <w:r w:rsidR="000164E5">
        <w:t xml:space="preserve"> with </w:t>
      </w:r>
      <w:r w:rsidR="00657BFA">
        <w:t>greater</w:t>
      </w:r>
      <w:r w:rsidR="000164E5">
        <w:t xml:space="preserve"> amounts of beechwood logs separated by </w:t>
      </w:r>
      <w:r w:rsidR="00657BFA">
        <w:t>longer</w:t>
      </w:r>
      <w:r w:rsidR="000164E5">
        <w:t xml:space="preserve"> time intervals (Cycle </w:t>
      </w:r>
      <w:r w:rsidR="00657BFA">
        <w:t xml:space="preserve">A). </w:t>
      </w:r>
      <w:r w:rsidR="00AA6266">
        <w:t>This is consistent with the fact that emissions from biomass combustion are highly dependent on operational practices (Van Loo and Koppejan, 2008)</w:t>
      </w:r>
      <w:r w:rsidR="00657BFA">
        <w:t>.</w:t>
      </w:r>
      <w:r w:rsidR="001E5563">
        <w:t xml:space="preserve"> Regarding Cycle C, the gaseous emissions of the oven were generally half-way between Cycle A and Cycle B, with the exception of CO</w:t>
      </w:r>
      <w:r w:rsidR="001E5563">
        <w:rPr>
          <w:vertAlign w:val="subscript"/>
        </w:rPr>
        <w:t>2</w:t>
      </w:r>
      <w:r w:rsidR="001E5563">
        <w:t>, in which case the values were closer to Cycle A.</w:t>
      </w:r>
    </w:p>
    <w:p w14:paraId="520BBE2E" w14:textId="7D79E846" w:rsidR="00756E94" w:rsidRDefault="001E5563" w:rsidP="0087169F">
      <w:pPr>
        <w:pStyle w:val="CETBodytext"/>
      </w:pPr>
      <w:r>
        <w:t>Based on experimental observations, l</w:t>
      </w:r>
      <w:r w:rsidR="00657BFA">
        <w:t xml:space="preserve">oading more beechwood </w:t>
      </w:r>
      <w:r w:rsidR="00765DC7">
        <w:t xml:space="preserve">(Cycles A, C) </w:t>
      </w:r>
      <w:r w:rsidR="0087169F">
        <w:t>enable</w:t>
      </w:r>
      <w:r w:rsidR="00854E4D">
        <w:t>d</w:t>
      </w:r>
      <w:r w:rsidR="0087169F">
        <w:t xml:space="preserve"> to reach higher average temperatures in the oven and keep a high flame throughout the entire sampling period. </w:t>
      </w:r>
      <w:r w:rsidR="00765DC7">
        <w:t>Instead, tests using Cycle B were associated with a reduction of the flame’s intensity during the final sampling minutes, which caused the levels of CO and OGC to rise before the end of each cycle as a result of poor combustion conditions.</w:t>
      </w:r>
      <w:r w:rsidR="00756E94">
        <w:t xml:space="preserve"> </w:t>
      </w:r>
      <w:r w:rsidR="004100EE">
        <w:t xml:space="preserve">Instead, </w:t>
      </w:r>
      <w:r w:rsidR="00756E94">
        <w:t>no significant differences were observed in the trends of NO</w:t>
      </w:r>
      <w:r w:rsidR="00756E94">
        <w:rPr>
          <w:vertAlign w:val="subscript"/>
        </w:rPr>
        <w:t>x</w:t>
      </w:r>
      <w:r w:rsidR="00756E94">
        <w:t xml:space="preserve"> and CO</w:t>
      </w:r>
      <w:r w:rsidR="00756E94">
        <w:rPr>
          <w:vertAlign w:val="subscript"/>
        </w:rPr>
        <w:t>2</w:t>
      </w:r>
      <w:r w:rsidR="004100EE">
        <w:rPr>
          <w:vertAlign w:val="subscript"/>
        </w:rPr>
        <w:t xml:space="preserve"> </w:t>
      </w:r>
      <w:r w:rsidR="004100EE">
        <w:t>in all the aforementioned cycles</w:t>
      </w:r>
      <w:r w:rsidR="00756E94">
        <w:t>. However, unlike other studies</w:t>
      </w:r>
      <w:r w:rsidR="00C63D4E">
        <w:t xml:space="preserve"> (</w:t>
      </w:r>
      <w:r w:rsidR="00311146">
        <w:t>Li et.al., 2012)</w:t>
      </w:r>
      <w:r w:rsidR="00C63D4E">
        <w:t xml:space="preserve">, </w:t>
      </w:r>
      <w:r w:rsidR="0087169F">
        <w:t>higher temperature</w:t>
      </w:r>
      <w:r w:rsidR="00854E4D">
        <w:t>s</w:t>
      </w:r>
      <w:r w:rsidR="0087169F">
        <w:t xml:space="preserve"> </w:t>
      </w:r>
      <w:r w:rsidR="00311146">
        <w:t>were linked to</w:t>
      </w:r>
      <w:r w:rsidR="0087169F">
        <w:t xml:space="preserve"> greater emission</w:t>
      </w:r>
      <w:r w:rsidR="00311146">
        <w:t>s</w:t>
      </w:r>
      <w:r w:rsidR="0087169F">
        <w:t xml:space="preserve"> of NO</w:t>
      </w:r>
      <w:r w:rsidR="0087169F">
        <w:rPr>
          <w:vertAlign w:val="subscript"/>
        </w:rPr>
        <w:t>x</w:t>
      </w:r>
      <w:r w:rsidR="00311146">
        <w:t>.</w:t>
      </w:r>
    </w:p>
    <w:p w14:paraId="64AB2568" w14:textId="029C43CB" w:rsidR="00AF56CE" w:rsidRDefault="0087169F" w:rsidP="0087169F">
      <w:pPr>
        <w:pStyle w:val="CETBodytext"/>
      </w:pPr>
      <w:r>
        <w:t xml:space="preserve">With regards to TPM, Cycles A and C produced greater amounts of dust compared to Cycle B. This suggests that the amount of particulate matter generated is strictly related to the amount of fuelwood used. </w:t>
      </w:r>
      <w:r w:rsidR="00197714">
        <w:t>Overall, the</w:t>
      </w:r>
      <w:r>
        <w:t xml:space="preserve"> comparison between TPM sampled on the hot and cold flue gases</w:t>
      </w:r>
      <w:r w:rsidR="00197714">
        <w:t xml:space="preserve"> do</w:t>
      </w:r>
      <w:r>
        <w:t>es</w:t>
      </w:r>
      <w:r w:rsidR="00197714">
        <w:t xml:space="preserve"> not highlight a significant degree of condensation of semi-volatile organic compounds (SVOCs). </w:t>
      </w:r>
      <w:r w:rsidR="00B7035F">
        <w:t xml:space="preserve">On the one hand, this is in line with the findings of Ozgen et.al. (2014) which </w:t>
      </w:r>
      <w:r w:rsidR="00070AD3">
        <w:t xml:space="preserve">highlight a much lower difference between </w:t>
      </w:r>
      <w:r w:rsidR="00880275">
        <w:t>T</w:t>
      </w:r>
      <w:r w:rsidR="00070AD3">
        <w:t>PM concentrations on the hot and cold flue gases for open systems</w:t>
      </w:r>
      <w:r w:rsidR="00880275">
        <w:t xml:space="preserve"> (open fireplaces, ovens) as opposed to closed ones (stoves, boilers)</w:t>
      </w:r>
      <w:r w:rsidR="00070AD3">
        <w:t>. On the other hand, g</w:t>
      </w:r>
      <w:r w:rsidR="00A865E3">
        <w:t>iven th</w:t>
      </w:r>
      <w:r w:rsidR="00925E1A">
        <w:t>at OGC was detected at concentrations above 10 mg m</w:t>
      </w:r>
      <w:r w:rsidR="00925E1A">
        <w:rPr>
          <w:vertAlign w:val="superscript"/>
        </w:rPr>
        <w:t>-3</w:t>
      </w:r>
      <w:r w:rsidR="00925E1A">
        <w:t xml:space="preserve"> in all three cycles, further measurements will be carried out to clarify this observation</w:t>
      </w:r>
      <w:r w:rsidR="00B7035F">
        <w:t xml:space="preserve">. </w:t>
      </w:r>
    </w:p>
    <w:p w14:paraId="2F0849E3" w14:textId="77777777" w:rsidR="00AF56CE" w:rsidRDefault="00AF56CE" w:rsidP="0087169F">
      <w:pPr>
        <w:pStyle w:val="CETBodytext"/>
      </w:pPr>
    </w:p>
    <w:p w14:paraId="22467A13" w14:textId="6228AA8A" w:rsidR="009E7079" w:rsidRPr="00B57B36" w:rsidRDefault="00E21834" w:rsidP="009E7079">
      <w:pPr>
        <w:pStyle w:val="CETheadingx"/>
      </w:pPr>
      <w:r>
        <w:t>The impact of pizza cooking</w:t>
      </w:r>
    </w:p>
    <w:p w14:paraId="61096C44" w14:textId="64CE81FA" w:rsidR="00007042" w:rsidRDefault="00835ED8" w:rsidP="00007042">
      <w:pPr>
        <w:pStyle w:val="CETBodytext"/>
      </w:pPr>
      <w:r>
        <w:t xml:space="preserve">Table </w:t>
      </w:r>
      <w:r w:rsidR="008B6A2F">
        <w:t>4</w:t>
      </w:r>
      <w:r>
        <w:t xml:space="preserve"> shows the average results obtained for experimental tests conducted with and without pizza cooking for the different cycles. </w:t>
      </w:r>
    </w:p>
    <w:p w14:paraId="32C39226" w14:textId="535C2823" w:rsidR="00835ED8" w:rsidRPr="00B57B36" w:rsidRDefault="00835ED8" w:rsidP="00835ED8">
      <w:pPr>
        <w:pStyle w:val="CETTabletitle"/>
      </w:pPr>
      <w:r w:rsidRPr="00B57B36">
        <w:t xml:space="preserve">Table </w:t>
      </w:r>
      <w:r w:rsidR="008B6A2F">
        <w:t>4</w:t>
      </w:r>
      <w:r w:rsidRPr="00B57B36">
        <w:t xml:space="preserve">: </w:t>
      </w:r>
      <w:r>
        <w:t>Average concentrations with and without pizza cooking</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52"/>
        <w:gridCol w:w="441"/>
        <w:gridCol w:w="98"/>
        <w:gridCol w:w="575"/>
        <w:gridCol w:w="547"/>
        <w:gridCol w:w="578"/>
        <w:gridCol w:w="425"/>
        <w:gridCol w:w="724"/>
        <w:gridCol w:w="837"/>
        <w:gridCol w:w="141"/>
        <w:gridCol w:w="568"/>
        <w:gridCol w:w="568"/>
        <w:gridCol w:w="424"/>
        <w:gridCol w:w="425"/>
        <w:gridCol w:w="1135"/>
        <w:gridCol w:w="849"/>
      </w:tblGrid>
      <w:tr w:rsidR="003353B7" w:rsidRPr="00B57B36" w14:paraId="252A625E" w14:textId="77777777" w:rsidTr="00CD6CAD">
        <w:trPr>
          <w:trHeight w:val="193"/>
        </w:trPr>
        <w:tc>
          <w:tcPr>
            <w:tcW w:w="257" w:type="pct"/>
            <w:tcBorders>
              <w:top w:val="single" w:sz="12" w:space="0" w:color="008000"/>
              <w:bottom w:val="single" w:sz="6" w:space="0" w:color="008000"/>
            </w:tcBorders>
            <w:shd w:val="clear" w:color="auto" w:fill="FFFFFF"/>
          </w:tcPr>
          <w:p w14:paraId="13CA7906" w14:textId="77777777" w:rsidR="003E1695" w:rsidRDefault="003E1695" w:rsidP="00657BFA">
            <w:pPr>
              <w:pStyle w:val="CETBodytext"/>
              <w:jc w:val="left"/>
              <w:rPr>
                <w:lang w:val="en-GB"/>
              </w:rPr>
            </w:pPr>
          </w:p>
        </w:tc>
        <w:tc>
          <w:tcPr>
            <w:tcW w:w="251" w:type="pct"/>
            <w:tcBorders>
              <w:top w:val="single" w:sz="12" w:space="0" w:color="008000"/>
              <w:bottom w:val="single" w:sz="6" w:space="0" w:color="008000"/>
            </w:tcBorders>
            <w:shd w:val="clear" w:color="auto" w:fill="FFFFFF"/>
          </w:tcPr>
          <w:p w14:paraId="53AEE889" w14:textId="77777777" w:rsidR="003E1695" w:rsidRDefault="003E1695" w:rsidP="00657BFA">
            <w:pPr>
              <w:pStyle w:val="CETBodytext"/>
              <w:ind w:right="-1"/>
              <w:jc w:val="center"/>
              <w:rPr>
                <w:rFonts w:cs="Arial"/>
                <w:szCs w:val="18"/>
                <w:lang w:val="en-GB"/>
              </w:rPr>
            </w:pPr>
          </w:p>
        </w:tc>
        <w:tc>
          <w:tcPr>
            <w:tcW w:w="56" w:type="pct"/>
            <w:tcBorders>
              <w:top w:val="single" w:sz="12" w:space="0" w:color="008000"/>
              <w:bottom w:val="single" w:sz="6" w:space="0" w:color="008000"/>
            </w:tcBorders>
            <w:shd w:val="clear" w:color="auto" w:fill="FFFFFF"/>
          </w:tcPr>
          <w:p w14:paraId="7970C9DF" w14:textId="0BFEAB10" w:rsidR="003E1695" w:rsidRDefault="003E1695" w:rsidP="00657BFA">
            <w:pPr>
              <w:pStyle w:val="CETBodytext"/>
              <w:ind w:right="-1"/>
              <w:jc w:val="center"/>
              <w:rPr>
                <w:rFonts w:cs="Arial"/>
                <w:szCs w:val="18"/>
                <w:lang w:val="en-GB"/>
              </w:rPr>
            </w:pPr>
          </w:p>
        </w:tc>
        <w:tc>
          <w:tcPr>
            <w:tcW w:w="2097" w:type="pct"/>
            <w:gridSpan w:val="6"/>
            <w:tcBorders>
              <w:top w:val="single" w:sz="12" w:space="0" w:color="008000"/>
              <w:bottom w:val="single" w:sz="6" w:space="0" w:color="008000"/>
            </w:tcBorders>
            <w:shd w:val="clear" w:color="auto" w:fill="FFFFFF"/>
          </w:tcPr>
          <w:p w14:paraId="59919E04" w14:textId="7AB47EC8" w:rsidR="003E1695" w:rsidRDefault="003E1695" w:rsidP="00657BFA">
            <w:pPr>
              <w:pStyle w:val="CETBodytext"/>
              <w:ind w:right="-1"/>
              <w:jc w:val="center"/>
              <w:rPr>
                <w:rFonts w:cs="Arial"/>
                <w:szCs w:val="18"/>
                <w:lang w:val="en-GB"/>
              </w:rPr>
            </w:pPr>
            <w:r>
              <w:rPr>
                <w:rFonts w:cs="Arial"/>
                <w:szCs w:val="18"/>
                <w:lang w:val="en-GB"/>
              </w:rPr>
              <w:t>HOT FLUE GASES</w:t>
            </w:r>
          </w:p>
        </w:tc>
        <w:tc>
          <w:tcPr>
            <w:tcW w:w="80" w:type="pct"/>
            <w:tcBorders>
              <w:top w:val="single" w:sz="12" w:space="0" w:color="008000"/>
              <w:bottom w:val="single" w:sz="6" w:space="0" w:color="008000"/>
            </w:tcBorders>
            <w:shd w:val="clear" w:color="auto" w:fill="FFFFFF"/>
          </w:tcPr>
          <w:p w14:paraId="789AE63D" w14:textId="43F53285" w:rsidR="003E1695" w:rsidRDefault="003E1695" w:rsidP="00657BFA">
            <w:pPr>
              <w:pStyle w:val="CETBodytext"/>
              <w:ind w:right="-1"/>
              <w:jc w:val="center"/>
              <w:rPr>
                <w:rFonts w:cs="Arial"/>
                <w:szCs w:val="18"/>
                <w:lang w:val="en-GB"/>
              </w:rPr>
            </w:pPr>
          </w:p>
        </w:tc>
        <w:tc>
          <w:tcPr>
            <w:tcW w:w="2258" w:type="pct"/>
            <w:gridSpan w:val="6"/>
            <w:tcBorders>
              <w:top w:val="single" w:sz="12" w:space="0" w:color="008000"/>
              <w:bottom w:val="single" w:sz="6" w:space="0" w:color="008000"/>
            </w:tcBorders>
            <w:shd w:val="clear" w:color="auto" w:fill="FFFFFF"/>
          </w:tcPr>
          <w:p w14:paraId="4267DA31" w14:textId="1162065D" w:rsidR="003E1695" w:rsidRDefault="003E1695" w:rsidP="00657BFA">
            <w:pPr>
              <w:pStyle w:val="CETBodytext"/>
              <w:ind w:right="-1"/>
              <w:jc w:val="center"/>
              <w:rPr>
                <w:rFonts w:cs="Arial"/>
                <w:szCs w:val="18"/>
                <w:lang w:val="en-GB"/>
              </w:rPr>
            </w:pPr>
            <w:r>
              <w:rPr>
                <w:rFonts w:cs="Arial"/>
                <w:szCs w:val="18"/>
                <w:lang w:val="en-GB"/>
              </w:rPr>
              <w:t>COLD FLUE GASES</w:t>
            </w:r>
          </w:p>
        </w:tc>
      </w:tr>
      <w:tr w:rsidR="00CD6CAD" w:rsidRPr="00B57B36" w14:paraId="1E2615CF" w14:textId="77777777" w:rsidTr="00CD6CAD">
        <w:trPr>
          <w:trHeight w:val="643"/>
        </w:trPr>
        <w:tc>
          <w:tcPr>
            <w:tcW w:w="257" w:type="pct"/>
            <w:tcBorders>
              <w:top w:val="single" w:sz="12" w:space="0" w:color="008000"/>
              <w:bottom w:val="single" w:sz="6" w:space="0" w:color="008000"/>
            </w:tcBorders>
            <w:shd w:val="clear" w:color="auto" w:fill="FFFFFF"/>
          </w:tcPr>
          <w:p w14:paraId="660C7E72" w14:textId="77777777" w:rsidR="003E1695" w:rsidRPr="00B57B36" w:rsidRDefault="003E1695" w:rsidP="00657BFA">
            <w:pPr>
              <w:pStyle w:val="CETBodytext"/>
              <w:jc w:val="left"/>
              <w:rPr>
                <w:lang w:val="en-GB"/>
              </w:rPr>
            </w:pPr>
            <w:r>
              <w:rPr>
                <w:lang w:val="en-GB"/>
              </w:rPr>
              <w:t>Cycle</w:t>
            </w:r>
          </w:p>
        </w:tc>
        <w:tc>
          <w:tcPr>
            <w:tcW w:w="251" w:type="pct"/>
            <w:tcBorders>
              <w:top w:val="single" w:sz="12" w:space="0" w:color="008000"/>
              <w:bottom w:val="single" w:sz="6" w:space="0" w:color="008000"/>
            </w:tcBorders>
            <w:shd w:val="clear" w:color="auto" w:fill="FFFFFF"/>
          </w:tcPr>
          <w:p w14:paraId="56DF4782" w14:textId="33CBDA61" w:rsidR="003E1695" w:rsidRDefault="003E1695" w:rsidP="00657BFA">
            <w:pPr>
              <w:pStyle w:val="CETBodytext"/>
              <w:ind w:right="-1"/>
              <w:jc w:val="left"/>
              <w:rPr>
                <w:rFonts w:cs="Arial"/>
                <w:szCs w:val="18"/>
                <w:lang w:val="en-GB"/>
              </w:rPr>
            </w:pPr>
            <w:r>
              <w:rPr>
                <w:rFonts w:cs="Arial"/>
                <w:szCs w:val="18"/>
                <w:lang w:val="en-GB"/>
              </w:rPr>
              <w:t>Pizza</w:t>
            </w:r>
          </w:p>
        </w:tc>
        <w:tc>
          <w:tcPr>
            <w:tcW w:w="56" w:type="pct"/>
            <w:tcBorders>
              <w:top w:val="single" w:sz="12" w:space="0" w:color="008000"/>
              <w:bottom w:val="single" w:sz="6" w:space="0" w:color="008000"/>
            </w:tcBorders>
            <w:shd w:val="clear" w:color="auto" w:fill="FFFFFF"/>
          </w:tcPr>
          <w:p w14:paraId="70DB6159" w14:textId="77777777" w:rsidR="003E1695" w:rsidRDefault="003E1695" w:rsidP="00657BFA">
            <w:pPr>
              <w:pStyle w:val="CETBodytext"/>
              <w:ind w:right="-1"/>
              <w:jc w:val="left"/>
              <w:rPr>
                <w:rFonts w:cs="Arial"/>
                <w:szCs w:val="18"/>
                <w:lang w:val="en-GB"/>
              </w:rPr>
            </w:pPr>
          </w:p>
        </w:tc>
        <w:tc>
          <w:tcPr>
            <w:tcW w:w="327" w:type="pct"/>
            <w:tcBorders>
              <w:top w:val="single" w:sz="12" w:space="0" w:color="008000"/>
              <w:bottom w:val="single" w:sz="6" w:space="0" w:color="008000"/>
            </w:tcBorders>
            <w:shd w:val="clear" w:color="auto" w:fill="FFFFFF"/>
          </w:tcPr>
          <w:p w14:paraId="085BD480" w14:textId="76FD5CBB" w:rsidR="003E1695" w:rsidRPr="009F6C41" w:rsidRDefault="003E1695" w:rsidP="00657BFA">
            <w:pPr>
              <w:pStyle w:val="CETBodytext"/>
              <w:ind w:right="-1"/>
              <w:jc w:val="left"/>
              <w:rPr>
                <w:rFonts w:cs="Arial"/>
                <w:szCs w:val="18"/>
                <w:lang w:val="en-GB"/>
              </w:rPr>
            </w:pPr>
            <w:r>
              <w:rPr>
                <w:rFonts w:cs="Arial"/>
                <w:szCs w:val="18"/>
                <w:lang w:val="en-GB"/>
              </w:rPr>
              <w:t>NO</w:t>
            </w:r>
            <w:r>
              <w:rPr>
                <w:rFonts w:cs="Arial"/>
                <w:szCs w:val="18"/>
                <w:vertAlign w:val="subscript"/>
                <w:lang w:val="en-GB"/>
              </w:rPr>
              <w:t>x</w:t>
            </w:r>
            <w:r>
              <w:rPr>
                <w:rFonts w:cs="Arial"/>
                <w:szCs w:val="18"/>
                <w:lang w:val="en-GB"/>
              </w:rPr>
              <w:t xml:space="preserve"> / ppm</w:t>
            </w:r>
          </w:p>
        </w:tc>
        <w:tc>
          <w:tcPr>
            <w:tcW w:w="311" w:type="pct"/>
            <w:tcBorders>
              <w:top w:val="single" w:sz="12" w:space="0" w:color="008000"/>
              <w:bottom w:val="single" w:sz="6" w:space="0" w:color="008000"/>
            </w:tcBorders>
            <w:shd w:val="clear" w:color="auto" w:fill="FFFFFF"/>
          </w:tcPr>
          <w:p w14:paraId="45F3FA5B" w14:textId="77777777" w:rsidR="003E1695" w:rsidRPr="00B57B36" w:rsidRDefault="003E1695" w:rsidP="00657BFA">
            <w:pPr>
              <w:pStyle w:val="CETBodytext"/>
              <w:ind w:right="-1"/>
              <w:jc w:val="left"/>
              <w:rPr>
                <w:rFonts w:cs="Arial"/>
                <w:szCs w:val="18"/>
                <w:lang w:val="en-GB"/>
              </w:rPr>
            </w:pPr>
            <w:r>
              <w:rPr>
                <w:rFonts w:cs="Arial"/>
                <w:szCs w:val="18"/>
                <w:lang w:val="en-GB"/>
              </w:rPr>
              <w:t xml:space="preserve">CO / ppm </w:t>
            </w:r>
          </w:p>
        </w:tc>
        <w:tc>
          <w:tcPr>
            <w:tcW w:w="329" w:type="pct"/>
            <w:tcBorders>
              <w:top w:val="single" w:sz="12" w:space="0" w:color="008000"/>
              <w:bottom w:val="single" w:sz="6" w:space="0" w:color="008000"/>
            </w:tcBorders>
            <w:shd w:val="clear" w:color="auto" w:fill="FFFFFF"/>
          </w:tcPr>
          <w:p w14:paraId="3BD85651" w14:textId="77777777" w:rsidR="003E1695" w:rsidRPr="009F6C41" w:rsidRDefault="003E1695" w:rsidP="00657BFA">
            <w:pPr>
              <w:pStyle w:val="CETBodytext"/>
              <w:ind w:right="-1"/>
              <w:jc w:val="left"/>
              <w:rPr>
                <w:rFonts w:cs="Arial"/>
                <w:szCs w:val="18"/>
                <w:lang w:val="en-GB"/>
              </w:rPr>
            </w:pPr>
            <w:r>
              <w:rPr>
                <w:rFonts w:cs="Arial"/>
                <w:szCs w:val="18"/>
                <w:lang w:val="en-GB"/>
              </w:rPr>
              <w:t>CO</w:t>
            </w:r>
            <w:r>
              <w:rPr>
                <w:rFonts w:cs="Arial"/>
                <w:szCs w:val="18"/>
                <w:vertAlign w:val="subscript"/>
                <w:lang w:val="en-GB"/>
              </w:rPr>
              <w:t>2</w:t>
            </w:r>
            <w:r>
              <w:rPr>
                <w:rFonts w:cs="Arial"/>
                <w:szCs w:val="18"/>
                <w:lang w:val="en-GB"/>
              </w:rPr>
              <w:t xml:space="preserve"> /         %v</w:t>
            </w:r>
          </w:p>
        </w:tc>
        <w:tc>
          <w:tcPr>
            <w:tcW w:w="242" w:type="pct"/>
            <w:tcBorders>
              <w:top w:val="single" w:sz="12" w:space="0" w:color="008000"/>
              <w:bottom w:val="single" w:sz="6" w:space="0" w:color="008000"/>
            </w:tcBorders>
            <w:shd w:val="clear" w:color="auto" w:fill="FFFFFF"/>
          </w:tcPr>
          <w:p w14:paraId="7574326C" w14:textId="77777777" w:rsidR="003E1695" w:rsidRPr="00814766" w:rsidRDefault="003E1695" w:rsidP="00657BFA">
            <w:pPr>
              <w:pStyle w:val="CETBodytext"/>
              <w:ind w:right="-1"/>
              <w:jc w:val="left"/>
              <w:rPr>
                <w:rFonts w:cs="Arial"/>
                <w:szCs w:val="18"/>
                <w:lang w:val="en-GB"/>
              </w:rPr>
            </w:pPr>
            <w:r>
              <w:rPr>
                <w:rFonts w:cs="Arial"/>
                <w:szCs w:val="18"/>
                <w:lang w:val="en-GB"/>
              </w:rPr>
              <w:t>O</w:t>
            </w:r>
            <w:r>
              <w:rPr>
                <w:rFonts w:cs="Arial"/>
                <w:szCs w:val="18"/>
                <w:vertAlign w:val="subscript"/>
                <w:lang w:val="en-GB"/>
              </w:rPr>
              <w:t>2</w:t>
            </w:r>
            <w:r>
              <w:rPr>
                <w:rFonts w:cs="Arial"/>
                <w:szCs w:val="18"/>
                <w:lang w:val="en-GB"/>
              </w:rPr>
              <w:t xml:space="preserve"> / %v</w:t>
            </w:r>
          </w:p>
        </w:tc>
        <w:tc>
          <w:tcPr>
            <w:tcW w:w="412" w:type="pct"/>
            <w:tcBorders>
              <w:top w:val="single" w:sz="12" w:space="0" w:color="008000"/>
              <w:bottom w:val="single" w:sz="6" w:space="0" w:color="008000"/>
            </w:tcBorders>
            <w:shd w:val="clear" w:color="auto" w:fill="FFFFFF"/>
          </w:tcPr>
          <w:p w14:paraId="05BF40A4" w14:textId="58B92D7D" w:rsidR="003E1695" w:rsidRDefault="003E1695" w:rsidP="00657BFA">
            <w:pPr>
              <w:pStyle w:val="CETBodytext"/>
              <w:ind w:right="-1"/>
              <w:jc w:val="left"/>
              <w:rPr>
                <w:rFonts w:cs="Arial"/>
                <w:szCs w:val="18"/>
                <w:lang w:val="en-GB"/>
              </w:rPr>
            </w:pPr>
            <w:r>
              <w:rPr>
                <w:rFonts w:cs="Arial"/>
                <w:szCs w:val="18"/>
                <w:lang w:val="en-GB"/>
              </w:rPr>
              <w:t xml:space="preserve">OGC /  </w:t>
            </w:r>
          </w:p>
          <w:p w14:paraId="151F7A2B" w14:textId="77777777" w:rsidR="003E1695" w:rsidRPr="00814766" w:rsidRDefault="003E1695" w:rsidP="00657BFA">
            <w:pPr>
              <w:pStyle w:val="CETBodytext"/>
              <w:ind w:right="-1"/>
              <w:jc w:val="left"/>
              <w:rPr>
                <w:rFonts w:cs="Arial"/>
                <w:szCs w:val="18"/>
                <w:vertAlign w:val="superscript"/>
                <w:lang w:val="en-GB"/>
              </w:rPr>
            </w:pPr>
            <w:r>
              <w:rPr>
                <w:rFonts w:cs="Arial"/>
                <w:szCs w:val="18"/>
                <w:lang w:val="en-GB"/>
              </w:rPr>
              <w:t>mg m</w:t>
            </w:r>
            <w:r>
              <w:rPr>
                <w:rFonts w:cs="Arial"/>
                <w:szCs w:val="18"/>
                <w:vertAlign w:val="superscript"/>
                <w:lang w:val="en-GB"/>
              </w:rPr>
              <w:t>-3</w:t>
            </w:r>
          </w:p>
        </w:tc>
        <w:tc>
          <w:tcPr>
            <w:tcW w:w="476" w:type="pct"/>
            <w:tcBorders>
              <w:top w:val="single" w:sz="12" w:space="0" w:color="008000"/>
              <w:bottom w:val="single" w:sz="6" w:space="0" w:color="008000"/>
            </w:tcBorders>
            <w:shd w:val="clear" w:color="auto" w:fill="FFFFFF"/>
          </w:tcPr>
          <w:p w14:paraId="739E8C00" w14:textId="77777777" w:rsidR="003E1695" w:rsidRDefault="003E1695" w:rsidP="00657BFA">
            <w:pPr>
              <w:pStyle w:val="CETBodytext"/>
              <w:ind w:right="-1"/>
              <w:jc w:val="left"/>
              <w:rPr>
                <w:rFonts w:cs="Arial"/>
                <w:szCs w:val="18"/>
                <w:lang w:val="en-GB"/>
              </w:rPr>
            </w:pPr>
            <w:r>
              <w:rPr>
                <w:rFonts w:cs="Arial"/>
                <w:szCs w:val="18"/>
                <w:lang w:val="en-GB"/>
              </w:rPr>
              <w:t xml:space="preserve">TPM /          </w:t>
            </w:r>
          </w:p>
          <w:p w14:paraId="246DC7AD" w14:textId="77777777" w:rsidR="003E1695" w:rsidRPr="00814766" w:rsidRDefault="003E1695" w:rsidP="00657BFA">
            <w:pPr>
              <w:pStyle w:val="CETBodytext"/>
              <w:ind w:right="-1"/>
              <w:jc w:val="left"/>
              <w:rPr>
                <w:rFonts w:cs="Arial"/>
                <w:szCs w:val="18"/>
                <w:vertAlign w:val="superscript"/>
                <w:lang w:val="en-GB"/>
              </w:rPr>
            </w:pPr>
            <w:r>
              <w:rPr>
                <w:rFonts w:cs="Arial"/>
                <w:szCs w:val="18"/>
                <w:lang w:val="en-GB"/>
              </w:rPr>
              <w:t>mg Nm</w:t>
            </w:r>
            <w:r>
              <w:rPr>
                <w:rFonts w:cs="Arial"/>
                <w:szCs w:val="18"/>
                <w:vertAlign w:val="superscript"/>
                <w:lang w:val="en-GB"/>
              </w:rPr>
              <w:t>-3</w:t>
            </w:r>
          </w:p>
        </w:tc>
        <w:tc>
          <w:tcPr>
            <w:tcW w:w="80" w:type="pct"/>
            <w:tcBorders>
              <w:top w:val="single" w:sz="12" w:space="0" w:color="008000"/>
              <w:bottom w:val="single" w:sz="6" w:space="0" w:color="008000"/>
            </w:tcBorders>
            <w:shd w:val="clear" w:color="auto" w:fill="FFFFFF"/>
          </w:tcPr>
          <w:p w14:paraId="60E22303" w14:textId="77777777" w:rsidR="003E1695" w:rsidRDefault="003E1695" w:rsidP="00657BFA">
            <w:pPr>
              <w:pStyle w:val="CETBodytext"/>
              <w:ind w:right="-1"/>
              <w:jc w:val="left"/>
              <w:rPr>
                <w:rFonts w:cs="Arial"/>
                <w:szCs w:val="18"/>
                <w:lang w:val="en-GB"/>
              </w:rPr>
            </w:pPr>
          </w:p>
        </w:tc>
        <w:tc>
          <w:tcPr>
            <w:tcW w:w="323" w:type="pct"/>
            <w:tcBorders>
              <w:top w:val="single" w:sz="12" w:space="0" w:color="008000"/>
              <w:bottom w:val="single" w:sz="6" w:space="0" w:color="008000"/>
            </w:tcBorders>
            <w:shd w:val="clear" w:color="auto" w:fill="FFFFFF"/>
          </w:tcPr>
          <w:p w14:paraId="2291EC13" w14:textId="697FA4CC" w:rsidR="003E1695" w:rsidRDefault="003E1695" w:rsidP="00657BFA">
            <w:pPr>
              <w:pStyle w:val="CETBodytext"/>
              <w:ind w:right="-1"/>
              <w:jc w:val="left"/>
              <w:rPr>
                <w:rFonts w:cs="Arial"/>
                <w:szCs w:val="18"/>
                <w:lang w:val="en-GB"/>
              </w:rPr>
            </w:pPr>
            <w:r>
              <w:rPr>
                <w:rFonts w:cs="Arial"/>
                <w:szCs w:val="18"/>
                <w:lang w:val="en-GB"/>
              </w:rPr>
              <w:t>NO</w:t>
            </w:r>
            <w:r>
              <w:rPr>
                <w:rFonts w:cs="Arial"/>
                <w:szCs w:val="18"/>
                <w:vertAlign w:val="subscript"/>
                <w:lang w:val="en-GB"/>
              </w:rPr>
              <w:t>x</w:t>
            </w:r>
            <w:r>
              <w:rPr>
                <w:rFonts w:cs="Arial"/>
                <w:szCs w:val="18"/>
                <w:lang w:val="en-GB"/>
              </w:rPr>
              <w:t xml:space="preserve"> / ppm</w:t>
            </w:r>
          </w:p>
        </w:tc>
        <w:tc>
          <w:tcPr>
            <w:tcW w:w="323" w:type="pct"/>
            <w:tcBorders>
              <w:top w:val="single" w:sz="12" w:space="0" w:color="008000"/>
              <w:bottom w:val="single" w:sz="6" w:space="0" w:color="008000"/>
            </w:tcBorders>
            <w:shd w:val="clear" w:color="auto" w:fill="FFFFFF"/>
          </w:tcPr>
          <w:p w14:paraId="531A5F88" w14:textId="77777777" w:rsidR="003E1695" w:rsidRDefault="003E1695" w:rsidP="00657BFA">
            <w:pPr>
              <w:pStyle w:val="CETBodytext"/>
              <w:ind w:right="-1"/>
              <w:jc w:val="left"/>
              <w:rPr>
                <w:rFonts w:cs="Arial"/>
                <w:szCs w:val="18"/>
                <w:lang w:val="en-GB"/>
              </w:rPr>
            </w:pPr>
            <w:r>
              <w:rPr>
                <w:rFonts w:cs="Arial"/>
                <w:szCs w:val="18"/>
                <w:lang w:val="en-GB"/>
              </w:rPr>
              <w:t xml:space="preserve">CO / ppm </w:t>
            </w:r>
          </w:p>
        </w:tc>
        <w:tc>
          <w:tcPr>
            <w:tcW w:w="241" w:type="pct"/>
            <w:tcBorders>
              <w:top w:val="single" w:sz="12" w:space="0" w:color="008000"/>
              <w:bottom w:val="single" w:sz="6" w:space="0" w:color="008000"/>
            </w:tcBorders>
            <w:shd w:val="clear" w:color="auto" w:fill="FFFFFF"/>
          </w:tcPr>
          <w:p w14:paraId="35CFBAF3" w14:textId="77777777" w:rsidR="003E1695" w:rsidRDefault="003E1695" w:rsidP="00657BFA">
            <w:pPr>
              <w:pStyle w:val="CETBodytext"/>
              <w:ind w:right="-1"/>
              <w:jc w:val="left"/>
              <w:rPr>
                <w:rFonts w:cs="Arial"/>
                <w:szCs w:val="18"/>
                <w:lang w:val="en-GB"/>
              </w:rPr>
            </w:pPr>
            <w:r>
              <w:rPr>
                <w:rFonts w:cs="Arial"/>
                <w:szCs w:val="18"/>
                <w:lang w:val="en-GB"/>
              </w:rPr>
              <w:t>CO</w:t>
            </w:r>
            <w:r>
              <w:rPr>
                <w:rFonts w:cs="Arial"/>
                <w:szCs w:val="18"/>
                <w:vertAlign w:val="subscript"/>
                <w:lang w:val="en-GB"/>
              </w:rPr>
              <w:t>2</w:t>
            </w:r>
            <w:r>
              <w:rPr>
                <w:rFonts w:cs="Arial"/>
                <w:szCs w:val="18"/>
                <w:lang w:val="en-GB"/>
              </w:rPr>
              <w:t xml:space="preserve"> /         %v</w:t>
            </w:r>
          </w:p>
        </w:tc>
        <w:tc>
          <w:tcPr>
            <w:tcW w:w="242" w:type="pct"/>
            <w:tcBorders>
              <w:top w:val="single" w:sz="12" w:space="0" w:color="008000"/>
              <w:bottom w:val="single" w:sz="6" w:space="0" w:color="008000"/>
            </w:tcBorders>
            <w:shd w:val="clear" w:color="auto" w:fill="FFFFFF"/>
          </w:tcPr>
          <w:p w14:paraId="7D43CE3F" w14:textId="77777777" w:rsidR="003E1695" w:rsidRDefault="003E1695" w:rsidP="00657BFA">
            <w:pPr>
              <w:pStyle w:val="CETBodytext"/>
              <w:ind w:right="-1"/>
              <w:jc w:val="left"/>
              <w:rPr>
                <w:rFonts w:cs="Arial"/>
                <w:szCs w:val="18"/>
                <w:lang w:val="en-GB"/>
              </w:rPr>
            </w:pPr>
            <w:r>
              <w:rPr>
                <w:rFonts w:cs="Arial"/>
                <w:szCs w:val="18"/>
                <w:lang w:val="en-GB"/>
              </w:rPr>
              <w:t>O</w:t>
            </w:r>
            <w:r>
              <w:rPr>
                <w:rFonts w:cs="Arial"/>
                <w:szCs w:val="18"/>
                <w:vertAlign w:val="subscript"/>
                <w:lang w:val="en-GB"/>
              </w:rPr>
              <w:t>2</w:t>
            </w:r>
            <w:r>
              <w:rPr>
                <w:rFonts w:cs="Arial"/>
                <w:szCs w:val="18"/>
                <w:lang w:val="en-GB"/>
              </w:rPr>
              <w:t xml:space="preserve"> / </w:t>
            </w:r>
          </w:p>
          <w:p w14:paraId="2D4C3C27" w14:textId="77777777" w:rsidR="003E1695" w:rsidRDefault="003E1695" w:rsidP="00657BFA">
            <w:pPr>
              <w:pStyle w:val="CETBodytext"/>
              <w:ind w:right="-1"/>
              <w:jc w:val="left"/>
              <w:rPr>
                <w:rFonts w:cs="Arial"/>
                <w:szCs w:val="18"/>
                <w:lang w:val="en-GB"/>
              </w:rPr>
            </w:pPr>
            <w:r>
              <w:rPr>
                <w:rFonts w:cs="Arial"/>
                <w:szCs w:val="18"/>
                <w:lang w:val="en-GB"/>
              </w:rPr>
              <w:t>%v</w:t>
            </w:r>
          </w:p>
        </w:tc>
        <w:tc>
          <w:tcPr>
            <w:tcW w:w="646" w:type="pct"/>
            <w:tcBorders>
              <w:top w:val="single" w:sz="12" w:space="0" w:color="008000"/>
              <w:bottom w:val="single" w:sz="6" w:space="0" w:color="008000"/>
            </w:tcBorders>
            <w:shd w:val="clear" w:color="auto" w:fill="FFFFFF"/>
          </w:tcPr>
          <w:p w14:paraId="60AC61FB" w14:textId="77777777" w:rsidR="003E1695" w:rsidRDefault="003E1695" w:rsidP="00657BFA">
            <w:pPr>
              <w:pStyle w:val="CETBodytext"/>
              <w:ind w:right="-1"/>
              <w:jc w:val="left"/>
              <w:rPr>
                <w:rFonts w:cs="Arial"/>
                <w:szCs w:val="18"/>
                <w:lang w:val="en-GB"/>
              </w:rPr>
            </w:pPr>
            <w:r>
              <w:rPr>
                <w:rFonts w:cs="Arial"/>
                <w:szCs w:val="18"/>
                <w:lang w:val="en-GB"/>
              </w:rPr>
              <w:t>Dust (opacimeter) / mg m</w:t>
            </w:r>
            <w:r>
              <w:rPr>
                <w:rFonts w:cs="Arial"/>
                <w:szCs w:val="18"/>
                <w:vertAlign w:val="superscript"/>
                <w:lang w:val="en-GB"/>
              </w:rPr>
              <w:t>-3</w:t>
            </w:r>
          </w:p>
        </w:tc>
        <w:tc>
          <w:tcPr>
            <w:tcW w:w="483" w:type="pct"/>
            <w:tcBorders>
              <w:top w:val="single" w:sz="12" w:space="0" w:color="008000"/>
              <w:bottom w:val="single" w:sz="6" w:space="0" w:color="008000"/>
            </w:tcBorders>
            <w:shd w:val="clear" w:color="auto" w:fill="FFFFFF"/>
          </w:tcPr>
          <w:p w14:paraId="5037D4C4" w14:textId="77777777" w:rsidR="003E1695" w:rsidRDefault="003E1695" w:rsidP="00657BFA">
            <w:pPr>
              <w:pStyle w:val="CETBodytext"/>
              <w:ind w:right="-1"/>
              <w:jc w:val="left"/>
              <w:rPr>
                <w:rFonts w:cs="Arial"/>
                <w:szCs w:val="18"/>
                <w:lang w:val="en-GB"/>
              </w:rPr>
            </w:pPr>
            <w:r>
              <w:rPr>
                <w:rFonts w:cs="Arial"/>
                <w:szCs w:val="18"/>
                <w:lang w:val="en-GB"/>
              </w:rPr>
              <w:t xml:space="preserve">TPM /          </w:t>
            </w:r>
          </w:p>
          <w:p w14:paraId="08EA4357" w14:textId="77777777" w:rsidR="003E1695" w:rsidRDefault="003E1695" w:rsidP="00657BFA">
            <w:pPr>
              <w:pStyle w:val="CETBodytext"/>
              <w:ind w:right="-1"/>
              <w:jc w:val="left"/>
              <w:rPr>
                <w:rFonts w:cs="Arial"/>
                <w:szCs w:val="18"/>
                <w:lang w:val="en-GB"/>
              </w:rPr>
            </w:pPr>
            <w:r>
              <w:rPr>
                <w:rFonts w:cs="Arial"/>
                <w:szCs w:val="18"/>
                <w:lang w:val="en-GB"/>
              </w:rPr>
              <w:t>mg Nm</w:t>
            </w:r>
            <w:r>
              <w:rPr>
                <w:rFonts w:cs="Arial"/>
                <w:szCs w:val="18"/>
                <w:vertAlign w:val="superscript"/>
                <w:lang w:val="en-GB"/>
              </w:rPr>
              <w:t>-3</w:t>
            </w:r>
          </w:p>
        </w:tc>
      </w:tr>
      <w:tr w:rsidR="00CD6CAD" w:rsidRPr="00B57B36" w14:paraId="2EDA8F88" w14:textId="77777777" w:rsidTr="00CD6CAD">
        <w:trPr>
          <w:trHeight w:val="342"/>
        </w:trPr>
        <w:tc>
          <w:tcPr>
            <w:tcW w:w="257" w:type="pct"/>
            <w:vMerge w:val="restart"/>
            <w:shd w:val="clear" w:color="auto" w:fill="FFFFFF"/>
            <w:vAlign w:val="center"/>
          </w:tcPr>
          <w:p w14:paraId="361F5854" w14:textId="77777777" w:rsidR="003E1695" w:rsidRPr="00B57B36" w:rsidRDefault="003E1695" w:rsidP="00DC3101">
            <w:pPr>
              <w:pStyle w:val="CETBodytext"/>
              <w:jc w:val="left"/>
              <w:rPr>
                <w:lang w:val="en-GB"/>
              </w:rPr>
            </w:pPr>
            <w:r>
              <w:rPr>
                <w:lang w:val="en-GB"/>
              </w:rPr>
              <w:t>A</w:t>
            </w:r>
          </w:p>
        </w:tc>
        <w:tc>
          <w:tcPr>
            <w:tcW w:w="251" w:type="pct"/>
            <w:shd w:val="clear" w:color="auto" w:fill="FFFFFF"/>
          </w:tcPr>
          <w:p w14:paraId="4A8D222C" w14:textId="21E97F5E" w:rsidR="003E1695" w:rsidRPr="00573BF5" w:rsidRDefault="003E1695" w:rsidP="00DC3101">
            <w:pPr>
              <w:pStyle w:val="CETBodytext"/>
              <w:ind w:right="-1"/>
            </w:pPr>
            <w:r>
              <w:t>yes</w:t>
            </w:r>
          </w:p>
        </w:tc>
        <w:tc>
          <w:tcPr>
            <w:tcW w:w="56" w:type="pct"/>
            <w:shd w:val="clear" w:color="auto" w:fill="FFFFFF"/>
          </w:tcPr>
          <w:p w14:paraId="4EE839CA" w14:textId="77777777" w:rsidR="003E1695" w:rsidRPr="00725E18" w:rsidRDefault="003E1695" w:rsidP="00DC3101">
            <w:pPr>
              <w:pStyle w:val="CETBodytext"/>
              <w:ind w:right="-1"/>
            </w:pPr>
          </w:p>
        </w:tc>
        <w:tc>
          <w:tcPr>
            <w:tcW w:w="327" w:type="pct"/>
            <w:shd w:val="clear" w:color="auto" w:fill="FFFFFF"/>
          </w:tcPr>
          <w:p w14:paraId="6B8C55D8" w14:textId="2B32976F" w:rsidR="003E1695" w:rsidRPr="00B57B36" w:rsidRDefault="003E1695" w:rsidP="00DC3101">
            <w:pPr>
              <w:pStyle w:val="CETBodytext"/>
              <w:ind w:right="-1"/>
              <w:rPr>
                <w:rFonts w:cs="Arial"/>
                <w:szCs w:val="18"/>
                <w:lang w:val="en-GB"/>
              </w:rPr>
            </w:pPr>
            <w:r w:rsidRPr="00725E18">
              <w:t>22</w:t>
            </w:r>
            <w:r>
              <w:t>.</w:t>
            </w:r>
            <w:r w:rsidRPr="00725E18">
              <w:t>4</w:t>
            </w:r>
          </w:p>
        </w:tc>
        <w:tc>
          <w:tcPr>
            <w:tcW w:w="311" w:type="pct"/>
            <w:shd w:val="clear" w:color="auto" w:fill="FFFFFF"/>
          </w:tcPr>
          <w:p w14:paraId="01C63CAE" w14:textId="31BB3454" w:rsidR="003E1695" w:rsidRPr="00B57B36" w:rsidRDefault="003E1695" w:rsidP="00DC3101">
            <w:pPr>
              <w:pStyle w:val="CETBodytext"/>
              <w:ind w:right="-1"/>
              <w:rPr>
                <w:rFonts w:cs="Arial"/>
                <w:szCs w:val="18"/>
                <w:lang w:val="en-GB"/>
              </w:rPr>
            </w:pPr>
            <w:r>
              <w:rPr>
                <w:rFonts w:cs="Arial"/>
                <w:szCs w:val="18"/>
                <w:lang w:val="en-GB"/>
              </w:rPr>
              <w:t>182</w:t>
            </w:r>
          </w:p>
        </w:tc>
        <w:tc>
          <w:tcPr>
            <w:tcW w:w="329" w:type="pct"/>
            <w:shd w:val="clear" w:color="auto" w:fill="FFFFFF"/>
          </w:tcPr>
          <w:p w14:paraId="2D128068" w14:textId="65A410C3" w:rsidR="003E1695" w:rsidRPr="00B57B36" w:rsidRDefault="003E1695" w:rsidP="00DC3101">
            <w:pPr>
              <w:pStyle w:val="CETBodytext"/>
              <w:ind w:right="-1"/>
              <w:rPr>
                <w:rFonts w:cs="Arial"/>
                <w:szCs w:val="18"/>
                <w:lang w:val="en-GB"/>
              </w:rPr>
            </w:pPr>
            <w:r>
              <w:t>2.9</w:t>
            </w:r>
          </w:p>
        </w:tc>
        <w:tc>
          <w:tcPr>
            <w:tcW w:w="242" w:type="pct"/>
            <w:shd w:val="clear" w:color="auto" w:fill="FFFFFF"/>
          </w:tcPr>
          <w:p w14:paraId="39D4DB2B" w14:textId="596F9C03" w:rsidR="003E1695" w:rsidRPr="00B57B36" w:rsidRDefault="003E1695" w:rsidP="00DC3101">
            <w:pPr>
              <w:pStyle w:val="CETBodytext"/>
              <w:ind w:right="-1"/>
              <w:rPr>
                <w:rFonts w:cs="Arial"/>
                <w:szCs w:val="18"/>
                <w:lang w:val="en-GB"/>
              </w:rPr>
            </w:pPr>
            <w:r>
              <w:rPr>
                <w:rFonts w:cs="Arial"/>
                <w:szCs w:val="18"/>
                <w:lang w:val="en-GB"/>
              </w:rPr>
              <w:t>18.3</w:t>
            </w:r>
          </w:p>
        </w:tc>
        <w:tc>
          <w:tcPr>
            <w:tcW w:w="412" w:type="pct"/>
            <w:shd w:val="clear" w:color="auto" w:fill="FFFFFF"/>
          </w:tcPr>
          <w:p w14:paraId="35E8D2BE" w14:textId="3A49B80C" w:rsidR="003E1695" w:rsidRPr="00B57B36" w:rsidRDefault="003E1695" w:rsidP="00DC3101">
            <w:pPr>
              <w:pStyle w:val="CETBodytext"/>
              <w:ind w:right="-1"/>
              <w:rPr>
                <w:rFonts w:cs="Arial"/>
                <w:szCs w:val="18"/>
                <w:lang w:val="en-GB"/>
              </w:rPr>
            </w:pPr>
            <w:r>
              <w:rPr>
                <w:rFonts w:cs="Arial"/>
                <w:szCs w:val="18"/>
                <w:lang w:val="en-GB"/>
              </w:rPr>
              <w:t>13.7</w:t>
            </w:r>
          </w:p>
        </w:tc>
        <w:tc>
          <w:tcPr>
            <w:tcW w:w="476" w:type="pct"/>
            <w:shd w:val="clear" w:color="auto" w:fill="FFFFFF"/>
          </w:tcPr>
          <w:p w14:paraId="3FE99FDC" w14:textId="4344987B" w:rsidR="003E1695" w:rsidRPr="00B57B36" w:rsidRDefault="003E1695" w:rsidP="00DC3101">
            <w:pPr>
              <w:pStyle w:val="CETBodytext"/>
              <w:ind w:right="-1"/>
              <w:rPr>
                <w:rFonts w:cs="Arial"/>
                <w:szCs w:val="18"/>
                <w:lang w:val="en-GB"/>
              </w:rPr>
            </w:pPr>
            <w:r>
              <w:rPr>
                <w:rFonts w:cs="Arial"/>
                <w:szCs w:val="18"/>
                <w:lang w:val="en-GB"/>
              </w:rPr>
              <w:t>109</w:t>
            </w:r>
            <w:r w:rsidR="003353B7">
              <w:rPr>
                <w:rFonts w:cs="Arial"/>
                <w:szCs w:val="18"/>
                <w:lang w:val="en-GB"/>
              </w:rPr>
              <w:t xml:space="preserve"> </w:t>
            </w:r>
            <w:r w:rsidR="003353B7">
              <w:t>(</w:t>
            </w:r>
            <m:oMath>
              <m:r>
                <w:rPr>
                  <w:rFonts w:ascii="Cambria Math" w:hAnsi="Cambria Math"/>
                </w:rPr>
                <m:t>±</m:t>
              </m:r>
            </m:oMath>
            <w:r w:rsidR="003353B7">
              <w:t>16)</w:t>
            </w:r>
          </w:p>
        </w:tc>
        <w:tc>
          <w:tcPr>
            <w:tcW w:w="80" w:type="pct"/>
            <w:shd w:val="clear" w:color="auto" w:fill="FFFFFF"/>
          </w:tcPr>
          <w:p w14:paraId="0F437E80" w14:textId="77777777" w:rsidR="003E1695" w:rsidRDefault="003E1695" w:rsidP="00DC3101">
            <w:pPr>
              <w:pStyle w:val="CETBodytext"/>
              <w:ind w:right="-1"/>
              <w:rPr>
                <w:rFonts w:cs="Arial"/>
                <w:szCs w:val="18"/>
                <w:lang w:val="en-GB"/>
              </w:rPr>
            </w:pPr>
          </w:p>
        </w:tc>
        <w:tc>
          <w:tcPr>
            <w:tcW w:w="323" w:type="pct"/>
            <w:shd w:val="clear" w:color="auto" w:fill="FFFFFF"/>
          </w:tcPr>
          <w:p w14:paraId="00A696CA" w14:textId="5E66226C" w:rsidR="003E1695" w:rsidRPr="00B57B36" w:rsidRDefault="003E1695" w:rsidP="00DC3101">
            <w:pPr>
              <w:pStyle w:val="CETBodytext"/>
              <w:ind w:right="-1"/>
              <w:rPr>
                <w:rFonts w:cs="Arial"/>
                <w:szCs w:val="18"/>
                <w:lang w:val="en-GB"/>
              </w:rPr>
            </w:pPr>
            <w:r>
              <w:rPr>
                <w:rFonts w:cs="Arial"/>
                <w:szCs w:val="18"/>
                <w:lang w:val="en-GB"/>
              </w:rPr>
              <w:t>4.4</w:t>
            </w:r>
          </w:p>
        </w:tc>
        <w:tc>
          <w:tcPr>
            <w:tcW w:w="323" w:type="pct"/>
            <w:shd w:val="clear" w:color="auto" w:fill="FFFFFF"/>
          </w:tcPr>
          <w:p w14:paraId="11F36B06" w14:textId="374159BA" w:rsidR="003E1695" w:rsidRPr="00B57B36" w:rsidRDefault="003E1695" w:rsidP="00DC3101">
            <w:pPr>
              <w:pStyle w:val="CETBodytext"/>
              <w:ind w:right="-1"/>
              <w:rPr>
                <w:rFonts w:cs="Arial"/>
                <w:szCs w:val="18"/>
                <w:lang w:val="en-GB"/>
              </w:rPr>
            </w:pPr>
            <w:r>
              <w:rPr>
                <w:rFonts w:cs="Arial"/>
                <w:szCs w:val="18"/>
                <w:lang w:val="en-GB"/>
              </w:rPr>
              <w:t xml:space="preserve">36.2 </w:t>
            </w:r>
          </w:p>
        </w:tc>
        <w:tc>
          <w:tcPr>
            <w:tcW w:w="241" w:type="pct"/>
            <w:shd w:val="clear" w:color="auto" w:fill="FFFFFF"/>
          </w:tcPr>
          <w:p w14:paraId="425D7C07" w14:textId="02F3C990" w:rsidR="003E1695" w:rsidRPr="00B57B36" w:rsidRDefault="003E1695" w:rsidP="00DC3101">
            <w:pPr>
              <w:pStyle w:val="CETBodytext"/>
              <w:ind w:right="-1"/>
              <w:rPr>
                <w:rFonts w:cs="Arial"/>
                <w:szCs w:val="18"/>
                <w:lang w:val="en-GB"/>
              </w:rPr>
            </w:pPr>
            <w:r>
              <w:rPr>
                <w:rFonts w:cs="Arial"/>
                <w:szCs w:val="18"/>
                <w:lang w:val="en-GB"/>
              </w:rPr>
              <w:t>0.6</w:t>
            </w:r>
          </w:p>
        </w:tc>
        <w:tc>
          <w:tcPr>
            <w:tcW w:w="242" w:type="pct"/>
            <w:shd w:val="clear" w:color="auto" w:fill="FFFFFF"/>
          </w:tcPr>
          <w:p w14:paraId="176BFC63" w14:textId="23D8EEE6" w:rsidR="003E1695" w:rsidRPr="00B57B36" w:rsidRDefault="003E1695" w:rsidP="00DC3101">
            <w:pPr>
              <w:pStyle w:val="CETBodytext"/>
              <w:ind w:right="-1"/>
              <w:rPr>
                <w:rFonts w:cs="Arial"/>
                <w:szCs w:val="18"/>
                <w:lang w:val="en-GB"/>
              </w:rPr>
            </w:pPr>
            <w:r>
              <w:rPr>
                <w:rFonts w:cs="Arial"/>
                <w:szCs w:val="18"/>
                <w:lang w:val="en-GB"/>
              </w:rPr>
              <w:t>20.5</w:t>
            </w:r>
          </w:p>
        </w:tc>
        <w:tc>
          <w:tcPr>
            <w:tcW w:w="646" w:type="pct"/>
            <w:shd w:val="clear" w:color="auto" w:fill="FFFFFF"/>
          </w:tcPr>
          <w:p w14:paraId="24BE2A0C" w14:textId="498516D6" w:rsidR="003E1695" w:rsidRPr="00B57B36" w:rsidRDefault="003E1695" w:rsidP="00DC3101">
            <w:pPr>
              <w:pStyle w:val="CETBodytext"/>
              <w:ind w:right="-1"/>
              <w:rPr>
                <w:rFonts w:cs="Arial"/>
                <w:szCs w:val="18"/>
                <w:lang w:val="en-GB"/>
              </w:rPr>
            </w:pPr>
            <w:r>
              <w:rPr>
                <w:rFonts w:cs="Arial"/>
                <w:szCs w:val="18"/>
                <w:lang w:val="en-GB"/>
              </w:rPr>
              <w:t>32.5</w:t>
            </w:r>
          </w:p>
        </w:tc>
        <w:tc>
          <w:tcPr>
            <w:tcW w:w="483" w:type="pct"/>
            <w:shd w:val="clear" w:color="auto" w:fill="FFFFFF"/>
          </w:tcPr>
          <w:p w14:paraId="2E5FDE29" w14:textId="78217FCC" w:rsidR="003E1695" w:rsidRPr="00B57B36" w:rsidRDefault="003E1695" w:rsidP="00DC3101">
            <w:pPr>
              <w:pStyle w:val="CETBodytext"/>
              <w:ind w:right="-1"/>
              <w:rPr>
                <w:rFonts w:cs="Arial"/>
                <w:szCs w:val="18"/>
                <w:lang w:val="en-GB"/>
              </w:rPr>
            </w:pPr>
            <w:r>
              <w:rPr>
                <w:rFonts w:cs="Arial"/>
                <w:szCs w:val="18"/>
                <w:lang w:val="en-GB"/>
              </w:rPr>
              <w:t>9</w:t>
            </w:r>
            <w:r w:rsidR="003353B7">
              <w:rPr>
                <w:rFonts w:cs="Arial"/>
                <w:szCs w:val="18"/>
                <w:lang w:val="en-GB"/>
              </w:rPr>
              <w:t xml:space="preserve">8 </w:t>
            </w:r>
            <w:r w:rsidR="003353B7">
              <w:t>(</w:t>
            </w:r>
            <m:oMath>
              <m:r>
                <w:rPr>
                  <w:rFonts w:ascii="Cambria Math" w:hAnsi="Cambria Math"/>
                </w:rPr>
                <m:t>±</m:t>
              </m:r>
            </m:oMath>
            <w:r w:rsidR="003353B7">
              <w:t>11)</w:t>
            </w:r>
          </w:p>
        </w:tc>
      </w:tr>
      <w:tr w:rsidR="00CD6CAD" w:rsidRPr="00B57B36" w14:paraId="6B37C911" w14:textId="77777777" w:rsidTr="00CD6CAD">
        <w:trPr>
          <w:trHeight w:val="342"/>
        </w:trPr>
        <w:tc>
          <w:tcPr>
            <w:tcW w:w="257" w:type="pct"/>
            <w:vMerge/>
            <w:shd w:val="clear" w:color="auto" w:fill="FFFFFF"/>
          </w:tcPr>
          <w:p w14:paraId="38755C3A" w14:textId="77777777" w:rsidR="003E1695" w:rsidRDefault="003E1695" w:rsidP="00657BFA">
            <w:pPr>
              <w:pStyle w:val="CETBodytext"/>
              <w:rPr>
                <w:lang w:val="en-GB"/>
              </w:rPr>
            </w:pPr>
          </w:p>
        </w:tc>
        <w:tc>
          <w:tcPr>
            <w:tcW w:w="251" w:type="pct"/>
            <w:shd w:val="clear" w:color="auto" w:fill="FFFFFF"/>
          </w:tcPr>
          <w:p w14:paraId="6CEC2F52" w14:textId="3725CA3D" w:rsidR="003E1695" w:rsidRPr="00573BF5" w:rsidRDefault="003E1695" w:rsidP="00657BFA">
            <w:pPr>
              <w:pStyle w:val="CETBodytext"/>
              <w:ind w:right="-1"/>
            </w:pPr>
            <w:r>
              <w:t>no</w:t>
            </w:r>
          </w:p>
        </w:tc>
        <w:tc>
          <w:tcPr>
            <w:tcW w:w="56" w:type="pct"/>
            <w:shd w:val="clear" w:color="auto" w:fill="FFFFFF"/>
          </w:tcPr>
          <w:p w14:paraId="511ED9B6" w14:textId="77777777" w:rsidR="003E1695" w:rsidRDefault="003E1695" w:rsidP="00657BFA">
            <w:pPr>
              <w:pStyle w:val="CETBodytext"/>
              <w:ind w:right="-1"/>
            </w:pPr>
          </w:p>
        </w:tc>
        <w:tc>
          <w:tcPr>
            <w:tcW w:w="327" w:type="pct"/>
            <w:shd w:val="clear" w:color="auto" w:fill="FFFFFF"/>
          </w:tcPr>
          <w:p w14:paraId="095FDFC3" w14:textId="3DFDEAA0" w:rsidR="003E1695" w:rsidRPr="00573BF5" w:rsidRDefault="003E1695" w:rsidP="00657BFA">
            <w:pPr>
              <w:pStyle w:val="CETBodytext"/>
              <w:ind w:right="-1"/>
            </w:pPr>
            <w:r>
              <w:t>20.9</w:t>
            </w:r>
          </w:p>
        </w:tc>
        <w:tc>
          <w:tcPr>
            <w:tcW w:w="311" w:type="pct"/>
            <w:shd w:val="clear" w:color="auto" w:fill="FFFFFF"/>
          </w:tcPr>
          <w:p w14:paraId="3E17E247" w14:textId="59AF317B" w:rsidR="003E1695" w:rsidRPr="004B0791" w:rsidRDefault="003E1695" w:rsidP="00657BFA">
            <w:pPr>
              <w:pStyle w:val="CETBodytext"/>
              <w:ind w:right="-1"/>
            </w:pPr>
            <w:r>
              <w:t>145</w:t>
            </w:r>
          </w:p>
        </w:tc>
        <w:tc>
          <w:tcPr>
            <w:tcW w:w="329" w:type="pct"/>
            <w:shd w:val="clear" w:color="auto" w:fill="FFFFFF"/>
          </w:tcPr>
          <w:p w14:paraId="35509E9A" w14:textId="0B4B9F83" w:rsidR="003E1695" w:rsidRPr="003D6E0B" w:rsidRDefault="003E1695" w:rsidP="00657BFA">
            <w:pPr>
              <w:pStyle w:val="CETBodytext"/>
              <w:ind w:right="-1"/>
            </w:pPr>
            <w:r>
              <w:t>2.7</w:t>
            </w:r>
          </w:p>
        </w:tc>
        <w:tc>
          <w:tcPr>
            <w:tcW w:w="242" w:type="pct"/>
            <w:shd w:val="clear" w:color="auto" w:fill="FFFFFF"/>
          </w:tcPr>
          <w:p w14:paraId="70E1477E" w14:textId="7543C166" w:rsidR="003E1695" w:rsidRPr="003D6E0B" w:rsidRDefault="003E1695" w:rsidP="00657BFA">
            <w:pPr>
              <w:pStyle w:val="CETBodytext"/>
              <w:ind w:right="-1"/>
            </w:pPr>
            <w:r>
              <w:t>18.4</w:t>
            </w:r>
          </w:p>
        </w:tc>
        <w:tc>
          <w:tcPr>
            <w:tcW w:w="412" w:type="pct"/>
            <w:shd w:val="clear" w:color="auto" w:fill="FFFFFF"/>
          </w:tcPr>
          <w:p w14:paraId="0D80ACE7" w14:textId="0EEEDA2E" w:rsidR="003E1695" w:rsidRPr="008269CB" w:rsidRDefault="003E1695" w:rsidP="00657BFA">
            <w:pPr>
              <w:pStyle w:val="CETBodytext"/>
              <w:ind w:right="-1"/>
            </w:pPr>
            <w:r>
              <w:t>6.3</w:t>
            </w:r>
          </w:p>
        </w:tc>
        <w:tc>
          <w:tcPr>
            <w:tcW w:w="476" w:type="pct"/>
            <w:shd w:val="clear" w:color="auto" w:fill="FFFFFF"/>
          </w:tcPr>
          <w:p w14:paraId="1C75E4C6" w14:textId="00AFD4E7" w:rsidR="003E1695" w:rsidRPr="00F96A0F" w:rsidRDefault="003E1695" w:rsidP="00657BFA">
            <w:pPr>
              <w:pStyle w:val="CETBodytext"/>
              <w:ind w:right="-1"/>
            </w:pPr>
            <w:r>
              <w:t>8</w:t>
            </w:r>
            <w:r w:rsidR="00CD6CAD">
              <w:t>7</w:t>
            </w:r>
            <w:r w:rsidR="003353B7">
              <w:t xml:space="preserve"> (</w:t>
            </w:r>
            <m:oMath>
              <m:r>
                <w:rPr>
                  <w:rFonts w:ascii="Cambria Math" w:hAnsi="Cambria Math"/>
                </w:rPr>
                <m:t>±</m:t>
              </m:r>
            </m:oMath>
            <w:r w:rsidR="003353B7">
              <w:t>8)</w:t>
            </w:r>
          </w:p>
        </w:tc>
        <w:tc>
          <w:tcPr>
            <w:tcW w:w="80" w:type="pct"/>
            <w:shd w:val="clear" w:color="auto" w:fill="FFFFFF"/>
          </w:tcPr>
          <w:p w14:paraId="04BAC1C7" w14:textId="77777777" w:rsidR="003E1695" w:rsidRDefault="003E1695" w:rsidP="00657BFA">
            <w:pPr>
              <w:pStyle w:val="CETBodytext"/>
              <w:ind w:right="-1"/>
            </w:pPr>
          </w:p>
        </w:tc>
        <w:tc>
          <w:tcPr>
            <w:tcW w:w="323" w:type="pct"/>
            <w:shd w:val="clear" w:color="auto" w:fill="FFFFFF"/>
          </w:tcPr>
          <w:p w14:paraId="71D64503" w14:textId="2B58B23E" w:rsidR="003E1695" w:rsidRPr="00BC445A" w:rsidRDefault="003E1695" w:rsidP="00657BFA">
            <w:pPr>
              <w:pStyle w:val="CETBodytext"/>
              <w:ind w:right="-1"/>
            </w:pPr>
            <w:r>
              <w:t>4.2</w:t>
            </w:r>
          </w:p>
        </w:tc>
        <w:tc>
          <w:tcPr>
            <w:tcW w:w="323" w:type="pct"/>
            <w:shd w:val="clear" w:color="auto" w:fill="FFFFFF"/>
          </w:tcPr>
          <w:p w14:paraId="44227010" w14:textId="4F3F196B" w:rsidR="003E1695" w:rsidRPr="00BC445A" w:rsidRDefault="003E1695" w:rsidP="00657BFA">
            <w:pPr>
              <w:pStyle w:val="CETBodytext"/>
              <w:ind w:right="-1"/>
            </w:pPr>
            <w:r>
              <w:t>31.4</w:t>
            </w:r>
          </w:p>
        </w:tc>
        <w:tc>
          <w:tcPr>
            <w:tcW w:w="241" w:type="pct"/>
            <w:shd w:val="clear" w:color="auto" w:fill="FFFFFF"/>
          </w:tcPr>
          <w:p w14:paraId="7831E5E8" w14:textId="0DD7CF5A" w:rsidR="003E1695" w:rsidRPr="00BC445A" w:rsidRDefault="003E1695" w:rsidP="00657BFA">
            <w:pPr>
              <w:pStyle w:val="CETBodytext"/>
              <w:ind w:right="-1"/>
            </w:pPr>
            <w:r>
              <w:t>0.5</w:t>
            </w:r>
          </w:p>
        </w:tc>
        <w:tc>
          <w:tcPr>
            <w:tcW w:w="242" w:type="pct"/>
            <w:shd w:val="clear" w:color="auto" w:fill="FFFFFF"/>
          </w:tcPr>
          <w:p w14:paraId="2D4DFC27" w14:textId="2FF51CCC" w:rsidR="003E1695" w:rsidRPr="00BC445A" w:rsidRDefault="003E1695" w:rsidP="00657BFA">
            <w:pPr>
              <w:pStyle w:val="CETBodytext"/>
              <w:ind w:right="-1"/>
            </w:pPr>
            <w:r>
              <w:t>20.5</w:t>
            </w:r>
          </w:p>
        </w:tc>
        <w:tc>
          <w:tcPr>
            <w:tcW w:w="646" w:type="pct"/>
            <w:shd w:val="clear" w:color="auto" w:fill="FFFFFF"/>
          </w:tcPr>
          <w:p w14:paraId="23CF3C36" w14:textId="75376357" w:rsidR="003E1695" w:rsidRDefault="003E1695" w:rsidP="00657BFA">
            <w:pPr>
              <w:pStyle w:val="CETBodytext"/>
              <w:ind w:right="-1"/>
            </w:pPr>
            <w:r>
              <w:t>26.6</w:t>
            </w:r>
          </w:p>
        </w:tc>
        <w:tc>
          <w:tcPr>
            <w:tcW w:w="483" w:type="pct"/>
            <w:shd w:val="clear" w:color="auto" w:fill="FFFFFF"/>
          </w:tcPr>
          <w:p w14:paraId="6045A780" w14:textId="13A4EC51" w:rsidR="003E1695" w:rsidRPr="00AA68D6" w:rsidRDefault="003E1695" w:rsidP="00657BFA">
            <w:pPr>
              <w:pStyle w:val="CETBodytext"/>
              <w:ind w:right="-1"/>
            </w:pPr>
            <w:r>
              <w:t>7</w:t>
            </w:r>
            <w:r w:rsidR="003353B7">
              <w:t>5 (</w:t>
            </w:r>
            <m:oMath>
              <m:r>
                <w:rPr>
                  <w:rFonts w:ascii="Cambria Math" w:hAnsi="Cambria Math"/>
                </w:rPr>
                <m:t>±</m:t>
              </m:r>
            </m:oMath>
            <w:r w:rsidR="003353B7">
              <w:t>6)</w:t>
            </w:r>
          </w:p>
        </w:tc>
      </w:tr>
      <w:tr w:rsidR="00CD6CAD" w:rsidRPr="00B57B36" w14:paraId="3BF84D5F" w14:textId="77777777" w:rsidTr="00CD6CAD">
        <w:trPr>
          <w:trHeight w:val="321"/>
        </w:trPr>
        <w:tc>
          <w:tcPr>
            <w:tcW w:w="257" w:type="pct"/>
            <w:vMerge w:val="restart"/>
            <w:shd w:val="clear" w:color="auto" w:fill="FFFFFF"/>
            <w:vAlign w:val="center"/>
          </w:tcPr>
          <w:p w14:paraId="11C11692" w14:textId="77777777" w:rsidR="003E1695" w:rsidRPr="00DD13C7" w:rsidRDefault="003E1695" w:rsidP="002803EE">
            <w:pPr>
              <w:pStyle w:val="CETBodytext"/>
              <w:ind w:right="-1"/>
              <w:jc w:val="left"/>
              <w:rPr>
                <w:rFonts w:cs="Arial"/>
                <w:szCs w:val="18"/>
                <w:lang w:val="en-GB"/>
              </w:rPr>
            </w:pPr>
            <w:r>
              <w:rPr>
                <w:rFonts w:cs="Arial"/>
                <w:szCs w:val="18"/>
                <w:lang w:val="en-GB"/>
              </w:rPr>
              <w:t>B</w:t>
            </w:r>
          </w:p>
        </w:tc>
        <w:tc>
          <w:tcPr>
            <w:tcW w:w="251" w:type="pct"/>
            <w:shd w:val="clear" w:color="auto" w:fill="FFFFFF"/>
          </w:tcPr>
          <w:p w14:paraId="294B0ECC" w14:textId="35774D3F" w:rsidR="003E1695" w:rsidRPr="00573BF5" w:rsidRDefault="003E1695" w:rsidP="002803EE">
            <w:pPr>
              <w:pStyle w:val="CETBodytext"/>
              <w:ind w:right="-1"/>
            </w:pPr>
            <w:r>
              <w:t>yes</w:t>
            </w:r>
          </w:p>
        </w:tc>
        <w:tc>
          <w:tcPr>
            <w:tcW w:w="56" w:type="pct"/>
            <w:shd w:val="clear" w:color="auto" w:fill="FFFFFF"/>
          </w:tcPr>
          <w:p w14:paraId="4B0B9557" w14:textId="77777777" w:rsidR="003E1695" w:rsidRDefault="003E1695" w:rsidP="002803EE">
            <w:pPr>
              <w:pStyle w:val="CETBodytext"/>
              <w:ind w:right="-1"/>
              <w:rPr>
                <w:rFonts w:cs="Arial"/>
                <w:szCs w:val="18"/>
                <w:lang w:val="en-GB"/>
              </w:rPr>
            </w:pPr>
          </w:p>
        </w:tc>
        <w:tc>
          <w:tcPr>
            <w:tcW w:w="327" w:type="pct"/>
            <w:shd w:val="clear" w:color="auto" w:fill="FFFFFF"/>
          </w:tcPr>
          <w:p w14:paraId="378BA16D" w14:textId="2792EFF0" w:rsidR="003E1695" w:rsidRPr="00B57B36" w:rsidRDefault="003E1695" w:rsidP="002803EE">
            <w:pPr>
              <w:pStyle w:val="CETBodytext"/>
              <w:ind w:right="-1"/>
              <w:rPr>
                <w:rFonts w:cs="Arial"/>
                <w:szCs w:val="18"/>
                <w:lang w:val="en-GB"/>
              </w:rPr>
            </w:pPr>
            <w:r>
              <w:rPr>
                <w:rFonts w:cs="Arial"/>
                <w:szCs w:val="18"/>
                <w:lang w:val="en-GB"/>
              </w:rPr>
              <w:t>15.5</w:t>
            </w:r>
          </w:p>
        </w:tc>
        <w:tc>
          <w:tcPr>
            <w:tcW w:w="311" w:type="pct"/>
            <w:shd w:val="clear" w:color="auto" w:fill="FFFFFF"/>
          </w:tcPr>
          <w:p w14:paraId="02BCA9E5" w14:textId="08C166D6" w:rsidR="003E1695" w:rsidRPr="00B57B36" w:rsidRDefault="003E1695" w:rsidP="002803EE">
            <w:pPr>
              <w:pStyle w:val="CETBodytext"/>
              <w:ind w:right="-1"/>
              <w:rPr>
                <w:rFonts w:cs="Arial"/>
                <w:szCs w:val="18"/>
                <w:lang w:val="en-GB"/>
              </w:rPr>
            </w:pPr>
            <w:r>
              <w:rPr>
                <w:rFonts w:cs="Arial"/>
                <w:szCs w:val="18"/>
                <w:lang w:val="en-GB"/>
              </w:rPr>
              <w:t>354</w:t>
            </w:r>
          </w:p>
        </w:tc>
        <w:tc>
          <w:tcPr>
            <w:tcW w:w="329" w:type="pct"/>
            <w:shd w:val="clear" w:color="auto" w:fill="FFFFFF"/>
          </w:tcPr>
          <w:p w14:paraId="1ACE5AC2" w14:textId="055D42A5" w:rsidR="003E1695" w:rsidRPr="00B57B36" w:rsidRDefault="003E1695" w:rsidP="002803EE">
            <w:pPr>
              <w:pStyle w:val="CETBodytext"/>
              <w:ind w:right="-1"/>
              <w:rPr>
                <w:rFonts w:cs="Arial"/>
                <w:szCs w:val="18"/>
                <w:lang w:val="en-GB"/>
              </w:rPr>
            </w:pPr>
            <w:r>
              <w:rPr>
                <w:rFonts w:cs="Arial"/>
                <w:szCs w:val="18"/>
                <w:lang w:val="en-GB"/>
              </w:rPr>
              <w:t>2.0</w:t>
            </w:r>
          </w:p>
        </w:tc>
        <w:tc>
          <w:tcPr>
            <w:tcW w:w="242" w:type="pct"/>
            <w:shd w:val="clear" w:color="auto" w:fill="FFFFFF"/>
          </w:tcPr>
          <w:p w14:paraId="797C9087" w14:textId="2A8627CE" w:rsidR="003E1695" w:rsidRPr="00B57B36" w:rsidRDefault="003E1695" w:rsidP="002803EE">
            <w:pPr>
              <w:pStyle w:val="CETBodytext"/>
              <w:ind w:right="-1"/>
              <w:rPr>
                <w:rFonts w:cs="Arial"/>
                <w:szCs w:val="18"/>
                <w:lang w:val="en-GB"/>
              </w:rPr>
            </w:pPr>
            <w:r>
              <w:rPr>
                <w:rFonts w:cs="Arial"/>
                <w:szCs w:val="18"/>
                <w:lang w:val="en-GB"/>
              </w:rPr>
              <w:t>19.2</w:t>
            </w:r>
          </w:p>
        </w:tc>
        <w:tc>
          <w:tcPr>
            <w:tcW w:w="412" w:type="pct"/>
            <w:shd w:val="clear" w:color="auto" w:fill="FFFFFF"/>
          </w:tcPr>
          <w:p w14:paraId="3AC189E6" w14:textId="208730CA" w:rsidR="003E1695" w:rsidRPr="00B57B36" w:rsidRDefault="003E1695" w:rsidP="002803EE">
            <w:pPr>
              <w:pStyle w:val="CETBodytext"/>
              <w:ind w:right="-1"/>
              <w:rPr>
                <w:rFonts w:cs="Arial"/>
                <w:szCs w:val="18"/>
                <w:lang w:val="en-GB"/>
              </w:rPr>
            </w:pPr>
            <w:r>
              <w:rPr>
                <w:rFonts w:cs="Arial"/>
                <w:szCs w:val="18"/>
                <w:lang w:val="en-GB"/>
              </w:rPr>
              <w:t>35.3</w:t>
            </w:r>
          </w:p>
        </w:tc>
        <w:tc>
          <w:tcPr>
            <w:tcW w:w="476" w:type="pct"/>
            <w:shd w:val="clear" w:color="auto" w:fill="FFFFFF"/>
          </w:tcPr>
          <w:p w14:paraId="2DD403F6" w14:textId="72166B37" w:rsidR="003E1695" w:rsidRPr="00B57B36" w:rsidRDefault="003E1695" w:rsidP="002803EE">
            <w:pPr>
              <w:pStyle w:val="CETBodytext"/>
              <w:ind w:right="-1"/>
              <w:rPr>
                <w:rFonts w:cs="Arial"/>
                <w:szCs w:val="18"/>
                <w:lang w:val="en-GB"/>
              </w:rPr>
            </w:pPr>
            <w:r>
              <w:rPr>
                <w:rFonts w:cs="Arial"/>
                <w:szCs w:val="18"/>
                <w:lang w:val="en-GB"/>
              </w:rPr>
              <w:t>3</w:t>
            </w:r>
            <w:r w:rsidR="003353B7">
              <w:rPr>
                <w:rFonts w:cs="Arial"/>
                <w:szCs w:val="18"/>
                <w:lang w:val="en-GB"/>
              </w:rPr>
              <w:t xml:space="preserve">1 </w:t>
            </w:r>
            <w:r w:rsidR="003353B7">
              <w:t>(</w:t>
            </w:r>
            <m:oMath>
              <m:r>
                <w:rPr>
                  <w:rFonts w:ascii="Cambria Math" w:hAnsi="Cambria Math"/>
                </w:rPr>
                <m:t>±</m:t>
              </m:r>
            </m:oMath>
            <w:r w:rsidR="003353B7">
              <w:t>1)</w:t>
            </w:r>
          </w:p>
        </w:tc>
        <w:tc>
          <w:tcPr>
            <w:tcW w:w="80" w:type="pct"/>
            <w:shd w:val="clear" w:color="auto" w:fill="FFFFFF"/>
          </w:tcPr>
          <w:p w14:paraId="6108BF43" w14:textId="77777777" w:rsidR="003E1695" w:rsidRDefault="003E1695" w:rsidP="002803EE">
            <w:pPr>
              <w:pStyle w:val="CETBodytext"/>
              <w:ind w:right="-1"/>
              <w:rPr>
                <w:rFonts w:cs="Arial"/>
                <w:szCs w:val="18"/>
                <w:lang w:val="en-GB"/>
              </w:rPr>
            </w:pPr>
          </w:p>
        </w:tc>
        <w:tc>
          <w:tcPr>
            <w:tcW w:w="323" w:type="pct"/>
            <w:shd w:val="clear" w:color="auto" w:fill="FFFFFF"/>
          </w:tcPr>
          <w:p w14:paraId="39A8D22E" w14:textId="0BA8AD30" w:rsidR="003E1695" w:rsidRPr="00B57B36" w:rsidRDefault="003E1695" w:rsidP="002803EE">
            <w:pPr>
              <w:pStyle w:val="CETBodytext"/>
              <w:ind w:right="-1"/>
              <w:rPr>
                <w:rFonts w:cs="Arial"/>
                <w:szCs w:val="18"/>
                <w:lang w:val="en-GB"/>
              </w:rPr>
            </w:pPr>
            <w:r>
              <w:rPr>
                <w:rFonts w:cs="Arial"/>
                <w:szCs w:val="18"/>
                <w:lang w:val="en-GB"/>
              </w:rPr>
              <w:t>2.8</w:t>
            </w:r>
          </w:p>
        </w:tc>
        <w:tc>
          <w:tcPr>
            <w:tcW w:w="323" w:type="pct"/>
            <w:shd w:val="clear" w:color="auto" w:fill="FFFFFF"/>
          </w:tcPr>
          <w:p w14:paraId="1C93F213" w14:textId="458354DD" w:rsidR="003E1695" w:rsidRPr="00B57B36" w:rsidRDefault="003E1695" w:rsidP="002803EE">
            <w:pPr>
              <w:pStyle w:val="CETBodytext"/>
              <w:ind w:right="-1"/>
              <w:rPr>
                <w:rFonts w:cs="Arial"/>
                <w:szCs w:val="18"/>
                <w:lang w:val="en-GB"/>
              </w:rPr>
            </w:pPr>
            <w:r>
              <w:rPr>
                <w:rFonts w:cs="Arial"/>
                <w:szCs w:val="18"/>
                <w:lang w:val="en-GB"/>
              </w:rPr>
              <w:t>71.4</w:t>
            </w:r>
          </w:p>
        </w:tc>
        <w:tc>
          <w:tcPr>
            <w:tcW w:w="241" w:type="pct"/>
            <w:shd w:val="clear" w:color="auto" w:fill="FFFFFF"/>
          </w:tcPr>
          <w:p w14:paraId="72BA81B1" w14:textId="066C06FD" w:rsidR="003E1695" w:rsidRPr="00B57B36" w:rsidRDefault="003E1695" w:rsidP="002803EE">
            <w:pPr>
              <w:pStyle w:val="CETBodytext"/>
              <w:ind w:right="-1"/>
              <w:rPr>
                <w:rFonts w:cs="Arial"/>
                <w:szCs w:val="18"/>
                <w:lang w:val="en-GB"/>
              </w:rPr>
            </w:pPr>
            <w:r>
              <w:rPr>
                <w:rFonts w:cs="Arial"/>
                <w:szCs w:val="18"/>
                <w:lang w:val="en-GB"/>
              </w:rPr>
              <w:t>0.4</w:t>
            </w:r>
          </w:p>
        </w:tc>
        <w:tc>
          <w:tcPr>
            <w:tcW w:w="242" w:type="pct"/>
            <w:shd w:val="clear" w:color="auto" w:fill="FFFFFF"/>
          </w:tcPr>
          <w:p w14:paraId="780E4561" w14:textId="354A293A" w:rsidR="003E1695" w:rsidRPr="00B57B36" w:rsidRDefault="003E1695" w:rsidP="002803EE">
            <w:pPr>
              <w:pStyle w:val="CETBodytext"/>
              <w:ind w:right="-1"/>
              <w:rPr>
                <w:rFonts w:cs="Arial"/>
                <w:szCs w:val="18"/>
                <w:lang w:val="en-GB"/>
              </w:rPr>
            </w:pPr>
            <w:r>
              <w:rPr>
                <w:rFonts w:cs="Arial"/>
                <w:szCs w:val="18"/>
                <w:lang w:val="en-GB"/>
              </w:rPr>
              <w:t>20.7</w:t>
            </w:r>
          </w:p>
        </w:tc>
        <w:tc>
          <w:tcPr>
            <w:tcW w:w="646" w:type="pct"/>
            <w:shd w:val="clear" w:color="auto" w:fill="FFFFFF"/>
          </w:tcPr>
          <w:p w14:paraId="56889199" w14:textId="0876C00D" w:rsidR="003E1695" w:rsidRPr="00B57B36" w:rsidRDefault="003E1695" w:rsidP="002803EE">
            <w:pPr>
              <w:pStyle w:val="CETBodytext"/>
              <w:ind w:right="-1"/>
              <w:rPr>
                <w:rFonts w:cs="Arial"/>
                <w:szCs w:val="18"/>
                <w:lang w:val="en-GB"/>
              </w:rPr>
            </w:pPr>
            <w:r>
              <w:rPr>
                <w:rFonts w:cs="Arial"/>
                <w:szCs w:val="18"/>
                <w:lang w:val="en-GB"/>
              </w:rPr>
              <w:t>6.5</w:t>
            </w:r>
          </w:p>
        </w:tc>
        <w:tc>
          <w:tcPr>
            <w:tcW w:w="483" w:type="pct"/>
            <w:shd w:val="clear" w:color="auto" w:fill="FFFFFF"/>
          </w:tcPr>
          <w:p w14:paraId="5046820F" w14:textId="1CA431D8" w:rsidR="003E1695" w:rsidRPr="00B57B36" w:rsidRDefault="003E1695" w:rsidP="002803EE">
            <w:pPr>
              <w:pStyle w:val="CETBodytext"/>
              <w:ind w:right="-1"/>
              <w:rPr>
                <w:rFonts w:cs="Arial"/>
                <w:szCs w:val="18"/>
                <w:lang w:val="en-GB"/>
              </w:rPr>
            </w:pPr>
            <w:r>
              <w:rPr>
                <w:rFonts w:cs="Arial"/>
                <w:szCs w:val="18"/>
                <w:lang w:val="en-GB"/>
              </w:rPr>
              <w:t>28</w:t>
            </w:r>
            <w:r w:rsidR="003353B7">
              <w:rPr>
                <w:rFonts w:cs="Arial"/>
                <w:szCs w:val="18"/>
                <w:lang w:val="en-GB"/>
              </w:rPr>
              <w:t xml:space="preserve"> </w:t>
            </w:r>
            <w:r w:rsidR="003353B7">
              <w:t>(</w:t>
            </w:r>
            <m:oMath>
              <m:r>
                <w:rPr>
                  <w:rFonts w:ascii="Cambria Math" w:hAnsi="Cambria Math"/>
                </w:rPr>
                <m:t>±</m:t>
              </m:r>
            </m:oMath>
            <w:r w:rsidR="003353B7">
              <w:t>2)</w:t>
            </w:r>
          </w:p>
        </w:tc>
      </w:tr>
      <w:tr w:rsidR="00CD6CAD" w:rsidRPr="00B57B36" w14:paraId="0C939A7E" w14:textId="77777777" w:rsidTr="00CD6CAD">
        <w:trPr>
          <w:trHeight w:val="321"/>
        </w:trPr>
        <w:tc>
          <w:tcPr>
            <w:tcW w:w="257" w:type="pct"/>
            <w:vMerge/>
            <w:shd w:val="clear" w:color="auto" w:fill="FFFFFF"/>
          </w:tcPr>
          <w:p w14:paraId="29B2C315" w14:textId="77777777" w:rsidR="003E1695" w:rsidRDefault="003E1695" w:rsidP="002803EE">
            <w:pPr>
              <w:pStyle w:val="CETBodytext"/>
              <w:ind w:right="-1"/>
              <w:rPr>
                <w:rFonts w:cs="Arial"/>
                <w:szCs w:val="18"/>
                <w:lang w:val="en-GB"/>
              </w:rPr>
            </w:pPr>
          </w:p>
        </w:tc>
        <w:tc>
          <w:tcPr>
            <w:tcW w:w="251" w:type="pct"/>
            <w:shd w:val="clear" w:color="auto" w:fill="FFFFFF"/>
          </w:tcPr>
          <w:p w14:paraId="49F2C310" w14:textId="64DB9249" w:rsidR="003E1695" w:rsidRPr="00573BF5" w:rsidRDefault="003E1695" w:rsidP="002803EE">
            <w:pPr>
              <w:pStyle w:val="CETBodytext"/>
              <w:ind w:right="-1"/>
            </w:pPr>
            <w:r>
              <w:t>no</w:t>
            </w:r>
          </w:p>
        </w:tc>
        <w:tc>
          <w:tcPr>
            <w:tcW w:w="56" w:type="pct"/>
            <w:shd w:val="clear" w:color="auto" w:fill="FFFFFF"/>
          </w:tcPr>
          <w:p w14:paraId="70616ECC" w14:textId="77777777" w:rsidR="003E1695" w:rsidRDefault="003E1695" w:rsidP="002803EE">
            <w:pPr>
              <w:pStyle w:val="CETBodytext"/>
              <w:ind w:right="-1"/>
            </w:pPr>
          </w:p>
        </w:tc>
        <w:tc>
          <w:tcPr>
            <w:tcW w:w="327" w:type="pct"/>
            <w:shd w:val="clear" w:color="auto" w:fill="FFFFFF"/>
          </w:tcPr>
          <w:p w14:paraId="01320CC4" w14:textId="166D0B91" w:rsidR="003E1695" w:rsidRPr="00573BF5" w:rsidRDefault="003E1695" w:rsidP="002803EE">
            <w:pPr>
              <w:pStyle w:val="CETBodytext"/>
              <w:ind w:right="-1"/>
            </w:pPr>
            <w:r>
              <w:t>14.6</w:t>
            </w:r>
          </w:p>
        </w:tc>
        <w:tc>
          <w:tcPr>
            <w:tcW w:w="311" w:type="pct"/>
            <w:shd w:val="clear" w:color="auto" w:fill="FFFFFF"/>
          </w:tcPr>
          <w:p w14:paraId="78206768" w14:textId="406B639C" w:rsidR="003E1695" w:rsidRPr="004B0791" w:rsidRDefault="003E1695" w:rsidP="002803EE">
            <w:pPr>
              <w:pStyle w:val="CETBodytext"/>
              <w:ind w:right="-1"/>
            </w:pPr>
            <w:r>
              <w:t>357</w:t>
            </w:r>
          </w:p>
        </w:tc>
        <w:tc>
          <w:tcPr>
            <w:tcW w:w="329" w:type="pct"/>
            <w:shd w:val="clear" w:color="auto" w:fill="FFFFFF"/>
          </w:tcPr>
          <w:p w14:paraId="0E2C076F" w14:textId="48ED9ADD" w:rsidR="003E1695" w:rsidRPr="003D6E0B" w:rsidRDefault="003E1695" w:rsidP="002803EE">
            <w:pPr>
              <w:pStyle w:val="CETBodytext"/>
              <w:ind w:right="-1"/>
            </w:pPr>
            <w:r>
              <w:t>1.8</w:t>
            </w:r>
          </w:p>
        </w:tc>
        <w:tc>
          <w:tcPr>
            <w:tcW w:w="242" w:type="pct"/>
            <w:shd w:val="clear" w:color="auto" w:fill="FFFFFF"/>
          </w:tcPr>
          <w:p w14:paraId="4A25D5B6" w14:textId="3B7E53D8" w:rsidR="003E1695" w:rsidRPr="003D6E0B" w:rsidRDefault="003E1695" w:rsidP="002803EE">
            <w:pPr>
              <w:pStyle w:val="CETBodytext"/>
              <w:ind w:right="-1"/>
            </w:pPr>
            <w:r>
              <w:t>19.4</w:t>
            </w:r>
          </w:p>
        </w:tc>
        <w:tc>
          <w:tcPr>
            <w:tcW w:w="412" w:type="pct"/>
            <w:shd w:val="clear" w:color="auto" w:fill="FFFFFF"/>
          </w:tcPr>
          <w:p w14:paraId="28847D49" w14:textId="598BA7EF" w:rsidR="003E1695" w:rsidRPr="008269CB" w:rsidRDefault="003E1695" w:rsidP="002803EE">
            <w:pPr>
              <w:pStyle w:val="CETBodytext"/>
              <w:ind w:right="-1"/>
            </w:pPr>
            <w:r>
              <w:t>17.4</w:t>
            </w:r>
          </w:p>
        </w:tc>
        <w:tc>
          <w:tcPr>
            <w:tcW w:w="476" w:type="pct"/>
            <w:shd w:val="clear" w:color="auto" w:fill="FFFFFF"/>
          </w:tcPr>
          <w:p w14:paraId="7DC72F02" w14:textId="0B292352" w:rsidR="003E1695" w:rsidRPr="00F96A0F" w:rsidRDefault="003E1695" w:rsidP="002803EE">
            <w:pPr>
              <w:pStyle w:val="CETBodytext"/>
              <w:ind w:right="-1"/>
            </w:pPr>
            <w:r>
              <w:t>17</w:t>
            </w:r>
            <w:r w:rsidR="003353B7">
              <w:t xml:space="preserve"> (</w:t>
            </w:r>
            <m:oMath>
              <m:r>
                <w:rPr>
                  <w:rFonts w:ascii="Cambria Math" w:hAnsi="Cambria Math"/>
                </w:rPr>
                <m:t>±</m:t>
              </m:r>
            </m:oMath>
            <w:r w:rsidR="003353B7">
              <w:t>7)</w:t>
            </w:r>
          </w:p>
        </w:tc>
        <w:tc>
          <w:tcPr>
            <w:tcW w:w="80" w:type="pct"/>
            <w:shd w:val="clear" w:color="auto" w:fill="FFFFFF"/>
          </w:tcPr>
          <w:p w14:paraId="7E70DDA1" w14:textId="77777777" w:rsidR="003E1695" w:rsidRDefault="003E1695" w:rsidP="002803EE">
            <w:pPr>
              <w:pStyle w:val="CETBodytext"/>
              <w:ind w:right="-1"/>
            </w:pPr>
          </w:p>
        </w:tc>
        <w:tc>
          <w:tcPr>
            <w:tcW w:w="323" w:type="pct"/>
            <w:shd w:val="clear" w:color="auto" w:fill="FFFFFF"/>
          </w:tcPr>
          <w:p w14:paraId="5D636998" w14:textId="279E495B" w:rsidR="003E1695" w:rsidRPr="00BC445A" w:rsidRDefault="003E1695" w:rsidP="002803EE">
            <w:pPr>
              <w:pStyle w:val="CETBodytext"/>
              <w:ind w:right="-1"/>
            </w:pPr>
            <w:r>
              <w:t>2.9</w:t>
            </w:r>
          </w:p>
        </w:tc>
        <w:tc>
          <w:tcPr>
            <w:tcW w:w="323" w:type="pct"/>
            <w:shd w:val="clear" w:color="auto" w:fill="FFFFFF"/>
          </w:tcPr>
          <w:p w14:paraId="49D6CE73" w14:textId="3A30E50A" w:rsidR="003E1695" w:rsidRPr="00BC445A" w:rsidRDefault="003E1695" w:rsidP="002803EE">
            <w:pPr>
              <w:pStyle w:val="CETBodytext"/>
              <w:ind w:right="-1"/>
            </w:pPr>
            <w:r>
              <w:t>72.3</w:t>
            </w:r>
          </w:p>
        </w:tc>
        <w:tc>
          <w:tcPr>
            <w:tcW w:w="241" w:type="pct"/>
            <w:shd w:val="clear" w:color="auto" w:fill="FFFFFF"/>
          </w:tcPr>
          <w:p w14:paraId="50BAF0A3" w14:textId="00964446" w:rsidR="003E1695" w:rsidRPr="00BC445A" w:rsidRDefault="003E1695" w:rsidP="002803EE">
            <w:pPr>
              <w:pStyle w:val="CETBodytext"/>
              <w:ind w:right="-1"/>
            </w:pPr>
            <w:r>
              <w:t>0.4</w:t>
            </w:r>
          </w:p>
        </w:tc>
        <w:tc>
          <w:tcPr>
            <w:tcW w:w="242" w:type="pct"/>
            <w:shd w:val="clear" w:color="auto" w:fill="FFFFFF"/>
          </w:tcPr>
          <w:p w14:paraId="2EAE7568" w14:textId="544CEF5A" w:rsidR="003E1695" w:rsidRPr="00BC445A" w:rsidRDefault="003E1695" w:rsidP="002803EE">
            <w:pPr>
              <w:pStyle w:val="CETBodytext"/>
              <w:ind w:right="-1"/>
            </w:pPr>
            <w:r>
              <w:t>20.8</w:t>
            </w:r>
          </w:p>
        </w:tc>
        <w:tc>
          <w:tcPr>
            <w:tcW w:w="646" w:type="pct"/>
            <w:shd w:val="clear" w:color="auto" w:fill="FFFFFF"/>
          </w:tcPr>
          <w:p w14:paraId="75DAE89A" w14:textId="24594112" w:rsidR="003E1695" w:rsidRPr="004B59A2" w:rsidRDefault="003E1695" w:rsidP="002803EE">
            <w:pPr>
              <w:pStyle w:val="CETBodytext"/>
              <w:ind w:right="-1"/>
            </w:pPr>
            <w:r>
              <w:t>5.5</w:t>
            </w:r>
          </w:p>
        </w:tc>
        <w:tc>
          <w:tcPr>
            <w:tcW w:w="483" w:type="pct"/>
            <w:shd w:val="clear" w:color="auto" w:fill="FFFFFF"/>
          </w:tcPr>
          <w:p w14:paraId="6A1A4345" w14:textId="23787AA3" w:rsidR="003E1695" w:rsidRPr="00AA68D6" w:rsidRDefault="003E1695" w:rsidP="002803EE">
            <w:pPr>
              <w:pStyle w:val="CETBodytext"/>
              <w:ind w:right="-1"/>
            </w:pPr>
            <w:r>
              <w:t>2</w:t>
            </w:r>
            <w:r w:rsidR="003353B7">
              <w:t>6 (</w:t>
            </w:r>
            <m:oMath>
              <m:r>
                <w:rPr>
                  <w:rFonts w:ascii="Cambria Math" w:hAnsi="Cambria Math"/>
                </w:rPr>
                <m:t>±</m:t>
              </m:r>
            </m:oMath>
            <w:r w:rsidR="003353B7">
              <w:t>5)</w:t>
            </w:r>
          </w:p>
        </w:tc>
      </w:tr>
      <w:tr w:rsidR="00CD6CAD" w:rsidRPr="00B57B36" w14:paraId="0445C268" w14:textId="77777777" w:rsidTr="00CD6CAD">
        <w:trPr>
          <w:trHeight w:val="321"/>
        </w:trPr>
        <w:tc>
          <w:tcPr>
            <w:tcW w:w="257" w:type="pct"/>
            <w:vMerge w:val="restart"/>
            <w:shd w:val="clear" w:color="auto" w:fill="FFFFFF"/>
            <w:vAlign w:val="center"/>
          </w:tcPr>
          <w:p w14:paraId="67AD8B32" w14:textId="00BF765F" w:rsidR="003E1695" w:rsidRDefault="003E1695" w:rsidP="002803EE">
            <w:pPr>
              <w:pStyle w:val="CETBodytext"/>
              <w:ind w:right="-1"/>
              <w:jc w:val="left"/>
              <w:rPr>
                <w:rFonts w:cs="Arial"/>
                <w:szCs w:val="18"/>
                <w:lang w:val="en-GB"/>
              </w:rPr>
            </w:pPr>
            <w:r>
              <w:rPr>
                <w:rFonts w:cs="Arial"/>
                <w:szCs w:val="18"/>
                <w:lang w:val="en-GB"/>
              </w:rPr>
              <w:t>C</w:t>
            </w:r>
          </w:p>
        </w:tc>
        <w:tc>
          <w:tcPr>
            <w:tcW w:w="251" w:type="pct"/>
            <w:shd w:val="clear" w:color="auto" w:fill="FFFFFF"/>
          </w:tcPr>
          <w:p w14:paraId="07C1E492" w14:textId="312BFD6F" w:rsidR="003E1695" w:rsidRPr="00573BF5" w:rsidRDefault="003E1695" w:rsidP="002803EE">
            <w:pPr>
              <w:pStyle w:val="CETBodytext"/>
              <w:ind w:right="-1"/>
            </w:pPr>
            <w:r>
              <w:t>yes</w:t>
            </w:r>
          </w:p>
        </w:tc>
        <w:tc>
          <w:tcPr>
            <w:tcW w:w="56" w:type="pct"/>
            <w:shd w:val="clear" w:color="auto" w:fill="FFFFFF"/>
          </w:tcPr>
          <w:p w14:paraId="2D0F2517" w14:textId="77777777" w:rsidR="003E1695" w:rsidRDefault="003E1695" w:rsidP="002803EE">
            <w:pPr>
              <w:pStyle w:val="CETBodytext"/>
              <w:ind w:right="-1"/>
            </w:pPr>
          </w:p>
        </w:tc>
        <w:tc>
          <w:tcPr>
            <w:tcW w:w="327" w:type="pct"/>
            <w:shd w:val="clear" w:color="auto" w:fill="FFFFFF"/>
          </w:tcPr>
          <w:p w14:paraId="346A5BA1" w14:textId="64E47FFE" w:rsidR="003E1695" w:rsidRPr="00573BF5" w:rsidRDefault="003E1695" w:rsidP="002803EE">
            <w:pPr>
              <w:pStyle w:val="CETBodytext"/>
              <w:ind w:right="-1"/>
            </w:pPr>
            <w:r>
              <w:t>18.6</w:t>
            </w:r>
          </w:p>
        </w:tc>
        <w:tc>
          <w:tcPr>
            <w:tcW w:w="311" w:type="pct"/>
            <w:shd w:val="clear" w:color="auto" w:fill="FFFFFF"/>
          </w:tcPr>
          <w:p w14:paraId="6F49F7DE" w14:textId="16C6CC8A" w:rsidR="003E1695" w:rsidRPr="004B0791" w:rsidRDefault="003E1695" w:rsidP="002803EE">
            <w:pPr>
              <w:pStyle w:val="CETBodytext"/>
              <w:ind w:right="-1"/>
            </w:pPr>
            <w:r>
              <w:t>284</w:t>
            </w:r>
          </w:p>
        </w:tc>
        <w:tc>
          <w:tcPr>
            <w:tcW w:w="329" w:type="pct"/>
            <w:shd w:val="clear" w:color="auto" w:fill="FFFFFF"/>
          </w:tcPr>
          <w:p w14:paraId="03B6EB53" w14:textId="4287BEDE" w:rsidR="003E1695" w:rsidRPr="003D6E0B" w:rsidRDefault="003E1695" w:rsidP="002803EE">
            <w:pPr>
              <w:pStyle w:val="CETBodytext"/>
              <w:ind w:right="-1"/>
            </w:pPr>
            <w:r>
              <w:t>2.9</w:t>
            </w:r>
          </w:p>
        </w:tc>
        <w:tc>
          <w:tcPr>
            <w:tcW w:w="242" w:type="pct"/>
            <w:shd w:val="clear" w:color="auto" w:fill="FFFFFF"/>
          </w:tcPr>
          <w:p w14:paraId="1B6E8361" w14:textId="02838FD0" w:rsidR="003E1695" w:rsidRPr="003D6E0B" w:rsidRDefault="003E1695" w:rsidP="002803EE">
            <w:pPr>
              <w:pStyle w:val="CETBodytext"/>
              <w:ind w:right="-1"/>
            </w:pPr>
            <w:r>
              <w:t>18.3</w:t>
            </w:r>
          </w:p>
        </w:tc>
        <w:tc>
          <w:tcPr>
            <w:tcW w:w="412" w:type="pct"/>
            <w:shd w:val="clear" w:color="auto" w:fill="FFFFFF"/>
          </w:tcPr>
          <w:p w14:paraId="79B2EADD" w14:textId="0A74654E" w:rsidR="003E1695" w:rsidRPr="008269CB" w:rsidRDefault="003E1695" w:rsidP="002803EE">
            <w:pPr>
              <w:pStyle w:val="CETBodytext"/>
              <w:ind w:right="-1"/>
            </w:pPr>
            <w:r>
              <w:t>24.3</w:t>
            </w:r>
          </w:p>
        </w:tc>
        <w:tc>
          <w:tcPr>
            <w:tcW w:w="476" w:type="pct"/>
            <w:shd w:val="clear" w:color="auto" w:fill="FFFFFF"/>
          </w:tcPr>
          <w:p w14:paraId="5FE91D30" w14:textId="04EAFF70" w:rsidR="003E1695" w:rsidRPr="00F96A0F" w:rsidRDefault="003E1695" w:rsidP="002803EE">
            <w:pPr>
              <w:pStyle w:val="CETBodytext"/>
              <w:ind w:right="-1"/>
            </w:pPr>
            <w:r>
              <w:t>9</w:t>
            </w:r>
            <w:r w:rsidR="00CD6CAD">
              <w:t>3 (</w:t>
            </w:r>
            <m:oMath>
              <m:r>
                <w:rPr>
                  <w:rFonts w:ascii="Cambria Math" w:hAnsi="Cambria Math"/>
                </w:rPr>
                <m:t>±</m:t>
              </m:r>
            </m:oMath>
            <w:r w:rsidR="00CD6CAD">
              <w:t>16)</w:t>
            </w:r>
          </w:p>
        </w:tc>
        <w:tc>
          <w:tcPr>
            <w:tcW w:w="80" w:type="pct"/>
            <w:shd w:val="clear" w:color="auto" w:fill="FFFFFF"/>
          </w:tcPr>
          <w:p w14:paraId="766FA587" w14:textId="77777777" w:rsidR="003E1695" w:rsidRDefault="003E1695" w:rsidP="002803EE">
            <w:pPr>
              <w:pStyle w:val="CETBodytext"/>
              <w:ind w:right="-1"/>
            </w:pPr>
          </w:p>
        </w:tc>
        <w:tc>
          <w:tcPr>
            <w:tcW w:w="323" w:type="pct"/>
            <w:shd w:val="clear" w:color="auto" w:fill="FFFFFF"/>
          </w:tcPr>
          <w:p w14:paraId="0D11B2DA" w14:textId="4AF364D2" w:rsidR="003E1695" w:rsidRPr="00BC445A" w:rsidRDefault="003E1695" w:rsidP="002803EE">
            <w:pPr>
              <w:pStyle w:val="CETBodytext"/>
              <w:ind w:right="-1"/>
            </w:pPr>
            <w:r>
              <w:t>3.9</w:t>
            </w:r>
          </w:p>
        </w:tc>
        <w:tc>
          <w:tcPr>
            <w:tcW w:w="323" w:type="pct"/>
            <w:shd w:val="clear" w:color="auto" w:fill="FFFFFF"/>
          </w:tcPr>
          <w:p w14:paraId="7B0704B2" w14:textId="7B478F89" w:rsidR="003E1695" w:rsidRPr="00BC445A" w:rsidRDefault="003E1695" w:rsidP="002803EE">
            <w:pPr>
              <w:pStyle w:val="CETBodytext"/>
              <w:ind w:right="-1"/>
            </w:pPr>
            <w:r>
              <w:t>61.7</w:t>
            </w:r>
          </w:p>
        </w:tc>
        <w:tc>
          <w:tcPr>
            <w:tcW w:w="241" w:type="pct"/>
            <w:shd w:val="clear" w:color="auto" w:fill="FFFFFF"/>
          </w:tcPr>
          <w:p w14:paraId="574C2702" w14:textId="70CF9BC1" w:rsidR="003E1695" w:rsidRPr="00BC445A" w:rsidRDefault="003E1695" w:rsidP="002803EE">
            <w:pPr>
              <w:pStyle w:val="CETBodytext"/>
              <w:ind w:right="-1"/>
            </w:pPr>
            <w:r>
              <w:t>0.6</w:t>
            </w:r>
          </w:p>
        </w:tc>
        <w:tc>
          <w:tcPr>
            <w:tcW w:w="242" w:type="pct"/>
            <w:shd w:val="clear" w:color="auto" w:fill="FFFFFF"/>
          </w:tcPr>
          <w:p w14:paraId="1F816BCB" w14:textId="2CC3FFE3" w:rsidR="003E1695" w:rsidRPr="00BC445A" w:rsidRDefault="003E1695" w:rsidP="002803EE">
            <w:pPr>
              <w:pStyle w:val="CETBodytext"/>
              <w:ind w:right="-1"/>
            </w:pPr>
            <w:r>
              <w:t>20.3</w:t>
            </w:r>
          </w:p>
        </w:tc>
        <w:tc>
          <w:tcPr>
            <w:tcW w:w="646" w:type="pct"/>
            <w:shd w:val="clear" w:color="auto" w:fill="FFFFFF"/>
          </w:tcPr>
          <w:p w14:paraId="43110C15" w14:textId="0082E37A" w:rsidR="003E1695" w:rsidRPr="004B59A2" w:rsidRDefault="003E1695" w:rsidP="002803EE">
            <w:pPr>
              <w:pStyle w:val="CETBodytext"/>
              <w:ind w:right="-1"/>
            </w:pPr>
            <w:r>
              <w:t>32.8</w:t>
            </w:r>
          </w:p>
        </w:tc>
        <w:tc>
          <w:tcPr>
            <w:tcW w:w="483" w:type="pct"/>
            <w:shd w:val="clear" w:color="auto" w:fill="FFFFFF"/>
          </w:tcPr>
          <w:p w14:paraId="00096A75" w14:textId="71E260B1" w:rsidR="003E1695" w:rsidRPr="00AA68D6" w:rsidRDefault="003E1695" w:rsidP="002803EE">
            <w:pPr>
              <w:pStyle w:val="CETBodytext"/>
              <w:ind w:right="-1"/>
            </w:pPr>
            <w:r>
              <w:t>1</w:t>
            </w:r>
            <w:r w:rsidR="00CD6CAD">
              <w:t>10 (</w:t>
            </w:r>
            <m:oMath>
              <m:r>
                <w:rPr>
                  <w:rFonts w:ascii="Cambria Math" w:hAnsi="Cambria Math"/>
                </w:rPr>
                <m:t>±</m:t>
              </m:r>
            </m:oMath>
            <w:r w:rsidR="00CD6CAD">
              <w:t>15)</w:t>
            </w:r>
          </w:p>
        </w:tc>
      </w:tr>
      <w:tr w:rsidR="00CD6CAD" w:rsidRPr="00B57B36" w14:paraId="40FD2166" w14:textId="77777777" w:rsidTr="00CD6CAD">
        <w:trPr>
          <w:trHeight w:val="321"/>
        </w:trPr>
        <w:tc>
          <w:tcPr>
            <w:tcW w:w="257" w:type="pct"/>
            <w:vMerge/>
            <w:shd w:val="clear" w:color="auto" w:fill="FFFFFF"/>
          </w:tcPr>
          <w:p w14:paraId="3FBCF9C6" w14:textId="4E470618" w:rsidR="003E1695" w:rsidRPr="00DD13C7" w:rsidRDefault="003E1695" w:rsidP="002803EE">
            <w:pPr>
              <w:pStyle w:val="CETBodytext"/>
              <w:ind w:right="-1"/>
              <w:rPr>
                <w:rFonts w:cs="Arial"/>
                <w:szCs w:val="18"/>
                <w:lang w:val="en-GB"/>
              </w:rPr>
            </w:pPr>
          </w:p>
        </w:tc>
        <w:tc>
          <w:tcPr>
            <w:tcW w:w="251" w:type="pct"/>
            <w:shd w:val="clear" w:color="auto" w:fill="FFFFFF"/>
          </w:tcPr>
          <w:p w14:paraId="320C053C" w14:textId="28E942F4" w:rsidR="003E1695" w:rsidRPr="00573BF5" w:rsidRDefault="003E1695" w:rsidP="002803EE">
            <w:pPr>
              <w:pStyle w:val="CETBodytext"/>
              <w:ind w:right="-1"/>
            </w:pPr>
            <w:r>
              <w:t>no</w:t>
            </w:r>
          </w:p>
        </w:tc>
        <w:tc>
          <w:tcPr>
            <w:tcW w:w="56" w:type="pct"/>
            <w:shd w:val="clear" w:color="auto" w:fill="FFFFFF"/>
          </w:tcPr>
          <w:p w14:paraId="04FB9EA9" w14:textId="77777777" w:rsidR="003E1695" w:rsidRDefault="003E1695" w:rsidP="002803EE">
            <w:pPr>
              <w:pStyle w:val="CETBodytext"/>
              <w:ind w:right="-1"/>
            </w:pPr>
          </w:p>
        </w:tc>
        <w:tc>
          <w:tcPr>
            <w:tcW w:w="327" w:type="pct"/>
            <w:shd w:val="clear" w:color="auto" w:fill="FFFFFF"/>
          </w:tcPr>
          <w:p w14:paraId="4FC6E69D" w14:textId="390EB9D3" w:rsidR="003E1695" w:rsidRPr="003F218D" w:rsidRDefault="003E1695" w:rsidP="002803EE">
            <w:pPr>
              <w:pStyle w:val="CETBodytext"/>
              <w:ind w:right="-1"/>
            </w:pPr>
            <w:r>
              <w:t>18.4</w:t>
            </w:r>
          </w:p>
        </w:tc>
        <w:tc>
          <w:tcPr>
            <w:tcW w:w="311" w:type="pct"/>
            <w:shd w:val="clear" w:color="auto" w:fill="FFFFFF"/>
          </w:tcPr>
          <w:p w14:paraId="1C89EC08" w14:textId="0C24C6D4" w:rsidR="003E1695" w:rsidRPr="00B57B36" w:rsidRDefault="003E1695" w:rsidP="002803EE">
            <w:pPr>
              <w:pStyle w:val="CETBodytext"/>
              <w:ind w:right="-1"/>
              <w:rPr>
                <w:rFonts w:cs="Arial"/>
                <w:szCs w:val="18"/>
                <w:lang w:val="en-GB"/>
              </w:rPr>
            </w:pPr>
            <w:r>
              <w:rPr>
                <w:rFonts w:cs="Arial"/>
                <w:szCs w:val="18"/>
                <w:lang w:val="en-GB"/>
              </w:rPr>
              <w:t>225</w:t>
            </w:r>
          </w:p>
        </w:tc>
        <w:tc>
          <w:tcPr>
            <w:tcW w:w="329" w:type="pct"/>
            <w:shd w:val="clear" w:color="auto" w:fill="FFFFFF"/>
          </w:tcPr>
          <w:p w14:paraId="72309DF5" w14:textId="46E2A96E" w:rsidR="003E1695" w:rsidRPr="00B57B36" w:rsidRDefault="003E1695" w:rsidP="002803EE">
            <w:pPr>
              <w:pStyle w:val="CETBodytext"/>
              <w:ind w:right="-1"/>
              <w:rPr>
                <w:rFonts w:cs="Arial"/>
                <w:szCs w:val="18"/>
                <w:lang w:val="en-GB"/>
              </w:rPr>
            </w:pPr>
            <w:r>
              <w:rPr>
                <w:rFonts w:cs="Arial"/>
                <w:szCs w:val="18"/>
                <w:lang w:val="en-GB"/>
              </w:rPr>
              <w:t>2.9</w:t>
            </w:r>
          </w:p>
        </w:tc>
        <w:tc>
          <w:tcPr>
            <w:tcW w:w="242" w:type="pct"/>
            <w:shd w:val="clear" w:color="auto" w:fill="FFFFFF"/>
          </w:tcPr>
          <w:p w14:paraId="4E28C2E7" w14:textId="1FE58E49" w:rsidR="003E1695" w:rsidRPr="00B57B36" w:rsidRDefault="003E1695" w:rsidP="002803EE">
            <w:pPr>
              <w:pStyle w:val="CETBodytext"/>
              <w:ind w:right="-1"/>
              <w:rPr>
                <w:rFonts w:cs="Arial"/>
                <w:szCs w:val="18"/>
                <w:lang w:val="en-GB"/>
              </w:rPr>
            </w:pPr>
            <w:r>
              <w:rPr>
                <w:rFonts w:cs="Arial"/>
                <w:szCs w:val="18"/>
                <w:lang w:val="en-GB"/>
              </w:rPr>
              <w:t>18.3</w:t>
            </w:r>
          </w:p>
        </w:tc>
        <w:tc>
          <w:tcPr>
            <w:tcW w:w="412" w:type="pct"/>
            <w:shd w:val="clear" w:color="auto" w:fill="FFFFFF"/>
          </w:tcPr>
          <w:p w14:paraId="0CC9FE59" w14:textId="2CE7100B" w:rsidR="003E1695" w:rsidRPr="00B57B36" w:rsidRDefault="003E1695" w:rsidP="002803EE">
            <w:pPr>
              <w:pStyle w:val="CETBodytext"/>
              <w:ind w:right="-1"/>
              <w:rPr>
                <w:rFonts w:cs="Arial"/>
                <w:szCs w:val="18"/>
                <w:lang w:val="en-GB"/>
              </w:rPr>
            </w:pPr>
            <w:r>
              <w:rPr>
                <w:rFonts w:cs="Arial"/>
                <w:szCs w:val="18"/>
                <w:lang w:val="en-GB"/>
              </w:rPr>
              <w:t>7.5</w:t>
            </w:r>
          </w:p>
        </w:tc>
        <w:tc>
          <w:tcPr>
            <w:tcW w:w="476" w:type="pct"/>
            <w:shd w:val="clear" w:color="auto" w:fill="FFFFFF"/>
          </w:tcPr>
          <w:p w14:paraId="3C2F5B6C" w14:textId="45FEDE59" w:rsidR="003E1695" w:rsidRPr="00B57B36" w:rsidRDefault="003E1695" w:rsidP="002803EE">
            <w:pPr>
              <w:pStyle w:val="CETBodytext"/>
              <w:ind w:right="-1"/>
              <w:rPr>
                <w:rFonts w:cs="Arial"/>
                <w:szCs w:val="18"/>
                <w:lang w:val="en-GB"/>
              </w:rPr>
            </w:pPr>
            <w:r>
              <w:rPr>
                <w:rFonts w:cs="Arial"/>
                <w:szCs w:val="18"/>
                <w:lang w:val="en-GB"/>
              </w:rPr>
              <w:t>9</w:t>
            </w:r>
            <w:r w:rsidR="00CD6CAD">
              <w:rPr>
                <w:rFonts w:cs="Arial"/>
                <w:szCs w:val="18"/>
                <w:lang w:val="en-GB"/>
              </w:rPr>
              <w:t xml:space="preserve">9 </w:t>
            </w:r>
            <w:r w:rsidR="00CD6CAD">
              <w:t>(</w:t>
            </w:r>
            <m:oMath>
              <m:r>
                <w:rPr>
                  <w:rFonts w:ascii="Cambria Math" w:hAnsi="Cambria Math"/>
                </w:rPr>
                <m:t>±</m:t>
              </m:r>
            </m:oMath>
            <w:r w:rsidR="00CD6CAD">
              <w:t>15)</w:t>
            </w:r>
          </w:p>
        </w:tc>
        <w:tc>
          <w:tcPr>
            <w:tcW w:w="80" w:type="pct"/>
            <w:shd w:val="clear" w:color="auto" w:fill="FFFFFF"/>
          </w:tcPr>
          <w:p w14:paraId="66900ACE" w14:textId="77777777" w:rsidR="003E1695" w:rsidRDefault="003E1695" w:rsidP="002803EE">
            <w:pPr>
              <w:pStyle w:val="CETBodytext"/>
              <w:ind w:right="-1"/>
              <w:rPr>
                <w:rFonts w:cs="Arial"/>
                <w:szCs w:val="18"/>
                <w:lang w:val="en-GB"/>
              </w:rPr>
            </w:pPr>
          </w:p>
        </w:tc>
        <w:tc>
          <w:tcPr>
            <w:tcW w:w="323" w:type="pct"/>
            <w:shd w:val="clear" w:color="auto" w:fill="FFFFFF"/>
          </w:tcPr>
          <w:p w14:paraId="7FD315D2" w14:textId="342E12B2" w:rsidR="003E1695" w:rsidRPr="00B57B36" w:rsidRDefault="003E1695" w:rsidP="002803EE">
            <w:pPr>
              <w:pStyle w:val="CETBodytext"/>
              <w:ind w:right="-1"/>
              <w:rPr>
                <w:rFonts w:cs="Arial"/>
                <w:szCs w:val="18"/>
                <w:lang w:val="en-GB"/>
              </w:rPr>
            </w:pPr>
            <w:r>
              <w:rPr>
                <w:rFonts w:cs="Arial"/>
                <w:szCs w:val="18"/>
                <w:lang w:val="en-GB"/>
              </w:rPr>
              <w:t>4.1</w:t>
            </w:r>
          </w:p>
        </w:tc>
        <w:tc>
          <w:tcPr>
            <w:tcW w:w="323" w:type="pct"/>
            <w:shd w:val="clear" w:color="auto" w:fill="FFFFFF"/>
          </w:tcPr>
          <w:p w14:paraId="5FF92674" w14:textId="0B42EF2F" w:rsidR="003E1695" w:rsidRPr="00B57B36" w:rsidRDefault="003E1695" w:rsidP="002803EE">
            <w:pPr>
              <w:pStyle w:val="CETBodytext"/>
              <w:ind w:right="-1"/>
              <w:rPr>
                <w:rFonts w:cs="Arial"/>
                <w:szCs w:val="18"/>
                <w:lang w:val="en-GB"/>
              </w:rPr>
            </w:pPr>
            <w:r>
              <w:rPr>
                <w:rFonts w:cs="Arial"/>
                <w:szCs w:val="18"/>
                <w:lang w:val="en-GB"/>
              </w:rPr>
              <w:t>50.2</w:t>
            </w:r>
          </w:p>
        </w:tc>
        <w:tc>
          <w:tcPr>
            <w:tcW w:w="241" w:type="pct"/>
            <w:shd w:val="clear" w:color="auto" w:fill="FFFFFF"/>
          </w:tcPr>
          <w:p w14:paraId="74451212" w14:textId="6B9A2B70" w:rsidR="003E1695" w:rsidRPr="00B57B36" w:rsidRDefault="003E1695" w:rsidP="002803EE">
            <w:pPr>
              <w:pStyle w:val="CETBodytext"/>
              <w:ind w:right="-1"/>
              <w:rPr>
                <w:rFonts w:cs="Arial"/>
                <w:szCs w:val="18"/>
                <w:lang w:val="en-GB"/>
              </w:rPr>
            </w:pPr>
            <w:r>
              <w:rPr>
                <w:rFonts w:cs="Arial"/>
                <w:szCs w:val="18"/>
                <w:lang w:val="en-GB"/>
              </w:rPr>
              <w:t>0.6</w:t>
            </w:r>
          </w:p>
        </w:tc>
        <w:tc>
          <w:tcPr>
            <w:tcW w:w="242" w:type="pct"/>
            <w:shd w:val="clear" w:color="auto" w:fill="FFFFFF"/>
          </w:tcPr>
          <w:p w14:paraId="18D325E4" w14:textId="6FD63777" w:rsidR="003E1695" w:rsidRPr="00B57B36" w:rsidRDefault="003E1695" w:rsidP="002803EE">
            <w:pPr>
              <w:pStyle w:val="CETBodytext"/>
              <w:ind w:right="-1"/>
              <w:rPr>
                <w:rFonts w:cs="Arial"/>
                <w:szCs w:val="18"/>
                <w:lang w:val="en-GB"/>
              </w:rPr>
            </w:pPr>
            <w:r>
              <w:rPr>
                <w:rFonts w:cs="Arial"/>
                <w:szCs w:val="18"/>
                <w:lang w:val="en-GB"/>
              </w:rPr>
              <w:t>20.3</w:t>
            </w:r>
          </w:p>
        </w:tc>
        <w:tc>
          <w:tcPr>
            <w:tcW w:w="646" w:type="pct"/>
            <w:shd w:val="clear" w:color="auto" w:fill="FFFFFF"/>
          </w:tcPr>
          <w:p w14:paraId="77615E49" w14:textId="015BF46C" w:rsidR="003E1695" w:rsidRPr="00B57B36" w:rsidRDefault="003E1695" w:rsidP="002803EE">
            <w:pPr>
              <w:pStyle w:val="CETBodytext"/>
              <w:ind w:right="-1"/>
              <w:rPr>
                <w:rFonts w:cs="Arial"/>
                <w:szCs w:val="18"/>
                <w:lang w:val="en-GB"/>
              </w:rPr>
            </w:pPr>
            <w:r>
              <w:rPr>
                <w:rFonts w:cs="Arial"/>
                <w:szCs w:val="18"/>
                <w:lang w:val="en-GB"/>
              </w:rPr>
              <w:t>29.5</w:t>
            </w:r>
          </w:p>
        </w:tc>
        <w:tc>
          <w:tcPr>
            <w:tcW w:w="483" w:type="pct"/>
            <w:shd w:val="clear" w:color="auto" w:fill="FFFFFF"/>
          </w:tcPr>
          <w:p w14:paraId="6D6B1B24" w14:textId="248CEB88" w:rsidR="003E1695" w:rsidRPr="00B57B36" w:rsidRDefault="00CD6CAD" w:rsidP="002803EE">
            <w:pPr>
              <w:pStyle w:val="CETBodytext"/>
              <w:ind w:right="-1"/>
              <w:rPr>
                <w:rFonts w:cs="Arial"/>
                <w:szCs w:val="18"/>
                <w:lang w:val="en-GB"/>
              </w:rPr>
            </w:pPr>
            <w:r>
              <w:rPr>
                <w:rFonts w:cs="Arial"/>
                <w:szCs w:val="18"/>
                <w:lang w:val="en-GB"/>
              </w:rPr>
              <w:t xml:space="preserve">100 </w:t>
            </w:r>
            <w:r>
              <w:t>(</w:t>
            </w:r>
            <m:oMath>
              <m:r>
                <w:rPr>
                  <w:rFonts w:ascii="Cambria Math" w:hAnsi="Cambria Math"/>
                </w:rPr>
                <m:t>±</m:t>
              </m:r>
            </m:oMath>
            <w:r>
              <w:t>11)</w:t>
            </w:r>
          </w:p>
        </w:tc>
      </w:tr>
    </w:tbl>
    <w:p w14:paraId="064CA280" w14:textId="77777777" w:rsidR="00254B54" w:rsidRDefault="00254B54" w:rsidP="00254B54">
      <w:pPr>
        <w:pStyle w:val="CETBodytext"/>
      </w:pPr>
    </w:p>
    <w:p w14:paraId="6756FC0D" w14:textId="0F107B08" w:rsidR="00254B54" w:rsidRDefault="00254B54" w:rsidP="00254B54">
      <w:pPr>
        <w:pStyle w:val="CETBodytext"/>
      </w:pPr>
      <w:r>
        <w:lastRenderedPageBreak/>
        <w:t xml:space="preserve">In terms of nitrogen oxides and carbon dioxide, no significant differences can be observed between the tests with and without pizza cooking. Differently, Cycles A and C suggest that this activity had an impact on the emissions of CO, whereas the results obtained for Cycle B do not show this trend, possibly due to large increases observed at the end of each trial which concealed the effect induced by the presence of the pizzas. Instead, the results from all three cycles agree on the fact that pizza cooking had a significant impact on the emissions of OGC. However, the gaseous compounds emitted from the pizzas did not have an impact on particulate matter. In fact, as already seen for the average results in the previous section, no significant amount of condensation can be observed in any one of the tests and the concentrations of TPM emitted with and without pizza cooking are not statistically different. One possible explanation could be that the expected contribution of the condensable fraction related to the higher OGC emissions associated with pizza cooking is concealed by the very high variability of the TPM measurements associated with wood burning. Once again, this problem will be further addressed in the following stages of this study. </w:t>
      </w:r>
    </w:p>
    <w:p w14:paraId="5741900F" w14:textId="3117C464" w:rsidR="00453E24" w:rsidRDefault="006133BD" w:rsidP="00453E24">
      <w:pPr>
        <w:pStyle w:val="CETHeading1"/>
      </w:pPr>
      <w:r>
        <w:t>Conclusions</w:t>
      </w:r>
    </w:p>
    <w:p w14:paraId="19B495C7" w14:textId="54B91345" w:rsidR="00254B54" w:rsidRDefault="000319DC" w:rsidP="00453E24">
      <w:pPr>
        <w:pStyle w:val="CETBodytext"/>
      </w:pPr>
      <w:r>
        <w:t>From the results obtained in this study it is possible to conclude that wood-fired ovens represent an important source of major air pollutants.</w:t>
      </w:r>
      <w:r w:rsidR="009E38DA">
        <w:t xml:space="preserve"> The concentrations of the examined species </w:t>
      </w:r>
      <w:r w:rsidR="00B10983">
        <w:t>were</w:t>
      </w:r>
      <w:r w:rsidR="009E38DA">
        <w:t xml:space="preserve"> comparable with the performances of other wood- or pellet-burning small-scale appliances. The experimental tests also showed that pizza cooking ha</w:t>
      </w:r>
      <w:r w:rsidR="00B10983">
        <w:t>d</w:t>
      </w:r>
      <w:r w:rsidR="009E38DA">
        <w:t xml:space="preserve"> a significant impact on the emission of OGC </w:t>
      </w:r>
      <w:r w:rsidR="00254B54">
        <w:t>as a result of the volatilization of several compounds present in the food matrix.</w:t>
      </w:r>
    </w:p>
    <w:p w14:paraId="01E3228A" w14:textId="187D4B0B" w:rsidR="0068439A" w:rsidRDefault="000319DC" w:rsidP="00453E24">
      <w:pPr>
        <w:pStyle w:val="CETBodytext"/>
      </w:pPr>
      <w:r>
        <w:t xml:space="preserve">Due to their extensive presence in many urban areas, the need to introduce regulation for this sector is of the upmost importance for the safeguard and improvement of air quality. </w:t>
      </w:r>
      <w:r w:rsidR="0068439A">
        <w:t xml:space="preserve">At the European level, </w:t>
      </w:r>
      <w:r>
        <w:t>several actions have</w:t>
      </w:r>
      <w:r w:rsidR="0068439A">
        <w:t xml:space="preserve"> already</w:t>
      </w:r>
      <w:r>
        <w:t xml:space="preserve"> been put in place in order to reduce the impacts of biomass combustion in the domestic sector</w:t>
      </w:r>
      <w:r w:rsidR="0068439A">
        <w:t xml:space="preserve">, which could possibly be extended to include wood-fired ovens. </w:t>
      </w:r>
    </w:p>
    <w:p w14:paraId="09406386" w14:textId="5FB13127" w:rsidR="00453E24" w:rsidRDefault="00CB1A4E" w:rsidP="00453E24">
      <w:pPr>
        <w:pStyle w:val="CETBodytext"/>
      </w:pPr>
      <w:r>
        <w:t xml:space="preserve">The next stage of the project will include the sampling and analysis of other </w:t>
      </w:r>
      <w:r w:rsidR="0068439A">
        <w:t xml:space="preserve">air pollutants, </w:t>
      </w:r>
      <w:r>
        <w:t xml:space="preserve">such as polycyclic aromatic hydrocarbons (PAHs), with the aim to achieve a complete emission profile of this source. In addition, the contribution of PM2.5 and PM10 to TPM </w:t>
      </w:r>
      <w:r w:rsidR="00434AEC">
        <w:t>will be determined</w:t>
      </w:r>
      <w:r>
        <w:t xml:space="preserve">, along with a complete speciation of particulate matter into its various constituents: OC, EC, heavy metals, anions and cations. </w:t>
      </w:r>
      <w:r w:rsidR="00434AEC">
        <w:t xml:space="preserve">Furthermore, the emissions during ignition and shutdown of the oven will be established and compared with the ones determined during the cooking phase. </w:t>
      </w:r>
      <w:r>
        <w:t xml:space="preserve"> </w:t>
      </w:r>
      <w:r w:rsidR="000319DC">
        <w:t xml:space="preserve"> </w:t>
      </w:r>
    </w:p>
    <w:p w14:paraId="1278BCA4" w14:textId="3CE99839" w:rsidR="009B24F3" w:rsidRDefault="004531E7" w:rsidP="004531E7">
      <w:pPr>
        <w:pStyle w:val="CETReference"/>
        <w:rPr>
          <w:lang w:val="it-IT"/>
        </w:rPr>
      </w:pPr>
      <w:r w:rsidRPr="00F70098">
        <w:rPr>
          <w:lang w:val="it-IT"/>
        </w:rPr>
        <w:t>References</w:t>
      </w:r>
    </w:p>
    <w:p w14:paraId="3D642029" w14:textId="246649DC" w:rsidR="009B24F3" w:rsidRDefault="009B24F3" w:rsidP="009B24F3">
      <w:pPr>
        <w:pStyle w:val="CETReference-text"/>
        <w:rPr>
          <w:lang w:val="it-IT"/>
        </w:rPr>
      </w:pPr>
      <w:r w:rsidRPr="009B24F3">
        <w:rPr>
          <w:lang w:val="it-IT"/>
        </w:rPr>
        <w:t xml:space="preserve">ARPA Lombardia, 2018, INEMAR - </w:t>
      </w:r>
      <w:proofErr w:type="spellStart"/>
      <w:r w:rsidRPr="009B24F3">
        <w:rPr>
          <w:lang w:val="it-IT"/>
        </w:rPr>
        <w:t>INventario</w:t>
      </w:r>
      <w:proofErr w:type="spellEnd"/>
      <w:r w:rsidRPr="009B24F3">
        <w:rPr>
          <w:lang w:val="it-IT"/>
        </w:rPr>
        <w:t xml:space="preserve"> </w:t>
      </w:r>
      <w:proofErr w:type="spellStart"/>
      <w:r w:rsidRPr="009B24F3">
        <w:rPr>
          <w:lang w:val="it-IT"/>
        </w:rPr>
        <w:t>EMissioni</w:t>
      </w:r>
      <w:proofErr w:type="spellEnd"/>
      <w:r w:rsidRPr="009B24F3">
        <w:rPr>
          <w:lang w:val="it-IT"/>
        </w:rPr>
        <w:t xml:space="preserve"> in </w:t>
      </w:r>
      <w:proofErr w:type="spellStart"/>
      <w:r w:rsidRPr="009B24F3">
        <w:rPr>
          <w:lang w:val="it-IT"/>
        </w:rPr>
        <w:t>AtmosfeRa</w:t>
      </w:r>
      <w:proofErr w:type="spellEnd"/>
      <w:r w:rsidRPr="009B24F3">
        <w:rPr>
          <w:lang w:val="it-IT"/>
        </w:rPr>
        <w:t xml:space="preserve">: Emissioni in Regione Lombardia nell'anno 2014 - Dati finali, ARPA Lombardia Settore Monitoraggi Ambientali, IT. </w:t>
      </w:r>
    </w:p>
    <w:p w14:paraId="52018273" w14:textId="77777777" w:rsidR="009B24F3" w:rsidRPr="00DA1922" w:rsidRDefault="009B24F3" w:rsidP="009B24F3">
      <w:pPr>
        <w:pStyle w:val="CETBodytext"/>
        <w:rPr>
          <w:lang w:val="it-IT"/>
        </w:rPr>
      </w:pPr>
      <w:r w:rsidRPr="00DA1922">
        <w:rPr>
          <w:lang w:val="it-IT"/>
        </w:rPr>
        <w:t>ARPA Sicilia, 2018, Piano Regionale di Tutela della Qualità dell’Aria in Sicilia, Report, Regione Siciliana, IT.</w:t>
      </w:r>
    </w:p>
    <w:p w14:paraId="13DDEB04" w14:textId="77777777" w:rsidR="009B24F3" w:rsidRPr="009B24F3" w:rsidRDefault="009B24F3" w:rsidP="009B24F3">
      <w:pPr>
        <w:pStyle w:val="CETReference-text"/>
      </w:pPr>
      <w:r w:rsidRPr="009B24F3">
        <w:t>Dietmar K., 1998, Annual Topic Update, Report, European Topic Centre on Air Emissions, Copenhagen, DK.</w:t>
      </w:r>
    </w:p>
    <w:p w14:paraId="438DB6F2" w14:textId="77777777" w:rsidR="009B24F3" w:rsidRPr="009B24F3" w:rsidRDefault="009B24F3" w:rsidP="009B24F3">
      <w:pPr>
        <w:pStyle w:val="CETReference-text"/>
      </w:pPr>
      <w:r w:rsidRPr="009B24F3">
        <w:t>Borrego C., Valente J., Carvalho A., Sà E., Lopes M., Miranda A.I., 2010, Contribution of residential wood combustion to PM10 levels in Portugal, Atmospheric Environment, 44, 642-651.</w:t>
      </w:r>
    </w:p>
    <w:p w14:paraId="2EB02820" w14:textId="75D3CB6F" w:rsidR="009B24F3" w:rsidRPr="009B24F3" w:rsidRDefault="009B24F3" w:rsidP="009B24F3">
      <w:pPr>
        <w:pStyle w:val="CETReference-text"/>
      </w:pPr>
      <w:r w:rsidRPr="009B24F3">
        <w:t>Favez O., Cachier H., Sciare J., Sarda R., Martinon L., 2009, Evidence for a significant contribution of wood burning aerosols to PM2.5 during the winter season in Paris, Atmospheric Environment, 43, 3640-3644.</w:t>
      </w:r>
    </w:p>
    <w:p w14:paraId="6CB4272C" w14:textId="77777777" w:rsidR="009B24F3" w:rsidRPr="009B24F3" w:rsidRDefault="009B24F3" w:rsidP="009B24F3">
      <w:pPr>
        <w:pStyle w:val="CETReference-text"/>
        <w:rPr>
          <w:lang w:val="it-IT"/>
        </w:rPr>
      </w:pPr>
      <w:r w:rsidRPr="009B24F3">
        <w:rPr>
          <w:lang w:val="it-IT"/>
        </w:rPr>
        <w:t xml:space="preserve">Hugony F., 2020, Progetto Metropizza, Seminar, Città metropolitana di Milano – ENEA, Milano, IT. </w:t>
      </w:r>
    </w:p>
    <w:p w14:paraId="564FA36B" w14:textId="77777777" w:rsidR="009B24F3" w:rsidRPr="009B24F3" w:rsidRDefault="009B24F3" w:rsidP="009B24F3">
      <w:pPr>
        <w:pStyle w:val="CETReference-text"/>
        <w:rPr>
          <w:lang w:val="en-US"/>
        </w:rPr>
      </w:pPr>
      <w:r w:rsidRPr="009B24F3">
        <w:rPr>
          <w:lang w:val="en-US"/>
        </w:rPr>
        <w:t xml:space="preserve">Ielpo, P., Placentino, C.M., Genga, A., Ancona, V., </w:t>
      </w:r>
      <w:proofErr w:type="spellStart"/>
      <w:r w:rsidRPr="009B24F3">
        <w:rPr>
          <w:lang w:val="en-US"/>
        </w:rPr>
        <w:t>Uricchio</w:t>
      </w:r>
      <w:proofErr w:type="spellEnd"/>
      <w:r w:rsidRPr="009B24F3">
        <w:rPr>
          <w:lang w:val="en-US"/>
        </w:rPr>
        <w:t xml:space="preserve">, V.F., Fermo, P., 2020, PM2.5 in indoor air of a bakery: Chemical characterization and size distribution, Atmosphere, 11, 4, 415. </w:t>
      </w:r>
    </w:p>
    <w:p w14:paraId="483D1105" w14:textId="2EF62D90" w:rsidR="009B24F3" w:rsidRDefault="009B24F3" w:rsidP="009B24F3">
      <w:pPr>
        <w:pStyle w:val="CETReference-text"/>
        <w:rPr>
          <w:lang w:val="it-IT"/>
        </w:rPr>
      </w:pPr>
      <w:r w:rsidRPr="009B24F3">
        <w:rPr>
          <w:lang w:val="it-IT"/>
        </w:rPr>
        <w:t xml:space="preserve">Lanzani G., 2014, La combustione domestica delle biomasse legnose e qualità dell’aria, Conference Presentation, Conferenza del sistema nazionale per la protezione dell'ambiente, Bologna, IT. </w:t>
      </w:r>
    </w:p>
    <w:p w14:paraId="7405E86F" w14:textId="1CF6D23F" w:rsidR="00AF56CE" w:rsidRPr="009B24F3" w:rsidRDefault="00AF56CE" w:rsidP="009B24F3">
      <w:pPr>
        <w:pStyle w:val="CETReference-text"/>
      </w:pPr>
      <w:r>
        <w:rPr>
          <w:lang w:val="it-IT"/>
        </w:rPr>
        <w:t xml:space="preserve">Li Z., </w:t>
      </w:r>
      <w:proofErr w:type="spellStart"/>
      <w:r>
        <w:rPr>
          <w:lang w:val="it-IT"/>
        </w:rPr>
        <w:t>Liu</w:t>
      </w:r>
      <w:proofErr w:type="spellEnd"/>
      <w:r>
        <w:rPr>
          <w:lang w:val="it-IT"/>
        </w:rPr>
        <w:t xml:space="preserve"> Y., Chen Z., Zhu Q., </w:t>
      </w:r>
      <w:proofErr w:type="spellStart"/>
      <w:r>
        <w:rPr>
          <w:lang w:val="it-IT"/>
        </w:rPr>
        <w:t>Jia</w:t>
      </w:r>
      <w:proofErr w:type="spellEnd"/>
      <w:r>
        <w:rPr>
          <w:lang w:val="it-IT"/>
        </w:rPr>
        <w:t xml:space="preserve"> J., Li J., Wang Z., </w:t>
      </w:r>
      <w:proofErr w:type="spellStart"/>
      <w:r>
        <w:rPr>
          <w:lang w:val="it-IT"/>
        </w:rPr>
        <w:t>Qin</w:t>
      </w:r>
      <w:proofErr w:type="spellEnd"/>
      <w:r>
        <w:rPr>
          <w:lang w:val="it-IT"/>
        </w:rPr>
        <w:t xml:space="preserve"> Y., 2012. </w:t>
      </w:r>
      <w:r w:rsidRPr="00AF56CE">
        <w:t>Effect of the air temperature on combustion characteristics and N</w:t>
      </w:r>
      <w:r>
        <w:t xml:space="preserve">Ox emissions from a 0.5 MW pulverized coal-fired furnace with deep air staging, Energy Fuels, </w:t>
      </w:r>
      <w:r w:rsidRPr="00AF56CE">
        <w:t>26, 4, 2068–2074</w:t>
      </w:r>
      <w:r>
        <w:t>.</w:t>
      </w:r>
    </w:p>
    <w:p w14:paraId="69C2BBCA" w14:textId="77777777" w:rsidR="009B24F3" w:rsidRPr="009B24F3" w:rsidRDefault="009B24F3" w:rsidP="009B24F3">
      <w:pPr>
        <w:pStyle w:val="CETReference-text"/>
      </w:pPr>
      <w:r w:rsidRPr="009B24F3">
        <w:t>Mota Lima F.D., Pérez-Martìnez P.J., de Fatima Andrade M., Kumar P., de Miranda R.M., 2020, Characterization of particles emitted by pizzerias burning wood and briquettes: a case study at Sao Paulo, Brazil, Environmental Science and Pollution Research, 27, 35875-35888.</w:t>
      </w:r>
    </w:p>
    <w:p w14:paraId="6EAB1F74" w14:textId="77777777" w:rsidR="009B24F3" w:rsidRPr="009B24F3" w:rsidRDefault="009B24F3" w:rsidP="009B24F3">
      <w:pPr>
        <w:pStyle w:val="CETReference-text"/>
      </w:pPr>
      <w:r w:rsidRPr="009B24F3">
        <w:t>Ozgen S., Caserini S., Galante S., Giugliano M., Angelino E., Marongiu A., Hugony F., Migliavacca G., Morreale C., 2014, Emission factors from small scale appliances burning wood and pellets, Atmospheric Environment, 94, 144-153.</w:t>
      </w:r>
    </w:p>
    <w:p w14:paraId="35E294A3" w14:textId="47A8BAA1" w:rsidR="009B24F3" w:rsidRDefault="009B24F3" w:rsidP="009B24F3">
      <w:pPr>
        <w:pStyle w:val="CETReference-text"/>
      </w:pPr>
      <w:r w:rsidRPr="009B24F3">
        <w:t>Tomlin A. S., 2021, Air Quality and Climate Impacts of Biomass Use as an Energy Source: A Review, Energy &amp; Fuels 35, 18, 14213–14240.</w:t>
      </w:r>
    </w:p>
    <w:p w14:paraId="2F0C9E63" w14:textId="0FF0194F" w:rsidR="00AA6266" w:rsidRPr="009B24F3" w:rsidRDefault="00265CE0" w:rsidP="00265CE0">
      <w:pPr>
        <w:pStyle w:val="CETReference-text"/>
      </w:pPr>
      <w:r>
        <w:t>Van Loo S., Koppejan J., 2008. The Handbook of Biomass Combustion and Co-firing. Earthscan, London.</w:t>
      </w:r>
    </w:p>
    <w:p w14:paraId="19C4FC68" w14:textId="4B8C1EA0" w:rsidR="004628D2" w:rsidRPr="009B24F3" w:rsidRDefault="009B24F3" w:rsidP="009B24F3">
      <w:pPr>
        <w:pStyle w:val="CETReference-text"/>
        <w:rPr>
          <w:lang w:val="en-US"/>
        </w:rPr>
      </w:pPr>
      <w:r w:rsidRPr="009B24F3">
        <w:t>Wolters R., 2018, EU policy regarding emission reduction from domestic combustion, Report, European Commission.</w:t>
      </w:r>
    </w:p>
    <w:sectPr w:rsidR="004628D2" w:rsidRPr="009B24F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7DEA" w14:textId="77777777" w:rsidR="004509C0" w:rsidRDefault="004509C0" w:rsidP="004F5E36">
      <w:r>
        <w:separator/>
      </w:r>
    </w:p>
  </w:endnote>
  <w:endnote w:type="continuationSeparator" w:id="0">
    <w:p w14:paraId="7BEDB78D" w14:textId="77777777" w:rsidR="004509C0" w:rsidRDefault="004509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54BC" w14:textId="77777777" w:rsidR="004509C0" w:rsidRDefault="004509C0" w:rsidP="004F5E36">
      <w:r>
        <w:separator/>
      </w:r>
    </w:p>
  </w:footnote>
  <w:footnote w:type="continuationSeparator" w:id="0">
    <w:p w14:paraId="3D05378F" w14:textId="77777777" w:rsidR="004509C0" w:rsidRDefault="004509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BD3E2D"/>
    <w:multiLevelType w:val="hybridMultilevel"/>
    <w:tmpl w:val="2B98C47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BB7691"/>
    <w:multiLevelType w:val="multilevel"/>
    <w:tmpl w:val="E4C0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1"/>
  </w:num>
  <w:num w:numId="16">
    <w:abstractNumId w:val="20"/>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FLIR_DOCUMENT_ID" w:val="0d7bc1e7-496b-4142-b6ce-5c5d42f1c8b6"/>
  </w:docVars>
  <w:rsids>
    <w:rsidRoot w:val="000E414A"/>
    <w:rsid w:val="000027C0"/>
    <w:rsid w:val="000052FB"/>
    <w:rsid w:val="00006726"/>
    <w:rsid w:val="00007042"/>
    <w:rsid w:val="000074CA"/>
    <w:rsid w:val="000117CB"/>
    <w:rsid w:val="000164E5"/>
    <w:rsid w:val="00020E13"/>
    <w:rsid w:val="0003148D"/>
    <w:rsid w:val="000319DC"/>
    <w:rsid w:val="00031EEC"/>
    <w:rsid w:val="00031FD9"/>
    <w:rsid w:val="00044225"/>
    <w:rsid w:val="00051566"/>
    <w:rsid w:val="00062A9A"/>
    <w:rsid w:val="00065058"/>
    <w:rsid w:val="00070AD3"/>
    <w:rsid w:val="00086C39"/>
    <w:rsid w:val="000A03B2"/>
    <w:rsid w:val="000B5397"/>
    <w:rsid w:val="000D0268"/>
    <w:rsid w:val="000D34BE"/>
    <w:rsid w:val="000D6409"/>
    <w:rsid w:val="000D69F5"/>
    <w:rsid w:val="000E102F"/>
    <w:rsid w:val="000E36F1"/>
    <w:rsid w:val="000E3A73"/>
    <w:rsid w:val="000E414A"/>
    <w:rsid w:val="000F093C"/>
    <w:rsid w:val="000F787B"/>
    <w:rsid w:val="00106FDB"/>
    <w:rsid w:val="001073C1"/>
    <w:rsid w:val="0012091F"/>
    <w:rsid w:val="00123314"/>
    <w:rsid w:val="00126BC2"/>
    <w:rsid w:val="001308B6"/>
    <w:rsid w:val="0013121F"/>
    <w:rsid w:val="00131FE6"/>
    <w:rsid w:val="0013263F"/>
    <w:rsid w:val="001331DF"/>
    <w:rsid w:val="00134DE4"/>
    <w:rsid w:val="0014034D"/>
    <w:rsid w:val="0014183E"/>
    <w:rsid w:val="00144D16"/>
    <w:rsid w:val="00150E59"/>
    <w:rsid w:val="00152DE3"/>
    <w:rsid w:val="00164CF9"/>
    <w:rsid w:val="001667A6"/>
    <w:rsid w:val="00175D4E"/>
    <w:rsid w:val="00181264"/>
    <w:rsid w:val="00184AD6"/>
    <w:rsid w:val="00197714"/>
    <w:rsid w:val="001A4AF7"/>
    <w:rsid w:val="001B0349"/>
    <w:rsid w:val="001B1E93"/>
    <w:rsid w:val="001B4C16"/>
    <w:rsid w:val="001B65C1"/>
    <w:rsid w:val="001C1B97"/>
    <w:rsid w:val="001C684B"/>
    <w:rsid w:val="001D0CFB"/>
    <w:rsid w:val="001D21AF"/>
    <w:rsid w:val="001D53FC"/>
    <w:rsid w:val="001E3632"/>
    <w:rsid w:val="001E382F"/>
    <w:rsid w:val="001E5563"/>
    <w:rsid w:val="001F0F6D"/>
    <w:rsid w:val="001F10E8"/>
    <w:rsid w:val="001F42A5"/>
    <w:rsid w:val="001F7B9D"/>
    <w:rsid w:val="00201C93"/>
    <w:rsid w:val="00202334"/>
    <w:rsid w:val="00214A8C"/>
    <w:rsid w:val="00215D49"/>
    <w:rsid w:val="002224B4"/>
    <w:rsid w:val="00227C89"/>
    <w:rsid w:val="002447EF"/>
    <w:rsid w:val="00251550"/>
    <w:rsid w:val="00254B54"/>
    <w:rsid w:val="002553B3"/>
    <w:rsid w:val="00263B05"/>
    <w:rsid w:val="00265CE0"/>
    <w:rsid w:val="0027221A"/>
    <w:rsid w:val="00275B61"/>
    <w:rsid w:val="002803EE"/>
    <w:rsid w:val="00280FAF"/>
    <w:rsid w:val="00282656"/>
    <w:rsid w:val="00293997"/>
    <w:rsid w:val="00296B83"/>
    <w:rsid w:val="002A11F3"/>
    <w:rsid w:val="002B4015"/>
    <w:rsid w:val="002B5826"/>
    <w:rsid w:val="002B78CE"/>
    <w:rsid w:val="002C2FB6"/>
    <w:rsid w:val="002C50A1"/>
    <w:rsid w:val="002D1455"/>
    <w:rsid w:val="002E5FA7"/>
    <w:rsid w:val="002F3309"/>
    <w:rsid w:val="002F5782"/>
    <w:rsid w:val="002F643E"/>
    <w:rsid w:val="003008CE"/>
    <w:rsid w:val="003009B7"/>
    <w:rsid w:val="00300E56"/>
    <w:rsid w:val="0030469C"/>
    <w:rsid w:val="00304CDE"/>
    <w:rsid w:val="00311146"/>
    <w:rsid w:val="003214D2"/>
    <w:rsid w:val="00321CA6"/>
    <w:rsid w:val="00323763"/>
    <w:rsid w:val="0033139F"/>
    <w:rsid w:val="00332A1A"/>
    <w:rsid w:val="00334C09"/>
    <w:rsid w:val="003353B7"/>
    <w:rsid w:val="00371993"/>
    <w:rsid w:val="003723D4"/>
    <w:rsid w:val="00375BBF"/>
    <w:rsid w:val="003816F4"/>
    <w:rsid w:val="00381905"/>
    <w:rsid w:val="00384523"/>
    <w:rsid w:val="0038457B"/>
    <w:rsid w:val="00384CC8"/>
    <w:rsid w:val="003871FD"/>
    <w:rsid w:val="003907A4"/>
    <w:rsid w:val="00391142"/>
    <w:rsid w:val="00391376"/>
    <w:rsid w:val="003A1E30"/>
    <w:rsid w:val="003A2829"/>
    <w:rsid w:val="003A4DF4"/>
    <w:rsid w:val="003A7D1C"/>
    <w:rsid w:val="003B304B"/>
    <w:rsid w:val="003B3146"/>
    <w:rsid w:val="003B7AA3"/>
    <w:rsid w:val="003C7656"/>
    <w:rsid w:val="003E1695"/>
    <w:rsid w:val="003F015E"/>
    <w:rsid w:val="003F218D"/>
    <w:rsid w:val="003F7D0D"/>
    <w:rsid w:val="00400414"/>
    <w:rsid w:val="004100EE"/>
    <w:rsid w:val="00413830"/>
    <w:rsid w:val="0041446B"/>
    <w:rsid w:val="0043094D"/>
    <w:rsid w:val="00434AEC"/>
    <w:rsid w:val="0044071E"/>
    <w:rsid w:val="00441B01"/>
    <w:rsid w:val="0044329C"/>
    <w:rsid w:val="004452B8"/>
    <w:rsid w:val="00445C94"/>
    <w:rsid w:val="004509C0"/>
    <w:rsid w:val="004531E7"/>
    <w:rsid w:val="00453E24"/>
    <w:rsid w:val="00457456"/>
    <w:rsid w:val="004577FE"/>
    <w:rsid w:val="00457B9C"/>
    <w:rsid w:val="0046164A"/>
    <w:rsid w:val="004628D2"/>
    <w:rsid w:val="00462DCD"/>
    <w:rsid w:val="004648AD"/>
    <w:rsid w:val="00466C11"/>
    <w:rsid w:val="004703A9"/>
    <w:rsid w:val="004760DE"/>
    <w:rsid w:val="004763D7"/>
    <w:rsid w:val="004925DD"/>
    <w:rsid w:val="004934E0"/>
    <w:rsid w:val="00493873"/>
    <w:rsid w:val="004A004E"/>
    <w:rsid w:val="004A24CF"/>
    <w:rsid w:val="004B209A"/>
    <w:rsid w:val="004C3D1D"/>
    <w:rsid w:val="004C5B67"/>
    <w:rsid w:val="004C7913"/>
    <w:rsid w:val="004E4DD6"/>
    <w:rsid w:val="004E5C68"/>
    <w:rsid w:val="004F31BC"/>
    <w:rsid w:val="004F5E36"/>
    <w:rsid w:val="00507AED"/>
    <w:rsid w:val="00507B47"/>
    <w:rsid w:val="00507BEF"/>
    <w:rsid w:val="00507CC9"/>
    <w:rsid w:val="005119A5"/>
    <w:rsid w:val="005278B7"/>
    <w:rsid w:val="00532016"/>
    <w:rsid w:val="005346C8"/>
    <w:rsid w:val="00541D84"/>
    <w:rsid w:val="00543E7D"/>
    <w:rsid w:val="00547A68"/>
    <w:rsid w:val="005531C9"/>
    <w:rsid w:val="00570C43"/>
    <w:rsid w:val="00586B5D"/>
    <w:rsid w:val="005B2110"/>
    <w:rsid w:val="005B61E6"/>
    <w:rsid w:val="005C01D3"/>
    <w:rsid w:val="005C77E1"/>
    <w:rsid w:val="005D00D7"/>
    <w:rsid w:val="005D35A2"/>
    <w:rsid w:val="005D4481"/>
    <w:rsid w:val="005D668A"/>
    <w:rsid w:val="005D6A2F"/>
    <w:rsid w:val="005E1A82"/>
    <w:rsid w:val="005E3917"/>
    <w:rsid w:val="005E4156"/>
    <w:rsid w:val="005E794C"/>
    <w:rsid w:val="005F0A28"/>
    <w:rsid w:val="005F0E5E"/>
    <w:rsid w:val="00600535"/>
    <w:rsid w:val="006062FB"/>
    <w:rsid w:val="00607218"/>
    <w:rsid w:val="00610CD6"/>
    <w:rsid w:val="006133BD"/>
    <w:rsid w:val="00613543"/>
    <w:rsid w:val="00613DB2"/>
    <w:rsid w:val="00614376"/>
    <w:rsid w:val="006163A5"/>
    <w:rsid w:val="00616E8F"/>
    <w:rsid w:val="00620DEE"/>
    <w:rsid w:val="00621F92"/>
    <w:rsid w:val="0062280A"/>
    <w:rsid w:val="00622B22"/>
    <w:rsid w:val="00625639"/>
    <w:rsid w:val="00630277"/>
    <w:rsid w:val="00631B33"/>
    <w:rsid w:val="0064184D"/>
    <w:rsid w:val="006422CC"/>
    <w:rsid w:val="006515A2"/>
    <w:rsid w:val="00657BFA"/>
    <w:rsid w:val="00660E3E"/>
    <w:rsid w:val="00662E74"/>
    <w:rsid w:val="00680C23"/>
    <w:rsid w:val="0068439A"/>
    <w:rsid w:val="00693766"/>
    <w:rsid w:val="00697106"/>
    <w:rsid w:val="006A3281"/>
    <w:rsid w:val="006B0693"/>
    <w:rsid w:val="006B4888"/>
    <w:rsid w:val="006C2E45"/>
    <w:rsid w:val="006C359C"/>
    <w:rsid w:val="006C5579"/>
    <w:rsid w:val="006D61C1"/>
    <w:rsid w:val="006D6E8B"/>
    <w:rsid w:val="006E0793"/>
    <w:rsid w:val="006E737D"/>
    <w:rsid w:val="007051A3"/>
    <w:rsid w:val="00710232"/>
    <w:rsid w:val="00712304"/>
    <w:rsid w:val="00713973"/>
    <w:rsid w:val="00720A24"/>
    <w:rsid w:val="007259DC"/>
    <w:rsid w:val="00730709"/>
    <w:rsid w:val="00730853"/>
    <w:rsid w:val="00732386"/>
    <w:rsid w:val="0073514D"/>
    <w:rsid w:val="007447F3"/>
    <w:rsid w:val="007529A0"/>
    <w:rsid w:val="0075499F"/>
    <w:rsid w:val="00756E94"/>
    <w:rsid w:val="00765DC7"/>
    <w:rsid w:val="007661C8"/>
    <w:rsid w:val="0077098D"/>
    <w:rsid w:val="007710A7"/>
    <w:rsid w:val="0077183E"/>
    <w:rsid w:val="00783D24"/>
    <w:rsid w:val="00786B19"/>
    <w:rsid w:val="007931FA"/>
    <w:rsid w:val="007959C5"/>
    <w:rsid w:val="007A03CD"/>
    <w:rsid w:val="007A1A3E"/>
    <w:rsid w:val="007A3318"/>
    <w:rsid w:val="007A4861"/>
    <w:rsid w:val="007A7BBA"/>
    <w:rsid w:val="007B0C50"/>
    <w:rsid w:val="007B48F9"/>
    <w:rsid w:val="007B4BCB"/>
    <w:rsid w:val="007C1A43"/>
    <w:rsid w:val="007D523D"/>
    <w:rsid w:val="007F546B"/>
    <w:rsid w:val="0080013E"/>
    <w:rsid w:val="00805862"/>
    <w:rsid w:val="00813288"/>
    <w:rsid w:val="00814766"/>
    <w:rsid w:val="008168FC"/>
    <w:rsid w:val="00821446"/>
    <w:rsid w:val="00830996"/>
    <w:rsid w:val="008345F1"/>
    <w:rsid w:val="00835ED8"/>
    <w:rsid w:val="00837A18"/>
    <w:rsid w:val="00841D99"/>
    <w:rsid w:val="008440BF"/>
    <w:rsid w:val="00847BE5"/>
    <w:rsid w:val="00854E4D"/>
    <w:rsid w:val="00864044"/>
    <w:rsid w:val="008654F8"/>
    <w:rsid w:val="00865B07"/>
    <w:rsid w:val="008667EA"/>
    <w:rsid w:val="0087169F"/>
    <w:rsid w:val="0087637F"/>
    <w:rsid w:val="00880275"/>
    <w:rsid w:val="00881627"/>
    <w:rsid w:val="00886E2F"/>
    <w:rsid w:val="00892AD5"/>
    <w:rsid w:val="008A1512"/>
    <w:rsid w:val="008A6591"/>
    <w:rsid w:val="008B2DCE"/>
    <w:rsid w:val="008B6A2F"/>
    <w:rsid w:val="008C3E3A"/>
    <w:rsid w:val="008D32B9"/>
    <w:rsid w:val="008D433B"/>
    <w:rsid w:val="008E002A"/>
    <w:rsid w:val="008E566E"/>
    <w:rsid w:val="008F46B4"/>
    <w:rsid w:val="00900784"/>
    <w:rsid w:val="0090161A"/>
    <w:rsid w:val="00901EB6"/>
    <w:rsid w:val="00904C62"/>
    <w:rsid w:val="00922BA8"/>
    <w:rsid w:val="00924DAC"/>
    <w:rsid w:val="00925E1A"/>
    <w:rsid w:val="00927058"/>
    <w:rsid w:val="00934487"/>
    <w:rsid w:val="0093796B"/>
    <w:rsid w:val="00942750"/>
    <w:rsid w:val="009450CE"/>
    <w:rsid w:val="00947179"/>
    <w:rsid w:val="0095164B"/>
    <w:rsid w:val="00954090"/>
    <w:rsid w:val="009573E7"/>
    <w:rsid w:val="00963E05"/>
    <w:rsid w:val="00964A45"/>
    <w:rsid w:val="00967843"/>
    <w:rsid w:val="00967D54"/>
    <w:rsid w:val="00971028"/>
    <w:rsid w:val="009851E3"/>
    <w:rsid w:val="00985738"/>
    <w:rsid w:val="00993B84"/>
    <w:rsid w:val="00996483"/>
    <w:rsid w:val="00996F5A"/>
    <w:rsid w:val="00997964"/>
    <w:rsid w:val="009B041A"/>
    <w:rsid w:val="009B24F3"/>
    <w:rsid w:val="009C37C3"/>
    <w:rsid w:val="009C7C86"/>
    <w:rsid w:val="009D2FF7"/>
    <w:rsid w:val="009D4757"/>
    <w:rsid w:val="009E38DA"/>
    <w:rsid w:val="009E7079"/>
    <w:rsid w:val="009E7884"/>
    <w:rsid w:val="009E788A"/>
    <w:rsid w:val="009F0E08"/>
    <w:rsid w:val="009F41B4"/>
    <w:rsid w:val="009F6C41"/>
    <w:rsid w:val="00A1763D"/>
    <w:rsid w:val="00A17CEC"/>
    <w:rsid w:val="00A27EF0"/>
    <w:rsid w:val="00A42361"/>
    <w:rsid w:val="00A46269"/>
    <w:rsid w:val="00A50B20"/>
    <w:rsid w:val="00A51390"/>
    <w:rsid w:val="00A60D13"/>
    <w:rsid w:val="00A65E9C"/>
    <w:rsid w:val="00A72745"/>
    <w:rsid w:val="00A73447"/>
    <w:rsid w:val="00A76EFC"/>
    <w:rsid w:val="00A77520"/>
    <w:rsid w:val="00A865E3"/>
    <w:rsid w:val="00A869B3"/>
    <w:rsid w:val="00A91010"/>
    <w:rsid w:val="00A91C5D"/>
    <w:rsid w:val="00A97F29"/>
    <w:rsid w:val="00AA6266"/>
    <w:rsid w:val="00AA702E"/>
    <w:rsid w:val="00AA7110"/>
    <w:rsid w:val="00AB0964"/>
    <w:rsid w:val="00AB5011"/>
    <w:rsid w:val="00AC7368"/>
    <w:rsid w:val="00AD16B9"/>
    <w:rsid w:val="00AD4AAB"/>
    <w:rsid w:val="00AE377D"/>
    <w:rsid w:val="00AF0EBA"/>
    <w:rsid w:val="00AF21DB"/>
    <w:rsid w:val="00AF56CE"/>
    <w:rsid w:val="00AF67D1"/>
    <w:rsid w:val="00B023D7"/>
    <w:rsid w:val="00B02C8A"/>
    <w:rsid w:val="00B10983"/>
    <w:rsid w:val="00B17FBD"/>
    <w:rsid w:val="00B23F33"/>
    <w:rsid w:val="00B315A6"/>
    <w:rsid w:val="00B31813"/>
    <w:rsid w:val="00B33365"/>
    <w:rsid w:val="00B57B36"/>
    <w:rsid w:val="00B57E6F"/>
    <w:rsid w:val="00B67756"/>
    <w:rsid w:val="00B7028E"/>
    <w:rsid w:val="00B7035F"/>
    <w:rsid w:val="00B779A2"/>
    <w:rsid w:val="00B8686D"/>
    <w:rsid w:val="00B93F69"/>
    <w:rsid w:val="00BB1DDC"/>
    <w:rsid w:val="00BB2954"/>
    <w:rsid w:val="00BC30C9"/>
    <w:rsid w:val="00BD077D"/>
    <w:rsid w:val="00BD10DA"/>
    <w:rsid w:val="00BE3E58"/>
    <w:rsid w:val="00C01616"/>
    <w:rsid w:val="00C0162B"/>
    <w:rsid w:val="00C068ED"/>
    <w:rsid w:val="00C22E0C"/>
    <w:rsid w:val="00C345B1"/>
    <w:rsid w:val="00C37633"/>
    <w:rsid w:val="00C40142"/>
    <w:rsid w:val="00C52C3C"/>
    <w:rsid w:val="00C57182"/>
    <w:rsid w:val="00C57863"/>
    <w:rsid w:val="00C63D4E"/>
    <w:rsid w:val="00C655FD"/>
    <w:rsid w:val="00C661F4"/>
    <w:rsid w:val="00C7210E"/>
    <w:rsid w:val="00C75407"/>
    <w:rsid w:val="00C80079"/>
    <w:rsid w:val="00C870A8"/>
    <w:rsid w:val="00C94434"/>
    <w:rsid w:val="00CA0D75"/>
    <w:rsid w:val="00CA1C95"/>
    <w:rsid w:val="00CA5A9C"/>
    <w:rsid w:val="00CB17E3"/>
    <w:rsid w:val="00CB1A4E"/>
    <w:rsid w:val="00CC3170"/>
    <w:rsid w:val="00CC4C20"/>
    <w:rsid w:val="00CC6D60"/>
    <w:rsid w:val="00CD3517"/>
    <w:rsid w:val="00CD5FE2"/>
    <w:rsid w:val="00CD6CAD"/>
    <w:rsid w:val="00CD75C2"/>
    <w:rsid w:val="00CE7C68"/>
    <w:rsid w:val="00D02B4C"/>
    <w:rsid w:val="00D040C4"/>
    <w:rsid w:val="00D07673"/>
    <w:rsid w:val="00D23B7F"/>
    <w:rsid w:val="00D242F9"/>
    <w:rsid w:val="00D26F27"/>
    <w:rsid w:val="00D32FE2"/>
    <w:rsid w:val="00D46B7E"/>
    <w:rsid w:val="00D57C84"/>
    <w:rsid w:val="00D6057D"/>
    <w:rsid w:val="00D67037"/>
    <w:rsid w:val="00D71640"/>
    <w:rsid w:val="00D71946"/>
    <w:rsid w:val="00D823FD"/>
    <w:rsid w:val="00D836C5"/>
    <w:rsid w:val="00D84576"/>
    <w:rsid w:val="00DA1399"/>
    <w:rsid w:val="00DA1922"/>
    <w:rsid w:val="00DA24C6"/>
    <w:rsid w:val="00DA4D7B"/>
    <w:rsid w:val="00DC3101"/>
    <w:rsid w:val="00DC3DD0"/>
    <w:rsid w:val="00DC4A38"/>
    <w:rsid w:val="00DD13C7"/>
    <w:rsid w:val="00DE264A"/>
    <w:rsid w:val="00DF5072"/>
    <w:rsid w:val="00E020CE"/>
    <w:rsid w:val="00E02D18"/>
    <w:rsid w:val="00E041E7"/>
    <w:rsid w:val="00E21834"/>
    <w:rsid w:val="00E2263D"/>
    <w:rsid w:val="00E23CA1"/>
    <w:rsid w:val="00E409A8"/>
    <w:rsid w:val="00E50C12"/>
    <w:rsid w:val="00E55A57"/>
    <w:rsid w:val="00E56B7E"/>
    <w:rsid w:val="00E65B91"/>
    <w:rsid w:val="00E7209D"/>
    <w:rsid w:val="00E72EAD"/>
    <w:rsid w:val="00E77223"/>
    <w:rsid w:val="00E8528B"/>
    <w:rsid w:val="00E85B94"/>
    <w:rsid w:val="00E90599"/>
    <w:rsid w:val="00E90EC5"/>
    <w:rsid w:val="00E978D0"/>
    <w:rsid w:val="00E97AD3"/>
    <w:rsid w:val="00EA19AB"/>
    <w:rsid w:val="00EA4613"/>
    <w:rsid w:val="00EA7F91"/>
    <w:rsid w:val="00EB1523"/>
    <w:rsid w:val="00EC039D"/>
    <w:rsid w:val="00EC0E49"/>
    <w:rsid w:val="00EC101F"/>
    <w:rsid w:val="00EC1D9F"/>
    <w:rsid w:val="00ED3D89"/>
    <w:rsid w:val="00ED3ED1"/>
    <w:rsid w:val="00EE0131"/>
    <w:rsid w:val="00EE17B0"/>
    <w:rsid w:val="00EE402A"/>
    <w:rsid w:val="00EF06D9"/>
    <w:rsid w:val="00F0226E"/>
    <w:rsid w:val="00F050F7"/>
    <w:rsid w:val="00F14FD6"/>
    <w:rsid w:val="00F30C64"/>
    <w:rsid w:val="00F32BA2"/>
    <w:rsid w:val="00F32CDB"/>
    <w:rsid w:val="00F33086"/>
    <w:rsid w:val="00F565FE"/>
    <w:rsid w:val="00F63A70"/>
    <w:rsid w:val="00F65C4F"/>
    <w:rsid w:val="00F70098"/>
    <w:rsid w:val="00F7534E"/>
    <w:rsid w:val="00F77502"/>
    <w:rsid w:val="00FA1802"/>
    <w:rsid w:val="00FA21D0"/>
    <w:rsid w:val="00FA5E0A"/>
    <w:rsid w:val="00FA5F5F"/>
    <w:rsid w:val="00FB603F"/>
    <w:rsid w:val="00FB730C"/>
    <w:rsid w:val="00FC2695"/>
    <w:rsid w:val="00FC3E03"/>
    <w:rsid w:val="00FC3FC1"/>
    <w:rsid w:val="00FC4E74"/>
    <w:rsid w:val="00FC4F58"/>
    <w:rsid w:val="00FD1372"/>
    <w:rsid w:val="00FE1B9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Default">
    <w:name w:val="Default"/>
    <w:rsid w:val="001C1B97"/>
    <w:pPr>
      <w:autoSpaceDE w:val="0"/>
      <w:autoSpaceDN w:val="0"/>
      <w:adjustRightInd w:val="0"/>
      <w:spacing w:after="0" w:line="240" w:lineRule="auto"/>
    </w:pPr>
    <w:rPr>
      <w:rFonts w:ascii="Calibri" w:hAnsi="Calibri" w:cs="Calibri"/>
      <w:color w:val="000000"/>
      <w:sz w:val="24"/>
      <w:szCs w:val="24"/>
    </w:rPr>
  </w:style>
  <w:style w:type="paragraph" w:styleId="Revisione">
    <w:name w:val="Revision"/>
    <w:hidden/>
    <w:uiPriority w:val="99"/>
    <w:semiHidden/>
    <w:rsid w:val="00332A1A"/>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1E3632"/>
    <w:rPr>
      <w:color w:val="808080"/>
    </w:rPr>
  </w:style>
  <w:style w:type="paragraph" w:customStyle="1" w:styleId="CETReference0">
    <w:name w:val="CET_Reference"/>
    <w:next w:val="CETReference-text"/>
    <w:rsid w:val="009B24F3"/>
    <w:pPr>
      <w:spacing w:line="264" w:lineRule="auto"/>
    </w:pPr>
    <w:rPr>
      <w:rFonts w:ascii="Arial" w:eastAsia="Times New Roman" w:hAnsi="Arial" w:cs="Times New Roman"/>
      <w:b/>
      <w:sz w:val="18"/>
      <w:szCs w:val="20"/>
      <w:lang w:val="en-US"/>
    </w:rPr>
  </w:style>
  <w:style w:type="paragraph" w:customStyle="1" w:styleId="CETReference-text">
    <w:name w:val="CET Reference-text"/>
    <w:rsid w:val="009B24F3"/>
    <w:pPr>
      <w:spacing w:after="0" w:line="264" w:lineRule="auto"/>
      <w:ind w:left="284" w:hanging="284"/>
      <w:jc w:val="both"/>
    </w:pPr>
    <w:rPr>
      <w:rFonts w:ascii="Arial" w:eastAsia="Times New Roman" w:hAnsi="Arial" w:cs="Times New Roman"/>
      <w:sz w:val="18"/>
      <w:szCs w:val="20"/>
      <w:lang w:val="en-GB"/>
    </w:rPr>
  </w:style>
  <w:style w:type="character" w:customStyle="1" w:styleId="hlfld-title">
    <w:name w:val="hlfld-title"/>
    <w:basedOn w:val="Carpredefinitoparagrafo"/>
    <w:rsid w:val="00AF56CE"/>
  </w:style>
  <w:style w:type="character" w:customStyle="1" w:styleId="hlfld-contribauthor">
    <w:name w:val="hlfld-contribauthor"/>
    <w:basedOn w:val="Carpredefinitoparagrafo"/>
    <w:rsid w:val="00AF56CE"/>
  </w:style>
  <w:style w:type="character" w:customStyle="1" w:styleId="author-xref-symbol">
    <w:name w:val="author-xref-symbol"/>
    <w:basedOn w:val="Carpredefinitoparagrafo"/>
    <w:rsid w:val="00AF56CE"/>
  </w:style>
  <w:style w:type="character" w:customStyle="1" w:styleId="comma-separator">
    <w:name w:val="comma-separator"/>
    <w:basedOn w:val="Carpredefinitoparagrafo"/>
    <w:rsid w:val="00AF5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0418">
      <w:bodyDiv w:val="1"/>
      <w:marLeft w:val="0"/>
      <w:marRight w:val="0"/>
      <w:marTop w:val="0"/>
      <w:marBottom w:val="0"/>
      <w:divBdr>
        <w:top w:val="none" w:sz="0" w:space="0" w:color="auto"/>
        <w:left w:val="none" w:sz="0" w:space="0" w:color="auto"/>
        <w:bottom w:val="none" w:sz="0" w:space="0" w:color="auto"/>
        <w:right w:val="none" w:sz="0" w:space="0" w:color="auto"/>
      </w:divBdr>
    </w:div>
    <w:div w:id="64562121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3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1651">
      <w:bodyDiv w:val="1"/>
      <w:marLeft w:val="0"/>
      <w:marRight w:val="0"/>
      <w:marTop w:val="0"/>
      <w:marBottom w:val="0"/>
      <w:divBdr>
        <w:top w:val="none" w:sz="0" w:space="0" w:color="auto"/>
        <w:left w:val="none" w:sz="0" w:space="0" w:color="auto"/>
        <w:bottom w:val="none" w:sz="0" w:space="0" w:color="auto"/>
        <w:right w:val="none" w:sz="0" w:space="0" w:color="auto"/>
      </w:divBdr>
    </w:div>
    <w:div w:id="135268728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677369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1831">
      <w:bodyDiv w:val="1"/>
      <w:marLeft w:val="0"/>
      <w:marRight w:val="0"/>
      <w:marTop w:val="0"/>
      <w:marBottom w:val="0"/>
      <w:divBdr>
        <w:top w:val="none" w:sz="0" w:space="0" w:color="auto"/>
        <w:left w:val="none" w:sz="0" w:space="0" w:color="auto"/>
        <w:bottom w:val="none" w:sz="0" w:space="0" w:color="auto"/>
        <w:right w:val="none" w:sz="0" w:space="0" w:color="auto"/>
      </w:divBdr>
    </w:div>
    <w:div w:id="179097571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9000-B71E-4A96-AC89-D95B70FC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3714</Words>
  <Characters>21174</Characters>
  <Application>Microsoft Office Word</Application>
  <DocSecurity>0</DocSecurity>
  <Lines>176</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Andrea Bergomi</cp:lastModifiedBy>
  <cp:revision>28</cp:revision>
  <cp:lastPrinted>2015-05-12T18:31:00Z</cp:lastPrinted>
  <dcterms:created xsi:type="dcterms:W3CDTF">2022-02-07T15:24:00Z</dcterms:created>
  <dcterms:modified xsi:type="dcterms:W3CDTF">2022-03-22T13:26:00Z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