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65D5BBB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1D21A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14967F0F" w:rsidR="00300E56" w:rsidRPr="0044071E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1D21AF"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Rubens Maciel Filho</w:t>
            </w:r>
            <w:r w:rsidR="00964A4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964A45"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Eliseo Ranzi</w:t>
            </w:r>
            <w:r w:rsidR="00964A4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 Leonardo Tognotti</w:t>
            </w:r>
          </w:p>
          <w:p w14:paraId="1B0F1814" w14:textId="4A78A049" w:rsidR="000A03B2" w:rsidRPr="00B57B36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1D21AF">
              <w:rPr>
                <w:rFonts w:ascii="Tahoma" w:hAnsi="Tahoma" w:cs="Tahoma"/>
                <w:sz w:val="14"/>
                <w:szCs w:val="14"/>
              </w:rPr>
              <w:t>90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1D21AF">
              <w:rPr>
                <w:rFonts w:ascii="Tahoma" w:hAnsi="Tahoma" w:cs="Tahoma"/>
                <w:sz w:val="14"/>
                <w:szCs w:val="14"/>
              </w:rPr>
              <w:t>7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9E7B80" w:rsidRDefault="000A03B2" w:rsidP="000A03B2">
      <w:pPr>
        <w:pStyle w:val="CETAuthors"/>
        <w:sectPr w:rsidR="000A03B2" w:rsidRPr="009E7B80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7D68B6FD" w:rsidR="00E978D0" w:rsidRPr="00B57B36" w:rsidRDefault="009E7B80" w:rsidP="00516E3F">
      <w:pPr>
        <w:pStyle w:val="CETTitle"/>
        <w:jc w:val="both"/>
      </w:pPr>
      <w:r w:rsidRPr="009E7B80">
        <w:lastRenderedPageBreak/>
        <w:t xml:space="preserve">Strategies </w:t>
      </w:r>
      <w:r w:rsidR="000E6D3D">
        <w:t>t</w:t>
      </w:r>
      <w:r w:rsidRPr="009E7B80">
        <w:t xml:space="preserve">o </w:t>
      </w:r>
      <w:r w:rsidR="00516E3F">
        <w:t>I</w:t>
      </w:r>
      <w:r w:rsidRPr="009E7B80">
        <w:t xml:space="preserve">mprove </w:t>
      </w:r>
      <w:r w:rsidR="00516E3F">
        <w:t>Q</w:t>
      </w:r>
      <w:r w:rsidRPr="009E7B80">
        <w:t xml:space="preserve">uality </w:t>
      </w:r>
      <w:r w:rsidR="000E6D3D">
        <w:t>a</w:t>
      </w:r>
      <w:r w:rsidRPr="009E7B80">
        <w:t xml:space="preserve">nd </w:t>
      </w:r>
      <w:r w:rsidR="00516E3F">
        <w:t>Y</w:t>
      </w:r>
      <w:r w:rsidRPr="009E7B80">
        <w:t xml:space="preserve">ield </w:t>
      </w:r>
      <w:r w:rsidR="000E6D3D">
        <w:t>o</w:t>
      </w:r>
      <w:r w:rsidRPr="009E7B80">
        <w:t xml:space="preserve">f </w:t>
      </w:r>
      <w:r w:rsidR="00516E3F">
        <w:t>P</w:t>
      </w:r>
      <w:r w:rsidRPr="009E7B80">
        <w:t xml:space="preserve">yrolysis </w:t>
      </w:r>
      <w:r w:rsidR="00516E3F">
        <w:t>B</w:t>
      </w:r>
      <w:r w:rsidRPr="009E7B80">
        <w:t>io-oils</w:t>
      </w:r>
    </w:p>
    <w:p w14:paraId="78CEB8C8" w14:textId="345ED217" w:rsidR="009E7B80" w:rsidRPr="009E7B80" w:rsidRDefault="000F25FC" w:rsidP="00516E3F">
      <w:pPr>
        <w:keepNext/>
        <w:suppressAutoHyphens/>
        <w:spacing w:after="120"/>
        <w:rPr>
          <w:noProof/>
          <w:sz w:val="24"/>
          <w:lang w:val="it-IT"/>
        </w:rPr>
      </w:pPr>
      <w:r>
        <w:rPr>
          <w:noProof/>
          <w:sz w:val="24"/>
          <w:lang w:val="it-IT"/>
        </w:rPr>
        <w:t>Paola Brachi</w:t>
      </w:r>
      <w:r w:rsidRPr="009E7B80">
        <w:rPr>
          <w:noProof/>
          <w:sz w:val="24"/>
          <w:vertAlign w:val="superscript"/>
          <w:lang w:val="it-IT"/>
        </w:rPr>
        <w:t>a</w:t>
      </w:r>
      <w:r>
        <w:rPr>
          <w:noProof/>
          <w:sz w:val="24"/>
          <w:lang w:val="it-IT"/>
        </w:rPr>
        <w:t xml:space="preserve">, </w:t>
      </w:r>
      <w:r w:rsidR="00516E3F">
        <w:rPr>
          <w:noProof/>
          <w:sz w:val="24"/>
          <w:lang w:val="it-IT"/>
        </w:rPr>
        <w:t>Renata Migliaccio</w:t>
      </w:r>
      <w:r w:rsidR="009E7B80" w:rsidRPr="009E7B80">
        <w:rPr>
          <w:noProof/>
          <w:sz w:val="24"/>
          <w:vertAlign w:val="superscript"/>
          <w:lang w:val="it-IT"/>
        </w:rPr>
        <w:t>a</w:t>
      </w:r>
      <w:r w:rsidR="00516E3F" w:rsidRPr="009E7B80">
        <w:rPr>
          <w:noProof/>
          <w:sz w:val="24"/>
          <w:vertAlign w:val="superscript"/>
          <w:lang w:val="it-IT"/>
        </w:rPr>
        <w:t>*</w:t>
      </w:r>
      <w:r w:rsidR="009E7B80" w:rsidRPr="009E7B80">
        <w:rPr>
          <w:noProof/>
          <w:sz w:val="24"/>
          <w:lang w:val="it-IT"/>
        </w:rPr>
        <w:t xml:space="preserve">, </w:t>
      </w:r>
      <w:r w:rsidR="00516E3F" w:rsidRPr="00516E3F">
        <w:rPr>
          <w:noProof/>
          <w:sz w:val="24"/>
          <w:lang w:val="it-IT"/>
        </w:rPr>
        <w:t>Elvis T</w:t>
      </w:r>
      <w:r w:rsidR="00516E3F">
        <w:rPr>
          <w:noProof/>
          <w:sz w:val="24"/>
          <w:lang w:val="it-IT"/>
        </w:rPr>
        <w:t xml:space="preserve">. </w:t>
      </w:r>
      <w:r w:rsidR="00516E3F" w:rsidRPr="00516E3F">
        <w:rPr>
          <w:noProof/>
          <w:sz w:val="24"/>
          <w:lang w:val="it-IT"/>
        </w:rPr>
        <w:t>Ganda</w:t>
      </w:r>
      <w:r w:rsidR="00516E3F" w:rsidRPr="00516E3F">
        <w:rPr>
          <w:noProof/>
          <w:sz w:val="24"/>
          <w:vertAlign w:val="superscript"/>
          <w:lang w:val="it-IT"/>
        </w:rPr>
        <w:t>b</w:t>
      </w:r>
      <w:r w:rsidR="00516E3F">
        <w:rPr>
          <w:noProof/>
          <w:sz w:val="24"/>
          <w:lang w:val="it-IT"/>
        </w:rPr>
        <w:t>, Massimo Urciuolo</w:t>
      </w:r>
      <w:r w:rsidR="00516E3F" w:rsidRPr="009E7B80">
        <w:rPr>
          <w:noProof/>
          <w:sz w:val="24"/>
          <w:vertAlign w:val="superscript"/>
          <w:lang w:val="it-IT"/>
        </w:rPr>
        <w:t>a</w:t>
      </w:r>
      <w:r w:rsidR="00516E3F">
        <w:rPr>
          <w:noProof/>
          <w:sz w:val="24"/>
          <w:lang w:val="it-IT"/>
        </w:rPr>
        <w:t>, Giovanna Ruoppolo</w:t>
      </w:r>
      <w:r w:rsidR="00516E3F" w:rsidRPr="009E7B80">
        <w:rPr>
          <w:noProof/>
          <w:sz w:val="24"/>
          <w:vertAlign w:val="superscript"/>
          <w:lang w:val="it-IT"/>
        </w:rPr>
        <w:t>a</w:t>
      </w:r>
      <w:r w:rsidR="00516E3F">
        <w:rPr>
          <w:noProof/>
          <w:sz w:val="24"/>
          <w:lang w:val="it-IT"/>
        </w:rPr>
        <w:t xml:space="preserve">, </w:t>
      </w:r>
      <w:r w:rsidR="006E64A8">
        <w:rPr>
          <w:noProof/>
          <w:sz w:val="24"/>
          <w:lang w:val="it-IT"/>
        </w:rPr>
        <w:t>Antonio Coppola</w:t>
      </w:r>
      <w:r w:rsidR="006E64A8" w:rsidRPr="009E7B80">
        <w:rPr>
          <w:noProof/>
          <w:sz w:val="24"/>
          <w:vertAlign w:val="superscript"/>
          <w:lang w:val="it-IT"/>
        </w:rPr>
        <w:t>a</w:t>
      </w:r>
      <w:r w:rsidR="006E64A8">
        <w:rPr>
          <w:noProof/>
          <w:sz w:val="24"/>
          <w:lang w:val="it-IT"/>
        </w:rPr>
        <w:t xml:space="preserve">, </w:t>
      </w:r>
      <w:r w:rsidR="00516E3F" w:rsidRPr="00516E3F">
        <w:rPr>
          <w:noProof/>
          <w:sz w:val="24"/>
          <w:lang w:val="it-IT"/>
        </w:rPr>
        <w:t>Fab</w:t>
      </w:r>
      <w:r w:rsidR="00516E3F">
        <w:rPr>
          <w:noProof/>
          <w:sz w:val="24"/>
          <w:lang w:val="it-IT"/>
        </w:rPr>
        <w:t>rizio Scala</w:t>
      </w:r>
      <w:r w:rsidR="00516E3F" w:rsidRPr="00516E3F">
        <w:rPr>
          <w:noProof/>
          <w:sz w:val="24"/>
          <w:vertAlign w:val="superscript"/>
          <w:lang w:val="it-IT"/>
        </w:rPr>
        <w:t>b</w:t>
      </w:r>
      <w:r w:rsidR="00516E3F">
        <w:rPr>
          <w:noProof/>
          <w:sz w:val="24"/>
          <w:lang w:val="it-IT"/>
        </w:rPr>
        <w:t>, Piero Salatino</w:t>
      </w:r>
      <w:r w:rsidR="00516E3F" w:rsidRPr="00516E3F">
        <w:rPr>
          <w:noProof/>
          <w:sz w:val="24"/>
          <w:vertAlign w:val="superscript"/>
          <w:lang w:val="it-IT"/>
        </w:rPr>
        <w:t>b</w:t>
      </w:r>
      <w:r w:rsidR="00516E3F">
        <w:rPr>
          <w:noProof/>
          <w:sz w:val="24"/>
          <w:lang w:val="it-IT"/>
        </w:rPr>
        <w:t xml:space="preserve"> </w:t>
      </w:r>
    </w:p>
    <w:p w14:paraId="0554D505" w14:textId="250137A1" w:rsidR="00516E3F" w:rsidRPr="00516E3F" w:rsidRDefault="009E7B80" w:rsidP="00516E3F">
      <w:pPr>
        <w:keepNext/>
        <w:tabs>
          <w:tab w:val="clear" w:pos="7100"/>
        </w:tabs>
        <w:suppressAutoHyphens/>
        <w:spacing w:line="276" w:lineRule="auto"/>
        <w:contextualSpacing/>
        <w:rPr>
          <w:noProof/>
          <w:sz w:val="16"/>
          <w:lang w:val="it-IT"/>
        </w:rPr>
      </w:pPr>
      <w:r w:rsidRPr="009E7B80">
        <w:rPr>
          <w:noProof/>
          <w:sz w:val="16"/>
          <w:vertAlign w:val="superscript"/>
          <w:lang w:val="it-IT"/>
        </w:rPr>
        <w:t>a</w:t>
      </w:r>
      <w:r w:rsidR="00516E3F" w:rsidRPr="00516E3F">
        <w:rPr>
          <w:noProof/>
          <w:sz w:val="16"/>
          <w:lang w:val="it-IT"/>
        </w:rPr>
        <w:t>Istituto di Scienze e Tecnologie per l’Energia e la Mobilità Sostenibili – Consiglio Nazionale delle Ricerche, Piazzale V. Tecchio 80, 80125 Napoli, Italy</w:t>
      </w:r>
    </w:p>
    <w:p w14:paraId="2D93CE3D" w14:textId="70A96F64" w:rsidR="009E7B80" w:rsidRPr="009E7B80" w:rsidRDefault="00516E3F" w:rsidP="00516E3F">
      <w:pPr>
        <w:keepNext/>
        <w:tabs>
          <w:tab w:val="clear" w:pos="7100"/>
        </w:tabs>
        <w:suppressAutoHyphens/>
        <w:spacing w:line="276" w:lineRule="auto"/>
        <w:contextualSpacing/>
        <w:rPr>
          <w:noProof/>
          <w:sz w:val="16"/>
          <w:lang w:val="it-IT"/>
        </w:rPr>
      </w:pPr>
      <w:r w:rsidRPr="00516E3F">
        <w:rPr>
          <w:noProof/>
          <w:sz w:val="16"/>
          <w:vertAlign w:val="superscript"/>
          <w:lang w:val="it-IT"/>
        </w:rPr>
        <w:t>b</w:t>
      </w:r>
      <w:r w:rsidRPr="00516E3F">
        <w:rPr>
          <w:noProof/>
          <w:sz w:val="16"/>
          <w:lang w:val="it-IT"/>
        </w:rPr>
        <w:t>Dipartimento di Ingegneria Chimica, dei Materiali e della Produzione Industriale - Università degli Studi di Napoli Federico II, Piazzale V. Tecchio 80, 80125 Napoli, Italy</w:t>
      </w:r>
    </w:p>
    <w:p w14:paraId="381C8802" w14:textId="77777777" w:rsidR="00516E3F" w:rsidRDefault="009E7B80" w:rsidP="009E7B80">
      <w:pPr>
        <w:pStyle w:val="CETAuthors"/>
        <w:rPr>
          <w:noProof w:val="0"/>
          <w:sz w:val="18"/>
          <w:lang w:val="en-US"/>
        </w:rPr>
      </w:pPr>
      <w:r w:rsidRPr="009E7B80">
        <w:rPr>
          <w:noProof w:val="0"/>
          <w:sz w:val="18"/>
          <w:lang w:val="en-US"/>
        </w:rPr>
        <w:t xml:space="preserve">* </w:t>
      </w:r>
      <w:r w:rsidR="00516E3F">
        <w:rPr>
          <w:noProof w:val="0"/>
          <w:sz w:val="18"/>
          <w:lang w:val="en-US"/>
        </w:rPr>
        <w:t>renata.migliaccio</w:t>
      </w:r>
      <w:r w:rsidRPr="009E7B80">
        <w:rPr>
          <w:noProof w:val="0"/>
          <w:sz w:val="18"/>
          <w:lang w:val="en-US"/>
        </w:rPr>
        <w:t xml:space="preserve">@stems.cnr.it </w:t>
      </w:r>
    </w:p>
    <w:p w14:paraId="757B6850" w14:textId="3CC49AF6" w:rsidR="004A7859" w:rsidRDefault="001F28BA" w:rsidP="004A7859">
      <w:pPr>
        <w:pStyle w:val="CETHeading1"/>
        <w:numPr>
          <w:ilvl w:val="0"/>
          <w:numId w:val="0"/>
        </w:numPr>
        <w:jc w:val="both"/>
        <w:rPr>
          <w:b w:val="0"/>
          <w:sz w:val="18"/>
          <w:lang w:val="en-GB"/>
        </w:rPr>
      </w:pPr>
      <w:r>
        <w:rPr>
          <w:b w:val="0"/>
          <w:sz w:val="18"/>
          <w:lang w:val="en-GB"/>
        </w:rPr>
        <w:t>Crude bio-oil</w:t>
      </w:r>
      <w:r w:rsidRPr="001F28BA">
        <w:rPr>
          <w:b w:val="0"/>
          <w:sz w:val="18"/>
          <w:lang w:val="en-GB"/>
        </w:rPr>
        <w:t xml:space="preserve"> obtained from fast pyrolysis of </w:t>
      </w:r>
      <w:r>
        <w:rPr>
          <w:b w:val="0"/>
          <w:sz w:val="18"/>
          <w:lang w:val="en-GB"/>
        </w:rPr>
        <w:t>biomass and w</w:t>
      </w:r>
      <w:r w:rsidRPr="001F28BA">
        <w:rPr>
          <w:b w:val="0"/>
          <w:sz w:val="18"/>
          <w:lang w:val="en-GB"/>
        </w:rPr>
        <w:t>aste</w:t>
      </w:r>
      <w:r>
        <w:rPr>
          <w:b w:val="0"/>
          <w:sz w:val="18"/>
          <w:lang w:val="en-GB"/>
        </w:rPr>
        <w:t xml:space="preserve">s </w:t>
      </w:r>
      <w:r w:rsidR="004A7859" w:rsidRPr="004A7859">
        <w:rPr>
          <w:b w:val="0"/>
          <w:sz w:val="18"/>
          <w:lang w:val="en-GB"/>
        </w:rPr>
        <w:t xml:space="preserve">is typically characterised by the presence of high levels of oxygenated compounds, </w:t>
      </w:r>
      <w:r w:rsidR="00FE30F3">
        <w:rPr>
          <w:b w:val="0"/>
          <w:sz w:val="18"/>
          <w:lang w:val="en-GB"/>
        </w:rPr>
        <w:t xml:space="preserve">which are </w:t>
      </w:r>
      <w:r w:rsidR="00374361">
        <w:rPr>
          <w:b w:val="0"/>
          <w:sz w:val="18"/>
          <w:lang w:val="en-GB"/>
        </w:rPr>
        <w:t>mainly</w:t>
      </w:r>
      <w:r w:rsidR="00FE30F3">
        <w:rPr>
          <w:b w:val="0"/>
          <w:sz w:val="18"/>
          <w:lang w:val="en-GB"/>
        </w:rPr>
        <w:t xml:space="preserve"> </w:t>
      </w:r>
      <w:r w:rsidR="004A7859" w:rsidRPr="004A7859">
        <w:rPr>
          <w:b w:val="0"/>
          <w:sz w:val="18"/>
          <w:lang w:val="en-GB"/>
        </w:rPr>
        <w:t>responsible for its unfavourable characteristics</w:t>
      </w:r>
      <w:r>
        <w:rPr>
          <w:b w:val="0"/>
          <w:sz w:val="18"/>
          <w:lang w:val="en-GB"/>
        </w:rPr>
        <w:t xml:space="preserve"> </w:t>
      </w:r>
      <w:r w:rsidR="00FE30F3">
        <w:rPr>
          <w:b w:val="0"/>
          <w:sz w:val="18"/>
          <w:lang w:val="en-GB"/>
        </w:rPr>
        <w:t xml:space="preserve">(e.g., low heating value, </w:t>
      </w:r>
      <w:r w:rsidR="00FE30F3" w:rsidRPr="00FE30F3">
        <w:rPr>
          <w:b w:val="0"/>
          <w:sz w:val="18"/>
          <w:lang w:val="en-GB"/>
        </w:rPr>
        <w:t>high acidity</w:t>
      </w:r>
      <w:r w:rsidR="005815BF">
        <w:rPr>
          <w:b w:val="0"/>
          <w:sz w:val="18"/>
          <w:lang w:val="en-GB"/>
        </w:rPr>
        <w:t>,</w:t>
      </w:r>
      <w:r w:rsidR="00FE30F3" w:rsidRPr="00FE30F3">
        <w:rPr>
          <w:b w:val="0"/>
          <w:sz w:val="18"/>
          <w:lang w:val="en-GB"/>
        </w:rPr>
        <w:t xml:space="preserve"> </w:t>
      </w:r>
      <w:r w:rsidR="00FE30F3">
        <w:rPr>
          <w:b w:val="0"/>
          <w:sz w:val="18"/>
          <w:lang w:val="en-GB"/>
        </w:rPr>
        <w:t xml:space="preserve">and </w:t>
      </w:r>
      <w:r w:rsidR="00FE30F3" w:rsidRPr="00FE30F3">
        <w:rPr>
          <w:b w:val="0"/>
          <w:sz w:val="18"/>
          <w:lang w:val="en-GB"/>
        </w:rPr>
        <w:t>poor storage stability</w:t>
      </w:r>
      <w:r w:rsidR="00FE30F3">
        <w:rPr>
          <w:b w:val="0"/>
          <w:sz w:val="18"/>
          <w:lang w:val="en-GB"/>
        </w:rPr>
        <w:t>)</w:t>
      </w:r>
      <w:r w:rsidR="004A7859" w:rsidRPr="004A7859">
        <w:rPr>
          <w:b w:val="0"/>
          <w:sz w:val="18"/>
          <w:lang w:val="en-GB"/>
        </w:rPr>
        <w:t>. In order to overcome this drawback and favourably produce drop-in fuels, the fast</w:t>
      </w:r>
      <w:r w:rsidR="00002677">
        <w:rPr>
          <w:b w:val="0"/>
          <w:sz w:val="18"/>
          <w:lang w:val="en-GB"/>
        </w:rPr>
        <w:t xml:space="preserve"> pyrolysis of olive stone (OS)</w:t>
      </w:r>
      <w:r w:rsidR="00F80C22">
        <w:rPr>
          <w:b w:val="0"/>
          <w:sz w:val="18"/>
          <w:lang w:val="en-GB"/>
        </w:rPr>
        <w:t>,</w:t>
      </w:r>
      <w:r w:rsidR="00F80C22" w:rsidRPr="00F80C22">
        <w:t xml:space="preserve"> </w:t>
      </w:r>
      <w:r w:rsidR="004A7859" w:rsidRPr="004A7859">
        <w:rPr>
          <w:b w:val="0"/>
          <w:sz w:val="18"/>
          <w:lang w:val="en-GB"/>
        </w:rPr>
        <w:t>has been studied by giving particular attention to the exploration of operating conditions (i.e. pyrolysis temperature) and strategies (i.e. catalytic pyrolysis and co-pyrolysis) suitable to promote efficient de-oxygenation of bio-oils and improve the quality of the product streams.</w:t>
      </w:r>
      <w:r w:rsidR="00002677">
        <w:rPr>
          <w:b w:val="0"/>
          <w:sz w:val="18"/>
          <w:lang w:val="en-GB"/>
        </w:rPr>
        <w:t xml:space="preserve"> Steady state </w:t>
      </w:r>
      <w:r w:rsidR="006404CC">
        <w:rPr>
          <w:b w:val="0"/>
          <w:sz w:val="18"/>
          <w:lang w:val="en-GB"/>
        </w:rPr>
        <w:t xml:space="preserve">fast </w:t>
      </w:r>
      <w:r w:rsidR="00002677">
        <w:rPr>
          <w:b w:val="0"/>
          <w:sz w:val="18"/>
          <w:lang w:val="en-GB"/>
        </w:rPr>
        <w:t>pyrolysis tests</w:t>
      </w:r>
      <w:r w:rsidR="004A7859" w:rsidRPr="004A7859">
        <w:rPr>
          <w:b w:val="0"/>
          <w:sz w:val="18"/>
          <w:lang w:val="en-GB"/>
        </w:rPr>
        <w:t xml:space="preserve"> were performed in a be</w:t>
      </w:r>
      <w:r w:rsidR="00441DE9">
        <w:rPr>
          <w:b w:val="0"/>
          <w:sz w:val="18"/>
          <w:lang w:val="en-GB"/>
        </w:rPr>
        <w:t>nch scale fluidized bed reactor</w:t>
      </w:r>
      <w:r w:rsidR="004A7859" w:rsidRPr="004A7859">
        <w:rPr>
          <w:b w:val="0"/>
          <w:sz w:val="18"/>
          <w:lang w:val="en-GB"/>
        </w:rPr>
        <w:t xml:space="preserve"> </w:t>
      </w:r>
      <w:r w:rsidR="00441DE9" w:rsidRPr="00441DE9">
        <w:rPr>
          <w:b w:val="0"/>
          <w:sz w:val="18"/>
          <w:lang w:val="en-GB"/>
        </w:rPr>
        <w:t>(</w:t>
      </w:r>
      <w:r w:rsidR="004A7859" w:rsidRPr="00441DE9">
        <w:rPr>
          <w:b w:val="0"/>
          <w:sz w:val="18"/>
          <w:lang w:val="en-GB"/>
        </w:rPr>
        <w:t>gas residence time ~1s</w:t>
      </w:r>
      <w:r w:rsidR="00441DE9" w:rsidRPr="00441DE9">
        <w:rPr>
          <w:b w:val="0"/>
          <w:sz w:val="18"/>
          <w:lang w:val="en-GB"/>
        </w:rPr>
        <w:t>)</w:t>
      </w:r>
      <w:r w:rsidR="004A7859" w:rsidRPr="00441DE9">
        <w:rPr>
          <w:b w:val="0"/>
          <w:sz w:val="18"/>
          <w:lang w:val="en-GB"/>
        </w:rPr>
        <w:t>.</w:t>
      </w:r>
      <w:r w:rsidR="004A7859" w:rsidRPr="004A7859">
        <w:rPr>
          <w:b w:val="0"/>
          <w:sz w:val="18"/>
          <w:lang w:val="en-GB"/>
        </w:rPr>
        <w:t xml:space="preserve"> </w:t>
      </w:r>
      <w:r w:rsidR="000B2211">
        <w:rPr>
          <w:b w:val="0"/>
          <w:sz w:val="18"/>
          <w:lang w:val="en-GB"/>
        </w:rPr>
        <w:t>P</w:t>
      </w:r>
      <w:r w:rsidR="004A7859" w:rsidRPr="004A7859">
        <w:rPr>
          <w:b w:val="0"/>
          <w:sz w:val="18"/>
          <w:lang w:val="en-GB"/>
        </w:rPr>
        <w:t xml:space="preserve">yrolysis tests </w:t>
      </w:r>
      <w:r w:rsidR="000B2211">
        <w:rPr>
          <w:b w:val="0"/>
          <w:sz w:val="18"/>
          <w:lang w:val="en-GB"/>
        </w:rPr>
        <w:t xml:space="preserve">were </w:t>
      </w:r>
      <w:r w:rsidR="004A7859" w:rsidRPr="004A7859">
        <w:rPr>
          <w:b w:val="0"/>
          <w:sz w:val="18"/>
          <w:lang w:val="en-GB"/>
        </w:rPr>
        <w:t>carried out at 500</w:t>
      </w:r>
      <w:r w:rsidR="00AF07FB">
        <w:rPr>
          <w:b w:val="0"/>
          <w:sz w:val="18"/>
          <w:lang w:val="en-GB"/>
        </w:rPr>
        <w:t> </w:t>
      </w:r>
      <w:r w:rsidR="004A7859" w:rsidRPr="004A7859">
        <w:rPr>
          <w:b w:val="0"/>
          <w:sz w:val="18"/>
          <w:lang w:val="en-GB"/>
        </w:rPr>
        <w:t>°C and 600</w:t>
      </w:r>
      <w:r w:rsidR="00AF07FB">
        <w:rPr>
          <w:b w:val="0"/>
          <w:sz w:val="18"/>
          <w:lang w:val="en-GB"/>
        </w:rPr>
        <w:t> </w:t>
      </w:r>
      <w:r w:rsidR="004A7859" w:rsidRPr="004A7859">
        <w:rPr>
          <w:b w:val="0"/>
          <w:sz w:val="18"/>
          <w:lang w:val="en-GB"/>
        </w:rPr>
        <w:t>°C by using either inert sand or γ-alumina catalyst as bed material. Outcomes from the non-</w:t>
      </w:r>
      <w:r w:rsidR="006A12F6">
        <w:rPr>
          <w:b w:val="0"/>
          <w:sz w:val="18"/>
          <w:lang w:val="en-GB"/>
        </w:rPr>
        <w:t>catalytic</w:t>
      </w:r>
      <w:r w:rsidR="004A7859" w:rsidRPr="004A7859">
        <w:rPr>
          <w:b w:val="0"/>
          <w:sz w:val="18"/>
          <w:lang w:val="en-GB"/>
        </w:rPr>
        <w:t xml:space="preserve"> and the catalytic co-pyrolysis of low-density polyethylene (LDPE) and OS (plastic-to-biomass ratio of 20/80) at two different temperatures (500 and 600</w:t>
      </w:r>
      <w:r w:rsidR="00AF07FB">
        <w:rPr>
          <w:b w:val="0"/>
          <w:sz w:val="18"/>
          <w:lang w:val="en-GB"/>
        </w:rPr>
        <w:t> </w:t>
      </w:r>
      <w:r w:rsidR="004A7859" w:rsidRPr="004A7859">
        <w:rPr>
          <w:b w:val="0"/>
          <w:sz w:val="18"/>
          <w:lang w:val="en-GB"/>
        </w:rPr>
        <w:t xml:space="preserve">°C) are also presented. Preliminary findings highlight </w:t>
      </w:r>
      <w:r w:rsidR="00374361">
        <w:rPr>
          <w:b w:val="0"/>
          <w:sz w:val="18"/>
          <w:lang w:val="en-GB"/>
        </w:rPr>
        <w:t>that</w:t>
      </w:r>
      <w:r w:rsidR="00374361" w:rsidRPr="004A7859">
        <w:rPr>
          <w:b w:val="0"/>
          <w:sz w:val="18"/>
          <w:lang w:val="en-GB"/>
        </w:rPr>
        <w:t xml:space="preserve"> </w:t>
      </w:r>
      <w:r w:rsidR="009D6C3F">
        <w:rPr>
          <w:b w:val="0"/>
          <w:sz w:val="18"/>
          <w:lang w:val="en-GB"/>
        </w:rPr>
        <w:t xml:space="preserve">the </w:t>
      </w:r>
      <w:r w:rsidR="009D6C3F" w:rsidRPr="009D6C3F">
        <w:rPr>
          <w:b w:val="0"/>
          <w:sz w:val="18"/>
          <w:lang w:val="en-GB"/>
        </w:rPr>
        <w:t>co-processing of</w:t>
      </w:r>
      <w:r w:rsidR="009D6C3F">
        <w:rPr>
          <w:b w:val="0"/>
          <w:sz w:val="18"/>
          <w:lang w:val="en-GB"/>
        </w:rPr>
        <w:t xml:space="preserve"> </w:t>
      </w:r>
      <w:r w:rsidR="004A7859" w:rsidRPr="004A7859">
        <w:rPr>
          <w:b w:val="0"/>
          <w:sz w:val="18"/>
          <w:lang w:val="en-GB"/>
        </w:rPr>
        <w:t xml:space="preserve">LDPE </w:t>
      </w:r>
      <w:r w:rsidR="009D6C3F">
        <w:rPr>
          <w:b w:val="0"/>
          <w:sz w:val="18"/>
          <w:lang w:val="en-GB"/>
        </w:rPr>
        <w:t>and</w:t>
      </w:r>
      <w:r w:rsidR="004A7859" w:rsidRPr="004A7859">
        <w:rPr>
          <w:b w:val="0"/>
          <w:sz w:val="18"/>
          <w:lang w:val="en-GB"/>
        </w:rPr>
        <w:t xml:space="preserve"> OS under non-catalytic conditions </w:t>
      </w:r>
      <w:r w:rsidR="009D6C3F" w:rsidRPr="009D6C3F">
        <w:rPr>
          <w:b w:val="0"/>
          <w:sz w:val="18"/>
          <w:lang w:val="en-GB"/>
        </w:rPr>
        <w:t xml:space="preserve">stands out for the </w:t>
      </w:r>
      <w:r w:rsidR="004A7859" w:rsidRPr="004A7859">
        <w:rPr>
          <w:b w:val="0"/>
          <w:sz w:val="18"/>
          <w:lang w:val="en-GB"/>
        </w:rPr>
        <w:t xml:space="preserve">formation of </w:t>
      </w:r>
      <w:r w:rsidR="005815BF">
        <w:rPr>
          <w:b w:val="0"/>
          <w:sz w:val="18"/>
          <w:lang w:val="en-GB"/>
        </w:rPr>
        <w:t>long-chain</w:t>
      </w:r>
      <w:r w:rsidR="004A7859" w:rsidRPr="004A7859">
        <w:rPr>
          <w:b w:val="0"/>
          <w:sz w:val="18"/>
          <w:lang w:val="en-GB"/>
        </w:rPr>
        <w:t xml:space="preserve"> aliphatic hydrocarbons</w:t>
      </w:r>
      <w:r w:rsidR="009F3B01">
        <w:rPr>
          <w:b w:val="0"/>
          <w:sz w:val="18"/>
          <w:lang w:val="en-GB"/>
        </w:rPr>
        <w:t xml:space="preserve"> </w:t>
      </w:r>
      <w:r w:rsidR="00374361">
        <w:rPr>
          <w:b w:val="0"/>
          <w:sz w:val="18"/>
          <w:lang w:val="en-GB"/>
        </w:rPr>
        <w:t>in the form of both</w:t>
      </w:r>
      <w:r w:rsidR="00301F75">
        <w:rPr>
          <w:b w:val="0"/>
          <w:sz w:val="18"/>
          <w:lang w:val="en-GB"/>
        </w:rPr>
        <w:t xml:space="preserve"> </w:t>
      </w:r>
      <w:r w:rsidR="00374361" w:rsidRPr="00374361">
        <w:rPr>
          <w:b w:val="0"/>
          <w:sz w:val="18"/>
          <w:lang w:val="en-GB"/>
        </w:rPr>
        <w:t xml:space="preserve">liquid paraffins </w:t>
      </w:r>
      <w:r w:rsidR="00301F75">
        <w:rPr>
          <w:b w:val="0"/>
          <w:sz w:val="18"/>
          <w:lang w:val="en-GB"/>
        </w:rPr>
        <w:t xml:space="preserve">and </w:t>
      </w:r>
      <w:r w:rsidR="00374361" w:rsidRPr="00301F75">
        <w:rPr>
          <w:b w:val="0"/>
          <w:sz w:val="18"/>
          <w:lang w:val="en-GB"/>
        </w:rPr>
        <w:t>wax</w:t>
      </w:r>
      <w:r w:rsidR="00301F75">
        <w:rPr>
          <w:b w:val="0"/>
          <w:sz w:val="18"/>
          <w:lang w:val="en-GB"/>
        </w:rPr>
        <w:t xml:space="preserve"> deposits, which are </w:t>
      </w:r>
      <w:r w:rsidR="009D6C3F">
        <w:rPr>
          <w:b w:val="0"/>
          <w:sz w:val="18"/>
          <w:lang w:val="en-GB"/>
        </w:rPr>
        <w:t>well-</w:t>
      </w:r>
      <w:r w:rsidR="00374361">
        <w:rPr>
          <w:b w:val="0"/>
          <w:sz w:val="18"/>
          <w:lang w:val="en-GB"/>
        </w:rPr>
        <w:t xml:space="preserve">known to be </w:t>
      </w:r>
      <w:r w:rsidR="00301F75">
        <w:rPr>
          <w:b w:val="0"/>
          <w:sz w:val="18"/>
          <w:lang w:val="en-GB"/>
        </w:rPr>
        <w:t>the</w:t>
      </w:r>
      <w:r w:rsidR="004A7859" w:rsidRPr="004A7859">
        <w:rPr>
          <w:b w:val="0"/>
          <w:sz w:val="18"/>
          <w:lang w:val="en-GB"/>
        </w:rPr>
        <w:t xml:space="preserve"> </w:t>
      </w:r>
      <w:r w:rsidR="00301F75" w:rsidRPr="00301F75">
        <w:rPr>
          <w:b w:val="0"/>
          <w:sz w:val="18"/>
          <w:lang w:val="en-GB"/>
        </w:rPr>
        <w:t>primary product</w:t>
      </w:r>
      <w:r w:rsidR="009D6C3F">
        <w:rPr>
          <w:b w:val="0"/>
          <w:sz w:val="18"/>
          <w:lang w:val="en-GB"/>
        </w:rPr>
        <w:t>s</w:t>
      </w:r>
      <w:r w:rsidR="00301F75" w:rsidRPr="00301F75">
        <w:rPr>
          <w:b w:val="0"/>
          <w:sz w:val="18"/>
          <w:lang w:val="en-GB"/>
        </w:rPr>
        <w:t xml:space="preserve"> evolved from the p</w:t>
      </w:r>
      <w:r w:rsidR="00374361">
        <w:rPr>
          <w:b w:val="0"/>
          <w:sz w:val="18"/>
          <w:lang w:val="en-GB"/>
        </w:rPr>
        <w:t>yrolysis of polyolefin</w:t>
      </w:r>
      <w:r w:rsidR="00E13866">
        <w:rPr>
          <w:b w:val="0"/>
          <w:sz w:val="18"/>
          <w:lang w:val="en-GB"/>
        </w:rPr>
        <w:t>s</w:t>
      </w:r>
      <w:r w:rsidR="004A7859" w:rsidRPr="004A7859">
        <w:rPr>
          <w:b w:val="0"/>
          <w:sz w:val="18"/>
          <w:lang w:val="en-GB"/>
        </w:rPr>
        <w:t xml:space="preserve">. </w:t>
      </w:r>
      <w:r w:rsidR="005815BF">
        <w:rPr>
          <w:b w:val="0"/>
          <w:sz w:val="18"/>
          <w:lang w:val="en-GB"/>
        </w:rPr>
        <w:t>The addition</w:t>
      </w:r>
      <w:r w:rsidR="009D6C3F">
        <w:rPr>
          <w:b w:val="0"/>
          <w:sz w:val="18"/>
          <w:lang w:val="en-GB"/>
        </w:rPr>
        <w:t xml:space="preserve"> of </w:t>
      </w:r>
      <w:r w:rsidR="004A7859" w:rsidRPr="004A7859">
        <w:rPr>
          <w:b w:val="0"/>
          <w:sz w:val="18"/>
          <w:lang w:val="en-GB"/>
        </w:rPr>
        <w:t>γ-alumina catalyst</w:t>
      </w:r>
      <w:r w:rsidR="00DD4AD9">
        <w:rPr>
          <w:b w:val="0"/>
          <w:sz w:val="18"/>
          <w:lang w:val="en-GB"/>
        </w:rPr>
        <w:t xml:space="preserve"> </w:t>
      </w:r>
      <w:r w:rsidR="004A7859" w:rsidRPr="004A7859">
        <w:rPr>
          <w:b w:val="0"/>
          <w:sz w:val="18"/>
          <w:lang w:val="en-GB"/>
        </w:rPr>
        <w:t>significantly affects both the distribution and the quality of the pyrolytic products</w:t>
      </w:r>
      <w:r w:rsidR="004774B3">
        <w:rPr>
          <w:b w:val="0"/>
          <w:sz w:val="18"/>
          <w:lang w:val="en-GB"/>
        </w:rPr>
        <w:t xml:space="preserve"> (char, bio-oils</w:t>
      </w:r>
      <w:r w:rsidR="005815BF">
        <w:rPr>
          <w:b w:val="0"/>
          <w:sz w:val="18"/>
          <w:lang w:val="en-GB"/>
        </w:rPr>
        <w:t>,</w:t>
      </w:r>
      <w:r w:rsidR="004774B3">
        <w:rPr>
          <w:b w:val="0"/>
          <w:sz w:val="18"/>
          <w:lang w:val="en-GB"/>
        </w:rPr>
        <w:t xml:space="preserve"> and gas)</w:t>
      </w:r>
      <w:r w:rsidR="004A7859" w:rsidRPr="004A7859">
        <w:rPr>
          <w:b w:val="0"/>
          <w:sz w:val="18"/>
          <w:lang w:val="en-GB"/>
        </w:rPr>
        <w:t xml:space="preserve">. </w:t>
      </w:r>
      <w:r w:rsidR="00F7618F">
        <w:rPr>
          <w:b w:val="0"/>
          <w:sz w:val="18"/>
          <w:lang w:val="en-GB"/>
        </w:rPr>
        <w:t>Under c</w:t>
      </w:r>
      <w:r w:rsidR="00FD6ED7" w:rsidRPr="00FD6ED7">
        <w:rPr>
          <w:b w:val="0"/>
          <w:sz w:val="18"/>
          <w:lang w:val="en-GB"/>
        </w:rPr>
        <w:t>atalytic co-pyrolysis</w:t>
      </w:r>
      <w:r w:rsidR="00F7618F">
        <w:rPr>
          <w:b w:val="0"/>
          <w:sz w:val="18"/>
          <w:lang w:val="en-GB"/>
        </w:rPr>
        <w:t xml:space="preserve"> conditions</w:t>
      </w:r>
      <w:r w:rsidR="005815BF">
        <w:rPr>
          <w:b w:val="0"/>
          <w:sz w:val="18"/>
          <w:lang w:val="en-GB"/>
        </w:rPr>
        <w:t>,</w:t>
      </w:r>
      <w:r w:rsidR="00F7618F">
        <w:rPr>
          <w:b w:val="0"/>
          <w:sz w:val="18"/>
          <w:lang w:val="en-GB"/>
        </w:rPr>
        <w:t xml:space="preserve"> a </w:t>
      </w:r>
      <w:r w:rsidR="004A7859" w:rsidRPr="004A7859">
        <w:rPr>
          <w:b w:val="0"/>
          <w:sz w:val="18"/>
          <w:lang w:val="en-GB"/>
        </w:rPr>
        <w:t>marked reduction in the yield of bio-liquid</w:t>
      </w:r>
      <w:r w:rsidR="00F7618F">
        <w:rPr>
          <w:b w:val="0"/>
          <w:sz w:val="18"/>
          <w:lang w:val="en-GB"/>
        </w:rPr>
        <w:t xml:space="preserve"> is observed, compensated by a remarkable </w:t>
      </w:r>
      <w:r w:rsidR="004A7859" w:rsidRPr="004A7859">
        <w:rPr>
          <w:b w:val="0"/>
          <w:sz w:val="18"/>
          <w:lang w:val="en-GB"/>
        </w:rPr>
        <w:t>improvement in its quality, particularly in terms of the forma</w:t>
      </w:r>
      <w:r w:rsidR="00A81DBE">
        <w:rPr>
          <w:b w:val="0"/>
          <w:sz w:val="18"/>
          <w:lang w:val="en-GB"/>
        </w:rPr>
        <w:t xml:space="preserve">tion of </w:t>
      </w:r>
      <w:r w:rsidR="00F7618F">
        <w:rPr>
          <w:b w:val="0"/>
          <w:sz w:val="18"/>
          <w:lang w:val="en-GB"/>
        </w:rPr>
        <w:t xml:space="preserve">light </w:t>
      </w:r>
      <w:r w:rsidR="00A81DBE">
        <w:rPr>
          <w:b w:val="0"/>
          <w:sz w:val="18"/>
          <w:lang w:val="en-GB"/>
        </w:rPr>
        <w:t>mono-aromatics</w:t>
      </w:r>
      <w:r w:rsidR="004A7859" w:rsidRPr="004A7859">
        <w:rPr>
          <w:b w:val="0"/>
          <w:sz w:val="18"/>
          <w:lang w:val="en-GB"/>
        </w:rPr>
        <w:t xml:space="preserve"> and </w:t>
      </w:r>
      <w:r w:rsidR="005815BF">
        <w:rPr>
          <w:b w:val="0"/>
          <w:sz w:val="18"/>
          <w:lang w:val="en-GB"/>
        </w:rPr>
        <w:t xml:space="preserve">a </w:t>
      </w:r>
      <w:r w:rsidR="004A7859" w:rsidRPr="00390907">
        <w:rPr>
          <w:b w:val="0"/>
          <w:sz w:val="18"/>
          <w:lang w:val="en-GB"/>
        </w:rPr>
        <w:t>marked decrease in the total amou</w:t>
      </w:r>
      <w:r w:rsidR="00B53879" w:rsidRPr="00390907">
        <w:rPr>
          <w:b w:val="0"/>
          <w:sz w:val="18"/>
          <w:lang w:val="en-GB"/>
        </w:rPr>
        <w:t>nt of the oxygenated compounds</w:t>
      </w:r>
      <w:r w:rsidR="004A7859" w:rsidRPr="00390907">
        <w:rPr>
          <w:b w:val="0"/>
          <w:sz w:val="18"/>
          <w:lang w:val="en-GB"/>
        </w:rPr>
        <w:t>. On</w:t>
      </w:r>
      <w:r w:rsidR="004A7859" w:rsidRPr="004A7859">
        <w:rPr>
          <w:b w:val="0"/>
          <w:sz w:val="18"/>
          <w:lang w:val="en-GB"/>
        </w:rPr>
        <w:t xml:space="preserve"> the downside, however, a significant increase in the production of polycyclic aromatic hydrocarbons (PAHs) is detected.</w:t>
      </w:r>
      <w:r w:rsidR="007B1CE1">
        <w:rPr>
          <w:b w:val="0"/>
          <w:sz w:val="18"/>
          <w:lang w:val="en-GB"/>
        </w:rPr>
        <w:t xml:space="preserve"> </w:t>
      </w:r>
      <w:r w:rsidR="003E5858">
        <w:rPr>
          <w:b w:val="0"/>
          <w:sz w:val="18"/>
          <w:lang w:val="en-GB"/>
        </w:rPr>
        <w:t>R</w:t>
      </w:r>
      <w:r w:rsidR="003E5858" w:rsidRPr="003E5858">
        <w:rPr>
          <w:b w:val="0"/>
          <w:sz w:val="18"/>
          <w:lang w:val="en-GB"/>
        </w:rPr>
        <w:t>emarkable</w:t>
      </w:r>
      <w:r w:rsidR="004A7859" w:rsidRPr="004A7859">
        <w:rPr>
          <w:b w:val="0"/>
          <w:sz w:val="18"/>
          <w:lang w:val="en-GB"/>
        </w:rPr>
        <w:t xml:space="preserve"> benefits are also detected by increasing the co-pyrolysis temperature to 600 °C, particularly in terms of content of oxygenated compounds in the bio-oils, as well as in terms of </w:t>
      </w:r>
      <w:r w:rsidR="00A81DBE">
        <w:rPr>
          <w:b w:val="0"/>
          <w:sz w:val="18"/>
          <w:lang w:val="en-GB"/>
        </w:rPr>
        <w:t xml:space="preserve">PAHs and </w:t>
      </w:r>
      <w:r w:rsidR="004A7859" w:rsidRPr="004A7859">
        <w:rPr>
          <w:b w:val="0"/>
          <w:sz w:val="18"/>
          <w:lang w:val="en-GB"/>
        </w:rPr>
        <w:t xml:space="preserve">water formation, which decreased considerably. Altogether, preliminary findings of this study suggest that further research efforts are required in order to </w:t>
      </w:r>
      <w:r w:rsidR="007B1CE1">
        <w:rPr>
          <w:b w:val="0"/>
          <w:sz w:val="18"/>
          <w:lang w:val="en-GB"/>
        </w:rPr>
        <w:t xml:space="preserve">improve the process performance, for example by </w:t>
      </w:r>
      <w:r w:rsidR="004A7859" w:rsidRPr="004A7859">
        <w:rPr>
          <w:b w:val="0"/>
          <w:sz w:val="18"/>
          <w:lang w:val="en-GB"/>
        </w:rPr>
        <w:t>optimiz</w:t>
      </w:r>
      <w:r w:rsidR="007B1CE1">
        <w:rPr>
          <w:b w:val="0"/>
          <w:sz w:val="18"/>
          <w:lang w:val="en-GB"/>
        </w:rPr>
        <w:t xml:space="preserve">ing the </w:t>
      </w:r>
      <w:r w:rsidR="004A7859" w:rsidRPr="004A7859">
        <w:rPr>
          <w:b w:val="0"/>
          <w:sz w:val="18"/>
          <w:lang w:val="en-GB"/>
        </w:rPr>
        <w:t>operating conditions as well as the physicochemical properties of catalysts</w:t>
      </w:r>
      <w:r w:rsidR="000E6D3D" w:rsidRPr="000E6D3D">
        <w:rPr>
          <w:b w:val="0"/>
          <w:sz w:val="18"/>
          <w:lang w:val="en-GB"/>
        </w:rPr>
        <w:t>.</w:t>
      </w:r>
    </w:p>
    <w:p w14:paraId="1256F579" w14:textId="77777777" w:rsidR="00E13866" w:rsidRPr="00E13866" w:rsidRDefault="00E13866" w:rsidP="00E13866">
      <w:pPr>
        <w:pStyle w:val="CETBodytext"/>
        <w:rPr>
          <w:lang w:val="en-GB"/>
        </w:rPr>
      </w:pPr>
    </w:p>
    <w:p w14:paraId="693BEBD9" w14:textId="3C993F51" w:rsidR="001F28BA" w:rsidRPr="00E13866" w:rsidRDefault="00600535" w:rsidP="000E6D3D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0C5E0D76" w14:textId="282BA9DB" w:rsidR="00894045" w:rsidRDefault="001F28BA" w:rsidP="00894045">
      <w:pPr>
        <w:pStyle w:val="CETListbullets"/>
        <w:ind w:left="0" w:firstLine="0"/>
      </w:pPr>
      <w:r w:rsidRPr="00FD6ED7">
        <w:t xml:space="preserve">The rapid increase </w:t>
      </w:r>
      <w:r w:rsidRPr="0041019D">
        <w:t>in waste</w:t>
      </w:r>
      <w:r w:rsidRPr="00FD6ED7">
        <w:t xml:space="preserve"> production </w:t>
      </w:r>
      <w:r w:rsidRPr="0041019D">
        <w:t>coupled</w:t>
      </w:r>
      <w:r w:rsidRPr="00FD6ED7">
        <w:t xml:space="preserve"> with the continuous growth in demand for </w:t>
      </w:r>
      <w:r w:rsidR="00087878">
        <w:t xml:space="preserve">sustainable </w:t>
      </w:r>
      <w:r w:rsidRPr="00FD6ED7">
        <w:t xml:space="preserve">carbon-based fuels and chemicals has </w:t>
      </w:r>
      <w:r w:rsidRPr="0041019D">
        <w:t xml:space="preserve">fostered </w:t>
      </w:r>
      <w:r w:rsidRPr="00FD6ED7">
        <w:t xml:space="preserve">renewed interest </w:t>
      </w:r>
      <w:r w:rsidRPr="0041019D">
        <w:t>in</w:t>
      </w:r>
      <w:r w:rsidRPr="00FD6ED7">
        <w:t xml:space="preserve"> resources recovery through waste processing</w:t>
      </w:r>
      <w:r w:rsidR="00AB51FC">
        <w:t xml:space="preserve"> (</w:t>
      </w:r>
      <w:r w:rsidR="00AB51FC" w:rsidRPr="00AB51FC">
        <w:t>Uzoejinwa</w:t>
      </w:r>
      <w:r w:rsidR="00AB51FC">
        <w:t xml:space="preserve"> et al, 2018)</w:t>
      </w:r>
      <w:r w:rsidRPr="00FD6ED7">
        <w:t xml:space="preserve">. </w:t>
      </w:r>
      <w:r w:rsidR="00FD6ED7" w:rsidRPr="00846E19">
        <w:t xml:space="preserve">In this context, </w:t>
      </w:r>
      <w:r w:rsidR="00FD6ED7">
        <w:t>r</w:t>
      </w:r>
      <w:r w:rsidRPr="00FD6ED7">
        <w:t>esidual biomass</w:t>
      </w:r>
      <w:r w:rsidRPr="0041019D">
        <w:t xml:space="preserve"> as</w:t>
      </w:r>
      <w:r w:rsidRPr="00FD6ED7">
        <w:t xml:space="preserve"> a renewable resource</w:t>
      </w:r>
      <w:r w:rsidRPr="0041019D">
        <w:t xml:space="preserve"> </w:t>
      </w:r>
      <w:r w:rsidRPr="00FD6ED7">
        <w:t xml:space="preserve">is expected to play a central role in the </w:t>
      </w:r>
      <w:r w:rsidR="00087878">
        <w:t>decarbonization path</w:t>
      </w:r>
      <w:r w:rsidRPr="00FD6ED7">
        <w:t>, in line with sustainab</w:t>
      </w:r>
      <w:r w:rsidR="00087878">
        <w:t>ility goals</w:t>
      </w:r>
      <w:r w:rsidR="00AB51FC" w:rsidRPr="00AB51FC">
        <w:t xml:space="preserve"> </w:t>
      </w:r>
      <w:r w:rsidR="00AB51FC">
        <w:t>(</w:t>
      </w:r>
      <w:r w:rsidR="00AB51FC" w:rsidRPr="00AB51FC">
        <w:t>Hassan</w:t>
      </w:r>
      <w:r w:rsidR="00AB51FC">
        <w:t xml:space="preserve"> </w:t>
      </w:r>
      <w:r w:rsidR="005B35DA">
        <w:t>S. S.</w:t>
      </w:r>
      <w:r w:rsidR="00AB51FC">
        <w:t>et al., 2019)</w:t>
      </w:r>
      <w:r w:rsidRPr="00FD6ED7">
        <w:t xml:space="preserve">. Among the </w:t>
      </w:r>
      <w:r w:rsidRPr="0041019D">
        <w:t xml:space="preserve">currently available </w:t>
      </w:r>
      <w:r w:rsidRPr="00FD6ED7">
        <w:t xml:space="preserve">thermochemical conversion processes, fast pyrolysis </w:t>
      </w:r>
      <w:r w:rsidRPr="0041019D">
        <w:t>offers</w:t>
      </w:r>
      <w:r w:rsidRPr="00FD6ED7">
        <w:t xml:space="preserve"> a suitable option for the production of liquid fuels (bio-oils) and chemicals as well as energy from biomass</w:t>
      </w:r>
      <w:r w:rsidR="00AB51FC">
        <w:t xml:space="preserve"> (Huber et al., 2006). </w:t>
      </w:r>
      <w:r w:rsidR="00FD6ED7" w:rsidRPr="00FD6ED7">
        <w:t>On the downside</w:t>
      </w:r>
      <w:r w:rsidR="00FD6ED7">
        <w:t>, however, t</w:t>
      </w:r>
      <w:r w:rsidR="00846E19">
        <w:t>he</w:t>
      </w:r>
      <w:r w:rsidR="000E6D3D">
        <w:t xml:space="preserve"> bio-crude recovered from biomass </w:t>
      </w:r>
      <w:r w:rsidR="005815BF">
        <w:t>valorization</w:t>
      </w:r>
      <w:r w:rsidR="000E6D3D">
        <w:t xml:space="preserve"> is </w:t>
      </w:r>
      <w:r w:rsidR="00087878">
        <w:t>of</w:t>
      </w:r>
      <w:r w:rsidR="00C93771">
        <w:t xml:space="preserve"> </w:t>
      </w:r>
      <w:r w:rsidR="00C93771" w:rsidRPr="00C93771">
        <w:t>poor quality</w:t>
      </w:r>
      <w:r w:rsidR="00087878">
        <w:t xml:space="preserve">, due to </w:t>
      </w:r>
      <w:r w:rsidR="003558C4" w:rsidRPr="00A804DC">
        <w:t xml:space="preserve">high acidity, low thermal stability, low calorific value, high viscosity, </w:t>
      </w:r>
      <w:r w:rsidR="00087878">
        <w:t>mostly related to large</w:t>
      </w:r>
      <w:r w:rsidR="000E6D3D">
        <w:t xml:space="preserve"> oxygen </w:t>
      </w:r>
      <w:r w:rsidR="00087878">
        <w:t xml:space="preserve">content </w:t>
      </w:r>
      <w:r w:rsidR="000E6D3D">
        <w:t>in the form of acids, ketones, alcohols</w:t>
      </w:r>
      <w:r w:rsidR="005815BF">
        <w:t>,</w:t>
      </w:r>
      <w:r w:rsidR="000E6D3D">
        <w:t xml:space="preserve"> and aldehydes, which are mainly responsible for </w:t>
      </w:r>
      <w:r w:rsidR="003558C4">
        <w:t xml:space="preserve">its </w:t>
      </w:r>
      <w:r w:rsidR="00514DB8">
        <w:t>unfavorable</w:t>
      </w:r>
      <w:r w:rsidR="000E6D3D">
        <w:t xml:space="preserve"> characteristics</w:t>
      </w:r>
      <w:r w:rsidR="00AB51FC">
        <w:t xml:space="preserve"> (</w:t>
      </w:r>
      <w:r w:rsidR="00AB51FC" w:rsidRPr="00AB51FC">
        <w:t>Agblevor</w:t>
      </w:r>
      <w:r w:rsidR="00AB51FC">
        <w:t xml:space="preserve"> et al., 2016).</w:t>
      </w:r>
      <w:r w:rsidR="000E6D3D">
        <w:t xml:space="preserve"> </w:t>
      </w:r>
      <w:r w:rsidR="00B9476E">
        <w:t>Accordingly</w:t>
      </w:r>
      <w:r w:rsidR="000E6D3D">
        <w:t xml:space="preserve">, </w:t>
      </w:r>
      <w:r w:rsidR="00B9476E">
        <w:t>s</w:t>
      </w:r>
      <w:r w:rsidR="00B9476E" w:rsidRPr="00B9476E">
        <w:t>ignificant research efforts</w:t>
      </w:r>
      <w:r w:rsidR="008204F9" w:rsidRPr="008204F9">
        <w:t xml:space="preserve"> have been </w:t>
      </w:r>
      <w:r w:rsidR="00B9476E">
        <w:t>conducted</w:t>
      </w:r>
      <w:r w:rsidR="00087878">
        <w:t xml:space="preserve"> over the past decades</w:t>
      </w:r>
      <w:r w:rsidR="00811612">
        <w:t>,</w:t>
      </w:r>
      <w:r w:rsidR="008204F9" w:rsidRPr="008204F9">
        <w:t xml:space="preserve"> </w:t>
      </w:r>
      <w:r w:rsidR="00811612">
        <w:t>pursuing the</w:t>
      </w:r>
      <w:r w:rsidR="00B9476E" w:rsidRPr="00B9476E">
        <w:t xml:space="preserve"> </w:t>
      </w:r>
      <w:r w:rsidR="00811612" w:rsidRPr="00B9476E">
        <w:t>o</w:t>
      </w:r>
      <w:r w:rsidR="00811612">
        <w:t>bjective</w:t>
      </w:r>
      <w:r w:rsidR="00B9476E" w:rsidRPr="00B9476E">
        <w:t xml:space="preserve"> </w:t>
      </w:r>
      <w:r w:rsidR="00811612">
        <w:t>of</w:t>
      </w:r>
      <w:r w:rsidR="008204F9" w:rsidRPr="008204F9">
        <w:t xml:space="preserve"> </w:t>
      </w:r>
      <w:r w:rsidR="00B9476E">
        <w:lastRenderedPageBreak/>
        <w:t xml:space="preserve">finding </w:t>
      </w:r>
      <w:r w:rsidR="008204F9" w:rsidRPr="008204F9">
        <w:t xml:space="preserve">operating conditions (i.e., pyrolysis temperature) and strategies (i.e., catalytic pyrolysis and co-pyrolysis) </w:t>
      </w:r>
      <w:r w:rsidR="00B9476E">
        <w:t>suitable</w:t>
      </w:r>
      <w:r w:rsidR="00B9476E" w:rsidRPr="008204F9">
        <w:t xml:space="preserve"> </w:t>
      </w:r>
      <w:r w:rsidR="008204F9" w:rsidRPr="008204F9">
        <w:t xml:space="preserve">to produce fuels and chemicals </w:t>
      </w:r>
      <w:r w:rsidR="00B9476E">
        <w:t>that are functionally equivalent to petroleum fuels</w:t>
      </w:r>
      <w:r w:rsidR="00087878">
        <w:t xml:space="preserve">, </w:t>
      </w:r>
      <w:r w:rsidR="00811612">
        <w:t>hence</w:t>
      </w:r>
      <w:r w:rsidR="00B9476E">
        <w:t xml:space="preserve"> fully compatible with existing petroleum infrastructure</w:t>
      </w:r>
      <w:r w:rsidR="00B9476E" w:rsidRPr="008204F9" w:rsidDel="00B9476E">
        <w:t xml:space="preserve"> </w:t>
      </w:r>
      <w:r w:rsidR="00AB51FC">
        <w:t>(</w:t>
      </w:r>
      <w:r w:rsidR="00AB51FC" w:rsidRPr="00AB51FC">
        <w:t>Agblevor</w:t>
      </w:r>
      <w:r w:rsidR="00AB51FC">
        <w:t xml:space="preserve"> et al., 2010). </w:t>
      </w:r>
      <w:r w:rsidR="000E6D3D">
        <w:t xml:space="preserve">Catalytic pyrolysis </w:t>
      </w:r>
      <w:r w:rsidR="00A61844" w:rsidRPr="00811612">
        <w:t>relies</w:t>
      </w:r>
      <w:r w:rsidR="00811612" w:rsidRPr="00811612">
        <w:t xml:space="preserve"> on use</w:t>
      </w:r>
      <w:r w:rsidR="000E6D3D">
        <w:t xml:space="preserve"> </w:t>
      </w:r>
      <w:r w:rsidR="00811612">
        <w:t xml:space="preserve">of different </w:t>
      </w:r>
      <w:r w:rsidR="000E6D3D">
        <w:t>catalytic materials (</w:t>
      </w:r>
      <w:r w:rsidR="003E5858">
        <w:t>i.e.,</w:t>
      </w:r>
      <w:r w:rsidR="000E6D3D">
        <w:t xml:space="preserve"> </w:t>
      </w:r>
      <w:r w:rsidR="009E2E61">
        <w:t>γ-alumina, zeolites, metal oxides</w:t>
      </w:r>
      <w:r w:rsidR="005815BF">
        <w:t>,</w:t>
      </w:r>
      <w:r w:rsidR="009E2E61">
        <w:t xml:space="preserve"> etc</w:t>
      </w:r>
      <w:r w:rsidR="000E6D3D">
        <w:t xml:space="preserve">.) </w:t>
      </w:r>
      <w:r w:rsidR="00811612">
        <w:t>and</w:t>
      </w:r>
      <w:r w:rsidR="000E6D3D">
        <w:t xml:space="preserve"> reactor configurations (i.e., in-situ vs. ex-situ) </w:t>
      </w:r>
      <w:r w:rsidR="0048222F" w:rsidRPr="0048222F">
        <w:t>to upgrade the quality of bio-</w:t>
      </w:r>
      <w:r w:rsidR="0048222F" w:rsidRPr="00390907">
        <w:t>oil</w:t>
      </w:r>
      <w:r w:rsidR="000E6D3D" w:rsidRPr="00390907">
        <w:t>.</w:t>
      </w:r>
      <w:r w:rsidR="000E6D3D">
        <w:t xml:space="preserve"> </w:t>
      </w:r>
      <w:r w:rsidR="00C93771" w:rsidRPr="0041019D">
        <w:t>The presence</w:t>
      </w:r>
      <w:r w:rsidR="003558C4" w:rsidRPr="003558C4">
        <w:t xml:space="preserve"> of</w:t>
      </w:r>
      <w:r w:rsidR="00C93771" w:rsidRPr="0041019D">
        <w:t xml:space="preserve"> catalyst promotes dehydration, decarboxylation, decarbonylation reactions, which consequently improves the quality of bio-oil</w:t>
      </w:r>
      <w:r w:rsidR="00AB51FC">
        <w:t xml:space="preserve"> (</w:t>
      </w:r>
      <w:r w:rsidR="00AB51FC" w:rsidRPr="00AB51FC">
        <w:t>Xue and Bai</w:t>
      </w:r>
      <w:r w:rsidR="00AB51FC">
        <w:t xml:space="preserve">, </w:t>
      </w:r>
      <w:r w:rsidR="00D629BC">
        <w:t>2018</w:t>
      </w:r>
      <w:r w:rsidR="00AB51FC">
        <w:t>)</w:t>
      </w:r>
      <w:r w:rsidR="00C93771">
        <w:t>.</w:t>
      </w:r>
      <w:r w:rsidR="00A02025">
        <w:t xml:space="preserve"> </w:t>
      </w:r>
      <w:r w:rsidR="003E5858" w:rsidRPr="002A4F10">
        <w:t xml:space="preserve">The success </w:t>
      </w:r>
      <w:r w:rsidR="000E6D3D" w:rsidRPr="002A4F10">
        <w:t xml:space="preserve">of catalytic pyrolysis </w:t>
      </w:r>
      <w:r w:rsidR="0048222F">
        <w:t>is</w:t>
      </w:r>
      <w:r w:rsidR="00263FD8">
        <w:t xml:space="preserve">, </w:t>
      </w:r>
      <w:r w:rsidR="0048222F">
        <w:t xml:space="preserve">however, </w:t>
      </w:r>
      <w:r w:rsidR="00263FD8" w:rsidRPr="00263FD8">
        <w:t>partly</w:t>
      </w:r>
      <w:r w:rsidR="00263FD8">
        <w:t xml:space="preserve"> </w:t>
      </w:r>
      <w:r w:rsidR="000E6D3D" w:rsidRPr="002A4F10">
        <w:t xml:space="preserve">hampered by </w:t>
      </w:r>
      <w:r w:rsidR="009B1E30">
        <w:t xml:space="preserve">the </w:t>
      </w:r>
      <w:r w:rsidR="000E6D3D" w:rsidRPr="002A4F10">
        <w:t xml:space="preserve">intrinsic </w:t>
      </w:r>
      <w:r w:rsidR="0048222F" w:rsidRPr="002A4F10">
        <w:t xml:space="preserve">biomass </w:t>
      </w:r>
      <w:r w:rsidR="000E6D3D" w:rsidRPr="002A4F10">
        <w:t>properties</w:t>
      </w:r>
      <w:r w:rsidR="009B1E30">
        <w:t>,</w:t>
      </w:r>
      <w:r w:rsidR="000E6D3D" w:rsidRPr="002A4F10">
        <w:t xml:space="preserve"> </w:t>
      </w:r>
      <w:r w:rsidR="00263FD8">
        <w:t>in particular</w:t>
      </w:r>
      <w:r w:rsidR="000E6D3D" w:rsidRPr="002A4F10">
        <w:t xml:space="preserve"> </w:t>
      </w:r>
      <w:r w:rsidR="0048222F">
        <w:t xml:space="preserve">the </w:t>
      </w:r>
      <w:r w:rsidR="000E6D3D" w:rsidRPr="002A4F10">
        <w:t xml:space="preserve">high oxygen content and </w:t>
      </w:r>
      <w:r w:rsidR="0048222F">
        <w:t xml:space="preserve">the </w:t>
      </w:r>
      <w:r w:rsidR="000E6D3D" w:rsidRPr="002A4F10">
        <w:t>hydrogen deficiency, which</w:t>
      </w:r>
      <w:r w:rsidR="009B1E30">
        <w:t xml:space="preserve"> </w:t>
      </w:r>
      <w:r w:rsidR="000D4BE6">
        <w:t xml:space="preserve">typically </w:t>
      </w:r>
      <w:r w:rsidR="000E6D3D" w:rsidRPr="002A4F10">
        <w:t>results in low hydrocarbon yields and catalytic coke</w:t>
      </w:r>
      <w:r w:rsidR="009B1E30">
        <w:t xml:space="preserve"> formation</w:t>
      </w:r>
      <w:r w:rsidR="000E6D3D">
        <w:t xml:space="preserve"> </w:t>
      </w:r>
      <w:r w:rsidR="00D629BC">
        <w:t>(</w:t>
      </w:r>
      <w:r w:rsidR="00D629BC" w:rsidRPr="00AB51FC">
        <w:t>Xue and Bai</w:t>
      </w:r>
      <w:r w:rsidR="00D629BC">
        <w:t xml:space="preserve">, 2018). </w:t>
      </w:r>
      <w:r w:rsidR="00263FD8" w:rsidRPr="00390907">
        <w:rPr>
          <w:rFonts w:cs="Arial"/>
          <w:color w:val="000000" w:themeColor="text1"/>
          <w:shd w:val="clear" w:color="auto" w:fill="FFFFFF"/>
        </w:rPr>
        <w:t>In addition</w:t>
      </w:r>
      <w:r w:rsidR="009B1E30" w:rsidRPr="00390907">
        <w:rPr>
          <w:rFonts w:cs="Arial"/>
          <w:color w:val="000000" w:themeColor="text1"/>
          <w:shd w:val="clear" w:color="auto" w:fill="FFFFFF"/>
        </w:rPr>
        <w:t xml:space="preserve">, the hydrogen-deficient nature of biomass can promote the hydrogen transfer reactions, resulting in the serious coking of catalysts during </w:t>
      </w:r>
      <w:r w:rsidR="006121EA" w:rsidRPr="00390907">
        <w:rPr>
          <w:rFonts w:cs="Arial"/>
          <w:color w:val="000000" w:themeColor="text1"/>
          <w:shd w:val="clear" w:color="auto" w:fill="FFFFFF"/>
        </w:rPr>
        <w:t xml:space="preserve">catalytic fast pyrolysis </w:t>
      </w:r>
      <w:r w:rsidR="009B1E30" w:rsidRPr="00390907">
        <w:rPr>
          <w:rFonts w:cs="Arial"/>
          <w:color w:val="000000" w:themeColor="text1"/>
          <w:shd w:val="clear" w:color="auto" w:fill="FFFFFF"/>
        </w:rPr>
        <w:t>of biomass</w:t>
      </w:r>
      <w:r w:rsidR="00D629BC" w:rsidRPr="00D629BC">
        <w:t xml:space="preserve"> </w:t>
      </w:r>
      <w:r w:rsidR="00D629BC">
        <w:t>(</w:t>
      </w:r>
      <w:r w:rsidR="00D629BC" w:rsidRPr="00D629BC">
        <w:rPr>
          <w:rFonts w:cs="Arial"/>
          <w:color w:val="000000" w:themeColor="text1"/>
          <w:shd w:val="clear" w:color="auto" w:fill="FFFFFF"/>
        </w:rPr>
        <w:t>Zheng</w:t>
      </w:r>
      <w:r w:rsidR="00D629BC">
        <w:rPr>
          <w:rFonts w:cs="Arial"/>
          <w:color w:val="000000" w:themeColor="text1"/>
          <w:shd w:val="clear" w:color="auto" w:fill="FFFFFF"/>
        </w:rPr>
        <w:t xml:space="preserve"> et al., 2017).</w:t>
      </w:r>
      <w:r w:rsidR="009B1E30" w:rsidRPr="00390907">
        <w:rPr>
          <w:rFonts w:cs="Arial"/>
          <w:color w:val="000000" w:themeColor="text1"/>
          <w:shd w:val="clear" w:color="auto" w:fill="FFFFFF"/>
        </w:rPr>
        <w:t xml:space="preserve"> In order to maximize aromatic yield while minimizing coke formation, co-catalytic fast pyrolysis of biomass with hydrogen-rich </w:t>
      </w:r>
      <w:r w:rsidR="00B765CA" w:rsidRPr="00390907">
        <w:rPr>
          <w:rFonts w:cs="Arial"/>
          <w:color w:val="000000" w:themeColor="text1"/>
          <w:shd w:val="clear" w:color="auto" w:fill="FFFFFF"/>
        </w:rPr>
        <w:t>plastic materials has been</w:t>
      </w:r>
      <w:r w:rsidR="009B1E30" w:rsidRPr="00390907">
        <w:rPr>
          <w:rFonts w:cs="Arial"/>
          <w:color w:val="000000" w:themeColor="text1"/>
          <w:shd w:val="clear" w:color="auto" w:fill="FFFFFF"/>
        </w:rPr>
        <w:t xml:space="preserve"> </w:t>
      </w:r>
      <w:r w:rsidR="00B765CA" w:rsidRPr="00390907">
        <w:rPr>
          <w:rFonts w:cs="Arial"/>
          <w:color w:val="000000" w:themeColor="text1"/>
          <w:shd w:val="clear" w:color="auto" w:fill="FFFFFF"/>
        </w:rPr>
        <w:t xml:space="preserve">explored </w:t>
      </w:r>
      <w:r w:rsidR="009B1E30" w:rsidRPr="00390907">
        <w:rPr>
          <w:rFonts w:cs="Arial"/>
          <w:color w:val="000000" w:themeColor="text1"/>
          <w:shd w:val="clear" w:color="auto" w:fill="FFFFFF"/>
        </w:rPr>
        <w:t>by several researchers</w:t>
      </w:r>
      <w:r w:rsidR="00D629BC">
        <w:rPr>
          <w:rFonts w:cs="Arial"/>
          <w:color w:val="000000" w:themeColor="text1"/>
          <w:shd w:val="clear" w:color="auto" w:fill="FFFFFF"/>
        </w:rPr>
        <w:t xml:space="preserve"> (</w:t>
      </w:r>
      <w:r w:rsidR="00D629BC" w:rsidRPr="00D629BC">
        <w:rPr>
          <w:rFonts w:cs="Arial"/>
          <w:color w:val="000000" w:themeColor="text1"/>
          <w:shd w:val="clear" w:color="auto" w:fill="FFFFFF"/>
        </w:rPr>
        <w:t>Ahmed</w:t>
      </w:r>
      <w:r w:rsidR="00D629BC">
        <w:rPr>
          <w:rFonts w:cs="Arial"/>
          <w:color w:val="000000" w:themeColor="text1"/>
          <w:shd w:val="clear" w:color="auto" w:fill="FFFFFF"/>
        </w:rPr>
        <w:t xml:space="preserve"> et al., 2020)</w:t>
      </w:r>
      <w:r w:rsidR="00AE3557">
        <w:t>, even though f</w:t>
      </w:r>
      <w:r w:rsidR="00AE3557" w:rsidRPr="00AE3557">
        <w:t xml:space="preserve">urther research is required to provide evidence of </w:t>
      </w:r>
      <w:r w:rsidR="00AE3557">
        <w:t>its</w:t>
      </w:r>
      <w:r w:rsidR="00AE3557" w:rsidRPr="00AE3557">
        <w:t xml:space="preserve"> effectiveness and feasibility </w:t>
      </w:r>
      <w:r w:rsidR="001B1896" w:rsidRPr="00B20D10">
        <w:rPr>
          <w:rFonts w:cs="Arial"/>
          <w:color w:val="000000" w:themeColor="text1"/>
          <w:shd w:val="clear" w:color="auto" w:fill="FFFFFF"/>
        </w:rPr>
        <w:t xml:space="preserve">(Pinto et al, 2018), </w:t>
      </w:r>
      <w:r w:rsidR="00AE3557" w:rsidRPr="00B20D10">
        <w:rPr>
          <w:rFonts w:cs="Arial"/>
          <w:color w:val="000000" w:themeColor="text1"/>
          <w:shd w:val="clear" w:color="auto" w:fill="FFFFFF"/>
        </w:rPr>
        <w:t>particularly when the</w:t>
      </w:r>
      <w:r w:rsidR="001B1896" w:rsidRPr="00B20D10">
        <w:rPr>
          <w:rFonts w:cs="Arial"/>
          <w:color w:val="000000" w:themeColor="text1"/>
          <w:shd w:val="clear" w:color="auto" w:fill="FFFFFF"/>
        </w:rPr>
        <w:t xml:space="preserve"> fluidized bed </w:t>
      </w:r>
      <w:r w:rsidR="00AE3557" w:rsidRPr="00B20D10">
        <w:rPr>
          <w:rFonts w:cs="Arial"/>
          <w:color w:val="000000" w:themeColor="text1"/>
          <w:shd w:val="clear" w:color="auto" w:fill="FFFFFF"/>
        </w:rPr>
        <w:t>technology is adopted</w:t>
      </w:r>
      <w:r w:rsidR="00D629BC" w:rsidRPr="00B20D10">
        <w:rPr>
          <w:rFonts w:cs="Arial"/>
          <w:color w:val="000000" w:themeColor="text1"/>
          <w:shd w:val="clear" w:color="auto" w:fill="FFFFFF"/>
        </w:rPr>
        <w:t>.</w:t>
      </w:r>
      <w:r w:rsidR="00B409C1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="00A96943" w:rsidRPr="00390907">
        <w:rPr>
          <w:rFonts w:cs="Arial"/>
          <w:color w:val="000000" w:themeColor="text1"/>
          <w:shd w:val="clear" w:color="auto" w:fill="FFFFFF"/>
        </w:rPr>
        <w:t>Th</w:t>
      </w:r>
      <w:r w:rsidR="00087878">
        <w:rPr>
          <w:rFonts w:cs="Arial"/>
          <w:color w:val="000000" w:themeColor="text1"/>
          <w:shd w:val="clear" w:color="auto" w:fill="FFFFFF"/>
        </w:rPr>
        <w:t>is</w:t>
      </w:r>
      <w:r w:rsidR="00A96943" w:rsidRPr="00390907">
        <w:rPr>
          <w:rFonts w:cs="Arial"/>
          <w:color w:val="000000" w:themeColor="text1"/>
          <w:shd w:val="clear" w:color="auto" w:fill="FFFFFF"/>
        </w:rPr>
        <w:t xml:space="preserve"> approach is more economical than other conventional upgrading methods for pyrolysis oil (e.g.,</w:t>
      </w:r>
      <w:r w:rsidR="00A61844">
        <w:rPr>
          <w:rFonts w:cs="Arial"/>
          <w:color w:val="000000" w:themeColor="text1"/>
          <w:shd w:val="clear" w:color="auto" w:fill="FFFFFF"/>
        </w:rPr>
        <w:t xml:space="preserve"> </w:t>
      </w:r>
      <w:r w:rsidR="00A96943" w:rsidRPr="00390907">
        <w:rPr>
          <w:rFonts w:cs="Arial"/>
          <w:color w:val="000000" w:themeColor="text1"/>
          <w:shd w:val="clear" w:color="auto" w:fill="FFFFFF"/>
        </w:rPr>
        <w:t xml:space="preserve">hydrotreatment and esterification, etc.) as they do not require </w:t>
      </w:r>
      <w:r w:rsidR="00A96943" w:rsidRPr="00C32CCE">
        <w:rPr>
          <w:rFonts w:cs="Arial"/>
          <w:shd w:val="clear" w:color="auto" w:fill="FFFFFF"/>
        </w:rPr>
        <w:t xml:space="preserve">any solvent or addition of hydrogen. </w:t>
      </w:r>
      <w:r w:rsidR="005B3BD5">
        <w:t>D</w:t>
      </w:r>
      <w:r w:rsidR="000E6D3D">
        <w:t xml:space="preserve">uring </w:t>
      </w:r>
      <w:r w:rsidR="005B3BD5" w:rsidRPr="005B3BD5">
        <w:t xml:space="preserve">co-pyrolysis, the mutual interactions of the two </w:t>
      </w:r>
      <w:r w:rsidR="005B3BD5">
        <w:t>feedstocks</w:t>
      </w:r>
      <w:r w:rsidR="005B3BD5" w:rsidRPr="005B3BD5">
        <w:t xml:space="preserve"> result in </w:t>
      </w:r>
      <w:r w:rsidR="006474EB" w:rsidRPr="006474EB">
        <w:t>beneficial synergistic effects</w:t>
      </w:r>
      <w:r w:rsidR="006474EB">
        <w:t xml:space="preserve"> that are ascribed to</w:t>
      </w:r>
      <w:r w:rsidR="002A4F10">
        <w:t xml:space="preserve"> reactions </w:t>
      </w:r>
      <w:r w:rsidR="006474EB">
        <w:t>taking</w:t>
      </w:r>
      <w:r w:rsidR="002A4F10">
        <w:t xml:space="preserve"> place during both the devolatilization and condensation </w:t>
      </w:r>
      <w:r w:rsidR="006474EB">
        <w:t xml:space="preserve">phases </w:t>
      </w:r>
      <w:r w:rsidR="002A4F10">
        <w:t xml:space="preserve">as </w:t>
      </w:r>
      <w:r w:rsidR="006474EB">
        <w:t>reported</w:t>
      </w:r>
      <w:r w:rsidR="002A4F10">
        <w:t xml:space="preserve"> </w:t>
      </w:r>
      <w:r w:rsidR="006474EB">
        <w:t>in</w:t>
      </w:r>
      <w:r w:rsidR="007E7733">
        <w:t xml:space="preserve"> the </w:t>
      </w:r>
      <w:r w:rsidR="00390907">
        <w:t>literature</w:t>
      </w:r>
      <w:r w:rsidR="00D629BC">
        <w:t xml:space="preserve"> (</w:t>
      </w:r>
      <w:r w:rsidR="00D629BC" w:rsidRPr="00D629BC">
        <w:t>Gunasee</w:t>
      </w:r>
      <w:r w:rsidR="00D629BC">
        <w:t xml:space="preserve"> et al., 2017).</w:t>
      </w:r>
      <w:r w:rsidR="00FA60F9">
        <w:t xml:space="preserve"> </w:t>
      </w:r>
      <w:r w:rsidR="00A1734D">
        <w:t>Even though t</w:t>
      </w:r>
      <w:r w:rsidR="00FA60F9" w:rsidRPr="00FA60F9">
        <w:t xml:space="preserve">he interpretation of </w:t>
      </w:r>
      <w:r w:rsidR="00087878">
        <w:t xml:space="preserve">detailed </w:t>
      </w:r>
      <w:r w:rsidR="00FA60F9">
        <w:t>mechanism</w:t>
      </w:r>
      <w:r w:rsidR="00FA60F9" w:rsidRPr="00FA60F9">
        <w:t xml:space="preserve"> underlying </w:t>
      </w:r>
      <w:r w:rsidR="00FA60F9">
        <w:t xml:space="preserve">co-pyrolysis </w:t>
      </w:r>
      <w:r w:rsidR="00087878">
        <w:t xml:space="preserve">is still </w:t>
      </w:r>
      <w:r w:rsidR="00FA60F9" w:rsidRPr="00FA60F9">
        <w:t>controversial</w:t>
      </w:r>
      <w:r w:rsidR="00A1734D">
        <w:t>, the following statements are generally agreed upon</w:t>
      </w:r>
      <w:r w:rsidR="002A4F10">
        <w:t xml:space="preserve">: (i) interaction </w:t>
      </w:r>
      <w:r w:rsidR="00FA60F9">
        <w:t>among</w:t>
      </w:r>
      <w:r w:rsidR="00A1734D">
        <w:t xml:space="preserve"> volatile species is essentially of radical nature</w:t>
      </w:r>
      <w:r w:rsidR="00FA60F9">
        <w:t>;</w:t>
      </w:r>
      <w:r w:rsidR="002A4F10">
        <w:t xml:space="preserve"> (ii) lignocellulosic-derived char </w:t>
      </w:r>
      <w:r w:rsidR="00A94DEB">
        <w:t>catalyzes</w:t>
      </w:r>
      <w:r w:rsidR="002A4F10">
        <w:t xml:space="preserve"> the decomposition of plastics</w:t>
      </w:r>
      <w:r w:rsidR="00FA60F9">
        <w:t>;</w:t>
      </w:r>
      <w:r w:rsidR="002A4F10">
        <w:t xml:space="preserve"> (iii) plastics donate hydrogen and </w:t>
      </w:r>
      <w:r w:rsidR="00A94DEB">
        <w:t>stabilize</w:t>
      </w:r>
      <w:r w:rsidR="002A4F10">
        <w:t xml:space="preserve"> some of the biomass</w:t>
      </w:r>
      <w:r w:rsidR="005506FB">
        <w:t>-</w:t>
      </w:r>
      <w:r w:rsidR="002A4F10">
        <w:t>derived intermediates</w:t>
      </w:r>
      <w:r w:rsidR="00FA60F9">
        <w:t>;</w:t>
      </w:r>
      <w:r w:rsidR="002A4F10">
        <w:t xml:space="preserve"> and (iv) pyrolytic water may </w:t>
      </w:r>
      <w:r w:rsidR="00A94DEB">
        <w:t>catalyze</w:t>
      </w:r>
      <w:r w:rsidR="002A4F10">
        <w:t xml:space="preserve"> the cracking of heavy volatiles</w:t>
      </w:r>
      <w:r w:rsidR="00D629BC">
        <w:t xml:space="preserve"> </w:t>
      </w:r>
      <w:r w:rsidR="00D629BC" w:rsidRPr="00D629BC">
        <w:t>(</w:t>
      </w:r>
      <w:r w:rsidR="00D629BC">
        <w:t xml:space="preserve">H. </w:t>
      </w:r>
      <w:r w:rsidR="00D629BC" w:rsidRPr="00D629BC">
        <w:t>Hassan et al., 2019)</w:t>
      </w:r>
      <w:r w:rsidR="00D629BC">
        <w:t xml:space="preserve">. </w:t>
      </w:r>
      <w:r w:rsidR="005506FB">
        <w:t>C</w:t>
      </w:r>
      <w:r w:rsidR="000E6D3D">
        <w:t>atalytic co-pyrolysis of biomass</w:t>
      </w:r>
      <w:r w:rsidR="005506FB">
        <w:t xml:space="preserve"> and </w:t>
      </w:r>
      <w:r w:rsidR="000E6D3D">
        <w:t xml:space="preserve">plastic feedstock </w:t>
      </w:r>
      <w:r w:rsidR="005506FB">
        <w:t xml:space="preserve">has </w:t>
      </w:r>
      <w:r w:rsidR="000E6D3D">
        <w:t>gain</w:t>
      </w:r>
      <w:r w:rsidR="005506FB">
        <w:t>ed</w:t>
      </w:r>
      <w:r w:rsidR="000E6D3D">
        <w:t xml:space="preserve"> increased popularity </w:t>
      </w:r>
      <w:r w:rsidR="007E7733">
        <w:t xml:space="preserve">in the last decades </w:t>
      </w:r>
      <w:r w:rsidR="000E6D3D">
        <w:t xml:space="preserve">as a </w:t>
      </w:r>
      <w:r w:rsidR="005506FB">
        <w:t xml:space="preserve">promising route </w:t>
      </w:r>
      <w:r w:rsidR="000E6D3D">
        <w:t xml:space="preserve">to enhance </w:t>
      </w:r>
      <w:r w:rsidR="005815BF">
        <w:t>hydrocarbon-rich</w:t>
      </w:r>
      <w:r w:rsidR="000E6D3D">
        <w:t xml:space="preserve"> bio-liquid production</w:t>
      </w:r>
      <w:r w:rsidR="00D629BC" w:rsidRPr="00D629BC">
        <w:t xml:space="preserve"> </w:t>
      </w:r>
      <w:r w:rsidR="00D629BC">
        <w:t>(</w:t>
      </w:r>
      <w:r w:rsidR="00D629BC" w:rsidRPr="00D629BC">
        <w:t>Zhang</w:t>
      </w:r>
      <w:r w:rsidR="00D629BC">
        <w:t xml:space="preserve"> et al., 2014)</w:t>
      </w:r>
      <w:r w:rsidR="000E6D3D">
        <w:t xml:space="preserve">. </w:t>
      </w:r>
      <w:r w:rsidR="00315741">
        <w:t>I</w:t>
      </w:r>
      <w:r w:rsidR="00315741" w:rsidRPr="008204F9">
        <w:t>mprov</w:t>
      </w:r>
      <w:r w:rsidR="00315741">
        <w:t>ed</w:t>
      </w:r>
      <w:r w:rsidR="00315741" w:rsidRPr="008204F9">
        <w:t xml:space="preserve"> quality of bio-oils by reduction of oxygenated compound</w:t>
      </w:r>
      <w:r w:rsidR="00315741">
        <w:t xml:space="preserve">s may effectively be accomplished by optimal choice of </w:t>
      </w:r>
      <w:r w:rsidR="008204F9" w:rsidRPr="008204F9">
        <w:t>catalysts</w:t>
      </w:r>
      <w:r w:rsidR="005506FB">
        <w:t xml:space="preserve"> and </w:t>
      </w:r>
      <w:r w:rsidR="00FA60F9">
        <w:t xml:space="preserve">of </w:t>
      </w:r>
      <w:r w:rsidR="005506FB">
        <w:t>process</w:t>
      </w:r>
      <w:r w:rsidR="008204F9" w:rsidRPr="008204F9">
        <w:t xml:space="preserve"> temperature</w:t>
      </w:r>
      <w:r w:rsidR="00EB3F92">
        <w:t xml:space="preserve">. </w:t>
      </w:r>
      <w:r w:rsidR="00315741">
        <w:t>In the present study</w:t>
      </w:r>
      <w:r w:rsidR="00EB3F92" w:rsidRPr="008204F9">
        <w:t>,</w:t>
      </w:r>
      <w:r w:rsidR="008204F9">
        <w:t xml:space="preserve"> </w:t>
      </w:r>
      <w:r w:rsidR="00DE4A92">
        <w:t>t</w:t>
      </w:r>
      <w:r w:rsidR="00DE4A92" w:rsidRPr="00DE4A92">
        <w:t xml:space="preserve">he potential for production of high quality </w:t>
      </w:r>
      <w:r w:rsidR="00DE4A92">
        <w:t xml:space="preserve">bio-oil </w:t>
      </w:r>
      <w:r w:rsidR="00DE4A92" w:rsidRPr="00DE4A92">
        <w:t>from</w:t>
      </w:r>
      <w:r w:rsidR="00DE4A92" w:rsidRPr="00DE4A92" w:rsidDel="00DE4A92">
        <w:t xml:space="preserve"> </w:t>
      </w:r>
      <w:r w:rsidR="00C86870" w:rsidRPr="00C86870">
        <w:t>olive stone</w:t>
      </w:r>
      <w:r w:rsidR="00C86870">
        <w:t xml:space="preserve"> (OS)</w:t>
      </w:r>
      <w:r w:rsidR="00C86870" w:rsidRPr="00C86870">
        <w:t>, a residual biomass characteristic of the Mediterranean regions</w:t>
      </w:r>
      <w:r w:rsidR="00C86870">
        <w:t xml:space="preserve">, </w:t>
      </w:r>
      <w:r w:rsidR="00DE4A92">
        <w:t xml:space="preserve">has been </w:t>
      </w:r>
      <w:r w:rsidR="000D4BE6">
        <w:t xml:space="preserve">preliminary </w:t>
      </w:r>
      <w:r w:rsidR="005815BF">
        <w:t>assessed</w:t>
      </w:r>
      <w:r w:rsidR="00DE4A92">
        <w:t xml:space="preserve"> </w:t>
      </w:r>
      <w:r w:rsidR="00315741">
        <w:t>in experiments carried out with</w:t>
      </w:r>
      <w:r w:rsidR="007E7733" w:rsidRPr="004A7859">
        <w:t xml:space="preserve"> a be</w:t>
      </w:r>
      <w:r w:rsidR="007E7733">
        <w:t>nch scale fluidized bed reactor</w:t>
      </w:r>
      <w:r w:rsidR="007E7733" w:rsidRPr="000D4BE6">
        <w:t xml:space="preserve"> </w:t>
      </w:r>
      <w:r w:rsidR="00315741">
        <w:t xml:space="preserve">under different </w:t>
      </w:r>
      <w:r w:rsidR="000D4BE6" w:rsidRPr="000D4BE6">
        <w:t>p</w:t>
      </w:r>
      <w:r w:rsidR="00315741">
        <w:t>rocess conditions</w:t>
      </w:r>
      <w:r w:rsidR="003558C4">
        <w:t>.</w:t>
      </w:r>
      <w:r w:rsidR="00DE4A92">
        <w:t xml:space="preserve"> </w:t>
      </w:r>
      <w:r w:rsidR="00315741">
        <w:t>F</w:t>
      </w:r>
      <w:r w:rsidR="00DE4A92">
        <w:t xml:space="preserve">ast pyrolysis </w:t>
      </w:r>
      <w:r w:rsidR="00315741">
        <w:t xml:space="preserve">has been </w:t>
      </w:r>
      <w:r w:rsidR="00C86870" w:rsidRPr="00894045">
        <w:t>carried out at 500 °C and 600 °C by using either inert sand or a γ-a</w:t>
      </w:r>
      <w:r w:rsidR="00C86870">
        <w:t xml:space="preserve">lumina catalyst as bed material. The </w:t>
      </w:r>
      <w:r w:rsidR="00315741">
        <w:t xml:space="preserve">purely </w:t>
      </w:r>
      <w:r w:rsidR="00C86870" w:rsidRPr="00894045">
        <w:t xml:space="preserve">thermal (non-catalytic) and </w:t>
      </w:r>
      <w:r w:rsidR="000E6D3D">
        <w:t xml:space="preserve">catalytic co-pyrolysis of </w:t>
      </w:r>
      <w:r w:rsidR="00C86870">
        <w:t xml:space="preserve">OS </w:t>
      </w:r>
      <w:r w:rsidR="000E6D3D">
        <w:t>with low-density polyethylene (LDPE)</w:t>
      </w:r>
      <w:r w:rsidR="000D4BE6">
        <w:t xml:space="preserve"> </w:t>
      </w:r>
      <w:r w:rsidR="00C86870" w:rsidRPr="00894045">
        <w:t>at two different temperatures (500 °C</w:t>
      </w:r>
      <w:r w:rsidR="007A7E91">
        <w:t xml:space="preserve"> and 600 °C) </w:t>
      </w:r>
      <w:r w:rsidR="00315741">
        <w:t>were</w:t>
      </w:r>
      <w:r w:rsidR="007A7E91">
        <w:t xml:space="preserve"> also </w:t>
      </w:r>
      <w:r w:rsidR="003558C4">
        <w:t>investigated</w:t>
      </w:r>
      <w:r w:rsidR="000D4BE6">
        <w:t xml:space="preserve"> </w:t>
      </w:r>
      <w:r w:rsidR="00315741">
        <w:t>at</w:t>
      </w:r>
      <w:r w:rsidR="000D4BE6">
        <w:t xml:space="preserve"> </w:t>
      </w:r>
      <w:r w:rsidR="005815BF">
        <w:t xml:space="preserve">a </w:t>
      </w:r>
      <w:r w:rsidR="000D4BE6" w:rsidRPr="00894045">
        <w:t>pl</w:t>
      </w:r>
      <w:r w:rsidR="000D4BE6">
        <w:t xml:space="preserve">astic-to-biomass ratio </w:t>
      </w:r>
      <w:r w:rsidR="00315741">
        <w:t>of</w:t>
      </w:r>
      <w:r w:rsidR="000D4BE6">
        <w:t xml:space="preserve"> 20/80.</w:t>
      </w:r>
      <w:r w:rsidR="007A7E91">
        <w:t xml:space="preserve"> </w:t>
      </w:r>
      <w:r w:rsidR="000E6D3D">
        <w:t>LDPE</w:t>
      </w:r>
      <w:r w:rsidR="000D4BE6">
        <w:t xml:space="preserve"> was selected</w:t>
      </w:r>
      <w:r w:rsidR="000E6D3D">
        <w:t xml:space="preserve"> as </w:t>
      </w:r>
      <w:r w:rsidR="005815BF">
        <w:t xml:space="preserve">a </w:t>
      </w:r>
      <w:r w:rsidR="000E6D3D">
        <w:t xml:space="preserve">representative </w:t>
      </w:r>
      <w:r w:rsidR="00315741">
        <w:t xml:space="preserve">surrogate </w:t>
      </w:r>
      <w:r w:rsidR="000E6D3D">
        <w:t xml:space="preserve">of the plastics materials commonly found in municipal solid wastes (MSW). </w:t>
      </w:r>
    </w:p>
    <w:p w14:paraId="21A0D949" w14:textId="77777777" w:rsidR="00AD47E5" w:rsidRDefault="00AD47E5" w:rsidP="00894045">
      <w:pPr>
        <w:pStyle w:val="CETListbullets"/>
        <w:ind w:left="0" w:firstLine="0"/>
      </w:pPr>
    </w:p>
    <w:p w14:paraId="677EBFF0" w14:textId="4FD3BFB8" w:rsidR="00600535" w:rsidRDefault="00453E24" w:rsidP="00AD47E5">
      <w:pPr>
        <w:pStyle w:val="CETHeading1"/>
        <w:spacing w:before="0" w:after="0"/>
        <w:rPr>
          <w:lang w:val="en-GB"/>
        </w:rPr>
      </w:pPr>
      <w:r>
        <w:t>E</w:t>
      </w:r>
      <w:r w:rsidR="000F25FC" w:rsidRPr="00A179F3">
        <w:rPr>
          <w:lang w:val="en-GB"/>
        </w:rPr>
        <w:t>xperimental</w:t>
      </w:r>
      <w:r w:rsidR="00A179F3" w:rsidRPr="00A179F3">
        <w:rPr>
          <w:lang w:val="en-GB"/>
        </w:rPr>
        <w:t xml:space="preserve"> section</w:t>
      </w:r>
    </w:p>
    <w:p w14:paraId="6FD0377A" w14:textId="0CFDB200" w:rsidR="00BF4842" w:rsidRPr="00B57B36" w:rsidRDefault="00BF4842" w:rsidP="00AD47E5">
      <w:pPr>
        <w:pStyle w:val="CETheadingx"/>
      </w:pPr>
      <w:r w:rsidRPr="00BF4842">
        <w:t>Materials and pre-treatment</w:t>
      </w:r>
    </w:p>
    <w:p w14:paraId="13A26566" w14:textId="2254FEB1" w:rsidR="00A179F3" w:rsidRPr="00A179F3" w:rsidRDefault="00A179F3" w:rsidP="00A179F3">
      <w:pPr>
        <w:pStyle w:val="CETBodytext"/>
        <w:rPr>
          <w:lang w:val="en-GB"/>
        </w:rPr>
      </w:pPr>
      <w:r w:rsidRPr="00A179F3">
        <w:rPr>
          <w:lang w:val="en-GB"/>
        </w:rPr>
        <w:t>The OS samples used in the present study were provided by an Italian olive oil producer as residual waste material</w:t>
      </w:r>
      <w:r w:rsidR="007E7733">
        <w:rPr>
          <w:lang w:val="en-GB"/>
        </w:rPr>
        <w:t xml:space="preserve"> in the form of a granular solid </w:t>
      </w:r>
      <w:r w:rsidR="007E7733" w:rsidRPr="007E7733">
        <w:rPr>
          <w:lang w:val="en-GB"/>
        </w:rPr>
        <w:t>with a diameter of 5 mm</w:t>
      </w:r>
      <w:r w:rsidR="007E7733">
        <w:rPr>
          <w:lang w:val="en-GB"/>
        </w:rPr>
        <w:t xml:space="preserve">. </w:t>
      </w:r>
      <w:r w:rsidRPr="00A179F3">
        <w:rPr>
          <w:lang w:val="en-GB"/>
        </w:rPr>
        <w:t xml:space="preserve">The LDPE was </w:t>
      </w:r>
      <w:r w:rsidR="007E7733">
        <w:rPr>
          <w:lang w:val="en-GB"/>
        </w:rPr>
        <w:t xml:space="preserve">instead </w:t>
      </w:r>
      <w:r w:rsidRPr="00A179F3">
        <w:rPr>
          <w:lang w:val="en-GB"/>
        </w:rPr>
        <w:t xml:space="preserve">purchased from Sigma-Aldrich. Both the </w:t>
      </w:r>
      <w:r w:rsidR="002F1434">
        <w:rPr>
          <w:lang w:val="en-GB"/>
        </w:rPr>
        <w:t>OS and LDPE</w:t>
      </w:r>
      <w:r w:rsidRPr="00A179F3">
        <w:rPr>
          <w:lang w:val="en-GB"/>
        </w:rPr>
        <w:t xml:space="preserve"> </w:t>
      </w:r>
      <w:r w:rsidR="007E7733">
        <w:rPr>
          <w:lang w:val="en-GB"/>
        </w:rPr>
        <w:t xml:space="preserve">samples </w:t>
      </w:r>
      <w:r w:rsidRPr="00A179F3">
        <w:rPr>
          <w:lang w:val="en-GB"/>
        </w:rPr>
        <w:t xml:space="preserve">were ground using a batch rotor mill (IKA MF 10 Basic mill using a 1 mm mesh sieve) to obtain </w:t>
      </w:r>
      <w:r w:rsidR="005815BF">
        <w:rPr>
          <w:lang w:val="en-GB"/>
        </w:rPr>
        <w:t xml:space="preserve">a </w:t>
      </w:r>
      <w:r w:rsidR="007E7733">
        <w:rPr>
          <w:lang w:val="en-GB"/>
        </w:rPr>
        <w:t xml:space="preserve">particle size </w:t>
      </w:r>
      <w:r w:rsidRPr="00A179F3">
        <w:rPr>
          <w:lang w:val="en-GB"/>
        </w:rPr>
        <w:t>less than 1mm</w:t>
      </w:r>
      <w:r w:rsidR="00116D39">
        <w:rPr>
          <w:lang w:val="en-GB"/>
        </w:rPr>
        <w:t>.</w:t>
      </w:r>
      <w:r w:rsidRPr="00A179F3">
        <w:rPr>
          <w:lang w:val="en-GB"/>
        </w:rPr>
        <w:t xml:space="preserve"> </w:t>
      </w:r>
      <w:r w:rsidR="00116D39" w:rsidRPr="00116D39">
        <w:rPr>
          <w:lang w:val="en-GB"/>
        </w:rPr>
        <w:t>Liquid nitrogen was used for plastic milling to reduce the possibility of overheating and/or melting.</w:t>
      </w:r>
      <w:r w:rsidR="00116D39">
        <w:rPr>
          <w:lang w:val="en-GB"/>
        </w:rPr>
        <w:t xml:space="preserve"> </w:t>
      </w:r>
      <w:r w:rsidR="004F0F14">
        <w:rPr>
          <w:lang w:val="en-GB"/>
        </w:rPr>
        <w:t xml:space="preserve">Finally, the commercial </w:t>
      </w:r>
      <w:r w:rsidRPr="00A179F3">
        <w:rPr>
          <w:lang w:val="en-GB"/>
        </w:rPr>
        <w:t xml:space="preserve">γ-alumina </w:t>
      </w:r>
      <w:r w:rsidR="004F0F14">
        <w:rPr>
          <w:lang w:val="en-GB"/>
        </w:rPr>
        <w:t>spheres catalysts</w:t>
      </w:r>
      <w:r w:rsidRPr="00A179F3">
        <w:rPr>
          <w:lang w:val="en-GB"/>
        </w:rPr>
        <w:t xml:space="preserve"> </w:t>
      </w:r>
      <w:r w:rsidR="004F0F14" w:rsidRPr="00A179F3">
        <w:rPr>
          <w:lang w:val="en-GB"/>
        </w:rPr>
        <w:t xml:space="preserve">of 1mm in size </w:t>
      </w:r>
      <w:r w:rsidR="004F0F14">
        <w:rPr>
          <w:lang w:val="en-GB"/>
        </w:rPr>
        <w:t>were</w:t>
      </w:r>
      <w:r w:rsidR="004F0F14" w:rsidRPr="00A179F3">
        <w:rPr>
          <w:lang w:val="en-GB"/>
        </w:rPr>
        <w:t xml:space="preserve"> </w:t>
      </w:r>
      <w:r w:rsidR="004F0F14" w:rsidRPr="004F0F14">
        <w:rPr>
          <w:lang w:val="en-GB"/>
        </w:rPr>
        <w:t>kindly provided by</w:t>
      </w:r>
      <w:r w:rsidR="00390907">
        <w:rPr>
          <w:lang w:val="en-GB"/>
        </w:rPr>
        <w:t xml:space="preserve"> from SASOL chemical ltd</w:t>
      </w:r>
      <w:r w:rsidRPr="00A179F3">
        <w:rPr>
          <w:lang w:val="en-GB"/>
        </w:rPr>
        <w:t>.</w:t>
      </w:r>
    </w:p>
    <w:p w14:paraId="088A134E" w14:textId="5CC150C9" w:rsidR="00600535" w:rsidRDefault="00A179F3" w:rsidP="00DB7402">
      <w:pPr>
        <w:pStyle w:val="CETBodytext"/>
      </w:pPr>
      <w:r w:rsidRPr="00A179F3">
        <w:rPr>
          <w:lang w:val="en-GB"/>
        </w:rPr>
        <w:t>Raw OS was characterized in terms of cellulose, hemicellulose</w:t>
      </w:r>
      <w:r w:rsidR="005815BF">
        <w:rPr>
          <w:lang w:val="en-GB"/>
        </w:rPr>
        <w:t>,</w:t>
      </w:r>
      <w:r w:rsidRPr="00A179F3">
        <w:rPr>
          <w:lang w:val="en-GB"/>
        </w:rPr>
        <w:t xml:space="preserve"> and lignin content according to the procedure described in</w:t>
      </w:r>
      <w:r w:rsidR="00D629BC" w:rsidRPr="00D629BC">
        <w:t xml:space="preserve"> </w:t>
      </w:r>
      <w:r w:rsidR="00D629BC">
        <w:t>(</w:t>
      </w:r>
      <w:r w:rsidR="00D629BC" w:rsidRPr="00D629BC">
        <w:rPr>
          <w:lang w:val="en-GB"/>
        </w:rPr>
        <w:t>Sluiter et al.</w:t>
      </w:r>
      <w:r w:rsidR="00D629BC">
        <w:rPr>
          <w:lang w:val="en-GB"/>
        </w:rPr>
        <w:t>, 2012)</w:t>
      </w:r>
      <w:r w:rsidR="004F0F14">
        <w:rPr>
          <w:lang w:val="en-GB"/>
        </w:rPr>
        <w:t xml:space="preserve"> yielding </w:t>
      </w:r>
      <w:r w:rsidRPr="00A179F3">
        <w:rPr>
          <w:lang w:val="en-GB"/>
        </w:rPr>
        <w:t>the following macro-component fractional content: hemicellulose ~18.8</w:t>
      </w:r>
      <w:r w:rsidR="00D629BC">
        <w:rPr>
          <w:lang w:val="en-GB"/>
        </w:rPr>
        <w:t> </w:t>
      </w:r>
      <w:r w:rsidRPr="00A179F3">
        <w:rPr>
          <w:lang w:val="en-GB"/>
        </w:rPr>
        <w:t>%, cellulose ~ 28.4</w:t>
      </w:r>
      <w:r w:rsidR="00EF0F4F">
        <w:rPr>
          <w:lang w:val="en-GB"/>
        </w:rPr>
        <w:t xml:space="preserve"> </w:t>
      </w:r>
      <w:r w:rsidRPr="00A179F3">
        <w:rPr>
          <w:lang w:val="en-GB"/>
        </w:rPr>
        <w:t>%, lignin ~ 40.11</w:t>
      </w:r>
      <w:r w:rsidR="00EF0F4F">
        <w:rPr>
          <w:lang w:val="en-GB"/>
        </w:rPr>
        <w:t xml:space="preserve"> </w:t>
      </w:r>
      <w:r w:rsidRPr="00A179F3">
        <w:rPr>
          <w:lang w:val="en-GB"/>
        </w:rPr>
        <w:t xml:space="preserve">%. Ultimate </w:t>
      </w:r>
      <w:r w:rsidR="00665FEF">
        <w:rPr>
          <w:lang w:val="en-GB"/>
        </w:rPr>
        <w:t xml:space="preserve">analysis </w:t>
      </w:r>
      <w:r w:rsidR="005B35DA" w:rsidRPr="00A179F3">
        <w:rPr>
          <w:lang w:val="en-GB"/>
        </w:rPr>
        <w:t>w</w:t>
      </w:r>
      <w:r w:rsidR="005B35DA">
        <w:rPr>
          <w:lang w:val="en-GB"/>
        </w:rPr>
        <w:t>as</w:t>
      </w:r>
      <w:r w:rsidR="00665FEF" w:rsidRPr="00A179F3">
        <w:rPr>
          <w:lang w:val="en-GB"/>
        </w:rPr>
        <w:t xml:space="preserve"> </w:t>
      </w:r>
      <w:r w:rsidRPr="00A179F3">
        <w:rPr>
          <w:lang w:val="en-GB"/>
        </w:rPr>
        <w:t>performed on both olive stone and LDPE</w:t>
      </w:r>
      <w:r w:rsidR="00390907">
        <w:rPr>
          <w:lang w:val="en-GB"/>
        </w:rPr>
        <w:t xml:space="preserve"> </w:t>
      </w:r>
      <w:r w:rsidR="00665FEF">
        <w:rPr>
          <w:lang w:val="en-GB"/>
        </w:rPr>
        <w:t>samples</w:t>
      </w:r>
      <w:r w:rsidRPr="00A179F3">
        <w:rPr>
          <w:lang w:val="en-GB"/>
        </w:rPr>
        <w:t xml:space="preserve"> using </w:t>
      </w:r>
      <w:r w:rsidR="00665FEF">
        <w:rPr>
          <w:lang w:val="en-GB"/>
        </w:rPr>
        <w:t>a</w:t>
      </w:r>
      <w:r w:rsidR="00665FEF" w:rsidRPr="00A179F3">
        <w:rPr>
          <w:lang w:val="en-GB"/>
        </w:rPr>
        <w:t xml:space="preserve"> </w:t>
      </w:r>
      <w:r w:rsidRPr="00A179F3">
        <w:rPr>
          <w:lang w:val="en-GB"/>
        </w:rPr>
        <w:t xml:space="preserve">CHN </w:t>
      </w:r>
      <w:r w:rsidR="00BD65B3">
        <w:rPr>
          <w:lang w:val="en-GB"/>
        </w:rPr>
        <w:t>628</w:t>
      </w:r>
      <w:r w:rsidR="00BD65B3" w:rsidRPr="00A179F3">
        <w:rPr>
          <w:lang w:val="en-GB"/>
        </w:rPr>
        <w:t xml:space="preserve"> </w:t>
      </w:r>
      <w:r w:rsidRPr="00A179F3">
        <w:rPr>
          <w:lang w:val="en-GB"/>
        </w:rPr>
        <w:t>LECO</w:t>
      </w:r>
      <w:r w:rsidR="00AE23C5">
        <w:rPr>
          <w:lang w:val="en-GB"/>
        </w:rPr>
        <w:t xml:space="preserve"> </w:t>
      </w:r>
      <w:r w:rsidR="00A94DEB">
        <w:rPr>
          <w:lang w:val="en-GB"/>
        </w:rPr>
        <w:t>analyzer</w:t>
      </w:r>
      <w:r w:rsidR="00665FEF">
        <w:rPr>
          <w:lang w:val="en-GB"/>
        </w:rPr>
        <w:t xml:space="preserve"> and a </w:t>
      </w:r>
      <w:r w:rsidR="00665FEF" w:rsidRPr="00A179F3">
        <w:rPr>
          <w:lang w:val="en-GB"/>
        </w:rPr>
        <w:t xml:space="preserve">TGA 701 LECO thermogravimetric </w:t>
      </w:r>
      <w:r w:rsidR="00A94DEB">
        <w:rPr>
          <w:lang w:val="en-GB"/>
        </w:rPr>
        <w:t>analyzer</w:t>
      </w:r>
      <w:r w:rsidR="00665FEF">
        <w:rPr>
          <w:lang w:val="en-GB"/>
        </w:rPr>
        <w:t xml:space="preserve">, respectively. </w:t>
      </w:r>
      <w:r w:rsidR="00AE23C5">
        <w:rPr>
          <w:lang w:val="en-GB"/>
        </w:rPr>
        <w:t xml:space="preserve"> </w:t>
      </w:r>
      <w:r w:rsidR="00665FEF">
        <w:rPr>
          <w:lang w:val="en-GB"/>
        </w:rPr>
        <w:t>An</w:t>
      </w:r>
      <w:r w:rsidR="00665FEF" w:rsidRPr="00A179F3">
        <w:rPr>
          <w:lang w:val="en-GB"/>
        </w:rPr>
        <w:t xml:space="preserve"> </w:t>
      </w:r>
      <w:r w:rsidRPr="00A179F3">
        <w:rPr>
          <w:lang w:val="en-GB"/>
        </w:rPr>
        <w:t>isoperibolic oxygen bomb calorimeter (Parr 6200 Calorimeter)</w:t>
      </w:r>
      <w:r w:rsidR="00665FEF">
        <w:rPr>
          <w:lang w:val="en-GB"/>
        </w:rPr>
        <w:t xml:space="preserve"> was instead used to measure the calorific values of samples</w:t>
      </w:r>
      <w:r w:rsidRPr="00A179F3">
        <w:rPr>
          <w:lang w:val="en-GB"/>
        </w:rPr>
        <w:t xml:space="preserve">. All the </w:t>
      </w:r>
      <w:r w:rsidR="00665FEF">
        <w:rPr>
          <w:lang w:val="en-GB"/>
        </w:rPr>
        <w:t>tests</w:t>
      </w:r>
      <w:r w:rsidR="00665FEF" w:rsidRPr="00A179F3">
        <w:rPr>
          <w:lang w:val="en-GB"/>
        </w:rPr>
        <w:t xml:space="preserve"> </w:t>
      </w:r>
      <w:r w:rsidRPr="00A179F3">
        <w:rPr>
          <w:lang w:val="en-GB"/>
        </w:rPr>
        <w:t>were performed in triplicates at least with the data repor</w:t>
      </w:r>
      <w:r w:rsidR="003A5020">
        <w:rPr>
          <w:lang w:val="en-GB"/>
        </w:rPr>
        <w:t>ted as averaged values in Table </w:t>
      </w:r>
      <w:r w:rsidRPr="00A179F3">
        <w:rPr>
          <w:lang w:val="en-GB"/>
        </w:rPr>
        <w:t>1.</w:t>
      </w:r>
    </w:p>
    <w:p w14:paraId="7A0EA6BE" w14:textId="77777777" w:rsidR="00665FEF" w:rsidRPr="00B57B36" w:rsidRDefault="00665FEF" w:rsidP="00DB7402">
      <w:pPr>
        <w:pStyle w:val="CETBodytext"/>
      </w:pPr>
    </w:p>
    <w:p w14:paraId="7382C781" w14:textId="1BC7BD02" w:rsidR="00600535" w:rsidRDefault="005A2B76" w:rsidP="00AD47E5">
      <w:pPr>
        <w:pStyle w:val="CETheadingx"/>
      </w:pPr>
      <w:r>
        <w:t>Experimental apparatus and</w:t>
      </w:r>
      <w:r w:rsidRPr="005A2B76">
        <w:t xml:space="preserve"> analy</w:t>
      </w:r>
      <w:r w:rsidR="006A135F">
        <w:t>tical methods</w:t>
      </w:r>
    </w:p>
    <w:p w14:paraId="3DDE0B8D" w14:textId="69C4A7C9" w:rsidR="00512E8A" w:rsidRDefault="00CF3C79" w:rsidP="00512E8A">
      <w:pPr>
        <w:pStyle w:val="CETBodytext"/>
      </w:pPr>
      <w:r w:rsidRPr="00CF3C79">
        <w:rPr>
          <w:lang w:val="en-GB"/>
        </w:rPr>
        <w:t xml:space="preserve">Steady state pyrolysis tests were performed in a bench scale fluidized bed reactor </w:t>
      </w:r>
      <w:r>
        <w:rPr>
          <w:lang w:val="en-GB"/>
        </w:rPr>
        <w:t xml:space="preserve">with </w:t>
      </w:r>
      <w:r w:rsidR="005815BF">
        <w:rPr>
          <w:lang w:val="en-GB"/>
        </w:rPr>
        <w:t xml:space="preserve">a </w:t>
      </w:r>
      <w:r w:rsidRPr="00CF3C79">
        <w:rPr>
          <w:lang w:val="en-GB"/>
        </w:rPr>
        <w:t xml:space="preserve">gas residence time </w:t>
      </w:r>
      <w:r>
        <w:rPr>
          <w:lang w:val="en-GB"/>
        </w:rPr>
        <w:t xml:space="preserve">of </w:t>
      </w:r>
      <w:r w:rsidRPr="00CF3C79">
        <w:rPr>
          <w:lang w:val="en-GB"/>
        </w:rPr>
        <w:t>~1</w:t>
      </w:r>
      <w:r w:rsidR="005B35DA">
        <w:rPr>
          <w:lang w:val="en-GB"/>
        </w:rPr>
        <w:t xml:space="preserve"> </w:t>
      </w:r>
      <w:r w:rsidRPr="00CF3C79">
        <w:rPr>
          <w:lang w:val="en-GB"/>
        </w:rPr>
        <w:t>s and fluidization velocity of 0.7</w:t>
      </w:r>
      <w:r w:rsidR="005B35DA">
        <w:rPr>
          <w:lang w:val="en-GB"/>
        </w:rPr>
        <w:t xml:space="preserve"> </w:t>
      </w:r>
      <w:r w:rsidRPr="00CF3C79">
        <w:rPr>
          <w:lang w:val="en-GB"/>
        </w:rPr>
        <w:t xml:space="preserve">m/s. </w:t>
      </w:r>
      <w:r w:rsidR="00BF4842" w:rsidRPr="00BF4842">
        <w:t xml:space="preserve">The schematic representation of the experimental apparatus used for tests is </w:t>
      </w:r>
      <w:r w:rsidR="00665FEF">
        <w:t>shown</w:t>
      </w:r>
      <w:r w:rsidR="00665FEF" w:rsidRPr="00BF4842">
        <w:t xml:space="preserve"> </w:t>
      </w:r>
      <w:r w:rsidR="00BF4842" w:rsidRPr="00BF4842">
        <w:t xml:space="preserve">in Figure </w:t>
      </w:r>
      <w:r w:rsidR="00DB7402">
        <w:t>1</w:t>
      </w:r>
      <w:r w:rsidR="00BF4842" w:rsidRPr="00BF4842">
        <w:t>.</w:t>
      </w:r>
      <w:r w:rsidR="00665FEF">
        <w:t xml:space="preserve"> In more details, t</w:t>
      </w:r>
      <w:r w:rsidR="00665FEF" w:rsidRPr="00BF4842">
        <w:t>he fluidi</w:t>
      </w:r>
      <w:r w:rsidR="00665FEF">
        <w:t>z</w:t>
      </w:r>
      <w:r w:rsidR="00665FEF" w:rsidRPr="00BF4842">
        <w:t xml:space="preserve">ed bed </w:t>
      </w:r>
      <w:r w:rsidR="00665FEF">
        <w:t>reactor</w:t>
      </w:r>
      <w:r w:rsidR="00665FEF" w:rsidRPr="00BF4842">
        <w:t xml:space="preserve"> consists </w:t>
      </w:r>
      <w:r w:rsidR="005815BF">
        <w:t>of</w:t>
      </w:r>
      <w:r w:rsidR="00665FEF" w:rsidRPr="00BF4842">
        <w:t xml:space="preserve"> an electrically heated tubular reactor (41</w:t>
      </w:r>
      <w:r w:rsidR="00665FEF">
        <w:t xml:space="preserve"> </w:t>
      </w:r>
      <w:r w:rsidR="00665FEF" w:rsidRPr="00BF4842">
        <w:t>mm inner diameter, 700</w:t>
      </w:r>
      <w:r w:rsidR="00665FEF">
        <w:t xml:space="preserve"> </w:t>
      </w:r>
      <w:r w:rsidR="00665FEF" w:rsidRPr="00BF4842">
        <w:t xml:space="preserve">mm </w:t>
      </w:r>
      <w:r w:rsidR="00665FEF">
        <w:t>height</w:t>
      </w:r>
      <w:r w:rsidR="00665FEF" w:rsidRPr="00BF4842">
        <w:t>) resulting from the assembly of a windbox/pre-heater, a gas distributor</w:t>
      </w:r>
      <w:r w:rsidR="00A94DEB">
        <w:t>,</w:t>
      </w:r>
      <w:r w:rsidR="00665FEF" w:rsidRPr="00BF4842">
        <w:t xml:space="preserve"> and the fluidi</w:t>
      </w:r>
      <w:r w:rsidR="00665FEF">
        <w:t>z</w:t>
      </w:r>
      <w:r w:rsidR="00665FEF" w:rsidRPr="00BF4842">
        <w:t xml:space="preserve">ation column. The </w:t>
      </w:r>
      <w:r w:rsidR="00D778AD" w:rsidRPr="00BF4842">
        <w:t xml:space="preserve">gas flow leaving the reactor </w:t>
      </w:r>
      <w:r w:rsidR="00665FEF">
        <w:t>pass through</w:t>
      </w:r>
      <w:r w:rsidR="00665FEF" w:rsidRPr="00BF4842">
        <w:t xml:space="preserve"> a stainless steel filter (hot filtration at 300 °C)</w:t>
      </w:r>
      <w:r w:rsidR="00D778AD">
        <w:t xml:space="preserve"> and then is</w:t>
      </w:r>
      <w:r w:rsidR="00665FEF" w:rsidRPr="00BF4842">
        <w:t xml:space="preserve"> </w:t>
      </w:r>
      <w:r w:rsidR="00EB09EA" w:rsidRPr="00BF4842">
        <w:t xml:space="preserve">split </w:t>
      </w:r>
      <w:r w:rsidR="00A94DEB">
        <w:t>into</w:t>
      </w:r>
      <w:r w:rsidR="00EB09EA" w:rsidRPr="00BF4842">
        <w:t xml:space="preserve"> three sub-streams. The first one </w:t>
      </w:r>
      <w:r w:rsidR="00D778AD">
        <w:t>is</w:t>
      </w:r>
      <w:r w:rsidR="00EB09EA" w:rsidRPr="00BF4842">
        <w:t xml:space="preserve"> sent to a set of on-line ABB gas analy</w:t>
      </w:r>
      <w:r w:rsidR="00EB09EA">
        <w:t>z</w:t>
      </w:r>
      <w:r w:rsidR="00EB09EA" w:rsidRPr="00BF4842">
        <w:t>ers to continuously monitor the concentration of O</w:t>
      </w:r>
      <w:r w:rsidR="00EB09EA" w:rsidRPr="00337502">
        <w:rPr>
          <w:vertAlign w:val="subscript"/>
        </w:rPr>
        <w:t>2</w:t>
      </w:r>
      <w:r w:rsidR="00EB09EA" w:rsidRPr="00BF4842">
        <w:t>, CO, CO</w:t>
      </w:r>
      <w:r w:rsidR="00EB09EA" w:rsidRPr="00337502">
        <w:rPr>
          <w:vertAlign w:val="subscript"/>
        </w:rPr>
        <w:t>2</w:t>
      </w:r>
      <w:r w:rsidR="00EB09EA" w:rsidRPr="00BF4842">
        <w:t>, CH</w:t>
      </w:r>
      <w:r w:rsidR="00EB09EA" w:rsidRPr="00337502">
        <w:rPr>
          <w:vertAlign w:val="subscript"/>
        </w:rPr>
        <w:t>4</w:t>
      </w:r>
      <w:r w:rsidR="005815BF">
        <w:rPr>
          <w:vertAlign w:val="subscript"/>
        </w:rPr>
        <w:t>,</w:t>
      </w:r>
      <w:r w:rsidR="00EB09EA" w:rsidRPr="00BF4842">
        <w:t xml:space="preserve"> and H</w:t>
      </w:r>
      <w:r w:rsidR="00EB09EA" w:rsidRPr="00337502">
        <w:rPr>
          <w:vertAlign w:val="subscript"/>
        </w:rPr>
        <w:t>2</w:t>
      </w:r>
      <w:r w:rsidR="00EB09EA" w:rsidRPr="00BF4842">
        <w:t xml:space="preserve">. The second sub-stream </w:t>
      </w:r>
      <w:r w:rsidR="00EB09EA" w:rsidRPr="00BF4842">
        <w:lastRenderedPageBreak/>
        <w:t xml:space="preserve">passes through a chilled impinger train </w:t>
      </w:r>
      <w:r w:rsidR="00EB09EA" w:rsidRPr="005A2B76">
        <w:t>(</w:t>
      </w:r>
      <w:r w:rsidR="00E21C99">
        <w:t>1</w:t>
      </w:r>
      <w:r w:rsidR="00EB09EA" w:rsidRPr="005A2B76">
        <w:t xml:space="preserve"> flask at room temperature, and 6 refrigerated flasks at a temperature of </w:t>
      </w:r>
      <w:r w:rsidR="00EB09EA" w:rsidRPr="005A2B76">
        <w:rPr>
          <w:rFonts w:ascii="Cambria Math" w:hAnsi="Cambria Math" w:cs="Cambria Math"/>
        </w:rPr>
        <w:t>‐</w:t>
      </w:r>
      <w:r w:rsidR="00EB09EA" w:rsidRPr="005A2B76">
        <w:t xml:space="preserve">12 </w:t>
      </w:r>
      <w:r w:rsidR="00EB09EA" w:rsidRPr="005A2B76">
        <w:rPr>
          <w:rFonts w:cs="Arial"/>
        </w:rPr>
        <w:t>°</w:t>
      </w:r>
      <w:r w:rsidR="00EB09EA" w:rsidRPr="005A2B76">
        <w:t>C)</w:t>
      </w:r>
      <w:r w:rsidR="00EB09EA">
        <w:t xml:space="preserve"> i</w:t>
      </w:r>
      <w:r w:rsidR="00EB09EA" w:rsidRPr="005A2B76">
        <w:t xml:space="preserve">n order to condense </w:t>
      </w:r>
      <w:r w:rsidR="00EB09EA" w:rsidRPr="00BF4842">
        <w:t>the vapours to liquid pyrolysis oils.</w:t>
      </w:r>
      <w:r w:rsidR="00D778AD" w:rsidRPr="00D778AD">
        <w:t xml:space="preserve"> </w:t>
      </w:r>
      <w:r w:rsidR="00D778AD" w:rsidRPr="00BF4842">
        <w:t xml:space="preserve">The third sub-stream </w:t>
      </w:r>
      <w:r w:rsidR="00D778AD">
        <w:t>is sent</w:t>
      </w:r>
      <w:r w:rsidR="00D778AD" w:rsidRPr="00BF4842">
        <w:t xml:space="preserve"> to the vent.</w:t>
      </w:r>
      <w:r w:rsidR="00512E8A">
        <w:t xml:space="preserve"> Permanent</w:t>
      </w:r>
      <w:r w:rsidR="00512E8A" w:rsidRPr="005A2B76">
        <w:t xml:space="preserve"> gases leaving the condens</w:t>
      </w:r>
      <w:r w:rsidR="00512E8A">
        <w:t>ation</w:t>
      </w:r>
      <w:r w:rsidR="00512E8A" w:rsidRPr="005A2B76">
        <w:t xml:space="preserve"> train </w:t>
      </w:r>
      <w:r w:rsidR="00512E8A">
        <w:t>were</w:t>
      </w:r>
      <w:r w:rsidR="00512E8A" w:rsidRPr="005A2B76">
        <w:t xml:space="preserve"> analyzed </w:t>
      </w:r>
      <w:r w:rsidR="00512E8A">
        <w:t>by</w:t>
      </w:r>
      <w:r w:rsidR="004D0BF3">
        <w:t xml:space="preserve"> means of</w:t>
      </w:r>
      <w:r w:rsidR="00512E8A" w:rsidRPr="005A2B76">
        <w:t xml:space="preserve"> </w:t>
      </w:r>
      <w:r w:rsidR="00512E8A">
        <w:t>a micro gas chromatograph (micro-GC) to measure the concentration of light hydrocarbons (C</w:t>
      </w:r>
      <w:r w:rsidR="00512E8A" w:rsidRPr="005A2B76">
        <w:rPr>
          <w:vertAlign w:val="subscript"/>
        </w:rPr>
        <w:t>1</w:t>
      </w:r>
      <w:r w:rsidR="00512E8A">
        <w:t>–C</w:t>
      </w:r>
      <w:r w:rsidR="00512E8A" w:rsidRPr="005A2B76">
        <w:rPr>
          <w:vertAlign w:val="subscript"/>
        </w:rPr>
        <w:t>6</w:t>
      </w:r>
      <w:r w:rsidR="00512E8A">
        <w:t>), in addition to CO, CO</w:t>
      </w:r>
      <w:r w:rsidR="00512E8A" w:rsidRPr="005A2B76">
        <w:rPr>
          <w:vertAlign w:val="subscript"/>
        </w:rPr>
        <w:t>2</w:t>
      </w:r>
      <w:r w:rsidR="00512E8A">
        <w:t>, CH</w:t>
      </w:r>
      <w:r w:rsidR="00512E8A" w:rsidRPr="005A2B76">
        <w:rPr>
          <w:vertAlign w:val="subscript"/>
        </w:rPr>
        <w:t>4</w:t>
      </w:r>
      <w:r w:rsidR="005815BF">
        <w:rPr>
          <w:vertAlign w:val="subscript"/>
        </w:rPr>
        <w:t>,</w:t>
      </w:r>
      <w:r w:rsidR="00512E8A">
        <w:t xml:space="preserve"> and H</w:t>
      </w:r>
      <w:r w:rsidR="00512E8A" w:rsidRPr="005A2B76">
        <w:rPr>
          <w:vertAlign w:val="subscript"/>
        </w:rPr>
        <w:t>2</w:t>
      </w:r>
      <w:r w:rsidR="00512E8A">
        <w:t>.</w:t>
      </w:r>
      <w:r w:rsidR="00512E8A" w:rsidRPr="005A2B76">
        <w:t xml:space="preserve"> </w:t>
      </w:r>
      <w:r w:rsidR="00512E8A" w:rsidRPr="00BF4842">
        <w:t xml:space="preserve">The </w:t>
      </w:r>
      <w:r w:rsidR="00512E8A">
        <w:t xml:space="preserve">collected </w:t>
      </w:r>
      <w:r w:rsidR="00512E8A" w:rsidRPr="00BF4842">
        <w:t>pyrolytic liquid</w:t>
      </w:r>
      <w:r w:rsidR="00512E8A">
        <w:t>s</w:t>
      </w:r>
      <w:r w:rsidR="00512E8A" w:rsidRPr="00BF4842">
        <w:t xml:space="preserve"> w</w:t>
      </w:r>
      <w:r w:rsidR="00512E8A">
        <w:t>ere</w:t>
      </w:r>
      <w:r w:rsidR="00512E8A" w:rsidRPr="00BF4842">
        <w:t xml:space="preserve"> characteri</w:t>
      </w:r>
      <w:r w:rsidR="00512E8A">
        <w:t>z</w:t>
      </w:r>
      <w:r w:rsidR="00512E8A" w:rsidRPr="00BF4842">
        <w:t xml:space="preserve">ed offline </w:t>
      </w:r>
      <w:r w:rsidR="004D0BF3">
        <w:t>using</w:t>
      </w:r>
      <w:r w:rsidR="00512E8A" w:rsidRPr="00BF4842">
        <w:t xml:space="preserve"> an Agilent 7890A GC equipped with MS 5975C-VLMSD</w:t>
      </w:r>
      <w:r w:rsidR="00512E8A">
        <w:t xml:space="preserve"> (GC-MS)</w:t>
      </w:r>
      <w:r w:rsidR="00512E8A" w:rsidRPr="00BF4842">
        <w:t>.</w:t>
      </w:r>
      <w:r w:rsidR="00512E8A">
        <w:t xml:space="preserve"> Chromatographic peaks were </w:t>
      </w:r>
      <w:r w:rsidR="00512E8A" w:rsidRPr="00B70B7F">
        <w:t xml:space="preserve">identified </w:t>
      </w:r>
      <w:r w:rsidR="00512E8A">
        <w:t>using the NIST 11 mass spectral data library, whereas a semi-quantitative approach was adopted to determine the relative content of each bio-oil component. Water concentration in bio-oil was measured by using a Mettler Toledo V20 Karl Fischer volumetric titrator. Proximate and ultimate analyses of residual char and elutriated fine particles were also carried out.</w:t>
      </w:r>
    </w:p>
    <w:p w14:paraId="03AD38E8" w14:textId="4E2A0A68" w:rsidR="00BF4842" w:rsidRDefault="00BF4842" w:rsidP="00BF4842">
      <w:pPr>
        <w:pStyle w:val="CETBodytext"/>
      </w:pPr>
    </w:p>
    <w:p w14:paraId="4700C032" w14:textId="74B84BA7" w:rsidR="00BF4842" w:rsidRDefault="00BF4842" w:rsidP="00F34F54">
      <w:pPr>
        <w:pStyle w:val="CETBodytext"/>
        <w:jc w:val="left"/>
      </w:pPr>
      <w:r w:rsidRPr="00BF4842">
        <w:rPr>
          <w:rFonts w:ascii="Times New Roman" w:hAnsi="Times New Roman"/>
          <w:noProof/>
          <w:lang w:val="it-IT" w:eastAsia="it-IT"/>
        </w:rPr>
        <w:drawing>
          <wp:inline distT="0" distB="0" distL="0" distR="0" wp14:anchorId="233C6AEE" wp14:editId="79E9EBEB">
            <wp:extent cx="2057693" cy="2160000"/>
            <wp:effectExtent l="0" t="0" r="0" b="0"/>
            <wp:docPr id="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9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468B" w14:textId="1544883B" w:rsidR="00BF4842" w:rsidRDefault="00BF4842" w:rsidP="00F34F54">
      <w:pPr>
        <w:pStyle w:val="CETBodytext"/>
        <w:spacing w:before="240" w:after="240"/>
        <w:jc w:val="left"/>
        <w:rPr>
          <w:szCs w:val="18"/>
        </w:rPr>
      </w:pPr>
      <w:r>
        <w:rPr>
          <w:rStyle w:val="CETCaptionCarattere"/>
        </w:rPr>
        <w:t xml:space="preserve">Figure </w:t>
      </w:r>
      <w:r w:rsidR="00DB7402">
        <w:rPr>
          <w:rStyle w:val="CETCaptionCarattere"/>
        </w:rPr>
        <w:t>1</w:t>
      </w:r>
      <w:r>
        <w:rPr>
          <w:rStyle w:val="CETCaptionCarattere"/>
        </w:rPr>
        <w:t>:</w:t>
      </w:r>
      <w:r w:rsidRPr="00BF4842">
        <w:rPr>
          <w:szCs w:val="18"/>
        </w:rPr>
        <w:t xml:space="preserve"> </w:t>
      </w:r>
      <w:r w:rsidR="00512E8A">
        <w:rPr>
          <w:i/>
          <w:szCs w:val="18"/>
        </w:rPr>
        <w:t>Schematic</w:t>
      </w:r>
      <w:r w:rsidR="00512E8A" w:rsidRPr="00040E7D">
        <w:rPr>
          <w:i/>
          <w:szCs w:val="18"/>
        </w:rPr>
        <w:t xml:space="preserve"> </w:t>
      </w:r>
      <w:r w:rsidRPr="00040E7D">
        <w:rPr>
          <w:i/>
          <w:szCs w:val="18"/>
        </w:rPr>
        <w:t xml:space="preserve">of the </w:t>
      </w:r>
      <w:r w:rsidR="00512E8A">
        <w:rPr>
          <w:i/>
          <w:szCs w:val="18"/>
        </w:rPr>
        <w:t>experimental apparatus</w:t>
      </w:r>
    </w:p>
    <w:p w14:paraId="4CB318D4" w14:textId="7BDA6976" w:rsidR="00040E7D" w:rsidRPr="00040E7D" w:rsidRDefault="00040E7D" w:rsidP="00AD47E5">
      <w:pPr>
        <w:pStyle w:val="CETBodytext"/>
        <w:rPr>
          <w:b/>
        </w:rPr>
      </w:pPr>
      <w:r w:rsidRPr="00040E7D">
        <w:rPr>
          <w:b/>
        </w:rPr>
        <w:t xml:space="preserve">3. </w:t>
      </w:r>
      <w:r w:rsidRPr="00040E7D">
        <w:rPr>
          <w:b/>
          <w:sz w:val="20"/>
        </w:rPr>
        <w:t>Results and discussion</w:t>
      </w:r>
    </w:p>
    <w:p w14:paraId="0DCC6BC3" w14:textId="6381BA82" w:rsidR="00040E7D" w:rsidRDefault="00040E7D" w:rsidP="00AD47E5">
      <w:pPr>
        <w:pStyle w:val="CETBodytext"/>
        <w:spacing w:before="40" w:after="40"/>
      </w:pPr>
      <w:r w:rsidRPr="008239C1">
        <w:rPr>
          <w:b/>
        </w:rPr>
        <w:t>3.1</w:t>
      </w:r>
      <w:r>
        <w:t xml:space="preserve"> </w:t>
      </w:r>
      <w:r w:rsidR="00512E8A">
        <w:rPr>
          <w:b/>
        </w:rPr>
        <w:t xml:space="preserve">Feedstock </w:t>
      </w:r>
      <w:r w:rsidR="008239C1">
        <w:rPr>
          <w:b/>
        </w:rPr>
        <w:t>characteriz</w:t>
      </w:r>
      <w:r w:rsidRPr="00040E7D">
        <w:rPr>
          <w:b/>
        </w:rPr>
        <w:t>ation</w:t>
      </w:r>
    </w:p>
    <w:p w14:paraId="764EDD25" w14:textId="5D2FBC6F" w:rsidR="00040E7D" w:rsidRDefault="007913A5" w:rsidP="00040E7D">
      <w:pPr>
        <w:pStyle w:val="CETBodytext"/>
      </w:pPr>
      <w:r>
        <w:t>U</w:t>
      </w:r>
      <w:r w:rsidR="00040E7D">
        <w:t xml:space="preserve">ltimate and proximate analyses as well as calorific values </w:t>
      </w:r>
      <w:r>
        <w:t>of</w:t>
      </w:r>
      <w:r w:rsidR="00040E7D">
        <w:t xml:space="preserve"> the </w:t>
      </w:r>
      <w:r w:rsidR="00B70B7F">
        <w:t xml:space="preserve">feedstocks </w:t>
      </w:r>
      <w:r w:rsidR="00040E7D">
        <w:t xml:space="preserve">used in this study are </w:t>
      </w:r>
      <w:r>
        <w:t>reported</w:t>
      </w:r>
      <w:r w:rsidR="00040E7D">
        <w:t xml:space="preserve"> in Table 1. </w:t>
      </w:r>
    </w:p>
    <w:p w14:paraId="31B26E73" w14:textId="10D1EEDC" w:rsidR="00040E7D" w:rsidRDefault="00040E7D" w:rsidP="00132B5E">
      <w:pPr>
        <w:pStyle w:val="CETBodytext"/>
        <w:spacing w:before="240" w:after="80" w:line="240" w:lineRule="exact"/>
        <w:jc w:val="left"/>
        <w:rPr>
          <w:i/>
        </w:rPr>
      </w:pPr>
      <w:r w:rsidRPr="00040E7D">
        <w:rPr>
          <w:i/>
        </w:rPr>
        <w:t xml:space="preserve">Table 1: Ultimate and proximate analyses of </w:t>
      </w:r>
      <w:r w:rsidR="00B70B7F">
        <w:rPr>
          <w:i/>
        </w:rPr>
        <w:t>biomass and plastics</w:t>
      </w:r>
      <w:r w:rsidRPr="00040E7D">
        <w:rPr>
          <w:i/>
        </w:rPr>
        <w:t>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1531"/>
        <w:gridCol w:w="879"/>
        <w:gridCol w:w="680"/>
      </w:tblGrid>
      <w:tr w:rsidR="00E23AF0" w:rsidRPr="00786136" w14:paraId="29A599A7" w14:textId="77777777" w:rsidTr="00E0221B">
        <w:tc>
          <w:tcPr>
            <w:tcW w:w="24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C6974E8" w14:textId="77777777" w:rsidR="00E23AF0" w:rsidRPr="00786136" w:rsidRDefault="00E23AF0" w:rsidP="00E0221B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153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4B6A2E0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</w:p>
        </w:tc>
        <w:tc>
          <w:tcPr>
            <w:tcW w:w="87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4D9346DD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  <w:r w:rsidRPr="00786136">
              <w:rPr>
                <w:bCs/>
                <w:lang w:eastAsia="it-IT"/>
              </w:rPr>
              <w:t>OS</w:t>
            </w:r>
          </w:p>
        </w:tc>
        <w:tc>
          <w:tcPr>
            <w:tcW w:w="68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14:paraId="26125DCF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  <w:r w:rsidRPr="00786136">
              <w:rPr>
                <w:bCs/>
                <w:lang w:eastAsia="it-IT"/>
              </w:rPr>
              <w:t>LDPE</w:t>
            </w:r>
          </w:p>
        </w:tc>
      </w:tr>
      <w:tr w:rsidR="00E23AF0" w:rsidRPr="00786136" w14:paraId="0739B03B" w14:textId="77777777" w:rsidTr="00B409C1">
        <w:tc>
          <w:tcPr>
            <w:tcW w:w="2410" w:type="dxa"/>
            <w:tcBorders>
              <w:top w:val="single" w:sz="6" w:space="0" w:color="008000"/>
              <w:bottom w:val="single" w:sz="4" w:space="0" w:color="00B050"/>
            </w:tcBorders>
            <w:shd w:val="clear" w:color="auto" w:fill="FFFFFF"/>
            <w:vAlign w:val="center"/>
          </w:tcPr>
          <w:p w14:paraId="51047222" w14:textId="77777777" w:rsidR="00E23AF0" w:rsidRPr="00786136" w:rsidRDefault="00E23AF0" w:rsidP="00E0221B">
            <w:pPr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Moisture (%wt., ar)</w:t>
            </w:r>
          </w:p>
        </w:tc>
        <w:tc>
          <w:tcPr>
            <w:tcW w:w="1531" w:type="dxa"/>
            <w:tcBorders>
              <w:top w:val="single" w:sz="6" w:space="0" w:color="008000"/>
              <w:bottom w:val="single" w:sz="4" w:space="0" w:color="00B050"/>
            </w:tcBorders>
            <w:shd w:val="clear" w:color="auto" w:fill="FFFFFF"/>
          </w:tcPr>
          <w:p w14:paraId="329B73B8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</w:p>
        </w:tc>
        <w:tc>
          <w:tcPr>
            <w:tcW w:w="879" w:type="dxa"/>
            <w:tcBorders>
              <w:top w:val="single" w:sz="6" w:space="0" w:color="008000"/>
              <w:bottom w:val="single" w:sz="4" w:space="0" w:color="00B050"/>
            </w:tcBorders>
            <w:shd w:val="clear" w:color="auto" w:fill="FFFFFF"/>
            <w:vAlign w:val="center"/>
          </w:tcPr>
          <w:p w14:paraId="10B32CDE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  <w:r>
              <w:rPr>
                <w:bCs/>
                <w:lang w:eastAsia="it-IT"/>
              </w:rPr>
              <w:t>14.0</w:t>
            </w:r>
          </w:p>
        </w:tc>
        <w:tc>
          <w:tcPr>
            <w:tcW w:w="680" w:type="dxa"/>
            <w:tcBorders>
              <w:top w:val="single" w:sz="6" w:space="0" w:color="008000"/>
              <w:bottom w:val="single" w:sz="4" w:space="0" w:color="00B050"/>
            </w:tcBorders>
            <w:shd w:val="clear" w:color="auto" w:fill="FFFFFF"/>
            <w:vAlign w:val="center"/>
          </w:tcPr>
          <w:p w14:paraId="44CCFE04" w14:textId="77777777" w:rsidR="00E23AF0" w:rsidRPr="00786136" w:rsidRDefault="00E23AF0" w:rsidP="00E0221B">
            <w:pPr>
              <w:jc w:val="center"/>
              <w:rPr>
                <w:bCs/>
                <w:lang w:eastAsia="it-IT"/>
              </w:rPr>
            </w:pPr>
            <w:r>
              <w:rPr>
                <w:bCs/>
                <w:lang w:eastAsia="it-IT"/>
              </w:rPr>
              <w:t>-</w:t>
            </w:r>
          </w:p>
        </w:tc>
      </w:tr>
      <w:tr w:rsidR="00E23AF0" w:rsidRPr="00786136" w14:paraId="3583F3C3" w14:textId="77777777" w:rsidTr="00E21C99">
        <w:tc>
          <w:tcPr>
            <w:tcW w:w="2410" w:type="dxa"/>
            <w:vMerge w:val="restart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4B2A7391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Proximate Analysis (%wt., db)</w:t>
            </w:r>
          </w:p>
        </w:tc>
        <w:tc>
          <w:tcPr>
            <w:tcW w:w="1531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36A05AFE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Ash</w:t>
            </w:r>
          </w:p>
        </w:tc>
        <w:tc>
          <w:tcPr>
            <w:tcW w:w="879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40CF8988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0.</w:t>
            </w:r>
            <w:r>
              <w:rPr>
                <w:lang w:val="en-US" w:eastAsia="it-IT"/>
              </w:rPr>
              <w:t>1</w:t>
            </w:r>
          </w:p>
        </w:tc>
        <w:tc>
          <w:tcPr>
            <w:tcW w:w="680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74DBF647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-</w:t>
            </w:r>
          </w:p>
        </w:tc>
      </w:tr>
      <w:tr w:rsidR="00E23AF0" w:rsidRPr="00786136" w14:paraId="3F192118" w14:textId="77777777" w:rsidTr="00E0221B">
        <w:tc>
          <w:tcPr>
            <w:tcW w:w="2410" w:type="dxa"/>
            <w:vMerge/>
            <w:shd w:val="clear" w:color="auto" w:fill="FFFFFF"/>
            <w:vAlign w:val="center"/>
          </w:tcPr>
          <w:p w14:paraId="222B3DF5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6FF4A9BB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Fixed Carbon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182060F3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21.4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2D34010D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-</w:t>
            </w:r>
          </w:p>
        </w:tc>
      </w:tr>
      <w:tr w:rsidR="00E23AF0" w:rsidRPr="00786136" w14:paraId="1CE9A6E4" w14:textId="77777777" w:rsidTr="00E0221B">
        <w:tc>
          <w:tcPr>
            <w:tcW w:w="2410" w:type="dxa"/>
            <w:vMerge/>
            <w:shd w:val="clear" w:color="auto" w:fill="FFFFFF"/>
            <w:vAlign w:val="center"/>
          </w:tcPr>
          <w:p w14:paraId="42177999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FFFFFF"/>
            <w:vAlign w:val="center"/>
          </w:tcPr>
          <w:p w14:paraId="19A0C14B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Volatile matter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FFFFFF"/>
            <w:vAlign w:val="center"/>
          </w:tcPr>
          <w:p w14:paraId="47242480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78.5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FFFFFF"/>
            <w:vAlign w:val="center"/>
          </w:tcPr>
          <w:p w14:paraId="50991C90" w14:textId="77777777" w:rsidR="00E23AF0" w:rsidRPr="00786136" w:rsidRDefault="00E23AF0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100.0</w:t>
            </w:r>
          </w:p>
        </w:tc>
      </w:tr>
      <w:tr w:rsidR="00E21C99" w:rsidRPr="00786136" w14:paraId="703EC8D1" w14:textId="77777777" w:rsidTr="00E0221B">
        <w:tc>
          <w:tcPr>
            <w:tcW w:w="2410" w:type="dxa"/>
            <w:vMerge w:val="restart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4AB445DB" w14:textId="06995FB3" w:rsidR="00E21C99" w:rsidRPr="00786136" w:rsidRDefault="00E21C99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Ultimate Analysis (%wt., daf)</w:t>
            </w:r>
          </w:p>
        </w:tc>
        <w:tc>
          <w:tcPr>
            <w:tcW w:w="1531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00E8B1E9" w14:textId="77777777" w:rsidR="00E21C99" w:rsidRPr="00786136" w:rsidRDefault="00E21C99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C</w:t>
            </w:r>
          </w:p>
        </w:tc>
        <w:tc>
          <w:tcPr>
            <w:tcW w:w="879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79FDF8D4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48.4</w:t>
            </w:r>
          </w:p>
        </w:tc>
        <w:tc>
          <w:tcPr>
            <w:tcW w:w="680" w:type="dxa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1F3FDE45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8</w:t>
            </w:r>
            <w:r>
              <w:rPr>
                <w:lang w:val="en-US" w:eastAsia="it-IT"/>
              </w:rPr>
              <w:t>5</w:t>
            </w:r>
            <w:r w:rsidRPr="00786136">
              <w:rPr>
                <w:lang w:val="en-US" w:eastAsia="it-IT"/>
              </w:rPr>
              <w:t>.</w:t>
            </w:r>
            <w:r>
              <w:rPr>
                <w:lang w:val="en-US" w:eastAsia="it-IT"/>
              </w:rPr>
              <w:t>7</w:t>
            </w:r>
          </w:p>
        </w:tc>
      </w:tr>
      <w:tr w:rsidR="00E21C99" w:rsidRPr="00786136" w14:paraId="428AC7C8" w14:textId="77777777" w:rsidTr="00E0221B">
        <w:tc>
          <w:tcPr>
            <w:tcW w:w="2410" w:type="dxa"/>
            <w:vMerge/>
            <w:shd w:val="clear" w:color="auto" w:fill="FFFFFF"/>
            <w:vAlign w:val="center"/>
          </w:tcPr>
          <w:p w14:paraId="33AAEC44" w14:textId="1908EDD9" w:rsidR="00E21C99" w:rsidRPr="00786136" w:rsidRDefault="00E21C99" w:rsidP="00E0221B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3F36CDBC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H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347F87C1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B87C484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14.3</w:t>
            </w:r>
          </w:p>
        </w:tc>
      </w:tr>
      <w:tr w:rsidR="00E21C99" w:rsidRPr="00786136" w14:paraId="652C21F9" w14:textId="77777777" w:rsidTr="00E0221B">
        <w:tc>
          <w:tcPr>
            <w:tcW w:w="2410" w:type="dxa"/>
            <w:vMerge/>
            <w:shd w:val="clear" w:color="auto" w:fill="FFFFFF"/>
            <w:vAlign w:val="center"/>
          </w:tcPr>
          <w:p w14:paraId="611F169A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00B2EEB6" w14:textId="77777777" w:rsidR="00E21C99" w:rsidRPr="00786136" w:rsidRDefault="00E21C99" w:rsidP="00E0221B">
            <w:pPr>
              <w:jc w:val="center"/>
              <w:rPr>
                <w:lang w:val="en-US" w:eastAsia="it-IT"/>
              </w:rPr>
            </w:pPr>
            <w:r>
              <w:rPr>
                <w:lang w:val="en-US" w:eastAsia="it-IT"/>
              </w:rPr>
              <w:t>N</w:t>
            </w:r>
          </w:p>
        </w:tc>
        <w:tc>
          <w:tcPr>
            <w:tcW w:w="879" w:type="dxa"/>
            <w:shd w:val="clear" w:color="auto" w:fill="FFFFFF"/>
            <w:vAlign w:val="center"/>
          </w:tcPr>
          <w:p w14:paraId="6B7C6AA5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0.3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F14346E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1C99" w:rsidRPr="00786136" w14:paraId="690EE78A" w14:textId="77777777" w:rsidTr="00E0221B">
        <w:tc>
          <w:tcPr>
            <w:tcW w:w="2410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69202845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FFFFFF"/>
            <w:vAlign w:val="center"/>
          </w:tcPr>
          <w:p w14:paraId="11B5BE9A" w14:textId="77777777" w:rsidR="00E21C99" w:rsidRPr="00786136" w:rsidRDefault="00E21C99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O</w:t>
            </w:r>
            <w:r w:rsidRPr="00786136">
              <w:rPr>
                <w:vertAlign w:val="superscript"/>
                <w:lang w:val="en-US" w:eastAsia="it-IT"/>
              </w:rPr>
              <w:t>*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FFFFFF"/>
            <w:vAlign w:val="center"/>
          </w:tcPr>
          <w:p w14:paraId="045DE421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>
              <w:rPr>
                <w:lang w:val="en-US" w:eastAsia="it-IT"/>
              </w:rPr>
              <w:t>45.4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FFFFFF"/>
            <w:vAlign w:val="center"/>
          </w:tcPr>
          <w:p w14:paraId="210572B9" w14:textId="77777777" w:rsidR="00E21C99" w:rsidRPr="00786136" w:rsidRDefault="00E21C99" w:rsidP="00E0221B">
            <w:pPr>
              <w:jc w:val="center"/>
              <w:rPr>
                <w:lang w:val="en-US"/>
              </w:rPr>
            </w:pPr>
            <w:r w:rsidRPr="00786136">
              <w:rPr>
                <w:lang w:val="en-US" w:eastAsia="it-IT"/>
              </w:rPr>
              <w:t>-</w:t>
            </w:r>
          </w:p>
        </w:tc>
      </w:tr>
      <w:tr w:rsidR="00E23AF0" w:rsidRPr="00786136" w14:paraId="4A6E60AD" w14:textId="77777777" w:rsidTr="00E0221B">
        <w:tc>
          <w:tcPr>
            <w:tcW w:w="5500" w:type="dxa"/>
            <w:gridSpan w:val="4"/>
            <w:tcBorders>
              <w:bottom w:val="single" w:sz="4" w:space="0" w:color="9BBB59"/>
            </w:tcBorders>
            <w:shd w:val="clear" w:color="auto" w:fill="FFFFFF"/>
            <w:vAlign w:val="center"/>
          </w:tcPr>
          <w:p w14:paraId="7BD58C25" w14:textId="0B39039C" w:rsidR="00E23AF0" w:rsidRPr="00786136" w:rsidRDefault="00E23AF0" w:rsidP="00E0221B">
            <w:pPr>
              <w:rPr>
                <w:lang w:val="en-US" w:eastAsia="it-IT"/>
              </w:rPr>
            </w:pPr>
            <w:r w:rsidRPr="00786136">
              <w:rPr>
                <w:sz w:val="16"/>
                <w:szCs w:val="16"/>
                <w:lang w:val="en-US"/>
              </w:rPr>
              <w:t>* oxygen content calculated by difference</w:t>
            </w:r>
          </w:p>
        </w:tc>
      </w:tr>
      <w:tr w:rsidR="00E23AF0" w:rsidRPr="00786136" w14:paraId="70F07532" w14:textId="77777777" w:rsidTr="00E21C99">
        <w:trPr>
          <w:trHeight w:val="340"/>
        </w:trPr>
        <w:tc>
          <w:tcPr>
            <w:tcW w:w="2410" w:type="dxa"/>
            <w:tcBorders>
              <w:top w:val="single" w:sz="4" w:space="0" w:color="00B050"/>
              <w:bottom w:val="single" w:sz="12" w:space="0" w:color="008000"/>
            </w:tcBorders>
            <w:shd w:val="clear" w:color="auto" w:fill="FFFFFF"/>
            <w:vAlign w:val="center"/>
          </w:tcPr>
          <w:p w14:paraId="077FA2CB" w14:textId="77777777" w:rsidR="00E23AF0" w:rsidRPr="00786136" w:rsidRDefault="00E23AF0" w:rsidP="00E0221B">
            <w:pPr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 xml:space="preserve"> HHV(MJ/kg,</w:t>
            </w:r>
            <w:r>
              <w:rPr>
                <w:lang w:val="en-US" w:eastAsia="it-IT"/>
              </w:rPr>
              <w:t xml:space="preserve"> </w:t>
            </w:r>
            <w:r w:rsidRPr="00786136">
              <w:rPr>
                <w:lang w:val="en-US" w:eastAsia="it-IT"/>
              </w:rPr>
              <w:t>db)</w:t>
            </w:r>
          </w:p>
        </w:tc>
        <w:tc>
          <w:tcPr>
            <w:tcW w:w="1531" w:type="dxa"/>
            <w:tcBorders>
              <w:top w:val="single" w:sz="4" w:space="0" w:color="00B050"/>
              <w:bottom w:val="single" w:sz="12" w:space="0" w:color="008000"/>
            </w:tcBorders>
            <w:shd w:val="clear" w:color="auto" w:fill="FFFFFF"/>
          </w:tcPr>
          <w:p w14:paraId="46950656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</w:p>
        </w:tc>
        <w:tc>
          <w:tcPr>
            <w:tcW w:w="879" w:type="dxa"/>
            <w:tcBorders>
              <w:top w:val="single" w:sz="4" w:space="0" w:color="00B050"/>
              <w:bottom w:val="single" w:sz="12" w:space="0" w:color="008000"/>
            </w:tcBorders>
            <w:shd w:val="clear" w:color="auto" w:fill="FFFFFF"/>
            <w:vAlign w:val="center"/>
          </w:tcPr>
          <w:p w14:paraId="5E20DABF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20.2</w:t>
            </w:r>
          </w:p>
        </w:tc>
        <w:tc>
          <w:tcPr>
            <w:tcW w:w="680" w:type="dxa"/>
            <w:tcBorders>
              <w:top w:val="single" w:sz="4" w:space="0" w:color="00B050"/>
              <w:bottom w:val="single" w:sz="12" w:space="0" w:color="008000"/>
            </w:tcBorders>
            <w:shd w:val="clear" w:color="auto" w:fill="FFFFFF"/>
            <w:vAlign w:val="center"/>
          </w:tcPr>
          <w:p w14:paraId="2D74B27F" w14:textId="77777777" w:rsidR="00E23AF0" w:rsidRPr="00786136" w:rsidRDefault="00E23AF0" w:rsidP="00E0221B">
            <w:pPr>
              <w:jc w:val="center"/>
              <w:rPr>
                <w:lang w:val="en-US" w:eastAsia="it-IT"/>
              </w:rPr>
            </w:pPr>
            <w:r w:rsidRPr="00786136">
              <w:rPr>
                <w:lang w:val="en-US" w:eastAsia="it-IT"/>
              </w:rPr>
              <w:t>4</w:t>
            </w:r>
            <w:r>
              <w:rPr>
                <w:lang w:val="en-US" w:eastAsia="it-IT"/>
              </w:rPr>
              <w:t>6</w:t>
            </w:r>
            <w:r w:rsidRPr="00786136">
              <w:rPr>
                <w:lang w:val="en-US" w:eastAsia="it-IT"/>
              </w:rPr>
              <w:t>.1</w:t>
            </w:r>
          </w:p>
        </w:tc>
      </w:tr>
    </w:tbl>
    <w:p w14:paraId="49379DC0" w14:textId="77777777" w:rsidR="00040E7D" w:rsidRDefault="00040E7D" w:rsidP="00040E7D">
      <w:pPr>
        <w:pStyle w:val="CETBodytext"/>
      </w:pPr>
    </w:p>
    <w:p w14:paraId="75AB9E3F" w14:textId="4D2CE63A" w:rsidR="00040E7D" w:rsidRPr="00040E7D" w:rsidRDefault="00040E7D" w:rsidP="00040E7D">
      <w:pPr>
        <w:pStyle w:val="CETBodytext"/>
        <w:rPr>
          <w:b/>
        </w:rPr>
      </w:pPr>
      <w:r w:rsidRPr="00040E7D">
        <w:rPr>
          <w:b/>
        </w:rPr>
        <w:t>3.</w:t>
      </w:r>
      <w:r w:rsidR="00C64D11">
        <w:rPr>
          <w:b/>
        </w:rPr>
        <w:t>2</w:t>
      </w:r>
      <w:r w:rsidRPr="00040E7D">
        <w:rPr>
          <w:b/>
        </w:rPr>
        <w:t xml:space="preserve"> Product yields</w:t>
      </w:r>
    </w:p>
    <w:p w14:paraId="19A4D74D" w14:textId="2E1FFE91" w:rsidR="006962CD" w:rsidRPr="00043B36" w:rsidRDefault="00040E7D" w:rsidP="00043B36">
      <w:pPr>
        <w:pStyle w:val="CETBodytext"/>
        <w:tabs>
          <w:tab w:val="left" w:pos="7100"/>
        </w:tabs>
      </w:pPr>
      <w:r w:rsidRPr="00E21C99">
        <w:rPr>
          <w:color w:val="000000" w:themeColor="text1"/>
        </w:rPr>
        <w:t xml:space="preserve">Table </w:t>
      </w:r>
      <w:r w:rsidR="0090139C" w:rsidRPr="00E21C99">
        <w:rPr>
          <w:color w:val="000000" w:themeColor="text1"/>
        </w:rPr>
        <w:t>2</w:t>
      </w:r>
      <w:r w:rsidRPr="00E21C99">
        <w:rPr>
          <w:color w:val="000000" w:themeColor="text1"/>
        </w:rPr>
        <w:t xml:space="preserve"> </w:t>
      </w:r>
      <w:r w:rsidR="00150C7A">
        <w:rPr>
          <w:color w:val="000000" w:themeColor="text1"/>
        </w:rPr>
        <w:t>reports</w:t>
      </w:r>
      <w:r w:rsidRPr="00E21C99">
        <w:rPr>
          <w:color w:val="000000" w:themeColor="text1"/>
        </w:rPr>
        <w:t xml:space="preserve"> the distribution </w:t>
      </w:r>
      <w:r w:rsidR="00150C7A">
        <w:rPr>
          <w:color w:val="000000" w:themeColor="text1"/>
        </w:rPr>
        <w:t>of products generated in</w:t>
      </w:r>
      <w:r w:rsidR="00C024A2" w:rsidRPr="00E21C99">
        <w:rPr>
          <w:color w:val="000000" w:themeColor="text1"/>
        </w:rPr>
        <w:t xml:space="preserve"> </w:t>
      </w:r>
      <w:r w:rsidR="0090139C" w:rsidRPr="00E21C99">
        <w:rPr>
          <w:color w:val="000000" w:themeColor="text1"/>
        </w:rPr>
        <w:t xml:space="preserve">pyrolysis and </w:t>
      </w:r>
      <w:r w:rsidRPr="00E21C99">
        <w:rPr>
          <w:color w:val="000000" w:themeColor="text1"/>
        </w:rPr>
        <w:t>co-pyrolysis experiments</w:t>
      </w:r>
      <w:r w:rsidR="00512E8A" w:rsidRPr="00E21C99">
        <w:rPr>
          <w:color w:val="000000" w:themeColor="text1"/>
        </w:rPr>
        <w:t xml:space="preserve"> performed at 500 and 600 °C </w:t>
      </w:r>
      <w:r w:rsidR="00C024A2" w:rsidRPr="00E21C99">
        <w:rPr>
          <w:color w:val="000000" w:themeColor="text1"/>
        </w:rPr>
        <w:t>under catalytic and non-catalytic conditions</w:t>
      </w:r>
      <w:r w:rsidRPr="00E21C99">
        <w:rPr>
          <w:color w:val="000000" w:themeColor="text1"/>
        </w:rPr>
        <w:t xml:space="preserve">. Results from thermal pyrolysis of pure OS </w:t>
      </w:r>
      <w:r w:rsidR="00B331B5" w:rsidRPr="00E21C99">
        <w:rPr>
          <w:color w:val="000000" w:themeColor="text1"/>
        </w:rPr>
        <w:t>at 500</w:t>
      </w:r>
      <w:r w:rsidR="00A94DEB">
        <w:rPr>
          <w:color w:val="000000" w:themeColor="text1"/>
        </w:rPr>
        <w:t> </w:t>
      </w:r>
      <w:r w:rsidR="00B331B5" w:rsidRPr="00E21C99">
        <w:rPr>
          <w:color w:val="000000" w:themeColor="text1"/>
        </w:rPr>
        <w:t xml:space="preserve">°C and 600 °C </w:t>
      </w:r>
      <w:r w:rsidRPr="00E21C99">
        <w:rPr>
          <w:color w:val="000000" w:themeColor="text1"/>
        </w:rPr>
        <w:t>are also shown for comparison.</w:t>
      </w:r>
      <w:r w:rsidR="006962CD" w:rsidRPr="00E21C99">
        <w:rPr>
          <w:color w:val="000000" w:themeColor="text1"/>
        </w:rPr>
        <w:t xml:space="preserve"> </w:t>
      </w:r>
      <w:r w:rsidR="00A4633F">
        <w:rPr>
          <w:color w:val="000000" w:themeColor="text1"/>
        </w:rPr>
        <w:t>C</w:t>
      </w:r>
      <w:r w:rsidR="00CF05CC" w:rsidRPr="00E21C99">
        <w:rPr>
          <w:color w:val="000000" w:themeColor="text1"/>
        </w:rPr>
        <w:t xml:space="preserve">ompared </w:t>
      </w:r>
      <w:r w:rsidR="00A4633F">
        <w:rPr>
          <w:color w:val="000000" w:themeColor="text1"/>
        </w:rPr>
        <w:t xml:space="preserve">with results of </w:t>
      </w:r>
      <w:r w:rsidR="00CF05CC" w:rsidRPr="00E21C99">
        <w:rPr>
          <w:color w:val="000000" w:themeColor="text1"/>
        </w:rPr>
        <w:t xml:space="preserve">the reference case (Test 1), </w:t>
      </w:r>
      <w:r w:rsidR="004A76C3" w:rsidRPr="00E21C99">
        <w:rPr>
          <w:color w:val="000000" w:themeColor="text1"/>
        </w:rPr>
        <w:t xml:space="preserve">co-processing with </w:t>
      </w:r>
      <w:r w:rsidR="005B28A4" w:rsidRPr="00E21C99">
        <w:rPr>
          <w:color w:val="000000" w:themeColor="text1"/>
        </w:rPr>
        <w:t xml:space="preserve">a </w:t>
      </w:r>
      <w:r w:rsidR="005B28A4" w:rsidRPr="00E21C99">
        <w:rPr>
          <w:rFonts w:cs="Arial"/>
          <w:color w:val="000000" w:themeColor="text1"/>
          <w:shd w:val="clear" w:color="auto" w:fill="FFFFFF"/>
        </w:rPr>
        <w:t xml:space="preserve">hydrogen-rich plastic material (Test 2), </w:t>
      </w:r>
      <w:r w:rsidR="004A76C3" w:rsidRPr="00E21C99">
        <w:rPr>
          <w:color w:val="000000" w:themeColor="text1"/>
        </w:rPr>
        <w:t xml:space="preserve">addition of </w:t>
      </w:r>
      <w:r w:rsidR="005B28A4" w:rsidRPr="00E21C99">
        <w:rPr>
          <w:rFonts w:cs="Arial"/>
          <w:color w:val="000000" w:themeColor="text1"/>
        </w:rPr>
        <w:t>γ</w:t>
      </w:r>
      <w:r w:rsidR="005B28A4" w:rsidRPr="00E21C99">
        <w:rPr>
          <w:color w:val="000000" w:themeColor="text1"/>
        </w:rPr>
        <w:t>-alumina catalyst (Test 4)</w:t>
      </w:r>
      <w:r w:rsidR="008457FF">
        <w:rPr>
          <w:color w:val="000000" w:themeColor="text1"/>
        </w:rPr>
        <w:t>,</w:t>
      </w:r>
      <w:r w:rsidR="005B28A4" w:rsidRPr="00E21C99">
        <w:rPr>
          <w:color w:val="000000" w:themeColor="text1"/>
        </w:rPr>
        <w:t xml:space="preserve"> and increase of </w:t>
      </w:r>
      <w:r w:rsidR="00A4633F">
        <w:rPr>
          <w:color w:val="000000" w:themeColor="text1"/>
        </w:rPr>
        <w:t>pyrolysis</w:t>
      </w:r>
      <w:r w:rsidR="005B28A4" w:rsidRPr="00E21C99">
        <w:rPr>
          <w:color w:val="000000" w:themeColor="text1"/>
        </w:rPr>
        <w:t xml:space="preserve"> temperature (Test 5)</w:t>
      </w:r>
      <w:r w:rsidR="004A76C3" w:rsidRPr="00E21C99">
        <w:rPr>
          <w:color w:val="000000" w:themeColor="text1"/>
        </w:rPr>
        <w:t>,</w:t>
      </w:r>
      <w:r w:rsidR="005B28A4" w:rsidRPr="00E21C99">
        <w:rPr>
          <w:color w:val="000000" w:themeColor="text1"/>
        </w:rPr>
        <w:t xml:space="preserve"> </w:t>
      </w:r>
      <w:r w:rsidR="00A4633F">
        <w:rPr>
          <w:color w:val="000000" w:themeColor="text1"/>
        </w:rPr>
        <w:t xml:space="preserve">all </w:t>
      </w:r>
      <w:r w:rsidR="005B28A4" w:rsidRPr="00E21C99">
        <w:rPr>
          <w:color w:val="000000" w:themeColor="text1"/>
        </w:rPr>
        <w:t>result</w:t>
      </w:r>
      <w:r w:rsidR="00D92114" w:rsidRPr="00E21C99">
        <w:rPr>
          <w:color w:val="000000" w:themeColor="text1"/>
        </w:rPr>
        <w:t xml:space="preserve"> in a d</w:t>
      </w:r>
      <w:r w:rsidR="00E8644C" w:rsidRPr="00E21C99">
        <w:rPr>
          <w:color w:val="000000" w:themeColor="text1"/>
        </w:rPr>
        <w:t>ecrease of the oil yield</w:t>
      </w:r>
      <w:r w:rsidR="00A4633F">
        <w:rPr>
          <w:color w:val="000000" w:themeColor="text1"/>
        </w:rPr>
        <w:t>. O</w:t>
      </w:r>
      <w:r w:rsidR="00E8644C" w:rsidRPr="00E21C99">
        <w:rPr>
          <w:color w:val="000000" w:themeColor="text1"/>
        </w:rPr>
        <w:t xml:space="preserve">nly in Test 2 </w:t>
      </w:r>
      <w:r w:rsidR="005012F8" w:rsidRPr="00E21C99">
        <w:rPr>
          <w:color w:val="000000" w:themeColor="text1"/>
        </w:rPr>
        <w:t xml:space="preserve">(co-pyrolysis) </w:t>
      </w:r>
      <w:r w:rsidR="00A4633F">
        <w:rPr>
          <w:color w:val="000000" w:themeColor="text1"/>
        </w:rPr>
        <w:t xml:space="preserve">the decrease of bio-oil yield is associated with </w:t>
      </w:r>
      <w:r w:rsidR="00E8644C" w:rsidRPr="00E21C99">
        <w:rPr>
          <w:color w:val="000000" w:themeColor="text1"/>
        </w:rPr>
        <w:t>a significant decrease in the water content</w:t>
      </w:r>
      <w:r w:rsidR="005703EF" w:rsidRPr="00E21C99">
        <w:rPr>
          <w:color w:val="000000" w:themeColor="text1"/>
        </w:rPr>
        <w:t xml:space="preserve">. </w:t>
      </w:r>
      <w:r w:rsidR="00F41691">
        <w:rPr>
          <w:color w:val="000000" w:themeColor="text1"/>
        </w:rPr>
        <w:t>W</w:t>
      </w:r>
      <w:r w:rsidR="004A76C3" w:rsidRPr="00E21C99">
        <w:rPr>
          <w:color w:val="000000" w:themeColor="text1"/>
        </w:rPr>
        <w:t>ater yield</w:t>
      </w:r>
      <w:r w:rsidR="005012F8" w:rsidRPr="00E21C99">
        <w:rPr>
          <w:color w:val="000000" w:themeColor="text1"/>
        </w:rPr>
        <w:t xml:space="preserve"> in the presence of the catalyst (Test 4) and </w:t>
      </w:r>
      <w:r w:rsidR="00F41691">
        <w:rPr>
          <w:color w:val="000000" w:themeColor="text1"/>
        </w:rPr>
        <w:t xml:space="preserve">for purely </w:t>
      </w:r>
      <w:r w:rsidR="005012F8" w:rsidRPr="00E21C99">
        <w:rPr>
          <w:color w:val="000000" w:themeColor="text1"/>
        </w:rPr>
        <w:t>thermal pyrolysis performed at</w:t>
      </w:r>
      <w:r w:rsidR="004A76C3" w:rsidRPr="00E21C99">
        <w:rPr>
          <w:color w:val="000000" w:themeColor="text1"/>
        </w:rPr>
        <w:t xml:space="preserve"> the</w:t>
      </w:r>
      <w:r w:rsidR="005012F8" w:rsidRPr="00E21C99">
        <w:rPr>
          <w:color w:val="000000" w:themeColor="text1"/>
        </w:rPr>
        <w:t xml:space="preserve"> higher temperature </w:t>
      </w:r>
      <w:r w:rsidR="004A76C3" w:rsidRPr="00E21C99">
        <w:rPr>
          <w:color w:val="000000" w:themeColor="text1"/>
        </w:rPr>
        <w:t xml:space="preserve">of 600 °C </w:t>
      </w:r>
      <w:r w:rsidR="005012F8" w:rsidRPr="00E21C99">
        <w:rPr>
          <w:color w:val="000000" w:themeColor="text1"/>
        </w:rPr>
        <w:t>(Test 5)</w:t>
      </w:r>
      <w:r w:rsidR="00F41691">
        <w:rPr>
          <w:color w:val="000000" w:themeColor="text1"/>
        </w:rPr>
        <w:t xml:space="preserve"> is almost twice the </w:t>
      </w:r>
      <w:r w:rsidR="00BE3E8E">
        <w:rPr>
          <w:color w:val="000000" w:themeColor="text1"/>
        </w:rPr>
        <w:t>yield observed in the base case (Test 1)</w:t>
      </w:r>
      <w:r w:rsidR="005012F8" w:rsidRPr="00E21C99">
        <w:rPr>
          <w:color w:val="000000" w:themeColor="text1"/>
        </w:rPr>
        <w:t>.</w:t>
      </w:r>
      <w:r w:rsidR="004A76C3" w:rsidRPr="00E21C99">
        <w:rPr>
          <w:color w:val="000000" w:themeColor="text1"/>
        </w:rPr>
        <w:t xml:space="preserve"> When the </w:t>
      </w:r>
      <w:r w:rsidR="007B7637">
        <w:rPr>
          <w:color w:val="000000" w:themeColor="text1"/>
        </w:rPr>
        <w:t>intended measures for improved bio-oil are used jointly</w:t>
      </w:r>
      <w:r w:rsidR="004A76C3" w:rsidRPr="00E21C99">
        <w:rPr>
          <w:color w:val="000000" w:themeColor="text1"/>
        </w:rPr>
        <w:t xml:space="preserve">, </w:t>
      </w:r>
      <w:r w:rsidR="007B7637">
        <w:rPr>
          <w:color w:val="000000" w:themeColor="text1"/>
        </w:rPr>
        <w:t>as</w:t>
      </w:r>
      <w:r w:rsidR="004A76C3" w:rsidRPr="00E21C99">
        <w:rPr>
          <w:color w:val="000000" w:themeColor="text1"/>
        </w:rPr>
        <w:t xml:space="preserve"> is the case of Test 3 (catalytic co-pyrolysis) and Test 6 (co-pyrolysis at 600 °C)</w:t>
      </w:r>
      <w:r w:rsidR="00216C8F" w:rsidRPr="00E21C99">
        <w:rPr>
          <w:color w:val="000000" w:themeColor="text1"/>
        </w:rPr>
        <w:t xml:space="preserve">, </w:t>
      </w:r>
      <w:r w:rsidR="007B7637">
        <w:rPr>
          <w:color w:val="000000" w:themeColor="text1"/>
        </w:rPr>
        <w:t xml:space="preserve">it appears that better </w:t>
      </w:r>
      <w:r w:rsidR="00352676" w:rsidRPr="00E21C99">
        <w:rPr>
          <w:color w:val="000000" w:themeColor="text1"/>
        </w:rPr>
        <w:t>performances are</w:t>
      </w:r>
      <w:r w:rsidR="007B7637">
        <w:rPr>
          <w:color w:val="000000" w:themeColor="text1"/>
        </w:rPr>
        <w:t xml:space="preserve"> obtained </w:t>
      </w:r>
      <w:r w:rsidR="00352676" w:rsidRPr="00E21C99">
        <w:rPr>
          <w:color w:val="000000" w:themeColor="text1"/>
        </w:rPr>
        <w:t xml:space="preserve">when co-pyrolysis is performed </w:t>
      </w:r>
      <w:r w:rsidR="007B7637">
        <w:rPr>
          <w:color w:val="000000" w:themeColor="text1"/>
        </w:rPr>
        <w:t>at high temperature under non-catalytic conditions</w:t>
      </w:r>
      <w:r w:rsidR="005703EF" w:rsidRPr="00E21C99">
        <w:rPr>
          <w:color w:val="000000" w:themeColor="text1"/>
        </w:rPr>
        <w:t>.</w:t>
      </w:r>
      <w:r w:rsidR="00216C8F" w:rsidRPr="00E21C99">
        <w:rPr>
          <w:color w:val="000000" w:themeColor="text1"/>
        </w:rPr>
        <w:t xml:space="preserve"> </w:t>
      </w:r>
      <w:r w:rsidR="005703EF" w:rsidRPr="00E21C99">
        <w:rPr>
          <w:color w:val="000000" w:themeColor="text1"/>
        </w:rPr>
        <w:lastRenderedPageBreak/>
        <w:t>I</w:t>
      </w:r>
      <w:r w:rsidR="00216C8F" w:rsidRPr="00E21C99">
        <w:rPr>
          <w:color w:val="000000" w:themeColor="text1"/>
        </w:rPr>
        <w:t>n fact, while in the presence of the catalyst (Test 6) there was a remarkable decrease in the yield of bio-oils (</w:t>
      </w:r>
      <w:r w:rsidR="0006484F" w:rsidRPr="00E21C99">
        <w:rPr>
          <w:rFonts w:cs="Arial"/>
          <w:color w:val="000000" w:themeColor="text1"/>
        </w:rPr>
        <w:t>by</w:t>
      </w:r>
      <w:r w:rsidR="00216C8F" w:rsidRPr="00E21C99">
        <w:rPr>
          <w:rFonts w:cs="Arial"/>
          <w:color w:val="000000" w:themeColor="text1"/>
        </w:rPr>
        <w:t xml:space="preserve"> 87</w:t>
      </w:r>
      <w:r w:rsidR="00E21C99" w:rsidRPr="00E21C99">
        <w:rPr>
          <w:rFonts w:cs="Arial"/>
          <w:color w:val="000000" w:themeColor="text1"/>
        </w:rPr>
        <w:t xml:space="preserve"> </w:t>
      </w:r>
      <w:r w:rsidR="00216C8F" w:rsidRPr="00E21C99">
        <w:rPr>
          <w:rFonts w:cs="Arial"/>
          <w:color w:val="000000" w:themeColor="text1"/>
        </w:rPr>
        <w:t>%</w:t>
      </w:r>
      <w:r w:rsidR="00216C8F" w:rsidRPr="00E21C99">
        <w:rPr>
          <w:color w:val="000000" w:themeColor="text1"/>
        </w:rPr>
        <w:t>) and an equally remarkable increase in the yield of water (</w:t>
      </w:r>
      <w:r w:rsidR="0006484F" w:rsidRPr="00E21C99">
        <w:rPr>
          <w:color w:val="000000" w:themeColor="text1"/>
        </w:rPr>
        <w:t xml:space="preserve">by </w:t>
      </w:r>
      <w:r w:rsidR="00216C8F" w:rsidRPr="00E21C99">
        <w:rPr>
          <w:color w:val="000000" w:themeColor="text1"/>
        </w:rPr>
        <w:t>175</w:t>
      </w:r>
      <w:r w:rsidR="00E21C99" w:rsidRPr="00E21C99">
        <w:rPr>
          <w:color w:val="000000" w:themeColor="text1"/>
        </w:rPr>
        <w:t xml:space="preserve"> </w:t>
      </w:r>
      <w:r w:rsidR="00216C8F" w:rsidRPr="00E21C99">
        <w:rPr>
          <w:color w:val="000000" w:themeColor="text1"/>
        </w:rPr>
        <w:t xml:space="preserve">%), </w:t>
      </w:r>
      <w:r w:rsidR="00822335">
        <w:rPr>
          <w:color w:val="000000" w:themeColor="text1"/>
        </w:rPr>
        <w:t xml:space="preserve">operation at </w:t>
      </w:r>
      <w:r w:rsidR="008457FF">
        <w:rPr>
          <w:color w:val="000000" w:themeColor="text1"/>
        </w:rPr>
        <w:t xml:space="preserve">a </w:t>
      </w:r>
      <w:r w:rsidR="00822335">
        <w:rPr>
          <w:color w:val="000000" w:themeColor="text1"/>
        </w:rPr>
        <w:t xml:space="preserve">higher temperature without catalyst </w:t>
      </w:r>
      <w:r w:rsidR="00216C8F" w:rsidRPr="00E21C99">
        <w:rPr>
          <w:color w:val="000000" w:themeColor="text1"/>
        </w:rPr>
        <w:t xml:space="preserve">(Test 6) </w:t>
      </w:r>
      <w:r w:rsidR="00822335">
        <w:rPr>
          <w:color w:val="000000" w:themeColor="text1"/>
        </w:rPr>
        <w:t xml:space="preserve">brought about a remarkable </w:t>
      </w:r>
      <w:r w:rsidR="00216C8F" w:rsidRPr="00E21C99">
        <w:rPr>
          <w:color w:val="000000" w:themeColor="text1"/>
        </w:rPr>
        <w:t xml:space="preserve">decrease in the </w:t>
      </w:r>
      <w:r w:rsidR="00822335">
        <w:rPr>
          <w:color w:val="000000" w:themeColor="text1"/>
        </w:rPr>
        <w:t xml:space="preserve">water </w:t>
      </w:r>
      <w:r w:rsidR="00216C8F" w:rsidRPr="00E21C99">
        <w:rPr>
          <w:color w:val="000000" w:themeColor="text1"/>
        </w:rPr>
        <w:t>yield (</w:t>
      </w:r>
      <w:r w:rsidR="0006484F" w:rsidRPr="00E21C99">
        <w:rPr>
          <w:rFonts w:cs="Arial"/>
          <w:color w:val="000000" w:themeColor="text1"/>
        </w:rPr>
        <w:t xml:space="preserve">by </w:t>
      </w:r>
      <w:r w:rsidR="008D41E0" w:rsidRPr="00E21C99">
        <w:rPr>
          <w:color w:val="000000" w:themeColor="text1"/>
        </w:rPr>
        <w:t>89 %</w:t>
      </w:r>
      <w:r w:rsidR="00216C8F" w:rsidRPr="00E21C99">
        <w:rPr>
          <w:color w:val="000000" w:themeColor="text1"/>
        </w:rPr>
        <w:t>)</w:t>
      </w:r>
      <w:r w:rsidR="008D41E0" w:rsidRPr="00E21C99">
        <w:rPr>
          <w:color w:val="000000" w:themeColor="text1"/>
        </w:rPr>
        <w:t xml:space="preserve"> with only a slight reduction in the oil yield (</w:t>
      </w:r>
      <w:r w:rsidR="0006484F" w:rsidRPr="00E21C99">
        <w:rPr>
          <w:color w:val="000000" w:themeColor="text1"/>
        </w:rPr>
        <w:t xml:space="preserve">by </w:t>
      </w:r>
      <w:r w:rsidR="008D41E0" w:rsidRPr="00E21C99">
        <w:rPr>
          <w:color w:val="000000" w:themeColor="text1"/>
        </w:rPr>
        <w:t>16 %). As regard</w:t>
      </w:r>
      <w:r w:rsidR="007B7637">
        <w:rPr>
          <w:color w:val="000000" w:themeColor="text1"/>
        </w:rPr>
        <w:t>s</w:t>
      </w:r>
      <w:r w:rsidR="008D41E0" w:rsidRPr="00E21C99">
        <w:rPr>
          <w:color w:val="000000" w:themeColor="text1"/>
        </w:rPr>
        <w:t xml:space="preserve"> the solid and gaseous pyrolytic </w:t>
      </w:r>
      <w:r w:rsidR="00054AD8" w:rsidRPr="00E21C99">
        <w:rPr>
          <w:color w:val="000000" w:themeColor="text1"/>
        </w:rPr>
        <w:t>by-</w:t>
      </w:r>
      <w:r w:rsidR="0006484F" w:rsidRPr="00E21C99">
        <w:rPr>
          <w:color w:val="000000" w:themeColor="text1"/>
        </w:rPr>
        <w:t>product</w:t>
      </w:r>
      <w:r w:rsidR="00054AD8" w:rsidRPr="00E21C99">
        <w:rPr>
          <w:color w:val="000000" w:themeColor="text1"/>
        </w:rPr>
        <w:t>s</w:t>
      </w:r>
      <w:r w:rsidR="0006484F" w:rsidRPr="00E21C99">
        <w:rPr>
          <w:color w:val="000000" w:themeColor="text1"/>
        </w:rPr>
        <w:t xml:space="preserve">, no noteworthy </w:t>
      </w:r>
      <w:r w:rsidR="008D41E0" w:rsidRPr="00E21C99">
        <w:rPr>
          <w:color w:val="000000" w:themeColor="text1"/>
        </w:rPr>
        <w:t>phenomena are observed</w:t>
      </w:r>
      <w:r w:rsidR="00822335">
        <w:rPr>
          <w:color w:val="000000" w:themeColor="text1"/>
        </w:rPr>
        <w:t xml:space="preserve">. When analyzing alternative operating conditions with respect to the base-case Test </w:t>
      </w:r>
      <w:r w:rsidR="00A94DEB">
        <w:rPr>
          <w:color w:val="000000" w:themeColor="text1"/>
        </w:rPr>
        <w:t> </w:t>
      </w:r>
      <w:r w:rsidR="004D0BF3">
        <w:rPr>
          <w:color w:val="000000" w:themeColor="text1"/>
        </w:rPr>
        <w:t>1</w:t>
      </w:r>
      <w:r w:rsidR="00822335">
        <w:rPr>
          <w:color w:val="000000" w:themeColor="text1"/>
        </w:rPr>
        <w:t>, the following statements hold</w:t>
      </w:r>
      <w:r w:rsidR="005334E7" w:rsidRPr="00E21C99">
        <w:rPr>
          <w:color w:val="000000" w:themeColor="text1"/>
        </w:rPr>
        <w:t xml:space="preserve">: i) co-processing </w:t>
      </w:r>
      <w:r w:rsidR="00054AD8" w:rsidRPr="00E21C99">
        <w:rPr>
          <w:color w:val="000000" w:themeColor="text1"/>
        </w:rPr>
        <w:t xml:space="preserve">of OS </w:t>
      </w:r>
      <w:r w:rsidR="005334E7" w:rsidRPr="00E21C99">
        <w:rPr>
          <w:color w:val="000000" w:themeColor="text1"/>
        </w:rPr>
        <w:t xml:space="preserve">with </w:t>
      </w:r>
      <w:r w:rsidR="005334E7" w:rsidRPr="00E21C99">
        <w:rPr>
          <w:rFonts w:cs="Arial"/>
          <w:color w:val="000000" w:themeColor="text1"/>
          <w:shd w:val="clear" w:color="auto" w:fill="FFFFFF"/>
        </w:rPr>
        <w:t xml:space="preserve">hydrogen-rich plastic material (Test </w:t>
      </w:r>
      <w:r w:rsidR="005334E7" w:rsidRPr="00E21C99">
        <w:rPr>
          <w:color w:val="000000" w:themeColor="text1"/>
        </w:rPr>
        <w:t>2)</w:t>
      </w:r>
      <w:r w:rsidR="0006484F" w:rsidRPr="00E21C99">
        <w:rPr>
          <w:color w:val="000000" w:themeColor="text1"/>
        </w:rPr>
        <w:t xml:space="preserve"> </w:t>
      </w:r>
      <w:r w:rsidR="00AF1862" w:rsidRPr="00E21C99">
        <w:rPr>
          <w:color w:val="000000" w:themeColor="text1"/>
        </w:rPr>
        <w:t xml:space="preserve">favorably </w:t>
      </w:r>
      <w:r w:rsidR="00054AD8" w:rsidRPr="00E21C99">
        <w:rPr>
          <w:color w:val="000000" w:themeColor="text1"/>
        </w:rPr>
        <w:t xml:space="preserve">lead to the </w:t>
      </w:r>
      <w:r w:rsidR="005334E7" w:rsidRPr="00E21C99">
        <w:rPr>
          <w:color w:val="000000" w:themeColor="text1"/>
        </w:rPr>
        <w:t>decrease in both the solid (by 17</w:t>
      </w:r>
      <w:r w:rsidR="0096345A">
        <w:rPr>
          <w:color w:val="000000" w:themeColor="text1"/>
        </w:rPr>
        <w:t xml:space="preserve"> </w:t>
      </w:r>
      <w:r w:rsidR="005334E7" w:rsidRPr="00E21C99">
        <w:rPr>
          <w:color w:val="000000" w:themeColor="text1"/>
        </w:rPr>
        <w:t>%) and the gaseous (by 42</w:t>
      </w:r>
      <w:r w:rsidR="0096345A">
        <w:rPr>
          <w:color w:val="000000" w:themeColor="text1"/>
        </w:rPr>
        <w:t xml:space="preserve"> </w:t>
      </w:r>
      <w:r w:rsidR="005334E7" w:rsidRPr="00E21C99">
        <w:rPr>
          <w:color w:val="000000" w:themeColor="text1"/>
        </w:rPr>
        <w:t xml:space="preserve">%) </w:t>
      </w:r>
      <w:r w:rsidR="00054AD8" w:rsidRPr="00E21C99">
        <w:rPr>
          <w:color w:val="000000" w:themeColor="text1"/>
        </w:rPr>
        <w:t>yields</w:t>
      </w:r>
      <w:r w:rsidR="005334E7" w:rsidRPr="00E21C99">
        <w:rPr>
          <w:color w:val="000000" w:themeColor="text1"/>
        </w:rPr>
        <w:t xml:space="preserve">; ii) </w:t>
      </w:r>
      <w:r w:rsidR="00822335">
        <w:rPr>
          <w:color w:val="000000" w:themeColor="text1"/>
        </w:rPr>
        <w:t xml:space="preserve">catalyst </w:t>
      </w:r>
      <w:r w:rsidR="00AF1862" w:rsidRPr="00E21C99">
        <w:rPr>
          <w:color w:val="000000" w:themeColor="text1"/>
        </w:rPr>
        <w:t xml:space="preserve">addition (Test 4) results in </w:t>
      </w:r>
      <w:r w:rsidR="008457FF">
        <w:rPr>
          <w:color w:val="000000" w:themeColor="text1"/>
        </w:rPr>
        <w:t>an</w:t>
      </w:r>
      <w:r w:rsidR="00AF1862" w:rsidRPr="00E21C99">
        <w:rPr>
          <w:color w:val="000000" w:themeColor="text1"/>
        </w:rPr>
        <w:t xml:space="preserve"> undesirable increase in the yield of both solid (by 40</w:t>
      </w:r>
      <w:r w:rsidR="0096345A">
        <w:rPr>
          <w:color w:val="000000" w:themeColor="text1"/>
        </w:rPr>
        <w:t xml:space="preserve"> </w:t>
      </w:r>
      <w:r w:rsidR="00AF1862" w:rsidRPr="00E21C99">
        <w:rPr>
          <w:color w:val="000000" w:themeColor="text1"/>
        </w:rPr>
        <w:t>%) and gaseous (by 13</w:t>
      </w:r>
      <w:r w:rsidR="0096345A">
        <w:rPr>
          <w:color w:val="000000" w:themeColor="text1"/>
        </w:rPr>
        <w:t xml:space="preserve"> </w:t>
      </w:r>
      <w:r w:rsidR="00AF1862" w:rsidRPr="00E21C99">
        <w:rPr>
          <w:color w:val="000000" w:themeColor="text1"/>
        </w:rPr>
        <w:t>%) by-products</w:t>
      </w:r>
      <w:r w:rsidR="005334E7" w:rsidRPr="00E21C99">
        <w:rPr>
          <w:color w:val="000000" w:themeColor="text1"/>
        </w:rPr>
        <w:t xml:space="preserve">; </w:t>
      </w:r>
      <w:r w:rsidR="00AF1862" w:rsidRPr="00E21C99">
        <w:rPr>
          <w:color w:val="000000" w:themeColor="text1"/>
        </w:rPr>
        <w:t>and</w:t>
      </w:r>
      <w:r w:rsidR="005334E7" w:rsidRPr="00E21C99">
        <w:rPr>
          <w:color w:val="000000" w:themeColor="text1"/>
        </w:rPr>
        <w:t xml:space="preserve"> iii) </w:t>
      </w:r>
      <w:r w:rsidR="00054AD8" w:rsidRPr="00E21C99">
        <w:rPr>
          <w:color w:val="000000" w:themeColor="text1"/>
        </w:rPr>
        <w:t>the rise of the</w:t>
      </w:r>
      <w:r w:rsidR="005334E7" w:rsidRPr="00E21C99">
        <w:rPr>
          <w:color w:val="000000" w:themeColor="text1"/>
        </w:rPr>
        <w:t xml:space="preserve"> operati</w:t>
      </w:r>
      <w:r w:rsidR="00822335">
        <w:rPr>
          <w:color w:val="000000" w:themeColor="text1"/>
        </w:rPr>
        <w:t>ng</w:t>
      </w:r>
      <w:r w:rsidR="005334E7" w:rsidRPr="00E21C99">
        <w:rPr>
          <w:color w:val="000000" w:themeColor="text1"/>
        </w:rPr>
        <w:t xml:space="preserve"> temperature (Test 5) results in </w:t>
      </w:r>
      <w:r w:rsidR="00054AD8" w:rsidRPr="00E21C99">
        <w:rPr>
          <w:color w:val="000000" w:themeColor="text1"/>
        </w:rPr>
        <w:t>a</w:t>
      </w:r>
      <w:r w:rsidR="00AF1862" w:rsidRPr="00E21C99">
        <w:rPr>
          <w:color w:val="000000" w:themeColor="text1"/>
        </w:rPr>
        <w:t xml:space="preserve"> significant reduction of the solid yield (by 38</w:t>
      </w:r>
      <w:r w:rsidR="0096345A">
        <w:rPr>
          <w:color w:val="000000" w:themeColor="text1"/>
        </w:rPr>
        <w:t xml:space="preserve"> </w:t>
      </w:r>
      <w:r w:rsidR="00AF1862" w:rsidRPr="00E21C99">
        <w:rPr>
          <w:color w:val="000000" w:themeColor="text1"/>
        </w:rPr>
        <w:t xml:space="preserve">%), which is unfavorably coupled with the rise of the </w:t>
      </w:r>
      <w:r w:rsidR="00822335" w:rsidRPr="00E21C99">
        <w:rPr>
          <w:color w:val="000000" w:themeColor="text1"/>
        </w:rPr>
        <w:t xml:space="preserve">yield of </w:t>
      </w:r>
      <w:r w:rsidR="00054AD8" w:rsidRPr="00E21C99">
        <w:rPr>
          <w:color w:val="000000" w:themeColor="text1"/>
        </w:rPr>
        <w:t>pyrolytic gases (by 18</w:t>
      </w:r>
      <w:r w:rsidR="0096345A">
        <w:rPr>
          <w:color w:val="000000" w:themeColor="text1"/>
        </w:rPr>
        <w:t xml:space="preserve"> </w:t>
      </w:r>
      <w:r w:rsidR="00054AD8" w:rsidRPr="00E21C99">
        <w:rPr>
          <w:color w:val="000000" w:themeColor="text1"/>
        </w:rPr>
        <w:t xml:space="preserve">%). </w:t>
      </w:r>
      <w:r w:rsidR="0001359F" w:rsidRPr="00E21C99">
        <w:rPr>
          <w:color w:val="000000" w:themeColor="text1"/>
        </w:rPr>
        <w:t xml:space="preserve">When the </w:t>
      </w:r>
      <w:r w:rsidR="0001359F">
        <w:rPr>
          <w:color w:val="000000" w:themeColor="text1"/>
        </w:rPr>
        <w:t>intended measures for improved bio-oil are used jointly</w:t>
      </w:r>
      <w:r w:rsidR="0001359F" w:rsidRPr="00E21C99">
        <w:rPr>
          <w:color w:val="000000" w:themeColor="text1"/>
        </w:rPr>
        <w:t xml:space="preserve"> </w:t>
      </w:r>
      <w:r w:rsidR="00AF1862" w:rsidRPr="00E21C99">
        <w:rPr>
          <w:color w:val="000000" w:themeColor="text1"/>
        </w:rPr>
        <w:t xml:space="preserve">(Test 3 and 6), </w:t>
      </w:r>
      <w:r w:rsidR="00E446BA" w:rsidRPr="00E21C99">
        <w:rPr>
          <w:color w:val="000000" w:themeColor="text1"/>
        </w:rPr>
        <w:t>increase</w:t>
      </w:r>
      <w:r w:rsidR="0001359F">
        <w:rPr>
          <w:color w:val="000000" w:themeColor="text1"/>
        </w:rPr>
        <w:t>d</w:t>
      </w:r>
      <w:r w:rsidR="00E446BA" w:rsidRPr="00E21C99">
        <w:rPr>
          <w:color w:val="000000" w:themeColor="text1"/>
        </w:rPr>
        <w:t xml:space="preserve"> formation of the pyrolysis by-products</w:t>
      </w:r>
      <w:r w:rsidR="0001359F">
        <w:rPr>
          <w:color w:val="000000" w:themeColor="text1"/>
        </w:rPr>
        <w:t xml:space="preserve"> is observed</w:t>
      </w:r>
      <w:r w:rsidR="00E446BA" w:rsidRPr="00E21C99">
        <w:rPr>
          <w:color w:val="000000" w:themeColor="text1"/>
        </w:rPr>
        <w:t>, except for a slight decrease in the solid yield in the case of co-pyrolysis at 600</w:t>
      </w:r>
      <w:r w:rsidR="005703EF" w:rsidRPr="00E21C99">
        <w:rPr>
          <w:color w:val="000000" w:themeColor="text1"/>
        </w:rPr>
        <w:t> </w:t>
      </w:r>
      <w:r w:rsidR="00E446BA" w:rsidRPr="00E21C99">
        <w:rPr>
          <w:color w:val="000000" w:themeColor="text1"/>
        </w:rPr>
        <w:t xml:space="preserve">°C (Test 6). </w:t>
      </w:r>
      <w:r w:rsidR="008C2D58" w:rsidRPr="00B20D10">
        <w:rPr>
          <w:color w:val="000000" w:themeColor="text1"/>
        </w:rPr>
        <w:t xml:space="preserve">It is worth noting that </w:t>
      </w:r>
      <w:r w:rsidR="008C2D58" w:rsidRPr="00B20D10">
        <w:t xml:space="preserve">only </w:t>
      </w:r>
      <w:r w:rsidR="00AE3557" w:rsidRPr="00B20D10">
        <w:t xml:space="preserve">a few </w:t>
      </w:r>
      <w:r w:rsidR="008C2D58" w:rsidRPr="00B20D10">
        <w:t>studies</w:t>
      </w:r>
      <w:r w:rsidR="008C2D58" w:rsidRPr="00B20D10">
        <w:rPr>
          <w:color w:val="000000" w:themeColor="text1"/>
        </w:rPr>
        <w:t xml:space="preserve"> are available on co-pyrolysis of </w:t>
      </w:r>
      <w:r w:rsidR="00AE3557" w:rsidRPr="00B20D10">
        <w:rPr>
          <w:color w:val="000000" w:themeColor="text1"/>
        </w:rPr>
        <w:t xml:space="preserve">waste </w:t>
      </w:r>
      <w:r w:rsidR="008C2D58" w:rsidRPr="00B20D10">
        <w:rPr>
          <w:color w:val="000000" w:themeColor="text1"/>
        </w:rPr>
        <w:t>plastic and solid biomass</w:t>
      </w:r>
      <w:r w:rsidR="00D36E35" w:rsidRPr="00B20D10">
        <w:rPr>
          <w:color w:val="000000" w:themeColor="text1"/>
        </w:rPr>
        <w:t xml:space="preserve"> in </w:t>
      </w:r>
      <w:r w:rsidR="00043B36" w:rsidRPr="00B20D10">
        <w:rPr>
          <w:color w:val="000000" w:themeColor="text1"/>
        </w:rPr>
        <w:t>fluidized-bed reactors (Wang et al., 2021)</w:t>
      </w:r>
      <w:r w:rsidR="00D36E35" w:rsidRPr="00B20D10">
        <w:rPr>
          <w:color w:val="000000" w:themeColor="text1"/>
        </w:rPr>
        <w:t>,</w:t>
      </w:r>
      <w:r w:rsidR="00043B36" w:rsidRPr="00B20D10">
        <w:rPr>
          <w:color w:val="000000" w:themeColor="text1"/>
        </w:rPr>
        <w:t xml:space="preserve"> </w:t>
      </w:r>
      <w:r w:rsidR="00D36E35" w:rsidRPr="00B20D10">
        <w:rPr>
          <w:color w:val="000000" w:themeColor="text1"/>
        </w:rPr>
        <w:t>most of which provide</w:t>
      </w:r>
      <w:r w:rsidR="00054AD8" w:rsidRPr="00B20D10">
        <w:rPr>
          <w:color w:val="000000" w:themeColor="text1"/>
        </w:rPr>
        <w:t xml:space="preserve"> preliminary test</w:t>
      </w:r>
      <w:r w:rsidR="000630E4" w:rsidRPr="00B20D10">
        <w:rPr>
          <w:color w:val="000000" w:themeColor="text1"/>
        </w:rPr>
        <w:t xml:space="preserve"> </w:t>
      </w:r>
      <w:r w:rsidR="00D36E35" w:rsidRPr="00B20D10">
        <w:rPr>
          <w:color w:val="000000" w:themeColor="text1"/>
        </w:rPr>
        <w:t xml:space="preserve">results </w:t>
      </w:r>
      <w:r w:rsidR="000630E4" w:rsidRPr="00B20D10">
        <w:rPr>
          <w:color w:val="000000" w:themeColor="text1"/>
        </w:rPr>
        <w:t>under non-optimized operating conditions</w:t>
      </w:r>
      <w:r w:rsidR="00054AD8" w:rsidRPr="00B20D10">
        <w:rPr>
          <w:color w:val="000000" w:themeColor="text1"/>
        </w:rPr>
        <w:t xml:space="preserve">. </w:t>
      </w:r>
      <w:r w:rsidR="000630E4" w:rsidRPr="00B20D10">
        <w:rPr>
          <w:color w:val="000000" w:themeColor="text1"/>
        </w:rPr>
        <w:t xml:space="preserve">Careful analysis of results in the light of chemical reaction engineering and industrial catalysis principles and criteria </w:t>
      </w:r>
      <w:r w:rsidR="00144F37" w:rsidRPr="00B20D10">
        <w:rPr>
          <w:color w:val="000000" w:themeColor="text1"/>
        </w:rPr>
        <w:t xml:space="preserve">indicate that there is ample space for improvement </w:t>
      </w:r>
      <w:r w:rsidR="00054AD8" w:rsidRPr="00B20D10">
        <w:rPr>
          <w:color w:val="000000" w:themeColor="text1"/>
        </w:rPr>
        <w:t xml:space="preserve">by optimizing the physicochemical properties of the catalysts, as well as the operating conditions (e.g., pyrolysis temperature, biomass to LDPE ratio, feedstock to catalyst ratio, volatiles residence time, </w:t>
      </w:r>
      <w:r w:rsidR="00144F37" w:rsidRPr="00B20D10">
        <w:rPr>
          <w:color w:val="000000" w:themeColor="text1"/>
        </w:rPr>
        <w:t>gas-</w:t>
      </w:r>
      <w:r w:rsidR="00054AD8" w:rsidRPr="00B20D10">
        <w:rPr>
          <w:color w:val="000000" w:themeColor="text1"/>
        </w:rPr>
        <w:t>solid contact time</w:t>
      </w:r>
      <w:r w:rsidR="00144F37" w:rsidRPr="00B20D10">
        <w:rPr>
          <w:color w:val="000000" w:themeColor="text1"/>
        </w:rPr>
        <w:t>, gas flow pattern</w:t>
      </w:r>
      <w:r w:rsidR="00054AD8" w:rsidRPr="00B20D10">
        <w:rPr>
          <w:color w:val="000000" w:themeColor="text1"/>
        </w:rPr>
        <w:t>)</w:t>
      </w:r>
      <w:r w:rsidR="00144F37" w:rsidRPr="00B20D10">
        <w:rPr>
          <w:color w:val="000000" w:themeColor="text1"/>
        </w:rPr>
        <w:t xml:space="preserve"> of the pyrolytic converter, so as to take full advantage of the superior performance of fluidized bed reactors for the specific purpose</w:t>
      </w:r>
      <w:r w:rsidR="00054AD8" w:rsidRPr="00B20D10">
        <w:rPr>
          <w:color w:val="000000" w:themeColor="text1"/>
        </w:rPr>
        <w:t>.</w:t>
      </w:r>
      <w:r w:rsidR="00043B36" w:rsidRPr="00B20D10">
        <w:t xml:space="preserve"> </w:t>
      </w:r>
      <w:r w:rsidR="00195426" w:rsidRPr="00B20D10">
        <w:t>T</w:t>
      </w:r>
      <w:r w:rsidR="00D36E35" w:rsidRPr="00B20D10">
        <w:t>he</w:t>
      </w:r>
      <w:r w:rsidR="00043B36" w:rsidRPr="00B20D10">
        <w:t xml:space="preserve"> </w:t>
      </w:r>
      <w:r w:rsidR="00D36E35" w:rsidRPr="00B20D10">
        <w:t xml:space="preserve">upgrading </w:t>
      </w:r>
      <w:r w:rsidR="00043B36" w:rsidRPr="00B20D10">
        <w:t xml:space="preserve">of the condensation system is also </w:t>
      </w:r>
      <w:r w:rsidR="00D36E35" w:rsidRPr="00B20D10">
        <w:t xml:space="preserve">required to ensure </w:t>
      </w:r>
      <w:bookmarkStart w:id="0" w:name="_GoBack"/>
      <w:bookmarkEnd w:id="0"/>
      <w:r w:rsidR="00D36E35" w:rsidRPr="00B20D10">
        <w:t>more eff</w:t>
      </w:r>
      <w:r w:rsidR="00195426" w:rsidRPr="00B20D10">
        <w:t>ective</w:t>
      </w:r>
      <w:r w:rsidR="00D36E35" w:rsidRPr="00B20D10">
        <w:t xml:space="preserve"> recovery </w:t>
      </w:r>
      <w:r w:rsidR="00043B36" w:rsidRPr="00B20D10">
        <w:t xml:space="preserve">of </w:t>
      </w:r>
      <w:r w:rsidR="00195426" w:rsidRPr="00B20D10">
        <w:t xml:space="preserve">the </w:t>
      </w:r>
      <w:r w:rsidR="00043B36" w:rsidRPr="00B20D10">
        <w:t>liquid products</w:t>
      </w:r>
      <w:r w:rsidR="00195426" w:rsidRPr="00B20D10">
        <w:t xml:space="preserve"> </w:t>
      </w:r>
      <w:r w:rsidR="00D36E35" w:rsidRPr="00B20D10">
        <w:t>and</w:t>
      </w:r>
      <w:r w:rsidR="00195426" w:rsidRPr="00B20D10">
        <w:t>,</w:t>
      </w:r>
      <w:r w:rsidR="00D36E35" w:rsidRPr="00B20D10">
        <w:t xml:space="preserve"> </w:t>
      </w:r>
      <w:r w:rsidR="00195426" w:rsidRPr="00B20D10">
        <w:t xml:space="preserve">hence, to </w:t>
      </w:r>
      <w:r w:rsidR="00D36E35" w:rsidRPr="00B20D10">
        <w:t>improve mass balance closures</w:t>
      </w:r>
      <w:r w:rsidR="00043B36" w:rsidRPr="00B20D10">
        <w:t>.</w:t>
      </w:r>
    </w:p>
    <w:p w14:paraId="3FEB5876" w14:textId="75F78DAE" w:rsidR="00040E7D" w:rsidRDefault="00040E7D" w:rsidP="00132B5E">
      <w:pPr>
        <w:pStyle w:val="CETBodytext"/>
        <w:spacing w:before="240" w:after="80" w:line="240" w:lineRule="exact"/>
        <w:rPr>
          <w:i/>
        </w:rPr>
      </w:pPr>
      <w:r w:rsidRPr="00040E7D">
        <w:rPr>
          <w:i/>
        </w:rPr>
        <w:t xml:space="preserve">Table </w:t>
      </w:r>
      <w:r w:rsidR="0090139C">
        <w:rPr>
          <w:i/>
        </w:rPr>
        <w:t>2</w:t>
      </w:r>
      <w:r w:rsidRPr="00040E7D">
        <w:rPr>
          <w:i/>
        </w:rPr>
        <w:t>: Product yield distribution</w:t>
      </w:r>
    </w:p>
    <w:tbl>
      <w:tblPr>
        <w:tblW w:w="8503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345"/>
        <w:gridCol w:w="1077"/>
        <w:gridCol w:w="1077"/>
        <w:gridCol w:w="1077"/>
        <w:gridCol w:w="1077"/>
      </w:tblGrid>
      <w:tr w:rsidR="001773F6" w:rsidRPr="00B57B36" w14:paraId="75E71D1B" w14:textId="21453681" w:rsidTr="005D680D"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3776F8A" w14:textId="76D1C2D3" w:rsidR="001773F6" w:rsidRPr="00B57B36" w:rsidRDefault="001773F6" w:rsidP="001773F6">
            <w:pPr>
              <w:pStyle w:val="CETBodytext"/>
              <w:jc w:val="center"/>
              <w:rPr>
                <w:lang w:val="en-GB"/>
              </w:rPr>
            </w:pPr>
            <w:r w:rsidRPr="00020DF2">
              <w:t>Test No.</w:t>
            </w:r>
          </w:p>
        </w:tc>
        <w:tc>
          <w:tcPr>
            <w:tcW w:w="334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5C6382" w14:textId="77777777" w:rsidR="00630A16" w:rsidRDefault="00630A16" w:rsidP="00E21C99">
            <w:pPr>
              <w:pStyle w:val="CETBodytext"/>
              <w:jc w:val="center"/>
            </w:pPr>
            <w:r>
              <w:t>Test operating conditions:</w:t>
            </w:r>
          </w:p>
          <w:p w14:paraId="37FEC206" w14:textId="181D8EBE" w:rsidR="001773F6" w:rsidRPr="00B57B36" w:rsidRDefault="00630A16" w:rsidP="00E21C99">
            <w:pPr>
              <w:pStyle w:val="CETBodytext"/>
              <w:jc w:val="center"/>
              <w:rPr>
                <w:lang w:val="en-GB"/>
              </w:rPr>
            </w:pPr>
            <w:r>
              <w:t>f</w:t>
            </w:r>
            <w:r w:rsidR="001773F6" w:rsidRPr="00020DF2">
              <w:t>eedstock</w:t>
            </w:r>
            <w:r>
              <w:t>/</w:t>
            </w:r>
            <w:r w:rsidR="001773F6" w:rsidRPr="00020DF2">
              <w:t>bed</w:t>
            </w:r>
            <w:r>
              <w:t xml:space="preserve"> material/t</w:t>
            </w:r>
            <w:r w:rsidR="001773F6" w:rsidRPr="00020DF2">
              <w:t>emperature</w:t>
            </w:r>
            <w:r>
              <w:t xml:space="preserve"> (°C)</w:t>
            </w:r>
          </w:p>
        </w:tc>
        <w:tc>
          <w:tcPr>
            <w:tcW w:w="107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3661F32" w14:textId="5616CB6C" w:rsidR="001773F6" w:rsidRPr="00B57B36" w:rsidRDefault="001773F6" w:rsidP="001773F6">
            <w:pPr>
              <w:pStyle w:val="CETBodytext"/>
              <w:jc w:val="center"/>
              <w:rPr>
                <w:lang w:val="en-GB"/>
              </w:rPr>
            </w:pPr>
            <w:r w:rsidRPr="00020DF2">
              <w:t>Gas yield (%wt.)</w:t>
            </w:r>
          </w:p>
        </w:tc>
        <w:tc>
          <w:tcPr>
            <w:tcW w:w="107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C791CA" w14:textId="20AFD2EA" w:rsidR="001773F6" w:rsidRPr="00B57B36" w:rsidRDefault="001773F6" w:rsidP="001773F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t xml:space="preserve">Oil </w:t>
            </w:r>
            <w:r w:rsidRPr="00020DF2">
              <w:t>yield (%wt.)</w:t>
            </w:r>
          </w:p>
        </w:tc>
        <w:tc>
          <w:tcPr>
            <w:tcW w:w="107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630B6F1" w14:textId="237D00AC" w:rsidR="001773F6" w:rsidRPr="00B57B36" w:rsidRDefault="001773F6" w:rsidP="001773F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020DF2">
              <w:t>Solid yield (%wt.)</w:t>
            </w:r>
          </w:p>
        </w:tc>
        <w:tc>
          <w:tcPr>
            <w:tcW w:w="107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748BE8A" w14:textId="05EADEEF" w:rsidR="001773F6" w:rsidRPr="00020DF2" w:rsidRDefault="001773F6" w:rsidP="001773F6">
            <w:pPr>
              <w:pStyle w:val="CETBodytext"/>
              <w:ind w:right="-1"/>
              <w:jc w:val="center"/>
            </w:pPr>
            <w:r>
              <w:t xml:space="preserve"> </w:t>
            </w:r>
            <w:r w:rsidRPr="001773F6">
              <w:t>Water yield (%wt.)</w:t>
            </w:r>
          </w:p>
        </w:tc>
      </w:tr>
      <w:tr w:rsidR="00751E20" w:rsidRPr="00B57B36" w14:paraId="49B3864A" w14:textId="3CC29F81" w:rsidTr="005D680D">
        <w:tc>
          <w:tcPr>
            <w:tcW w:w="850" w:type="dxa"/>
            <w:shd w:val="clear" w:color="auto" w:fill="FFFFFF"/>
          </w:tcPr>
          <w:p w14:paraId="3E5481AE" w14:textId="35C53681" w:rsidR="00751E20" w:rsidRPr="001773F6" w:rsidRDefault="00751E20" w:rsidP="00751E20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szCs w:val="18"/>
              </w:rPr>
              <w:t>Test 1</w:t>
            </w:r>
          </w:p>
        </w:tc>
        <w:tc>
          <w:tcPr>
            <w:tcW w:w="3345" w:type="dxa"/>
            <w:shd w:val="clear" w:color="auto" w:fill="FFFFFF"/>
          </w:tcPr>
          <w:p w14:paraId="4AFFC734" w14:textId="563824E9" w:rsidR="00751E20" w:rsidRPr="001773F6" w:rsidRDefault="00751E20" w:rsidP="00630A16">
            <w:pPr>
              <w:pStyle w:val="CETBodytext"/>
              <w:ind w:right="-425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sand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>
              <w:rPr>
                <w:rFonts w:cs="Arial"/>
                <w:color w:val="000000"/>
                <w:szCs w:val="18"/>
                <w:lang w:eastAsia="it-IT"/>
              </w:rPr>
              <w:t>500</w:t>
            </w:r>
          </w:p>
        </w:tc>
        <w:tc>
          <w:tcPr>
            <w:tcW w:w="1077" w:type="dxa"/>
            <w:shd w:val="clear" w:color="auto" w:fill="FFFFFF"/>
          </w:tcPr>
          <w:p w14:paraId="5189EB4F" w14:textId="25EF6A5E" w:rsidR="00751E20" w:rsidRPr="00351813" w:rsidRDefault="00751E20" w:rsidP="00751E20">
            <w:pPr>
              <w:pStyle w:val="CETBodytext"/>
              <w:jc w:val="center"/>
              <w:rPr>
                <w:highlight w:val="yellow"/>
                <w:lang w:val="en-GB"/>
              </w:rPr>
            </w:pPr>
            <w:r w:rsidRPr="004318B4">
              <w:t>18.3</w:t>
            </w:r>
          </w:p>
        </w:tc>
        <w:tc>
          <w:tcPr>
            <w:tcW w:w="1077" w:type="dxa"/>
            <w:shd w:val="clear" w:color="auto" w:fill="FFFFFF"/>
          </w:tcPr>
          <w:p w14:paraId="3315123D" w14:textId="10229195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41.0</w:t>
            </w:r>
          </w:p>
        </w:tc>
        <w:tc>
          <w:tcPr>
            <w:tcW w:w="1077" w:type="dxa"/>
            <w:shd w:val="clear" w:color="auto" w:fill="FFFFFF"/>
          </w:tcPr>
          <w:p w14:paraId="4A696E26" w14:textId="0957AD24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12.8</w:t>
            </w:r>
          </w:p>
        </w:tc>
        <w:tc>
          <w:tcPr>
            <w:tcW w:w="1077" w:type="dxa"/>
            <w:shd w:val="clear" w:color="auto" w:fill="FFFFFF"/>
          </w:tcPr>
          <w:p w14:paraId="116DFCF2" w14:textId="41ACBF17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10.4</w:t>
            </w:r>
          </w:p>
        </w:tc>
      </w:tr>
      <w:tr w:rsidR="00751E20" w:rsidRPr="00B57B36" w14:paraId="1409C529" w14:textId="77777777" w:rsidTr="005D680D">
        <w:tc>
          <w:tcPr>
            <w:tcW w:w="850" w:type="dxa"/>
            <w:shd w:val="clear" w:color="auto" w:fill="FFFFFF"/>
          </w:tcPr>
          <w:p w14:paraId="63B9A5AB" w14:textId="69C8C595" w:rsidR="00751E20" w:rsidRPr="001773F6" w:rsidRDefault="00751E20" w:rsidP="00751E20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szCs w:val="18"/>
              </w:rPr>
              <w:t>Test 2</w:t>
            </w:r>
          </w:p>
        </w:tc>
        <w:tc>
          <w:tcPr>
            <w:tcW w:w="3345" w:type="dxa"/>
            <w:shd w:val="clear" w:color="auto" w:fill="FFFFFF"/>
          </w:tcPr>
          <w:p w14:paraId="6415790B" w14:textId="73B63DFD" w:rsidR="00751E20" w:rsidRPr="001773F6" w:rsidRDefault="00751E20" w:rsidP="00630A16">
            <w:pPr>
              <w:pStyle w:val="CETBodytext"/>
              <w:ind w:right="-425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-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LDPE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sand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>
              <w:rPr>
                <w:rFonts w:cs="Arial"/>
                <w:color w:val="000000"/>
                <w:szCs w:val="18"/>
                <w:lang w:eastAsia="it-IT"/>
              </w:rPr>
              <w:t>500</w:t>
            </w:r>
          </w:p>
        </w:tc>
        <w:tc>
          <w:tcPr>
            <w:tcW w:w="1077" w:type="dxa"/>
            <w:shd w:val="clear" w:color="auto" w:fill="FFFFFF"/>
          </w:tcPr>
          <w:p w14:paraId="26D198BA" w14:textId="66BE188F" w:rsidR="00751E20" w:rsidRPr="00351813" w:rsidRDefault="00D92114" w:rsidP="00751E20">
            <w:pPr>
              <w:pStyle w:val="CETBodytext"/>
              <w:jc w:val="center"/>
              <w:rPr>
                <w:highlight w:val="yellow"/>
                <w:lang w:val="en-GB"/>
              </w:rPr>
            </w:pPr>
            <w:r>
              <w:t>10.6</w:t>
            </w:r>
          </w:p>
        </w:tc>
        <w:tc>
          <w:tcPr>
            <w:tcW w:w="1077" w:type="dxa"/>
            <w:shd w:val="clear" w:color="auto" w:fill="FFFFFF"/>
          </w:tcPr>
          <w:p w14:paraId="51DCE977" w14:textId="25C10D81" w:rsidR="00751E20" w:rsidRPr="00351813" w:rsidRDefault="00D92114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>
              <w:t>37.9</w:t>
            </w:r>
          </w:p>
        </w:tc>
        <w:tc>
          <w:tcPr>
            <w:tcW w:w="1077" w:type="dxa"/>
            <w:shd w:val="clear" w:color="auto" w:fill="FFFFFF"/>
          </w:tcPr>
          <w:p w14:paraId="22F56887" w14:textId="7A2FC263" w:rsidR="00751E20" w:rsidRPr="00351813" w:rsidRDefault="00751E20" w:rsidP="00D92114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D72E3D">
              <w:t>10.</w:t>
            </w:r>
            <w:r w:rsidR="00D92114">
              <w:t>6</w:t>
            </w:r>
          </w:p>
        </w:tc>
        <w:tc>
          <w:tcPr>
            <w:tcW w:w="1077" w:type="dxa"/>
            <w:shd w:val="clear" w:color="auto" w:fill="FFFFFF"/>
          </w:tcPr>
          <w:p w14:paraId="3BB7C4E8" w14:textId="15413678" w:rsidR="00751E20" w:rsidRPr="00351813" w:rsidRDefault="00D92114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>
              <w:t>2.2</w:t>
            </w:r>
          </w:p>
        </w:tc>
      </w:tr>
      <w:tr w:rsidR="00751E20" w:rsidRPr="00B57B36" w14:paraId="235EA91B" w14:textId="77777777" w:rsidTr="005D680D">
        <w:tc>
          <w:tcPr>
            <w:tcW w:w="850" w:type="dxa"/>
            <w:shd w:val="clear" w:color="auto" w:fill="FFFFFF"/>
          </w:tcPr>
          <w:p w14:paraId="5AA8A075" w14:textId="5650D359" w:rsidR="00751E20" w:rsidRPr="001773F6" w:rsidRDefault="00751E20" w:rsidP="00751E20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szCs w:val="18"/>
              </w:rPr>
              <w:t>Test 3</w:t>
            </w:r>
          </w:p>
        </w:tc>
        <w:tc>
          <w:tcPr>
            <w:tcW w:w="3345" w:type="dxa"/>
            <w:shd w:val="clear" w:color="auto" w:fill="FFFFFF"/>
          </w:tcPr>
          <w:p w14:paraId="1220850B" w14:textId="6A62DA92" w:rsidR="00751E20" w:rsidRPr="001773F6" w:rsidRDefault="00630A16" w:rsidP="00630A16">
            <w:pPr>
              <w:tabs>
                <w:tab w:val="clear" w:pos="7100"/>
                <w:tab w:val="left" w:pos="284"/>
              </w:tabs>
              <w:spacing w:line="240" w:lineRule="auto"/>
              <w:jc w:val="center"/>
              <w:rPr>
                <w:rFonts w:cs="Arial"/>
                <w:color w:val="000000"/>
                <w:szCs w:val="18"/>
                <w:lang w:val="en-US" w:eastAsia="it-IT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>
              <w:rPr>
                <w:rFonts w:cs="Arial"/>
                <w:color w:val="000000"/>
                <w:szCs w:val="18"/>
                <w:lang w:eastAsia="it-IT"/>
              </w:rPr>
              <w:t>-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LDPE</w:t>
            </w:r>
            <w:r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="00751E20" w:rsidRPr="001773F6">
              <w:rPr>
                <w:rFonts w:cs="Arial"/>
                <w:szCs w:val="18"/>
                <w:lang w:eastAsia="it-IT"/>
              </w:rPr>
              <w:t>γ-</w:t>
            </w:r>
            <w:r w:rsidR="00751E20" w:rsidRPr="001773F6">
              <w:rPr>
                <w:rFonts w:cs="Arial"/>
                <w:color w:val="000000"/>
                <w:szCs w:val="18"/>
                <w:lang w:val="en-US" w:eastAsia="it-IT"/>
              </w:rPr>
              <w:t>alumina</w:t>
            </w:r>
            <w:r>
              <w:rPr>
                <w:rFonts w:cs="Arial"/>
                <w:color w:val="000000"/>
                <w:szCs w:val="18"/>
                <w:lang w:val="en-US" w:eastAsia="it-IT"/>
              </w:rPr>
              <w:t>/</w:t>
            </w:r>
            <w:r w:rsidR="00751E20">
              <w:rPr>
                <w:rFonts w:cs="Arial"/>
                <w:color w:val="000000"/>
                <w:szCs w:val="18"/>
                <w:lang w:val="en-US" w:eastAsia="it-IT"/>
              </w:rPr>
              <w:t>500</w:t>
            </w:r>
          </w:p>
        </w:tc>
        <w:tc>
          <w:tcPr>
            <w:tcW w:w="1077" w:type="dxa"/>
            <w:shd w:val="clear" w:color="auto" w:fill="FFFFFF"/>
          </w:tcPr>
          <w:p w14:paraId="049CB6FD" w14:textId="337F7A51" w:rsidR="00751E20" w:rsidRPr="00351813" w:rsidRDefault="00751E20" w:rsidP="00751E20">
            <w:pPr>
              <w:pStyle w:val="CETBodytext"/>
              <w:jc w:val="center"/>
              <w:rPr>
                <w:highlight w:val="yellow"/>
                <w:lang w:val="en-GB"/>
              </w:rPr>
            </w:pPr>
            <w:r w:rsidRPr="004318B4">
              <w:t>22.6</w:t>
            </w:r>
          </w:p>
        </w:tc>
        <w:tc>
          <w:tcPr>
            <w:tcW w:w="1077" w:type="dxa"/>
            <w:shd w:val="clear" w:color="auto" w:fill="FFFFFF"/>
          </w:tcPr>
          <w:p w14:paraId="0B24C009" w14:textId="3A017F77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5.4</w:t>
            </w:r>
          </w:p>
        </w:tc>
        <w:tc>
          <w:tcPr>
            <w:tcW w:w="1077" w:type="dxa"/>
            <w:shd w:val="clear" w:color="auto" w:fill="FFFFFF"/>
          </w:tcPr>
          <w:p w14:paraId="1BE7CE9F" w14:textId="667B781C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22.7</w:t>
            </w:r>
          </w:p>
        </w:tc>
        <w:tc>
          <w:tcPr>
            <w:tcW w:w="1077" w:type="dxa"/>
            <w:shd w:val="clear" w:color="auto" w:fill="FFFFFF"/>
          </w:tcPr>
          <w:p w14:paraId="26EE69D4" w14:textId="231EE442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28.6</w:t>
            </w:r>
          </w:p>
        </w:tc>
      </w:tr>
      <w:tr w:rsidR="00751E20" w:rsidRPr="00B57B36" w14:paraId="5D50CFBB" w14:textId="77777777" w:rsidTr="005D680D">
        <w:tc>
          <w:tcPr>
            <w:tcW w:w="850" w:type="dxa"/>
            <w:shd w:val="clear" w:color="auto" w:fill="FFFFFF"/>
          </w:tcPr>
          <w:p w14:paraId="0A246886" w14:textId="75C8DE96" w:rsidR="00751E20" w:rsidRPr="001773F6" w:rsidRDefault="00751E20" w:rsidP="00751E20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szCs w:val="18"/>
              </w:rPr>
              <w:t>Test 4</w:t>
            </w:r>
          </w:p>
        </w:tc>
        <w:tc>
          <w:tcPr>
            <w:tcW w:w="3345" w:type="dxa"/>
            <w:shd w:val="clear" w:color="auto" w:fill="FFFFFF"/>
            <w:vAlign w:val="center"/>
          </w:tcPr>
          <w:p w14:paraId="31CA939A" w14:textId="6FA33362" w:rsidR="00751E20" w:rsidRPr="001773F6" w:rsidRDefault="00751E20" w:rsidP="00630A16">
            <w:pPr>
              <w:pStyle w:val="CETBodytext"/>
              <w:ind w:right="-425"/>
              <w:jc w:val="center"/>
              <w:rPr>
                <w:rFonts w:cs="Arial"/>
                <w:szCs w:val="18"/>
                <w:lang w:val="en-GB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Pr="001773F6">
              <w:rPr>
                <w:rFonts w:cs="Arial"/>
                <w:szCs w:val="18"/>
                <w:lang w:eastAsia="it-IT"/>
              </w:rPr>
              <w:t>γ-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alumina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>
              <w:rPr>
                <w:rFonts w:cs="Arial"/>
                <w:color w:val="000000"/>
                <w:szCs w:val="18"/>
                <w:lang w:eastAsia="it-IT"/>
              </w:rPr>
              <w:t>500</w:t>
            </w:r>
          </w:p>
        </w:tc>
        <w:tc>
          <w:tcPr>
            <w:tcW w:w="1077" w:type="dxa"/>
            <w:shd w:val="clear" w:color="auto" w:fill="FFFFFF"/>
          </w:tcPr>
          <w:p w14:paraId="438D5A41" w14:textId="732779D6" w:rsidR="00751E20" w:rsidRPr="00351813" w:rsidRDefault="00751E20" w:rsidP="00751E20">
            <w:pPr>
              <w:pStyle w:val="CETBodytext"/>
              <w:jc w:val="center"/>
              <w:rPr>
                <w:highlight w:val="yellow"/>
                <w:lang w:val="en-GB"/>
              </w:rPr>
            </w:pPr>
            <w:r w:rsidRPr="004318B4">
              <w:t>20.8</w:t>
            </w:r>
          </w:p>
        </w:tc>
        <w:tc>
          <w:tcPr>
            <w:tcW w:w="1077" w:type="dxa"/>
            <w:shd w:val="clear" w:color="auto" w:fill="FFFFFF"/>
          </w:tcPr>
          <w:p w14:paraId="20CC4B41" w14:textId="4C79F9FB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16.4</w:t>
            </w:r>
          </w:p>
        </w:tc>
        <w:tc>
          <w:tcPr>
            <w:tcW w:w="1077" w:type="dxa"/>
            <w:shd w:val="clear" w:color="auto" w:fill="FFFFFF"/>
          </w:tcPr>
          <w:p w14:paraId="586FB5B5" w14:textId="7E77FA1B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17.9</w:t>
            </w:r>
          </w:p>
        </w:tc>
        <w:tc>
          <w:tcPr>
            <w:tcW w:w="1077" w:type="dxa"/>
            <w:shd w:val="clear" w:color="auto" w:fill="FFFFFF"/>
          </w:tcPr>
          <w:p w14:paraId="509ACA54" w14:textId="5BC2DB89" w:rsidR="00751E20" w:rsidRPr="00351813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highlight w:val="yellow"/>
                <w:lang w:val="en-GB"/>
              </w:rPr>
            </w:pPr>
            <w:r w:rsidRPr="004318B4">
              <w:t>20.7</w:t>
            </w:r>
          </w:p>
        </w:tc>
      </w:tr>
      <w:tr w:rsidR="00751E20" w:rsidRPr="00B57B36" w14:paraId="3329BF0D" w14:textId="77777777" w:rsidTr="005D680D">
        <w:tc>
          <w:tcPr>
            <w:tcW w:w="850" w:type="dxa"/>
            <w:shd w:val="clear" w:color="auto" w:fill="FFFFFF"/>
          </w:tcPr>
          <w:p w14:paraId="42D9A90F" w14:textId="550FA8AE" w:rsidR="00751E20" w:rsidRPr="00B57B36" w:rsidRDefault="00751E20" w:rsidP="00751E20">
            <w:pPr>
              <w:pStyle w:val="CETBodytext"/>
              <w:jc w:val="center"/>
              <w:rPr>
                <w:lang w:val="en-GB"/>
              </w:rPr>
            </w:pPr>
            <w:r w:rsidRPr="00D4557C">
              <w:t xml:space="preserve">Test </w:t>
            </w:r>
            <w:r>
              <w:t>5</w:t>
            </w:r>
          </w:p>
        </w:tc>
        <w:tc>
          <w:tcPr>
            <w:tcW w:w="3345" w:type="dxa"/>
            <w:shd w:val="clear" w:color="auto" w:fill="FFFFFF"/>
          </w:tcPr>
          <w:p w14:paraId="33376E8E" w14:textId="3335A7C9" w:rsidR="00751E20" w:rsidRPr="00B57B36" w:rsidRDefault="00751E20" w:rsidP="00630A16">
            <w:pPr>
              <w:pStyle w:val="CETBodytext"/>
              <w:jc w:val="center"/>
              <w:rPr>
                <w:lang w:val="en-GB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sand</w:t>
            </w:r>
            <w:r w:rsidR="00630A16">
              <w:rPr>
                <w:rFonts w:cs="Arial"/>
                <w:color w:val="000000"/>
                <w:szCs w:val="18"/>
                <w:lang w:eastAsia="it-IT"/>
              </w:rPr>
              <w:t>/</w:t>
            </w:r>
            <w:r>
              <w:rPr>
                <w:rFonts w:cs="Arial"/>
                <w:color w:val="000000"/>
                <w:szCs w:val="18"/>
                <w:lang w:eastAsia="it-IT"/>
              </w:rPr>
              <w:t>600</w:t>
            </w:r>
          </w:p>
        </w:tc>
        <w:tc>
          <w:tcPr>
            <w:tcW w:w="1077" w:type="dxa"/>
            <w:shd w:val="clear" w:color="auto" w:fill="FFFFFF"/>
          </w:tcPr>
          <w:p w14:paraId="709909B6" w14:textId="5D6D0F2E" w:rsidR="00751E20" w:rsidRPr="00B57B36" w:rsidRDefault="00751E20" w:rsidP="00751E20">
            <w:pPr>
              <w:pStyle w:val="CETBodytext"/>
              <w:jc w:val="center"/>
              <w:rPr>
                <w:lang w:val="en-GB"/>
              </w:rPr>
            </w:pPr>
            <w:r w:rsidRPr="004318B4">
              <w:t>21.7</w:t>
            </w:r>
          </w:p>
        </w:tc>
        <w:tc>
          <w:tcPr>
            <w:tcW w:w="1077" w:type="dxa"/>
            <w:shd w:val="clear" w:color="auto" w:fill="FFFFFF"/>
          </w:tcPr>
          <w:p w14:paraId="3A1679F0" w14:textId="3BEC2D94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24.6</w:t>
            </w:r>
          </w:p>
        </w:tc>
        <w:tc>
          <w:tcPr>
            <w:tcW w:w="1077" w:type="dxa"/>
            <w:shd w:val="clear" w:color="auto" w:fill="FFFFFF"/>
          </w:tcPr>
          <w:p w14:paraId="0B50B88B" w14:textId="6E9D66BF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8.0</w:t>
            </w:r>
          </w:p>
        </w:tc>
        <w:tc>
          <w:tcPr>
            <w:tcW w:w="1077" w:type="dxa"/>
            <w:shd w:val="clear" w:color="auto" w:fill="FFFFFF"/>
          </w:tcPr>
          <w:p w14:paraId="32C4637F" w14:textId="277BA161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20.9</w:t>
            </w:r>
          </w:p>
        </w:tc>
      </w:tr>
      <w:tr w:rsidR="00751E20" w:rsidRPr="00B57B36" w14:paraId="58962BD0" w14:textId="77777777" w:rsidTr="005D680D">
        <w:tc>
          <w:tcPr>
            <w:tcW w:w="850" w:type="dxa"/>
            <w:shd w:val="clear" w:color="auto" w:fill="FFFFFF"/>
          </w:tcPr>
          <w:p w14:paraId="537E1F40" w14:textId="6F468A4E" w:rsidR="00751E20" w:rsidRPr="00B57B36" w:rsidRDefault="00751E20" w:rsidP="00751E20">
            <w:pPr>
              <w:pStyle w:val="CETBodytext"/>
              <w:jc w:val="center"/>
              <w:rPr>
                <w:lang w:val="en-GB"/>
              </w:rPr>
            </w:pPr>
            <w:r w:rsidRPr="00D4557C">
              <w:t xml:space="preserve">Test </w:t>
            </w:r>
            <w:r>
              <w:t>6</w:t>
            </w:r>
          </w:p>
        </w:tc>
        <w:tc>
          <w:tcPr>
            <w:tcW w:w="3345" w:type="dxa"/>
            <w:shd w:val="clear" w:color="auto" w:fill="FFFFFF"/>
          </w:tcPr>
          <w:p w14:paraId="2881C6E6" w14:textId="675615F0" w:rsidR="00751E20" w:rsidRPr="00B57B36" w:rsidRDefault="00630A16" w:rsidP="00630A16">
            <w:pPr>
              <w:pStyle w:val="CETBodytext"/>
              <w:jc w:val="center"/>
              <w:rPr>
                <w:lang w:val="en-GB"/>
              </w:rPr>
            </w:pPr>
            <w:r w:rsidRPr="001773F6">
              <w:rPr>
                <w:rFonts w:cs="Arial"/>
                <w:color w:val="000000"/>
                <w:szCs w:val="18"/>
                <w:lang w:eastAsia="it-IT"/>
              </w:rPr>
              <w:t>OS</w:t>
            </w:r>
            <w:r>
              <w:rPr>
                <w:rFonts w:cs="Arial"/>
                <w:color w:val="000000"/>
                <w:szCs w:val="18"/>
                <w:lang w:eastAsia="it-IT"/>
              </w:rPr>
              <w:t>-</w:t>
            </w:r>
            <w:r w:rsidRPr="001773F6">
              <w:rPr>
                <w:rFonts w:cs="Arial"/>
                <w:color w:val="000000"/>
                <w:szCs w:val="18"/>
                <w:lang w:eastAsia="it-IT"/>
              </w:rPr>
              <w:t>LDPE</w:t>
            </w:r>
            <w:r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="00751E20">
              <w:rPr>
                <w:rFonts w:cs="Arial"/>
                <w:szCs w:val="18"/>
                <w:lang w:eastAsia="it-IT"/>
              </w:rPr>
              <w:t>sand</w:t>
            </w:r>
            <w:r>
              <w:rPr>
                <w:rFonts w:cs="Arial"/>
                <w:color w:val="000000"/>
                <w:szCs w:val="18"/>
                <w:lang w:eastAsia="it-IT"/>
              </w:rPr>
              <w:t>/</w:t>
            </w:r>
            <w:r w:rsidR="00751E20">
              <w:rPr>
                <w:rFonts w:cs="Arial"/>
                <w:color w:val="000000"/>
                <w:szCs w:val="18"/>
                <w:lang w:eastAsia="it-IT"/>
              </w:rPr>
              <w:t>600</w:t>
            </w:r>
          </w:p>
        </w:tc>
        <w:tc>
          <w:tcPr>
            <w:tcW w:w="1077" w:type="dxa"/>
            <w:shd w:val="clear" w:color="auto" w:fill="FFFFFF"/>
          </w:tcPr>
          <w:p w14:paraId="15B82792" w14:textId="4CEAC09B" w:rsidR="00751E20" w:rsidRPr="00B57B36" w:rsidRDefault="00751E20" w:rsidP="00751E20">
            <w:pPr>
              <w:pStyle w:val="CETBodytext"/>
              <w:jc w:val="center"/>
              <w:rPr>
                <w:lang w:val="en-GB"/>
              </w:rPr>
            </w:pPr>
            <w:r w:rsidRPr="004318B4">
              <w:t>25.8</w:t>
            </w:r>
          </w:p>
        </w:tc>
        <w:tc>
          <w:tcPr>
            <w:tcW w:w="1077" w:type="dxa"/>
            <w:shd w:val="clear" w:color="auto" w:fill="FFFFFF"/>
          </w:tcPr>
          <w:p w14:paraId="54D2C07D" w14:textId="64EBE741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34.4</w:t>
            </w:r>
          </w:p>
        </w:tc>
        <w:tc>
          <w:tcPr>
            <w:tcW w:w="1077" w:type="dxa"/>
            <w:shd w:val="clear" w:color="auto" w:fill="FFFFFF"/>
          </w:tcPr>
          <w:p w14:paraId="342F5AF2" w14:textId="49138680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7.3</w:t>
            </w:r>
          </w:p>
        </w:tc>
        <w:tc>
          <w:tcPr>
            <w:tcW w:w="1077" w:type="dxa"/>
            <w:shd w:val="clear" w:color="auto" w:fill="FFFFFF"/>
          </w:tcPr>
          <w:p w14:paraId="17C0C019" w14:textId="0D1BA6D5" w:rsidR="00751E20" w:rsidRPr="00B57B36" w:rsidRDefault="00751E20" w:rsidP="00751E2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4318B4">
              <w:t>1.2</w:t>
            </w:r>
          </w:p>
        </w:tc>
      </w:tr>
    </w:tbl>
    <w:p w14:paraId="37DB297E" w14:textId="6DD38D34" w:rsidR="001C00EB" w:rsidRDefault="001C00EB" w:rsidP="00040E7D">
      <w:pPr>
        <w:pStyle w:val="CETBodytext"/>
        <w:rPr>
          <w:i/>
        </w:rPr>
      </w:pPr>
    </w:p>
    <w:p w14:paraId="67E43BCB" w14:textId="643E2E6B" w:rsidR="00040E7D" w:rsidRPr="00040E7D" w:rsidRDefault="00040E7D" w:rsidP="00040E7D">
      <w:pPr>
        <w:pStyle w:val="CETBodytext"/>
        <w:rPr>
          <w:b/>
        </w:rPr>
      </w:pPr>
      <w:r w:rsidRPr="00040E7D">
        <w:rPr>
          <w:b/>
        </w:rPr>
        <w:t>3.</w:t>
      </w:r>
      <w:r w:rsidR="00C64D11">
        <w:rPr>
          <w:b/>
        </w:rPr>
        <w:t xml:space="preserve">3 </w:t>
      </w:r>
      <w:r w:rsidR="004A55B8">
        <w:rPr>
          <w:b/>
        </w:rPr>
        <w:t xml:space="preserve">Product </w:t>
      </w:r>
      <w:r w:rsidR="00C64D11">
        <w:rPr>
          <w:b/>
        </w:rPr>
        <w:t>characteriz</w:t>
      </w:r>
      <w:r w:rsidRPr="00040E7D">
        <w:rPr>
          <w:b/>
        </w:rPr>
        <w:t>ation</w:t>
      </w:r>
    </w:p>
    <w:p w14:paraId="2B9EC207" w14:textId="2B544C8C" w:rsidR="00816D9C" w:rsidRDefault="00040E7D" w:rsidP="00816D9C">
      <w:pPr>
        <w:pStyle w:val="CETBodytext"/>
      </w:pPr>
      <w:r>
        <w:tab/>
      </w:r>
      <w:r w:rsidR="00E446BA">
        <w:t xml:space="preserve">The </w:t>
      </w:r>
      <w:r w:rsidR="001E3095">
        <w:t>semi-quantitative</w:t>
      </w:r>
      <w:r w:rsidR="00E446BA">
        <w:t xml:space="preserve"> chemical composition of the collected bio-liquid</w:t>
      </w:r>
      <w:r w:rsidR="001E3095">
        <w:t>s</w:t>
      </w:r>
      <w:r w:rsidR="00E446BA">
        <w:t xml:space="preserve"> </w:t>
      </w:r>
      <w:r w:rsidR="001E3095">
        <w:t xml:space="preserve">as </w:t>
      </w:r>
      <w:r w:rsidR="00E446BA">
        <w:t xml:space="preserve">determined </w:t>
      </w:r>
      <w:r w:rsidR="008457FF">
        <w:t>using</w:t>
      </w:r>
      <w:r w:rsidR="00E446BA">
        <w:t xml:space="preserve"> GC-MS is </w:t>
      </w:r>
      <w:r w:rsidR="00630A16">
        <w:t>reported</w:t>
      </w:r>
      <w:r w:rsidR="00E446BA">
        <w:t xml:space="preserve"> in Figure 2. </w:t>
      </w:r>
      <w:r>
        <w:t>It is worth noting that</w:t>
      </w:r>
      <w:r w:rsidR="00C93B27">
        <w:t xml:space="preserve"> </w:t>
      </w:r>
      <w:r w:rsidR="008457FF">
        <w:t xml:space="preserve">the </w:t>
      </w:r>
      <w:r w:rsidR="001E3095">
        <w:t>formation of wax deposits in the collection flasks took place</w:t>
      </w:r>
      <w:r w:rsidR="001E3095" w:rsidRPr="001E3095">
        <w:t xml:space="preserve"> </w:t>
      </w:r>
      <w:r w:rsidR="001E3095">
        <w:t>during co-pyrolysis tests (Test 2, 3</w:t>
      </w:r>
      <w:r w:rsidR="008457FF">
        <w:t>,</w:t>
      </w:r>
      <w:r w:rsidR="001E3095">
        <w:t xml:space="preserve"> and 6), </w:t>
      </w:r>
      <w:r w:rsidR="00630A16">
        <w:t xml:space="preserve">to a greater extent in the test </w:t>
      </w:r>
      <w:r w:rsidR="001E3095">
        <w:t>performed under non-catalytic conditions a</w:t>
      </w:r>
      <w:r w:rsidR="00630A16">
        <w:t xml:space="preserve">t the </w:t>
      </w:r>
      <w:r w:rsidR="001E3095">
        <w:t>lower temperature level (</w:t>
      </w:r>
      <w:r w:rsidR="002D2521">
        <w:t>T</w:t>
      </w:r>
      <w:r w:rsidR="001E3095">
        <w:t xml:space="preserve">est 2). </w:t>
      </w:r>
      <w:r w:rsidR="00816D9C">
        <w:t xml:space="preserve">The more severe operating condition </w:t>
      </w:r>
      <w:r w:rsidR="00144F37">
        <w:t>of</w:t>
      </w:r>
      <w:r w:rsidR="00816D9C">
        <w:t xml:space="preserve"> Test 6, instead, resulted in a liquid product characterized by the presence of a smaller amount of wax deposits but </w:t>
      </w:r>
      <w:r w:rsidR="00816D9C" w:rsidRPr="00816D9C">
        <w:t xml:space="preserve">which apparently </w:t>
      </w:r>
      <w:r w:rsidR="00630A16">
        <w:t>looked</w:t>
      </w:r>
      <w:r w:rsidR="00816D9C" w:rsidRPr="00816D9C">
        <w:t xml:space="preserve"> </w:t>
      </w:r>
      <w:r w:rsidR="005B35DA" w:rsidRPr="00816D9C">
        <w:t>oilier</w:t>
      </w:r>
      <w:r w:rsidR="00816D9C">
        <w:t xml:space="preserve">, most likely </w:t>
      </w:r>
      <w:r w:rsidR="00144F37">
        <w:t>due to</w:t>
      </w:r>
      <w:r w:rsidR="00816D9C">
        <w:t xml:space="preserve"> catalytic cracking of waxes into l</w:t>
      </w:r>
      <w:r w:rsidR="00144F37">
        <w:t>ighter</w:t>
      </w:r>
      <w:r w:rsidR="00816D9C">
        <w:t xml:space="preserve"> aliphatic hydrocarbons.</w:t>
      </w:r>
      <w:r w:rsidR="00816D9C" w:rsidRPr="00816D9C">
        <w:t xml:space="preserve"> </w:t>
      </w:r>
      <w:r w:rsidR="00816D9C">
        <w:t xml:space="preserve">Dichloromethane was used to solubilize the condensed materials </w:t>
      </w:r>
      <w:r w:rsidR="00816D9C" w:rsidRPr="00816D9C">
        <w:t>for subsequent analy</w:t>
      </w:r>
      <w:r w:rsidR="00630A16">
        <w:t>s</w:t>
      </w:r>
      <w:r w:rsidR="00816D9C" w:rsidRPr="00816D9C">
        <w:t>es</w:t>
      </w:r>
      <w:r w:rsidR="00816D9C">
        <w:t xml:space="preserve">. However, they were only </w:t>
      </w:r>
      <w:r w:rsidR="00630A16">
        <w:t xml:space="preserve">partly </w:t>
      </w:r>
      <w:r w:rsidR="00816D9C">
        <w:t>solubilized</w:t>
      </w:r>
      <w:r w:rsidR="002D2521">
        <w:t xml:space="preserve"> by the solvent.</w:t>
      </w:r>
      <w:r w:rsidR="00816D9C">
        <w:t xml:space="preserve"> </w:t>
      </w:r>
      <w:r w:rsidR="007B7637">
        <w:t>For this reason, t</w:t>
      </w:r>
      <w:r w:rsidR="00816D9C">
        <w:t>he oily liquid fraction was</w:t>
      </w:r>
      <w:r w:rsidR="007B7637">
        <w:t xml:space="preserve"> further</w:t>
      </w:r>
      <w:r w:rsidR="00816D9C">
        <w:t xml:space="preserve"> </w:t>
      </w:r>
      <w:r w:rsidR="007B7637">
        <w:t xml:space="preserve">separated </w:t>
      </w:r>
      <w:r w:rsidR="00816D9C">
        <w:t>from the residual waxy solid fraction by filtration using hydrophobic PTFE Millipore filters (0.45 µm pore size and 47 mm diameter membrane).</w:t>
      </w:r>
    </w:p>
    <w:p w14:paraId="3EDF1924" w14:textId="6BF110A3" w:rsidR="003D2350" w:rsidRDefault="007B7637" w:rsidP="003D2350">
      <w:pPr>
        <w:pStyle w:val="CETBodytext"/>
      </w:pPr>
      <w:r>
        <w:t>R</w:t>
      </w:r>
      <w:r w:rsidR="003D2350" w:rsidRPr="00E42F33">
        <w:t xml:space="preserve">esults </w:t>
      </w:r>
      <w:r w:rsidR="00082BD0">
        <w:t>indicate</w:t>
      </w:r>
      <w:r w:rsidR="003D2350" w:rsidRPr="00E42F33">
        <w:t xml:space="preserve"> that</w:t>
      </w:r>
      <w:r w:rsidR="003D2350">
        <w:t>, under</w:t>
      </w:r>
      <w:r w:rsidR="003D2350" w:rsidRPr="00603882">
        <w:t xml:space="preserve"> the</w:t>
      </w:r>
      <w:r w:rsidR="003D2350" w:rsidRPr="002D2521">
        <w:t xml:space="preserve"> </w:t>
      </w:r>
      <w:r w:rsidR="003D2350">
        <w:t xml:space="preserve">selected </w:t>
      </w:r>
      <w:r w:rsidR="003D2350" w:rsidRPr="00603882">
        <w:t>operating</w:t>
      </w:r>
      <w:r w:rsidR="003D2350">
        <w:t xml:space="preserve"> conditions and with the </w:t>
      </w:r>
      <w:r w:rsidR="00082BD0">
        <w:t>present design</w:t>
      </w:r>
      <w:r w:rsidR="003D2350">
        <w:t xml:space="preserve"> </w:t>
      </w:r>
      <w:r w:rsidR="00082BD0">
        <w:t>of the fluidized bed converter</w:t>
      </w:r>
      <w:r w:rsidR="003D2350">
        <w:t xml:space="preserve">, </w:t>
      </w:r>
      <w:r w:rsidR="003D2350" w:rsidRPr="00E42F33">
        <w:t xml:space="preserve">both the addition of the catalyst </w:t>
      </w:r>
      <w:r w:rsidR="003D2350">
        <w:t xml:space="preserve">(Test 4) and </w:t>
      </w:r>
      <w:r w:rsidR="003D2350" w:rsidRPr="00E42F33">
        <w:t xml:space="preserve">the temperature </w:t>
      </w:r>
      <w:r w:rsidR="003D2350">
        <w:t>rise to</w:t>
      </w:r>
      <w:r w:rsidR="003D2350" w:rsidRPr="00E42F33">
        <w:t xml:space="preserve"> 600 °C</w:t>
      </w:r>
      <w:r w:rsidR="003D2350">
        <w:t xml:space="preserve"> (Test 5)</w:t>
      </w:r>
      <w:r w:rsidR="003D2350" w:rsidRPr="00E42F33">
        <w:t xml:space="preserve"> </w:t>
      </w:r>
      <w:r w:rsidR="00082BD0">
        <w:t xml:space="preserve">are not effective in accomplishing </w:t>
      </w:r>
      <w:r w:rsidR="003D2350" w:rsidRPr="00E42F33">
        <w:t>de-oxygenation of bio-</w:t>
      </w:r>
      <w:r w:rsidR="003D2350">
        <w:t xml:space="preserve">liquids from </w:t>
      </w:r>
      <w:r w:rsidR="00082BD0">
        <w:t xml:space="preserve">fast pyrolysis of </w:t>
      </w:r>
      <w:r w:rsidR="003D2350">
        <w:t xml:space="preserve">OS. In fact, almost all the </w:t>
      </w:r>
      <w:r w:rsidR="003D2350" w:rsidRPr="00E42F33">
        <w:t>characteristic deco</w:t>
      </w:r>
      <w:r w:rsidR="003D2350">
        <w:t xml:space="preserve">mposition </w:t>
      </w:r>
      <w:r w:rsidR="00082BD0">
        <w:t>products</w:t>
      </w:r>
      <w:r w:rsidR="003D2350">
        <w:t xml:space="preserve"> found in bio-liquids collected from Test 1 (reference case) were also detected in the liquids from Test 4 and Test 5, </w:t>
      </w:r>
      <w:r w:rsidR="003D2350" w:rsidRPr="00E42F33">
        <w:t xml:space="preserve">with the exception of </w:t>
      </w:r>
      <w:r w:rsidR="00A94DEB">
        <w:t>g</w:t>
      </w:r>
      <w:r w:rsidR="003D2350" w:rsidRPr="00E42F33">
        <w:t xml:space="preserve">uaiacols which are degraded </w:t>
      </w:r>
      <w:r w:rsidR="00082BD0">
        <w:t>to</w:t>
      </w:r>
      <w:r w:rsidR="003D2350" w:rsidRPr="00E42F33">
        <w:t xml:space="preserve"> alkyl phenols</w:t>
      </w:r>
      <w:r w:rsidR="00A94DEB" w:rsidRPr="00A94DEB">
        <w:t xml:space="preserve"> </w:t>
      </w:r>
      <w:r w:rsidR="00A94DEB">
        <w:t>at 600 °C (T</w:t>
      </w:r>
      <w:r w:rsidR="00A94DEB" w:rsidRPr="00E42F33">
        <w:t>est 5</w:t>
      </w:r>
      <w:r w:rsidR="00A94DEB">
        <w:t>)</w:t>
      </w:r>
      <w:r w:rsidR="003D2350">
        <w:t>.</w:t>
      </w:r>
    </w:p>
    <w:p w14:paraId="10AD817C" w14:textId="54B4AF2A" w:rsidR="003D2350" w:rsidRDefault="003D2350" w:rsidP="003D2350">
      <w:pPr>
        <w:pStyle w:val="CETBodytext"/>
      </w:pPr>
      <w:r>
        <w:t xml:space="preserve">Improvements </w:t>
      </w:r>
      <w:r w:rsidRPr="0066384F">
        <w:t xml:space="preserve">in terms of </w:t>
      </w:r>
      <w:r w:rsidR="00082BD0">
        <w:t>smaller</w:t>
      </w:r>
      <w:r>
        <w:t xml:space="preserve"> </w:t>
      </w:r>
      <w:r w:rsidRPr="0066384F">
        <w:t xml:space="preserve">content of oxygenated compounds </w:t>
      </w:r>
      <w:r w:rsidR="008457FF">
        <w:t>are</w:t>
      </w:r>
      <w:r w:rsidRPr="0066384F">
        <w:t xml:space="preserve"> not </w:t>
      </w:r>
      <w:r>
        <w:t>detected</w:t>
      </w:r>
      <w:r w:rsidRPr="0066384F">
        <w:t xml:space="preserve"> even </w:t>
      </w:r>
      <w:r>
        <w:t>when co-processing</w:t>
      </w:r>
      <w:r w:rsidRPr="0066384F">
        <w:t xml:space="preserve"> LDPE </w:t>
      </w:r>
      <w:r>
        <w:t>with</w:t>
      </w:r>
      <w:r w:rsidRPr="0066384F">
        <w:t xml:space="preserve"> OS</w:t>
      </w:r>
      <w:r>
        <w:t xml:space="preserve"> under non-catalytic conditions </w:t>
      </w:r>
      <w:r w:rsidR="00082BD0">
        <w:t xml:space="preserve">at </w:t>
      </w:r>
      <w:r>
        <w:t>500 °C (Test 2)</w:t>
      </w:r>
      <w:r w:rsidRPr="0066384F">
        <w:t xml:space="preserve">. </w:t>
      </w:r>
      <w:r>
        <w:t>T</w:t>
      </w:r>
      <w:r w:rsidRPr="0066384F">
        <w:t>he bio-</w:t>
      </w:r>
      <w:r>
        <w:t>liquids</w:t>
      </w:r>
      <w:r w:rsidRPr="0066384F">
        <w:t xml:space="preserve"> obtained in </w:t>
      </w:r>
      <w:r>
        <w:t>T</w:t>
      </w:r>
      <w:r w:rsidRPr="0066384F">
        <w:t>est 2</w:t>
      </w:r>
      <w:r w:rsidR="00082BD0">
        <w:t>,</w:t>
      </w:r>
      <w:r w:rsidRPr="0066384F">
        <w:t xml:space="preserve"> in fact</w:t>
      </w:r>
      <w:r>
        <w:t>,</w:t>
      </w:r>
      <w:r w:rsidRPr="0066384F">
        <w:t xml:space="preserve"> </w:t>
      </w:r>
      <w:r>
        <w:t>exhibit</w:t>
      </w:r>
      <w:r w:rsidRPr="0066384F">
        <w:t xml:space="preserve"> the presence of both aliphatic hydrocarbons, which are characteristic of the pyrolysis of plastics, and oxygenated compounds, including phenolic compounds </w:t>
      </w:r>
      <w:r w:rsidR="00A94DEB">
        <w:t>(guaiacols, s</w:t>
      </w:r>
      <w:r>
        <w:t>yringols</w:t>
      </w:r>
      <w:r w:rsidR="00A94DEB">
        <w:t>,</w:t>
      </w:r>
      <w:r>
        <w:t xml:space="preserve"> and alkyl </w:t>
      </w:r>
      <w:r w:rsidR="00A94DEB">
        <w:t>p</w:t>
      </w:r>
      <w:r>
        <w:t xml:space="preserve">henols), </w:t>
      </w:r>
      <w:r w:rsidR="00A94DEB">
        <w:t>f</w:t>
      </w:r>
      <w:r>
        <w:t xml:space="preserve">urans, </w:t>
      </w:r>
      <w:r w:rsidR="00A94DEB">
        <w:t>o</w:t>
      </w:r>
      <w:r>
        <w:t xml:space="preserve">rganic </w:t>
      </w:r>
      <w:r w:rsidR="00A94DEB">
        <w:t>a</w:t>
      </w:r>
      <w:r>
        <w:t xml:space="preserve">cid, </w:t>
      </w:r>
      <w:r w:rsidR="00A94DEB">
        <w:t>a</w:t>
      </w:r>
      <w:r>
        <w:t>ldehydes</w:t>
      </w:r>
      <w:r w:rsidR="008457FF">
        <w:t>,</w:t>
      </w:r>
      <w:r>
        <w:t xml:space="preserve"> and </w:t>
      </w:r>
      <w:r w:rsidR="00A94DEB">
        <w:t>k</w:t>
      </w:r>
      <w:r>
        <w:t xml:space="preserve">etones, </w:t>
      </w:r>
      <w:r w:rsidR="00082BD0">
        <w:t>derived</w:t>
      </w:r>
      <w:r>
        <w:t xml:space="preserve"> from the decomposition of pure OS (Test 1). </w:t>
      </w:r>
      <w:r w:rsidR="00082BD0">
        <w:t>B</w:t>
      </w:r>
      <w:r>
        <w:t>io-liquids collected during non-</w:t>
      </w:r>
      <w:r w:rsidR="005B35DA">
        <w:t>catalytic pyrolysis of OS (Test </w:t>
      </w:r>
      <w:r>
        <w:t>1) and non-catalytic co-pyrolysis of OS and LDPE (Test 2)</w:t>
      </w:r>
      <w:r w:rsidR="00082BD0">
        <w:t xml:space="preserve"> display</w:t>
      </w:r>
      <w:r>
        <w:t xml:space="preserve"> similar composition</w:t>
      </w:r>
      <w:r w:rsidR="00C9677F">
        <w:t>s</w:t>
      </w:r>
      <w:r>
        <w:t xml:space="preserve"> and almost the same content of oxygenated compounds.</w:t>
      </w:r>
      <w:r w:rsidRPr="003D2350">
        <w:t xml:space="preserve"> </w:t>
      </w:r>
      <w:r>
        <w:t xml:space="preserve">On the other hand, the complexity of bio-liquids from </w:t>
      </w:r>
      <w:r w:rsidRPr="00042557">
        <w:t>co-pyrolysis experiments</w:t>
      </w:r>
      <w:r>
        <w:t xml:space="preserve"> is </w:t>
      </w:r>
      <w:r w:rsidR="00C9677F">
        <w:t xml:space="preserve">appreciably </w:t>
      </w:r>
      <w:r>
        <w:t xml:space="preserve">reduced by </w:t>
      </w:r>
      <w:r w:rsidR="004D0BF3">
        <w:t xml:space="preserve">the </w:t>
      </w:r>
      <w:r>
        <w:t xml:space="preserve">addition of γ-alumina (Tests 3), which </w:t>
      </w:r>
      <w:r w:rsidRPr="00363CD7">
        <w:t>contribut</w:t>
      </w:r>
      <w:r>
        <w:t xml:space="preserve">ed to </w:t>
      </w:r>
      <w:r w:rsidRPr="0066384F">
        <w:t>drastically</w:t>
      </w:r>
      <w:r>
        <w:t xml:space="preserve"> </w:t>
      </w:r>
      <w:r w:rsidR="008457FF">
        <w:t>reducing</w:t>
      </w:r>
      <w:r>
        <w:t xml:space="preserve"> </w:t>
      </w:r>
      <w:r w:rsidR="00C9677F">
        <w:t>o</w:t>
      </w:r>
      <w:r>
        <w:t xml:space="preserve">xygenated species </w:t>
      </w:r>
      <w:r w:rsidR="00C9677F">
        <w:t>derived from</w:t>
      </w:r>
      <w:r>
        <w:t xml:space="preserve"> OS decomposition. </w:t>
      </w:r>
      <w:r w:rsidR="00C9677F">
        <w:t>W</w:t>
      </w:r>
      <w:r>
        <w:t xml:space="preserve">hen </w:t>
      </w:r>
      <w:r w:rsidR="00C9677F">
        <w:t xml:space="preserve">shifting </w:t>
      </w:r>
      <w:r w:rsidRPr="00CF598D">
        <w:t>from non-catalytic to catalytic co-pyrolysis</w:t>
      </w:r>
      <w:r>
        <w:t xml:space="preserve"> conditions, the content of</w:t>
      </w:r>
      <w:r w:rsidRPr="00CF598D">
        <w:t xml:space="preserve"> the oxygenated compounds </w:t>
      </w:r>
      <w:r>
        <w:t>in bio-liquids</w:t>
      </w:r>
      <w:r w:rsidRPr="00CF598D">
        <w:t xml:space="preserve"> </w:t>
      </w:r>
      <w:r w:rsidR="00C9677F">
        <w:t xml:space="preserve">was </w:t>
      </w:r>
      <w:r w:rsidR="00C9677F">
        <w:lastRenderedPageBreak/>
        <w:t xml:space="preserve">effectively reduced </w:t>
      </w:r>
      <w:r w:rsidRPr="00CF598D">
        <w:t>from 60.5 % to 14.</w:t>
      </w:r>
      <w:r>
        <w:t>3</w:t>
      </w:r>
      <w:r w:rsidRPr="00CF598D">
        <w:t xml:space="preserve"> %</w:t>
      </w:r>
      <w:r w:rsidR="00C9677F">
        <w:t xml:space="preserve">, as a consequence of </w:t>
      </w:r>
      <w:r>
        <w:t xml:space="preserve">complete degradation of aldehydes, furans and sugars coupled </w:t>
      </w:r>
      <w:r w:rsidR="00C9677F">
        <w:t>and of</w:t>
      </w:r>
      <w:r>
        <w:t xml:space="preserve"> a n</w:t>
      </w:r>
      <w:r w:rsidR="00051D1A">
        <w:t>et reduction in the content of k</w:t>
      </w:r>
      <w:r>
        <w:t xml:space="preserve">etones, organic acids and </w:t>
      </w:r>
      <w:r w:rsidR="00051D1A">
        <w:t>g</w:t>
      </w:r>
      <w:r>
        <w:t>uaiacols compared to the non-catalytic tests. A slight i</w:t>
      </w:r>
      <w:r w:rsidR="00051D1A">
        <w:t xml:space="preserve">ncrease in the content of alkyl </w:t>
      </w:r>
      <w:r>
        <w:t>phenols is also detected. This finding can be attributed to the mesoporous nature of γ-alumina, which allows also much bulkier oxygenated lignin derivatives to be deoxygenated.</w:t>
      </w:r>
      <w:r w:rsidRPr="00B53879">
        <w:t xml:space="preserve"> </w:t>
      </w:r>
      <w:r>
        <w:t xml:space="preserve">In addition, it results that pyrolytic oils produced in the presence of the γ-alumina catalyst (Tests 3 and 4) are highly aromatized, </w:t>
      </w:r>
      <w:r w:rsidRPr="00B60DAC">
        <w:rPr>
          <w:lang w:val="en-GB"/>
        </w:rPr>
        <w:t xml:space="preserve">in the form of both </w:t>
      </w:r>
      <w:r>
        <w:rPr>
          <w:lang w:val="en-GB"/>
        </w:rPr>
        <w:t>mono- and polyaromatic</w:t>
      </w:r>
      <w:r w:rsidRPr="00B60DAC">
        <w:rPr>
          <w:lang w:val="en-GB"/>
        </w:rPr>
        <w:t>s</w:t>
      </w:r>
      <w:r>
        <w:rPr>
          <w:lang w:val="en-GB"/>
        </w:rPr>
        <w:t>,</w:t>
      </w:r>
      <w:r w:rsidRPr="00B60DAC">
        <w:rPr>
          <w:lang w:val="en-GB"/>
        </w:rPr>
        <w:t xml:space="preserve"> </w:t>
      </w:r>
      <w:r>
        <w:rPr>
          <w:lang w:val="en-GB"/>
        </w:rPr>
        <w:t>such as</w:t>
      </w:r>
      <w:r>
        <w:t xml:space="preserve"> o-xylene (in trace), benzene derivatives</w:t>
      </w:r>
      <w:r w:rsidR="008457FF">
        <w:t>,</w:t>
      </w:r>
      <w:r>
        <w:t xml:space="preserve"> and biphenyl.</w:t>
      </w:r>
      <w:r w:rsidR="001B1896">
        <w:t xml:space="preserve"> </w:t>
      </w:r>
      <w:r>
        <w:t xml:space="preserve">The presence of a high concentration of polycyclic aromatic hydrocarbons (PAHs), mostly naphthalene derivatives, was detected especially in the case of catalytic co-pyrolysis tests (Test 3), </w:t>
      </w:r>
      <w:r w:rsidRPr="00164E7C">
        <w:t>and to a lesser extent</w:t>
      </w:r>
      <w:r>
        <w:t xml:space="preserve"> when OS is processed alone in the presence of the catalyst (Test 4). </w:t>
      </w:r>
    </w:p>
    <w:p w14:paraId="3489B78D" w14:textId="77777777" w:rsidR="00D0293C" w:rsidRDefault="00D0293C" w:rsidP="003D2350">
      <w:pPr>
        <w:pStyle w:val="CETBodytext"/>
      </w:pPr>
    </w:p>
    <w:p w14:paraId="35387191" w14:textId="7A257E44" w:rsidR="00D0293C" w:rsidRDefault="0073577D" w:rsidP="00D0293C">
      <w:pPr>
        <w:pStyle w:val="CETBodytext"/>
        <w:jc w:val="center"/>
      </w:pPr>
      <w:r>
        <w:rPr>
          <w:noProof/>
          <w:lang w:val="it-IT" w:eastAsia="it-IT"/>
        </w:rPr>
        <w:drawing>
          <wp:inline distT="0" distB="0" distL="0" distR="0" wp14:anchorId="60E1FB6F" wp14:editId="02CBB7C1">
            <wp:extent cx="4860000" cy="180000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F5804" w14:textId="2718A855" w:rsidR="00040E7D" w:rsidRPr="003D2350" w:rsidRDefault="00CD6CD6" w:rsidP="0095371B">
      <w:pPr>
        <w:pStyle w:val="CETBodytext"/>
        <w:spacing w:before="240" w:after="240"/>
      </w:pPr>
      <w:r>
        <w:t xml:space="preserve"> </w:t>
      </w:r>
      <w:r w:rsidR="00164C7E">
        <w:rPr>
          <w:i/>
        </w:rPr>
        <w:t>Figure 2:</w:t>
      </w:r>
      <w:r w:rsidR="00040E7D" w:rsidRPr="00164C7E">
        <w:rPr>
          <w:i/>
        </w:rPr>
        <w:t xml:space="preserve"> Semi-quantitative composition by GC-MS analysis of bio-liquids</w:t>
      </w:r>
    </w:p>
    <w:p w14:paraId="5D741A1B" w14:textId="1BF9AC94" w:rsidR="00040E7D" w:rsidRDefault="00C9677F" w:rsidP="00040E7D">
      <w:pPr>
        <w:pStyle w:val="CETBodytext"/>
      </w:pPr>
      <w:r>
        <w:t>E</w:t>
      </w:r>
      <w:r w:rsidR="00040E7D">
        <w:t>xcessive PAHs content in the pyrolysis oils</w:t>
      </w:r>
      <w:r>
        <w:t xml:space="preserve"> resulting </w:t>
      </w:r>
      <w:r w:rsidR="00917505">
        <w:t xml:space="preserve">from deoxygenation of primary pyrolysis products calls for careful optimization of conversion conditions, so as to favour </w:t>
      </w:r>
      <w:r w:rsidR="00040E7D">
        <w:t>conver</w:t>
      </w:r>
      <w:r w:rsidR="00917505">
        <w:t>sion</w:t>
      </w:r>
      <w:r w:rsidR="00040E7D">
        <w:t xml:space="preserve"> to</w:t>
      </w:r>
      <w:r w:rsidR="00917505">
        <w:t xml:space="preserve"> the far</w:t>
      </w:r>
      <w:r w:rsidR="00040E7D">
        <w:t xml:space="preserve"> more valuable mono-aromat</w:t>
      </w:r>
      <w:r w:rsidR="00132B5E">
        <w:t>ic hydrocarbons</w:t>
      </w:r>
      <w:r w:rsidR="00D629BC">
        <w:t xml:space="preserve"> (Li et al., 2015).</w:t>
      </w:r>
      <w:r w:rsidR="00B967A6" w:rsidRPr="00B967A6">
        <w:t xml:space="preserve"> </w:t>
      </w:r>
      <w:r w:rsidR="00570CFC">
        <w:t xml:space="preserve">In that </w:t>
      </w:r>
      <w:r w:rsidR="00EC0638">
        <w:t>regard, it is worth noting that</w:t>
      </w:r>
      <w:r w:rsidR="00570CFC">
        <w:t xml:space="preserve"> </w:t>
      </w:r>
      <w:r w:rsidR="00570CFC" w:rsidRPr="00570CFC">
        <w:t>significant, albeit preliminary,</w:t>
      </w:r>
      <w:r w:rsidR="00570CFC" w:rsidRPr="00570CFC" w:rsidDel="00570CFC">
        <w:t xml:space="preserve"> </w:t>
      </w:r>
      <w:r w:rsidR="00570CFC">
        <w:t xml:space="preserve">benefits </w:t>
      </w:r>
      <w:r w:rsidR="00917505">
        <w:t>were</w:t>
      </w:r>
      <w:r w:rsidR="00570CFC">
        <w:t xml:space="preserve"> </w:t>
      </w:r>
      <w:r w:rsidR="00B967A6" w:rsidRPr="00B967A6">
        <w:t xml:space="preserve">obtained by </w:t>
      </w:r>
      <w:r w:rsidR="00E0221B">
        <w:t>rising</w:t>
      </w:r>
      <w:r w:rsidR="00E0221B" w:rsidRPr="00B967A6">
        <w:t xml:space="preserve"> </w:t>
      </w:r>
      <w:r w:rsidR="00B967A6">
        <w:t xml:space="preserve">co-pyrolysis </w:t>
      </w:r>
      <w:r w:rsidR="00E0221B">
        <w:t>t</w:t>
      </w:r>
      <w:r w:rsidR="00917505">
        <w:t xml:space="preserve">emperature </w:t>
      </w:r>
      <w:r w:rsidR="00E0221B">
        <w:t>to</w:t>
      </w:r>
      <w:r w:rsidR="00B967A6">
        <w:t xml:space="preserve"> 600 °</w:t>
      </w:r>
      <w:r w:rsidR="00B967A6" w:rsidRPr="00B967A6">
        <w:t>C</w:t>
      </w:r>
      <w:r>
        <w:t>.</w:t>
      </w:r>
      <w:r w:rsidR="00E0221B">
        <w:t xml:space="preserve"> </w:t>
      </w:r>
      <w:r w:rsidR="00917505">
        <w:t xml:space="preserve">In this case, </w:t>
      </w:r>
      <w:r w:rsidR="00E0221B">
        <w:t>in addition to favorable</w:t>
      </w:r>
      <w:r w:rsidR="00E0221B" w:rsidRPr="00B967A6">
        <w:t xml:space="preserve"> </w:t>
      </w:r>
      <w:r w:rsidR="00B967A6" w:rsidRPr="00B967A6">
        <w:t xml:space="preserve">reduction </w:t>
      </w:r>
      <w:r w:rsidR="00E0221B">
        <w:t>in the content of</w:t>
      </w:r>
      <w:r w:rsidR="00E0221B" w:rsidRPr="00B967A6">
        <w:t xml:space="preserve"> </w:t>
      </w:r>
      <w:r w:rsidR="00B967A6" w:rsidRPr="00B967A6">
        <w:t>oxygenated compounds</w:t>
      </w:r>
      <w:r w:rsidR="00E0221B">
        <w:t xml:space="preserve">, </w:t>
      </w:r>
      <w:r w:rsidR="00B967A6">
        <w:t xml:space="preserve">from 60.5 % in the </w:t>
      </w:r>
      <w:r w:rsidR="00E0221B">
        <w:t xml:space="preserve">case of non-catalytic co-pyrolysis </w:t>
      </w:r>
      <w:r w:rsidR="00EC0638">
        <w:t xml:space="preserve">test </w:t>
      </w:r>
      <w:r w:rsidR="00E0221B">
        <w:t xml:space="preserve">at 500 °C (Test 2) </w:t>
      </w:r>
      <w:r w:rsidR="00B967A6">
        <w:t xml:space="preserve">to 44.8 % in the </w:t>
      </w:r>
      <w:r w:rsidR="00E0221B">
        <w:t xml:space="preserve">case of non-catalytic co-pyrolysis </w:t>
      </w:r>
      <w:r w:rsidR="00EC0638">
        <w:t xml:space="preserve">test </w:t>
      </w:r>
      <w:r w:rsidR="00E0221B">
        <w:t>at 600 °C</w:t>
      </w:r>
      <w:r w:rsidR="00E0221B" w:rsidDel="00E0221B">
        <w:t xml:space="preserve"> </w:t>
      </w:r>
      <w:r w:rsidR="00E0221B">
        <w:t xml:space="preserve">(Test </w:t>
      </w:r>
      <w:r w:rsidR="00B967A6">
        <w:t>6</w:t>
      </w:r>
      <w:r w:rsidR="00E0221B">
        <w:t>)</w:t>
      </w:r>
      <w:r w:rsidR="00B967A6">
        <w:t xml:space="preserve">, </w:t>
      </w:r>
      <w:r w:rsidR="00EC0638">
        <w:t>a small</w:t>
      </w:r>
      <w:r w:rsidR="00B967A6" w:rsidRPr="00B967A6">
        <w:t xml:space="preserve"> production of PAH</w:t>
      </w:r>
      <w:r w:rsidR="00E507B8">
        <w:t>s</w:t>
      </w:r>
      <w:r w:rsidR="00B331B5">
        <w:t xml:space="preserve"> (0.8 %)</w:t>
      </w:r>
      <w:r w:rsidR="00917505">
        <w:t xml:space="preserve"> was detected</w:t>
      </w:r>
      <w:r w:rsidR="00B967A6">
        <w:t>.</w:t>
      </w:r>
      <w:r w:rsidR="00B331B5" w:rsidRPr="00B331B5">
        <w:t xml:space="preserve"> </w:t>
      </w:r>
      <w:r w:rsidR="00917505">
        <w:t>Indeed, the</w:t>
      </w:r>
      <w:r w:rsidR="00EC0638">
        <w:t xml:space="preserve"> higher operating</w:t>
      </w:r>
      <w:r w:rsidR="00B331B5">
        <w:t xml:space="preserve"> temperature </w:t>
      </w:r>
      <w:r w:rsidR="00EC0638">
        <w:t xml:space="preserve">of </w:t>
      </w:r>
      <w:r w:rsidR="00B331B5">
        <w:t>600 °</w:t>
      </w:r>
      <w:r w:rsidR="00B331B5" w:rsidRPr="00B967A6">
        <w:t>C</w:t>
      </w:r>
      <w:r w:rsidR="00B331B5">
        <w:t xml:space="preserve"> </w:t>
      </w:r>
      <w:r w:rsidR="00EC0638">
        <w:t>favored a</w:t>
      </w:r>
      <w:r w:rsidR="00B331B5">
        <w:t xml:space="preserve"> reduction </w:t>
      </w:r>
      <w:r w:rsidR="00EC0638">
        <w:t xml:space="preserve">in the content </w:t>
      </w:r>
      <w:r w:rsidR="00051D1A">
        <w:t>of furans, guaiacols/syringols, k</w:t>
      </w:r>
      <w:r w:rsidR="00B331B5">
        <w:t>etones</w:t>
      </w:r>
      <w:r w:rsidR="008457FF">
        <w:t>,</w:t>
      </w:r>
      <w:r w:rsidR="00B331B5">
        <w:t xml:space="preserve"> and </w:t>
      </w:r>
      <w:r w:rsidR="00051D1A">
        <w:t>o</w:t>
      </w:r>
      <w:r w:rsidR="00B331B5">
        <w:t xml:space="preserve">rganic </w:t>
      </w:r>
      <w:r w:rsidR="00051D1A">
        <w:t>a</w:t>
      </w:r>
      <w:r w:rsidR="00B331B5">
        <w:t xml:space="preserve">cids, compared to the co-pyrolysis </w:t>
      </w:r>
      <w:r w:rsidR="00EC0638">
        <w:t xml:space="preserve">treatment performed </w:t>
      </w:r>
      <w:r w:rsidR="00B331B5">
        <w:t>at 500 °C</w:t>
      </w:r>
      <w:r w:rsidR="00917505">
        <w:t xml:space="preserve"> with </w:t>
      </w:r>
      <w:r w:rsidR="008457FF">
        <w:t xml:space="preserve">a </w:t>
      </w:r>
      <w:r w:rsidR="00917505">
        <w:t>vanishingly small production of PAH</w:t>
      </w:r>
      <w:r w:rsidR="004D0BF3">
        <w:t>s</w:t>
      </w:r>
      <w:r w:rsidR="00B331B5">
        <w:t xml:space="preserve">. </w:t>
      </w:r>
    </w:p>
    <w:p w14:paraId="515F55EE" w14:textId="628E2F3C" w:rsidR="009D4216" w:rsidRPr="0041019D" w:rsidRDefault="00917505" w:rsidP="0041019D">
      <w:pPr>
        <w:pStyle w:val="CETBodytext"/>
      </w:pPr>
      <w:r>
        <w:t xml:space="preserve">When considering </w:t>
      </w:r>
      <w:r w:rsidR="008F0942" w:rsidRPr="00E479F9">
        <w:t xml:space="preserve">pyrolysis by-products, </w:t>
      </w:r>
      <w:r>
        <w:t xml:space="preserve">it is found that </w:t>
      </w:r>
      <w:r w:rsidR="00040E7D" w:rsidRPr="0041019D">
        <w:t xml:space="preserve">char </w:t>
      </w:r>
      <w:r w:rsidR="008F0942" w:rsidRPr="0041019D">
        <w:t xml:space="preserve">collected during </w:t>
      </w:r>
      <w:r w:rsidR="008F1B94" w:rsidRPr="0041019D">
        <w:t xml:space="preserve">the </w:t>
      </w:r>
      <w:r w:rsidR="00040E7D" w:rsidRPr="0041019D">
        <w:t>non-catalytic co-pyrolysis</w:t>
      </w:r>
      <w:r w:rsidR="006D51FD" w:rsidRPr="0041019D">
        <w:t xml:space="preserve"> </w:t>
      </w:r>
      <w:r w:rsidR="008F1B94" w:rsidRPr="0041019D">
        <w:t xml:space="preserve">of OS and LDPE </w:t>
      </w:r>
      <w:r w:rsidR="006D51FD" w:rsidRPr="0041019D">
        <w:t>(</w:t>
      </w:r>
      <w:r w:rsidR="008F0942" w:rsidRPr="0041019D">
        <w:t xml:space="preserve">Test </w:t>
      </w:r>
      <w:r w:rsidR="006D51FD" w:rsidRPr="0041019D">
        <w:t>2)</w:t>
      </w:r>
      <w:r w:rsidR="00040E7D" w:rsidRPr="0041019D">
        <w:t xml:space="preserve"> exhibits </w:t>
      </w:r>
      <w:r w:rsidR="008457FF">
        <w:t xml:space="preserve">a </w:t>
      </w:r>
      <w:r>
        <w:t>larger</w:t>
      </w:r>
      <w:r w:rsidR="00040E7D" w:rsidRPr="0041019D">
        <w:t xml:space="preserve"> H/C ratio</w:t>
      </w:r>
      <w:r w:rsidR="005D680D" w:rsidRPr="0041019D">
        <w:t xml:space="preserve"> </w:t>
      </w:r>
      <w:r>
        <w:t xml:space="preserve">as compared with that </w:t>
      </w:r>
      <w:r w:rsidR="00617A04">
        <w:t>generated by</w:t>
      </w:r>
      <w:r w:rsidR="008F0942" w:rsidRPr="0041019D">
        <w:t xml:space="preserve"> </w:t>
      </w:r>
      <w:r w:rsidR="005D680D" w:rsidRPr="0041019D">
        <w:t>non-catalytic pyrolysis of OS</w:t>
      </w:r>
      <w:r w:rsidR="006D51FD" w:rsidRPr="0041019D">
        <w:t xml:space="preserve"> </w:t>
      </w:r>
      <w:r w:rsidR="008F1B94" w:rsidRPr="0041019D">
        <w:t xml:space="preserve">alone </w:t>
      </w:r>
      <w:r w:rsidR="006D51FD" w:rsidRPr="0041019D">
        <w:t>(</w:t>
      </w:r>
      <w:r w:rsidR="008F0942" w:rsidRPr="0041019D">
        <w:t xml:space="preserve">Test </w:t>
      </w:r>
      <w:r w:rsidR="006D51FD" w:rsidRPr="0041019D">
        <w:t>1)</w:t>
      </w:r>
      <w:r w:rsidR="00617A04">
        <w:t xml:space="preserve">. This finding </w:t>
      </w:r>
      <w:r w:rsidR="00040E7D" w:rsidRPr="0041019D">
        <w:t xml:space="preserve">suggests the occurrence of some </w:t>
      </w:r>
      <w:r w:rsidR="008F0942" w:rsidRPr="0041019D">
        <w:t xml:space="preserve">beneficial </w:t>
      </w:r>
      <w:r w:rsidR="00040E7D" w:rsidRPr="0041019D">
        <w:t>synerg</w:t>
      </w:r>
      <w:r w:rsidR="00617A04">
        <w:t xml:space="preserve">etic effect </w:t>
      </w:r>
      <w:r w:rsidR="008F0942" w:rsidRPr="0041019D">
        <w:t xml:space="preserve">during the co-processing of </w:t>
      </w:r>
      <w:r w:rsidR="008F1B94" w:rsidRPr="0041019D">
        <w:t>biomass</w:t>
      </w:r>
      <w:r w:rsidR="008F0942" w:rsidRPr="0041019D">
        <w:t xml:space="preserve"> and </w:t>
      </w:r>
      <w:r w:rsidR="008F1B94" w:rsidRPr="0041019D">
        <w:t>plastics</w:t>
      </w:r>
      <w:r w:rsidR="008F0942" w:rsidRPr="0041019D">
        <w:t xml:space="preserve"> </w:t>
      </w:r>
      <w:r w:rsidR="008F1B94" w:rsidRPr="0041019D">
        <w:t xml:space="preserve">also </w:t>
      </w:r>
      <w:r w:rsidR="008F0942" w:rsidRPr="0041019D">
        <w:t xml:space="preserve">as regard </w:t>
      </w:r>
      <w:r w:rsidR="00040E7D" w:rsidRPr="0041019D">
        <w:t>in the formation of char</w:t>
      </w:r>
      <w:r w:rsidR="00617A04">
        <w:t>. T</w:t>
      </w:r>
      <w:r w:rsidR="009D4216" w:rsidRPr="0041019D">
        <w:t xml:space="preserve">he same beneficial synergy, however, </w:t>
      </w:r>
      <w:r w:rsidR="00617A04">
        <w:t>could not be found</w:t>
      </w:r>
      <w:r w:rsidR="009D4216" w:rsidRPr="0041019D">
        <w:t xml:space="preserve"> when co-processing OS and LDPE in the presence of the catalyst (Test 3). In fact, in the last case, </w:t>
      </w:r>
      <w:r w:rsidR="00040E7D" w:rsidRPr="0041019D">
        <w:t xml:space="preserve">ultimate analysis </w:t>
      </w:r>
      <w:r w:rsidR="008F0942" w:rsidRPr="0041019D">
        <w:t xml:space="preserve">(not </w:t>
      </w:r>
      <w:r w:rsidR="00617A04">
        <w:t>reported</w:t>
      </w:r>
      <w:r w:rsidR="008F0942" w:rsidRPr="0041019D">
        <w:t xml:space="preserve">) </w:t>
      </w:r>
      <w:r w:rsidR="008F1B94" w:rsidRPr="0041019D">
        <w:t>show</w:t>
      </w:r>
      <w:r w:rsidR="00617A04">
        <w:t>s</w:t>
      </w:r>
      <w:r w:rsidR="008F1B94" w:rsidRPr="0041019D">
        <w:t xml:space="preserve"> that </w:t>
      </w:r>
      <w:r w:rsidR="009D4216" w:rsidRPr="0041019D">
        <w:t xml:space="preserve">the </w:t>
      </w:r>
      <w:r w:rsidR="008F1B94" w:rsidRPr="0041019D">
        <w:t xml:space="preserve">char </w:t>
      </w:r>
      <w:r w:rsidR="00617A04">
        <w:t xml:space="preserve">is characterized by </w:t>
      </w:r>
      <w:r w:rsidR="006D51FD" w:rsidRPr="0041019D">
        <w:t>a H/C ratio</w:t>
      </w:r>
      <w:r w:rsidR="00040E7D" w:rsidRPr="0041019D">
        <w:t xml:space="preserve"> </w:t>
      </w:r>
      <w:r w:rsidR="006D51FD" w:rsidRPr="0041019D">
        <w:t xml:space="preserve">similar to that </w:t>
      </w:r>
      <w:r w:rsidR="009D4216" w:rsidRPr="0041019D">
        <w:t xml:space="preserve">of the char </w:t>
      </w:r>
      <w:r w:rsidR="006D51FD" w:rsidRPr="0041019D">
        <w:t xml:space="preserve">produced in </w:t>
      </w:r>
      <w:r w:rsidR="009D4216" w:rsidRPr="0041019D">
        <w:t xml:space="preserve">Test </w:t>
      </w:r>
      <w:r w:rsidR="006D51FD" w:rsidRPr="0041019D">
        <w:t xml:space="preserve">1 </w:t>
      </w:r>
      <w:r w:rsidR="009D4216" w:rsidRPr="0041019D">
        <w:t>(reference case)</w:t>
      </w:r>
      <w:r w:rsidR="00617A04">
        <w:t>, hence smaller</w:t>
      </w:r>
      <w:r w:rsidR="006D51FD" w:rsidRPr="0041019D">
        <w:t xml:space="preserve"> than that in </w:t>
      </w:r>
      <w:r w:rsidR="009D4216" w:rsidRPr="0041019D">
        <w:t xml:space="preserve">Test </w:t>
      </w:r>
      <w:r w:rsidR="006D51FD" w:rsidRPr="0041019D">
        <w:t>2</w:t>
      </w:r>
      <w:r w:rsidR="009D4216" w:rsidRPr="0041019D">
        <w:t xml:space="preserve"> (non-catalytic co-pyrolysis). </w:t>
      </w:r>
    </w:p>
    <w:p w14:paraId="61F0755D" w14:textId="77777777" w:rsidR="009D4216" w:rsidRDefault="009D4216" w:rsidP="0041019D">
      <w:pPr>
        <w:pStyle w:val="CETBodytext"/>
        <w:rPr>
          <w:highlight w:val="yellow"/>
        </w:rPr>
      </w:pPr>
    </w:p>
    <w:p w14:paraId="68D26B83" w14:textId="2B147989" w:rsidR="00600535" w:rsidRPr="0041019D" w:rsidRDefault="00600535" w:rsidP="0041019D">
      <w:pPr>
        <w:pStyle w:val="CETBodytext"/>
      </w:pPr>
      <w:r w:rsidRPr="0041019D">
        <w:rPr>
          <w:b/>
          <w:sz w:val="20"/>
        </w:rPr>
        <w:t>Conclusions</w:t>
      </w:r>
    </w:p>
    <w:p w14:paraId="4767DFBB" w14:textId="1010269A" w:rsidR="00BF4842" w:rsidRPr="00BF4842" w:rsidRDefault="00BF4842" w:rsidP="00BF4842">
      <w:pPr>
        <w:pStyle w:val="CETBodytext"/>
        <w:rPr>
          <w:lang w:val="en-GB"/>
        </w:rPr>
      </w:pPr>
      <w:r w:rsidRPr="00BF4842">
        <w:rPr>
          <w:lang w:val="en-GB"/>
        </w:rPr>
        <w:t xml:space="preserve">The present </w:t>
      </w:r>
      <w:r w:rsidR="00617A04">
        <w:rPr>
          <w:lang w:val="en-GB"/>
        </w:rPr>
        <w:t>study</w:t>
      </w:r>
      <w:r w:rsidRPr="00BF4842">
        <w:rPr>
          <w:lang w:val="en-GB"/>
        </w:rPr>
        <w:t xml:space="preserve"> </w:t>
      </w:r>
      <w:r w:rsidR="00E479F9">
        <w:rPr>
          <w:lang w:val="en-GB"/>
        </w:rPr>
        <w:t xml:space="preserve">reports the results of preliminary </w:t>
      </w:r>
      <w:r w:rsidR="00F34F54">
        <w:rPr>
          <w:lang w:val="en-GB"/>
        </w:rPr>
        <w:t xml:space="preserve">pyrolysis and </w:t>
      </w:r>
      <w:r w:rsidRPr="00BF4842">
        <w:rPr>
          <w:lang w:val="en-GB"/>
        </w:rPr>
        <w:t xml:space="preserve">co-pyrolysis tests </w:t>
      </w:r>
      <w:r w:rsidR="009D4216">
        <w:rPr>
          <w:lang w:val="en-GB"/>
        </w:rPr>
        <w:t>(</w:t>
      </w:r>
      <w:r w:rsidRPr="00BF4842">
        <w:rPr>
          <w:lang w:val="en-GB"/>
        </w:rPr>
        <w:t>80% Olive Stone and 20% LDPE</w:t>
      </w:r>
      <w:r w:rsidR="00E479F9">
        <w:rPr>
          <w:lang w:val="en-GB"/>
        </w:rPr>
        <w:t>)</w:t>
      </w:r>
      <w:r w:rsidRPr="00BF4842">
        <w:rPr>
          <w:lang w:val="en-GB"/>
        </w:rPr>
        <w:t xml:space="preserve"> </w:t>
      </w:r>
      <w:r w:rsidR="00E479F9">
        <w:rPr>
          <w:lang w:val="en-GB"/>
        </w:rPr>
        <w:t xml:space="preserve">performed under both catalytic </w:t>
      </w:r>
      <w:r w:rsidR="00E479F9" w:rsidRPr="00BF4842">
        <w:rPr>
          <w:lang w:val="en-GB"/>
        </w:rPr>
        <w:t xml:space="preserve">(γ-alumina </w:t>
      </w:r>
      <w:r w:rsidR="00E479F9">
        <w:rPr>
          <w:lang w:val="en-GB"/>
        </w:rPr>
        <w:t>catalyst</w:t>
      </w:r>
      <w:r w:rsidR="00E479F9" w:rsidRPr="00BF4842">
        <w:rPr>
          <w:lang w:val="en-GB"/>
        </w:rPr>
        <w:t xml:space="preserve">) </w:t>
      </w:r>
      <w:r w:rsidR="00E479F9">
        <w:rPr>
          <w:lang w:val="en-GB"/>
        </w:rPr>
        <w:t>and non-catalytic conditions</w:t>
      </w:r>
      <w:r w:rsidR="00F34F54" w:rsidRPr="00BF4842">
        <w:rPr>
          <w:lang w:val="en-GB"/>
        </w:rPr>
        <w:t xml:space="preserve"> </w:t>
      </w:r>
      <w:r w:rsidR="00F34F54">
        <w:rPr>
          <w:lang w:val="en-GB"/>
        </w:rPr>
        <w:t>at two different temperature</w:t>
      </w:r>
      <w:r w:rsidR="00E479F9">
        <w:rPr>
          <w:lang w:val="en-GB"/>
        </w:rPr>
        <w:t xml:space="preserve"> levels</w:t>
      </w:r>
      <w:r w:rsidR="00F34F54">
        <w:rPr>
          <w:lang w:val="en-GB"/>
        </w:rPr>
        <w:t xml:space="preserve"> (</w:t>
      </w:r>
      <w:r w:rsidR="005B35DA">
        <w:rPr>
          <w:lang w:val="en-GB"/>
        </w:rPr>
        <w:t xml:space="preserve">i.e., </w:t>
      </w:r>
      <w:r w:rsidR="00F34F54">
        <w:rPr>
          <w:lang w:val="en-GB"/>
        </w:rPr>
        <w:t>500 and 600 °C)</w:t>
      </w:r>
      <w:r w:rsidR="00E479F9">
        <w:rPr>
          <w:lang w:val="en-GB"/>
        </w:rPr>
        <w:t xml:space="preserve">. Specifically, </w:t>
      </w:r>
      <w:r w:rsidR="00E479F9" w:rsidRPr="00BF4842">
        <w:rPr>
          <w:lang w:val="en-GB"/>
        </w:rPr>
        <w:t xml:space="preserve">the </w:t>
      </w:r>
      <w:r w:rsidR="00617A04">
        <w:rPr>
          <w:lang w:val="en-GB"/>
        </w:rPr>
        <w:t>positive</w:t>
      </w:r>
      <w:r w:rsidR="00E479F9" w:rsidRPr="00BF4842">
        <w:rPr>
          <w:lang w:val="en-GB"/>
        </w:rPr>
        <w:t xml:space="preserve"> effects </w:t>
      </w:r>
      <w:r w:rsidR="00E479F9">
        <w:rPr>
          <w:lang w:val="en-GB"/>
        </w:rPr>
        <w:t xml:space="preserve">and </w:t>
      </w:r>
      <w:r w:rsidR="00E479F9" w:rsidRPr="00BF4842">
        <w:rPr>
          <w:lang w:val="en-GB"/>
        </w:rPr>
        <w:t xml:space="preserve">the </w:t>
      </w:r>
      <w:r w:rsidR="00E479F9">
        <w:rPr>
          <w:lang w:val="en-GB"/>
        </w:rPr>
        <w:t>drawbacks</w:t>
      </w:r>
      <w:r w:rsidR="00E479F9" w:rsidRPr="00BF4842">
        <w:rPr>
          <w:lang w:val="en-GB"/>
        </w:rPr>
        <w:t xml:space="preserve"> </w:t>
      </w:r>
      <w:r w:rsidR="00E479F9">
        <w:rPr>
          <w:lang w:val="en-GB"/>
        </w:rPr>
        <w:t xml:space="preserve">that the above </w:t>
      </w:r>
      <w:r w:rsidR="00617A04">
        <w:rPr>
          <w:lang w:val="en-GB"/>
        </w:rPr>
        <w:t xml:space="preserve">alternative processing conditions, aimed at improving the quality of the bio-oil by reducing the content of oxygenated compounds, </w:t>
      </w:r>
      <w:r w:rsidR="00E479F9">
        <w:rPr>
          <w:lang w:val="en-GB"/>
        </w:rPr>
        <w:t>exert on</w:t>
      </w:r>
      <w:r w:rsidRPr="00BF4842">
        <w:rPr>
          <w:lang w:val="en-GB"/>
        </w:rPr>
        <w:t xml:space="preserve"> </w:t>
      </w:r>
      <w:r w:rsidR="00E479F9">
        <w:rPr>
          <w:lang w:val="en-GB"/>
        </w:rPr>
        <w:t xml:space="preserve">the </w:t>
      </w:r>
      <w:r w:rsidRPr="00BF4842">
        <w:rPr>
          <w:lang w:val="en-GB"/>
        </w:rPr>
        <w:t xml:space="preserve">yield and composition of </w:t>
      </w:r>
      <w:r w:rsidR="00E479F9">
        <w:rPr>
          <w:lang w:val="en-GB"/>
        </w:rPr>
        <w:t xml:space="preserve">produced </w:t>
      </w:r>
      <w:r w:rsidRPr="00BF4842">
        <w:rPr>
          <w:lang w:val="en-GB"/>
        </w:rPr>
        <w:t>bio-liquids</w:t>
      </w:r>
      <w:r w:rsidR="00151696">
        <w:rPr>
          <w:lang w:val="en-GB"/>
        </w:rPr>
        <w:t xml:space="preserve"> are discussed</w:t>
      </w:r>
      <w:r w:rsidRPr="00BF4842">
        <w:rPr>
          <w:lang w:val="en-GB"/>
        </w:rPr>
        <w:t>.</w:t>
      </w:r>
    </w:p>
    <w:p w14:paraId="77FD6A11" w14:textId="1ABCB7A8" w:rsidR="00BF4842" w:rsidRPr="00A04167" w:rsidRDefault="00617A04" w:rsidP="00BF4842">
      <w:pPr>
        <w:pStyle w:val="CETBodytext"/>
        <w:rPr>
          <w:lang w:val="en-GB"/>
        </w:rPr>
      </w:pPr>
      <w:r>
        <w:rPr>
          <w:lang w:val="en-GB"/>
        </w:rPr>
        <w:t xml:space="preserve">The experimental results indicate </w:t>
      </w:r>
      <w:r w:rsidR="00FF35D5" w:rsidRPr="00FF35D5">
        <w:rPr>
          <w:lang w:val="en-GB"/>
        </w:rPr>
        <w:t xml:space="preserve">that neither the addition of an acidic catalyst (γ-alumina) nor increasing the temperature to 600 °C favourably affect the distribution </w:t>
      </w:r>
      <w:r w:rsidR="00151696">
        <w:rPr>
          <w:lang w:val="en-GB"/>
        </w:rPr>
        <w:t xml:space="preserve">and </w:t>
      </w:r>
      <w:r w:rsidR="00FF35D5" w:rsidRPr="00FF35D5">
        <w:rPr>
          <w:lang w:val="en-GB"/>
        </w:rPr>
        <w:t>the quality of pyrolytic products</w:t>
      </w:r>
      <w:r w:rsidR="00151696">
        <w:rPr>
          <w:lang w:val="en-GB"/>
        </w:rPr>
        <w:t xml:space="preserve"> from</w:t>
      </w:r>
      <w:r w:rsidR="00151696" w:rsidRPr="00FF35D5">
        <w:rPr>
          <w:lang w:val="en-GB"/>
        </w:rPr>
        <w:t xml:space="preserve"> </w:t>
      </w:r>
      <w:r w:rsidR="00151696">
        <w:rPr>
          <w:lang w:val="en-GB"/>
        </w:rPr>
        <w:t xml:space="preserve">fast </w:t>
      </w:r>
      <w:r w:rsidR="00151696" w:rsidRPr="00FF35D5">
        <w:rPr>
          <w:lang w:val="en-GB"/>
        </w:rPr>
        <w:t>pyrolysis</w:t>
      </w:r>
      <w:r w:rsidR="00151696">
        <w:rPr>
          <w:lang w:val="en-GB"/>
        </w:rPr>
        <w:t xml:space="preserve"> of</w:t>
      </w:r>
      <w:r w:rsidR="00151696" w:rsidRPr="00151696">
        <w:rPr>
          <w:lang w:val="en-GB"/>
        </w:rPr>
        <w:t xml:space="preserve"> </w:t>
      </w:r>
      <w:r w:rsidR="00151696" w:rsidRPr="00FF35D5">
        <w:rPr>
          <w:lang w:val="en-GB"/>
        </w:rPr>
        <w:t>OS</w:t>
      </w:r>
      <w:r w:rsidR="00FF35D5" w:rsidRPr="00FF35D5">
        <w:rPr>
          <w:lang w:val="en-GB"/>
        </w:rPr>
        <w:t>.</w:t>
      </w:r>
      <w:r w:rsidR="00FF35D5">
        <w:rPr>
          <w:lang w:val="en-GB"/>
        </w:rPr>
        <w:t xml:space="preserve"> </w:t>
      </w:r>
      <w:r w:rsidR="00BF4842" w:rsidRPr="00BF4842">
        <w:rPr>
          <w:lang w:val="en-GB"/>
        </w:rPr>
        <w:t xml:space="preserve">In </w:t>
      </w:r>
      <w:r w:rsidR="00FF35D5">
        <w:rPr>
          <w:lang w:val="en-GB"/>
        </w:rPr>
        <w:t>fact</w:t>
      </w:r>
      <w:r w:rsidR="00BF4842" w:rsidRPr="00BF4842">
        <w:rPr>
          <w:lang w:val="en-GB"/>
        </w:rPr>
        <w:t xml:space="preserve">, </w:t>
      </w:r>
      <w:r w:rsidR="00FF35D5" w:rsidRPr="00FF35D5">
        <w:rPr>
          <w:lang w:val="en-GB"/>
        </w:rPr>
        <w:t xml:space="preserve">poor de-oxygenation of </w:t>
      </w:r>
      <w:r w:rsidR="00151696">
        <w:rPr>
          <w:lang w:val="en-GB"/>
        </w:rPr>
        <w:t xml:space="preserve">the </w:t>
      </w:r>
      <w:r>
        <w:rPr>
          <w:lang w:val="en-GB"/>
        </w:rPr>
        <w:t xml:space="preserve">bio-oil </w:t>
      </w:r>
      <w:r w:rsidR="00FF35D5" w:rsidRPr="00FF35D5">
        <w:rPr>
          <w:lang w:val="en-GB"/>
        </w:rPr>
        <w:t>is observed</w:t>
      </w:r>
      <w:r w:rsidR="00A13DBE">
        <w:rPr>
          <w:lang w:val="en-GB"/>
        </w:rPr>
        <w:t xml:space="preserve">, together with </w:t>
      </w:r>
      <w:r>
        <w:rPr>
          <w:lang w:val="en-GB"/>
        </w:rPr>
        <w:t>a</w:t>
      </w:r>
      <w:r w:rsidRPr="00BF4842">
        <w:rPr>
          <w:lang w:val="en-GB"/>
        </w:rPr>
        <w:t xml:space="preserve"> </w:t>
      </w:r>
      <w:r w:rsidR="00A13DBE">
        <w:rPr>
          <w:lang w:val="en-GB"/>
        </w:rPr>
        <w:t xml:space="preserve">substantial </w:t>
      </w:r>
      <w:r w:rsidRPr="00BF4842">
        <w:rPr>
          <w:lang w:val="en-GB"/>
        </w:rPr>
        <w:t xml:space="preserve">reduction in the </w:t>
      </w:r>
      <w:r w:rsidR="00A13DBE">
        <w:rPr>
          <w:lang w:val="en-GB"/>
        </w:rPr>
        <w:t xml:space="preserve">bio-oil </w:t>
      </w:r>
      <w:r>
        <w:rPr>
          <w:lang w:val="en-GB"/>
        </w:rPr>
        <w:t>yield</w:t>
      </w:r>
      <w:r w:rsidR="00FF35D5">
        <w:rPr>
          <w:lang w:val="en-GB"/>
        </w:rPr>
        <w:t xml:space="preserve">. </w:t>
      </w:r>
      <w:r w:rsidR="00B703CA" w:rsidRPr="00B703CA">
        <w:rPr>
          <w:lang w:val="en-GB"/>
        </w:rPr>
        <w:t>Likewise</w:t>
      </w:r>
      <w:r w:rsidR="00B703CA">
        <w:rPr>
          <w:lang w:val="en-GB"/>
        </w:rPr>
        <w:t xml:space="preserve">, </w:t>
      </w:r>
      <w:r w:rsidR="00151696">
        <w:rPr>
          <w:lang w:val="en-GB"/>
        </w:rPr>
        <w:t xml:space="preserve">no remarkable </w:t>
      </w:r>
      <w:r w:rsidR="00B703CA" w:rsidRPr="00B703CA">
        <w:rPr>
          <w:lang w:val="en-GB"/>
        </w:rPr>
        <w:t xml:space="preserve">benefits </w:t>
      </w:r>
      <w:r w:rsidR="00151696">
        <w:rPr>
          <w:lang w:val="en-GB"/>
        </w:rPr>
        <w:t>are detected</w:t>
      </w:r>
      <w:r w:rsidR="00B703CA" w:rsidRPr="00B703CA">
        <w:rPr>
          <w:lang w:val="en-GB"/>
        </w:rPr>
        <w:t xml:space="preserve"> following the addition of LDPE to OS </w:t>
      </w:r>
      <w:r w:rsidR="00151696">
        <w:rPr>
          <w:lang w:val="en-GB"/>
        </w:rPr>
        <w:t>under non catalytic conditions</w:t>
      </w:r>
      <w:r w:rsidR="00A13DBE">
        <w:rPr>
          <w:lang w:val="en-GB"/>
        </w:rPr>
        <w:t>.</w:t>
      </w:r>
      <w:r w:rsidR="00151696">
        <w:rPr>
          <w:lang w:val="en-GB"/>
        </w:rPr>
        <w:t xml:space="preserve"> </w:t>
      </w:r>
      <w:r w:rsidR="00A13DBE">
        <w:rPr>
          <w:lang w:val="en-GB"/>
        </w:rPr>
        <w:t>I</w:t>
      </w:r>
      <w:r w:rsidR="00EF5888">
        <w:rPr>
          <w:lang w:val="en-GB"/>
        </w:rPr>
        <w:t xml:space="preserve">ndeed, </w:t>
      </w:r>
      <w:r w:rsidR="00EF5888" w:rsidRPr="00B703CA">
        <w:rPr>
          <w:lang w:val="en-GB"/>
        </w:rPr>
        <w:t>the</w:t>
      </w:r>
      <w:r w:rsidR="00B703CA" w:rsidRPr="00B703CA">
        <w:rPr>
          <w:lang w:val="en-GB"/>
        </w:rPr>
        <w:t xml:space="preserve"> bio-oil</w:t>
      </w:r>
      <w:r w:rsidR="00EF5888">
        <w:rPr>
          <w:lang w:val="en-GB"/>
        </w:rPr>
        <w:t>s</w:t>
      </w:r>
      <w:r w:rsidR="00B703CA" w:rsidRPr="00B703CA">
        <w:rPr>
          <w:lang w:val="en-GB"/>
        </w:rPr>
        <w:t xml:space="preserve"> </w:t>
      </w:r>
      <w:r w:rsidR="00EF5888">
        <w:rPr>
          <w:lang w:val="en-GB"/>
        </w:rPr>
        <w:t>produced</w:t>
      </w:r>
      <w:r w:rsidR="00EF5888" w:rsidRPr="00B703CA" w:rsidDel="00EF5888">
        <w:rPr>
          <w:lang w:val="en-GB"/>
        </w:rPr>
        <w:t xml:space="preserve"> </w:t>
      </w:r>
      <w:r w:rsidR="00EF5888">
        <w:rPr>
          <w:lang w:val="en-GB"/>
        </w:rPr>
        <w:t xml:space="preserve">through non-catalytic co-pyrolysis have </w:t>
      </w:r>
      <w:r w:rsidR="00B703CA" w:rsidRPr="00B703CA">
        <w:rPr>
          <w:lang w:val="en-GB"/>
        </w:rPr>
        <w:t>approximately the same content of oxygenates as th</w:t>
      </w:r>
      <w:r w:rsidR="00A13DBE">
        <w:rPr>
          <w:lang w:val="en-GB"/>
        </w:rPr>
        <w:t>ose</w:t>
      </w:r>
      <w:r w:rsidR="00B703CA" w:rsidRPr="00B703CA">
        <w:rPr>
          <w:lang w:val="en-GB"/>
        </w:rPr>
        <w:t xml:space="preserve"> </w:t>
      </w:r>
      <w:r w:rsidR="00EF5888">
        <w:rPr>
          <w:lang w:val="en-GB"/>
        </w:rPr>
        <w:t>from fast</w:t>
      </w:r>
      <w:r w:rsidR="00B703CA" w:rsidRPr="00B703CA">
        <w:rPr>
          <w:lang w:val="en-GB"/>
        </w:rPr>
        <w:t xml:space="preserve"> pyrolysis of OS</w:t>
      </w:r>
      <w:r w:rsidR="00EF5888">
        <w:rPr>
          <w:lang w:val="en-GB"/>
        </w:rPr>
        <w:t xml:space="preserve"> alone</w:t>
      </w:r>
      <w:r w:rsidR="00B703CA">
        <w:rPr>
          <w:lang w:val="en-GB"/>
        </w:rPr>
        <w:t xml:space="preserve">. </w:t>
      </w:r>
      <w:r w:rsidR="00AA6B13">
        <w:rPr>
          <w:lang w:val="en-GB"/>
        </w:rPr>
        <w:t>Instead, a</w:t>
      </w:r>
      <w:r w:rsidR="00BF4842" w:rsidRPr="00BF4842">
        <w:rPr>
          <w:lang w:val="en-GB"/>
        </w:rPr>
        <w:t xml:space="preserve">n interesting improvement in </w:t>
      </w:r>
      <w:r w:rsidR="00B703CA">
        <w:rPr>
          <w:lang w:val="en-GB"/>
        </w:rPr>
        <w:t>the</w:t>
      </w:r>
      <w:r w:rsidR="00BF4842" w:rsidRPr="00BF4842">
        <w:rPr>
          <w:lang w:val="en-GB"/>
        </w:rPr>
        <w:t xml:space="preserve"> quality </w:t>
      </w:r>
      <w:r w:rsidR="00B703CA">
        <w:rPr>
          <w:lang w:val="en-GB"/>
        </w:rPr>
        <w:t xml:space="preserve">of bio-liquid </w:t>
      </w:r>
      <w:r w:rsidR="00BF4842" w:rsidRPr="00BF4842">
        <w:rPr>
          <w:lang w:val="en-GB"/>
        </w:rPr>
        <w:t>is achieved</w:t>
      </w:r>
      <w:r w:rsidR="00B703CA">
        <w:rPr>
          <w:lang w:val="en-GB"/>
        </w:rPr>
        <w:t xml:space="preserve"> </w:t>
      </w:r>
      <w:r w:rsidR="00EF5888">
        <w:rPr>
          <w:lang w:val="en-GB"/>
        </w:rPr>
        <w:t xml:space="preserve">during </w:t>
      </w:r>
      <w:r w:rsidR="00B703CA">
        <w:rPr>
          <w:lang w:val="en-GB"/>
        </w:rPr>
        <w:t>co-pyrolysis</w:t>
      </w:r>
      <w:r w:rsidR="00EF5888">
        <w:rPr>
          <w:lang w:val="en-GB"/>
        </w:rPr>
        <w:t xml:space="preserve"> tests performed in the presence of the </w:t>
      </w:r>
      <w:r w:rsidR="00C0231E" w:rsidRPr="00BF4842">
        <w:rPr>
          <w:lang w:val="en-GB"/>
        </w:rPr>
        <w:t>γ-</w:t>
      </w:r>
      <w:r w:rsidR="00EF5888">
        <w:rPr>
          <w:lang w:val="en-GB"/>
        </w:rPr>
        <w:t>alumina catalysts</w:t>
      </w:r>
      <w:r w:rsidR="00BF4842" w:rsidRPr="00BF4842">
        <w:rPr>
          <w:lang w:val="en-GB"/>
        </w:rPr>
        <w:t>, particularly in terms of trace formation of mono-aromati</w:t>
      </w:r>
      <w:r w:rsidR="00B703CA">
        <w:rPr>
          <w:lang w:val="en-GB"/>
        </w:rPr>
        <w:t>c</w:t>
      </w:r>
      <w:r w:rsidR="00EF5888">
        <w:rPr>
          <w:lang w:val="en-GB"/>
        </w:rPr>
        <w:t xml:space="preserve"> compounds</w:t>
      </w:r>
      <w:r w:rsidR="00B703CA">
        <w:rPr>
          <w:lang w:val="en-GB"/>
        </w:rPr>
        <w:t xml:space="preserve"> (such as benzene derivatives </w:t>
      </w:r>
      <w:r w:rsidR="00BF4842" w:rsidRPr="00BF4842">
        <w:rPr>
          <w:lang w:val="en-GB"/>
        </w:rPr>
        <w:t xml:space="preserve">and </w:t>
      </w:r>
      <w:r w:rsidR="00C0231E">
        <w:rPr>
          <w:lang w:val="en-GB"/>
        </w:rPr>
        <w:t>o-</w:t>
      </w:r>
      <w:r w:rsidR="00BF4842" w:rsidRPr="00BF4842">
        <w:rPr>
          <w:lang w:val="en-GB"/>
        </w:rPr>
        <w:t>xylene</w:t>
      </w:r>
      <w:r w:rsidR="00B703CA">
        <w:rPr>
          <w:lang w:val="en-GB"/>
        </w:rPr>
        <w:t>)</w:t>
      </w:r>
      <w:r w:rsidR="00BF4842" w:rsidRPr="00BF4842">
        <w:rPr>
          <w:lang w:val="en-GB"/>
        </w:rPr>
        <w:t xml:space="preserve"> </w:t>
      </w:r>
      <w:r w:rsidR="00C0231E">
        <w:rPr>
          <w:lang w:val="en-GB"/>
        </w:rPr>
        <w:t xml:space="preserve">as well as </w:t>
      </w:r>
      <w:r w:rsidR="004D0BF3">
        <w:rPr>
          <w:lang w:val="en-GB"/>
        </w:rPr>
        <w:t xml:space="preserve">a </w:t>
      </w:r>
      <w:r w:rsidR="00BF4842" w:rsidRPr="00BF4842">
        <w:rPr>
          <w:lang w:val="en-GB"/>
        </w:rPr>
        <w:t xml:space="preserve">marked decrease in </w:t>
      </w:r>
      <w:r w:rsidR="00EF5888">
        <w:rPr>
          <w:lang w:val="en-GB"/>
        </w:rPr>
        <w:t>formation</w:t>
      </w:r>
      <w:r w:rsidR="00BF4842" w:rsidRPr="00BF4842">
        <w:rPr>
          <w:lang w:val="en-GB"/>
        </w:rPr>
        <w:t xml:space="preserve"> of the oxygenated compounds</w:t>
      </w:r>
      <w:r w:rsidR="00AA6B13">
        <w:rPr>
          <w:lang w:val="en-GB"/>
        </w:rPr>
        <w:t>, by a factor of nearly 80</w:t>
      </w:r>
      <w:r w:rsidR="00794FAD">
        <w:t xml:space="preserve"> </w:t>
      </w:r>
      <w:r w:rsidR="00350F4C" w:rsidRPr="00B409C1">
        <w:t>%</w:t>
      </w:r>
      <w:r w:rsidR="00794FAD">
        <w:t xml:space="preserve"> </w:t>
      </w:r>
      <w:r w:rsidR="00AA6B13">
        <w:lastRenderedPageBreak/>
        <w:t xml:space="preserve">when shifting </w:t>
      </w:r>
      <w:r w:rsidR="00BF4842" w:rsidRPr="00BF4842">
        <w:rPr>
          <w:lang w:val="en-GB"/>
        </w:rPr>
        <w:t>from non-catalytic to catalytic co-pyrolysis</w:t>
      </w:r>
      <w:r w:rsidR="00E507B8">
        <w:rPr>
          <w:lang w:val="en-GB"/>
        </w:rPr>
        <w:t xml:space="preserve">. </w:t>
      </w:r>
      <w:r w:rsidR="00BF4842" w:rsidRPr="00BF4842">
        <w:rPr>
          <w:lang w:val="en-GB"/>
        </w:rPr>
        <w:t xml:space="preserve">On the downside, however, a significant increase in the production of </w:t>
      </w:r>
      <w:r w:rsidR="00E507B8">
        <w:rPr>
          <w:lang w:val="en-GB"/>
        </w:rPr>
        <w:t>PAHs</w:t>
      </w:r>
      <w:r w:rsidR="00BF4842" w:rsidRPr="00BF4842">
        <w:rPr>
          <w:lang w:val="en-GB"/>
        </w:rPr>
        <w:t xml:space="preserve"> </w:t>
      </w:r>
      <w:r w:rsidR="00EF5888">
        <w:rPr>
          <w:lang w:val="en-GB"/>
        </w:rPr>
        <w:t>was detected</w:t>
      </w:r>
      <w:r w:rsidR="00BF4842" w:rsidRPr="00BF4842">
        <w:rPr>
          <w:lang w:val="en-GB"/>
        </w:rPr>
        <w:t>.</w:t>
      </w:r>
      <w:r w:rsidR="00E507B8">
        <w:rPr>
          <w:lang w:val="en-GB"/>
        </w:rPr>
        <w:t xml:space="preserve"> T</w:t>
      </w:r>
      <w:r w:rsidR="00E507B8" w:rsidRPr="00E507B8">
        <w:rPr>
          <w:lang w:val="en-GB"/>
        </w:rPr>
        <w:t xml:space="preserve">his </w:t>
      </w:r>
      <w:r w:rsidR="006A12F6" w:rsidRPr="006A12F6">
        <w:rPr>
          <w:lang w:val="en-GB"/>
        </w:rPr>
        <w:t>drawback</w:t>
      </w:r>
      <w:r w:rsidR="00EF5888">
        <w:rPr>
          <w:lang w:val="en-GB"/>
        </w:rPr>
        <w:t xml:space="preserve"> </w:t>
      </w:r>
      <w:r w:rsidR="00AA6B13">
        <w:rPr>
          <w:lang w:val="en-GB"/>
        </w:rPr>
        <w:t xml:space="preserve">could be </w:t>
      </w:r>
      <w:r w:rsidR="00E507B8" w:rsidRPr="00E507B8">
        <w:rPr>
          <w:lang w:val="en-GB"/>
        </w:rPr>
        <w:t xml:space="preserve">overcome </w:t>
      </w:r>
      <w:r w:rsidR="00BA13C4">
        <w:rPr>
          <w:lang w:val="en-GB"/>
        </w:rPr>
        <w:t>by co-processing OS and LDPE at a higher temperature level</w:t>
      </w:r>
      <w:r w:rsidR="00E507B8" w:rsidRPr="00E507B8">
        <w:rPr>
          <w:lang w:val="en-GB"/>
        </w:rPr>
        <w:t xml:space="preserve"> </w:t>
      </w:r>
      <w:r w:rsidR="00BA13C4">
        <w:rPr>
          <w:lang w:val="en-GB"/>
        </w:rPr>
        <w:t>(</w:t>
      </w:r>
      <w:r w:rsidR="00E507B8" w:rsidRPr="00E507B8">
        <w:rPr>
          <w:lang w:val="en-GB"/>
        </w:rPr>
        <w:t>600</w:t>
      </w:r>
      <w:r w:rsidR="00B703CA">
        <w:rPr>
          <w:lang w:val="en-GB"/>
        </w:rPr>
        <w:t> </w:t>
      </w:r>
      <w:r w:rsidR="00E507B8" w:rsidRPr="00E507B8">
        <w:rPr>
          <w:lang w:val="en-GB"/>
        </w:rPr>
        <w:t>°C</w:t>
      </w:r>
      <w:r w:rsidR="00BA13C4">
        <w:rPr>
          <w:lang w:val="en-GB"/>
        </w:rPr>
        <w:t>)</w:t>
      </w:r>
      <w:r w:rsidR="00F4485E">
        <w:rPr>
          <w:lang w:val="en-GB"/>
        </w:rPr>
        <w:t>. A</w:t>
      </w:r>
      <w:r w:rsidR="00E507B8" w:rsidRPr="00E507B8">
        <w:rPr>
          <w:lang w:val="en-GB"/>
        </w:rPr>
        <w:t xml:space="preserve"> </w:t>
      </w:r>
      <w:r w:rsidR="00E507B8" w:rsidRPr="0001688A">
        <w:rPr>
          <w:lang w:val="en-GB"/>
        </w:rPr>
        <w:t>significant reduction in the production of PAHs</w:t>
      </w:r>
      <w:r w:rsidR="00B703CA" w:rsidRPr="0001688A">
        <w:rPr>
          <w:lang w:val="en-GB"/>
        </w:rPr>
        <w:t xml:space="preserve"> </w:t>
      </w:r>
      <w:r w:rsidR="00B703CA" w:rsidRPr="00794FAD">
        <w:rPr>
          <w:lang w:val="en-GB"/>
        </w:rPr>
        <w:t>(</w:t>
      </w:r>
      <w:r w:rsidR="00396F28" w:rsidRPr="00794FAD">
        <w:t>by 9</w:t>
      </w:r>
      <w:r w:rsidR="00B703CA" w:rsidRPr="00794FAD">
        <w:t xml:space="preserve">8 </w:t>
      </w:r>
      <w:r w:rsidR="00794FAD" w:rsidRPr="00794FAD">
        <w:t>%</w:t>
      </w:r>
      <w:r w:rsidR="00794FAD">
        <w:t xml:space="preserve"> moving</w:t>
      </w:r>
      <w:r w:rsidR="00C23557">
        <w:t xml:space="preserve"> from T</w:t>
      </w:r>
      <w:r w:rsidR="00794FAD">
        <w:t>est 3</w:t>
      </w:r>
      <w:r w:rsidR="00C23557">
        <w:t xml:space="preserve"> to T</w:t>
      </w:r>
      <w:r w:rsidR="00794FAD">
        <w:t>est 6</w:t>
      </w:r>
      <w:r w:rsidR="00B703CA" w:rsidRPr="0001688A">
        <w:rPr>
          <w:lang w:val="en-GB"/>
        </w:rPr>
        <w:t>)</w:t>
      </w:r>
      <w:r w:rsidR="00FD26C4">
        <w:rPr>
          <w:lang w:val="en-GB"/>
        </w:rPr>
        <w:t>,</w:t>
      </w:r>
      <w:r w:rsidR="00BA13C4">
        <w:rPr>
          <w:lang w:val="en-GB"/>
        </w:rPr>
        <w:t xml:space="preserve"> </w:t>
      </w:r>
      <w:r w:rsidR="00F4485E">
        <w:rPr>
          <w:lang w:val="en-GB"/>
        </w:rPr>
        <w:t xml:space="preserve">together with </w:t>
      </w:r>
      <w:r w:rsidR="004D0BF3">
        <w:rPr>
          <w:lang w:val="en-GB"/>
        </w:rPr>
        <w:t xml:space="preserve">a </w:t>
      </w:r>
      <w:r w:rsidR="00BA13C4">
        <w:rPr>
          <w:lang w:val="en-GB"/>
        </w:rPr>
        <w:t>satisfactory</w:t>
      </w:r>
      <w:r w:rsidR="00BA13C4" w:rsidRPr="00E507B8">
        <w:rPr>
          <w:lang w:val="en-GB"/>
        </w:rPr>
        <w:t xml:space="preserve"> </w:t>
      </w:r>
      <w:r w:rsidR="00BA13C4">
        <w:rPr>
          <w:lang w:val="en-GB"/>
        </w:rPr>
        <w:t xml:space="preserve">decrease in the yield </w:t>
      </w:r>
      <w:r w:rsidR="00BA13C4" w:rsidRPr="00E507B8">
        <w:rPr>
          <w:lang w:val="en-GB"/>
        </w:rPr>
        <w:t>of oxygenated compounds</w:t>
      </w:r>
      <w:r w:rsidR="00BA13C4">
        <w:rPr>
          <w:lang w:val="en-GB"/>
        </w:rPr>
        <w:t xml:space="preserve"> </w:t>
      </w:r>
      <w:r w:rsidR="00BA13C4" w:rsidRPr="00C23557">
        <w:rPr>
          <w:lang w:val="en-GB"/>
        </w:rPr>
        <w:t>(</w:t>
      </w:r>
      <w:r w:rsidR="00FD26C4" w:rsidRPr="00C23557">
        <w:t xml:space="preserve">by </w:t>
      </w:r>
      <w:r w:rsidR="00794FAD" w:rsidRPr="00C23557">
        <w:t>33</w:t>
      </w:r>
      <w:r w:rsidR="005B35DA">
        <w:t xml:space="preserve"> </w:t>
      </w:r>
      <w:r w:rsidR="002E4EFE" w:rsidRPr="00C23557">
        <w:t>%</w:t>
      </w:r>
      <w:r w:rsidR="00350F4C" w:rsidRPr="00C23557">
        <w:rPr>
          <w:lang w:val="en-GB"/>
        </w:rPr>
        <w:t>)</w:t>
      </w:r>
      <w:r w:rsidR="00A04167">
        <w:rPr>
          <w:lang w:val="en-GB"/>
        </w:rPr>
        <w:t xml:space="preserve"> and</w:t>
      </w:r>
      <w:r w:rsidR="00350F4C">
        <w:rPr>
          <w:lang w:val="en-GB"/>
        </w:rPr>
        <w:t xml:space="preserve"> </w:t>
      </w:r>
      <w:r w:rsidR="00396F28">
        <w:rPr>
          <w:lang w:val="en-GB"/>
        </w:rPr>
        <w:t xml:space="preserve">a decrease in the </w:t>
      </w:r>
      <w:r w:rsidR="00A04167">
        <w:rPr>
          <w:lang w:val="en-GB"/>
        </w:rPr>
        <w:t xml:space="preserve">water </w:t>
      </w:r>
      <w:r w:rsidR="00396F28">
        <w:rPr>
          <w:lang w:val="en-GB"/>
        </w:rPr>
        <w:t xml:space="preserve">content of bio-liquids </w:t>
      </w:r>
      <w:r w:rsidR="00396F28" w:rsidRPr="00FD26C4">
        <w:rPr>
          <w:lang w:val="en-GB"/>
        </w:rPr>
        <w:t>(</w:t>
      </w:r>
      <w:r w:rsidR="00A04167" w:rsidRPr="00FD26C4">
        <w:t>by 4</w:t>
      </w:r>
      <w:r w:rsidR="00FD26C4" w:rsidRPr="00FD26C4">
        <w:t>4</w:t>
      </w:r>
      <w:r w:rsidR="005B35DA">
        <w:t xml:space="preserve"> </w:t>
      </w:r>
      <w:r w:rsidR="00A04167" w:rsidRPr="00FD26C4">
        <w:t>%</w:t>
      </w:r>
      <w:r w:rsidR="00396F28" w:rsidRPr="00FD26C4">
        <w:rPr>
          <w:lang w:val="en-GB"/>
        </w:rPr>
        <w:t>)</w:t>
      </w:r>
      <w:r w:rsidR="00A04167">
        <w:rPr>
          <w:lang w:val="en-GB"/>
        </w:rPr>
        <w:t xml:space="preserve"> </w:t>
      </w:r>
      <w:r w:rsidR="00F4485E">
        <w:rPr>
          <w:lang w:val="en-GB"/>
        </w:rPr>
        <w:t xml:space="preserve">was recorded in this case, </w:t>
      </w:r>
      <w:r w:rsidR="00A04167" w:rsidRPr="0041019D">
        <w:t>compared to co-pyrolysis tests carried out at 500 °C</w:t>
      </w:r>
      <w:r w:rsidR="00C23557">
        <w:t xml:space="preserve"> (Test 2)</w:t>
      </w:r>
      <w:r w:rsidR="00A04167" w:rsidRPr="00A04167">
        <w:rPr>
          <w:lang w:val="en-GB"/>
        </w:rPr>
        <w:t xml:space="preserve">. </w:t>
      </w:r>
      <w:r w:rsidR="00BF4842" w:rsidRPr="00A04167">
        <w:rPr>
          <w:lang w:val="en-GB"/>
        </w:rPr>
        <w:t xml:space="preserve">Altogether, these preliminary findings </w:t>
      </w:r>
      <w:r w:rsidR="00F4485E">
        <w:rPr>
          <w:lang w:val="en-GB"/>
        </w:rPr>
        <w:t xml:space="preserve">show the track along which careful application of chemical reaction engineering and industrial catalysis principles and criteria must be applied </w:t>
      </w:r>
      <w:r w:rsidR="00BF4842" w:rsidRPr="00A04167">
        <w:rPr>
          <w:lang w:val="en-GB"/>
        </w:rPr>
        <w:t xml:space="preserve">in order to </w:t>
      </w:r>
      <w:r w:rsidR="00A04167" w:rsidRPr="0041019D">
        <w:rPr>
          <w:lang w:val="en-GB"/>
        </w:rPr>
        <w:t xml:space="preserve">improve the performance </w:t>
      </w:r>
      <w:r w:rsidR="00F4485E">
        <w:rPr>
          <w:lang w:val="en-GB"/>
        </w:rPr>
        <w:t xml:space="preserve">of </w:t>
      </w:r>
      <w:r w:rsidR="00A04167" w:rsidRPr="0041019D">
        <w:rPr>
          <w:lang w:val="en-GB"/>
        </w:rPr>
        <w:t>pyrolysis</w:t>
      </w:r>
      <w:r w:rsidR="00F4485E">
        <w:rPr>
          <w:lang w:val="en-GB"/>
        </w:rPr>
        <w:t>/co-pyrolysis processes. O</w:t>
      </w:r>
      <w:r w:rsidR="00A04167" w:rsidRPr="00A04167">
        <w:rPr>
          <w:lang w:val="en-GB"/>
        </w:rPr>
        <w:t>ptimiz</w:t>
      </w:r>
      <w:r w:rsidR="00F4485E">
        <w:rPr>
          <w:lang w:val="en-GB"/>
        </w:rPr>
        <w:t xml:space="preserve">ation of </w:t>
      </w:r>
      <w:r w:rsidR="00E507B8" w:rsidRPr="00A04167">
        <w:rPr>
          <w:lang w:val="en-GB"/>
        </w:rPr>
        <w:t xml:space="preserve">pyrolysis temperature, biomass to LDPE ratio, feedstock to catalyst ratio, volatiles residence time, solid-gas contact time, </w:t>
      </w:r>
      <w:r w:rsidR="00BF4842" w:rsidRPr="00A04167">
        <w:rPr>
          <w:lang w:val="en-GB"/>
        </w:rPr>
        <w:t xml:space="preserve">physicochemical properties of catalysts </w:t>
      </w:r>
      <w:r w:rsidR="00F4485E">
        <w:rPr>
          <w:lang w:val="en-GB"/>
        </w:rPr>
        <w:t>(specifically</w:t>
      </w:r>
      <w:r w:rsidR="00BF4842" w:rsidRPr="00A04167">
        <w:rPr>
          <w:lang w:val="en-GB"/>
        </w:rPr>
        <w:t>, pore size distribution and acid</w:t>
      </w:r>
      <w:r w:rsidR="00F4485E">
        <w:rPr>
          <w:lang w:val="en-GB"/>
        </w:rPr>
        <w:t>ic</w:t>
      </w:r>
      <w:r w:rsidR="00BF4842" w:rsidRPr="00A04167">
        <w:rPr>
          <w:lang w:val="en-GB"/>
        </w:rPr>
        <w:t xml:space="preserve"> site strength</w:t>
      </w:r>
      <w:r w:rsidR="00F4485E">
        <w:rPr>
          <w:lang w:val="en-GB"/>
        </w:rPr>
        <w:t xml:space="preserve">) as well as reconsideration of design and operational conditions of the fluidized bed converter </w:t>
      </w:r>
      <w:r w:rsidR="00051D1A" w:rsidRPr="00B20D10">
        <w:rPr>
          <w:lang w:val="en-GB"/>
        </w:rPr>
        <w:t xml:space="preserve">and </w:t>
      </w:r>
      <w:r w:rsidR="00195426" w:rsidRPr="00B20D10">
        <w:rPr>
          <w:lang w:val="en-GB"/>
        </w:rPr>
        <w:t xml:space="preserve">the </w:t>
      </w:r>
      <w:r w:rsidR="00051D1A" w:rsidRPr="00B20D10">
        <w:rPr>
          <w:lang w:val="en-GB"/>
        </w:rPr>
        <w:t xml:space="preserve">condensation system, </w:t>
      </w:r>
      <w:r w:rsidR="00F4485E" w:rsidRPr="00B20D10">
        <w:rPr>
          <w:lang w:val="en-GB"/>
        </w:rPr>
        <w:t>will be undertaken as further steps of the investigation</w:t>
      </w:r>
      <w:r w:rsidR="004D0BF3" w:rsidRPr="00B20D10">
        <w:rPr>
          <w:lang w:val="en-GB"/>
        </w:rPr>
        <w:t>.</w:t>
      </w:r>
      <w:r w:rsidR="00E507B8" w:rsidRPr="00A04167">
        <w:t xml:space="preserve"> </w:t>
      </w:r>
    </w:p>
    <w:p w14:paraId="459D05E6" w14:textId="7FDA3DE0" w:rsidR="00600535" w:rsidRDefault="00600535" w:rsidP="00600535">
      <w:pPr>
        <w:pStyle w:val="CETAcknowledgementstitle"/>
      </w:pPr>
      <w:r w:rsidRPr="00B57B36">
        <w:t>Acknowledgments</w:t>
      </w:r>
    </w:p>
    <w:p w14:paraId="189D39FE" w14:textId="05543896" w:rsidR="00BF4842" w:rsidRPr="00BF4842" w:rsidRDefault="00BF4842" w:rsidP="00BF4842">
      <w:pPr>
        <w:pStyle w:val="CETBodytext"/>
        <w:rPr>
          <w:lang w:val="en-GB"/>
        </w:rPr>
      </w:pPr>
      <w:r w:rsidRPr="00BF4842">
        <w:rPr>
          <w:lang w:val="en-GB"/>
        </w:rPr>
        <w:t>This study has been carried out in the frame of the project PON ARS01_00985: Biofeedstock: Development of Integrated Technological Platforms for Residual Biomass Exploitation, funded by the Italian Ministry for University and Research.</w:t>
      </w:r>
      <w:r w:rsidR="00C069F1" w:rsidRPr="00C069F1">
        <w:t xml:space="preserve"> </w:t>
      </w:r>
      <w:r w:rsidR="00C069F1" w:rsidRPr="00C069F1">
        <w:rPr>
          <w:lang w:val="en-GB"/>
        </w:rPr>
        <w:t>E.T.G. acknowledges a grant from ENI for a PhD position at Università degli Studi di Napoli Federico II as recipient of the ENI Award Young Talents from Africa 2018.</w:t>
      </w:r>
    </w:p>
    <w:p w14:paraId="4F1327F8" w14:textId="3F709A3F" w:rsidR="00600535" w:rsidRDefault="00600535" w:rsidP="00DA0AEC">
      <w:pPr>
        <w:pStyle w:val="CETReference"/>
      </w:pPr>
      <w:r w:rsidRPr="00B57B36">
        <w:t>References</w:t>
      </w:r>
    </w:p>
    <w:p w14:paraId="56A67E5C" w14:textId="0D5BB2EB" w:rsidR="00F51567" w:rsidRDefault="00F51567" w:rsidP="00F51567">
      <w:pPr>
        <w:pStyle w:val="CETReferencetext"/>
      </w:pPr>
      <w:r w:rsidRPr="00F51567">
        <w:t>Agblevor F. A., Elliott D</w:t>
      </w:r>
      <w:r>
        <w:t xml:space="preserve">. </w:t>
      </w:r>
      <w:r w:rsidRPr="00F51567">
        <w:t>C., Santosa D</w:t>
      </w:r>
      <w:r>
        <w:t>.</w:t>
      </w:r>
      <w:r w:rsidRPr="00F51567">
        <w:t xml:space="preserve"> M., Olarte M</w:t>
      </w:r>
      <w:r>
        <w:t xml:space="preserve">. </w:t>
      </w:r>
      <w:r w:rsidRPr="00F51567">
        <w:t>V., Burton S</w:t>
      </w:r>
      <w:r>
        <w:t xml:space="preserve">. </w:t>
      </w:r>
      <w:r w:rsidRPr="00F51567">
        <w:t>D., Swita</w:t>
      </w:r>
      <w:r>
        <w:t xml:space="preserve"> M.</w:t>
      </w:r>
      <w:r w:rsidRPr="00F51567">
        <w:t>, Beis S</w:t>
      </w:r>
      <w:r>
        <w:t>. H.</w:t>
      </w:r>
      <w:r w:rsidRPr="00F51567">
        <w:t>, Christian</w:t>
      </w:r>
      <w:r>
        <w:t xml:space="preserve"> K., and </w:t>
      </w:r>
      <w:r w:rsidRPr="00F51567">
        <w:t>Sargent</w:t>
      </w:r>
      <w:r>
        <w:t xml:space="preserve"> B., </w:t>
      </w:r>
      <w:r w:rsidRPr="00F51567">
        <w:t>2016, Red Mud Catalytic Pyrolysis of Pinyon Juniper and Single-Stage Hydrotreatment</w:t>
      </w:r>
      <w:r w:rsidR="00F87343">
        <w:t xml:space="preserve"> of Oils, Energy &amp; Fuels, 30</w:t>
      </w:r>
      <w:r w:rsidRPr="00F51567">
        <w:t>, 7947-7958.</w:t>
      </w:r>
    </w:p>
    <w:p w14:paraId="5DFE94ED" w14:textId="11F6941D" w:rsidR="00F51567" w:rsidRDefault="00F51567" w:rsidP="00F51567">
      <w:pPr>
        <w:pStyle w:val="CETReferencetext"/>
      </w:pPr>
      <w:r>
        <w:t>Agblevor F. A., Mante O., Abdoulmoumine N., and McClung R., 2010, Production of Stable Biomass Pyrolysis Oils Using Fractional Catalytic P</w:t>
      </w:r>
      <w:r w:rsidR="00F87343">
        <w:t>yrolysis, Energy &amp; Fuels, 24</w:t>
      </w:r>
      <w:r>
        <w:t>, 4087-4089.</w:t>
      </w:r>
    </w:p>
    <w:p w14:paraId="0AA42EC1" w14:textId="77777777" w:rsidR="00F51567" w:rsidRDefault="00F51567" w:rsidP="00F51567">
      <w:pPr>
        <w:pStyle w:val="CETReferencetext"/>
      </w:pPr>
      <w:r>
        <w:t xml:space="preserve">Ahmed M.H.M., Batalha N., Mahmudul H.M.D., Perkins G., and Konarova M., 2020, A review on advanced catalytic co-pyrolysis of biomass and hydrogen-rich feedstock: Insights into synergistic effect, catalyst development and reaction mechanism, Bioresource Technology, 310, </w:t>
      </w:r>
      <w:r w:rsidRPr="00F87343">
        <w:t>123457.</w:t>
      </w:r>
    </w:p>
    <w:p w14:paraId="57A24FBE" w14:textId="77777777" w:rsidR="00F51567" w:rsidRDefault="00F51567" w:rsidP="00F51567">
      <w:pPr>
        <w:pStyle w:val="CETReferencetext"/>
      </w:pPr>
      <w:r>
        <w:t>Gunasee S. D., Danon B., Görgens J. F., and Mohee R., 2017, Co-pyrolysis of LDPE and cellulose: Synergies during devolatilization and condensation, Journal of Analytical and Applied Pyrolysis, 126, 307-314.</w:t>
      </w:r>
    </w:p>
    <w:p w14:paraId="08DA1D9E" w14:textId="601AC835" w:rsidR="00F51567" w:rsidRDefault="00F51567" w:rsidP="00F51567">
      <w:pPr>
        <w:pStyle w:val="CETReferencetext"/>
      </w:pPr>
      <w:r>
        <w:t>Hassan S. S., Williams G. A., and Jaiswal A. K., 2019, Lignocellulosic Biorefineries in Europe: Current State and Prospects</w:t>
      </w:r>
      <w:r w:rsidR="00F87343">
        <w:t>, Trends in Biotechnology, 37</w:t>
      </w:r>
      <w:r>
        <w:t>, 231-234.</w:t>
      </w:r>
    </w:p>
    <w:p w14:paraId="32AEF7F6" w14:textId="77777777" w:rsidR="00F51567" w:rsidRDefault="00F51567" w:rsidP="00F51567">
      <w:pPr>
        <w:pStyle w:val="CETReferencetext"/>
      </w:pPr>
      <w:r>
        <w:t>Hassan H., Lim J. K., and Hameed B. H., 2019, Catalytic co-pyrolysis of sugarcane bagasse and waste high-density polyethylene over faujasite-type zeolite, Bioresource Technology, 284, 406-414.</w:t>
      </w:r>
    </w:p>
    <w:p w14:paraId="7D6B6FBB" w14:textId="77777777" w:rsidR="00F51567" w:rsidRDefault="00F51567" w:rsidP="00F51567">
      <w:pPr>
        <w:pStyle w:val="CETReferencetext"/>
      </w:pPr>
      <w:r>
        <w:t>Huber G. W., Iborra S., and Corma A., 2006, Synthesis of Transportation Fuels from Biomass:  Chemistry, Catalysts, and Engineering, Chemical Reviews, 106 (9), 4044-4098.</w:t>
      </w:r>
    </w:p>
    <w:p w14:paraId="1DAA5132" w14:textId="01E813A9" w:rsidR="00F51567" w:rsidRDefault="003C05E2" w:rsidP="00F51567">
      <w:pPr>
        <w:pStyle w:val="CETReferencetext"/>
      </w:pPr>
      <w:r>
        <w:t xml:space="preserve">Li J., </w:t>
      </w:r>
      <w:r w:rsidR="00F51567" w:rsidRPr="00F51567">
        <w:t>Yu</w:t>
      </w:r>
      <w:r>
        <w:t xml:space="preserve"> Y., </w:t>
      </w:r>
      <w:r w:rsidR="00F51567" w:rsidRPr="00F51567">
        <w:t>Li</w:t>
      </w:r>
      <w:r>
        <w:t xml:space="preserve"> X., </w:t>
      </w:r>
      <w:r w:rsidR="00F51567" w:rsidRPr="00F51567">
        <w:t>Wang</w:t>
      </w:r>
      <w:r>
        <w:t xml:space="preserve"> W., </w:t>
      </w:r>
      <w:r w:rsidR="00F51567" w:rsidRPr="00F51567">
        <w:t>Yu</w:t>
      </w:r>
      <w:r>
        <w:t xml:space="preserve"> G., </w:t>
      </w:r>
      <w:r w:rsidR="00F51567" w:rsidRPr="00F51567">
        <w:t>Deng</w:t>
      </w:r>
      <w:r>
        <w:t xml:space="preserve"> S., </w:t>
      </w:r>
      <w:r w:rsidR="00F51567" w:rsidRPr="00F51567">
        <w:t>Huang</w:t>
      </w:r>
      <w:r>
        <w:t xml:space="preserve"> J., </w:t>
      </w:r>
      <w:r w:rsidR="00F51567" w:rsidRPr="00F51567">
        <w:t>Wang</w:t>
      </w:r>
      <w:r>
        <w:t xml:space="preserve"> B., </w:t>
      </w:r>
      <w:r w:rsidR="00F51567" w:rsidRPr="00F51567">
        <w:t>Wang</w:t>
      </w:r>
      <w:r>
        <w:t xml:space="preserve"> Y., </w:t>
      </w:r>
      <w:r w:rsidR="00F51567">
        <w:t>2015, Maximizing carbon efficiency of petrochemical production from catalytic co-pyrolysis of biomass and plastics using gallium-containing MFI zeolites, Applied Catalysis B: Environmental, 172-173, 154-164.</w:t>
      </w:r>
    </w:p>
    <w:p w14:paraId="128AF7D1" w14:textId="60306638" w:rsidR="00DF44E1" w:rsidRPr="00B20D10" w:rsidRDefault="00DF44E1" w:rsidP="00DF44E1">
      <w:pPr>
        <w:pStyle w:val="CETReferencetext"/>
      </w:pPr>
      <w:r w:rsidRPr="00B20D10">
        <w:t>Pinto F., Paradela F., Carvalheiro F., Duarte L. C., Costa P., André R., 2018, Effect of Experimental Co</w:t>
      </w:r>
      <w:r w:rsidR="0000552F" w:rsidRPr="00B20D10">
        <w:t>nditions on Co-Pyrolysis of Pre-</w:t>
      </w:r>
      <w:r w:rsidRPr="00B20D10">
        <w:t>Treated Eucalyptus Blended with Plastic Was, Chemical Engineering Transactions, 70, DOI: 10.3303/CET1870133</w:t>
      </w:r>
      <w:r w:rsidR="0000552F" w:rsidRPr="00B20D10">
        <w:t>.</w:t>
      </w:r>
    </w:p>
    <w:p w14:paraId="29F9B32C" w14:textId="7166DF21" w:rsidR="00F51567" w:rsidRPr="00B20D10" w:rsidRDefault="003C05E2" w:rsidP="0025420D">
      <w:pPr>
        <w:pStyle w:val="CETReferencetext"/>
      </w:pPr>
      <w:r w:rsidRPr="00B20D10">
        <w:t xml:space="preserve">Sluiter A., Hames B., Ruiz R., Scarlata C., Sluiter J., Templeton D., and Crocker D., 2012, </w:t>
      </w:r>
      <w:r w:rsidR="00F51567" w:rsidRPr="00B20D10">
        <w:t>Determination of structural carbohydrates and lignin in biomass, Laboratory analytical procedure, vol. (Version 08-03-2012), no. TP-510-42618.</w:t>
      </w:r>
      <w:r w:rsidR="0025420D" w:rsidRPr="00B20D10">
        <w:t xml:space="preserve"> </w:t>
      </w:r>
    </w:p>
    <w:p w14:paraId="6B5B67D0" w14:textId="77777777" w:rsidR="00F51567" w:rsidRPr="00B20D10" w:rsidRDefault="00F51567" w:rsidP="00F51567">
      <w:pPr>
        <w:pStyle w:val="CETReferencetext"/>
      </w:pPr>
      <w:r w:rsidRPr="00B20D10">
        <w:t>Uzoejinwa B. B., He X., Wang S., Abomohra A. E.-F., Hu Y., and Wang Q., 2018, Co-pyrolysis of biomass and waste plastics as a thermochemical conversion technology for high-grade biofuel production: Recent progress and future directions elsewhere worldwide, Energy Conversion and Management, 163, 468-492.</w:t>
      </w:r>
    </w:p>
    <w:p w14:paraId="15BF251B" w14:textId="08BCCB17" w:rsidR="00043B36" w:rsidRDefault="00043B36" w:rsidP="00F51567">
      <w:pPr>
        <w:pStyle w:val="CETReferencetext"/>
      </w:pPr>
      <w:r w:rsidRPr="00B20D10">
        <w:t>Wang Z., Burra K. G., Lei T., and Gupta</w:t>
      </w:r>
      <w:r w:rsidR="00C32CCE" w:rsidRPr="00B20D10">
        <w:t xml:space="preserve"> A. K.</w:t>
      </w:r>
      <w:r w:rsidRPr="00B20D10">
        <w:t xml:space="preserve">, </w:t>
      </w:r>
      <w:r w:rsidR="00C32CCE" w:rsidRPr="00B20D10">
        <w:t xml:space="preserve">2021, </w:t>
      </w:r>
      <w:r w:rsidRPr="00B20D10">
        <w:t>Co-pyrolysis of waste plastic and solid biomass for synergistic production of biofuels and chemicals-A review, Progress in Energy an</w:t>
      </w:r>
      <w:r w:rsidR="00C32CCE" w:rsidRPr="00B20D10">
        <w:t xml:space="preserve">d Combustion Science, 84, </w:t>
      </w:r>
      <w:r w:rsidRPr="00B20D10">
        <w:t>100899.</w:t>
      </w:r>
    </w:p>
    <w:p w14:paraId="2CAA85AF" w14:textId="5AD41890" w:rsidR="00F51567" w:rsidRDefault="00F51567" w:rsidP="00F51567">
      <w:pPr>
        <w:pStyle w:val="CETReferencetext"/>
      </w:pPr>
      <w:r>
        <w:t>Xue Y. and Bai X., 2018, Synergistic enhancement of product quality through fast co-pyrolysis of acid pretreated biomass and waste plastic, Energy Conversion and Management, 164, 629-638.</w:t>
      </w:r>
    </w:p>
    <w:p w14:paraId="24D74C70" w14:textId="248C4DBA" w:rsidR="00F51567" w:rsidRDefault="00F51567" w:rsidP="00F51567">
      <w:pPr>
        <w:pStyle w:val="CETReferencetext"/>
      </w:pPr>
      <w:r>
        <w:t>Zhang H., Nie J., Xiao R., Jin B., Dong C., and Xiao G., 2014, Catalytic co-pyrolysis of biomass and different plastics (polyethylene, polypropylene, and polystyrene) to improve hydrocarbon yield in a fluidized-bed</w:t>
      </w:r>
      <w:r w:rsidR="00F87343">
        <w:t xml:space="preserve"> reactor, Energy &amp; Fuels, 28</w:t>
      </w:r>
      <w:r>
        <w:t>, 1940-1947.</w:t>
      </w:r>
    </w:p>
    <w:p w14:paraId="19C4FC68" w14:textId="1A3B5635" w:rsidR="004628D2" w:rsidRDefault="00F51567" w:rsidP="003D2350">
      <w:pPr>
        <w:pStyle w:val="CETReferencetext"/>
      </w:pPr>
      <w:r>
        <w:t>Zheng A., Jiang L., Zhao Z., Huang Z., Zhao K., Wei G., Li H., 2017, Catalytic fast pyrolysis of lignocellulosic biomass for aromatic production: chemistry, catalyst and process, WIREs Energy &amp; Environment, 6, 234.</w:t>
      </w:r>
      <w:r w:rsidR="003C05E2" w:rsidRPr="003C05E2">
        <w:t xml:space="preserve"> </w:t>
      </w:r>
    </w:p>
    <w:sectPr w:rsidR="004628D2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642B" w14:textId="77777777" w:rsidR="005C7686" w:rsidRDefault="005C7686" w:rsidP="004F5E36">
      <w:r>
        <w:separator/>
      </w:r>
    </w:p>
  </w:endnote>
  <w:endnote w:type="continuationSeparator" w:id="0">
    <w:p w14:paraId="1C22D7D4" w14:textId="77777777" w:rsidR="005C7686" w:rsidRDefault="005C768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DC7B" w14:textId="77777777" w:rsidR="005C7686" w:rsidRDefault="005C7686" w:rsidP="004F5E36">
      <w:r>
        <w:separator/>
      </w:r>
    </w:p>
  </w:footnote>
  <w:footnote w:type="continuationSeparator" w:id="0">
    <w:p w14:paraId="2ED95326" w14:textId="77777777" w:rsidR="005C7686" w:rsidRDefault="005C7686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B4827EA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35998"/>
    <w:multiLevelType w:val="hybridMultilevel"/>
    <w:tmpl w:val="D6749796"/>
    <w:lvl w:ilvl="0" w:tplc="B8F0441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822F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F10AFC"/>
    <w:multiLevelType w:val="hybridMultilevel"/>
    <w:tmpl w:val="D38AF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54CF"/>
    <w:multiLevelType w:val="hybridMultilevel"/>
    <w:tmpl w:val="1A022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4"/>
    </w:lvlOverride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FEE"/>
    <w:rsid w:val="00002677"/>
    <w:rsid w:val="000027C0"/>
    <w:rsid w:val="000052FB"/>
    <w:rsid w:val="0000552F"/>
    <w:rsid w:val="000117CB"/>
    <w:rsid w:val="0001359F"/>
    <w:rsid w:val="0001688A"/>
    <w:rsid w:val="0003148D"/>
    <w:rsid w:val="00031EEC"/>
    <w:rsid w:val="00040E7D"/>
    <w:rsid w:val="00042557"/>
    <w:rsid w:val="00043B36"/>
    <w:rsid w:val="00047EE6"/>
    <w:rsid w:val="00051566"/>
    <w:rsid w:val="00051D1A"/>
    <w:rsid w:val="00054AD8"/>
    <w:rsid w:val="00062A9A"/>
    <w:rsid w:val="000630E4"/>
    <w:rsid w:val="0006484F"/>
    <w:rsid w:val="00065058"/>
    <w:rsid w:val="00082BD0"/>
    <w:rsid w:val="00086C39"/>
    <w:rsid w:val="00087878"/>
    <w:rsid w:val="000A03B2"/>
    <w:rsid w:val="000B2211"/>
    <w:rsid w:val="000D0268"/>
    <w:rsid w:val="000D045A"/>
    <w:rsid w:val="000D34BE"/>
    <w:rsid w:val="000D4BE6"/>
    <w:rsid w:val="000E102F"/>
    <w:rsid w:val="000E36F1"/>
    <w:rsid w:val="000E3A73"/>
    <w:rsid w:val="000E414A"/>
    <w:rsid w:val="000E6D3D"/>
    <w:rsid w:val="000F093C"/>
    <w:rsid w:val="000F25FC"/>
    <w:rsid w:val="000F787B"/>
    <w:rsid w:val="00112C4C"/>
    <w:rsid w:val="00116D39"/>
    <w:rsid w:val="0012091F"/>
    <w:rsid w:val="00126BC2"/>
    <w:rsid w:val="001308B6"/>
    <w:rsid w:val="0013121F"/>
    <w:rsid w:val="00131FE6"/>
    <w:rsid w:val="0013263F"/>
    <w:rsid w:val="00132B5E"/>
    <w:rsid w:val="001331DF"/>
    <w:rsid w:val="00134DE4"/>
    <w:rsid w:val="0014034D"/>
    <w:rsid w:val="00144D16"/>
    <w:rsid w:val="00144F37"/>
    <w:rsid w:val="00150C7A"/>
    <w:rsid w:val="00150E59"/>
    <w:rsid w:val="00151696"/>
    <w:rsid w:val="00152DE3"/>
    <w:rsid w:val="00164C7E"/>
    <w:rsid w:val="00164CF9"/>
    <w:rsid w:val="00164E7C"/>
    <w:rsid w:val="001667A6"/>
    <w:rsid w:val="00176D1D"/>
    <w:rsid w:val="001773F6"/>
    <w:rsid w:val="00184AD6"/>
    <w:rsid w:val="00195426"/>
    <w:rsid w:val="001A4AF7"/>
    <w:rsid w:val="001B0349"/>
    <w:rsid w:val="001B1896"/>
    <w:rsid w:val="001B1E93"/>
    <w:rsid w:val="001B65C1"/>
    <w:rsid w:val="001C00EB"/>
    <w:rsid w:val="001C4DC3"/>
    <w:rsid w:val="001C684B"/>
    <w:rsid w:val="001D0CFB"/>
    <w:rsid w:val="001D21AF"/>
    <w:rsid w:val="001D4E2F"/>
    <w:rsid w:val="001D53FC"/>
    <w:rsid w:val="001E2AD1"/>
    <w:rsid w:val="001E3095"/>
    <w:rsid w:val="001F28BA"/>
    <w:rsid w:val="001F42A5"/>
    <w:rsid w:val="001F7B9D"/>
    <w:rsid w:val="00200C37"/>
    <w:rsid w:val="00201C93"/>
    <w:rsid w:val="00216C8F"/>
    <w:rsid w:val="002224B4"/>
    <w:rsid w:val="002447EF"/>
    <w:rsid w:val="00251550"/>
    <w:rsid w:val="0025420D"/>
    <w:rsid w:val="00257BE5"/>
    <w:rsid w:val="00263B05"/>
    <w:rsid w:val="00263FD8"/>
    <w:rsid w:val="0027221A"/>
    <w:rsid w:val="00275B61"/>
    <w:rsid w:val="00280FAF"/>
    <w:rsid w:val="00282169"/>
    <w:rsid w:val="00282656"/>
    <w:rsid w:val="00296B83"/>
    <w:rsid w:val="002A4F10"/>
    <w:rsid w:val="002A5ECE"/>
    <w:rsid w:val="002B4015"/>
    <w:rsid w:val="002B78CE"/>
    <w:rsid w:val="002C2FB6"/>
    <w:rsid w:val="002D2521"/>
    <w:rsid w:val="002E4EFE"/>
    <w:rsid w:val="002E5FA7"/>
    <w:rsid w:val="002F1434"/>
    <w:rsid w:val="002F3309"/>
    <w:rsid w:val="003008CE"/>
    <w:rsid w:val="003009B7"/>
    <w:rsid w:val="00300E56"/>
    <w:rsid w:val="00301F75"/>
    <w:rsid w:val="0030469C"/>
    <w:rsid w:val="00315741"/>
    <w:rsid w:val="00321CA6"/>
    <w:rsid w:val="00323763"/>
    <w:rsid w:val="00334C09"/>
    <w:rsid w:val="00337502"/>
    <w:rsid w:val="00350F4C"/>
    <w:rsid w:val="00351813"/>
    <w:rsid w:val="00352676"/>
    <w:rsid w:val="003558C4"/>
    <w:rsid w:val="00363CD7"/>
    <w:rsid w:val="003723D4"/>
    <w:rsid w:val="00374361"/>
    <w:rsid w:val="00381905"/>
    <w:rsid w:val="00384CC8"/>
    <w:rsid w:val="003871FD"/>
    <w:rsid w:val="00390907"/>
    <w:rsid w:val="00396F28"/>
    <w:rsid w:val="00396FD2"/>
    <w:rsid w:val="003A1E30"/>
    <w:rsid w:val="003A2829"/>
    <w:rsid w:val="003A5020"/>
    <w:rsid w:val="003A7D1C"/>
    <w:rsid w:val="003B304B"/>
    <w:rsid w:val="003B3146"/>
    <w:rsid w:val="003C05E2"/>
    <w:rsid w:val="003C5DDD"/>
    <w:rsid w:val="003D2350"/>
    <w:rsid w:val="003D3568"/>
    <w:rsid w:val="003E5858"/>
    <w:rsid w:val="003F015E"/>
    <w:rsid w:val="00400414"/>
    <w:rsid w:val="0041019D"/>
    <w:rsid w:val="0041446B"/>
    <w:rsid w:val="0042251A"/>
    <w:rsid w:val="0044071E"/>
    <w:rsid w:val="00441DE9"/>
    <w:rsid w:val="0044329C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774B3"/>
    <w:rsid w:val="0048222F"/>
    <w:rsid w:val="00494CE7"/>
    <w:rsid w:val="004A004E"/>
    <w:rsid w:val="004A24CF"/>
    <w:rsid w:val="004A55B8"/>
    <w:rsid w:val="004A76C3"/>
    <w:rsid w:val="004A7859"/>
    <w:rsid w:val="004C3D1D"/>
    <w:rsid w:val="004C7913"/>
    <w:rsid w:val="004D0413"/>
    <w:rsid w:val="004D06A4"/>
    <w:rsid w:val="004D0BF3"/>
    <w:rsid w:val="004E4DD6"/>
    <w:rsid w:val="004F0F14"/>
    <w:rsid w:val="004F5E36"/>
    <w:rsid w:val="005012F8"/>
    <w:rsid w:val="00507B47"/>
    <w:rsid w:val="00507BEF"/>
    <w:rsid w:val="00507CC9"/>
    <w:rsid w:val="005119A5"/>
    <w:rsid w:val="00512E8A"/>
    <w:rsid w:val="00514DB8"/>
    <w:rsid w:val="00516E3F"/>
    <w:rsid w:val="005278B7"/>
    <w:rsid w:val="00532016"/>
    <w:rsid w:val="005334E7"/>
    <w:rsid w:val="005346C8"/>
    <w:rsid w:val="00543E7D"/>
    <w:rsid w:val="00547A68"/>
    <w:rsid w:val="005506FB"/>
    <w:rsid w:val="005531C9"/>
    <w:rsid w:val="005703EF"/>
    <w:rsid w:val="00570C43"/>
    <w:rsid w:val="00570CFC"/>
    <w:rsid w:val="00572506"/>
    <w:rsid w:val="00580346"/>
    <w:rsid w:val="005815BF"/>
    <w:rsid w:val="005A2B76"/>
    <w:rsid w:val="005A51B4"/>
    <w:rsid w:val="005B2110"/>
    <w:rsid w:val="005B28A4"/>
    <w:rsid w:val="005B35DA"/>
    <w:rsid w:val="005B3BD5"/>
    <w:rsid w:val="005B4080"/>
    <w:rsid w:val="005B61E6"/>
    <w:rsid w:val="005C7686"/>
    <w:rsid w:val="005C77E1"/>
    <w:rsid w:val="005D28C7"/>
    <w:rsid w:val="005D668A"/>
    <w:rsid w:val="005D680D"/>
    <w:rsid w:val="005D6A2F"/>
    <w:rsid w:val="005E088E"/>
    <w:rsid w:val="005E1A82"/>
    <w:rsid w:val="005E794C"/>
    <w:rsid w:val="005F0A28"/>
    <w:rsid w:val="005F0E5E"/>
    <w:rsid w:val="00600535"/>
    <w:rsid w:val="00603882"/>
    <w:rsid w:val="00610CD6"/>
    <w:rsid w:val="006121EA"/>
    <w:rsid w:val="00617A04"/>
    <w:rsid w:val="00620DEE"/>
    <w:rsid w:val="00621F92"/>
    <w:rsid w:val="0062280A"/>
    <w:rsid w:val="00625639"/>
    <w:rsid w:val="00630A16"/>
    <w:rsid w:val="00631B33"/>
    <w:rsid w:val="006404CC"/>
    <w:rsid w:val="0064184D"/>
    <w:rsid w:val="006422CC"/>
    <w:rsid w:val="006474EB"/>
    <w:rsid w:val="00660E3E"/>
    <w:rsid w:val="00662E74"/>
    <w:rsid w:val="0066384F"/>
    <w:rsid w:val="00665FEF"/>
    <w:rsid w:val="00680C23"/>
    <w:rsid w:val="00693766"/>
    <w:rsid w:val="00695EC8"/>
    <w:rsid w:val="006962CD"/>
    <w:rsid w:val="006A12F6"/>
    <w:rsid w:val="006A135F"/>
    <w:rsid w:val="006A3281"/>
    <w:rsid w:val="006B39D9"/>
    <w:rsid w:val="006B4888"/>
    <w:rsid w:val="006C2E45"/>
    <w:rsid w:val="006C359C"/>
    <w:rsid w:val="006C5579"/>
    <w:rsid w:val="006D51FD"/>
    <w:rsid w:val="006D6E8B"/>
    <w:rsid w:val="006E64A8"/>
    <w:rsid w:val="006E737D"/>
    <w:rsid w:val="00713973"/>
    <w:rsid w:val="00720A24"/>
    <w:rsid w:val="00723A69"/>
    <w:rsid w:val="00732386"/>
    <w:rsid w:val="00732A70"/>
    <w:rsid w:val="0073514D"/>
    <w:rsid w:val="0073577D"/>
    <w:rsid w:val="007416A6"/>
    <w:rsid w:val="007447F3"/>
    <w:rsid w:val="00751E20"/>
    <w:rsid w:val="0075499F"/>
    <w:rsid w:val="007661C8"/>
    <w:rsid w:val="0077098D"/>
    <w:rsid w:val="007913A5"/>
    <w:rsid w:val="007931FA"/>
    <w:rsid w:val="00794FAD"/>
    <w:rsid w:val="007A37ED"/>
    <w:rsid w:val="007A4861"/>
    <w:rsid w:val="007A7BBA"/>
    <w:rsid w:val="007A7E91"/>
    <w:rsid w:val="007B0717"/>
    <w:rsid w:val="007B0C50"/>
    <w:rsid w:val="007B1CE1"/>
    <w:rsid w:val="007B48F9"/>
    <w:rsid w:val="007B7637"/>
    <w:rsid w:val="007C1A43"/>
    <w:rsid w:val="007E7733"/>
    <w:rsid w:val="0080013E"/>
    <w:rsid w:val="00811612"/>
    <w:rsid w:val="00813288"/>
    <w:rsid w:val="008168FC"/>
    <w:rsid w:val="00816D9C"/>
    <w:rsid w:val="008204F9"/>
    <w:rsid w:val="00822335"/>
    <w:rsid w:val="008239C1"/>
    <w:rsid w:val="00830996"/>
    <w:rsid w:val="008345F1"/>
    <w:rsid w:val="008362CB"/>
    <w:rsid w:val="008457FF"/>
    <w:rsid w:val="00846E19"/>
    <w:rsid w:val="00865B07"/>
    <w:rsid w:val="008667EA"/>
    <w:rsid w:val="0087637F"/>
    <w:rsid w:val="008823C2"/>
    <w:rsid w:val="0089250C"/>
    <w:rsid w:val="00892AD5"/>
    <w:rsid w:val="00894045"/>
    <w:rsid w:val="008A1512"/>
    <w:rsid w:val="008C2D58"/>
    <w:rsid w:val="008C3E69"/>
    <w:rsid w:val="008D2B6B"/>
    <w:rsid w:val="008D32B9"/>
    <w:rsid w:val="008D41E0"/>
    <w:rsid w:val="008D433B"/>
    <w:rsid w:val="008E566E"/>
    <w:rsid w:val="008F0942"/>
    <w:rsid w:val="008F1B94"/>
    <w:rsid w:val="0090139C"/>
    <w:rsid w:val="0090161A"/>
    <w:rsid w:val="00901EB6"/>
    <w:rsid w:val="00904C62"/>
    <w:rsid w:val="00917505"/>
    <w:rsid w:val="00922BA8"/>
    <w:rsid w:val="00924DAC"/>
    <w:rsid w:val="00927058"/>
    <w:rsid w:val="009324D7"/>
    <w:rsid w:val="00942750"/>
    <w:rsid w:val="009450CE"/>
    <w:rsid w:val="00947179"/>
    <w:rsid w:val="0095164B"/>
    <w:rsid w:val="0095371B"/>
    <w:rsid w:val="00954090"/>
    <w:rsid w:val="009573E7"/>
    <w:rsid w:val="00960240"/>
    <w:rsid w:val="0096345A"/>
    <w:rsid w:val="00963E05"/>
    <w:rsid w:val="00964A45"/>
    <w:rsid w:val="00967843"/>
    <w:rsid w:val="00967D54"/>
    <w:rsid w:val="00971028"/>
    <w:rsid w:val="00993B84"/>
    <w:rsid w:val="0099425F"/>
    <w:rsid w:val="00996483"/>
    <w:rsid w:val="00996F5A"/>
    <w:rsid w:val="009B041A"/>
    <w:rsid w:val="009B1E30"/>
    <w:rsid w:val="009C37C3"/>
    <w:rsid w:val="009C7C86"/>
    <w:rsid w:val="009D2FF7"/>
    <w:rsid w:val="009D4216"/>
    <w:rsid w:val="009D6C3F"/>
    <w:rsid w:val="009E2E61"/>
    <w:rsid w:val="009E5ED9"/>
    <w:rsid w:val="009E7884"/>
    <w:rsid w:val="009E788A"/>
    <w:rsid w:val="009E7B80"/>
    <w:rsid w:val="009F0E08"/>
    <w:rsid w:val="009F3B01"/>
    <w:rsid w:val="00A02025"/>
    <w:rsid w:val="00A04167"/>
    <w:rsid w:val="00A13DBE"/>
    <w:rsid w:val="00A1734D"/>
    <w:rsid w:val="00A1763D"/>
    <w:rsid w:val="00A179F3"/>
    <w:rsid w:val="00A17CEC"/>
    <w:rsid w:val="00A254C0"/>
    <w:rsid w:val="00A27EF0"/>
    <w:rsid w:val="00A33336"/>
    <w:rsid w:val="00A42361"/>
    <w:rsid w:val="00A4633F"/>
    <w:rsid w:val="00A50B20"/>
    <w:rsid w:val="00A51390"/>
    <w:rsid w:val="00A60D13"/>
    <w:rsid w:val="00A61844"/>
    <w:rsid w:val="00A61D08"/>
    <w:rsid w:val="00A72745"/>
    <w:rsid w:val="00A76EFC"/>
    <w:rsid w:val="00A804DC"/>
    <w:rsid w:val="00A81DBE"/>
    <w:rsid w:val="00A91010"/>
    <w:rsid w:val="00A94DEB"/>
    <w:rsid w:val="00A96943"/>
    <w:rsid w:val="00A97F29"/>
    <w:rsid w:val="00AA6B13"/>
    <w:rsid w:val="00AA702E"/>
    <w:rsid w:val="00AB0964"/>
    <w:rsid w:val="00AB5011"/>
    <w:rsid w:val="00AB51FC"/>
    <w:rsid w:val="00AC7368"/>
    <w:rsid w:val="00AD16B9"/>
    <w:rsid w:val="00AD47E5"/>
    <w:rsid w:val="00AE23C5"/>
    <w:rsid w:val="00AE3557"/>
    <w:rsid w:val="00AE377D"/>
    <w:rsid w:val="00AF07FB"/>
    <w:rsid w:val="00AF0EBA"/>
    <w:rsid w:val="00AF1862"/>
    <w:rsid w:val="00B02C8A"/>
    <w:rsid w:val="00B17FBD"/>
    <w:rsid w:val="00B20D10"/>
    <w:rsid w:val="00B315A6"/>
    <w:rsid w:val="00B31813"/>
    <w:rsid w:val="00B331B5"/>
    <w:rsid w:val="00B33365"/>
    <w:rsid w:val="00B409C1"/>
    <w:rsid w:val="00B4548C"/>
    <w:rsid w:val="00B51084"/>
    <w:rsid w:val="00B53879"/>
    <w:rsid w:val="00B57B36"/>
    <w:rsid w:val="00B57E6F"/>
    <w:rsid w:val="00B60DAC"/>
    <w:rsid w:val="00B703CA"/>
    <w:rsid w:val="00B70B7F"/>
    <w:rsid w:val="00B765CA"/>
    <w:rsid w:val="00B8686D"/>
    <w:rsid w:val="00B93F69"/>
    <w:rsid w:val="00B9476E"/>
    <w:rsid w:val="00B967A6"/>
    <w:rsid w:val="00BA13C4"/>
    <w:rsid w:val="00BB1DDC"/>
    <w:rsid w:val="00BC30C9"/>
    <w:rsid w:val="00BD077D"/>
    <w:rsid w:val="00BD65B3"/>
    <w:rsid w:val="00BE3E58"/>
    <w:rsid w:val="00BE3E8E"/>
    <w:rsid w:val="00BF4842"/>
    <w:rsid w:val="00C01616"/>
    <w:rsid w:val="00C0162B"/>
    <w:rsid w:val="00C0231E"/>
    <w:rsid w:val="00C024A2"/>
    <w:rsid w:val="00C068ED"/>
    <w:rsid w:val="00C069F1"/>
    <w:rsid w:val="00C107DE"/>
    <w:rsid w:val="00C22E0C"/>
    <w:rsid w:val="00C23557"/>
    <w:rsid w:val="00C32CCE"/>
    <w:rsid w:val="00C33C54"/>
    <w:rsid w:val="00C345B1"/>
    <w:rsid w:val="00C40142"/>
    <w:rsid w:val="00C41DFD"/>
    <w:rsid w:val="00C46990"/>
    <w:rsid w:val="00C52C3C"/>
    <w:rsid w:val="00C57182"/>
    <w:rsid w:val="00C57863"/>
    <w:rsid w:val="00C64D11"/>
    <w:rsid w:val="00C655FD"/>
    <w:rsid w:val="00C71AEA"/>
    <w:rsid w:val="00C75407"/>
    <w:rsid w:val="00C82AC2"/>
    <w:rsid w:val="00C86870"/>
    <w:rsid w:val="00C870A8"/>
    <w:rsid w:val="00C93771"/>
    <w:rsid w:val="00C93B27"/>
    <w:rsid w:val="00C94434"/>
    <w:rsid w:val="00C9677F"/>
    <w:rsid w:val="00C97E8C"/>
    <w:rsid w:val="00CA0D75"/>
    <w:rsid w:val="00CA1C95"/>
    <w:rsid w:val="00CA3290"/>
    <w:rsid w:val="00CA5A9C"/>
    <w:rsid w:val="00CB17FF"/>
    <w:rsid w:val="00CC4C20"/>
    <w:rsid w:val="00CD3517"/>
    <w:rsid w:val="00CD5FE2"/>
    <w:rsid w:val="00CD6CD6"/>
    <w:rsid w:val="00CE7C68"/>
    <w:rsid w:val="00CF05CC"/>
    <w:rsid w:val="00CF3C79"/>
    <w:rsid w:val="00CF598D"/>
    <w:rsid w:val="00D0293C"/>
    <w:rsid w:val="00D02B4C"/>
    <w:rsid w:val="00D040C4"/>
    <w:rsid w:val="00D23D72"/>
    <w:rsid w:val="00D34366"/>
    <w:rsid w:val="00D36E35"/>
    <w:rsid w:val="00D43B58"/>
    <w:rsid w:val="00D46B7E"/>
    <w:rsid w:val="00D57C84"/>
    <w:rsid w:val="00D6057D"/>
    <w:rsid w:val="00D629BC"/>
    <w:rsid w:val="00D71640"/>
    <w:rsid w:val="00D778AD"/>
    <w:rsid w:val="00D80DA3"/>
    <w:rsid w:val="00D836C5"/>
    <w:rsid w:val="00D84576"/>
    <w:rsid w:val="00D90F42"/>
    <w:rsid w:val="00D92114"/>
    <w:rsid w:val="00DA0AEC"/>
    <w:rsid w:val="00DA1399"/>
    <w:rsid w:val="00DA24C6"/>
    <w:rsid w:val="00DA4D7B"/>
    <w:rsid w:val="00DB7402"/>
    <w:rsid w:val="00DD4AD9"/>
    <w:rsid w:val="00DE264A"/>
    <w:rsid w:val="00DE4A92"/>
    <w:rsid w:val="00DF44E1"/>
    <w:rsid w:val="00DF5072"/>
    <w:rsid w:val="00E01FEB"/>
    <w:rsid w:val="00E0221B"/>
    <w:rsid w:val="00E02D18"/>
    <w:rsid w:val="00E041E7"/>
    <w:rsid w:val="00E13866"/>
    <w:rsid w:val="00E168DE"/>
    <w:rsid w:val="00E17ED1"/>
    <w:rsid w:val="00E21C99"/>
    <w:rsid w:val="00E23AF0"/>
    <w:rsid w:val="00E23CA1"/>
    <w:rsid w:val="00E24F04"/>
    <w:rsid w:val="00E409A8"/>
    <w:rsid w:val="00E42F33"/>
    <w:rsid w:val="00E446BA"/>
    <w:rsid w:val="00E479F9"/>
    <w:rsid w:val="00E50480"/>
    <w:rsid w:val="00E507B8"/>
    <w:rsid w:val="00E50C12"/>
    <w:rsid w:val="00E65B91"/>
    <w:rsid w:val="00E7209D"/>
    <w:rsid w:val="00E72EAD"/>
    <w:rsid w:val="00E77223"/>
    <w:rsid w:val="00E8528B"/>
    <w:rsid w:val="00E85B94"/>
    <w:rsid w:val="00E8644C"/>
    <w:rsid w:val="00E978D0"/>
    <w:rsid w:val="00EA4613"/>
    <w:rsid w:val="00EA6493"/>
    <w:rsid w:val="00EA7F91"/>
    <w:rsid w:val="00EB09EA"/>
    <w:rsid w:val="00EB1523"/>
    <w:rsid w:val="00EB3F92"/>
    <w:rsid w:val="00EC0638"/>
    <w:rsid w:val="00EC0E49"/>
    <w:rsid w:val="00EC101F"/>
    <w:rsid w:val="00EC1D9F"/>
    <w:rsid w:val="00EC3BBE"/>
    <w:rsid w:val="00EE0131"/>
    <w:rsid w:val="00EE17B0"/>
    <w:rsid w:val="00EE3CE4"/>
    <w:rsid w:val="00EF06D9"/>
    <w:rsid w:val="00EF0F4F"/>
    <w:rsid w:val="00EF5888"/>
    <w:rsid w:val="00F30C64"/>
    <w:rsid w:val="00F32BA2"/>
    <w:rsid w:val="00F32CDB"/>
    <w:rsid w:val="00F34F54"/>
    <w:rsid w:val="00F41691"/>
    <w:rsid w:val="00F4485E"/>
    <w:rsid w:val="00F45A97"/>
    <w:rsid w:val="00F51567"/>
    <w:rsid w:val="00F565FE"/>
    <w:rsid w:val="00F63A70"/>
    <w:rsid w:val="00F7534E"/>
    <w:rsid w:val="00F7618F"/>
    <w:rsid w:val="00F76F28"/>
    <w:rsid w:val="00F8098D"/>
    <w:rsid w:val="00F80C22"/>
    <w:rsid w:val="00F87343"/>
    <w:rsid w:val="00FA1802"/>
    <w:rsid w:val="00FA21D0"/>
    <w:rsid w:val="00FA5F5F"/>
    <w:rsid w:val="00FA60F9"/>
    <w:rsid w:val="00FB5E1E"/>
    <w:rsid w:val="00FB730C"/>
    <w:rsid w:val="00FC2695"/>
    <w:rsid w:val="00FC3E03"/>
    <w:rsid w:val="00FC3FC1"/>
    <w:rsid w:val="00FC7CF4"/>
    <w:rsid w:val="00FD26C4"/>
    <w:rsid w:val="00FD6ED7"/>
    <w:rsid w:val="00FE30F3"/>
    <w:rsid w:val="00FE4A26"/>
    <w:rsid w:val="00FE7BA6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AD47E5"/>
    <w:pPr>
      <w:keepNext/>
      <w:numPr>
        <w:ilvl w:val="2"/>
        <w:numId w:val="1"/>
      </w:numPr>
      <w:suppressAutoHyphens/>
      <w:spacing w:before="40" w:after="4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AD47E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40E7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D6ED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Testosegnaposto">
    <w:name w:val="Placeholder Text"/>
    <w:basedOn w:val="Carpredefinitoparagrafo"/>
    <w:uiPriority w:val="99"/>
    <w:semiHidden/>
    <w:rsid w:val="00572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405103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40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4BADD81CE4841A05492A9EE320A38" ma:contentTypeVersion="14" ma:contentTypeDescription="Creare un nuovo documento." ma:contentTypeScope="" ma:versionID="257f03912108103f8c470eacb4df974b">
  <xsd:schema xmlns:xsd="http://www.w3.org/2001/XMLSchema" xmlns:xs="http://www.w3.org/2001/XMLSchema" xmlns:p="http://schemas.microsoft.com/office/2006/metadata/properties" xmlns:ns3="872151f4-b13a-4806-8827-013deced4a32" xmlns:ns4="70fde86d-f1aa-4b46-b4ed-af96870b39a9" targetNamespace="http://schemas.microsoft.com/office/2006/metadata/properties" ma:root="true" ma:fieldsID="a0f5647d259706f8c931fe2cec044395" ns3:_="" ns4:_="">
    <xsd:import namespace="872151f4-b13a-4806-8827-013deced4a32"/>
    <xsd:import namespace="70fde86d-f1aa-4b46-b4ed-af96870b3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151f4-b13a-4806-8827-013deced4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de86d-f1aa-4b46-b4ed-af96870b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693A-74F3-4467-9E79-3354F7B0F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AC3D0-F0FB-4918-A58E-EF1A3CBD4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19399-F62F-41E9-9C63-751D85414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151f4-b13a-4806-8827-013deced4a32"/>
    <ds:schemaRef ds:uri="70fde86d-f1aa-4b46-b4ed-af96870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5F6F0-B02A-4890-8C0D-8E612996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4136</Words>
  <Characters>23581</Characters>
  <Application>Microsoft Office Word</Application>
  <DocSecurity>0</DocSecurity>
  <Lines>196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Renata</cp:lastModifiedBy>
  <cp:revision>3</cp:revision>
  <cp:lastPrinted>2015-05-12T18:31:00Z</cp:lastPrinted>
  <dcterms:created xsi:type="dcterms:W3CDTF">2022-03-04T11:14:00Z</dcterms:created>
  <dcterms:modified xsi:type="dcterms:W3CDTF">2022-03-04T11:19:00Z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0x01010094E4BADD81CE4841A05492A9EE320A38</vt:lpwstr>
  </property>
</Properties>
</file>