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1D8428A7" w:rsidR="00E978D0" w:rsidRPr="00B57B36" w:rsidRDefault="00A800D5" w:rsidP="00E978D0">
      <w:pPr>
        <w:pStyle w:val="CETTitle"/>
      </w:pPr>
      <w:r>
        <w:t xml:space="preserve">Acid and Alkali </w:t>
      </w:r>
      <w:r w:rsidRPr="00A800D5">
        <w:t>Pre-treatment Studies on Brewer’s Spent Grains (BSG)</w:t>
      </w:r>
    </w:p>
    <w:p w14:paraId="0488FED2" w14:textId="1298D8EB" w:rsidR="00B57E6F" w:rsidRPr="003F2C47" w:rsidRDefault="00247B28" w:rsidP="00B57E6F">
      <w:pPr>
        <w:pStyle w:val="CETAuthors"/>
        <w:rPr>
          <w:lang w:val="it-IT"/>
        </w:rPr>
      </w:pPr>
      <w:r w:rsidRPr="003F2C47">
        <w:rPr>
          <w:lang w:val="it-IT"/>
        </w:rPr>
        <w:t>Reshma Babu</w:t>
      </w:r>
      <w:r w:rsidRPr="003F2C47">
        <w:rPr>
          <w:vertAlign w:val="superscript"/>
          <w:lang w:val="it-IT"/>
        </w:rPr>
        <w:t>a,*</w:t>
      </w:r>
      <w:r w:rsidRPr="003F2C47">
        <w:rPr>
          <w:lang w:val="it-IT"/>
        </w:rPr>
        <w:t>, Mateusz Jackowski</w:t>
      </w:r>
      <w:r w:rsidRPr="003F2C47">
        <w:rPr>
          <w:vertAlign w:val="superscript"/>
          <w:lang w:val="it-IT"/>
        </w:rPr>
        <w:t>b</w:t>
      </w:r>
      <w:r w:rsidRPr="003F2C47">
        <w:rPr>
          <w:lang w:val="it-IT"/>
        </w:rPr>
        <w:t>, Gustavo Capannelli</w:t>
      </w:r>
      <w:r w:rsidRPr="003F2C47">
        <w:rPr>
          <w:vertAlign w:val="superscript"/>
          <w:lang w:val="it-IT"/>
        </w:rPr>
        <w:t>a</w:t>
      </w:r>
      <w:r w:rsidRPr="003F2C47">
        <w:rPr>
          <w:lang w:val="it-IT"/>
        </w:rPr>
        <w:t>, Antonio Comite</w:t>
      </w:r>
      <w:r w:rsidRPr="003F2C47">
        <w:rPr>
          <w:vertAlign w:val="superscript"/>
          <w:lang w:val="it-IT"/>
        </w:rPr>
        <w:t>a,*</w:t>
      </w:r>
      <w:r w:rsidRPr="003F2C47">
        <w:rPr>
          <w:lang w:val="it-IT"/>
        </w:rPr>
        <w:t>, Anna Trusek</w:t>
      </w:r>
      <w:r w:rsidRPr="003F2C47">
        <w:rPr>
          <w:vertAlign w:val="superscript"/>
          <w:lang w:val="it-IT"/>
        </w:rPr>
        <w:t xml:space="preserve">b </w:t>
      </w:r>
    </w:p>
    <w:p w14:paraId="6B2D21B3" w14:textId="51BF2567" w:rsidR="00B57E6F" w:rsidRPr="00B57B36" w:rsidRDefault="00B57E6F" w:rsidP="00B57E6F">
      <w:pPr>
        <w:pStyle w:val="CETAddress"/>
      </w:pPr>
      <w:r w:rsidRPr="00B57B36">
        <w:rPr>
          <w:vertAlign w:val="superscript"/>
        </w:rPr>
        <w:t>a</w:t>
      </w:r>
      <w:r w:rsidR="00AE1909" w:rsidRPr="00AE1909">
        <w:t>Department of Chemistry and Industrial Chemistry, University of Genoa,</w:t>
      </w:r>
      <w:r w:rsidR="00AE1909">
        <w:t xml:space="preserve"> via Dodecaneso 31,16146,</w:t>
      </w:r>
      <w:r w:rsidR="00AE1909" w:rsidRPr="00AE1909">
        <w:t xml:space="preserve"> Genoa, Italy</w:t>
      </w:r>
      <w:r w:rsidR="00AE1909">
        <w:t xml:space="preserve"> </w:t>
      </w:r>
    </w:p>
    <w:p w14:paraId="3D72B0B0" w14:textId="04B75F57" w:rsidR="00B57E6F" w:rsidRPr="00B57B36" w:rsidRDefault="00B57E6F" w:rsidP="00B57E6F">
      <w:pPr>
        <w:pStyle w:val="CETAddress"/>
      </w:pPr>
      <w:r w:rsidRPr="00B57B36">
        <w:rPr>
          <w:vertAlign w:val="superscript"/>
        </w:rPr>
        <w:t>b</w:t>
      </w:r>
      <w:r w:rsidR="008E4A44" w:rsidRPr="008E4A44">
        <w:t>Department of Micro, Nano and Bioprocess Engineering, Faculty of Chemistry, Wroclaw University of Science and Technology, C. K. Norwida 4/6, 50-373</w:t>
      </w:r>
      <w:r w:rsidR="008E4A44">
        <w:t>,</w:t>
      </w:r>
      <w:r w:rsidR="008E4A44" w:rsidRPr="008E4A44">
        <w:t xml:space="preserve"> Wroclaw, Poland </w:t>
      </w:r>
    </w:p>
    <w:p w14:paraId="73F1267A" w14:textId="526D6772" w:rsidR="00B57E6F" w:rsidRPr="00B57B36" w:rsidRDefault="003F2C47" w:rsidP="00B57E6F">
      <w:pPr>
        <w:pStyle w:val="CETemail"/>
      </w:pPr>
      <w:r>
        <w:t>*</w:t>
      </w:r>
      <w:r w:rsidR="00B57E6F">
        <w:t xml:space="preserve"> </w:t>
      </w:r>
      <w:r w:rsidR="000064F7" w:rsidRPr="000064F7">
        <w:t>reshma.babu@edu.unige.it, antonio.comite@unige.it</w:t>
      </w:r>
      <w:r w:rsidR="000064F7">
        <w:t xml:space="preserve"> </w:t>
      </w:r>
    </w:p>
    <w:p w14:paraId="5A06A33C" w14:textId="7F7EAECA" w:rsidR="0041150F" w:rsidRDefault="0041150F" w:rsidP="0041150F">
      <w:pPr>
        <w:pStyle w:val="CETBodytext"/>
        <w:rPr>
          <w:lang w:val="en-GB"/>
        </w:rPr>
      </w:pPr>
      <w:r w:rsidRPr="0041150F">
        <w:rPr>
          <w:lang w:val="en-GB"/>
        </w:rPr>
        <w:t>One of the main by product obtained during beer production in the brewing industry is brewer’s spent grains (BSG). They are rich in cellulose, hemicellulose, lignin, and proteins. The aim of the work is to explore the</w:t>
      </w:r>
      <w:r w:rsidR="002A075E">
        <w:rPr>
          <w:lang w:val="en-GB"/>
        </w:rPr>
        <w:t xml:space="preserve"> effect of acid and alkali pre-treatments on BSG by studying the solubilisation behaviour of the organic molecules.</w:t>
      </w:r>
      <w:r w:rsidRPr="0041150F">
        <w:rPr>
          <w:lang w:val="en-GB"/>
        </w:rPr>
        <w:t xml:space="preserve"> BSG is </w:t>
      </w:r>
      <w:r w:rsidR="001E7BBA">
        <w:rPr>
          <w:lang w:val="en-GB"/>
        </w:rPr>
        <w:t xml:space="preserve">chemically </w:t>
      </w:r>
      <w:r w:rsidRPr="0041150F">
        <w:rPr>
          <w:lang w:val="en-GB"/>
        </w:rPr>
        <w:t>pre-treated using (alkali addition using NaOH, acid addition- HCl)</w:t>
      </w:r>
      <w:r w:rsidR="001E7BBA">
        <w:rPr>
          <w:lang w:val="en-GB"/>
        </w:rPr>
        <w:t xml:space="preserve"> by varying the concentration</w:t>
      </w:r>
      <w:r w:rsidRPr="0041150F">
        <w:rPr>
          <w:lang w:val="en-GB"/>
        </w:rPr>
        <w:t xml:space="preserve">. After the pre-treatments, analyses such as pH measurements, total sugars using refractometer, reducing sugars using 3,5-Dinitrosalicylic acid (DNS) Miller’s method, total polyphenols using </w:t>
      </w:r>
      <w:proofErr w:type="spellStart"/>
      <w:r w:rsidRPr="0041150F">
        <w:rPr>
          <w:lang w:val="en-GB"/>
        </w:rPr>
        <w:t>Folin</w:t>
      </w:r>
      <w:proofErr w:type="spellEnd"/>
      <w:r w:rsidRPr="0041150F">
        <w:rPr>
          <w:lang w:val="en-GB"/>
        </w:rPr>
        <w:t>–</w:t>
      </w:r>
      <w:proofErr w:type="spellStart"/>
      <w:r w:rsidRPr="0041150F">
        <w:rPr>
          <w:lang w:val="en-GB"/>
        </w:rPr>
        <w:t>Ciocalteu</w:t>
      </w:r>
      <w:proofErr w:type="spellEnd"/>
      <w:r w:rsidRPr="0041150F">
        <w:rPr>
          <w:lang w:val="en-GB"/>
        </w:rPr>
        <w:t xml:space="preserve"> method, proteins using Lowry method are carried out on the liquid phase. The results obtained could provide better insights into efficient </w:t>
      </w:r>
      <w:r w:rsidR="001E7BBA">
        <w:rPr>
          <w:lang w:val="en-GB"/>
        </w:rPr>
        <w:t>chemical pre-treatment studies</w:t>
      </w:r>
      <w:r w:rsidRPr="0041150F">
        <w:rPr>
          <w:lang w:val="en-GB"/>
        </w:rPr>
        <w:t xml:space="preserve"> of BSG</w:t>
      </w:r>
      <w:r w:rsidR="001E7BBA">
        <w:rPr>
          <w:lang w:val="en-GB"/>
        </w:rPr>
        <w:t xml:space="preserve"> and further valorisation</w:t>
      </w:r>
      <w:r w:rsidRPr="0041150F">
        <w:rPr>
          <w:lang w:val="en-GB"/>
        </w:rPr>
        <w:t>.</w:t>
      </w:r>
      <w:r>
        <w:rPr>
          <w:lang w:val="en-GB"/>
        </w:rPr>
        <w:t xml:space="preserve"> </w:t>
      </w:r>
      <w:bookmarkStart w:id="0" w:name="_Hlk495475023"/>
    </w:p>
    <w:bookmarkEnd w:id="0"/>
    <w:p w14:paraId="476B2F2E" w14:textId="77777777" w:rsidR="00600535" w:rsidRPr="00B57B36" w:rsidRDefault="00600535" w:rsidP="00600535">
      <w:pPr>
        <w:pStyle w:val="CETHeading1"/>
        <w:rPr>
          <w:lang w:val="en-GB"/>
        </w:rPr>
      </w:pPr>
      <w:r w:rsidRPr="00B57B36">
        <w:rPr>
          <w:lang w:val="en-GB"/>
        </w:rPr>
        <w:t>Introduction</w:t>
      </w:r>
    </w:p>
    <w:p w14:paraId="29CCE421" w14:textId="338F92CA" w:rsidR="00880C76" w:rsidRDefault="00880C76" w:rsidP="00600535">
      <w:pPr>
        <w:pStyle w:val="CETBodytext"/>
        <w:rPr>
          <w:lang w:val="en-GB"/>
        </w:rPr>
      </w:pPr>
      <w:r w:rsidRPr="00880C76">
        <w:rPr>
          <w:lang w:val="en-GB"/>
        </w:rPr>
        <w:t xml:space="preserve">Europe is the world’s second largest producer of beer after China with more than 8490 breweries producing about 400million hectolitres of beer as per reports in 2016 </w:t>
      </w:r>
      <w:r w:rsidR="00146949">
        <w:rPr>
          <w:lang w:val="en-GB"/>
        </w:rPr>
        <w:t>(Hassan et al., 2020)</w:t>
      </w:r>
      <w:r w:rsidRPr="00880C76">
        <w:rPr>
          <w:lang w:val="en-GB"/>
        </w:rPr>
        <w:t xml:space="preserve">. One of the main by product obtained during beer production in the brewing industry is brewer’s spent grains (BSG). It is the most abundant agro-industrial waste created and accounts to over 3.4 million tons of BSG generated yearly in Europe </w:t>
      </w:r>
      <w:r w:rsidR="002F6D87">
        <w:rPr>
          <w:lang w:val="en-GB"/>
        </w:rPr>
        <w:t>(</w:t>
      </w:r>
      <w:r w:rsidR="005D2BA1">
        <w:t>Mendez</w:t>
      </w:r>
      <w:r w:rsidR="002F6D87">
        <w:t xml:space="preserve"> et al., 201</w:t>
      </w:r>
      <w:r w:rsidR="005D2BA1">
        <w:t>8</w:t>
      </w:r>
      <w:r w:rsidR="002F6D87">
        <w:t>)</w:t>
      </w:r>
      <w:r w:rsidRPr="00880C76">
        <w:rPr>
          <w:lang w:val="en-GB"/>
        </w:rPr>
        <w:t>. BSG is the insoluble part of the malted barley grain that is separated during the mashing process before fermentation of the soluble liquid wort</w:t>
      </w:r>
      <w:r w:rsidR="009A3D06">
        <w:rPr>
          <w:lang w:val="en-GB"/>
        </w:rPr>
        <w:t xml:space="preserve"> (</w:t>
      </w:r>
      <w:proofErr w:type="spellStart"/>
      <w:r w:rsidR="009A3D06" w:rsidRPr="00CA4B2F">
        <w:t>Jackowski</w:t>
      </w:r>
      <w:proofErr w:type="spellEnd"/>
      <w:r w:rsidR="009A3D06">
        <w:t xml:space="preserve"> et al., 2019)</w:t>
      </w:r>
      <w:r w:rsidRPr="00880C76">
        <w:rPr>
          <w:lang w:val="en-GB"/>
        </w:rPr>
        <w:t xml:space="preserve">. About 30% of the initial malted barley end up as BSG at the end of brewing </w:t>
      </w:r>
      <w:r w:rsidR="00B25AB7">
        <w:rPr>
          <w:lang w:val="en-GB"/>
        </w:rPr>
        <w:t>(</w:t>
      </w:r>
      <w:r w:rsidR="00B25AB7" w:rsidRPr="00291E8D">
        <w:t>Ravindran</w:t>
      </w:r>
      <w:r w:rsidR="00B25AB7">
        <w:t xml:space="preserve"> et al., 2018)</w:t>
      </w:r>
      <w:r w:rsidRPr="00880C76">
        <w:rPr>
          <w:lang w:val="en-GB"/>
        </w:rPr>
        <w:t xml:space="preserve">. European legislation ‘New Waste Framework Directive- 2008/09’ was introduced for the management of food wastes like BSG and to define </w:t>
      </w:r>
      <w:r w:rsidR="00DC18C1" w:rsidRPr="00880C76">
        <w:rPr>
          <w:lang w:val="en-GB"/>
        </w:rPr>
        <w:t>methods</w:t>
      </w:r>
      <w:r w:rsidRPr="00880C76">
        <w:rPr>
          <w:lang w:val="en-GB"/>
        </w:rPr>
        <w:t xml:space="preserve"> for their reuse and recycle </w:t>
      </w:r>
      <w:r w:rsidR="001C437F">
        <w:rPr>
          <w:lang w:val="en-GB"/>
        </w:rPr>
        <w:t>(</w:t>
      </w:r>
      <w:r w:rsidR="001C437F" w:rsidRPr="00291E8D">
        <w:t>Ravindran</w:t>
      </w:r>
      <w:r w:rsidR="001C437F">
        <w:t xml:space="preserve"> et al., 2018)</w:t>
      </w:r>
      <w:r w:rsidR="001C437F" w:rsidRPr="00880C76">
        <w:rPr>
          <w:lang w:val="en-GB"/>
        </w:rPr>
        <w:t xml:space="preserve">. </w:t>
      </w:r>
      <w:r w:rsidRPr="00880C76">
        <w:rPr>
          <w:lang w:val="en-GB"/>
        </w:rPr>
        <w:t xml:space="preserve"> BSG is rich in cellulose, hemicellulose, lignin, and proteins and are generally used as animal feed </w:t>
      </w:r>
      <w:r w:rsidR="005B10FC">
        <w:rPr>
          <w:lang w:val="en-GB"/>
        </w:rPr>
        <w:t>(</w:t>
      </w:r>
      <w:proofErr w:type="spellStart"/>
      <w:r w:rsidR="005B10FC" w:rsidRPr="00CA4B2F">
        <w:t>Jackowski</w:t>
      </w:r>
      <w:proofErr w:type="spellEnd"/>
      <w:r w:rsidR="005B10FC">
        <w:t xml:space="preserve"> et al., 2020)</w:t>
      </w:r>
      <w:r w:rsidRPr="00880C76">
        <w:rPr>
          <w:lang w:val="en-GB"/>
        </w:rPr>
        <w:t xml:space="preserve">. The composition of BSG including its high fibre content make them a suitable raw material for biotechnological processes, enzyme production, renewable energy, production of bread, ethanol, activated carbon among others </w:t>
      </w:r>
      <w:r w:rsidR="00797C75">
        <w:rPr>
          <w:lang w:val="en-GB"/>
        </w:rPr>
        <w:t xml:space="preserve">(Ravindran and </w:t>
      </w:r>
      <w:r w:rsidR="00797C75" w:rsidRPr="00AB1A5B">
        <w:t>Jaiswal</w:t>
      </w:r>
      <w:r w:rsidR="00797C75">
        <w:t>, 2016</w:t>
      </w:r>
      <w:r w:rsidR="005A3424">
        <w:t>a</w:t>
      </w:r>
      <w:r w:rsidR="00797C75">
        <w:t>)</w:t>
      </w:r>
      <w:r w:rsidRPr="00880C76">
        <w:rPr>
          <w:lang w:val="en-GB"/>
        </w:rPr>
        <w:t xml:space="preserve">. For effectively valorising BSG, it is necessary to destroy its lignocellulosic structure. Pre-treating BSG can help to facilitate this objective by making the organic molecules readily available. Thus, pre-treatment strategies like chemical, physical, thermal methods are important for improving the valorisation process of BSG </w:t>
      </w:r>
      <w:r w:rsidR="005A3424">
        <w:rPr>
          <w:lang w:val="en-GB"/>
        </w:rPr>
        <w:t xml:space="preserve">(Ravindran and </w:t>
      </w:r>
      <w:r w:rsidR="005A3424" w:rsidRPr="00AB1A5B">
        <w:t>Jaiswal</w:t>
      </w:r>
      <w:r w:rsidR="005A3424">
        <w:t>, 2016b)</w:t>
      </w:r>
      <w:r w:rsidRPr="00880C76">
        <w:rPr>
          <w:lang w:val="en-GB"/>
        </w:rPr>
        <w:t xml:space="preserve">. The effect of several pre-treatments like microwave </w:t>
      </w:r>
      <w:r w:rsidR="00F116DC">
        <w:rPr>
          <w:lang w:val="en-GB"/>
        </w:rPr>
        <w:t>(</w:t>
      </w:r>
      <w:r w:rsidR="00F116DC" w:rsidRPr="005257F4">
        <w:t>Alonso-</w:t>
      </w:r>
      <w:proofErr w:type="spellStart"/>
      <w:r w:rsidR="00F116DC" w:rsidRPr="005257F4">
        <w:t>Riaño</w:t>
      </w:r>
      <w:proofErr w:type="spellEnd"/>
      <w:r w:rsidR="00F116DC">
        <w:t xml:space="preserve"> et al., 2020)</w:t>
      </w:r>
      <w:r w:rsidRPr="00880C76">
        <w:rPr>
          <w:lang w:val="en-GB"/>
        </w:rPr>
        <w:t xml:space="preserve">, thermal </w:t>
      </w:r>
      <w:r w:rsidR="00A85B9C">
        <w:rPr>
          <w:lang w:val="en-GB"/>
        </w:rPr>
        <w:t>(</w:t>
      </w:r>
      <w:proofErr w:type="spellStart"/>
      <w:r w:rsidR="00A85B9C" w:rsidRPr="00750340">
        <w:t>Macheiner</w:t>
      </w:r>
      <w:proofErr w:type="spellEnd"/>
      <w:r w:rsidR="00A85B9C">
        <w:t xml:space="preserve"> et al., 2003)</w:t>
      </w:r>
      <w:r w:rsidRPr="00880C76">
        <w:rPr>
          <w:lang w:val="en-GB"/>
        </w:rPr>
        <w:t xml:space="preserve">, acid hydrolysis </w:t>
      </w:r>
      <w:r w:rsidR="00CA602D">
        <w:rPr>
          <w:lang w:val="en-GB"/>
        </w:rPr>
        <w:t>(</w:t>
      </w:r>
      <w:r w:rsidR="00CA602D" w:rsidRPr="006C1EAE">
        <w:t>Wolters</w:t>
      </w:r>
      <w:r w:rsidR="00CA602D">
        <w:t xml:space="preserve"> et al., 2016)</w:t>
      </w:r>
      <w:r w:rsidRPr="00880C76">
        <w:rPr>
          <w:lang w:val="en-GB"/>
        </w:rPr>
        <w:t xml:space="preserve"> and alkali hydrolysis </w:t>
      </w:r>
      <w:r w:rsidR="006507F9">
        <w:rPr>
          <w:lang w:val="en-GB"/>
        </w:rPr>
        <w:t>(</w:t>
      </w:r>
      <w:r w:rsidR="006507F9" w:rsidRPr="00DF5B20">
        <w:t>Liguori</w:t>
      </w:r>
      <w:r w:rsidR="006507F9" w:rsidRPr="00880C76">
        <w:rPr>
          <w:lang w:val="en-GB"/>
        </w:rPr>
        <w:t xml:space="preserve"> </w:t>
      </w:r>
      <w:r w:rsidR="006507F9">
        <w:rPr>
          <w:lang w:val="en-GB"/>
        </w:rPr>
        <w:t xml:space="preserve">et al., 2015) </w:t>
      </w:r>
      <w:r w:rsidRPr="00880C76">
        <w:rPr>
          <w:lang w:val="en-GB"/>
        </w:rPr>
        <w:t xml:space="preserve">have been studied in the past. </w:t>
      </w:r>
    </w:p>
    <w:p w14:paraId="23F86FEF" w14:textId="7506747C" w:rsidR="00600535" w:rsidRDefault="00285329" w:rsidP="00600535">
      <w:pPr>
        <w:pStyle w:val="CETBodytext"/>
        <w:rPr>
          <w:lang w:val="en-GB"/>
        </w:rPr>
      </w:pPr>
      <w:r w:rsidRPr="005168BE">
        <w:rPr>
          <w:lang w:val="en-GB"/>
        </w:rPr>
        <w:t>Till to date</w:t>
      </w:r>
      <w:r w:rsidR="005168BE" w:rsidRPr="005168BE">
        <w:rPr>
          <w:lang w:val="en-GB"/>
        </w:rPr>
        <w:t xml:space="preserve"> to the best of our knowledge</w:t>
      </w:r>
      <w:r w:rsidRPr="005168BE">
        <w:rPr>
          <w:lang w:val="en-GB"/>
        </w:rPr>
        <w:t>, other pre-treatment studies on BSG could not be found where individual acid and alkali hydrolysis were performed by varying the acid and alkali concentrations</w:t>
      </w:r>
      <w:r w:rsidR="00C06488" w:rsidRPr="005168BE">
        <w:rPr>
          <w:lang w:val="en-GB"/>
        </w:rPr>
        <w:t xml:space="preserve"> in a single study</w:t>
      </w:r>
      <w:r w:rsidRPr="005168BE">
        <w:rPr>
          <w:lang w:val="en-GB"/>
        </w:rPr>
        <w:t>. So</w:t>
      </w:r>
      <w:r w:rsidR="00782988" w:rsidRPr="005168BE">
        <w:rPr>
          <w:lang w:val="en-GB"/>
        </w:rPr>
        <w:t>,</w:t>
      </w:r>
      <w:r w:rsidRPr="005168BE">
        <w:rPr>
          <w:lang w:val="en-GB"/>
        </w:rPr>
        <w:t xml:space="preserve"> t</w:t>
      </w:r>
      <w:r w:rsidR="00880C76" w:rsidRPr="005168BE">
        <w:rPr>
          <w:lang w:val="en-GB"/>
        </w:rPr>
        <w:t>he aim of the work is to</w:t>
      </w:r>
      <w:r w:rsidR="008616A0" w:rsidRPr="005168BE">
        <w:rPr>
          <w:lang w:val="en-GB"/>
        </w:rPr>
        <w:t xml:space="preserve"> pre-treat BSG </w:t>
      </w:r>
      <w:r w:rsidR="00866228" w:rsidRPr="005168BE">
        <w:rPr>
          <w:lang w:val="en-GB"/>
        </w:rPr>
        <w:t xml:space="preserve">using chemical pre-treatments </w:t>
      </w:r>
      <w:r w:rsidR="00D91210" w:rsidRPr="005168BE">
        <w:rPr>
          <w:lang w:val="en-GB"/>
        </w:rPr>
        <w:t xml:space="preserve">to understand </w:t>
      </w:r>
      <w:r w:rsidR="00782988" w:rsidRPr="005168BE">
        <w:rPr>
          <w:lang w:val="en-GB"/>
        </w:rPr>
        <w:t xml:space="preserve">and compare </w:t>
      </w:r>
      <w:r w:rsidR="00D91210" w:rsidRPr="005168BE">
        <w:rPr>
          <w:lang w:val="en-GB"/>
        </w:rPr>
        <w:t>the effect of pre-treatments on the solubilisation of organics</w:t>
      </w:r>
      <w:r w:rsidR="00782988" w:rsidRPr="005168BE">
        <w:rPr>
          <w:lang w:val="en-GB"/>
        </w:rPr>
        <w:t>. These results would also</w:t>
      </w:r>
      <w:r w:rsidR="00EA46D0" w:rsidRPr="005168BE">
        <w:rPr>
          <w:lang w:val="en-GB"/>
        </w:rPr>
        <w:t xml:space="preserve"> aid in</w:t>
      </w:r>
      <w:r w:rsidR="00D91210" w:rsidRPr="005168BE">
        <w:rPr>
          <w:lang w:val="en-GB"/>
        </w:rPr>
        <w:t xml:space="preserve"> </w:t>
      </w:r>
      <w:r w:rsidR="00880C76" w:rsidRPr="005168BE">
        <w:rPr>
          <w:lang w:val="en-GB"/>
        </w:rPr>
        <w:t>valoris</w:t>
      </w:r>
      <w:r w:rsidR="00EA46D0" w:rsidRPr="005168BE">
        <w:rPr>
          <w:lang w:val="en-GB"/>
        </w:rPr>
        <w:t>ation of</w:t>
      </w:r>
      <w:r w:rsidR="00880C76" w:rsidRPr="005168BE">
        <w:rPr>
          <w:lang w:val="en-GB"/>
        </w:rPr>
        <w:t xml:space="preserve"> BSG </w:t>
      </w:r>
      <w:r w:rsidRPr="005168BE">
        <w:rPr>
          <w:lang w:val="en-GB"/>
        </w:rPr>
        <w:t xml:space="preserve">for </w:t>
      </w:r>
      <w:r w:rsidR="00516545" w:rsidRPr="005168BE">
        <w:rPr>
          <w:lang w:val="en-GB"/>
        </w:rPr>
        <w:t xml:space="preserve">the future </w:t>
      </w:r>
      <w:r w:rsidR="00880C76" w:rsidRPr="005168BE">
        <w:rPr>
          <w:lang w:val="en-GB"/>
        </w:rPr>
        <w:t>similar to valorisation of sludge</w:t>
      </w:r>
      <w:r w:rsidR="008616A0" w:rsidRPr="005168BE">
        <w:rPr>
          <w:lang w:val="en-GB"/>
        </w:rPr>
        <w:t xml:space="preserve"> as done in previous studies</w:t>
      </w:r>
      <w:r w:rsidR="007726C4">
        <w:rPr>
          <w:lang w:val="en-GB"/>
        </w:rPr>
        <w:t xml:space="preserve"> (Babu et al., 2021) </w:t>
      </w:r>
      <w:r w:rsidR="00880C76" w:rsidRPr="00880C76">
        <w:rPr>
          <w:lang w:val="en-GB"/>
        </w:rPr>
        <w:t xml:space="preserve">firstly by pre-treating them and </w:t>
      </w:r>
      <w:r w:rsidR="00880C76" w:rsidRPr="00880C76">
        <w:rPr>
          <w:lang w:val="en-GB"/>
        </w:rPr>
        <w:lastRenderedPageBreak/>
        <w:t>then by examining suitability of the liquid for obtaining molecules as feedstock and solid for fuel properties after pre-treatments</w:t>
      </w:r>
      <w:r w:rsidR="00880C76">
        <w:rPr>
          <w:lang w:val="en-GB"/>
        </w:rPr>
        <w:t>.</w:t>
      </w:r>
    </w:p>
    <w:p w14:paraId="3CB64619" w14:textId="6E74ED43" w:rsidR="00C72792" w:rsidRDefault="00C72792" w:rsidP="00C72792">
      <w:pPr>
        <w:pStyle w:val="CETHeading1"/>
      </w:pPr>
      <w:r>
        <w:t xml:space="preserve">Materials &amp; methods </w:t>
      </w:r>
    </w:p>
    <w:p w14:paraId="37ABF23E" w14:textId="24BD1DB7" w:rsidR="00C72792" w:rsidRDefault="00C72792" w:rsidP="00C72792">
      <w:pPr>
        <w:pStyle w:val="CETBodytext"/>
      </w:pPr>
      <w:r w:rsidRPr="00C72792">
        <w:t>BSG were obtained as a by-product from the brewery located at the premises of the Wroclaw University of Science and Technology (Poland). The grains were dried at 50 ºC for 48 h and ground and then stored at room temperature in a dry place for further experiments.</w:t>
      </w:r>
    </w:p>
    <w:p w14:paraId="5A790119" w14:textId="0E9D0F4A" w:rsidR="00C72792" w:rsidRDefault="00C72792" w:rsidP="00C72792">
      <w:pPr>
        <w:pStyle w:val="CETheadingx"/>
      </w:pPr>
      <w:r>
        <w:t>Pretreatments</w:t>
      </w:r>
    </w:p>
    <w:p w14:paraId="6F2C0E58" w14:textId="58A2A050" w:rsidR="00C72792" w:rsidRDefault="00C72792" w:rsidP="00C72792">
      <w:pPr>
        <w:pStyle w:val="CETBodytext"/>
      </w:pPr>
      <w:r w:rsidRPr="00C72792">
        <w:t>Different</w:t>
      </w:r>
      <w:r w:rsidR="00180294">
        <w:t xml:space="preserve"> chemical</w:t>
      </w:r>
      <w:r w:rsidRPr="00C72792">
        <w:t xml:space="preserve"> BSG pre-treatments were done with acid</w:t>
      </w:r>
      <w:r w:rsidR="00180294">
        <w:t xml:space="preserve"> and</w:t>
      </w:r>
      <w:r w:rsidRPr="00C72792">
        <w:t xml:space="preserve"> alkali as the medium. For acid medium, </w:t>
      </w:r>
      <w:r w:rsidR="00180294">
        <w:t xml:space="preserve">0.01N and </w:t>
      </w:r>
      <w:r w:rsidRPr="00C72792">
        <w:t>0.5N hydrochloric acid (HCl) w</w:t>
      </w:r>
      <w:r w:rsidR="007A6B06">
        <w:t>ere</w:t>
      </w:r>
      <w:r w:rsidRPr="00C72792">
        <w:t xml:space="preserve"> used while for alkaline ones,</w:t>
      </w:r>
      <w:r w:rsidR="00180294">
        <w:t xml:space="preserve"> 0.01N and</w:t>
      </w:r>
      <w:r w:rsidRPr="00C72792">
        <w:t xml:space="preserve"> 0.5N sodium hydroxide (NaOH)</w:t>
      </w:r>
      <w:r w:rsidR="00961FD7">
        <w:t xml:space="preserve"> solutions</w:t>
      </w:r>
      <w:r w:rsidRPr="00C72792">
        <w:t xml:space="preserve"> </w:t>
      </w:r>
      <w:r w:rsidR="00180294">
        <w:t>w</w:t>
      </w:r>
      <w:r w:rsidR="007A6B06">
        <w:t>ere</w:t>
      </w:r>
      <w:r w:rsidR="00180294">
        <w:t xml:space="preserve"> </w:t>
      </w:r>
      <w:r w:rsidR="006B5633" w:rsidRPr="00C72792">
        <w:t>utilized</w:t>
      </w:r>
      <w:r w:rsidRPr="00C72792">
        <w:t xml:space="preserve">. </w:t>
      </w:r>
      <w:r w:rsidR="00180294">
        <w:t xml:space="preserve">The </w:t>
      </w:r>
      <w:r w:rsidRPr="00C72792">
        <w:t>pre-treatments were done by adding 5</w:t>
      </w:r>
      <w:r w:rsidR="0060335A">
        <w:t xml:space="preserve"> </w:t>
      </w:r>
      <w:r w:rsidRPr="00C72792">
        <w:t>g of BSG in 100 ml of aqueous medium in a 230 ml Erlenmeyer flask and s</w:t>
      </w:r>
      <w:r w:rsidR="00961FD7">
        <w:t>tirred</w:t>
      </w:r>
      <w:r w:rsidRPr="00C72792">
        <w:t xml:space="preserve"> in a water bath shaker (</w:t>
      </w:r>
      <w:proofErr w:type="spellStart"/>
      <w:r w:rsidRPr="00C72792">
        <w:t>Elpin</w:t>
      </w:r>
      <w:proofErr w:type="spellEnd"/>
      <w:r w:rsidRPr="00C72792">
        <w:t>+ type 357) at 100 rpm for 1 h at room temperature.</w:t>
      </w:r>
      <w:r w:rsidR="00180294">
        <w:t xml:space="preserve"> In addition to acid and alkali samples, one Erlenmeyer flask was shaken with 100 ml of Milli-Q water and 5</w:t>
      </w:r>
      <w:r w:rsidR="0060335A">
        <w:t xml:space="preserve"> </w:t>
      </w:r>
      <w:r w:rsidR="00180294">
        <w:t>g of BSG as reference sample.</w:t>
      </w:r>
      <w:r w:rsidRPr="00C72792">
        <w:t xml:space="preserve"> After the experiments, samples were separated into solid and liquid fractions by vacuum filtration. Solid was dried at 50 ºC in an oven for 24 h and stored while liquid was stored at 4 ºC until further analyses</w:t>
      </w:r>
      <w:r>
        <w:t>.</w:t>
      </w:r>
    </w:p>
    <w:p w14:paraId="32C1A3FB" w14:textId="61B33977" w:rsidR="00D8575A" w:rsidRPr="00B57B36" w:rsidRDefault="009968B1" w:rsidP="00D8575A">
      <w:pPr>
        <w:pStyle w:val="CETheadingx"/>
      </w:pPr>
      <w:r>
        <w:t>Total sugars</w:t>
      </w:r>
    </w:p>
    <w:p w14:paraId="32E7A711" w14:textId="5E4336DE" w:rsidR="00242989" w:rsidRDefault="00D8575A" w:rsidP="00D8575A">
      <w:pPr>
        <w:pStyle w:val="CETBodytext"/>
        <w:rPr>
          <w:lang w:val="en-GB"/>
        </w:rPr>
      </w:pPr>
      <w:r w:rsidRPr="00D8575A">
        <w:rPr>
          <w:lang w:val="en-GB"/>
        </w:rPr>
        <w:t>On the liquid part, total sugars are measured using refractometer</w:t>
      </w:r>
      <w:r w:rsidR="00824E8E">
        <w:rPr>
          <w:lang w:val="en-GB"/>
        </w:rPr>
        <w:t xml:space="preserve"> (</w:t>
      </w:r>
      <w:proofErr w:type="spellStart"/>
      <w:r w:rsidR="00824E8E" w:rsidRPr="00824E8E">
        <w:rPr>
          <w:lang w:val="en-GB"/>
        </w:rPr>
        <w:t>Kerbl</w:t>
      </w:r>
      <w:proofErr w:type="spellEnd"/>
      <w:r w:rsidR="00824E8E" w:rsidRPr="00824E8E">
        <w:rPr>
          <w:lang w:val="en-GB"/>
        </w:rPr>
        <w:t xml:space="preserve"> 1464</w:t>
      </w:r>
      <w:r w:rsidRPr="00D8575A">
        <w:rPr>
          <w:lang w:val="en-GB"/>
        </w:rPr>
        <w:t>0-32 °BRIX). Results are given in Brix degrees, 1 ºB</w:t>
      </w:r>
      <w:r w:rsidR="00483F76">
        <w:rPr>
          <w:lang w:val="en-GB"/>
        </w:rPr>
        <w:t>ri</w:t>
      </w:r>
      <w:r w:rsidRPr="00D8575A">
        <w:rPr>
          <w:lang w:val="en-GB"/>
        </w:rPr>
        <w:t xml:space="preserve">x is equal to 1 g of sucrose in 100 g of solution. </w:t>
      </w:r>
    </w:p>
    <w:p w14:paraId="57108B5E" w14:textId="418F02D1" w:rsidR="00242989" w:rsidRPr="00B57B36" w:rsidRDefault="00242989" w:rsidP="00242989">
      <w:pPr>
        <w:pStyle w:val="CETheadingx"/>
      </w:pPr>
      <w:r>
        <w:t>Total reducing sugars</w:t>
      </w:r>
    </w:p>
    <w:p w14:paraId="119D016F" w14:textId="2579DD12" w:rsidR="00242989" w:rsidRDefault="00D8575A" w:rsidP="00D8575A">
      <w:pPr>
        <w:pStyle w:val="CETBodytext"/>
        <w:rPr>
          <w:lang w:val="en-GB"/>
        </w:rPr>
      </w:pPr>
      <w:r w:rsidRPr="00D8575A">
        <w:rPr>
          <w:lang w:val="en-GB"/>
        </w:rPr>
        <w:t>Measuring the concentrations of total reducing sugars w</w:t>
      </w:r>
      <w:r w:rsidR="00E8397A">
        <w:rPr>
          <w:lang w:val="en-GB"/>
        </w:rPr>
        <w:t>ere</w:t>
      </w:r>
      <w:r w:rsidRPr="00D8575A">
        <w:rPr>
          <w:lang w:val="en-GB"/>
        </w:rPr>
        <w:t xml:space="preserve"> done using 3,5-Dinitrosalicylic acid (DNS) by Miller’s test </w:t>
      </w:r>
      <w:r w:rsidR="00FC7BE4">
        <w:rPr>
          <w:lang w:val="en-GB"/>
        </w:rPr>
        <w:t>(</w:t>
      </w:r>
      <w:r w:rsidR="00FC7BE4" w:rsidRPr="003B171E">
        <w:t>Miller</w:t>
      </w:r>
      <w:r w:rsidR="00FC7BE4">
        <w:t>, 2002)</w:t>
      </w:r>
      <w:r w:rsidRPr="00D8575A">
        <w:rPr>
          <w:lang w:val="en-GB"/>
        </w:rPr>
        <w:t xml:space="preserve">. </w:t>
      </w:r>
      <w:r w:rsidR="00CD5B55">
        <w:rPr>
          <w:lang w:val="en-GB"/>
        </w:rPr>
        <w:t xml:space="preserve">0.5 mL of sample was put in a boiling tube and 1.5 mL of DNS was added and boiled at 100 </w:t>
      </w:r>
      <w:r w:rsidR="00CD5B55" w:rsidRPr="00C72792">
        <w:t>ºC</w:t>
      </w:r>
      <w:r w:rsidR="00CD5B55">
        <w:t xml:space="preserve"> for 5 min. Then the tubes were rapidly cooled, and 8 mL of distilled water was added to the mixture. The solution was mixed and </w:t>
      </w:r>
      <w:r w:rsidR="00E8397A">
        <w:t>allowed</w:t>
      </w:r>
      <w:r w:rsidR="00CD5B55">
        <w:t xml:space="preserve"> to stay at room temperature for 25 min.</w:t>
      </w:r>
      <w:r w:rsidR="00CD5B55">
        <w:rPr>
          <w:lang w:val="en-GB"/>
        </w:rPr>
        <w:t xml:space="preserve"> After this period, t</w:t>
      </w:r>
      <w:r w:rsidRPr="00D8575A">
        <w:rPr>
          <w:lang w:val="en-GB"/>
        </w:rPr>
        <w:t xml:space="preserve">he absorbances values were measured at 550 nm using UV-1800 Spectrophotometer (Shimadzu, Kyoto, Japan) and concentration was determined according to the standard calibration curve. </w:t>
      </w:r>
      <w:r w:rsidR="00CD5B55">
        <w:rPr>
          <w:lang w:val="en-GB"/>
        </w:rPr>
        <w:t>A control sample was prepared similarly with distilled water instead of 0.5 mL sample.</w:t>
      </w:r>
    </w:p>
    <w:p w14:paraId="539CE340" w14:textId="54255DFD" w:rsidR="00892465" w:rsidRPr="00B57B36" w:rsidRDefault="004D15D4" w:rsidP="00892465">
      <w:pPr>
        <w:pStyle w:val="CETheadingx"/>
      </w:pPr>
      <w:r>
        <w:t>Total polyphenols</w:t>
      </w:r>
    </w:p>
    <w:p w14:paraId="57C7669E" w14:textId="2709D6AB" w:rsidR="00892465" w:rsidRDefault="00892465" w:rsidP="00D8575A">
      <w:pPr>
        <w:pStyle w:val="CETBodytext"/>
        <w:rPr>
          <w:lang w:val="en-GB"/>
        </w:rPr>
      </w:pPr>
      <w:r>
        <w:rPr>
          <w:lang w:val="en-GB"/>
        </w:rPr>
        <w:t>T</w:t>
      </w:r>
      <w:r w:rsidR="00D8575A" w:rsidRPr="00D8575A">
        <w:rPr>
          <w:lang w:val="en-GB"/>
        </w:rPr>
        <w:t xml:space="preserve">otal polyphenols were done by </w:t>
      </w:r>
      <w:proofErr w:type="spellStart"/>
      <w:r w:rsidR="00D8575A" w:rsidRPr="00D8575A">
        <w:rPr>
          <w:lang w:val="en-GB"/>
        </w:rPr>
        <w:t>Folin</w:t>
      </w:r>
      <w:proofErr w:type="spellEnd"/>
      <w:r w:rsidR="00D8575A" w:rsidRPr="00D8575A">
        <w:rPr>
          <w:lang w:val="en-GB"/>
        </w:rPr>
        <w:t>–</w:t>
      </w:r>
      <w:proofErr w:type="spellStart"/>
      <w:r w:rsidR="00D8575A" w:rsidRPr="00D8575A">
        <w:rPr>
          <w:lang w:val="en-GB"/>
        </w:rPr>
        <w:t>Ciocalteu</w:t>
      </w:r>
      <w:proofErr w:type="spellEnd"/>
      <w:r w:rsidR="00D8575A" w:rsidRPr="00D8575A">
        <w:rPr>
          <w:lang w:val="en-GB"/>
        </w:rPr>
        <w:t xml:space="preserve"> method and concentration of polyphenols is calculated as a gallic acid equivalent </w:t>
      </w:r>
      <w:r w:rsidR="0045132D">
        <w:rPr>
          <w:lang w:val="en-GB"/>
        </w:rPr>
        <w:t>(</w:t>
      </w:r>
      <w:proofErr w:type="spellStart"/>
      <w:r w:rsidR="0045132D" w:rsidRPr="00837B48">
        <w:t>Makkar</w:t>
      </w:r>
      <w:proofErr w:type="spellEnd"/>
      <w:r w:rsidR="0045132D">
        <w:t>, 2003)</w:t>
      </w:r>
      <w:r w:rsidR="00D8575A" w:rsidRPr="00D8575A">
        <w:rPr>
          <w:lang w:val="en-GB"/>
        </w:rPr>
        <w:t xml:space="preserve">. </w:t>
      </w:r>
      <w:r w:rsidR="0086332E">
        <w:rPr>
          <w:lang w:val="en-GB"/>
        </w:rPr>
        <w:t xml:space="preserve">In a test tube, </w:t>
      </w:r>
      <w:r w:rsidR="0086332E" w:rsidRPr="0086332E">
        <w:rPr>
          <w:lang w:val="en-GB"/>
        </w:rPr>
        <w:t xml:space="preserve">20 </w:t>
      </w:r>
      <w:r w:rsidR="0086332E">
        <w:rPr>
          <w:rFonts w:ascii="Times New Roman" w:hAnsi="Times New Roman"/>
          <w:lang w:val="en-GB"/>
        </w:rPr>
        <w:t>µ</w:t>
      </w:r>
      <w:r w:rsidR="0086332E">
        <w:rPr>
          <w:lang w:val="en-GB"/>
        </w:rPr>
        <w:t>L</w:t>
      </w:r>
      <w:r w:rsidR="0086332E" w:rsidRPr="0086332E">
        <w:rPr>
          <w:lang w:val="en-GB"/>
        </w:rPr>
        <w:t xml:space="preserve"> of </w:t>
      </w:r>
      <w:r w:rsidR="0086332E">
        <w:rPr>
          <w:lang w:val="en-GB"/>
        </w:rPr>
        <w:t>sample was added followed by 10</w:t>
      </w:r>
      <w:r w:rsidR="0086332E" w:rsidRPr="0086332E">
        <w:rPr>
          <w:lang w:val="en-GB"/>
        </w:rPr>
        <w:t xml:space="preserve">0 </w:t>
      </w:r>
      <w:r w:rsidR="0086332E">
        <w:rPr>
          <w:rFonts w:ascii="Times New Roman" w:hAnsi="Times New Roman"/>
          <w:lang w:val="en-GB"/>
        </w:rPr>
        <w:t>µ</w:t>
      </w:r>
      <w:r w:rsidR="0086332E">
        <w:rPr>
          <w:lang w:val="en-GB"/>
        </w:rPr>
        <w:t xml:space="preserve">L </w:t>
      </w:r>
      <w:proofErr w:type="spellStart"/>
      <w:r w:rsidR="0086332E" w:rsidRPr="0086332E">
        <w:rPr>
          <w:lang w:val="en-GB"/>
        </w:rPr>
        <w:t>Folin</w:t>
      </w:r>
      <w:proofErr w:type="spellEnd"/>
      <w:r w:rsidR="0086332E" w:rsidRPr="0086332E">
        <w:rPr>
          <w:lang w:val="en-GB"/>
        </w:rPr>
        <w:t xml:space="preserve"> reagent</w:t>
      </w:r>
      <w:r w:rsidR="0085471E">
        <w:rPr>
          <w:lang w:val="en-GB"/>
        </w:rPr>
        <w:t xml:space="preserve">. The reactants were mixed and left to stay at room temperature for 3 min. Then, 300 </w:t>
      </w:r>
      <w:r w:rsidR="0085471E">
        <w:rPr>
          <w:rFonts w:ascii="Times New Roman" w:hAnsi="Times New Roman"/>
          <w:lang w:val="en-GB"/>
        </w:rPr>
        <w:t>µ</w:t>
      </w:r>
      <w:r w:rsidR="0085471E">
        <w:rPr>
          <w:lang w:val="en-GB"/>
        </w:rPr>
        <w:t xml:space="preserve">L of sodium carbonate solution (20%) and 1580 </w:t>
      </w:r>
      <w:r w:rsidR="0085471E">
        <w:rPr>
          <w:rFonts w:ascii="Times New Roman" w:hAnsi="Times New Roman"/>
          <w:lang w:val="en-GB"/>
        </w:rPr>
        <w:t>µ</w:t>
      </w:r>
      <w:r w:rsidR="0085471E">
        <w:rPr>
          <w:lang w:val="en-GB"/>
        </w:rPr>
        <w:t>L of distilled water was added to the test tube and mixed. C</w:t>
      </w:r>
      <w:r w:rsidR="0085471E" w:rsidRPr="0085471E">
        <w:rPr>
          <w:lang w:val="en-GB"/>
        </w:rPr>
        <w:t>ontrol sample</w:t>
      </w:r>
      <w:r w:rsidR="0085471E">
        <w:rPr>
          <w:lang w:val="en-GB"/>
        </w:rPr>
        <w:t xml:space="preserve"> was prepared</w:t>
      </w:r>
      <w:r w:rsidR="0085471E" w:rsidRPr="0085471E">
        <w:rPr>
          <w:lang w:val="en-GB"/>
        </w:rPr>
        <w:t xml:space="preserve"> with distilled water instead of </w:t>
      </w:r>
      <w:r w:rsidR="0085471E">
        <w:rPr>
          <w:lang w:val="en-GB"/>
        </w:rPr>
        <w:t>sample. The solution mixture was i</w:t>
      </w:r>
      <w:r w:rsidR="0085471E" w:rsidRPr="0085471E">
        <w:rPr>
          <w:lang w:val="en-GB"/>
        </w:rPr>
        <w:t xml:space="preserve">ncubated in </w:t>
      </w:r>
      <w:r w:rsidR="0085471E">
        <w:rPr>
          <w:lang w:val="en-GB"/>
        </w:rPr>
        <w:t xml:space="preserve">a </w:t>
      </w:r>
      <w:r w:rsidR="0085471E" w:rsidRPr="0085471E">
        <w:rPr>
          <w:lang w:val="en-GB"/>
        </w:rPr>
        <w:t xml:space="preserve">dark place </w:t>
      </w:r>
      <w:r w:rsidR="0085471E">
        <w:rPr>
          <w:lang w:val="en-GB"/>
        </w:rPr>
        <w:t>at</w:t>
      </w:r>
      <w:r w:rsidR="0085471E" w:rsidRPr="0085471E">
        <w:rPr>
          <w:lang w:val="en-GB"/>
        </w:rPr>
        <w:t xml:space="preserve"> room temperature </w:t>
      </w:r>
      <w:r w:rsidR="0085471E">
        <w:rPr>
          <w:lang w:val="en-GB"/>
        </w:rPr>
        <w:t>for</w:t>
      </w:r>
      <w:r w:rsidR="0085471E" w:rsidRPr="0085471E">
        <w:rPr>
          <w:lang w:val="en-GB"/>
        </w:rPr>
        <w:t xml:space="preserve"> 2 h</w:t>
      </w:r>
      <w:r w:rsidR="0085471E">
        <w:rPr>
          <w:lang w:val="en-GB"/>
        </w:rPr>
        <w:t>. T</w:t>
      </w:r>
      <w:r w:rsidR="0085471E" w:rsidRPr="00D8575A">
        <w:rPr>
          <w:lang w:val="en-GB"/>
        </w:rPr>
        <w:t xml:space="preserve">he </w:t>
      </w:r>
      <w:r w:rsidR="006B5633" w:rsidRPr="00D8575A">
        <w:rPr>
          <w:lang w:val="en-GB"/>
        </w:rPr>
        <w:t>absorbance</w:t>
      </w:r>
      <w:r w:rsidR="0085471E" w:rsidRPr="00D8575A">
        <w:rPr>
          <w:lang w:val="en-GB"/>
        </w:rPr>
        <w:t xml:space="preserve"> values were measured at </w:t>
      </w:r>
      <w:r w:rsidR="0085471E">
        <w:rPr>
          <w:lang w:val="en-GB"/>
        </w:rPr>
        <w:t>765</w:t>
      </w:r>
      <w:r w:rsidR="0085471E" w:rsidRPr="00D8575A">
        <w:rPr>
          <w:lang w:val="en-GB"/>
        </w:rPr>
        <w:t xml:space="preserve"> nm using UV-1800 Spectrophotometer (Shimadzu, Kyoto, Japan</w:t>
      </w:r>
      <w:r w:rsidR="0085471E">
        <w:rPr>
          <w:lang w:val="en-GB"/>
        </w:rPr>
        <w:t>).</w:t>
      </w:r>
    </w:p>
    <w:p w14:paraId="085A0B6A" w14:textId="39A4C53F" w:rsidR="00980F77" w:rsidRPr="00B57B36" w:rsidRDefault="00980F77" w:rsidP="00980F77">
      <w:pPr>
        <w:pStyle w:val="CETheadingx"/>
      </w:pPr>
      <w:r>
        <w:t>Total proteins</w:t>
      </w:r>
    </w:p>
    <w:p w14:paraId="72157855" w14:textId="49DD4610" w:rsidR="00C72792" w:rsidRDefault="00980F77" w:rsidP="00D8575A">
      <w:pPr>
        <w:pStyle w:val="CETBodytext"/>
        <w:rPr>
          <w:lang w:val="en-GB"/>
        </w:rPr>
      </w:pPr>
      <w:r w:rsidRPr="00B57B36">
        <w:rPr>
          <w:lang w:val="en-GB"/>
        </w:rPr>
        <w:t xml:space="preserve">The </w:t>
      </w:r>
      <w:r>
        <w:rPr>
          <w:lang w:val="en-GB"/>
        </w:rPr>
        <w:t>t</w:t>
      </w:r>
      <w:r w:rsidR="00D8575A" w:rsidRPr="00D8575A">
        <w:rPr>
          <w:lang w:val="en-GB"/>
        </w:rPr>
        <w:t xml:space="preserve">otal protein measurements were performed by Lowry method using Lowry and </w:t>
      </w:r>
      <w:proofErr w:type="spellStart"/>
      <w:r w:rsidR="00D8575A" w:rsidRPr="00D8575A">
        <w:rPr>
          <w:lang w:val="en-GB"/>
        </w:rPr>
        <w:t>Folin</w:t>
      </w:r>
      <w:proofErr w:type="spellEnd"/>
      <w:r w:rsidR="00D8575A" w:rsidRPr="00D8575A">
        <w:rPr>
          <w:lang w:val="en-GB"/>
        </w:rPr>
        <w:t xml:space="preserve"> reagents</w:t>
      </w:r>
      <w:r w:rsidR="00A2495F">
        <w:rPr>
          <w:lang w:val="en-GB"/>
        </w:rPr>
        <w:t>.</w:t>
      </w:r>
      <w:r w:rsidR="00D8575A" w:rsidRPr="00D8575A">
        <w:rPr>
          <w:lang w:val="en-GB"/>
        </w:rPr>
        <w:t xml:space="preserve"> Calibration curve was prepared using albumin as a reference protein </w:t>
      </w:r>
      <w:r w:rsidR="003F6BFB">
        <w:rPr>
          <w:lang w:val="en-GB"/>
        </w:rPr>
        <w:t>(</w:t>
      </w:r>
      <w:r w:rsidR="003F6BFB">
        <w:t>Lowry et al, 1951)</w:t>
      </w:r>
      <w:r w:rsidR="00D8575A" w:rsidRPr="00D8575A">
        <w:rPr>
          <w:lang w:val="en-GB"/>
        </w:rPr>
        <w:t xml:space="preserve">. </w:t>
      </w:r>
      <w:r w:rsidR="00D8575A">
        <w:rPr>
          <w:lang w:val="en-GB"/>
        </w:rPr>
        <w:t xml:space="preserve"> </w:t>
      </w:r>
      <w:r w:rsidR="00A2495F">
        <w:rPr>
          <w:lang w:val="en-GB"/>
        </w:rPr>
        <w:t xml:space="preserve">0.5 mL of sample was prepared and added to 0.5 mL of Lowry reagent in a test tube. The solution was mixed and allowed to stay for 20 min at room temperature. This was followed by the addition of 250 </w:t>
      </w:r>
      <w:r w:rsidR="00A2495F">
        <w:rPr>
          <w:rFonts w:ascii="Times New Roman" w:hAnsi="Times New Roman"/>
          <w:lang w:val="en-GB"/>
        </w:rPr>
        <w:t>µ</w:t>
      </w:r>
      <w:r w:rsidR="00A2495F">
        <w:rPr>
          <w:lang w:val="en-GB"/>
        </w:rPr>
        <w:t xml:space="preserve">L of </w:t>
      </w:r>
      <w:proofErr w:type="spellStart"/>
      <w:r w:rsidR="00A2495F">
        <w:rPr>
          <w:lang w:val="en-GB"/>
        </w:rPr>
        <w:t>Folin</w:t>
      </w:r>
      <w:proofErr w:type="spellEnd"/>
      <w:r w:rsidR="00A2495F">
        <w:rPr>
          <w:lang w:val="en-GB"/>
        </w:rPr>
        <w:t xml:space="preserve"> reagent and the resultant mixture was agitated and left for 30 min at room temperature. The sample absorbance was measured </w:t>
      </w:r>
      <w:r w:rsidR="00A2495F" w:rsidRPr="00D8575A">
        <w:rPr>
          <w:lang w:val="en-GB"/>
        </w:rPr>
        <w:t>at 750 nm in UV-1800 Spectrophotometer (Shimadzu, Kyoto, Japan).</w:t>
      </w:r>
    </w:p>
    <w:p w14:paraId="11101F17" w14:textId="497D734F" w:rsidR="00570D54" w:rsidRDefault="00570D54" w:rsidP="00570D54">
      <w:pPr>
        <w:pStyle w:val="CETHeading1"/>
      </w:pPr>
      <w:r>
        <w:t>Results &amp; discussions</w:t>
      </w:r>
    </w:p>
    <w:p w14:paraId="59FED2A6" w14:textId="2A170AFE" w:rsidR="00B47A57" w:rsidRDefault="00B47A57" w:rsidP="00570D54">
      <w:pPr>
        <w:pStyle w:val="CETBodytext"/>
      </w:pPr>
      <w:r>
        <w:t xml:space="preserve">The visual morphology of the BSG samples before and after </w:t>
      </w:r>
      <w:r w:rsidR="000071C8">
        <w:t>different pre-treatments are shown in Figure 1.</w:t>
      </w:r>
      <w:r w:rsidR="00EE404D">
        <w:t xml:space="preserve"> The color of the aqu</w:t>
      </w:r>
      <w:r w:rsidR="00FD17BE">
        <w:t>eous solution</w:t>
      </w:r>
      <w:r w:rsidR="005E1410">
        <w:t>s</w:t>
      </w:r>
      <w:r w:rsidR="00FD17BE">
        <w:t xml:space="preserve"> changed after all the pre-treatments. </w:t>
      </w:r>
      <w:r w:rsidR="00DF03AE">
        <w:t>T</w:t>
      </w:r>
      <w:r w:rsidR="00FD17BE">
        <w:t xml:space="preserve">he </w:t>
      </w:r>
      <w:r w:rsidR="00DF03AE">
        <w:t xml:space="preserve">color for water and acid pre-treated samples were quite similar and changed from light brown to slightly darker brown after 1 h of reaction. </w:t>
      </w:r>
      <w:r w:rsidR="007C05A1">
        <w:t xml:space="preserve">However, for both alkali pre-treated samples the color of the solution turned to red/brown before pre-treatment and after the reaction time the color turned to a darker red/brown. </w:t>
      </w:r>
      <w:r w:rsidR="00275103">
        <w:t xml:space="preserve">This darker red/brown </w:t>
      </w:r>
      <w:r w:rsidR="00344310">
        <w:t xml:space="preserve">color </w:t>
      </w:r>
      <w:r w:rsidR="00275103">
        <w:t>could be attributed</w:t>
      </w:r>
      <w:r w:rsidR="005E1410">
        <w:t xml:space="preserve"> to</w:t>
      </w:r>
      <w:r w:rsidR="00275103">
        <w:t xml:space="preserve"> the presence of proteins, lignin</w:t>
      </w:r>
      <w:r w:rsidR="000943EE">
        <w:t>,</w:t>
      </w:r>
      <w:r w:rsidR="00275103">
        <w:t xml:space="preserve"> and disintegration of hemicellulose. </w:t>
      </w:r>
      <w:r w:rsidR="005B049E">
        <w:t>Even in previous works, t</w:t>
      </w:r>
      <w:r w:rsidR="00275103">
        <w:t xml:space="preserve">he color change from light yellow/brown to dark brown of </w:t>
      </w:r>
      <w:r w:rsidR="006B5633">
        <w:t>lignocelluloses’</w:t>
      </w:r>
      <w:r w:rsidR="00275103">
        <w:t xml:space="preserve"> materials in alkaline medium</w:t>
      </w:r>
      <w:r w:rsidR="00846ECB">
        <w:t xml:space="preserve"> (Chen et al., 2016)</w:t>
      </w:r>
      <w:r w:rsidR="00275103">
        <w:t xml:space="preserve"> </w:t>
      </w:r>
      <w:r w:rsidR="005E1410">
        <w:t>was</w:t>
      </w:r>
      <w:r w:rsidR="005B049E">
        <w:t xml:space="preserve"> due to the degradation of lignocellulosic fibers and existence of materials like proteins, some sugars, and lignin</w:t>
      </w:r>
      <w:r w:rsidR="0050395A">
        <w:t xml:space="preserve"> (Mishra et al., 2017)</w:t>
      </w:r>
      <w:r w:rsidR="00613A0D">
        <w:t>.</w:t>
      </w:r>
    </w:p>
    <w:p w14:paraId="0A040B2B" w14:textId="77777777" w:rsidR="00B47A57" w:rsidRDefault="00B47A57" w:rsidP="00570D54">
      <w:pPr>
        <w:pStyle w:val="CETBodytext"/>
      </w:pPr>
    </w:p>
    <w:p w14:paraId="1B8EC103" w14:textId="4E8F4FDA" w:rsidR="002D0E4F" w:rsidRDefault="002D0E4F" w:rsidP="00570D54">
      <w:pPr>
        <w:pStyle w:val="CETBodytext"/>
      </w:pPr>
    </w:p>
    <w:p w14:paraId="6AF74E23" w14:textId="2C7D7CCB" w:rsidR="002D0E4F" w:rsidRDefault="002D0E4F" w:rsidP="00570D54">
      <w:pPr>
        <w:pStyle w:val="CETBodytext"/>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38"/>
        <w:gridCol w:w="1418"/>
        <w:gridCol w:w="1385"/>
        <w:gridCol w:w="1409"/>
        <w:gridCol w:w="1366"/>
        <w:gridCol w:w="1266"/>
      </w:tblGrid>
      <w:tr w:rsidR="00441F4B" w14:paraId="5B2C77E6" w14:textId="77777777" w:rsidTr="00700102">
        <w:trPr>
          <w:trHeight w:val="2182"/>
        </w:trPr>
        <w:tc>
          <w:tcPr>
            <w:tcW w:w="1138" w:type="dxa"/>
          </w:tcPr>
          <w:p w14:paraId="4C5AA18E" w14:textId="77777777" w:rsidR="00AC76E0" w:rsidRDefault="00AC76E0" w:rsidP="00441F4B">
            <w:pPr>
              <w:pStyle w:val="CETBodytext"/>
              <w:jc w:val="center"/>
              <w:rPr>
                <w:lang w:val="en-GB"/>
              </w:rPr>
            </w:pPr>
          </w:p>
          <w:p w14:paraId="00C2408B" w14:textId="77777777" w:rsidR="00AC76E0" w:rsidRDefault="00AC76E0" w:rsidP="00441F4B">
            <w:pPr>
              <w:pStyle w:val="CETBodytext"/>
              <w:jc w:val="center"/>
              <w:rPr>
                <w:lang w:val="en-GB"/>
              </w:rPr>
            </w:pPr>
          </w:p>
          <w:p w14:paraId="3225CD85" w14:textId="77777777" w:rsidR="00AC76E0" w:rsidRDefault="00AC76E0" w:rsidP="00441F4B">
            <w:pPr>
              <w:pStyle w:val="CETBodytext"/>
              <w:jc w:val="center"/>
              <w:rPr>
                <w:lang w:val="en-GB"/>
              </w:rPr>
            </w:pPr>
          </w:p>
          <w:p w14:paraId="1A7112E2" w14:textId="77777777" w:rsidR="003F0EF5" w:rsidRDefault="00441F4B" w:rsidP="00441F4B">
            <w:pPr>
              <w:pStyle w:val="CETBodytext"/>
              <w:jc w:val="center"/>
            </w:pPr>
            <w:r>
              <w:rPr>
                <w:lang w:val="en-GB"/>
              </w:rPr>
              <w:t>B</w:t>
            </w:r>
            <w:proofErr w:type="spellStart"/>
            <w:r>
              <w:t>efore</w:t>
            </w:r>
            <w:proofErr w:type="spellEnd"/>
            <w:r>
              <w:t xml:space="preserve"> </w:t>
            </w:r>
          </w:p>
          <w:p w14:paraId="555C0A7D" w14:textId="1FC317B4" w:rsidR="00441F4B" w:rsidRPr="009156B5" w:rsidRDefault="00441F4B" w:rsidP="00441F4B">
            <w:pPr>
              <w:pStyle w:val="CETBodytext"/>
              <w:jc w:val="center"/>
              <w:rPr>
                <w:lang w:val="en-GB"/>
              </w:rPr>
            </w:pPr>
            <w:r>
              <w:t>pre-treatments</w:t>
            </w:r>
          </w:p>
        </w:tc>
        <w:tc>
          <w:tcPr>
            <w:tcW w:w="1418" w:type="dxa"/>
          </w:tcPr>
          <w:p w14:paraId="619EB8F0" w14:textId="7F50AF25" w:rsidR="00441F4B" w:rsidRDefault="00441F4B" w:rsidP="00570D54">
            <w:pPr>
              <w:pStyle w:val="CETBodytext"/>
              <w:rPr>
                <w:lang w:val="en-GB"/>
              </w:rPr>
            </w:pPr>
            <w:r w:rsidRPr="009156B5">
              <w:rPr>
                <w:noProof/>
              </w:rPr>
              <w:drawing>
                <wp:inline distT="0" distB="0" distL="0" distR="0" wp14:anchorId="254F4DFD" wp14:editId="3BA02B02">
                  <wp:extent cx="654886" cy="1260000"/>
                  <wp:effectExtent l="0" t="0" r="0" b="0"/>
                  <wp:docPr id="3" name="Picture 4">
                    <a:extLst xmlns:a="http://schemas.openxmlformats.org/drawingml/2006/main">
                      <a:ext uri="{FF2B5EF4-FFF2-40B4-BE49-F238E27FC236}">
                        <a16:creationId xmlns:a16="http://schemas.microsoft.com/office/drawing/2014/main" id="{FF7B2F17-D6AC-40B3-B08A-26636D12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F7B2F17-D6AC-40B3-B08A-26636D1284E9}"/>
                              </a:ext>
                            </a:extLst>
                          </pic:cNvPr>
                          <pic:cNvPicPr>
                            <a:picLocks noChangeAspect="1"/>
                          </pic:cNvPicPr>
                        </pic:nvPicPr>
                        <pic:blipFill rotWithShape="1">
                          <a:blip r:embed="rId10"/>
                          <a:srcRect l="37491" t="10937" r="34420" b="17003"/>
                          <a:stretch/>
                        </pic:blipFill>
                        <pic:spPr>
                          <a:xfrm>
                            <a:off x="0" y="0"/>
                            <a:ext cx="654886" cy="1260000"/>
                          </a:xfrm>
                          <a:prstGeom prst="rect">
                            <a:avLst/>
                          </a:prstGeom>
                        </pic:spPr>
                      </pic:pic>
                    </a:graphicData>
                  </a:graphic>
                </wp:inline>
              </w:drawing>
            </w:r>
          </w:p>
        </w:tc>
        <w:tc>
          <w:tcPr>
            <w:tcW w:w="1385" w:type="dxa"/>
          </w:tcPr>
          <w:p w14:paraId="2129AAC1" w14:textId="40614C6A" w:rsidR="00441F4B" w:rsidRDefault="00441F4B" w:rsidP="00570D54">
            <w:pPr>
              <w:pStyle w:val="CETBodytext"/>
              <w:rPr>
                <w:lang w:val="en-GB"/>
              </w:rPr>
            </w:pPr>
            <w:r w:rsidRPr="009156B5">
              <w:rPr>
                <w:noProof/>
              </w:rPr>
              <w:drawing>
                <wp:inline distT="0" distB="0" distL="0" distR="0" wp14:anchorId="6FBD5EDD" wp14:editId="30B8C217">
                  <wp:extent cx="582227" cy="1260000"/>
                  <wp:effectExtent l="0" t="0" r="8890" b="0"/>
                  <wp:docPr id="4" name="Picture 5">
                    <a:extLst xmlns:a="http://schemas.openxmlformats.org/drawingml/2006/main">
                      <a:ext uri="{FF2B5EF4-FFF2-40B4-BE49-F238E27FC236}">
                        <a16:creationId xmlns:a16="http://schemas.microsoft.com/office/drawing/2014/main" id="{E7C3F496-747D-4073-998D-57A847B97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C3F496-747D-4073-998D-57A847B97BCC}"/>
                              </a:ext>
                            </a:extLst>
                          </pic:cNvPr>
                          <pic:cNvPicPr>
                            <a:picLocks noChangeAspect="1"/>
                          </pic:cNvPicPr>
                        </pic:nvPicPr>
                        <pic:blipFill rotWithShape="1">
                          <a:blip r:embed="rId11"/>
                          <a:srcRect l="18277" t="5244" r="50000" b="3221"/>
                          <a:stretch/>
                        </pic:blipFill>
                        <pic:spPr>
                          <a:xfrm>
                            <a:off x="0" y="0"/>
                            <a:ext cx="582227" cy="1260000"/>
                          </a:xfrm>
                          <a:prstGeom prst="rect">
                            <a:avLst/>
                          </a:prstGeom>
                        </pic:spPr>
                      </pic:pic>
                    </a:graphicData>
                  </a:graphic>
                </wp:inline>
              </w:drawing>
            </w:r>
          </w:p>
        </w:tc>
        <w:tc>
          <w:tcPr>
            <w:tcW w:w="1409" w:type="dxa"/>
          </w:tcPr>
          <w:p w14:paraId="5688603D" w14:textId="696F6053" w:rsidR="00441F4B" w:rsidRDefault="00441F4B" w:rsidP="00570D54">
            <w:pPr>
              <w:pStyle w:val="CETBodytext"/>
              <w:rPr>
                <w:lang w:val="en-GB"/>
              </w:rPr>
            </w:pPr>
            <w:r w:rsidRPr="009156B5">
              <w:rPr>
                <w:noProof/>
              </w:rPr>
              <w:drawing>
                <wp:inline distT="0" distB="0" distL="0" distR="0" wp14:anchorId="70CF30A8" wp14:editId="66327DDA">
                  <wp:extent cx="643700" cy="1266825"/>
                  <wp:effectExtent l="0" t="0" r="4445" b="0"/>
                  <wp:docPr id="8" name="Picture 7">
                    <a:extLst xmlns:a="http://schemas.openxmlformats.org/drawingml/2006/main">
                      <a:ext uri="{FF2B5EF4-FFF2-40B4-BE49-F238E27FC236}">
                        <a16:creationId xmlns:a16="http://schemas.microsoft.com/office/drawing/2014/main" id="{61DAE2DD-17C7-4CA3-B2F8-725F720B6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1DAE2DD-17C7-4CA3-B2F8-725F720B69BF}"/>
                              </a:ext>
                            </a:extLst>
                          </pic:cNvPr>
                          <pic:cNvPicPr>
                            <a:picLocks noChangeAspect="1"/>
                          </pic:cNvPicPr>
                        </pic:nvPicPr>
                        <pic:blipFill rotWithShape="1">
                          <a:blip r:embed="rId11"/>
                          <a:srcRect l="50000" t="9288" r="15431" b="-1"/>
                          <a:stretch/>
                        </pic:blipFill>
                        <pic:spPr>
                          <a:xfrm>
                            <a:off x="0" y="0"/>
                            <a:ext cx="663234" cy="1305268"/>
                          </a:xfrm>
                          <a:prstGeom prst="rect">
                            <a:avLst/>
                          </a:prstGeom>
                        </pic:spPr>
                      </pic:pic>
                    </a:graphicData>
                  </a:graphic>
                </wp:inline>
              </w:drawing>
            </w:r>
          </w:p>
        </w:tc>
        <w:tc>
          <w:tcPr>
            <w:tcW w:w="1366" w:type="dxa"/>
          </w:tcPr>
          <w:p w14:paraId="48E0F1DB" w14:textId="29764037" w:rsidR="00441F4B" w:rsidRDefault="00441F4B" w:rsidP="00570D54">
            <w:pPr>
              <w:pStyle w:val="CETBodytext"/>
              <w:rPr>
                <w:lang w:val="en-GB"/>
              </w:rPr>
            </w:pPr>
            <w:r w:rsidRPr="009156B5">
              <w:rPr>
                <w:noProof/>
              </w:rPr>
              <w:drawing>
                <wp:inline distT="0" distB="0" distL="0" distR="0" wp14:anchorId="388A4CE1" wp14:editId="188DCC6D">
                  <wp:extent cx="613458" cy="1244166"/>
                  <wp:effectExtent l="0" t="0" r="0" b="0"/>
                  <wp:docPr id="9" name="Picture 8">
                    <a:extLst xmlns:a="http://schemas.openxmlformats.org/drawingml/2006/main">
                      <a:ext uri="{FF2B5EF4-FFF2-40B4-BE49-F238E27FC236}">
                        <a16:creationId xmlns:a16="http://schemas.microsoft.com/office/drawing/2014/main" id="{4C7773F0-1176-4936-BF96-3BE2D42E1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C7773F0-1176-4936-BF96-3BE2D42E17C7}"/>
                              </a:ext>
                            </a:extLst>
                          </pic:cNvPr>
                          <pic:cNvPicPr>
                            <a:picLocks noChangeAspect="1"/>
                          </pic:cNvPicPr>
                        </pic:nvPicPr>
                        <pic:blipFill rotWithShape="1">
                          <a:blip r:embed="rId12"/>
                          <a:srcRect l="50000" t="8838" r="19363" b="8315"/>
                          <a:stretch/>
                        </pic:blipFill>
                        <pic:spPr>
                          <a:xfrm>
                            <a:off x="0" y="0"/>
                            <a:ext cx="617380" cy="1252121"/>
                          </a:xfrm>
                          <a:prstGeom prst="rect">
                            <a:avLst/>
                          </a:prstGeom>
                        </pic:spPr>
                      </pic:pic>
                    </a:graphicData>
                  </a:graphic>
                </wp:inline>
              </w:drawing>
            </w:r>
          </w:p>
        </w:tc>
        <w:tc>
          <w:tcPr>
            <w:tcW w:w="1266" w:type="dxa"/>
          </w:tcPr>
          <w:p w14:paraId="78AB3566" w14:textId="21632980" w:rsidR="00441F4B" w:rsidRDefault="00441F4B" w:rsidP="00570D54">
            <w:pPr>
              <w:pStyle w:val="CETBodytext"/>
              <w:rPr>
                <w:lang w:val="en-GB"/>
              </w:rPr>
            </w:pPr>
            <w:r w:rsidRPr="009156B5">
              <w:rPr>
                <w:noProof/>
              </w:rPr>
              <w:drawing>
                <wp:inline distT="0" distB="0" distL="0" distR="0" wp14:anchorId="743BD668" wp14:editId="66543220">
                  <wp:extent cx="633335" cy="1267428"/>
                  <wp:effectExtent l="0" t="0" r="0" b="9525"/>
                  <wp:docPr id="10" name="Picture 9">
                    <a:extLst xmlns:a="http://schemas.openxmlformats.org/drawingml/2006/main">
                      <a:ext uri="{FF2B5EF4-FFF2-40B4-BE49-F238E27FC236}">
                        <a16:creationId xmlns:a16="http://schemas.microsoft.com/office/drawing/2014/main" id="{948730AD-A975-4BFF-A457-C98A65D89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48730AD-A975-4BFF-A457-C98A65D897F4}"/>
                              </a:ext>
                            </a:extLst>
                          </pic:cNvPr>
                          <pic:cNvPicPr>
                            <a:picLocks noChangeAspect="1"/>
                          </pic:cNvPicPr>
                        </pic:nvPicPr>
                        <pic:blipFill rotWithShape="1">
                          <a:blip r:embed="rId12"/>
                          <a:srcRect l="18727" t="6442" r="50000" b="10112"/>
                          <a:stretch/>
                        </pic:blipFill>
                        <pic:spPr>
                          <a:xfrm>
                            <a:off x="0" y="0"/>
                            <a:ext cx="644069" cy="1288909"/>
                          </a:xfrm>
                          <a:prstGeom prst="rect">
                            <a:avLst/>
                          </a:prstGeom>
                        </pic:spPr>
                      </pic:pic>
                    </a:graphicData>
                  </a:graphic>
                </wp:inline>
              </w:drawing>
            </w:r>
          </w:p>
        </w:tc>
      </w:tr>
      <w:tr w:rsidR="00441F4B" w14:paraId="48F3AD16" w14:textId="77777777" w:rsidTr="00700102">
        <w:trPr>
          <w:trHeight w:val="2182"/>
        </w:trPr>
        <w:tc>
          <w:tcPr>
            <w:tcW w:w="1138" w:type="dxa"/>
          </w:tcPr>
          <w:p w14:paraId="1557C424" w14:textId="77777777" w:rsidR="00AC76E0" w:rsidRDefault="00AC76E0" w:rsidP="00441F4B">
            <w:pPr>
              <w:pStyle w:val="CETBodytext"/>
              <w:jc w:val="center"/>
              <w:rPr>
                <w:lang w:val="en-GB"/>
              </w:rPr>
            </w:pPr>
          </w:p>
          <w:p w14:paraId="6CBEB447" w14:textId="77777777" w:rsidR="00AC76E0" w:rsidRDefault="00AC76E0" w:rsidP="00441F4B">
            <w:pPr>
              <w:pStyle w:val="CETBodytext"/>
              <w:jc w:val="center"/>
              <w:rPr>
                <w:lang w:val="en-GB"/>
              </w:rPr>
            </w:pPr>
          </w:p>
          <w:p w14:paraId="6B478E14" w14:textId="77777777" w:rsidR="00AC76E0" w:rsidRDefault="00AC76E0" w:rsidP="00441F4B">
            <w:pPr>
              <w:pStyle w:val="CETBodytext"/>
              <w:jc w:val="center"/>
              <w:rPr>
                <w:lang w:val="en-GB"/>
              </w:rPr>
            </w:pPr>
          </w:p>
          <w:p w14:paraId="0C738712" w14:textId="77777777" w:rsidR="00AC76E0" w:rsidRDefault="00441F4B" w:rsidP="00441F4B">
            <w:pPr>
              <w:pStyle w:val="CETBodytext"/>
              <w:jc w:val="center"/>
              <w:rPr>
                <w:lang w:val="en-GB"/>
              </w:rPr>
            </w:pPr>
            <w:r>
              <w:rPr>
                <w:lang w:val="en-GB"/>
              </w:rPr>
              <w:t xml:space="preserve">After </w:t>
            </w:r>
          </w:p>
          <w:p w14:paraId="0F94088E" w14:textId="6F4A322B" w:rsidR="00441F4B" w:rsidRPr="00AC4626" w:rsidRDefault="00441F4B" w:rsidP="00441F4B">
            <w:pPr>
              <w:pStyle w:val="CETBodytext"/>
              <w:jc w:val="center"/>
              <w:rPr>
                <w:lang w:val="en-GB"/>
              </w:rPr>
            </w:pPr>
            <w:r>
              <w:rPr>
                <w:lang w:val="en-GB"/>
              </w:rPr>
              <w:t>pre-treatments</w:t>
            </w:r>
          </w:p>
        </w:tc>
        <w:tc>
          <w:tcPr>
            <w:tcW w:w="1418" w:type="dxa"/>
          </w:tcPr>
          <w:p w14:paraId="666AE51E" w14:textId="5C464A0F" w:rsidR="00441F4B" w:rsidRDefault="00441F4B" w:rsidP="00570D54">
            <w:pPr>
              <w:pStyle w:val="CETBodytext"/>
              <w:rPr>
                <w:lang w:val="en-GB"/>
              </w:rPr>
            </w:pPr>
            <w:r w:rsidRPr="00AC4626">
              <w:rPr>
                <w:noProof/>
              </w:rPr>
              <w:drawing>
                <wp:inline distT="0" distB="0" distL="0" distR="0" wp14:anchorId="04B90831" wp14:editId="4292645B">
                  <wp:extent cx="625033" cy="1272389"/>
                  <wp:effectExtent l="0" t="0" r="3810" b="4445"/>
                  <wp:docPr id="11" name="Picture 10">
                    <a:extLst xmlns:a="http://schemas.openxmlformats.org/drawingml/2006/main">
                      <a:ext uri="{FF2B5EF4-FFF2-40B4-BE49-F238E27FC236}">
                        <a16:creationId xmlns:a16="http://schemas.microsoft.com/office/drawing/2014/main" id="{F8810691-9191-407D-90DB-2703ACD39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8810691-9191-407D-90DB-2703ACD39C2F}"/>
                              </a:ext>
                            </a:extLst>
                          </pic:cNvPr>
                          <pic:cNvPicPr>
                            <a:picLocks noChangeAspect="1"/>
                          </pic:cNvPicPr>
                        </pic:nvPicPr>
                        <pic:blipFill rotWithShape="1">
                          <a:blip r:embed="rId13"/>
                          <a:srcRect l="35243" t="7790" r="33296" b="6817"/>
                          <a:stretch/>
                        </pic:blipFill>
                        <pic:spPr>
                          <a:xfrm>
                            <a:off x="0" y="0"/>
                            <a:ext cx="635119" cy="1292921"/>
                          </a:xfrm>
                          <a:prstGeom prst="rect">
                            <a:avLst/>
                          </a:prstGeom>
                        </pic:spPr>
                      </pic:pic>
                    </a:graphicData>
                  </a:graphic>
                </wp:inline>
              </w:drawing>
            </w:r>
          </w:p>
        </w:tc>
        <w:tc>
          <w:tcPr>
            <w:tcW w:w="1385" w:type="dxa"/>
          </w:tcPr>
          <w:p w14:paraId="2DE49521" w14:textId="352BAE02" w:rsidR="00441F4B" w:rsidRDefault="00441F4B" w:rsidP="00570D54">
            <w:pPr>
              <w:pStyle w:val="CETBodytext"/>
              <w:rPr>
                <w:lang w:val="en-GB"/>
              </w:rPr>
            </w:pPr>
            <w:r w:rsidRPr="00AC4626">
              <w:rPr>
                <w:noProof/>
              </w:rPr>
              <w:drawing>
                <wp:inline distT="0" distB="0" distL="0" distR="0" wp14:anchorId="67BF622F" wp14:editId="15E15227">
                  <wp:extent cx="625033" cy="1272940"/>
                  <wp:effectExtent l="0" t="0" r="3810" b="3810"/>
                  <wp:docPr id="12" name="Picture 11">
                    <a:extLst xmlns:a="http://schemas.openxmlformats.org/drawingml/2006/main">
                      <a:ext uri="{FF2B5EF4-FFF2-40B4-BE49-F238E27FC236}">
                        <a16:creationId xmlns:a16="http://schemas.microsoft.com/office/drawing/2014/main" id="{E069A46B-DDBA-45A9-906D-FBDD5EEC2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069A46B-DDBA-45A9-906D-FBDD5EEC20E1}"/>
                              </a:ext>
                            </a:extLst>
                          </pic:cNvPr>
                          <pic:cNvPicPr>
                            <a:picLocks noChangeAspect="1"/>
                          </pic:cNvPicPr>
                        </pic:nvPicPr>
                        <pic:blipFill rotWithShape="1">
                          <a:blip r:embed="rId14"/>
                          <a:srcRect l="14120" t="13034" r="55206" b="5468"/>
                          <a:stretch/>
                        </pic:blipFill>
                        <pic:spPr>
                          <a:xfrm>
                            <a:off x="0" y="0"/>
                            <a:ext cx="625033" cy="1272940"/>
                          </a:xfrm>
                          <a:prstGeom prst="rect">
                            <a:avLst/>
                          </a:prstGeom>
                        </pic:spPr>
                      </pic:pic>
                    </a:graphicData>
                  </a:graphic>
                </wp:inline>
              </w:drawing>
            </w:r>
          </w:p>
        </w:tc>
        <w:tc>
          <w:tcPr>
            <w:tcW w:w="1409" w:type="dxa"/>
          </w:tcPr>
          <w:p w14:paraId="3539D5AD" w14:textId="55CAAB2D" w:rsidR="00441F4B" w:rsidRDefault="00441F4B" w:rsidP="00570D54">
            <w:pPr>
              <w:pStyle w:val="CETBodytext"/>
              <w:rPr>
                <w:lang w:val="en-GB"/>
              </w:rPr>
            </w:pPr>
            <w:r w:rsidRPr="00AC4626">
              <w:rPr>
                <w:noProof/>
              </w:rPr>
              <w:drawing>
                <wp:inline distT="0" distB="0" distL="0" distR="0" wp14:anchorId="5B15C38C" wp14:editId="0930C014">
                  <wp:extent cx="614739" cy="1273215"/>
                  <wp:effectExtent l="0" t="0" r="0" b="3175"/>
                  <wp:docPr id="13" name="Picture 12">
                    <a:extLst xmlns:a="http://schemas.openxmlformats.org/drawingml/2006/main">
                      <a:ext uri="{FF2B5EF4-FFF2-40B4-BE49-F238E27FC236}">
                        <a16:creationId xmlns:a16="http://schemas.microsoft.com/office/drawing/2014/main" id="{03408C88-A380-4676-8840-444731057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3408C88-A380-4676-8840-444731057E6C}"/>
                              </a:ext>
                            </a:extLst>
                          </pic:cNvPr>
                          <pic:cNvPicPr>
                            <a:picLocks noChangeAspect="1"/>
                          </pic:cNvPicPr>
                        </pic:nvPicPr>
                        <pic:blipFill rotWithShape="1">
                          <a:blip r:embed="rId14"/>
                          <a:srcRect l="44569" t="15881" r="27004" b="5617"/>
                          <a:stretch/>
                        </pic:blipFill>
                        <pic:spPr>
                          <a:xfrm>
                            <a:off x="0" y="0"/>
                            <a:ext cx="617746" cy="1279444"/>
                          </a:xfrm>
                          <a:prstGeom prst="rect">
                            <a:avLst/>
                          </a:prstGeom>
                        </pic:spPr>
                      </pic:pic>
                    </a:graphicData>
                  </a:graphic>
                </wp:inline>
              </w:drawing>
            </w:r>
          </w:p>
        </w:tc>
        <w:tc>
          <w:tcPr>
            <w:tcW w:w="1366" w:type="dxa"/>
          </w:tcPr>
          <w:p w14:paraId="06C71AA7" w14:textId="37332032" w:rsidR="00441F4B" w:rsidRDefault="00441F4B" w:rsidP="00570D54">
            <w:pPr>
              <w:pStyle w:val="CETBodytext"/>
              <w:rPr>
                <w:lang w:val="en-GB"/>
              </w:rPr>
            </w:pPr>
            <w:r w:rsidRPr="00AC4626">
              <w:rPr>
                <w:noProof/>
              </w:rPr>
              <w:drawing>
                <wp:inline distT="0" distB="0" distL="0" distR="0" wp14:anchorId="3F66FF32" wp14:editId="4C94F9F3">
                  <wp:extent cx="575332" cy="1260000"/>
                  <wp:effectExtent l="57150" t="38100" r="72390" b="35560"/>
                  <wp:docPr id="14" name="Picture 13">
                    <a:extLst xmlns:a="http://schemas.openxmlformats.org/drawingml/2006/main">
                      <a:ext uri="{FF2B5EF4-FFF2-40B4-BE49-F238E27FC236}">
                        <a16:creationId xmlns:a16="http://schemas.microsoft.com/office/drawing/2014/main" id="{17A25C79-36C2-4860-A585-528A18CED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7A25C79-36C2-4860-A585-528A18CEDBF3}"/>
                              </a:ext>
                            </a:extLst>
                          </pic:cNvPr>
                          <pic:cNvPicPr>
                            <a:picLocks noChangeAspect="1"/>
                          </pic:cNvPicPr>
                        </pic:nvPicPr>
                        <pic:blipFill rotWithShape="1">
                          <a:blip r:embed="rId15"/>
                          <a:srcRect l="21423" t="7940" r="50000" b="8614"/>
                          <a:stretch/>
                        </pic:blipFill>
                        <pic:spPr>
                          <a:xfrm>
                            <a:off x="0" y="0"/>
                            <a:ext cx="575332" cy="1260000"/>
                          </a:xfrm>
                          <a:prstGeom prst="rect">
                            <a:avLst/>
                          </a:prstGeom>
                        </pic:spPr>
                      </pic:pic>
                    </a:graphicData>
                  </a:graphic>
                </wp:inline>
              </w:drawing>
            </w:r>
          </w:p>
        </w:tc>
        <w:tc>
          <w:tcPr>
            <w:tcW w:w="1266" w:type="dxa"/>
          </w:tcPr>
          <w:p w14:paraId="1F56331D" w14:textId="2690B1C9" w:rsidR="00441F4B" w:rsidRDefault="00441F4B" w:rsidP="00570D54">
            <w:pPr>
              <w:pStyle w:val="CETBodytext"/>
              <w:rPr>
                <w:lang w:val="en-GB"/>
              </w:rPr>
            </w:pPr>
            <w:r w:rsidRPr="00AC4626">
              <w:rPr>
                <w:noProof/>
              </w:rPr>
              <w:drawing>
                <wp:inline distT="0" distB="0" distL="0" distR="0" wp14:anchorId="18012D96" wp14:editId="6EC4B1F7">
                  <wp:extent cx="619558" cy="1260000"/>
                  <wp:effectExtent l="0" t="0" r="9525" b="0"/>
                  <wp:docPr id="15" name="Picture 14">
                    <a:extLst xmlns:a="http://schemas.openxmlformats.org/drawingml/2006/main">
                      <a:ext uri="{FF2B5EF4-FFF2-40B4-BE49-F238E27FC236}">
                        <a16:creationId xmlns:a16="http://schemas.microsoft.com/office/drawing/2014/main" id="{6AD54DE2-A0C5-4DEA-9D43-F841E6681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AD54DE2-A0C5-4DEA-9D43-F841E6681A06}"/>
                              </a:ext>
                            </a:extLst>
                          </pic:cNvPr>
                          <pic:cNvPicPr>
                            <a:picLocks noChangeAspect="1"/>
                          </pic:cNvPicPr>
                        </pic:nvPicPr>
                        <pic:blipFill rotWithShape="1">
                          <a:blip r:embed="rId15"/>
                          <a:srcRect l="50862" t="7940" r="19138" b="10711"/>
                          <a:stretch/>
                        </pic:blipFill>
                        <pic:spPr>
                          <a:xfrm>
                            <a:off x="0" y="0"/>
                            <a:ext cx="619558" cy="1260000"/>
                          </a:xfrm>
                          <a:prstGeom prst="rect">
                            <a:avLst/>
                          </a:prstGeom>
                        </pic:spPr>
                      </pic:pic>
                    </a:graphicData>
                  </a:graphic>
                </wp:inline>
              </w:drawing>
            </w:r>
          </w:p>
        </w:tc>
      </w:tr>
      <w:tr w:rsidR="00441F4B" w14:paraId="47D3094A" w14:textId="77777777" w:rsidTr="00700102">
        <w:trPr>
          <w:trHeight w:val="244"/>
        </w:trPr>
        <w:tc>
          <w:tcPr>
            <w:tcW w:w="1138" w:type="dxa"/>
          </w:tcPr>
          <w:p w14:paraId="7E6FB29F" w14:textId="77777777" w:rsidR="00441F4B" w:rsidRDefault="00441F4B" w:rsidP="00570D54">
            <w:pPr>
              <w:pStyle w:val="CETBodytext"/>
              <w:rPr>
                <w:lang w:val="en-GB"/>
              </w:rPr>
            </w:pPr>
          </w:p>
        </w:tc>
        <w:tc>
          <w:tcPr>
            <w:tcW w:w="1418" w:type="dxa"/>
          </w:tcPr>
          <w:p w14:paraId="4743FEC2" w14:textId="3D18E0AA" w:rsidR="00441F4B" w:rsidRDefault="00441F4B" w:rsidP="00570D54">
            <w:pPr>
              <w:pStyle w:val="CETBodytext"/>
              <w:rPr>
                <w:lang w:val="en-GB"/>
              </w:rPr>
            </w:pPr>
            <w:r>
              <w:rPr>
                <w:lang w:val="en-GB"/>
              </w:rPr>
              <w:t>Water</w:t>
            </w:r>
          </w:p>
        </w:tc>
        <w:tc>
          <w:tcPr>
            <w:tcW w:w="1385" w:type="dxa"/>
          </w:tcPr>
          <w:p w14:paraId="1691232F" w14:textId="29714CFF" w:rsidR="00441F4B" w:rsidRDefault="00441F4B" w:rsidP="00570D54">
            <w:pPr>
              <w:pStyle w:val="CETBodytext"/>
              <w:rPr>
                <w:lang w:val="en-GB"/>
              </w:rPr>
            </w:pPr>
            <w:r>
              <w:rPr>
                <w:lang w:val="en-GB"/>
              </w:rPr>
              <w:t>0.01N HCl</w:t>
            </w:r>
          </w:p>
        </w:tc>
        <w:tc>
          <w:tcPr>
            <w:tcW w:w="1409" w:type="dxa"/>
          </w:tcPr>
          <w:p w14:paraId="58FF7938" w14:textId="01E120B2" w:rsidR="00441F4B" w:rsidRDefault="00441F4B" w:rsidP="00570D54">
            <w:pPr>
              <w:pStyle w:val="CETBodytext"/>
              <w:rPr>
                <w:lang w:val="en-GB"/>
              </w:rPr>
            </w:pPr>
            <w:r>
              <w:rPr>
                <w:lang w:val="en-GB"/>
              </w:rPr>
              <w:t>0.5N HCl</w:t>
            </w:r>
          </w:p>
        </w:tc>
        <w:tc>
          <w:tcPr>
            <w:tcW w:w="1366" w:type="dxa"/>
          </w:tcPr>
          <w:p w14:paraId="5BDA4D8E" w14:textId="74DC8885" w:rsidR="00441F4B" w:rsidRDefault="00441F4B" w:rsidP="00570D54">
            <w:pPr>
              <w:pStyle w:val="CETBodytext"/>
              <w:rPr>
                <w:lang w:val="en-GB"/>
              </w:rPr>
            </w:pPr>
            <w:r>
              <w:rPr>
                <w:lang w:val="en-GB"/>
              </w:rPr>
              <w:t>0.01N NaOH</w:t>
            </w:r>
          </w:p>
        </w:tc>
        <w:tc>
          <w:tcPr>
            <w:tcW w:w="1266" w:type="dxa"/>
          </w:tcPr>
          <w:p w14:paraId="60DE3639" w14:textId="77C8036D" w:rsidR="00441F4B" w:rsidRDefault="00441F4B" w:rsidP="00570D54">
            <w:pPr>
              <w:pStyle w:val="CETBodytext"/>
              <w:rPr>
                <w:lang w:val="en-GB"/>
              </w:rPr>
            </w:pPr>
            <w:r>
              <w:rPr>
                <w:lang w:val="en-GB"/>
              </w:rPr>
              <w:t>0.5N NaOH</w:t>
            </w:r>
          </w:p>
        </w:tc>
      </w:tr>
    </w:tbl>
    <w:p w14:paraId="1D942611" w14:textId="77777777" w:rsidR="007145B3" w:rsidRDefault="007145B3" w:rsidP="00570D54">
      <w:pPr>
        <w:pStyle w:val="CETBodytext"/>
        <w:rPr>
          <w:rStyle w:val="CETCaptionCarattere"/>
        </w:rPr>
      </w:pPr>
    </w:p>
    <w:p w14:paraId="248C9039" w14:textId="7DA7A53F" w:rsidR="009156B5" w:rsidRDefault="007145B3" w:rsidP="00570D54">
      <w:pPr>
        <w:pStyle w:val="CETBodytext"/>
        <w:rPr>
          <w:lang w:val="en-GB"/>
        </w:rPr>
      </w:pPr>
      <w:r w:rsidRPr="00BD077D">
        <w:rPr>
          <w:rStyle w:val="CETCaptionCarattere"/>
        </w:rPr>
        <w:t xml:space="preserve">Figure 1: </w:t>
      </w:r>
      <w:r>
        <w:rPr>
          <w:rStyle w:val="CETCaptionCarattere"/>
        </w:rPr>
        <w:t>Physical observation of BSG samples before and after different pre-treatments</w:t>
      </w:r>
    </w:p>
    <w:p w14:paraId="50D39FA1" w14:textId="77777777" w:rsidR="004C1BD5" w:rsidRPr="00FA5F5F" w:rsidRDefault="004C1BD5" w:rsidP="00706B07">
      <w:pPr>
        <w:pStyle w:val="CETBodytext"/>
        <w:jc w:val="center"/>
        <w:rPr>
          <w:lang w:val="en-GB"/>
        </w:rPr>
      </w:pPr>
    </w:p>
    <w:p w14:paraId="61A9B77A" w14:textId="159B5AE1" w:rsidR="00600535" w:rsidRPr="00B57B36" w:rsidRDefault="00FF507B" w:rsidP="00FA5F5F">
      <w:pPr>
        <w:pStyle w:val="CETheadingx"/>
      </w:pPr>
      <w:r>
        <w:t>R</w:t>
      </w:r>
      <w:r w:rsidRPr="00FF507B">
        <w:t>educing sugars and ºBrix</w:t>
      </w:r>
    </w:p>
    <w:p w14:paraId="0B98766B" w14:textId="74DFA86C" w:rsidR="00C4476E" w:rsidRDefault="0039751B" w:rsidP="00600535">
      <w:pPr>
        <w:pStyle w:val="CETBodytext"/>
        <w:rPr>
          <w:lang w:val="en-GB"/>
        </w:rPr>
      </w:pPr>
      <w:r w:rsidRPr="0039751B">
        <w:rPr>
          <w:lang w:val="en-GB"/>
        </w:rPr>
        <w:t>Figure</w:t>
      </w:r>
      <w:r w:rsidR="00715F29">
        <w:rPr>
          <w:lang w:val="en-GB"/>
        </w:rPr>
        <w:t xml:space="preserve"> 2</w:t>
      </w:r>
      <w:r w:rsidRPr="0039751B">
        <w:rPr>
          <w:lang w:val="en-GB"/>
        </w:rPr>
        <w:t xml:space="preserve"> shows the results obtained from DNS-reducing sugars and refractometer ºBrix measurements on the liquid fraction after pre-treatments. Degrees Brix or ºBrix is a measure of the total soluble solids (TSS) present in the sample and is mostly used in food processing industries. TSS is mainly made up of sugars but also includes other compounds like organic acids, fats, minerals, alcohols, or flavonoids. Sugar content is highest in comparison to other soluble solids. So ºBrix is taken as a measure of total sugar contents and does not differentiate between the different sugars. </w:t>
      </w:r>
    </w:p>
    <w:p w14:paraId="434D2F45" w14:textId="77777777" w:rsidR="00D02EEB" w:rsidRDefault="00D02EEB" w:rsidP="00600535">
      <w:pPr>
        <w:pStyle w:val="CETBodytext"/>
        <w:rPr>
          <w:lang w:val="en-GB"/>
        </w:rPr>
      </w:pPr>
    </w:p>
    <w:p w14:paraId="1E8B9C59" w14:textId="25241036" w:rsidR="00D02EEB" w:rsidRDefault="00763BD9" w:rsidP="001872A3">
      <w:pPr>
        <w:pStyle w:val="CETBodytext"/>
        <w:jc w:val="left"/>
        <w:rPr>
          <w:lang w:val="en-GB"/>
        </w:rPr>
      </w:pPr>
      <w:r>
        <w:rPr>
          <w:noProof/>
          <w:lang w:val="en-GB"/>
        </w:rPr>
        <w:drawing>
          <wp:inline distT="0" distB="0" distL="0" distR="0" wp14:anchorId="6CE69DA1" wp14:editId="75A4FC19">
            <wp:extent cx="4281380" cy="25580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799" cy="2564828"/>
                    </a:xfrm>
                    <a:prstGeom prst="rect">
                      <a:avLst/>
                    </a:prstGeom>
                    <a:noFill/>
                  </pic:spPr>
                </pic:pic>
              </a:graphicData>
            </a:graphic>
          </wp:inline>
        </w:drawing>
      </w:r>
    </w:p>
    <w:p w14:paraId="4451BDF5" w14:textId="7766373F" w:rsidR="00D02EEB" w:rsidRDefault="00D02EEB" w:rsidP="00600535">
      <w:pPr>
        <w:pStyle w:val="CETBodytext"/>
        <w:rPr>
          <w:lang w:val="en-GB"/>
        </w:rPr>
      </w:pPr>
      <w:r w:rsidRPr="00BD077D">
        <w:rPr>
          <w:rStyle w:val="CETCaptionCarattere"/>
        </w:rPr>
        <w:t xml:space="preserve">Figure </w:t>
      </w:r>
      <w:r>
        <w:rPr>
          <w:rStyle w:val="CETCaptionCarattere"/>
        </w:rPr>
        <w:t>2</w:t>
      </w:r>
      <w:r w:rsidRPr="00BD077D">
        <w:rPr>
          <w:rStyle w:val="CETCaptionCarattere"/>
        </w:rPr>
        <w:t xml:space="preserve">: </w:t>
      </w:r>
      <w:r w:rsidRPr="00342E99">
        <w:rPr>
          <w:rStyle w:val="CETCaptionCarattere"/>
        </w:rPr>
        <w:t>Graph showing concentration of reducing sugars</w:t>
      </w:r>
      <w:r w:rsidR="001D15BE">
        <w:rPr>
          <w:rStyle w:val="CETCaptionCarattere"/>
        </w:rPr>
        <w:t xml:space="preserve"> (mg/g)</w:t>
      </w:r>
      <w:r w:rsidRPr="00342E99">
        <w:rPr>
          <w:rStyle w:val="CETCaptionCarattere"/>
        </w:rPr>
        <w:t xml:space="preserve"> and ºBrix</w:t>
      </w:r>
      <w:r>
        <w:rPr>
          <w:rStyle w:val="CETCaptionCarattere"/>
        </w:rPr>
        <w:t xml:space="preserve"> after different pre-treatments</w:t>
      </w:r>
    </w:p>
    <w:p w14:paraId="4330B2D4" w14:textId="77777777" w:rsidR="00D02EEB" w:rsidRDefault="00D02EEB" w:rsidP="00600535">
      <w:pPr>
        <w:pStyle w:val="CETBodytext"/>
        <w:rPr>
          <w:lang w:val="en-GB"/>
        </w:rPr>
      </w:pPr>
    </w:p>
    <w:p w14:paraId="0F0F4A00" w14:textId="080817F8" w:rsidR="00A06A87" w:rsidRDefault="0039751B" w:rsidP="00600535">
      <w:pPr>
        <w:pStyle w:val="CETBodytext"/>
        <w:rPr>
          <w:lang w:val="en-GB"/>
        </w:rPr>
      </w:pPr>
      <w:r w:rsidRPr="0039751B">
        <w:rPr>
          <w:lang w:val="en-GB"/>
        </w:rPr>
        <w:t xml:space="preserve">From </w:t>
      </w:r>
      <w:r w:rsidR="00C4476E">
        <w:rPr>
          <w:lang w:val="en-GB"/>
        </w:rPr>
        <w:t>Figure 2</w:t>
      </w:r>
      <w:r w:rsidRPr="0039751B">
        <w:rPr>
          <w:lang w:val="en-GB"/>
        </w:rPr>
        <w:t xml:space="preserve"> it was seen that in general, </w:t>
      </w:r>
      <w:r w:rsidR="00AF4457">
        <w:rPr>
          <w:lang w:val="en-GB"/>
        </w:rPr>
        <w:t>among the different</w:t>
      </w:r>
      <w:r w:rsidRPr="0039751B">
        <w:rPr>
          <w:lang w:val="en-GB"/>
        </w:rPr>
        <w:t xml:space="preserve"> pre-treatments there is</w:t>
      </w:r>
      <w:r w:rsidR="00AF4457">
        <w:rPr>
          <w:lang w:val="en-GB"/>
        </w:rPr>
        <w:t xml:space="preserve"> quite comparable</w:t>
      </w:r>
      <w:r w:rsidRPr="0039751B">
        <w:rPr>
          <w:lang w:val="en-GB"/>
        </w:rPr>
        <w:t xml:space="preserve"> concentration of reducing sugars</w:t>
      </w:r>
      <w:r w:rsidR="001947B3">
        <w:rPr>
          <w:lang w:val="en-GB"/>
        </w:rPr>
        <w:t xml:space="preserve"> 4.4- 6.0 mg/g</w:t>
      </w:r>
      <w:r w:rsidRPr="0039751B">
        <w:rPr>
          <w:lang w:val="en-GB"/>
        </w:rPr>
        <w:t xml:space="preserve"> that is being released into the liquid phase</w:t>
      </w:r>
      <w:r w:rsidR="00AF4457">
        <w:rPr>
          <w:lang w:val="en-GB"/>
        </w:rPr>
        <w:t xml:space="preserve"> with the highest solubilisation</w:t>
      </w:r>
      <w:r w:rsidRPr="0039751B">
        <w:rPr>
          <w:lang w:val="en-GB"/>
        </w:rPr>
        <w:t xml:space="preserve"> in</w:t>
      </w:r>
      <w:r w:rsidR="00AF4457">
        <w:rPr>
          <w:lang w:val="en-GB"/>
        </w:rPr>
        <w:t xml:space="preserve"> 0.5</w:t>
      </w:r>
      <w:r w:rsidR="001947B3">
        <w:rPr>
          <w:lang w:val="en-GB"/>
        </w:rPr>
        <w:t>N HCl</w:t>
      </w:r>
      <w:r w:rsidR="00CA5C41">
        <w:rPr>
          <w:lang w:val="en-GB"/>
        </w:rPr>
        <w:t xml:space="preserve"> medium. However, on comparing the effect of different media, it can be seen that there was </w:t>
      </w:r>
      <w:r w:rsidR="00A86E6C">
        <w:rPr>
          <w:lang w:val="en-GB"/>
        </w:rPr>
        <w:t xml:space="preserve">lower </w:t>
      </w:r>
      <w:r w:rsidR="00CA5C41">
        <w:rPr>
          <w:lang w:val="en-GB"/>
        </w:rPr>
        <w:t xml:space="preserve">release of reducing sugars </w:t>
      </w:r>
      <w:r w:rsidR="00832077">
        <w:rPr>
          <w:lang w:val="en-GB"/>
        </w:rPr>
        <w:t xml:space="preserve">in </w:t>
      </w:r>
      <w:r w:rsidR="00CA5C41">
        <w:rPr>
          <w:lang w:val="en-GB"/>
        </w:rPr>
        <w:t>alkaline solutions.</w:t>
      </w:r>
      <w:r w:rsidR="00CE1BA3">
        <w:rPr>
          <w:lang w:val="en-GB"/>
        </w:rPr>
        <w:t xml:space="preserve"> </w:t>
      </w:r>
      <w:r w:rsidRPr="0039751B">
        <w:rPr>
          <w:lang w:val="en-GB"/>
        </w:rPr>
        <w:t xml:space="preserve">During acid pre-treatment conditions, there is </w:t>
      </w:r>
      <w:r w:rsidRPr="0039751B">
        <w:rPr>
          <w:lang w:val="en-GB"/>
        </w:rPr>
        <w:lastRenderedPageBreak/>
        <w:t xml:space="preserve">degradation of polysaccharides to monomers and subsequent breakdown of simple sugars to 5-hydroxymethyfurfural (HMF), levulinic acid or formic acid </w:t>
      </w:r>
      <w:r w:rsidR="00676169">
        <w:rPr>
          <w:lang w:val="en-GB"/>
        </w:rPr>
        <w:t>(</w:t>
      </w:r>
      <w:proofErr w:type="spellStart"/>
      <w:r w:rsidR="00676169" w:rsidRPr="00750340">
        <w:t>Macheiner</w:t>
      </w:r>
      <w:proofErr w:type="spellEnd"/>
      <w:r w:rsidR="00676169">
        <w:t xml:space="preserve"> et al., 2003).</w:t>
      </w:r>
    </w:p>
    <w:p w14:paraId="269334B0" w14:textId="248C7403" w:rsidR="00A9622A" w:rsidRDefault="0039751B" w:rsidP="00600535">
      <w:pPr>
        <w:pStyle w:val="CETBodytext"/>
        <w:rPr>
          <w:lang w:val="en-GB"/>
        </w:rPr>
      </w:pPr>
      <w:r w:rsidRPr="0039751B">
        <w:rPr>
          <w:lang w:val="en-GB"/>
        </w:rPr>
        <w:t>ºBrix was high</w:t>
      </w:r>
      <w:r w:rsidR="00C36626">
        <w:rPr>
          <w:lang w:val="en-GB"/>
        </w:rPr>
        <w:t xml:space="preserve">est in 0.5N NaOH sample followed by 0.5N HCl while in 0.01N HCl, 0.01N NaOH and water the </w:t>
      </w:r>
      <w:r w:rsidR="00C36626" w:rsidRPr="0039751B">
        <w:rPr>
          <w:lang w:val="en-GB"/>
        </w:rPr>
        <w:t>ºBrix</w:t>
      </w:r>
      <w:r w:rsidR="00C36626">
        <w:rPr>
          <w:lang w:val="en-GB"/>
        </w:rPr>
        <w:t xml:space="preserve"> values were almost constant.</w:t>
      </w:r>
      <w:r w:rsidR="00A06A87">
        <w:rPr>
          <w:lang w:val="en-GB"/>
        </w:rPr>
        <w:t xml:space="preserve"> </w:t>
      </w:r>
      <w:r w:rsidRPr="0039751B">
        <w:rPr>
          <w:lang w:val="en-GB"/>
        </w:rPr>
        <w:t xml:space="preserve">This </w:t>
      </w:r>
      <w:r w:rsidR="00C36626">
        <w:rPr>
          <w:lang w:val="en-GB"/>
        </w:rPr>
        <w:t xml:space="preserve">large </w:t>
      </w:r>
      <w:r w:rsidR="00C36626" w:rsidRPr="0039751B">
        <w:rPr>
          <w:lang w:val="en-GB"/>
        </w:rPr>
        <w:t xml:space="preserve">ºBrix </w:t>
      </w:r>
      <w:r w:rsidR="00C36626">
        <w:rPr>
          <w:lang w:val="en-GB"/>
        </w:rPr>
        <w:t xml:space="preserve">in 0.5N alkali solution </w:t>
      </w:r>
      <w:r w:rsidRPr="0039751B">
        <w:rPr>
          <w:lang w:val="en-GB"/>
        </w:rPr>
        <w:t xml:space="preserve">could be because alkaline pH is good for solubilisation of not only sugars but also other molecules from pre-treated BSG but did not favour the release of reducing sugars. An alkaline medium is responsible for the inter-crystalline swelling of cellulose by the breakup hydrogen bonding of adjacent glucose molecules to produce material of low bulk density. Also, hydrolysis of hemicellulose takes place. </w:t>
      </w:r>
      <w:r w:rsidR="00977588">
        <w:rPr>
          <w:lang w:val="en-GB"/>
        </w:rPr>
        <w:t xml:space="preserve">Additionally, it was observed that the results obtained from 0.01N acid and alkali media was similar to the control sample in water as aqueous phase. So, the lower concentrations of acid and alkali did not significantly impact the solubilisation of total and reducing sugars. While a higher concentration of 0.5N of HCl and NaOH was found to improve the concentrations of reducing sugars and </w:t>
      </w:r>
      <w:r w:rsidR="00977588" w:rsidRPr="0039751B">
        <w:rPr>
          <w:lang w:val="en-GB"/>
        </w:rPr>
        <w:t>ºBrix</w:t>
      </w:r>
      <w:r w:rsidR="00977588">
        <w:rPr>
          <w:lang w:val="en-GB"/>
        </w:rPr>
        <w:t xml:space="preserve"> respectively. </w:t>
      </w:r>
    </w:p>
    <w:p w14:paraId="5F44F2AC" w14:textId="50D4D3C4" w:rsidR="0024129E" w:rsidRPr="00B57B36" w:rsidRDefault="0024129E" w:rsidP="0024129E">
      <w:pPr>
        <w:pStyle w:val="CETheadingx"/>
      </w:pPr>
      <w:r>
        <w:t>P</w:t>
      </w:r>
      <w:r w:rsidRPr="0024129E">
        <w:t>roteins and polyphenols</w:t>
      </w:r>
    </w:p>
    <w:p w14:paraId="731EA093" w14:textId="43B69624" w:rsidR="0024129E" w:rsidRPr="00B57B36" w:rsidRDefault="00DA5B07" w:rsidP="0024129E">
      <w:pPr>
        <w:pStyle w:val="CETBodytext"/>
        <w:rPr>
          <w:lang w:val="en-GB"/>
        </w:rPr>
      </w:pPr>
      <w:r w:rsidRPr="00DA5B07">
        <w:rPr>
          <w:lang w:val="en-GB"/>
        </w:rPr>
        <w:t xml:space="preserve">Figure </w:t>
      </w:r>
      <w:r>
        <w:rPr>
          <w:lang w:val="en-GB"/>
        </w:rPr>
        <w:t>3</w:t>
      </w:r>
      <w:r w:rsidRPr="00DA5B07">
        <w:rPr>
          <w:lang w:val="en-GB"/>
        </w:rPr>
        <w:t xml:space="preserve"> shows the concentrations of proteins and polyphenols measured on the liquid fraction after all pre-treatments. </w:t>
      </w:r>
    </w:p>
    <w:p w14:paraId="56E9260D" w14:textId="77777777" w:rsidR="00977588" w:rsidRDefault="00977588" w:rsidP="00600535">
      <w:pPr>
        <w:pStyle w:val="CETBodytext"/>
        <w:rPr>
          <w:lang w:val="en-GB"/>
        </w:rPr>
      </w:pPr>
    </w:p>
    <w:p w14:paraId="5FE4B088" w14:textId="3AF3C353" w:rsidR="008A1F55" w:rsidRDefault="001E43A4" w:rsidP="006E40A2">
      <w:pPr>
        <w:pStyle w:val="CETBodytext"/>
        <w:jc w:val="left"/>
        <w:rPr>
          <w:lang w:val="en-GB"/>
        </w:rPr>
      </w:pPr>
      <w:r>
        <w:rPr>
          <w:noProof/>
          <w:lang w:val="en-GB"/>
        </w:rPr>
        <w:drawing>
          <wp:inline distT="0" distB="0" distL="0" distR="0" wp14:anchorId="221C60CC" wp14:editId="641CE68A">
            <wp:extent cx="4272784" cy="26158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4077" cy="2635037"/>
                    </a:xfrm>
                    <a:prstGeom prst="rect">
                      <a:avLst/>
                    </a:prstGeom>
                    <a:noFill/>
                  </pic:spPr>
                </pic:pic>
              </a:graphicData>
            </a:graphic>
          </wp:inline>
        </w:drawing>
      </w:r>
    </w:p>
    <w:p w14:paraId="5C177EDE" w14:textId="77777777" w:rsidR="001D15BE" w:rsidRDefault="001D15BE" w:rsidP="006E40A2">
      <w:pPr>
        <w:pStyle w:val="CETBodytext"/>
        <w:jc w:val="left"/>
        <w:rPr>
          <w:lang w:val="en-GB"/>
        </w:rPr>
      </w:pPr>
    </w:p>
    <w:p w14:paraId="5788291D" w14:textId="6157A0E2" w:rsidR="008A1F55" w:rsidRDefault="001D15BE" w:rsidP="00151729">
      <w:pPr>
        <w:pStyle w:val="CETBodytext"/>
        <w:rPr>
          <w:lang w:val="en-GB"/>
        </w:rPr>
      </w:pPr>
      <w:r w:rsidRPr="00BD077D">
        <w:rPr>
          <w:rStyle w:val="CETCaptionCarattere"/>
        </w:rPr>
        <w:t xml:space="preserve">Figure </w:t>
      </w:r>
      <w:r>
        <w:rPr>
          <w:rStyle w:val="CETCaptionCarattere"/>
        </w:rPr>
        <w:t>3</w:t>
      </w:r>
      <w:r w:rsidRPr="00BD077D">
        <w:rPr>
          <w:rStyle w:val="CETCaptionCarattere"/>
        </w:rPr>
        <w:t xml:space="preserve">: </w:t>
      </w:r>
      <w:r w:rsidRPr="00342E99">
        <w:rPr>
          <w:rStyle w:val="CETCaptionCarattere"/>
        </w:rPr>
        <w:t>Graph showing concentration of</w:t>
      </w:r>
      <w:r>
        <w:rPr>
          <w:rStyle w:val="CETCaptionCarattere"/>
        </w:rPr>
        <w:t xml:space="preserve"> proteins and polyphenols after pre-treatments</w:t>
      </w:r>
    </w:p>
    <w:p w14:paraId="25DBD0EA" w14:textId="700023BE" w:rsidR="00342E99" w:rsidRDefault="00342E99" w:rsidP="008A1F55">
      <w:pPr>
        <w:pStyle w:val="CETBodytext"/>
        <w:jc w:val="left"/>
        <w:rPr>
          <w:rStyle w:val="CETCaptionCarattere"/>
        </w:rPr>
      </w:pPr>
    </w:p>
    <w:p w14:paraId="17696BB5" w14:textId="0E8E59F8" w:rsidR="001753FA" w:rsidRDefault="0086375A" w:rsidP="001753FA">
      <w:pPr>
        <w:pStyle w:val="CETBodytext"/>
        <w:rPr>
          <w:lang w:val="en-GB"/>
        </w:rPr>
      </w:pPr>
      <w:r w:rsidRPr="00DA5B07">
        <w:rPr>
          <w:lang w:val="en-GB"/>
        </w:rPr>
        <w:t xml:space="preserve">It can be observed that the highest solubilisation of polyphenols </w:t>
      </w:r>
      <w:r w:rsidR="003F4F60" w:rsidRPr="00DA5B07">
        <w:rPr>
          <w:lang w:val="en-GB"/>
        </w:rPr>
        <w:t>was</w:t>
      </w:r>
      <w:r w:rsidRPr="00DA5B07">
        <w:rPr>
          <w:lang w:val="en-GB"/>
        </w:rPr>
        <w:t xml:space="preserve"> in alkaline medium </w:t>
      </w:r>
      <w:r w:rsidR="003F4F60">
        <w:rPr>
          <w:lang w:val="en-GB"/>
        </w:rPr>
        <w:t xml:space="preserve">with </w:t>
      </w:r>
      <w:r w:rsidRPr="00DA5B07">
        <w:rPr>
          <w:lang w:val="en-GB"/>
        </w:rPr>
        <w:t xml:space="preserve">0.5N </w:t>
      </w:r>
      <w:r w:rsidR="003F4F60">
        <w:rPr>
          <w:lang w:val="en-GB"/>
        </w:rPr>
        <w:t>Na</w:t>
      </w:r>
      <w:r w:rsidRPr="00DA5B07">
        <w:rPr>
          <w:lang w:val="en-GB"/>
        </w:rPr>
        <w:t xml:space="preserve">OH </w:t>
      </w:r>
      <w:r w:rsidR="003F4F60">
        <w:rPr>
          <w:lang w:val="en-GB"/>
        </w:rPr>
        <w:t xml:space="preserve">solution. The solubilisation of proteins was quite comparable and within the range of 0.7- 1.0 mg/g. </w:t>
      </w:r>
      <w:r w:rsidRPr="00DA5B07">
        <w:rPr>
          <w:lang w:val="en-GB"/>
        </w:rPr>
        <w:t xml:space="preserve">Higher solubilisation </w:t>
      </w:r>
      <w:r w:rsidR="003F4F60">
        <w:rPr>
          <w:lang w:val="en-GB"/>
        </w:rPr>
        <w:t xml:space="preserve">of </w:t>
      </w:r>
      <w:r w:rsidRPr="00DA5B07">
        <w:rPr>
          <w:lang w:val="en-GB"/>
        </w:rPr>
        <w:t xml:space="preserve">the organics </w:t>
      </w:r>
      <w:r w:rsidR="003F4F60">
        <w:rPr>
          <w:lang w:val="en-GB"/>
        </w:rPr>
        <w:t xml:space="preserve">like proteins and polyphenols </w:t>
      </w:r>
      <w:r w:rsidRPr="00DA5B07">
        <w:rPr>
          <w:lang w:val="en-GB"/>
        </w:rPr>
        <w:t>were reported by previous works at operating conditions of 120 ºC, 90 min</w:t>
      </w:r>
      <w:r w:rsidR="000A4418">
        <w:rPr>
          <w:lang w:val="en-GB"/>
        </w:rPr>
        <w:t xml:space="preserve"> (</w:t>
      </w:r>
      <w:proofErr w:type="spellStart"/>
      <w:r w:rsidR="000A4418" w:rsidRPr="005A2AB0">
        <w:t>Sibhatu</w:t>
      </w:r>
      <w:proofErr w:type="spellEnd"/>
      <w:r w:rsidR="000A4418">
        <w:t xml:space="preserve"> et al., 2021)</w:t>
      </w:r>
      <w:r w:rsidRPr="00DA5B07">
        <w:rPr>
          <w:lang w:val="en-GB"/>
        </w:rPr>
        <w:t xml:space="preserve"> and alkaline environment </w:t>
      </w:r>
      <w:r w:rsidR="009756E5">
        <w:rPr>
          <w:lang w:val="en-GB"/>
        </w:rPr>
        <w:t>(</w:t>
      </w:r>
      <w:proofErr w:type="spellStart"/>
      <w:r w:rsidR="009756E5" w:rsidRPr="00C256C2">
        <w:t>Mussatto</w:t>
      </w:r>
      <w:proofErr w:type="spellEnd"/>
      <w:r w:rsidR="009756E5">
        <w:t xml:space="preserve"> et al., 2007)</w:t>
      </w:r>
      <w:r w:rsidRPr="00DA5B07">
        <w:rPr>
          <w:lang w:val="en-GB"/>
        </w:rPr>
        <w:t xml:space="preserve">. The concentrations of proteins and polyphenols are </w:t>
      </w:r>
      <w:r w:rsidR="003F4F60">
        <w:rPr>
          <w:lang w:val="en-GB"/>
        </w:rPr>
        <w:t xml:space="preserve">also </w:t>
      </w:r>
      <w:r w:rsidRPr="00DA5B07">
        <w:rPr>
          <w:lang w:val="en-GB"/>
        </w:rPr>
        <w:t xml:space="preserve">quite comparable for </w:t>
      </w:r>
      <w:r w:rsidR="00A22C88">
        <w:rPr>
          <w:lang w:val="en-GB"/>
        </w:rPr>
        <w:t xml:space="preserve">the </w:t>
      </w:r>
      <w:r w:rsidRPr="00DA5B07">
        <w:rPr>
          <w:lang w:val="en-GB"/>
        </w:rPr>
        <w:t>pre-treatments in water and acidic media</w:t>
      </w:r>
      <w:r w:rsidR="003F4F60">
        <w:rPr>
          <w:lang w:val="en-GB"/>
        </w:rPr>
        <w:t xml:space="preserve"> and 0.01N NaOH solution</w:t>
      </w:r>
      <w:r w:rsidRPr="00DA5B07">
        <w:rPr>
          <w:lang w:val="en-GB"/>
        </w:rPr>
        <w:t>.</w:t>
      </w:r>
      <w:r w:rsidR="00A22C88">
        <w:rPr>
          <w:lang w:val="en-GB"/>
        </w:rPr>
        <w:t xml:space="preserve"> T</w:t>
      </w:r>
      <w:r w:rsidR="00A22C88" w:rsidRPr="00DA5B07">
        <w:rPr>
          <w:lang w:val="en-GB"/>
        </w:rPr>
        <w:t>he contents of proteins and polyphenols solubilised were quite similar</w:t>
      </w:r>
      <w:r w:rsidR="00A22C88">
        <w:rPr>
          <w:lang w:val="en-GB"/>
        </w:rPr>
        <w:t xml:space="preserve"> or lower than the control sample</w:t>
      </w:r>
      <w:r w:rsidR="00A22C88" w:rsidRPr="00DA5B07">
        <w:rPr>
          <w:lang w:val="en-GB"/>
        </w:rPr>
        <w:t xml:space="preserve"> </w:t>
      </w:r>
      <w:r w:rsidR="00A22C88">
        <w:rPr>
          <w:lang w:val="en-GB"/>
        </w:rPr>
        <w:t xml:space="preserve">in case of acidic conditions and 0.01N NaOH solutions. </w:t>
      </w:r>
      <w:r w:rsidR="00A22C88" w:rsidRPr="00DA5B07">
        <w:rPr>
          <w:lang w:val="en-GB"/>
        </w:rPr>
        <w:t>This trend was also observed in case of reducing sugars and ºBrix</w:t>
      </w:r>
      <w:r w:rsidR="00A22C88">
        <w:rPr>
          <w:lang w:val="en-GB"/>
        </w:rPr>
        <w:t xml:space="preserve"> except for 0.5N HCl</w:t>
      </w:r>
      <w:r w:rsidR="00A22C88" w:rsidRPr="00DA5B07">
        <w:rPr>
          <w:lang w:val="en-GB"/>
        </w:rPr>
        <w:t xml:space="preserve"> which could suggest that at the</w:t>
      </w:r>
      <w:r w:rsidR="00A22C88">
        <w:rPr>
          <w:lang w:val="en-GB"/>
        </w:rPr>
        <w:t>se</w:t>
      </w:r>
      <w:r w:rsidR="00A22C88" w:rsidRPr="00DA5B07">
        <w:rPr>
          <w:lang w:val="en-GB"/>
        </w:rPr>
        <w:t xml:space="preserve"> conditions used </w:t>
      </w:r>
      <w:r w:rsidR="00A22C88">
        <w:rPr>
          <w:lang w:val="en-GB"/>
        </w:rPr>
        <w:t xml:space="preserve">they </w:t>
      </w:r>
      <w:r w:rsidR="00A22C88" w:rsidRPr="00DA5B07">
        <w:rPr>
          <w:lang w:val="en-GB"/>
        </w:rPr>
        <w:t>did not significantly improve the values in terms of hydrolysis</w:t>
      </w:r>
      <w:r w:rsidR="00A22C88">
        <w:rPr>
          <w:lang w:val="en-GB"/>
        </w:rPr>
        <w:t xml:space="preserve">. Higher concentrations of acid and alkali at 0.5N </w:t>
      </w:r>
      <w:r w:rsidR="00A22C88" w:rsidRPr="00DA5B07">
        <w:rPr>
          <w:lang w:val="en-GB"/>
        </w:rPr>
        <w:t>seems to be the most feasible option among others</w:t>
      </w:r>
      <w:r w:rsidR="00A22C88">
        <w:rPr>
          <w:lang w:val="en-GB"/>
        </w:rPr>
        <w:t xml:space="preserve">. </w:t>
      </w:r>
      <w:r w:rsidR="001753FA" w:rsidRPr="00DA5B07">
        <w:rPr>
          <w:lang w:val="en-GB"/>
        </w:rPr>
        <w:t>However, further analyses for instance determination of ferulic acid in the solubilised liquid is necessary to have a better understanding of the results obtained.</w:t>
      </w:r>
    </w:p>
    <w:p w14:paraId="58DFF881" w14:textId="77777777" w:rsidR="00784F22" w:rsidRPr="00B57B36" w:rsidRDefault="00784F22" w:rsidP="00784F22">
      <w:pPr>
        <w:pStyle w:val="CETHeading1"/>
        <w:rPr>
          <w:lang w:val="en-GB"/>
        </w:rPr>
      </w:pPr>
      <w:r w:rsidRPr="00B57B36">
        <w:rPr>
          <w:lang w:val="en-GB"/>
        </w:rPr>
        <w:t>Conclusions</w:t>
      </w:r>
    </w:p>
    <w:p w14:paraId="3B4F19AB" w14:textId="77777777" w:rsidR="00C240AA" w:rsidRDefault="00905810" w:rsidP="00784F22">
      <w:pPr>
        <w:pStyle w:val="CETBodytext"/>
        <w:rPr>
          <w:lang w:val="en-GB"/>
        </w:rPr>
      </w:pPr>
      <w:r w:rsidRPr="00905810">
        <w:rPr>
          <w:lang w:val="en-GB"/>
        </w:rPr>
        <w:t xml:space="preserve">BSG is pre-treated by </w:t>
      </w:r>
      <w:r w:rsidR="00754D8E">
        <w:rPr>
          <w:lang w:val="en-GB"/>
        </w:rPr>
        <w:t xml:space="preserve">0.01N and 0.5N solutions of HCl and NaOH for a reaction time of 1 h </w:t>
      </w:r>
      <w:r w:rsidRPr="00905810">
        <w:rPr>
          <w:lang w:val="en-GB"/>
        </w:rPr>
        <w:t>using water</w:t>
      </w:r>
      <w:r w:rsidR="00754D8E">
        <w:rPr>
          <w:lang w:val="en-GB"/>
        </w:rPr>
        <w:t xml:space="preserve"> as a control </w:t>
      </w:r>
      <w:r w:rsidR="00BF3F30">
        <w:rPr>
          <w:lang w:val="en-GB"/>
        </w:rPr>
        <w:t>sample</w:t>
      </w:r>
      <w:r w:rsidR="00754D8E">
        <w:rPr>
          <w:lang w:val="en-GB"/>
        </w:rPr>
        <w:t>.</w:t>
      </w:r>
      <w:r w:rsidRPr="00905810">
        <w:rPr>
          <w:lang w:val="en-GB"/>
        </w:rPr>
        <w:t xml:space="preserve"> The effect of pre-treatments was investigated by the extent of solubilisation of molecules into aqueous phase after pre-treatments. </w:t>
      </w:r>
    </w:p>
    <w:p w14:paraId="06287367" w14:textId="6063F0AD" w:rsidR="00784F22" w:rsidRDefault="00905810" w:rsidP="00784F22">
      <w:pPr>
        <w:pStyle w:val="CETBodytext"/>
        <w:rPr>
          <w:lang w:val="en-GB"/>
        </w:rPr>
      </w:pPr>
      <w:r w:rsidRPr="00905810">
        <w:rPr>
          <w:lang w:val="en-GB"/>
        </w:rPr>
        <w:t xml:space="preserve">Highest release of reducing sugars </w:t>
      </w:r>
      <w:r w:rsidR="006C59FB">
        <w:rPr>
          <w:lang w:val="en-GB"/>
        </w:rPr>
        <w:t>among</w:t>
      </w:r>
      <w:r w:rsidRPr="00905810">
        <w:rPr>
          <w:lang w:val="en-GB"/>
        </w:rPr>
        <w:t xml:space="preserve"> all the different pre-treatments was found to be </w:t>
      </w:r>
      <w:r w:rsidR="006C59FB">
        <w:rPr>
          <w:lang w:val="en-GB"/>
        </w:rPr>
        <w:t>6.0 mg/g in 0.5N HCl sample</w:t>
      </w:r>
      <w:r w:rsidRPr="00905810">
        <w:rPr>
          <w:lang w:val="en-GB"/>
        </w:rPr>
        <w:t xml:space="preserve"> while ºBrix which could be used to estimate total sugar contents was </w:t>
      </w:r>
      <w:r w:rsidR="00A5681E">
        <w:rPr>
          <w:lang w:val="en-GB"/>
        </w:rPr>
        <w:t>largest</w:t>
      </w:r>
      <w:r w:rsidRPr="00905810">
        <w:rPr>
          <w:lang w:val="en-GB"/>
        </w:rPr>
        <w:t xml:space="preserve"> in alkaline medium</w:t>
      </w:r>
      <w:r w:rsidR="00A5681E">
        <w:rPr>
          <w:lang w:val="en-GB"/>
        </w:rPr>
        <w:t xml:space="preserve"> of 0.5N NaOH</w:t>
      </w:r>
      <w:r w:rsidRPr="00905810">
        <w:rPr>
          <w:lang w:val="en-GB"/>
        </w:rPr>
        <w:t>. Also, the concentration of polyphenols solubilised were highest in alkaline</w:t>
      </w:r>
      <w:r w:rsidR="00CD0703">
        <w:rPr>
          <w:lang w:val="en-GB"/>
        </w:rPr>
        <w:t xml:space="preserve"> solution of 0.5N NaOH </w:t>
      </w:r>
      <w:r w:rsidR="00CD0703">
        <w:rPr>
          <w:lang w:val="en-GB"/>
        </w:rPr>
        <w:lastRenderedPageBreak/>
        <w:t>whereas the concentration of proteins after all the pre-treatments were quite similar</w:t>
      </w:r>
      <w:r w:rsidRPr="005168BE">
        <w:rPr>
          <w:lang w:val="en-GB"/>
        </w:rPr>
        <w:t xml:space="preserve">. These results could provide preliminary knowledge for valorisation of pre-treated BSG liquid </w:t>
      </w:r>
      <w:r w:rsidR="00067F48" w:rsidRPr="005168BE">
        <w:rPr>
          <w:lang w:val="en-GB"/>
        </w:rPr>
        <w:t xml:space="preserve">and solid </w:t>
      </w:r>
      <w:r w:rsidRPr="005168BE">
        <w:rPr>
          <w:lang w:val="en-GB"/>
        </w:rPr>
        <w:t xml:space="preserve">and </w:t>
      </w:r>
      <w:r w:rsidR="00A41D8B" w:rsidRPr="005168BE">
        <w:rPr>
          <w:lang w:val="en-GB"/>
        </w:rPr>
        <w:t xml:space="preserve">also further insights on the </w:t>
      </w:r>
      <w:r w:rsidRPr="005168BE">
        <w:rPr>
          <w:lang w:val="en-GB"/>
        </w:rPr>
        <w:t>additional analyses</w:t>
      </w:r>
      <w:r w:rsidR="00A41D8B" w:rsidRPr="005168BE">
        <w:rPr>
          <w:lang w:val="en-GB"/>
        </w:rPr>
        <w:t xml:space="preserve"> that need to be performed</w:t>
      </w:r>
      <w:r w:rsidRPr="005168BE">
        <w:rPr>
          <w:lang w:val="en-GB"/>
        </w:rPr>
        <w:t xml:space="preserve"> on</w:t>
      </w:r>
      <w:r w:rsidR="00067F48" w:rsidRPr="005168BE">
        <w:rPr>
          <w:lang w:val="en-GB"/>
        </w:rPr>
        <w:t xml:space="preserve"> both pre-treated fractions.</w:t>
      </w:r>
      <w:r w:rsidRPr="00905810">
        <w:rPr>
          <w:lang w:val="en-GB"/>
        </w:rPr>
        <w:t xml:space="preserve"> </w:t>
      </w:r>
    </w:p>
    <w:p w14:paraId="48A48BBB" w14:textId="77777777" w:rsidR="00103AC6" w:rsidRPr="00B57B36" w:rsidRDefault="00103AC6" w:rsidP="00103AC6">
      <w:pPr>
        <w:pStyle w:val="CETAcknowledgementstitle"/>
      </w:pPr>
      <w:r w:rsidRPr="00B57B36">
        <w:t>Acknowledgments</w:t>
      </w:r>
    </w:p>
    <w:p w14:paraId="60CB8E75" w14:textId="5782FDF5" w:rsidR="00762596" w:rsidRDefault="007621EA" w:rsidP="000D0323">
      <w:pPr>
        <w:pStyle w:val="CETBodytext"/>
        <w:rPr>
          <w:lang w:val="en-GB"/>
        </w:rPr>
      </w:pPr>
      <w:r w:rsidRPr="007621EA">
        <w:rPr>
          <w:lang w:val="en-GB"/>
        </w:rPr>
        <w:t>This research was supported by grant ARGE17-992/5/2 for a PhD funded by the European Social Fund within the Liguria Regional operational program 2014–2020</w:t>
      </w:r>
      <w:r w:rsidR="004D23C7">
        <w:rPr>
          <w:lang w:val="en-GB"/>
        </w:rPr>
        <w:t xml:space="preserve">- </w:t>
      </w:r>
      <w:r w:rsidRPr="007621EA">
        <w:rPr>
          <w:lang w:val="en-GB"/>
        </w:rPr>
        <w:t>thematic objective</w:t>
      </w:r>
      <w:r w:rsidR="004D23C7">
        <w:rPr>
          <w:lang w:val="en-GB"/>
        </w:rPr>
        <w:t xml:space="preserve"> </w:t>
      </w:r>
      <w:r w:rsidRPr="007621EA">
        <w:rPr>
          <w:lang w:val="en-GB"/>
        </w:rPr>
        <w:t>“Education and Training”.</w:t>
      </w:r>
      <w:r w:rsidR="009773C6">
        <w:rPr>
          <w:lang w:val="en-GB"/>
        </w:rPr>
        <w:t xml:space="preserve"> </w:t>
      </w:r>
      <w:r w:rsidR="00A8038A" w:rsidRPr="00A8038A">
        <w:rPr>
          <w:lang w:val="en-GB"/>
        </w:rPr>
        <w:t>The authors acknowledge the financial support received from the European</w:t>
      </w:r>
      <w:r w:rsidR="009773C6">
        <w:rPr>
          <w:lang w:val="en-GB"/>
        </w:rPr>
        <w:t xml:space="preserve"> </w:t>
      </w:r>
      <w:r w:rsidR="00A8038A" w:rsidRPr="00A8038A">
        <w:rPr>
          <w:lang w:val="en-GB"/>
        </w:rPr>
        <w:t xml:space="preserve">Social Fund—Liguria Regional operational program 2014–2020. They thank </w:t>
      </w:r>
      <w:proofErr w:type="spellStart"/>
      <w:r w:rsidR="00A8038A" w:rsidRPr="00A8038A">
        <w:rPr>
          <w:lang w:val="en-GB"/>
        </w:rPr>
        <w:t>Ticass</w:t>
      </w:r>
      <w:proofErr w:type="spellEnd"/>
      <w:r w:rsidR="00A8038A" w:rsidRPr="00A8038A">
        <w:rPr>
          <w:lang w:val="en-GB"/>
        </w:rPr>
        <w:t xml:space="preserve"> </w:t>
      </w:r>
      <w:proofErr w:type="spellStart"/>
      <w:r w:rsidR="00A8038A" w:rsidRPr="00A8038A">
        <w:rPr>
          <w:lang w:val="en-GB"/>
        </w:rPr>
        <w:t>Scrl</w:t>
      </w:r>
      <w:proofErr w:type="spellEnd"/>
      <w:r w:rsidR="00A8038A" w:rsidRPr="00A8038A">
        <w:rPr>
          <w:lang w:val="en-GB"/>
        </w:rPr>
        <w:t>, Iren Spa,</w:t>
      </w:r>
      <w:r w:rsidR="009773C6">
        <w:rPr>
          <w:lang w:val="en-GB"/>
        </w:rPr>
        <w:t xml:space="preserve"> </w:t>
      </w:r>
      <w:proofErr w:type="spellStart"/>
      <w:r w:rsidR="00A8038A" w:rsidRPr="00A8038A">
        <w:rPr>
          <w:lang w:val="en-GB"/>
        </w:rPr>
        <w:t>Micamo</w:t>
      </w:r>
      <w:proofErr w:type="spellEnd"/>
      <w:r w:rsidR="00A8038A" w:rsidRPr="00A8038A">
        <w:rPr>
          <w:lang w:val="en-GB"/>
        </w:rPr>
        <w:t>, and Active Cells for supporting this project</w:t>
      </w:r>
      <w:r w:rsidR="009773C6">
        <w:rPr>
          <w:lang w:val="en-GB"/>
        </w:rPr>
        <w:t xml:space="preserve">. </w:t>
      </w:r>
      <w:r w:rsidR="000D0323">
        <w:rPr>
          <w:lang w:val="en-GB"/>
        </w:rPr>
        <w:t xml:space="preserve">They </w:t>
      </w:r>
      <w:r w:rsidR="000D0323" w:rsidRPr="000D0323">
        <w:rPr>
          <w:lang w:val="en-GB"/>
        </w:rPr>
        <w:t>would</w:t>
      </w:r>
      <w:r w:rsidR="000D0323">
        <w:rPr>
          <w:lang w:val="en-GB"/>
        </w:rPr>
        <w:t xml:space="preserve"> also</w:t>
      </w:r>
      <w:r w:rsidR="000D0323" w:rsidRPr="000D0323">
        <w:rPr>
          <w:lang w:val="en-GB"/>
        </w:rPr>
        <w:t xml:space="preserve"> like to thank Prof. Anna </w:t>
      </w:r>
      <w:proofErr w:type="spellStart"/>
      <w:r w:rsidR="000D0323" w:rsidRPr="000D0323">
        <w:rPr>
          <w:lang w:val="en-GB"/>
        </w:rPr>
        <w:t>Trusek</w:t>
      </w:r>
      <w:proofErr w:type="spellEnd"/>
      <w:r w:rsidR="000D0323" w:rsidRPr="000D0323">
        <w:rPr>
          <w:lang w:val="en-GB"/>
        </w:rPr>
        <w:t xml:space="preserve"> and her group Micro, Nano</w:t>
      </w:r>
      <w:r w:rsidR="000D0323">
        <w:rPr>
          <w:lang w:val="en-GB"/>
        </w:rPr>
        <w:t>,</w:t>
      </w:r>
      <w:r w:rsidR="000D0323" w:rsidRPr="000D0323">
        <w:rPr>
          <w:lang w:val="en-GB"/>
        </w:rPr>
        <w:t xml:space="preserve"> and Bioprocess engineering</w:t>
      </w:r>
      <w:r w:rsidR="000D0323">
        <w:rPr>
          <w:lang w:val="en-GB"/>
        </w:rPr>
        <w:t xml:space="preserve"> </w:t>
      </w:r>
      <w:r w:rsidR="000D0323" w:rsidRPr="000D0323">
        <w:rPr>
          <w:lang w:val="en-GB"/>
        </w:rPr>
        <w:t xml:space="preserve">group at Wroclaw University of Science &amp; Technology, Poland for </w:t>
      </w:r>
      <w:r w:rsidR="000D0323">
        <w:rPr>
          <w:lang w:val="en-GB"/>
        </w:rPr>
        <w:t>allowing to carry out this</w:t>
      </w:r>
      <w:r w:rsidR="000D0323" w:rsidRPr="000D0323">
        <w:rPr>
          <w:lang w:val="en-GB"/>
        </w:rPr>
        <w:t xml:space="preserve"> research </w:t>
      </w:r>
      <w:r w:rsidR="001059F6">
        <w:rPr>
          <w:lang w:val="en-GB"/>
        </w:rPr>
        <w:t>work</w:t>
      </w:r>
      <w:r w:rsidR="000D0323" w:rsidRPr="000D0323">
        <w:rPr>
          <w:lang w:val="en-GB"/>
        </w:rPr>
        <w:t xml:space="preserve"> there</w:t>
      </w:r>
      <w:r w:rsidR="000D0323">
        <w:rPr>
          <w:lang w:val="en-GB"/>
        </w:rPr>
        <w:t>.</w:t>
      </w:r>
    </w:p>
    <w:p w14:paraId="0421F14D" w14:textId="77777777" w:rsidR="007736D7" w:rsidRPr="00B57B36" w:rsidRDefault="007736D7" w:rsidP="007736D7">
      <w:pPr>
        <w:pStyle w:val="CETReference"/>
      </w:pPr>
      <w:r w:rsidRPr="00B57B36">
        <w:t>References</w:t>
      </w:r>
    </w:p>
    <w:p w14:paraId="6B439B12" w14:textId="77777777" w:rsidR="007231B0" w:rsidRDefault="005257F4" w:rsidP="007231B0">
      <w:pPr>
        <w:pStyle w:val="CETReferencetext"/>
      </w:pPr>
      <w:r w:rsidRPr="005257F4">
        <w:t>Alonso-</w:t>
      </w:r>
      <w:proofErr w:type="spellStart"/>
      <w:r w:rsidRPr="005257F4">
        <w:t>Riaño</w:t>
      </w:r>
      <w:proofErr w:type="spellEnd"/>
      <w:r>
        <w:t xml:space="preserve"> P.</w:t>
      </w:r>
      <w:r w:rsidRPr="005257F4">
        <w:t>, Diez</w:t>
      </w:r>
      <w:r>
        <w:t xml:space="preserve"> </w:t>
      </w:r>
      <w:r w:rsidRPr="005257F4">
        <w:t>M.T.S., Blanco</w:t>
      </w:r>
      <w:r>
        <w:t xml:space="preserve"> B.</w:t>
      </w:r>
      <w:r w:rsidRPr="005257F4">
        <w:t xml:space="preserve">, </w:t>
      </w:r>
      <w:proofErr w:type="spellStart"/>
      <w:r w:rsidRPr="005257F4">
        <w:t>Beltrán</w:t>
      </w:r>
      <w:proofErr w:type="spellEnd"/>
      <w:r>
        <w:t xml:space="preserve"> S.</w:t>
      </w:r>
      <w:r w:rsidRPr="005257F4">
        <w:t xml:space="preserve">, </w:t>
      </w:r>
      <w:proofErr w:type="spellStart"/>
      <w:r w:rsidRPr="005257F4">
        <w:t>Trigueros</w:t>
      </w:r>
      <w:proofErr w:type="spellEnd"/>
      <w:r>
        <w:t xml:space="preserve"> E.</w:t>
      </w:r>
      <w:r w:rsidRPr="005257F4">
        <w:t>, Benito-Román</w:t>
      </w:r>
      <w:r>
        <w:t xml:space="preserve"> O.</w:t>
      </w:r>
      <w:r w:rsidRPr="005257F4">
        <w:t xml:space="preserve">, </w:t>
      </w:r>
      <w:r w:rsidR="00FB7ED5">
        <w:t xml:space="preserve">2020, </w:t>
      </w:r>
      <w:r w:rsidRPr="005257F4">
        <w:t xml:space="preserve">Water Ultrasound-Assisted Extraction of Polyphenol Compounds from Brewer’s Spent Grain: Kinetic Study, Extract Characterization, and Concentration, Antioxidants, 9, 265. </w:t>
      </w:r>
    </w:p>
    <w:p w14:paraId="47F75048" w14:textId="7DAEBA52" w:rsidR="005257F4" w:rsidRDefault="007231B0" w:rsidP="007231B0">
      <w:pPr>
        <w:pStyle w:val="CETReferencetext"/>
      </w:pPr>
      <w:r>
        <w:t xml:space="preserve">Babu R., </w:t>
      </w:r>
      <w:proofErr w:type="spellStart"/>
      <w:r>
        <w:t>Capannelli</w:t>
      </w:r>
      <w:proofErr w:type="spellEnd"/>
      <w:r>
        <w:t xml:space="preserve"> G., Comite A., 2021, Effect of Different </w:t>
      </w:r>
      <w:proofErr w:type="spellStart"/>
      <w:r>
        <w:t>Pretreatments</w:t>
      </w:r>
      <w:proofErr w:type="spellEnd"/>
      <w:r>
        <w:t xml:space="preserve"> on Sludge Solubilization and Estimation of Bioenergy Potential, Process, 9, 1382. </w:t>
      </w:r>
    </w:p>
    <w:p w14:paraId="332EDD1E" w14:textId="7583179E" w:rsidR="006F6A18" w:rsidRDefault="006F6A18" w:rsidP="007231B0">
      <w:pPr>
        <w:pStyle w:val="CETReferencetext"/>
      </w:pPr>
      <w:r>
        <w:t xml:space="preserve">Chen J.H., Xu J.K., Huang P.L., Sun R.C., 2016, </w:t>
      </w:r>
      <w:r w:rsidRPr="006F6A18">
        <w:t xml:space="preserve">Effect of alkaline </w:t>
      </w:r>
      <w:proofErr w:type="spellStart"/>
      <w:r w:rsidRPr="006F6A18">
        <w:t>pretreatment</w:t>
      </w:r>
      <w:proofErr w:type="spellEnd"/>
      <w:r w:rsidRPr="006F6A18">
        <w:t xml:space="preserve"> on the preparation</w:t>
      </w:r>
      <w:r>
        <w:t xml:space="preserve"> </w:t>
      </w:r>
      <w:r w:rsidRPr="006F6A18">
        <w:t xml:space="preserve">of regenerated lignocellulose </w:t>
      </w:r>
      <w:proofErr w:type="spellStart"/>
      <w:r w:rsidRPr="006F6A18">
        <w:t>fibers</w:t>
      </w:r>
      <w:proofErr w:type="spellEnd"/>
      <w:r w:rsidRPr="006F6A18">
        <w:t xml:space="preserve"> from bamboo stem</w:t>
      </w:r>
      <w:r>
        <w:t xml:space="preserve">, Cellulose, </w:t>
      </w:r>
      <w:r w:rsidRPr="006F6A18">
        <w:t>23</w:t>
      </w:r>
      <w:r>
        <w:t xml:space="preserve">, </w:t>
      </w:r>
      <w:r w:rsidRPr="006F6A18">
        <w:t>2727–2739</w:t>
      </w:r>
      <w:r>
        <w:t xml:space="preserve">. </w:t>
      </w:r>
    </w:p>
    <w:p w14:paraId="61E121F8" w14:textId="2584D343" w:rsidR="00F864E4" w:rsidRDefault="0052610C" w:rsidP="0052610C">
      <w:pPr>
        <w:pStyle w:val="CETReferencetext"/>
      </w:pPr>
      <w:r w:rsidRPr="0052610C">
        <w:t>Hassan</w:t>
      </w:r>
      <w:r>
        <w:t xml:space="preserve"> S.S.</w:t>
      </w:r>
      <w:r w:rsidRPr="0052610C">
        <w:t>, Ravindran</w:t>
      </w:r>
      <w:r>
        <w:t xml:space="preserve"> R.</w:t>
      </w:r>
      <w:r w:rsidRPr="0052610C">
        <w:t>,</w:t>
      </w:r>
      <w:r>
        <w:t xml:space="preserve"> </w:t>
      </w:r>
      <w:r w:rsidRPr="0052610C">
        <w:t>Jaiswal</w:t>
      </w:r>
      <w:r>
        <w:t xml:space="preserve"> S.</w:t>
      </w:r>
      <w:r w:rsidRPr="0052610C">
        <w:t>, Tiwari</w:t>
      </w:r>
      <w:r>
        <w:t xml:space="preserve"> </w:t>
      </w:r>
      <w:r w:rsidRPr="0052610C">
        <w:t>B.K., Williams</w:t>
      </w:r>
      <w:r>
        <w:t xml:space="preserve"> </w:t>
      </w:r>
      <w:r w:rsidRPr="0052610C">
        <w:t>G.A., Jaiswal</w:t>
      </w:r>
      <w:r>
        <w:t xml:space="preserve"> </w:t>
      </w:r>
      <w:r w:rsidRPr="0052610C">
        <w:t xml:space="preserve">A.K., </w:t>
      </w:r>
      <w:r>
        <w:t xml:space="preserve">2020, </w:t>
      </w:r>
      <w:r w:rsidRPr="0052610C">
        <w:t xml:space="preserve">An evaluation of sonication </w:t>
      </w:r>
      <w:proofErr w:type="spellStart"/>
      <w:r w:rsidRPr="0052610C">
        <w:t>pretreatment</w:t>
      </w:r>
      <w:proofErr w:type="spellEnd"/>
      <w:r w:rsidRPr="0052610C">
        <w:t xml:space="preserve"> for enhancing saccharification of brewers’ spent grain, Waste Manag</w:t>
      </w:r>
      <w:r>
        <w:t>ement,</w:t>
      </w:r>
      <w:r w:rsidRPr="0052610C">
        <w:t xml:space="preserve"> 105</w:t>
      </w:r>
      <w:r>
        <w:t>,</w:t>
      </w:r>
      <w:r w:rsidRPr="0052610C">
        <w:t xml:space="preserve"> 240–247.</w:t>
      </w:r>
      <w:r w:rsidR="00F864E4">
        <w:t xml:space="preserve"> </w:t>
      </w:r>
    </w:p>
    <w:p w14:paraId="710AE9B0" w14:textId="1EC5BFFC" w:rsidR="006F6A18" w:rsidRDefault="00CA4B2F" w:rsidP="006F6A18">
      <w:pPr>
        <w:pStyle w:val="CETReferencetext"/>
      </w:pPr>
      <w:proofErr w:type="spellStart"/>
      <w:r w:rsidRPr="00CA4B2F">
        <w:t>Jackowski</w:t>
      </w:r>
      <w:proofErr w:type="spellEnd"/>
      <w:r>
        <w:t xml:space="preserve"> M.</w:t>
      </w:r>
      <w:r w:rsidRPr="00CA4B2F">
        <w:t xml:space="preserve">, </w:t>
      </w:r>
      <w:proofErr w:type="spellStart"/>
      <w:r w:rsidRPr="00CA4B2F">
        <w:t>Niedźwiecki</w:t>
      </w:r>
      <w:proofErr w:type="spellEnd"/>
      <w:r>
        <w:t xml:space="preserve"> L.</w:t>
      </w:r>
      <w:r w:rsidRPr="00CA4B2F">
        <w:t xml:space="preserve">, </w:t>
      </w:r>
      <w:proofErr w:type="spellStart"/>
      <w:r w:rsidRPr="00CA4B2F">
        <w:t>Jagiełło</w:t>
      </w:r>
      <w:proofErr w:type="spellEnd"/>
      <w:r>
        <w:t xml:space="preserve"> K.</w:t>
      </w:r>
      <w:r w:rsidRPr="00CA4B2F">
        <w:t xml:space="preserve">, </w:t>
      </w:r>
      <w:proofErr w:type="spellStart"/>
      <w:r w:rsidRPr="00CA4B2F">
        <w:t>Uchańska</w:t>
      </w:r>
      <w:proofErr w:type="spellEnd"/>
      <w:r>
        <w:t xml:space="preserve"> O.</w:t>
      </w:r>
      <w:r w:rsidRPr="00CA4B2F">
        <w:t xml:space="preserve">, </w:t>
      </w:r>
      <w:proofErr w:type="spellStart"/>
      <w:r w:rsidRPr="00CA4B2F">
        <w:t>Trusek</w:t>
      </w:r>
      <w:proofErr w:type="spellEnd"/>
      <w:r>
        <w:t xml:space="preserve"> A.</w:t>
      </w:r>
      <w:r w:rsidRPr="00CA4B2F">
        <w:t>,</w:t>
      </w:r>
      <w:r>
        <w:t xml:space="preserve"> 2020,</w:t>
      </w:r>
      <w:r w:rsidRPr="00CA4B2F">
        <w:t xml:space="preserve"> Brewer’s Spent Grains—Valuable Beer Industry By-Product,</w:t>
      </w:r>
      <w:r>
        <w:t xml:space="preserve"> </w:t>
      </w:r>
      <w:r w:rsidRPr="00CA4B2F">
        <w:t>Biomol</w:t>
      </w:r>
      <w:r>
        <w:t>ecules</w:t>
      </w:r>
      <w:r w:rsidRPr="00CA4B2F">
        <w:t>,</w:t>
      </w:r>
      <w:r>
        <w:t xml:space="preserve"> </w:t>
      </w:r>
      <w:r w:rsidRPr="00CA4B2F">
        <w:t>10, 1669</w:t>
      </w:r>
      <w:r>
        <w:t>.</w:t>
      </w:r>
      <w:r w:rsidR="00DF5B20">
        <w:t xml:space="preserve"> </w:t>
      </w:r>
    </w:p>
    <w:p w14:paraId="2362EA36" w14:textId="3EA3338D" w:rsidR="005A7E2F" w:rsidRDefault="005A7E2F" w:rsidP="006F6A18">
      <w:pPr>
        <w:pStyle w:val="CETReferencetext"/>
      </w:pPr>
      <w:proofErr w:type="spellStart"/>
      <w:r w:rsidRPr="00CA4B2F">
        <w:t>Jackowski</w:t>
      </w:r>
      <w:proofErr w:type="spellEnd"/>
      <w:r>
        <w:t xml:space="preserve"> M.</w:t>
      </w:r>
      <w:r w:rsidRPr="00CA4B2F">
        <w:t>,</w:t>
      </w:r>
      <w:r>
        <w:t xml:space="preserve"> Semba D., </w:t>
      </w:r>
      <w:proofErr w:type="spellStart"/>
      <w:r>
        <w:t>Trusek</w:t>
      </w:r>
      <w:proofErr w:type="spellEnd"/>
      <w:r>
        <w:t xml:space="preserve"> A., </w:t>
      </w:r>
      <w:proofErr w:type="spellStart"/>
      <w:r w:rsidRPr="005A7E2F">
        <w:t>Wnukowski</w:t>
      </w:r>
      <w:proofErr w:type="spellEnd"/>
      <w:r>
        <w:t xml:space="preserve"> M., </w:t>
      </w:r>
      <w:proofErr w:type="spellStart"/>
      <w:r>
        <w:t>Niedzwiecki</w:t>
      </w:r>
      <w:proofErr w:type="spellEnd"/>
      <w:r>
        <w:t xml:space="preserve"> L., Baranowski M., </w:t>
      </w:r>
      <w:proofErr w:type="spellStart"/>
      <w:r>
        <w:t>Krochmalny</w:t>
      </w:r>
      <w:proofErr w:type="spellEnd"/>
      <w:r>
        <w:t xml:space="preserve"> K., Pawlak-</w:t>
      </w:r>
      <w:proofErr w:type="spellStart"/>
      <w:r>
        <w:t>Kruczek</w:t>
      </w:r>
      <w:proofErr w:type="spellEnd"/>
      <w:r>
        <w:t xml:space="preserve"> H., 2019, Hydrothermal Carbonization of Brewery’s Spent Grains for the Production of Solid Biofuels, Beverages, 5, 12.</w:t>
      </w:r>
    </w:p>
    <w:p w14:paraId="271E3363" w14:textId="77777777" w:rsidR="00F24D43" w:rsidRDefault="00DF5B20" w:rsidP="0052610C">
      <w:pPr>
        <w:pStyle w:val="CETReferencetext"/>
      </w:pPr>
      <w:r w:rsidRPr="00DF5B20">
        <w:t>Liguori</w:t>
      </w:r>
      <w:r>
        <w:t xml:space="preserve"> R.</w:t>
      </w:r>
      <w:r w:rsidRPr="00DF5B20">
        <w:t xml:space="preserve">, </w:t>
      </w:r>
      <w:proofErr w:type="spellStart"/>
      <w:r w:rsidRPr="00DF5B20">
        <w:t>Soccol</w:t>
      </w:r>
      <w:proofErr w:type="spellEnd"/>
      <w:r>
        <w:t xml:space="preserve"> </w:t>
      </w:r>
      <w:r w:rsidRPr="00DF5B20">
        <w:t xml:space="preserve">C.R., de Souza </w:t>
      </w:r>
      <w:proofErr w:type="spellStart"/>
      <w:r w:rsidRPr="00DF5B20">
        <w:t>Vandenberghe</w:t>
      </w:r>
      <w:proofErr w:type="spellEnd"/>
      <w:r>
        <w:t xml:space="preserve"> </w:t>
      </w:r>
      <w:r w:rsidRPr="00DF5B20">
        <w:t xml:space="preserve">L.P., </w:t>
      </w:r>
      <w:proofErr w:type="spellStart"/>
      <w:r w:rsidRPr="00DF5B20">
        <w:t>Woiciechowski</w:t>
      </w:r>
      <w:proofErr w:type="spellEnd"/>
      <w:r>
        <w:t xml:space="preserve"> </w:t>
      </w:r>
      <w:r w:rsidRPr="00DF5B20">
        <w:t xml:space="preserve">A.L., </w:t>
      </w:r>
      <w:proofErr w:type="spellStart"/>
      <w:r w:rsidRPr="00DF5B20">
        <w:t>Faraco</w:t>
      </w:r>
      <w:proofErr w:type="spellEnd"/>
      <w:r>
        <w:t xml:space="preserve"> </w:t>
      </w:r>
      <w:r w:rsidRPr="00DF5B20">
        <w:t>V.,</w:t>
      </w:r>
      <w:r>
        <w:t xml:space="preserve"> 2015, </w:t>
      </w:r>
      <w:r w:rsidRPr="00DF5B20">
        <w:t>Second Generation Ethanol Production from Brewers’ Spent Grain, Energies</w:t>
      </w:r>
      <w:r>
        <w:t>,</w:t>
      </w:r>
      <w:r w:rsidRPr="00DF5B20">
        <w:t xml:space="preserve"> 8, 2575-2586.</w:t>
      </w:r>
      <w:r w:rsidR="00F24D43">
        <w:t xml:space="preserve"> </w:t>
      </w:r>
    </w:p>
    <w:p w14:paraId="24229A69" w14:textId="5BB4D0D4" w:rsidR="00CA4B2F" w:rsidRDefault="00F24D43" w:rsidP="0052610C">
      <w:pPr>
        <w:pStyle w:val="CETReferencetext"/>
      </w:pPr>
      <w:r>
        <w:t xml:space="preserve">Lowry </w:t>
      </w:r>
      <w:r w:rsidRPr="00F24D43">
        <w:t xml:space="preserve">O.H., </w:t>
      </w:r>
      <w:proofErr w:type="spellStart"/>
      <w:r w:rsidRPr="00F24D43">
        <w:t>R</w:t>
      </w:r>
      <w:r>
        <w:t>osebrough</w:t>
      </w:r>
      <w:proofErr w:type="spellEnd"/>
      <w:r>
        <w:t xml:space="preserve"> </w:t>
      </w:r>
      <w:r w:rsidRPr="00F24D43">
        <w:t>N.J., F</w:t>
      </w:r>
      <w:r>
        <w:t xml:space="preserve">arr </w:t>
      </w:r>
      <w:r w:rsidRPr="00F24D43">
        <w:t>A.L., R</w:t>
      </w:r>
      <w:r>
        <w:t xml:space="preserve">andall </w:t>
      </w:r>
      <w:r w:rsidRPr="00F24D43">
        <w:t xml:space="preserve">R.J., </w:t>
      </w:r>
      <w:r>
        <w:t xml:space="preserve">1951, </w:t>
      </w:r>
      <w:r w:rsidRPr="00F24D43">
        <w:t xml:space="preserve">Protein measurement with the </w:t>
      </w:r>
      <w:proofErr w:type="spellStart"/>
      <w:r w:rsidRPr="00F24D43">
        <w:t>Folin</w:t>
      </w:r>
      <w:proofErr w:type="spellEnd"/>
      <w:r w:rsidRPr="00F24D43">
        <w:t xml:space="preserve"> phenol reagent, J</w:t>
      </w:r>
      <w:r>
        <w:t>ournal of</w:t>
      </w:r>
      <w:r w:rsidRPr="00F24D43">
        <w:t xml:space="preserve"> Biol</w:t>
      </w:r>
      <w:r>
        <w:t>ogical</w:t>
      </w:r>
      <w:r w:rsidRPr="00F24D43">
        <w:t xml:space="preserve"> Chem</w:t>
      </w:r>
      <w:r>
        <w:t>istry,</w:t>
      </w:r>
      <w:r w:rsidRPr="00F24D43">
        <w:t xml:space="preserve"> 193</w:t>
      </w:r>
      <w:r>
        <w:t>,</w:t>
      </w:r>
      <w:r w:rsidRPr="00F24D43">
        <w:t xml:space="preserve"> 265–275</w:t>
      </w:r>
      <w:r>
        <w:t>.</w:t>
      </w:r>
    </w:p>
    <w:p w14:paraId="702DE376" w14:textId="77777777" w:rsidR="00837B48" w:rsidRDefault="005D50A1" w:rsidP="005D50A1">
      <w:pPr>
        <w:pStyle w:val="CETReferencetext"/>
      </w:pPr>
      <w:proofErr w:type="spellStart"/>
      <w:r w:rsidRPr="00750340">
        <w:t>Macheiner</w:t>
      </w:r>
      <w:proofErr w:type="spellEnd"/>
      <w:r>
        <w:t xml:space="preserve"> D.</w:t>
      </w:r>
      <w:r w:rsidRPr="00750340">
        <w:t xml:space="preserve">, </w:t>
      </w:r>
      <w:proofErr w:type="spellStart"/>
      <w:r w:rsidRPr="00750340">
        <w:t>Adamitsch</w:t>
      </w:r>
      <w:proofErr w:type="spellEnd"/>
      <w:r>
        <w:t xml:space="preserve"> </w:t>
      </w:r>
      <w:r w:rsidRPr="00750340">
        <w:t xml:space="preserve">B.F., </w:t>
      </w:r>
      <w:proofErr w:type="spellStart"/>
      <w:r w:rsidRPr="00750340">
        <w:t>Karner</w:t>
      </w:r>
      <w:proofErr w:type="spellEnd"/>
      <w:r>
        <w:t xml:space="preserve"> F.</w:t>
      </w:r>
      <w:r w:rsidRPr="00750340">
        <w:t>, Hampel</w:t>
      </w:r>
      <w:r>
        <w:t xml:space="preserve"> </w:t>
      </w:r>
      <w:r w:rsidRPr="00750340">
        <w:t>W.A.,</w:t>
      </w:r>
      <w:r>
        <w:t xml:space="preserve"> 2003,</w:t>
      </w:r>
      <w:r w:rsidRPr="00750340">
        <w:t xml:space="preserve"> </w:t>
      </w:r>
      <w:proofErr w:type="spellStart"/>
      <w:r w:rsidRPr="00750340">
        <w:t>Pretreatment</w:t>
      </w:r>
      <w:proofErr w:type="spellEnd"/>
      <w:r w:rsidRPr="00750340">
        <w:t xml:space="preserve"> and Hydrolysis of Brewer’s Spent Grains, Eng</w:t>
      </w:r>
      <w:r>
        <w:t>ineering</w:t>
      </w:r>
      <w:r w:rsidRPr="00750340">
        <w:t xml:space="preserve"> Life Sci</w:t>
      </w:r>
      <w:r>
        <w:t>ences,</w:t>
      </w:r>
      <w:r w:rsidRPr="00750340">
        <w:t xml:space="preserve"> 3</w:t>
      </w:r>
      <w:r>
        <w:t xml:space="preserve">, </w:t>
      </w:r>
      <w:r w:rsidRPr="00750340">
        <w:t>401–405</w:t>
      </w:r>
      <w:r>
        <w:t>.</w:t>
      </w:r>
      <w:r w:rsidR="00837B48">
        <w:t xml:space="preserve"> </w:t>
      </w:r>
    </w:p>
    <w:p w14:paraId="76719D94" w14:textId="5BBEAC57" w:rsidR="005D50A1" w:rsidRDefault="00837B48" w:rsidP="005D50A1">
      <w:pPr>
        <w:pStyle w:val="CETReferencetext"/>
      </w:pPr>
      <w:proofErr w:type="spellStart"/>
      <w:r w:rsidRPr="00837B48">
        <w:t>Makkar</w:t>
      </w:r>
      <w:proofErr w:type="spellEnd"/>
      <w:r>
        <w:t xml:space="preserve"> </w:t>
      </w:r>
      <w:r w:rsidRPr="00837B48">
        <w:t>H.P.S.,</w:t>
      </w:r>
      <w:r>
        <w:t xml:space="preserve"> 2003,</w:t>
      </w:r>
      <w:r w:rsidRPr="00837B48">
        <w:t xml:space="preserve"> Measurement of Total Phenolics and Tannins Using </w:t>
      </w:r>
      <w:proofErr w:type="spellStart"/>
      <w:r w:rsidRPr="00837B48">
        <w:t>Folin-Ciocalteu</w:t>
      </w:r>
      <w:proofErr w:type="spellEnd"/>
      <w:r w:rsidRPr="00837B48">
        <w:t xml:space="preserve"> Method, Quantif</w:t>
      </w:r>
      <w:r>
        <w:t>ication of</w:t>
      </w:r>
      <w:r w:rsidRPr="00837B48">
        <w:t xml:space="preserve"> Tann</w:t>
      </w:r>
      <w:r>
        <w:t>ins in</w:t>
      </w:r>
      <w:r w:rsidRPr="00837B48">
        <w:t xml:space="preserve"> Tree </w:t>
      </w:r>
      <w:r>
        <w:t xml:space="preserve">and </w:t>
      </w:r>
      <w:r w:rsidRPr="00837B48">
        <w:t>Shrub Foliage</w:t>
      </w:r>
      <w:r>
        <w:t>, Vienna, Austria,</w:t>
      </w:r>
      <w:r w:rsidRPr="00837B48">
        <w:t xml:space="preserve"> 49–51.</w:t>
      </w:r>
    </w:p>
    <w:p w14:paraId="3CE6624B" w14:textId="26D403B3" w:rsidR="006A7D51" w:rsidRDefault="006A7D51" w:rsidP="005D50A1">
      <w:pPr>
        <w:pStyle w:val="CETReferencetext"/>
      </w:pPr>
      <w:r>
        <w:t xml:space="preserve">Mendez D.A., Marti E., </w:t>
      </w:r>
      <w:proofErr w:type="spellStart"/>
      <w:r>
        <w:t>Puyuelo</w:t>
      </w:r>
      <w:proofErr w:type="spellEnd"/>
      <w:r>
        <w:t xml:space="preserve"> B., Colon J., </w:t>
      </w:r>
      <w:proofErr w:type="spellStart"/>
      <w:r>
        <w:t>Ponsa</w:t>
      </w:r>
      <w:proofErr w:type="spellEnd"/>
      <w:r>
        <w:t xml:space="preserve"> S., 2018, Evaluation of pre-treatments of brewery’s spent grain for growing bacteria in the production of Polyhydroxyalkanoates, </w:t>
      </w:r>
      <w:r w:rsidR="00DC0A2B">
        <w:t>Chemical Engineering Transactions, 65, 403-408.</w:t>
      </w:r>
    </w:p>
    <w:p w14:paraId="54978CEE" w14:textId="7E30B329" w:rsidR="00291E8D" w:rsidRDefault="003B171E" w:rsidP="0052610C">
      <w:pPr>
        <w:pStyle w:val="CETReferencetext"/>
      </w:pPr>
      <w:r w:rsidRPr="003B171E">
        <w:t>Miller</w:t>
      </w:r>
      <w:r>
        <w:t xml:space="preserve"> </w:t>
      </w:r>
      <w:r w:rsidRPr="003B171E">
        <w:t>G.L.,</w:t>
      </w:r>
      <w:r>
        <w:t xml:space="preserve"> 2002,</w:t>
      </w:r>
      <w:r w:rsidRPr="003B171E">
        <w:t xml:space="preserve"> Use of </w:t>
      </w:r>
      <w:proofErr w:type="spellStart"/>
      <w:r w:rsidRPr="003B171E">
        <w:t>Dinitrosalicylic</w:t>
      </w:r>
      <w:proofErr w:type="spellEnd"/>
      <w:r w:rsidRPr="003B171E">
        <w:t xml:space="preserve"> Acid Reagent for Determination of Reducing Sugar, Anal</w:t>
      </w:r>
      <w:r>
        <w:t>ytical</w:t>
      </w:r>
      <w:r w:rsidRPr="003B171E">
        <w:t xml:space="preserve"> Chem</w:t>
      </w:r>
      <w:r>
        <w:t>istry,</w:t>
      </w:r>
      <w:r w:rsidRPr="003B171E">
        <w:t xml:space="preserve"> 31</w:t>
      </w:r>
      <w:r>
        <w:t>,</w:t>
      </w:r>
      <w:r w:rsidRPr="003B171E">
        <w:t xml:space="preserve"> 426–428.</w:t>
      </w:r>
    </w:p>
    <w:p w14:paraId="1C7EA57E" w14:textId="77777777" w:rsidR="00C256C2" w:rsidRDefault="0050395A" w:rsidP="0052610C">
      <w:pPr>
        <w:pStyle w:val="CETReferencetext"/>
      </w:pPr>
      <w:r>
        <w:t xml:space="preserve">Mishra P.K., Gregor T., </w:t>
      </w:r>
      <w:proofErr w:type="spellStart"/>
      <w:r>
        <w:t>Wimmer</w:t>
      </w:r>
      <w:proofErr w:type="spellEnd"/>
      <w:r>
        <w:t xml:space="preserve"> R., 2017, </w:t>
      </w:r>
      <w:proofErr w:type="spellStart"/>
      <w:r>
        <w:t>Utlising</w:t>
      </w:r>
      <w:proofErr w:type="spellEnd"/>
      <w:r>
        <w:t xml:space="preserve"> brewer’s spent grain as a source of cellulose nanofibers following separation of protein-based biomass, </w:t>
      </w:r>
      <w:proofErr w:type="spellStart"/>
      <w:r>
        <w:t>BioResources</w:t>
      </w:r>
      <w:proofErr w:type="spellEnd"/>
      <w:r>
        <w:t>, 12, 107-116.</w:t>
      </w:r>
      <w:r w:rsidR="00C256C2">
        <w:t xml:space="preserve"> </w:t>
      </w:r>
    </w:p>
    <w:p w14:paraId="2D561B77" w14:textId="712D3E3E" w:rsidR="0050395A" w:rsidRDefault="00C256C2" w:rsidP="0052610C">
      <w:pPr>
        <w:pStyle w:val="CETReferencetext"/>
      </w:pPr>
      <w:proofErr w:type="spellStart"/>
      <w:r w:rsidRPr="00C256C2">
        <w:t>Mussatto</w:t>
      </w:r>
      <w:proofErr w:type="spellEnd"/>
      <w:r>
        <w:t xml:space="preserve"> </w:t>
      </w:r>
      <w:r w:rsidRPr="00C256C2">
        <w:t xml:space="preserve">S.I., </w:t>
      </w:r>
      <w:proofErr w:type="spellStart"/>
      <w:r w:rsidRPr="00C256C2">
        <w:t>Dragone</w:t>
      </w:r>
      <w:proofErr w:type="spellEnd"/>
      <w:r>
        <w:t xml:space="preserve"> </w:t>
      </w:r>
      <w:r w:rsidRPr="00C256C2">
        <w:t>G., Roberto</w:t>
      </w:r>
      <w:r>
        <w:t xml:space="preserve"> </w:t>
      </w:r>
      <w:r w:rsidRPr="00C256C2">
        <w:t xml:space="preserve">I.C., </w:t>
      </w:r>
      <w:r w:rsidR="00F04FC8">
        <w:t xml:space="preserve">2007, </w:t>
      </w:r>
      <w:r w:rsidRPr="00C256C2">
        <w:t>Ferulic and p-coumaric acids extraction by alkaline hydrolysis of brewer’s spent grain, Ind</w:t>
      </w:r>
      <w:r w:rsidR="00F04FC8">
        <w:t>ustrial</w:t>
      </w:r>
      <w:r w:rsidRPr="00C256C2">
        <w:t xml:space="preserve"> Crops</w:t>
      </w:r>
      <w:r w:rsidR="00F04FC8">
        <w:t xml:space="preserve"> and</w:t>
      </w:r>
      <w:r w:rsidRPr="00C256C2">
        <w:t xml:space="preserve"> Prod</w:t>
      </w:r>
      <w:r w:rsidR="00F04FC8">
        <w:t>ucts,</w:t>
      </w:r>
      <w:r w:rsidRPr="00C256C2">
        <w:t xml:space="preserve"> 25</w:t>
      </w:r>
      <w:r w:rsidR="00F04FC8">
        <w:t>,</w:t>
      </w:r>
      <w:r w:rsidRPr="00C256C2">
        <w:t xml:space="preserve"> 231–237.</w:t>
      </w:r>
    </w:p>
    <w:p w14:paraId="4CE26EE1" w14:textId="25C49BA9" w:rsidR="007B099A" w:rsidRDefault="00AB1A5B" w:rsidP="00AB1A5B">
      <w:pPr>
        <w:pStyle w:val="CETReferencetext"/>
      </w:pPr>
      <w:r w:rsidRPr="00AB1A5B">
        <w:t>Ravindran</w:t>
      </w:r>
      <w:r>
        <w:t xml:space="preserve"> R.</w:t>
      </w:r>
      <w:r w:rsidRPr="00AB1A5B">
        <w:t>, Jaiswal</w:t>
      </w:r>
      <w:r>
        <w:t xml:space="preserve"> </w:t>
      </w:r>
      <w:r w:rsidRPr="00AB1A5B">
        <w:t>A.K.,</w:t>
      </w:r>
      <w:r>
        <w:t xml:space="preserve"> 2016</w:t>
      </w:r>
      <w:r w:rsidR="007B099A">
        <w:t>a</w:t>
      </w:r>
      <w:r>
        <w:t>,</w:t>
      </w:r>
      <w:r w:rsidRPr="00AB1A5B">
        <w:t xml:space="preserve"> Microbial Enzyme Production Using Lignocellulosic Food Industry Wastes as Feedstock: A Review, Bioeng</w:t>
      </w:r>
      <w:r>
        <w:t>ineering</w:t>
      </w:r>
      <w:r w:rsidRPr="00AB1A5B">
        <w:t>, 3, 30.</w:t>
      </w:r>
      <w:r w:rsidR="007B099A">
        <w:t xml:space="preserve"> </w:t>
      </w:r>
    </w:p>
    <w:p w14:paraId="5353D7A0" w14:textId="34B4841E" w:rsidR="00AB1A5B" w:rsidRDefault="007B099A" w:rsidP="00AB1A5B">
      <w:pPr>
        <w:pStyle w:val="CETReferencetext"/>
      </w:pPr>
      <w:r w:rsidRPr="00AB1A5B">
        <w:t>Ravindran</w:t>
      </w:r>
      <w:r>
        <w:t xml:space="preserve"> R.</w:t>
      </w:r>
      <w:r w:rsidRPr="00AB1A5B">
        <w:t>, Jaiswal</w:t>
      </w:r>
      <w:r>
        <w:t xml:space="preserve"> </w:t>
      </w:r>
      <w:r w:rsidRPr="00AB1A5B">
        <w:t>A.K.,</w:t>
      </w:r>
      <w:r>
        <w:t xml:space="preserve"> 2016b, </w:t>
      </w:r>
      <w:r w:rsidRPr="007B099A">
        <w:t>A comprehensive review on pre-treatment strategy for lignocellulosic food industry waste: Challenges and opportunities, Bioresour</w:t>
      </w:r>
      <w:r>
        <w:t>ce</w:t>
      </w:r>
      <w:r w:rsidRPr="007B099A">
        <w:t xml:space="preserve"> Technol</w:t>
      </w:r>
      <w:r>
        <w:t>ogy,</w:t>
      </w:r>
      <w:r w:rsidRPr="007B099A">
        <w:t xml:space="preserve"> 199</w:t>
      </w:r>
      <w:r>
        <w:t>,</w:t>
      </w:r>
      <w:r w:rsidRPr="007B099A">
        <w:t xml:space="preserve"> 92–102</w:t>
      </w:r>
      <w:r>
        <w:t>.</w:t>
      </w:r>
    </w:p>
    <w:p w14:paraId="0621E971" w14:textId="77777777" w:rsidR="005A2AB0" w:rsidRDefault="00291E8D" w:rsidP="0052610C">
      <w:pPr>
        <w:pStyle w:val="CETReferencetext"/>
      </w:pPr>
      <w:r w:rsidRPr="00291E8D">
        <w:t>Ravindran</w:t>
      </w:r>
      <w:r>
        <w:t xml:space="preserve"> R.</w:t>
      </w:r>
      <w:r w:rsidRPr="00291E8D">
        <w:t>, Jaiswal</w:t>
      </w:r>
      <w:r>
        <w:t xml:space="preserve"> S.</w:t>
      </w:r>
      <w:r w:rsidRPr="00291E8D">
        <w:t>, Abu-</w:t>
      </w:r>
      <w:proofErr w:type="spellStart"/>
      <w:r w:rsidRPr="00291E8D">
        <w:t>Ghannam</w:t>
      </w:r>
      <w:proofErr w:type="spellEnd"/>
      <w:r>
        <w:t xml:space="preserve"> N.</w:t>
      </w:r>
      <w:r w:rsidRPr="00291E8D">
        <w:t>, Jaiswal</w:t>
      </w:r>
      <w:r>
        <w:t xml:space="preserve"> </w:t>
      </w:r>
      <w:r w:rsidRPr="00291E8D">
        <w:t>A.K.,</w:t>
      </w:r>
      <w:r>
        <w:t xml:space="preserve"> 2018,</w:t>
      </w:r>
      <w:r w:rsidRPr="00291E8D">
        <w:t xml:space="preserve"> A comparative analysis of </w:t>
      </w:r>
      <w:proofErr w:type="spellStart"/>
      <w:r w:rsidRPr="00291E8D">
        <w:t>pretreatment</w:t>
      </w:r>
      <w:proofErr w:type="spellEnd"/>
      <w:r w:rsidRPr="00291E8D">
        <w:t xml:space="preserve"> strategies on the properties and hydrolysis of brewers’ spent grain, Bioresour</w:t>
      </w:r>
      <w:r>
        <w:t>ce</w:t>
      </w:r>
      <w:r w:rsidRPr="00291E8D">
        <w:t xml:space="preserve"> </w:t>
      </w:r>
      <w:proofErr w:type="spellStart"/>
      <w:r w:rsidRPr="00291E8D">
        <w:t>Technol</w:t>
      </w:r>
      <w:r>
        <w:t>nology</w:t>
      </w:r>
      <w:proofErr w:type="spellEnd"/>
      <w:r>
        <w:t>,</w:t>
      </w:r>
      <w:r w:rsidRPr="00291E8D">
        <w:t xml:space="preserve"> 248</w:t>
      </w:r>
      <w:r>
        <w:t xml:space="preserve">, </w:t>
      </w:r>
      <w:r w:rsidRPr="00291E8D">
        <w:t>272–279.</w:t>
      </w:r>
      <w:r w:rsidR="00CA4B2F">
        <w:t xml:space="preserve"> </w:t>
      </w:r>
      <w:r w:rsidR="005257F4">
        <w:t xml:space="preserve"> </w:t>
      </w:r>
    </w:p>
    <w:p w14:paraId="3AB0FC74" w14:textId="56E72E07" w:rsidR="006C1EAE" w:rsidRDefault="005A2AB0" w:rsidP="0052610C">
      <w:pPr>
        <w:pStyle w:val="CETReferencetext"/>
      </w:pPr>
      <w:proofErr w:type="spellStart"/>
      <w:r w:rsidRPr="005A2AB0">
        <w:t>Sibhatu</w:t>
      </w:r>
      <w:proofErr w:type="spellEnd"/>
      <w:r>
        <w:t xml:space="preserve"> </w:t>
      </w:r>
      <w:r w:rsidRPr="005A2AB0">
        <w:t xml:space="preserve">H.K., </w:t>
      </w:r>
      <w:proofErr w:type="spellStart"/>
      <w:r w:rsidRPr="005A2AB0">
        <w:t>Jabasingh</w:t>
      </w:r>
      <w:proofErr w:type="spellEnd"/>
      <w:r>
        <w:t xml:space="preserve"> S.A.</w:t>
      </w:r>
      <w:r w:rsidRPr="005A2AB0">
        <w:t xml:space="preserve">, </w:t>
      </w:r>
      <w:proofErr w:type="spellStart"/>
      <w:r w:rsidRPr="005A2AB0">
        <w:t>Yimam</w:t>
      </w:r>
      <w:proofErr w:type="spellEnd"/>
      <w:r>
        <w:t xml:space="preserve"> </w:t>
      </w:r>
      <w:r w:rsidRPr="005A2AB0">
        <w:t>A., Ahmed</w:t>
      </w:r>
      <w:r>
        <w:t xml:space="preserve"> </w:t>
      </w:r>
      <w:r w:rsidRPr="005A2AB0">
        <w:t>S.,</w:t>
      </w:r>
      <w:r>
        <w:t xml:space="preserve"> 2021,</w:t>
      </w:r>
      <w:r w:rsidRPr="005A2AB0">
        <w:t xml:space="preserve"> Ferulic acid production from brewery spent grains, an agro-industrial waste, LWT - Food Science and Technology</w:t>
      </w:r>
      <w:r>
        <w:t xml:space="preserve">, </w:t>
      </w:r>
      <w:r w:rsidRPr="005A2AB0">
        <w:t>135</w:t>
      </w:r>
      <w:r>
        <w:t xml:space="preserve">, </w:t>
      </w:r>
      <w:r w:rsidRPr="005A2AB0">
        <w:t>110009.</w:t>
      </w:r>
    </w:p>
    <w:p w14:paraId="33ECC9E6" w14:textId="6D5134BD" w:rsidR="00750340" w:rsidRDefault="006C1EAE" w:rsidP="0052610C">
      <w:pPr>
        <w:pStyle w:val="CETReferencetext"/>
      </w:pPr>
      <w:r w:rsidRPr="006C1EAE">
        <w:t>Wolters</w:t>
      </w:r>
      <w:r>
        <w:t xml:space="preserve"> N.</w:t>
      </w:r>
      <w:r w:rsidRPr="006C1EAE">
        <w:t xml:space="preserve">, </w:t>
      </w:r>
      <w:proofErr w:type="spellStart"/>
      <w:r w:rsidRPr="006C1EAE">
        <w:t>Schabronath</w:t>
      </w:r>
      <w:proofErr w:type="spellEnd"/>
      <w:r>
        <w:t xml:space="preserve"> C.</w:t>
      </w:r>
      <w:r w:rsidRPr="006C1EAE">
        <w:t xml:space="preserve">, </w:t>
      </w:r>
      <w:proofErr w:type="spellStart"/>
      <w:r w:rsidRPr="006C1EAE">
        <w:t>Schembecker</w:t>
      </w:r>
      <w:proofErr w:type="spellEnd"/>
      <w:r>
        <w:t xml:space="preserve"> G.</w:t>
      </w:r>
      <w:r w:rsidRPr="006C1EAE">
        <w:t>, Merz</w:t>
      </w:r>
      <w:r>
        <w:t xml:space="preserve"> J.</w:t>
      </w:r>
      <w:r w:rsidRPr="006C1EAE">
        <w:t xml:space="preserve">, </w:t>
      </w:r>
      <w:r>
        <w:t xml:space="preserve">2016, </w:t>
      </w:r>
      <w:r w:rsidRPr="006C1EAE">
        <w:t xml:space="preserve">Efficient conversion of </w:t>
      </w:r>
      <w:proofErr w:type="spellStart"/>
      <w:r w:rsidRPr="006C1EAE">
        <w:t>pretreated</w:t>
      </w:r>
      <w:proofErr w:type="spellEnd"/>
      <w:r w:rsidRPr="006C1EAE">
        <w:t xml:space="preserve"> brewer’s spent grain and wheat bran by submerged cultivation of </w:t>
      </w:r>
      <w:proofErr w:type="spellStart"/>
      <w:r w:rsidRPr="006C1EAE">
        <w:t>Hericium</w:t>
      </w:r>
      <w:proofErr w:type="spellEnd"/>
      <w:r w:rsidRPr="006C1EAE">
        <w:t xml:space="preserve"> </w:t>
      </w:r>
      <w:proofErr w:type="spellStart"/>
      <w:r w:rsidRPr="006C1EAE">
        <w:t>erinaceus</w:t>
      </w:r>
      <w:proofErr w:type="spellEnd"/>
      <w:r w:rsidRPr="006C1EAE">
        <w:t>, Bioresour</w:t>
      </w:r>
      <w:r>
        <w:t xml:space="preserve">ce </w:t>
      </w:r>
      <w:r w:rsidRPr="006C1EAE">
        <w:t>Technol</w:t>
      </w:r>
      <w:r>
        <w:t>ogy,</w:t>
      </w:r>
      <w:r w:rsidRPr="006C1EAE">
        <w:t xml:space="preserve"> 222</w:t>
      </w:r>
      <w:r>
        <w:t>,</w:t>
      </w:r>
      <w:r w:rsidRPr="006C1EAE">
        <w:t xml:space="preserve"> 123–129.</w:t>
      </w:r>
    </w:p>
    <w:p w14:paraId="4FD64BF6" w14:textId="77777777" w:rsidR="00762596" w:rsidRPr="00B57B36" w:rsidRDefault="00762596" w:rsidP="008A1F55">
      <w:pPr>
        <w:pStyle w:val="CETBodytext"/>
        <w:jc w:val="left"/>
        <w:rPr>
          <w:lang w:val="en-GB"/>
        </w:rPr>
      </w:pPr>
    </w:p>
    <w:sectPr w:rsidR="00762596" w:rsidRPr="00B57B3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54204" w14:textId="77777777" w:rsidR="00492E46" w:rsidRDefault="00492E46" w:rsidP="004F5E36">
      <w:r>
        <w:separator/>
      </w:r>
    </w:p>
  </w:endnote>
  <w:endnote w:type="continuationSeparator" w:id="0">
    <w:p w14:paraId="796F953C" w14:textId="77777777" w:rsidR="00492E46" w:rsidRDefault="00492E4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3D9A3" w14:textId="77777777" w:rsidR="00492E46" w:rsidRDefault="00492E46" w:rsidP="004F5E36">
      <w:r>
        <w:separator/>
      </w:r>
    </w:p>
  </w:footnote>
  <w:footnote w:type="continuationSeparator" w:id="0">
    <w:p w14:paraId="67938A08" w14:textId="77777777" w:rsidR="00492E46" w:rsidRDefault="00492E4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6E5082"/>
    <w:multiLevelType w:val="hybridMultilevel"/>
    <w:tmpl w:val="9078CC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6"/>
  </w:num>
  <w:num w:numId="21">
    <w:abstractNumId w:val="15"/>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4F7"/>
    <w:rsid w:val="000071C8"/>
    <w:rsid w:val="000117CB"/>
    <w:rsid w:val="0003148D"/>
    <w:rsid w:val="00031EEC"/>
    <w:rsid w:val="00037CA0"/>
    <w:rsid w:val="00040F22"/>
    <w:rsid w:val="00051566"/>
    <w:rsid w:val="00062A46"/>
    <w:rsid w:val="00062A9A"/>
    <w:rsid w:val="00065058"/>
    <w:rsid w:val="00067F48"/>
    <w:rsid w:val="00082467"/>
    <w:rsid w:val="00086C39"/>
    <w:rsid w:val="000943EE"/>
    <w:rsid w:val="000A03B2"/>
    <w:rsid w:val="000A4418"/>
    <w:rsid w:val="000D0268"/>
    <w:rsid w:val="000D0323"/>
    <w:rsid w:val="000D34BE"/>
    <w:rsid w:val="000E102F"/>
    <w:rsid w:val="000E36F1"/>
    <w:rsid w:val="000E3A73"/>
    <w:rsid w:val="000E414A"/>
    <w:rsid w:val="000F090D"/>
    <w:rsid w:val="000F093C"/>
    <w:rsid w:val="000F787B"/>
    <w:rsid w:val="00103AC6"/>
    <w:rsid w:val="001059F6"/>
    <w:rsid w:val="0012091F"/>
    <w:rsid w:val="00124B75"/>
    <w:rsid w:val="00126BC2"/>
    <w:rsid w:val="001308B6"/>
    <w:rsid w:val="0013121F"/>
    <w:rsid w:val="00131FE6"/>
    <w:rsid w:val="0013263F"/>
    <w:rsid w:val="001331DF"/>
    <w:rsid w:val="00134DE4"/>
    <w:rsid w:val="0014034D"/>
    <w:rsid w:val="00144D16"/>
    <w:rsid w:val="00146949"/>
    <w:rsid w:val="00150E59"/>
    <w:rsid w:val="00151729"/>
    <w:rsid w:val="00152DE3"/>
    <w:rsid w:val="0015470E"/>
    <w:rsid w:val="0015497E"/>
    <w:rsid w:val="00155DF7"/>
    <w:rsid w:val="00164CF9"/>
    <w:rsid w:val="001667A6"/>
    <w:rsid w:val="001753FA"/>
    <w:rsid w:val="00180294"/>
    <w:rsid w:val="00181454"/>
    <w:rsid w:val="00184AD6"/>
    <w:rsid w:val="001872A3"/>
    <w:rsid w:val="001947B3"/>
    <w:rsid w:val="001A4AF7"/>
    <w:rsid w:val="001B0349"/>
    <w:rsid w:val="001B1E93"/>
    <w:rsid w:val="001B65C1"/>
    <w:rsid w:val="001C349D"/>
    <w:rsid w:val="001C437F"/>
    <w:rsid w:val="001C684B"/>
    <w:rsid w:val="001D0CFB"/>
    <w:rsid w:val="001D15BE"/>
    <w:rsid w:val="001D21AF"/>
    <w:rsid w:val="001D53FC"/>
    <w:rsid w:val="001E43A4"/>
    <w:rsid w:val="001E48EF"/>
    <w:rsid w:val="001E7BBA"/>
    <w:rsid w:val="001F42A5"/>
    <w:rsid w:val="001F4DE4"/>
    <w:rsid w:val="001F7B9D"/>
    <w:rsid w:val="00201C93"/>
    <w:rsid w:val="002224B4"/>
    <w:rsid w:val="0024129E"/>
    <w:rsid w:val="00242989"/>
    <w:rsid w:val="002447EF"/>
    <w:rsid w:val="00247B28"/>
    <w:rsid w:val="00251550"/>
    <w:rsid w:val="0025564E"/>
    <w:rsid w:val="00263B05"/>
    <w:rsid w:val="0027221A"/>
    <w:rsid w:val="00275103"/>
    <w:rsid w:val="00275B61"/>
    <w:rsid w:val="00280FAF"/>
    <w:rsid w:val="00282656"/>
    <w:rsid w:val="00285329"/>
    <w:rsid w:val="00291E8D"/>
    <w:rsid w:val="00296B83"/>
    <w:rsid w:val="002A075E"/>
    <w:rsid w:val="002B4015"/>
    <w:rsid w:val="002B78CE"/>
    <w:rsid w:val="002C2FB6"/>
    <w:rsid w:val="002C6A28"/>
    <w:rsid w:val="002D0E4F"/>
    <w:rsid w:val="002E52EA"/>
    <w:rsid w:val="002E5FA7"/>
    <w:rsid w:val="002F12B9"/>
    <w:rsid w:val="002F3309"/>
    <w:rsid w:val="002F6D87"/>
    <w:rsid w:val="003008CE"/>
    <w:rsid w:val="003009B7"/>
    <w:rsid w:val="00300E56"/>
    <w:rsid w:val="0030469C"/>
    <w:rsid w:val="00321CA6"/>
    <w:rsid w:val="00323763"/>
    <w:rsid w:val="003303FC"/>
    <w:rsid w:val="00334C09"/>
    <w:rsid w:val="00342E99"/>
    <w:rsid w:val="00344310"/>
    <w:rsid w:val="003723D4"/>
    <w:rsid w:val="00381905"/>
    <w:rsid w:val="00384CC8"/>
    <w:rsid w:val="003871FD"/>
    <w:rsid w:val="0039751B"/>
    <w:rsid w:val="003A1E30"/>
    <w:rsid w:val="003A2829"/>
    <w:rsid w:val="003A7D1C"/>
    <w:rsid w:val="003B171E"/>
    <w:rsid w:val="003B304B"/>
    <w:rsid w:val="003B3146"/>
    <w:rsid w:val="003B3BFD"/>
    <w:rsid w:val="003D33EA"/>
    <w:rsid w:val="003E22F5"/>
    <w:rsid w:val="003F015E"/>
    <w:rsid w:val="003F0EF5"/>
    <w:rsid w:val="003F2C47"/>
    <w:rsid w:val="003F4F60"/>
    <w:rsid w:val="003F6BFB"/>
    <w:rsid w:val="00400414"/>
    <w:rsid w:val="0041150F"/>
    <w:rsid w:val="0041446B"/>
    <w:rsid w:val="004161B9"/>
    <w:rsid w:val="00427BF2"/>
    <w:rsid w:val="00437162"/>
    <w:rsid w:val="0044071E"/>
    <w:rsid w:val="00441F4B"/>
    <w:rsid w:val="0044329C"/>
    <w:rsid w:val="004470A5"/>
    <w:rsid w:val="00450BE9"/>
    <w:rsid w:val="0045132D"/>
    <w:rsid w:val="00453E24"/>
    <w:rsid w:val="00457456"/>
    <w:rsid w:val="004577FE"/>
    <w:rsid w:val="00457B9C"/>
    <w:rsid w:val="0046164A"/>
    <w:rsid w:val="004628D2"/>
    <w:rsid w:val="00462DCD"/>
    <w:rsid w:val="004648AD"/>
    <w:rsid w:val="004703A9"/>
    <w:rsid w:val="004760DE"/>
    <w:rsid w:val="004763D7"/>
    <w:rsid w:val="00483F76"/>
    <w:rsid w:val="00492E46"/>
    <w:rsid w:val="004962FD"/>
    <w:rsid w:val="004A004E"/>
    <w:rsid w:val="004A24CF"/>
    <w:rsid w:val="004C1BD5"/>
    <w:rsid w:val="004C3D1D"/>
    <w:rsid w:val="004C7913"/>
    <w:rsid w:val="004D15D4"/>
    <w:rsid w:val="004D23C7"/>
    <w:rsid w:val="004E4DD6"/>
    <w:rsid w:val="004F5E36"/>
    <w:rsid w:val="00500F03"/>
    <w:rsid w:val="0050395A"/>
    <w:rsid w:val="00507B47"/>
    <w:rsid w:val="00507BEF"/>
    <w:rsid w:val="00507CC9"/>
    <w:rsid w:val="005119A5"/>
    <w:rsid w:val="00516545"/>
    <w:rsid w:val="005168BE"/>
    <w:rsid w:val="005257F4"/>
    <w:rsid w:val="0052610C"/>
    <w:rsid w:val="005278B7"/>
    <w:rsid w:val="00532016"/>
    <w:rsid w:val="005328DF"/>
    <w:rsid w:val="005346C8"/>
    <w:rsid w:val="00543E7D"/>
    <w:rsid w:val="00547A68"/>
    <w:rsid w:val="005531C9"/>
    <w:rsid w:val="0055490E"/>
    <w:rsid w:val="00570C43"/>
    <w:rsid w:val="00570D54"/>
    <w:rsid w:val="005A2AB0"/>
    <w:rsid w:val="005A3424"/>
    <w:rsid w:val="005A7E2F"/>
    <w:rsid w:val="005B049E"/>
    <w:rsid w:val="005B054C"/>
    <w:rsid w:val="005B10FC"/>
    <w:rsid w:val="005B2110"/>
    <w:rsid w:val="005B61E6"/>
    <w:rsid w:val="005C77E1"/>
    <w:rsid w:val="005D2BA1"/>
    <w:rsid w:val="005D50A1"/>
    <w:rsid w:val="005D668A"/>
    <w:rsid w:val="005D6A2F"/>
    <w:rsid w:val="005E1410"/>
    <w:rsid w:val="005E1A82"/>
    <w:rsid w:val="005E794C"/>
    <w:rsid w:val="005F0A28"/>
    <w:rsid w:val="005F0E5E"/>
    <w:rsid w:val="00600535"/>
    <w:rsid w:val="0060335A"/>
    <w:rsid w:val="00610CD6"/>
    <w:rsid w:val="00613A0D"/>
    <w:rsid w:val="00620DEE"/>
    <w:rsid w:val="00621F92"/>
    <w:rsid w:val="0062280A"/>
    <w:rsid w:val="00625639"/>
    <w:rsid w:val="00631B33"/>
    <w:rsid w:val="00632EC2"/>
    <w:rsid w:val="00637129"/>
    <w:rsid w:val="0064184D"/>
    <w:rsid w:val="006422CC"/>
    <w:rsid w:val="006507F9"/>
    <w:rsid w:val="00660E3E"/>
    <w:rsid w:val="00662E74"/>
    <w:rsid w:val="00671C1A"/>
    <w:rsid w:val="00676169"/>
    <w:rsid w:val="00680C23"/>
    <w:rsid w:val="006815D5"/>
    <w:rsid w:val="00693766"/>
    <w:rsid w:val="006943EB"/>
    <w:rsid w:val="006A11F3"/>
    <w:rsid w:val="006A3281"/>
    <w:rsid w:val="006A7D51"/>
    <w:rsid w:val="006B4888"/>
    <w:rsid w:val="006B5633"/>
    <w:rsid w:val="006C1D77"/>
    <w:rsid w:val="006C1EAE"/>
    <w:rsid w:val="006C2E45"/>
    <w:rsid w:val="006C359C"/>
    <w:rsid w:val="006C5579"/>
    <w:rsid w:val="006C59FB"/>
    <w:rsid w:val="006D6E8B"/>
    <w:rsid w:val="006E12EC"/>
    <w:rsid w:val="006E2FF8"/>
    <w:rsid w:val="006E40A2"/>
    <w:rsid w:val="006E737D"/>
    <w:rsid w:val="006F6A18"/>
    <w:rsid w:val="00700102"/>
    <w:rsid w:val="00703EEB"/>
    <w:rsid w:val="00706B07"/>
    <w:rsid w:val="00713973"/>
    <w:rsid w:val="007145B3"/>
    <w:rsid w:val="00715F29"/>
    <w:rsid w:val="00720A24"/>
    <w:rsid w:val="007231B0"/>
    <w:rsid w:val="00732386"/>
    <w:rsid w:val="0073514D"/>
    <w:rsid w:val="007447F3"/>
    <w:rsid w:val="00750340"/>
    <w:rsid w:val="0075073E"/>
    <w:rsid w:val="0075499F"/>
    <w:rsid w:val="00754D8E"/>
    <w:rsid w:val="007621EA"/>
    <w:rsid w:val="00762596"/>
    <w:rsid w:val="00763BD9"/>
    <w:rsid w:val="007661C8"/>
    <w:rsid w:val="00770125"/>
    <w:rsid w:val="0077098D"/>
    <w:rsid w:val="007726C4"/>
    <w:rsid w:val="007736D7"/>
    <w:rsid w:val="00782988"/>
    <w:rsid w:val="00784F22"/>
    <w:rsid w:val="007931FA"/>
    <w:rsid w:val="00797C75"/>
    <w:rsid w:val="007A4861"/>
    <w:rsid w:val="007A6B06"/>
    <w:rsid w:val="007A7BBA"/>
    <w:rsid w:val="007B099A"/>
    <w:rsid w:val="007B0C50"/>
    <w:rsid w:val="007B48F9"/>
    <w:rsid w:val="007C05A1"/>
    <w:rsid w:val="007C1A43"/>
    <w:rsid w:val="007D2B0D"/>
    <w:rsid w:val="007F1AAE"/>
    <w:rsid w:val="007F7381"/>
    <w:rsid w:val="0080013E"/>
    <w:rsid w:val="00813288"/>
    <w:rsid w:val="008168FC"/>
    <w:rsid w:val="00824E8E"/>
    <w:rsid w:val="00830996"/>
    <w:rsid w:val="00832077"/>
    <w:rsid w:val="008345F1"/>
    <w:rsid w:val="00837B48"/>
    <w:rsid w:val="00846ECB"/>
    <w:rsid w:val="0085471E"/>
    <w:rsid w:val="008616A0"/>
    <w:rsid w:val="0086332E"/>
    <w:rsid w:val="0086375A"/>
    <w:rsid w:val="00864300"/>
    <w:rsid w:val="00865B07"/>
    <w:rsid w:val="00866228"/>
    <w:rsid w:val="008667EA"/>
    <w:rsid w:val="00870954"/>
    <w:rsid w:val="0087637F"/>
    <w:rsid w:val="00880C76"/>
    <w:rsid w:val="00881BE9"/>
    <w:rsid w:val="00892465"/>
    <w:rsid w:val="00892AD5"/>
    <w:rsid w:val="008A1512"/>
    <w:rsid w:val="008A1F55"/>
    <w:rsid w:val="008B3797"/>
    <w:rsid w:val="008B52C2"/>
    <w:rsid w:val="008D32B9"/>
    <w:rsid w:val="008D433B"/>
    <w:rsid w:val="008E4A44"/>
    <w:rsid w:val="008E566E"/>
    <w:rsid w:val="0090161A"/>
    <w:rsid w:val="00901EB6"/>
    <w:rsid w:val="00904C62"/>
    <w:rsid w:val="00905810"/>
    <w:rsid w:val="009156B5"/>
    <w:rsid w:val="00922BA8"/>
    <w:rsid w:val="00924DAC"/>
    <w:rsid w:val="00927058"/>
    <w:rsid w:val="00942750"/>
    <w:rsid w:val="009450CE"/>
    <w:rsid w:val="00947179"/>
    <w:rsid w:val="0095164B"/>
    <w:rsid w:val="00954090"/>
    <w:rsid w:val="009573E7"/>
    <w:rsid w:val="00961FD7"/>
    <w:rsid w:val="00963E05"/>
    <w:rsid w:val="00964A45"/>
    <w:rsid w:val="00967843"/>
    <w:rsid w:val="00967D54"/>
    <w:rsid w:val="00971028"/>
    <w:rsid w:val="009756E5"/>
    <w:rsid w:val="009773C6"/>
    <w:rsid w:val="00977588"/>
    <w:rsid w:val="00980F77"/>
    <w:rsid w:val="00993B84"/>
    <w:rsid w:val="00996483"/>
    <w:rsid w:val="009968B1"/>
    <w:rsid w:val="00996F5A"/>
    <w:rsid w:val="009A3D06"/>
    <w:rsid w:val="009B041A"/>
    <w:rsid w:val="009C37C3"/>
    <w:rsid w:val="009C7C86"/>
    <w:rsid w:val="009D236A"/>
    <w:rsid w:val="009D2FF7"/>
    <w:rsid w:val="009E7884"/>
    <w:rsid w:val="009E788A"/>
    <w:rsid w:val="009F0E08"/>
    <w:rsid w:val="00A06A87"/>
    <w:rsid w:val="00A1763D"/>
    <w:rsid w:val="00A17CEC"/>
    <w:rsid w:val="00A22C88"/>
    <w:rsid w:val="00A2495F"/>
    <w:rsid w:val="00A27EF0"/>
    <w:rsid w:val="00A41D8B"/>
    <w:rsid w:val="00A42361"/>
    <w:rsid w:val="00A50B20"/>
    <w:rsid w:val="00A51390"/>
    <w:rsid w:val="00A5681E"/>
    <w:rsid w:val="00A60D13"/>
    <w:rsid w:val="00A72745"/>
    <w:rsid w:val="00A76EFC"/>
    <w:rsid w:val="00A800D5"/>
    <w:rsid w:val="00A8038A"/>
    <w:rsid w:val="00A85B9C"/>
    <w:rsid w:val="00A86E6C"/>
    <w:rsid w:val="00A91010"/>
    <w:rsid w:val="00A92726"/>
    <w:rsid w:val="00A9622A"/>
    <w:rsid w:val="00A97F29"/>
    <w:rsid w:val="00AA702E"/>
    <w:rsid w:val="00AB0964"/>
    <w:rsid w:val="00AB1A5B"/>
    <w:rsid w:val="00AB5011"/>
    <w:rsid w:val="00AC343F"/>
    <w:rsid w:val="00AC4626"/>
    <w:rsid w:val="00AC7368"/>
    <w:rsid w:val="00AC76E0"/>
    <w:rsid w:val="00AD16B9"/>
    <w:rsid w:val="00AE1909"/>
    <w:rsid w:val="00AE377D"/>
    <w:rsid w:val="00AF0EBA"/>
    <w:rsid w:val="00AF4457"/>
    <w:rsid w:val="00B02C8A"/>
    <w:rsid w:val="00B05505"/>
    <w:rsid w:val="00B17FBD"/>
    <w:rsid w:val="00B23532"/>
    <w:rsid w:val="00B24A52"/>
    <w:rsid w:val="00B25AB7"/>
    <w:rsid w:val="00B315A6"/>
    <w:rsid w:val="00B31813"/>
    <w:rsid w:val="00B33365"/>
    <w:rsid w:val="00B47A57"/>
    <w:rsid w:val="00B57B36"/>
    <w:rsid w:val="00B57E6F"/>
    <w:rsid w:val="00B75439"/>
    <w:rsid w:val="00B8686D"/>
    <w:rsid w:val="00B93F69"/>
    <w:rsid w:val="00BB1DDC"/>
    <w:rsid w:val="00BC30C9"/>
    <w:rsid w:val="00BD077D"/>
    <w:rsid w:val="00BE3E58"/>
    <w:rsid w:val="00BF3F30"/>
    <w:rsid w:val="00C01616"/>
    <w:rsid w:val="00C0162B"/>
    <w:rsid w:val="00C06488"/>
    <w:rsid w:val="00C068ED"/>
    <w:rsid w:val="00C22E0C"/>
    <w:rsid w:val="00C240AA"/>
    <w:rsid w:val="00C256C2"/>
    <w:rsid w:val="00C345B1"/>
    <w:rsid w:val="00C36626"/>
    <w:rsid w:val="00C40142"/>
    <w:rsid w:val="00C4476E"/>
    <w:rsid w:val="00C52C3C"/>
    <w:rsid w:val="00C57182"/>
    <w:rsid w:val="00C57863"/>
    <w:rsid w:val="00C655FD"/>
    <w:rsid w:val="00C72792"/>
    <w:rsid w:val="00C75407"/>
    <w:rsid w:val="00C870A8"/>
    <w:rsid w:val="00C8767C"/>
    <w:rsid w:val="00C94434"/>
    <w:rsid w:val="00C96593"/>
    <w:rsid w:val="00CA0D75"/>
    <w:rsid w:val="00CA1C95"/>
    <w:rsid w:val="00CA4B2F"/>
    <w:rsid w:val="00CA5A9C"/>
    <w:rsid w:val="00CA5C41"/>
    <w:rsid w:val="00CA5E8B"/>
    <w:rsid w:val="00CA602D"/>
    <w:rsid w:val="00CC4C20"/>
    <w:rsid w:val="00CD0703"/>
    <w:rsid w:val="00CD2B8F"/>
    <w:rsid w:val="00CD3517"/>
    <w:rsid w:val="00CD5B55"/>
    <w:rsid w:val="00CD5FE2"/>
    <w:rsid w:val="00CE143D"/>
    <w:rsid w:val="00CE1BA3"/>
    <w:rsid w:val="00CE1CA2"/>
    <w:rsid w:val="00CE7C68"/>
    <w:rsid w:val="00CF64D3"/>
    <w:rsid w:val="00D02B4C"/>
    <w:rsid w:val="00D02EEB"/>
    <w:rsid w:val="00D040C4"/>
    <w:rsid w:val="00D36DBF"/>
    <w:rsid w:val="00D45805"/>
    <w:rsid w:val="00D46B7E"/>
    <w:rsid w:val="00D57C84"/>
    <w:rsid w:val="00D6057D"/>
    <w:rsid w:val="00D71640"/>
    <w:rsid w:val="00D836C5"/>
    <w:rsid w:val="00D84576"/>
    <w:rsid w:val="00D8575A"/>
    <w:rsid w:val="00D91210"/>
    <w:rsid w:val="00DA1399"/>
    <w:rsid w:val="00DA24C6"/>
    <w:rsid w:val="00DA4D7B"/>
    <w:rsid w:val="00DA5B07"/>
    <w:rsid w:val="00DB0EC2"/>
    <w:rsid w:val="00DC0A2B"/>
    <w:rsid w:val="00DC18C1"/>
    <w:rsid w:val="00DE264A"/>
    <w:rsid w:val="00DF03AE"/>
    <w:rsid w:val="00DF5072"/>
    <w:rsid w:val="00DF5B20"/>
    <w:rsid w:val="00E02D18"/>
    <w:rsid w:val="00E041E7"/>
    <w:rsid w:val="00E23CA1"/>
    <w:rsid w:val="00E409A8"/>
    <w:rsid w:val="00E50C12"/>
    <w:rsid w:val="00E65B91"/>
    <w:rsid w:val="00E67A37"/>
    <w:rsid w:val="00E7209D"/>
    <w:rsid w:val="00E72EAD"/>
    <w:rsid w:val="00E735D9"/>
    <w:rsid w:val="00E77223"/>
    <w:rsid w:val="00E8397A"/>
    <w:rsid w:val="00E8528B"/>
    <w:rsid w:val="00E85B94"/>
    <w:rsid w:val="00E90249"/>
    <w:rsid w:val="00E95E6F"/>
    <w:rsid w:val="00E978D0"/>
    <w:rsid w:val="00EA4613"/>
    <w:rsid w:val="00EA46D0"/>
    <w:rsid w:val="00EA70CB"/>
    <w:rsid w:val="00EA7F91"/>
    <w:rsid w:val="00EB1523"/>
    <w:rsid w:val="00EC0B49"/>
    <w:rsid w:val="00EC0E49"/>
    <w:rsid w:val="00EC101F"/>
    <w:rsid w:val="00EC1D9F"/>
    <w:rsid w:val="00EE0131"/>
    <w:rsid w:val="00EE17B0"/>
    <w:rsid w:val="00EE404D"/>
    <w:rsid w:val="00EF06D9"/>
    <w:rsid w:val="00EF17BF"/>
    <w:rsid w:val="00F027C3"/>
    <w:rsid w:val="00F04FC8"/>
    <w:rsid w:val="00F07968"/>
    <w:rsid w:val="00F116DC"/>
    <w:rsid w:val="00F13C50"/>
    <w:rsid w:val="00F24D43"/>
    <w:rsid w:val="00F30C64"/>
    <w:rsid w:val="00F32BA2"/>
    <w:rsid w:val="00F32CDB"/>
    <w:rsid w:val="00F41212"/>
    <w:rsid w:val="00F514B4"/>
    <w:rsid w:val="00F565FE"/>
    <w:rsid w:val="00F63A70"/>
    <w:rsid w:val="00F7534E"/>
    <w:rsid w:val="00F864E4"/>
    <w:rsid w:val="00F9219B"/>
    <w:rsid w:val="00FA1802"/>
    <w:rsid w:val="00FA21D0"/>
    <w:rsid w:val="00FA5F5F"/>
    <w:rsid w:val="00FB01EE"/>
    <w:rsid w:val="00FB730C"/>
    <w:rsid w:val="00FB7ED5"/>
    <w:rsid w:val="00FC2695"/>
    <w:rsid w:val="00FC3E03"/>
    <w:rsid w:val="00FC3FC1"/>
    <w:rsid w:val="00FC4A5F"/>
    <w:rsid w:val="00FC7BE4"/>
    <w:rsid w:val="00FD17BE"/>
    <w:rsid w:val="00FD55DC"/>
    <w:rsid w:val="00FF507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UnresolvedMention1">
    <w:name w:val="Unresolved Mention1"/>
    <w:basedOn w:val="DefaultParagraphFont"/>
    <w:uiPriority w:val="99"/>
    <w:semiHidden/>
    <w:unhideWhenUsed/>
    <w:rsid w:val="000064F7"/>
    <w:rPr>
      <w:color w:val="605E5C"/>
      <w:shd w:val="clear" w:color="auto" w:fill="E1DFDD"/>
    </w:rPr>
  </w:style>
  <w:style w:type="paragraph" w:styleId="Revision">
    <w:name w:val="Revision"/>
    <w:hidden/>
    <w:uiPriority w:val="99"/>
    <w:semiHidden/>
    <w:rsid w:val="003F2C47"/>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02AF1-27DB-4E9D-8EC2-90DCF7802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Pages>
  <Words>2616</Words>
  <Characters>14917</Characters>
  <Application>Microsoft Office Word</Application>
  <DocSecurity>0</DocSecurity>
  <Lines>124</Lines>
  <Paragraphs>34</Paragraphs>
  <ScaleCrop>false</ScaleCrop>
  <HeadingPairs>
    <vt:vector size="6" baseType="variant">
      <vt:variant>
        <vt:lpstr>Title</vt:lpstr>
      </vt:variant>
      <vt:variant>
        <vt:i4>1</vt:i4>
      </vt:variant>
      <vt:variant>
        <vt:lpstr>Tytuł</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Reshma Babu</cp:lastModifiedBy>
  <cp:revision>33</cp:revision>
  <cp:lastPrinted>2015-05-12T18:31:00Z</cp:lastPrinted>
  <dcterms:created xsi:type="dcterms:W3CDTF">2022-03-29T08:12:00Z</dcterms:created>
  <dcterms:modified xsi:type="dcterms:W3CDTF">2022-03-29T20:30:00Z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