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5BDF0BD" w:rsidR="00E978D0" w:rsidRPr="00992336" w:rsidRDefault="00992336" w:rsidP="00E978D0">
      <w:pPr>
        <w:pStyle w:val="CETTitle"/>
        <w:rPr>
          <w:rFonts w:cs="Arial"/>
          <w:szCs w:val="32"/>
        </w:rPr>
      </w:pPr>
      <w:r w:rsidRPr="00992336">
        <w:rPr>
          <w:rFonts w:cs="Arial"/>
          <w:color w:val="000000"/>
          <w:szCs w:val="32"/>
          <w:shd w:val="clear" w:color="auto" w:fill="FFFFFF"/>
        </w:rPr>
        <w:t>Reutilization of Crude Glycerol in a Circular Biodiesel Production Process</w:t>
      </w:r>
    </w:p>
    <w:p w14:paraId="0488FED2" w14:textId="487CB61F" w:rsidR="00B57E6F" w:rsidRPr="000E7028" w:rsidRDefault="00992336" w:rsidP="00B57E6F">
      <w:pPr>
        <w:pStyle w:val="CETAuthors"/>
        <w:rPr>
          <w:lang w:val="pt-BR"/>
        </w:rPr>
      </w:pPr>
      <w:r w:rsidRPr="000E7028">
        <w:rPr>
          <w:lang w:val="pt-BR"/>
        </w:rPr>
        <w:t>Bruna R. Margarida</w:t>
      </w:r>
      <w:r w:rsidRPr="000E7028">
        <w:rPr>
          <w:vertAlign w:val="superscript"/>
          <w:lang w:val="pt-BR"/>
        </w:rPr>
        <w:t>*</w:t>
      </w:r>
      <w:r w:rsidRPr="000E7028">
        <w:rPr>
          <w:lang w:val="pt-BR"/>
        </w:rPr>
        <w:t>, Luiz F.L. Luz</w:t>
      </w:r>
      <w:r w:rsidR="00D47B02">
        <w:rPr>
          <w:lang w:val="pt-BR"/>
        </w:rPr>
        <w:t xml:space="preserve"> Jr</w:t>
      </w:r>
    </w:p>
    <w:p w14:paraId="65109532" w14:textId="62DC34EE" w:rsidR="00992336" w:rsidRPr="00B57B36" w:rsidRDefault="00992336" w:rsidP="00992336">
      <w:pPr>
        <w:pStyle w:val="CETAddress"/>
        <w:jc w:val="both"/>
      </w:pPr>
      <w:r>
        <w:t>Federal University of Parana, Polytechnic Center, Department of Chemical Engineering, Avenida Coronel Francisco Heraclito dos Santos,</w:t>
      </w:r>
      <w:r w:rsidR="00D47B02">
        <w:t xml:space="preserve"> 100,</w:t>
      </w:r>
      <w:r>
        <w:t xml:space="preserve"> 81531-980, Brazil</w:t>
      </w:r>
      <w:r w:rsidRPr="00B57B36">
        <w:t xml:space="preserve"> </w:t>
      </w:r>
    </w:p>
    <w:p w14:paraId="73F1267A" w14:textId="4346D3C9" w:rsidR="00B57E6F" w:rsidRPr="00B57B36" w:rsidRDefault="00992336" w:rsidP="00B57E6F">
      <w:pPr>
        <w:pStyle w:val="CETemail"/>
      </w:pPr>
      <w:r>
        <w:t>*bruna.margarida18@gmail.com</w:t>
      </w:r>
    </w:p>
    <w:p w14:paraId="61928866" w14:textId="2038707B" w:rsidR="00992336" w:rsidRDefault="00992336" w:rsidP="00600535">
      <w:pPr>
        <w:pStyle w:val="CETBodytext"/>
        <w:rPr>
          <w:lang w:val="en-GB"/>
        </w:rPr>
      </w:pPr>
      <w:r>
        <w:t>The biodiesel production process has been widely studied and had many improvements regarding reaction conversion and cost reduction.</w:t>
      </w:r>
      <w:r w:rsidR="00367690">
        <w:t xml:space="preserve"> </w:t>
      </w:r>
      <w:r>
        <w:t>However, most processes in this field share a common problem, the formation of glycerol as the side product. There are still many concerns involving glycerol use and demand, as the growth in biodiesel production inevitably raises glycerol formation as well. Nevertheless, the rapid growth in glycerol availability has led to price fluctuations, and, sometimes, the crude glycerol formed is even discarded as a waste product. Considering this constant problem, one option would be to indirectly use glycerol inside the biodiesel production process. One way to achieve this proposal is to convert this product to mainly hydrogen, carbon monoxide, and carbon dioxide and then convert these gases to methanol. In this study, a biodiesel production process from residual oil is proposed as well as glycerol processing to convert this side product to methanol, using it as a reactant in the same unit. The proposed process will minimize waste production by recycling the raw materials in excess from the biodiesel reaction and also the converted side product. Here, the biodiesel and glycerol processing units are thoroughly analyzed and optimized. Energy integration is also considered to reduce utility usage. A final economic evaluation is made to verify if the conversion of glycerol to methanol is economically feasible and compare the economic aspects of glycerol processing instead of selling or disposing it. The use of a circular biodiesel industry is a promising reality that could help reduce waste disposal and encourage new findings and alternatives to improve the conversion of such wastes into value-added products</w:t>
      </w:r>
      <w:r w:rsidR="00F235B9">
        <w:t>.</w:t>
      </w:r>
    </w:p>
    <w:p w14:paraId="6463DF4D" w14:textId="77777777" w:rsidR="00992336" w:rsidRDefault="00992336" w:rsidP="00600535">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121BEDDF" w14:textId="40F4E17F" w:rsidR="00754FBF" w:rsidRDefault="00AC38FC" w:rsidP="00965313">
      <w:pPr>
        <w:pStyle w:val="CETBodytext"/>
      </w:pPr>
      <w:r w:rsidRPr="007840AE">
        <w:t xml:space="preserve">The biodiesel industry is rapidly evolving, </w:t>
      </w:r>
      <w:r w:rsidR="008D1135" w:rsidRPr="007840AE">
        <w:t>and thus</w:t>
      </w:r>
      <w:r w:rsidR="00965313">
        <w:t>,</w:t>
      </w:r>
      <w:r w:rsidR="008D1135" w:rsidRPr="007840AE">
        <w:t xml:space="preserve"> the processes to obtain this product are constantly being improved and optimized.</w:t>
      </w:r>
      <w:r w:rsidR="00566A16">
        <w:t xml:space="preserve"> Biomass is an </w:t>
      </w:r>
      <w:r w:rsidR="00912B3A">
        <w:t>essential</w:t>
      </w:r>
      <w:r w:rsidR="00566A16">
        <w:t xml:space="preserve"> source for this biofuel production, as shown by </w:t>
      </w:r>
      <w:r w:rsidR="00A41A20">
        <w:fldChar w:fldCharType="begin" w:fldLock="1"/>
      </w:r>
      <w:r w:rsidR="00EB402C">
        <w:instrText>ADDIN CSL_CITATION {"citationItems":[{"id":"ITEM-1","itemData":{"DOI":"10.3303/CET2187076","ISBN":"9788895608853","ISSN":"22839216","abstract":"The aim of this work is to model a more environmental-friendly production of biodiesel from tomato seed oil to assess the feasibility of using an alternative catalyst. The AspenPlus® software is used to this end. Different cases are evaluated and compared, by changing the catalyst and by considering the additional production of high purity glycerol and potassium phosphate. Tomato seed oil obtained from tomato pomace coming from local industries, methanol and catalyst are considered as raw materials. Based on literature data, a methyl-esters yield formulation is developed and the catalytic transesterification reaction implemented in a simulated reactor, while methanol is recovered by distillation and recycled to the reactor. The necessary distillation towers are designed. All the mass and energy balances were set up for the whole process. The energy return of investment (EROI) was determined by considering the energy for harvesting and that for producing biodiesel. Results show that tomato seed oil can be a feasible alternative for biodiesel production.","author":[{"dropping-particle":"","family":"Casa","given":"Marcello","non-dropping-particle":"","parse-names":false,"suffix":""},{"dropping-particle":"","family":"Prizio","given":"Chiara","non-dropping-particle":"","parse-names":false,"suffix":""},{"dropping-particle":"","family":"Miccio","given":"Michele","non-dropping-particle":"","parse-names":false,"suffix":""}],"container-title":"Chemical Engineering Transactions","id":"ITEM-1","issue":"August 2020","issued":{"date-parts":[["2021"]]},"page":"451-456","title":"Biodiesel production from tomato seed by transesterification with Alkaline and ‘Green’ catalysts: Simulation and discussion","type":"article-journal","volume":"87"},"uris":["http://www.mendeley.com/documents/?uuid=bfb2110e-ed5e-4fb5-8cf6-206d8e7da8aa"]}],"mendeley":{"formattedCitation":"(Casa, Prizio and Miccio, 2021)","manualFormatting":"Casa et al. (2021)","plainTextFormattedCitation":"(Casa, Prizio and Miccio, 2021)","previouslyFormattedCitation":"(Casa, Prizio and Miccio, 2021)"},"properties":{"noteIndex":0},"schema":"https://github.com/citation-style-language/schema/raw/master/csl-citation.json"}</w:instrText>
      </w:r>
      <w:r w:rsidR="00A41A20">
        <w:fldChar w:fldCharType="separate"/>
      </w:r>
      <w:r w:rsidR="00A41A20" w:rsidRPr="00A41A20">
        <w:rPr>
          <w:noProof/>
        </w:rPr>
        <w:t>Casa</w:t>
      </w:r>
      <w:r w:rsidR="007A70F3">
        <w:rPr>
          <w:noProof/>
        </w:rPr>
        <w:t xml:space="preserve"> </w:t>
      </w:r>
      <w:r w:rsidR="007A70F3" w:rsidRPr="007840AE">
        <w:rPr>
          <w:noProof/>
        </w:rPr>
        <w:t>et al.</w:t>
      </w:r>
      <w:r w:rsidR="00A41A20" w:rsidRPr="00A41A20">
        <w:rPr>
          <w:noProof/>
        </w:rPr>
        <w:t xml:space="preserve"> </w:t>
      </w:r>
      <w:r w:rsidR="007A70F3">
        <w:rPr>
          <w:noProof/>
        </w:rPr>
        <w:t>(</w:t>
      </w:r>
      <w:r w:rsidR="00A41A20" w:rsidRPr="00A41A20">
        <w:rPr>
          <w:noProof/>
        </w:rPr>
        <w:t>2021)</w:t>
      </w:r>
      <w:r w:rsidR="00A41A20">
        <w:fldChar w:fldCharType="end"/>
      </w:r>
      <w:r w:rsidR="007A70F3">
        <w:t>, where tomato seed was used as the oil source.</w:t>
      </w:r>
      <w:r w:rsidR="008D1135" w:rsidRPr="007840AE">
        <w:t xml:space="preserve"> The traditional route for biodiesel production includes the use of acid or base catalysts and reactions with temperatures near the alcohol’s (usually methanol or ethanol) boiling point. </w:t>
      </w:r>
      <w:r w:rsidR="00CE753C" w:rsidRPr="007840AE">
        <w:t>The supercritical route for biodiesel production</w:t>
      </w:r>
      <w:r w:rsidR="00E83FF4" w:rsidRPr="007840AE">
        <w:t xml:space="preserve"> is an interesting alternative, enabling</w:t>
      </w:r>
      <w:r w:rsidR="00CE753C" w:rsidRPr="007840AE">
        <w:t xml:space="preserve"> a high </w:t>
      </w:r>
      <w:r w:rsidR="000D30E4">
        <w:t xml:space="preserve">production </w:t>
      </w:r>
      <w:r w:rsidR="00524715" w:rsidRPr="007840AE">
        <w:t xml:space="preserve">efficiency </w:t>
      </w:r>
      <w:r w:rsidR="00524715" w:rsidRPr="007840AE">
        <w:fldChar w:fldCharType="begin" w:fldLock="1"/>
      </w:r>
      <w:r w:rsidR="00DD7E4E" w:rsidRPr="007840AE">
        <w:instrText>ADDIN CSL_CITATION {"citationItems":[{"id":"ITEM-1","itemData":{"DOI":"10.1016/j.supflu.2010.06.008","ISSN":"08968446","abstract":"Biodiesel production from lipids (vegetable oils and animal fats) with non-catalytic supercritical methanol (SCM) has several advantages over that of homogeneous catalytic process, including a high production efficiency, environmentally friendliness and a wide range of possible feedstocks. This article reviews the effect of the operating parameters on the lipid conversion to biodiesel with SCM, such as the temperature, pressure, methanol to oil molar ratio, and reaction time, for both batch and continuous systems, including the effect of the mixing intensity and dispersion in tubular reactors. The operating temperature is the key parameter to control either extent of reaction or other parameters. Studies on evaluating the chemical kinetics, phase behavior, binary vapor-liquid equilibrium (VLE) of lipid conversion in SCM are summarized. The pseudo-first order model is suitable to simplify the system at high methanol to oil molar ratios, but it is inadequate at a low methanol concentration which instead requires the second order model. Transition temperatures of reaction mixture depend on the critical point of reaction mixture which is assigned by methanol to oil molar ratio and amount of co-solvents in the system. For binary VLE studies, no single thermodynamic model for the overall process is available, probably because of the differences in the polarity between the initial and the final state of the reaction system. Since traditional operating parameters of the lipid conversion in SCM involve elevated temperatures and pressures, techniques for allowing milder operating conditions that employ the addition of co-solvents or catalysts are discussed. The ongoing and more extensive research on co-solvents, heterogeneous catalysts, phase behavior and multicomponent VLE of lipid conversion to biodiesel with SCM should provide a better understanding and achieve the goal of green biodiesel production technology in the near future. © 2010 Elsevier B.V. All rights reserved.","author":[{"dropping-particle":"","family":"Sawangkeaw","given":"Ruengwit","non-dropping-particle":"","parse-names":false,"suffix":""},{"dropping-particle":"","family":"Bunyakiat","given":"Kunchana","non-dropping-particle":"","parse-names":false,"suffix":""},{"dropping-particle":"","family":"Ngamprasertsith","given":"Somkiat","non-dropping-particle":"","parse-names":false,"suffix":""}],"container-title":"Journal of Supercritical Fluids","id":"ITEM-1","issue":"1","issued":{"date-parts":[["2010"]]},"page":"1-13","publisher":"Elsevier B.V.","title":"A review of laboratory-scale research on lipid conversion to biodiesel with supercritical methanol (2001-2009)","type":"article-journal","volume":"55"},"uris":["http://www.mendeley.com/documents/?uuid=c53c96ef-b789-4e06-a842-bccf663160e2"]}],"mendeley":{"formattedCitation":"(Sawangkeaw, Bunyakiat and Ngamprasertsith, 2010)","manualFormatting":"(Sawangkeaw et al., 2010)","plainTextFormattedCitation":"(Sawangkeaw, Bunyakiat and Ngamprasertsith, 2010)","previouslyFormattedCitation":"(Sawangkeaw, Bunyakiat and Ngamprasertsith, 2010)"},"properties":{"noteIndex":0},"schema":"https://github.com/citation-style-language/schema/raw/master/csl-citation.json"}</w:instrText>
      </w:r>
      <w:r w:rsidR="00524715" w:rsidRPr="007840AE">
        <w:fldChar w:fldCharType="separate"/>
      </w:r>
      <w:r w:rsidR="00524715" w:rsidRPr="007840AE">
        <w:rPr>
          <w:noProof/>
        </w:rPr>
        <w:t>(Sawangkeaw et al., 2010)</w:t>
      </w:r>
      <w:r w:rsidR="00524715" w:rsidRPr="007840AE">
        <w:fldChar w:fldCharType="end"/>
      </w:r>
      <w:r w:rsidR="00524715" w:rsidRPr="007840AE">
        <w:t xml:space="preserve"> and</w:t>
      </w:r>
      <w:r w:rsidR="000D30E4">
        <w:t xml:space="preserve"> a high</w:t>
      </w:r>
      <w:r w:rsidR="00524715" w:rsidRPr="007840AE">
        <w:t xml:space="preserve"> conversion</w:t>
      </w:r>
      <w:r w:rsidR="00CE753C" w:rsidRPr="007840AE">
        <w:t xml:space="preserve"> of the oil source</w:t>
      </w:r>
      <w:r w:rsidR="00F84194">
        <w:t xml:space="preserve">, </w:t>
      </w:r>
      <w:r w:rsidR="00F84194" w:rsidRPr="007840AE">
        <w:t>even without any catalyst</w:t>
      </w:r>
      <w:r w:rsidR="000D30E4">
        <w:t>. In addition,</w:t>
      </w:r>
      <w:r w:rsidR="00F84194">
        <w:t xml:space="preserve"> regardless of</w:t>
      </w:r>
      <w:r w:rsidR="00CE753C" w:rsidRPr="007840AE">
        <w:t xml:space="preserve"> </w:t>
      </w:r>
      <w:r w:rsidR="00912B3A">
        <w:t xml:space="preserve">the </w:t>
      </w:r>
      <w:r w:rsidR="00CE753C" w:rsidRPr="007840AE">
        <w:t xml:space="preserve">fatty acid </w:t>
      </w:r>
      <w:r w:rsidR="00F84194">
        <w:t>presence</w:t>
      </w:r>
      <w:r w:rsidR="00CE753C" w:rsidRPr="007840AE">
        <w:t xml:space="preserve">, </w:t>
      </w:r>
      <w:r w:rsidR="000D30E4">
        <w:t>the supercritical route</w:t>
      </w:r>
      <w:r w:rsidR="00CE753C" w:rsidRPr="007840AE">
        <w:t xml:space="preserve"> allows both esterification and transesterification to happen simultaneously</w:t>
      </w:r>
      <w:r w:rsidR="005676D0" w:rsidRPr="007840AE">
        <w:t xml:space="preserve"> </w:t>
      </w:r>
      <w:r w:rsidR="005676D0" w:rsidRPr="007840AE">
        <w:fldChar w:fldCharType="begin" w:fldLock="1"/>
      </w:r>
      <w:r w:rsidR="00DD7E4E" w:rsidRPr="007840AE">
        <w:instrText>ADDIN CSL_CITATION {"citationItems":[{"id":"ITEM-1","itemData":{"DOI":"10.1016/j.pecs.2017.08.001","ISSN":"03601285","abstract":"This paper reviews the current status of biodiesel production mainly under supercritical conditions. Various methods such as homogeneous acid- and alkali-catalyzed transesterification, heterogeneous acid and alkali-catalyzed transesterification, enzyme-catalyzed transesterification, and supercritical reactions have been employed so far to synthesize biodiesel. Herein, we review the reaction mechanisms and experimental results for these approaches. Recently, supercritical biodiesel production has undergone a vigorous development as the technology offers several advantages over other methods, including the fact that it does not require a catalyst, short residence time, high reaction rate, no pretreatment requirement, and applicability to a wide variety of feedstock. This technology was first designed for biodiesel production using methanol and ethanol. Biodiesel production without glycerol as a byproduct is attractive and has been achieved using supercritical methyl acetate and dimethyl carbonate (DMC). Most recently, biodiesel production in supercritical tert-butyl methyl ether (MTBE) has been developed also. In this review, supercritical biodiesel production will be discussed in detail. Empirical rate expressions are derived for biodiesel production in supercritical methanol, ethanol, methyl acetate, DMC, and MTBE in this study for the first time. These rate equations are critical to predicting biodiesel yields and to comparing the reaction behaviors in different solvents. Lastly challenges for improving energy recovery in supercritical biodiesel production and recommendations for future work are provided.","author":[{"dropping-particle":"","family":"Farobie","given":"Obie","non-dropping-particle":"","parse-names":false,"suffix":""},{"dropping-particle":"","family":"Matsumura","given":"Yukihiko","non-dropping-particle":"","parse-names":false,"suffix":""}],"container-title":"Progress in Energy and Combustion Science","id":"ITEM-1","issued":{"date-parts":[["2017"]]},"page":"173-203","publisher":"Elsevier Ltd","title":"State of the art of biodiesel production under supercritical conditions","type":"article-journal","volume":"63"},"uris":["http://www.mendeley.com/documents/?uuid=3d6d0237-afb6-44f3-ab53-d42765c3baad"]}],"mendeley":{"formattedCitation":"(Farobie and Matsumura, 2017)","plainTextFormattedCitation":"(Farobie and Matsumura, 2017)","previouslyFormattedCitation":"(Farobie and Matsumura, 2017)"},"properties":{"noteIndex":0},"schema":"https://github.com/citation-style-language/schema/raw/master/csl-citation.json"}</w:instrText>
      </w:r>
      <w:r w:rsidR="005676D0" w:rsidRPr="007840AE">
        <w:fldChar w:fldCharType="separate"/>
      </w:r>
      <w:r w:rsidR="005676D0" w:rsidRPr="007840AE">
        <w:rPr>
          <w:noProof/>
        </w:rPr>
        <w:t>(Farobie and Matsumura, 2017)</w:t>
      </w:r>
      <w:r w:rsidR="005676D0" w:rsidRPr="007840AE">
        <w:fldChar w:fldCharType="end"/>
      </w:r>
      <w:r w:rsidR="00CE753C" w:rsidRPr="007840AE">
        <w:t>.</w:t>
      </w:r>
      <w:r w:rsidR="005676D0" w:rsidRPr="007840AE">
        <w:t xml:space="preserve"> Another </w:t>
      </w:r>
      <w:r w:rsidR="00912B3A">
        <w:t>critical</w:t>
      </w:r>
      <w:r w:rsidR="005676D0" w:rsidRPr="007840AE">
        <w:t xml:space="preserve"> issue related to </w:t>
      </w:r>
      <w:r w:rsidR="00BF3C3F">
        <w:t xml:space="preserve">the </w:t>
      </w:r>
      <w:r w:rsidR="005676D0" w:rsidRPr="007840AE">
        <w:t xml:space="preserve">biodiesel process is the formation of glycerol, </w:t>
      </w:r>
      <w:r w:rsidR="0068500A" w:rsidRPr="007840AE">
        <w:t>as for each m</w:t>
      </w:r>
      <w:r w:rsidR="0068500A" w:rsidRPr="007840AE">
        <w:rPr>
          <w:vertAlign w:val="superscript"/>
        </w:rPr>
        <w:t>3</w:t>
      </w:r>
      <w:r w:rsidR="0068500A" w:rsidRPr="007840AE">
        <w:t xml:space="preserve"> of biodiesel produced, 0.1 m</w:t>
      </w:r>
      <w:r w:rsidR="0068500A" w:rsidRPr="007840AE">
        <w:rPr>
          <w:vertAlign w:val="superscript"/>
        </w:rPr>
        <w:t>3</w:t>
      </w:r>
      <w:r w:rsidR="0068500A" w:rsidRPr="007840AE">
        <w:t xml:space="preserve"> </w:t>
      </w:r>
      <w:r w:rsidR="00F84194">
        <w:t xml:space="preserve">of glycerol </w:t>
      </w:r>
      <w:r w:rsidR="0068500A" w:rsidRPr="007840AE">
        <w:t>is also obtained</w:t>
      </w:r>
      <w:r w:rsidR="00B4506D" w:rsidRPr="007840AE">
        <w:t xml:space="preserve"> (Knothe et al., 2005)</w:t>
      </w:r>
      <w:r w:rsidR="00745F7C" w:rsidRPr="007840AE">
        <w:t xml:space="preserve">. The high expectations for biodiesel production also increase concerns to find alternatives for glycerol utilization. </w:t>
      </w:r>
      <w:r w:rsidR="004F2EF6" w:rsidRPr="007840AE">
        <w:t xml:space="preserve">As </w:t>
      </w:r>
      <w:r w:rsidR="00660363" w:rsidRPr="007840AE">
        <w:t>the</w:t>
      </w:r>
      <w:r w:rsidR="004F2EF6" w:rsidRPr="007840AE">
        <w:t xml:space="preserve"> biodiesel industries </w:t>
      </w:r>
      <w:r w:rsidR="00660363" w:rsidRPr="007840AE">
        <w:t>focus on</w:t>
      </w:r>
      <w:r w:rsidR="006B5845">
        <w:t xml:space="preserve"> this</w:t>
      </w:r>
      <w:r w:rsidR="00660363" w:rsidRPr="007840AE">
        <w:t xml:space="preserve"> biofuel production, it is common for such </w:t>
      </w:r>
      <w:r w:rsidR="00912B3A">
        <w:t>sectors</w:t>
      </w:r>
      <w:r w:rsidR="00660363" w:rsidRPr="007840AE">
        <w:t xml:space="preserve"> to</w:t>
      </w:r>
      <w:r w:rsidR="004F2EF6" w:rsidRPr="007840AE">
        <w:t xml:space="preserve"> sell this </w:t>
      </w:r>
      <w:r w:rsidR="00660363" w:rsidRPr="007840AE">
        <w:t xml:space="preserve">side </w:t>
      </w:r>
      <w:r w:rsidR="004F2EF6" w:rsidRPr="007840AE">
        <w:t>product as crude glycerin</w:t>
      </w:r>
      <w:r w:rsidR="00660363" w:rsidRPr="007840AE">
        <w:t xml:space="preserve">, so it may be used </w:t>
      </w:r>
      <w:r w:rsidR="00DD7E4E" w:rsidRPr="007840AE">
        <w:t xml:space="preserve">to obtain other products, mainly in the pharmaceutical, personal care, and polymer sectors </w:t>
      </w:r>
      <w:r w:rsidR="00DD7E4E" w:rsidRPr="007840AE">
        <w:fldChar w:fldCharType="begin" w:fldLock="1"/>
      </w:r>
      <w:r w:rsidR="00754FBF" w:rsidRPr="007840AE">
        <w:instrText>ADDIN CSL_CITATION {"citationItems":[{"id":"ITEM-1","itemData":{"DOI":"10.1016/j.rser.2018.02.019","ISSN":"18790690","abstract":"Increases in biodiesel production have led to a surplus of crude glycerol, which represents a major bottleneck in the biodiesel production chain and has created new challenges to its sustainable use. Although there is a wide range of potential uses for crude glycerol, they are limited by its degree of purity, which affects its physical, chemical and biological properties. This paper presents a review and analysis of patents related to the use of glycerol in the period from 1993 to 2015, showing the quantity and diversity of work related to the search for alternatives to add value to glycerol. It was found that 85.7% of the filed patents fell into four categories of applications: 1) manufacture of chemical products; 2) production of polymer compounds; 3) production of biofuels and biogas; and 4) purification and use of glycerol. In this regard, the development of new technologies for the use of glycerol, without the need for traditional purification steps, are fundamental. This paper portrays the efforts that have been made in this direction and the obstacles that still have to be overcome.","author":[{"dropping-particle":"","family":"Monteiro","given":"Marcos Roberto","non-dropping-particle":"","parse-names":false,"suffix":""},{"dropping-particle":"","family":"Kugelmeier","given":"Cristie Luis","non-dropping-particle":"","parse-names":false,"suffix":""},{"dropping-particle":"","family":"Pinheiro","given":"Rafael Sanaiotte","non-dropping-particle":"","parse-names":false,"suffix":""},{"dropping-particle":"","family":"Batalha","given":"Mario Otávio","non-dropping-particle":"","parse-names":false,"suffix":""},{"dropping-particle":"","family":"Silva César","given":"Aldara","non-dropping-particle":"da","parse-names":false,"suffix":""}],"container-title":"Renewable and Sustainable Energy Reviews","id":"ITEM-1","issue":"November 2016","issued":{"date-parts":[["2018"]]},"page":"109-122","publisher":"Elsevier Ltd","title":"Glycerol from biodiesel production: Technological paths for sustainability","type":"article-journal","volume":"88"},"uris":["http://www.mendeley.com/documents/?uuid=f03b4445-8303-49de-a833-6159d197d955"]}],"mendeley":{"formattedCitation":"(Monteiro &lt;i&gt;et al.&lt;/i&gt;, 2018)","plainTextFormattedCitation":"(Monteiro et al., 2018)","previouslyFormattedCitation":"(Monteiro &lt;i&gt;et al.&lt;/i&gt;, 2018)"},"properties":{"noteIndex":0},"schema":"https://github.com/citation-style-language/schema/raw/master/csl-citation.json"}</w:instrText>
      </w:r>
      <w:r w:rsidR="00DD7E4E" w:rsidRPr="007840AE">
        <w:fldChar w:fldCharType="separate"/>
      </w:r>
      <w:r w:rsidR="00DD7E4E" w:rsidRPr="007840AE">
        <w:rPr>
          <w:noProof/>
        </w:rPr>
        <w:t>(Monteiro et al., 2018)</w:t>
      </w:r>
      <w:r w:rsidR="00DD7E4E" w:rsidRPr="007840AE">
        <w:fldChar w:fldCharType="end"/>
      </w:r>
      <w:r w:rsidR="00DD7E4E" w:rsidRPr="007840AE">
        <w:t>.</w:t>
      </w:r>
      <w:r w:rsidR="00660363" w:rsidRPr="007840AE">
        <w:t xml:space="preserve"> </w:t>
      </w:r>
      <w:r w:rsidR="00BA26F3" w:rsidRPr="007840AE">
        <w:t>However, t</w:t>
      </w:r>
      <w:r w:rsidR="00745F7C" w:rsidRPr="007840AE">
        <w:t>h</w:t>
      </w:r>
      <w:r w:rsidR="00660363" w:rsidRPr="007840AE">
        <w:t>e</w:t>
      </w:r>
      <w:r w:rsidR="00745F7C" w:rsidRPr="007840AE">
        <w:t xml:space="preserve"> uncertainty regarding</w:t>
      </w:r>
      <w:r w:rsidR="00660363" w:rsidRPr="007840AE">
        <w:t xml:space="preserve"> the price fluctuation of</w:t>
      </w:r>
      <w:r w:rsidR="00745F7C" w:rsidRPr="007840AE">
        <w:t xml:space="preserve"> </w:t>
      </w:r>
      <w:r w:rsidR="00B4506D" w:rsidRPr="007840AE">
        <w:t xml:space="preserve">this product </w:t>
      </w:r>
      <w:r w:rsidR="00ED773D" w:rsidRPr="007840AE">
        <w:t>implies</w:t>
      </w:r>
      <w:r w:rsidR="004F2EF6" w:rsidRPr="007840AE">
        <w:t xml:space="preserve"> that having less dependency </w:t>
      </w:r>
      <w:r w:rsidR="00BA26F3" w:rsidRPr="007840AE">
        <w:t>on</w:t>
      </w:r>
      <w:r w:rsidR="004F2EF6" w:rsidRPr="007840AE">
        <w:t xml:space="preserve"> its price fluctuation would benefit </w:t>
      </w:r>
      <w:r w:rsidR="00BF3C3F">
        <w:t xml:space="preserve">the </w:t>
      </w:r>
      <w:r w:rsidR="004F2EF6" w:rsidRPr="007840AE">
        <w:t>biodiesel industry</w:t>
      </w:r>
      <w:r w:rsidR="00BA26F3" w:rsidRPr="007840AE">
        <w:t xml:space="preserve">. </w:t>
      </w:r>
      <w:r w:rsidR="00536EB8">
        <w:t xml:space="preserve">To overcome this </w:t>
      </w:r>
      <w:r w:rsidR="007E0301">
        <w:t xml:space="preserve">problem, </w:t>
      </w:r>
      <w:r w:rsidR="00181888">
        <w:t>some</w:t>
      </w:r>
      <w:r w:rsidR="007E0301">
        <w:t xml:space="preserve"> studies </w:t>
      </w:r>
      <w:r w:rsidR="00181888">
        <w:t xml:space="preserve">on glycerol conversion to other valuable compounds </w:t>
      </w:r>
      <w:r w:rsidR="005654E7">
        <w:t>have been</w:t>
      </w:r>
      <w:r w:rsidR="00181888">
        <w:t xml:space="preserve"> d</w:t>
      </w:r>
      <w:r w:rsidR="00EB402C">
        <w:t>eveloped</w:t>
      </w:r>
      <w:r w:rsidR="0052389A">
        <w:t xml:space="preserve"> and optimized</w:t>
      </w:r>
      <w:r w:rsidR="00EB402C">
        <w:t xml:space="preserve"> (</w:t>
      </w:r>
      <w:r w:rsidR="00EB402C">
        <w:fldChar w:fldCharType="begin" w:fldLock="1"/>
      </w:r>
      <w:r w:rsidR="008F2FCB">
        <w:instrText>ADDIN CSL_CITATION {"citationItems":[{"id":"ITEM-1","itemData":{"DOI":"10.3303/CET2186142","ISBN":"9788895608846","ISSN":"22839216","abstract":"Glycerol is a byproduct of biodiesel production. An alternative to use of this byproduct is the gasification with supercritical water (SCWG) for hydrogen generation. This work aims to analyze the conditions that enhance the formation of hydrogen using the response surface methodology in combination with optimization techniques. The results of the reaction in the equilibrium condition were obtained using Gibbs energy minimization method for isothermic systems and entropy maximization method for adiabatic systems. The proposed thermodynamic models were solved using GAMS 23.9.5 software in combination with CONOPT3 solver. As a result of the simulations, the final compositions of the gaseous phase and the thermal behavior for the operational conditions of the reaction are presented. The reaction was characterized by the formation of hydrogen, evaluating the temperature between 586.64 and 1259 K, pressures in the range of 216.36 to 283.64 bar and the glycerol / water molar ratio varying from 0.032 to 0.368 in the feeding according to the planning experimental. Higher hydrogen formation was observed for isothermic reaction conditions, indicating that glycerol SCWG was an endothermic reaction, this fact is justified by the results of adiabatic reactors. Hydrogen formation is mainly influenced by the effects of temperature and glycerol composition, reaching the maximum hydrogen formation (2.29 moles) operating in an isothermal manner for high temperatures (1123 K) and high glycerol/water ratios in the feed (0.368). For both results, the pressure pressure on the amount of internal hydrogen was not statistically significant at 95%.","author":[{"dropping-particle":"","family":"Santos","given":"Julles Mitoura","non-dropping-particle":"Dos","parse-names":false,"suffix":""},{"dropping-particle":"","family":"Sousa","given":"Gustavo Furtado Bezerra","non-dropping-particle":"De","parse-names":false,"suffix":""},{"dropping-particle":"","family":"Vidotti","given":"Annamaria Dória Souza","non-dropping-particle":"","parse-names":false,"suffix":""},{"dropping-particle":"","family":"Freitas","given":"Antonio Carlos Daltro","non-dropping-particle":"De","parse-names":false,"suffix":""},{"dropping-particle":"","family":"Guirardello","given":"Reginaldo","non-dropping-particle":"","parse-names":false,"suffix":""}],"container-title":"Chemical Engineering Transactions","id":"ITEM-1","issue":"October 2020","issued":{"date-parts":[["2021"]]},"page":"847-852","title":"Optimization of glycerol gasification process in supercritical water using thermodynamic approach","type":"article-journal","volume":"86"},"uris":["http://www.mendeley.com/documents/?uuid=9bd604c7-89d2-4e92-b16c-f190549275d0"]}],"mendeley":{"formattedCitation":"(Dos Santos &lt;i&gt;et al.&lt;/i&gt;, 2021)","manualFormatting":"Santos et al., 2021)","plainTextFormattedCitation":"(Dos Santos et al., 2021)","previouslyFormattedCitation":"(Dos Santos &lt;i&gt;et al.&lt;/i&gt;, 2021)"},"properties":{"noteIndex":0},"schema":"https://github.com/citation-style-language/schema/raw/master/csl-citation.json"}</w:instrText>
      </w:r>
      <w:r w:rsidR="00EB402C">
        <w:fldChar w:fldCharType="separate"/>
      </w:r>
      <w:r w:rsidR="00EB402C" w:rsidRPr="00EB402C">
        <w:rPr>
          <w:noProof/>
        </w:rPr>
        <w:t xml:space="preserve">Santos </w:t>
      </w:r>
      <w:r w:rsidR="00EB402C" w:rsidRPr="00D85A20">
        <w:rPr>
          <w:iCs/>
          <w:noProof/>
        </w:rPr>
        <w:t>et al</w:t>
      </w:r>
      <w:r w:rsidR="00EB402C" w:rsidRPr="00EB402C">
        <w:rPr>
          <w:i/>
          <w:noProof/>
        </w:rPr>
        <w:t>.</w:t>
      </w:r>
      <w:r w:rsidR="00EB402C" w:rsidRPr="00EB402C">
        <w:rPr>
          <w:noProof/>
        </w:rPr>
        <w:t>, 2021)</w:t>
      </w:r>
      <w:r w:rsidR="00EB402C">
        <w:fldChar w:fldCharType="end"/>
      </w:r>
      <w:r w:rsidR="00181888">
        <w:t xml:space="preserve">. </w:t>
      </w:r>
      <w:r w:rsidR="00BA26F3" w:rsidRPr="007840AE">
        <w:t>Considering th</w:t>
      </w:r>
      <w:r w:rsidR="0052389A">
        <w:t>e</w:t>
      </w:r>
      <w:r w:rsidR="00BA26F3" w:rsidRPr="007840AE">
        <w:t xml:space="preserve"> possibilit</w:t>
      </w:r>
      <w:r w:rsidR="0052389A">
        <w:t>ies</w:t>
      </w:r>
      <w:r w:rsidR="00536EB8">
        <w:t>,</w:t>
      </w:r>
      <w:r w:rsidR="009404CF">
        <w:t xml:space="preserve"> </w:t>
      </w:r>
      <w:r w:rsidR="00BF3C3F">
        <w:t>converting</w:t>
      </w:r>
      <w:r w:rsidR="00BA26F3" w:rsidRPr="007840AE">
        <w:t xml:space="preserve"> glycerol to the same alcohol used in the biodiesel production process could help reduce both glycerol and alcohol price </w:t>
      </w:r>
      <w:r w:rsidR="00BA26F3" w:rsidRPr="007840AE">
        <w:lastRenderedPageBreak/>
        <w:t>depend</w:t>
      </w:r>
      <w:r w:rsidR="00BF3C3F">
        <w:t>e</w:t>
      </w:r>
      <w:r w:rsidR="00BA26F3" w:rsidRPr="007840AE">
        <w:t>nce.</w:t>
      </w:r>
      <w:r w:rsidR="00A51D15" w:rsidRPr="007840AE">
        <w:t xml:space="preserve"> I</w:t>
      </w:r>
      <w:r w:rsidR="0052389A">
        <w:t>n this study,</w:t>
      </w:r>
      <w:r w:rsidR="00F957EA" w:rsidRPr="007840AE">
        <w:t xml:space="preserve"> considering methanol as the alcohol used to obtain the biodiesel,</w:t>
      </w:r>
      <w:r w:rsidR="00A51D15" w:rsidRPr="007840AE">
        <w:t xml:space="preserve"> </w:t>
      </w:r>
      <w:r w:rsidR="00F957EA" w:rsidRPr="007840AE">
        <w:t xml:space="preserve">the glycerol </w:t>
      </w:r>
      <w:r w:rsidR="00754FBF" w:rsidRPr="007840AE">
        <w:t xml:space="preserve">formed </w:t>
      </w:r>
      <w:r w:rsidR="00F957EA" w:rsidRPr="007840AE">
        <w:t xml:space="preserve">is first converted to synthesis gas, </w:t>
      </w:r>
      <w:r w:rsidR="00754FBF" w:rsidRPr="007840AE">
        <w:t xml:space="preserve">which </w:t>
      </w:r>
      <w:r w:rsidR="00BF3C3F">
        <w:t>is</w:t>
      </w:r>
      <w:r w:rsidR="00754FBF" w:rsidRPr="007840AE">
        <w:t xml:space="preserve"> then reacted to </w:t>
      </w:r>
      <w:r w:rsidR="006B5845">
        <w:t>form</w:t>
      </w:r>
      <w:r w:rsidR="00F957EA" w:rsidRPr="007840AE">
        <w:t xml:space="preserve"> methanol</w:t>
      </w:r>
      <w:r w:rsidR="006B5845">
        <w:t xml:space="preserve"> </w:t>
      </w:r>
      <w:r w:rsidR="006B5845" w:rsidRPr="007840AE">
        <w:fldChar w:fldCharType="begin" w:fldLock="1"/>
      </w:r>
      <w:r w:rsidR="006B5845" w:rsidRPr="007840AE">
        <w:instrText>ADDIN CSL_CITATION {"citationItems":[{"id":"ITEM-1","itemData":{"DOI":"10.1016/j.fuel.2012.09.073","ISSN":"00162361","abstract":"A process for producing methanol from the synthesis gas obtained by reforming of glycerol using supercritical water is studied. The process also produces power from the huge pressure energy of product gas just at the outlet of the reformer by a turbine. The expanded product gas is conditioned in a PSA system, which has three sections so as to produce a H2-rich gas stream, a CO-rich gas stream and CO2 for sequestration. Thus, it can be achieved the feed required for the methanol synthesis. The surplus hydrogen is sent to a fuel cell to generate power, and the PSA off-gas, purge from the methanol loop and gases separated from the crude methanol are burnt in a furnace to achieve an energy self-sufficient process. By changing the reforming temperature, the water-to-glycerol mass ratio and the purge from the methanol loop, the conditions for optimizing the overall process relative to methanol and power productions were achieved. Thus, by reforming at 1000 °C and 240 atm, and performing the methanol synthesis at 250 °C and 85 atm, the optimal conditions were a water-to-glycerol mass ratio of 1.68 with a purge ratio of 0.2. Under these conditions 0.270 kg MeOH/kg glycerol and overall energy efficiency of 38.0% were obtained. The separated CO2 for sequestration is 0.38 kg/kg of glycerol. © 2012 Elsevier Ltd. All rights reserved.","author":[{"dropping-particle":"","family":"Gutiérrez Ortiz","given":"F. J.","non-dropping-particle":"","parse-names":false,"suffix":""},{"dropping-particle":"","family":"Serrera","given":"A.","non-dropping-particle":"","parse-names":false,"suffix":""},{"dropping-particle":"","family":"Galera","given":"S.","non-dropping-particle":"","parse-names":false,"suffix":""},{"dropping-particle":"","family":"Ollero","given":"P.","non-dropping-particle":"","parse-names":false,"suffix":""}],"container-title":"Fuel","id":"ITEM-1","issued":{"date-parts":[["2013"]]},"page":"739-751","title":"Methanol synthesis from syngas obtained by supercritical water reforming of glycerol","type":"article-journal","volume":"105"},"uris":["http://www.mendeley.com/documents/?uuid=88c350f1-3155-43e4-b436-8b48bb4da6c1"]}],"mendeley":{"formattedCitation":"(Gutiérrez Ortiz &lt;i&gt;et al.&lt;/i&gt;, 2013)","plainTextFormattedCitation":"(Gutiérrez Ortiz et al., 2013)","previouslyFormattedCitation":"(Gutiérrez Ortiz &lt;i&gt;et al.&lt;/i&gt;, 2013)"},"properties":{"noteIndex":0},"schema":"https://github.com/citation-style-language/schema/raw/master/csl-citation.json"}</w:instrText>
      </w:r>
      <w:r w:rsidR="006B5845" w:rsidRPr="007840AE">
        <w:fldChar w:fldCharType="separate"/>
      </w:r>
      <w:r w:rsidR="006B5845" w:rsidRPr="007840AE">
        <w:rPr>
          <w:noProof/>
        </w:rPr>
        <w:t>(Gutiérrez Ortiz et al., 2013)</w:t>
      </w:r>
      <w:r w:rsidR="006B5845" w:rsidRPr="007840AE">
        <w:fldChar w:fldCharType="end"/>
      </w:r>
      <w:r w:rsidR="006B5845">
        <w:t>. Finally, the obtained methanol is recycled</w:t>
      </w:r>
      <w:r w:rsidR="00367690">
        <w:t>,</w:t>
      </w:r>
      <w:r w:rsidR="00AE30FA">
        <w:t xml:space="preserve"> and the overall circular biodiesel production process is evaluated</w:t>
      </w:r>
      <w:r w:rsidR="00F957EA" w:rsidRPr="007840AE">
        <w:t>.</w:t>
      </w:r>
      <w:r w:rsidR="0052389A">
        <w:t xml:space="preserve"> </w:t>
      </w:r>
    </w:p>
    <w:p w14:paraId="7B7BDC50" w14:textId="77777777" w:rsidR="00941450" w:rsidRPr="00941450" w:rsidRDefault="00941450" w:rsidP="00941450">
      <w:pPr>
        <w:pStyle w:val="CETBodytext"/>
      </w:pPr>
    </w:p>
    <w:p w14:paraId="5741900F" w14:textId="676D8EE1" w:rsidR="00453E24" w:rsidRDefault="00754FBF" w:rsidP="00453E24">
      <w:pPr>
        <w:pStyle w:val="CETHeading1"/>
      </w:pPr>
      <w:r>
        <w:t>Methodology</w:t>
      </w:r>
    </w:p>
    <w:p w14:paraId="7219F4A3" w14:textId="77777777" w:rsidR="00754FBF" w:rsidRDefault="00754FBF" w:rsidP="00453E24">
      <w:pPr>
        <w:pStyle w:val="CETBodytext"/>
      </w:pPr>
    </w:p>
    <w:p w14:paraId="4D68B5A8" w14:textId="303FE1D2" w:rsidR="00754FBF" w:rsidRDefault="004F690F" w:rsidP="00965313">
      <w:pPr>
        <w:pStyle w:val="CETBodytext"/>
      </w:pPr>
      <w:r>
        <w:t xml:space="preserve">Two simulation processes were developed, one for glycerol processing and another for crude glycerol selling. </w:t>
      </w:r>
      <w:r w:rsidR="00724E38">
        <w:t>The simulation process</w:t>
      </w:r>
      <w:r>
        <w:t>es</w:t>
      </w:r>
      <w:r w:rsidR="00724E38">
        <w:t xml:space="preserve"> and economic evaluation w</w:t>
      </w:r>
      <w:r w:rsidR="00BF3C3F">
        <w:t>ere</w:t>
      </w:r>
      <w:r w:rsidR="00724E38">
        <w:t xml:space="preserve"> entirely developed in Aspen Plus V10</w:t>
      </w:r>
      <w:r w:rsidR="00BF3C3F">
        <w:t>,</w:t>
      </w:r>
      <w:r w:rsidR="00724E38">
        <w:t xml:space="preserve"> and Aspen Energy Analyzer was used for heat integration analysis. </w:t>
      </w:r>
      <w:r w:rsidR="00912B3A">
        <w:t>When available, the reaction kinetics data were obtained from published articles using the same thermodynamic models</w:t>
      </w:r>
      <w:r w:rsidR="00C9618C">
        <w:t>. Tests to verify the reproducibility</w:t>
      </w:r>
      <w:r w:rsidR="004C26A5">
        <w:t xml:space="preserve"> of the data extracted were developed using the same reaction conditions and inlet flows, verifying the final conversion and system behavior for further comparison</w:t>
      </w:r>
      <w:r w:rsidR="002560C6">
        <w:t xml:space="preserve"> with the </w:t>
      </w:r>
      <w:r w:rsidR="002560C6" w:rsidRPr="00965313">
        <w:t>literature</w:t>
      </w:r>
      <w:r w:rsidR="002560C6">
        <w:t xml:space="preserve"> </w:t>
      </w:r>
      <w:r w:rsidR="004C26A5">
        <w:t>before using</w:t>
      </w:r>
      <w:r w:rsidR="002560C6">
        <w:t xml:space="preserve"> the data in</w:t>
      </w:r>
      <w:r w:rsidR="004C26A5">
        <w:t xml:space="preserve"> the </w:t>
      </w:r>
      <w:r w:rsidR="00BF3C3F">
        <w:t>actu</w:t>
      </w:r>
      <w:r w:rsidR="004C26A5">
        <w:t>al system</w:t>
      </w:r>
      <w:r w:rsidR="002560C6">
        <w:t xml:space="preserve">. The main </w:t>
      </w:r>
      <w:r w:rsidR="00A1657A">
        <w:t xml:space="preserve">thermodynamic models used were </w:t>
      </w:r>
      <w:r w:rsidR="00BF3C3F">
        <w:t>RK</w:t>
      </w:r>
      <w:r w:rsidR="00A1657A">
        <w:t>-</w:t>
      </w:r>
      <w:r w:rsidR="00BF3C3F">
        <w:t>S</w:t>
      </w:r>
      <w:r w:rsidR="00A1657A">
        <w:t>O</w:t>
      </w:r>
      <w:r w:rsidR="00BF3C3F">
        <w:t>AVE</w:t>
      </w:r>
      <w:r w:rsidR="00A1657A">
        <w:t xml:space="preserve"> when working with light gases and mildly polar mixtures, and PSRK when working with polar compounds. Both methods enable a good prediction when working at high temperatures and pressures, including </w:t>
      </w:r>
      <w:r w:rsidR="00131C50">
        <w:t xml:space="preserve">in </w:t>
      </w:r>
      <w:r w:rsidR="00A1657A">
        <w:t>the supercritical region</w:t>
      </w:r>
      <w:r>
        <w:t>.</w:t>
      </w:r>
    </w:p>
    <w:p w14:paraId="5FE6D773" w14:textId="7F3EEB1D" w:rsidR="004F690F" w:rsidRDefault="004F690F" w:rsidP="00453E24">
      <w:pPr>
        <w:pStyle w:val="CETBodytext"/>
      </w:pPr>
      <w:r>
        <w:t>After the base simulations were completed, an energy analysis was developed</w:t>
      </w:r>
      <w:r w:rsidR="00BF3C3F">
        <w:t>,</w:t>
      </w:r>
      <w:r w:rsidR="00501B23">
        <w:t xml:space="preserve"> where heat integration</w:t>
      </w:r>
      <w:r w:rsidR="006B5845">
        <w:t xml:space="preserve"> systems</w:t>
      </w:r>
      <w:r w:rsidR="00501B23">
        <w:t xml:space="preserve"> w</w:t>
      </w:r>
      <w:r w:rsidR="006B5845">
        <w:t>ere</w:t>
      </w:r>
      <w:r w:rsidR="00501B23">
        <w:t xml:space="preserve"> included to minimize utility usage. Finally, the economic evaluation was made to verify the economic feasibility of the process proposed for glycerol processing</w:t>
      </w:r>
      <w:r w:rsidR="006B5845">
        <w:t xml:space="preserve"> and compare the economic aspects </w:t>
      </w:r>
      <w:r w:rsidR="00614AEC">
        <w:t>of</w:t>
      </w:r>
      <w:r w:rsidR="006B5845">
        <w:t xml:space="preserve"> both units</w:t>
      </w:r>
      <w:r w:rsidR="00501B23">
        <w:t>.</w:t>
      </w:r>
    </w:p>
    <w:p w14:paraId="2EC9F10A" w14:textId="77777777" w:rsidR="00941450" w:rsidRDefault="00941450" w:rsidP="00453E24">
      <w:pPr>
        <w:pStyle w:val="CETBodytext"/>
      </w:pPr>
    </w:p>
    <w:p w14:paraId="3F115FD5" w14:textId="18964599" w:rsidR="004F690F" w:rsidRDefault="004F690F" w:rsidP="00453E24">
      <w:pPr>
        <w:pStyle w:val="CETBodytext"/>
      </w:pPr>
    </w:p>
    <w:p w14:paraId="6CB89A11" w14:textId="3C05CB31" w:rsidR="004F690F" w:rsidRDefault="004F690F" w:rsidP="00941450">
      <w:pPr>
        <w:pStyle w:val="CETHeading1"/>
        <w:tabs>
          <w:tab w:val="right" w:pos="7100"/>
        </w:tabs>
        <w:spacing w:before="0"/>
        <w:jc w:val="both"/>
        <w:rPr>
          <w:lang w:val="en-GB"/>
        </w:rPr>
      </w:pPr>
      <w:r>
        <w:rPr>
          <w:lang w:val="en-GB"/>
        </w:rPr>
        <w:t>Results and Discussion</w:t>
      </w:r>
    </w:p>
    <w:p w14:paraId="545ED51C" w14:textId="495BFB00" w:rsidR="007840AE" w:rsidRPr="007840AE" w:rsidRDefault="00EF7012" w:rsidP="00011671">
      <w:pPr>
        <w:pStyle w:val="CETheadingx"/>
      </w:pPr>
      <w:r>
        <w:t xml:space="preserve">3.1. </w:t>
      </w:r>
      <w:r w:rsidR="00941450">
        <w:t xml:space="preserve">Processes </w:t>
      </w:r>
      <w:r w:rsidR="00BF3C3F">
        <w:t>S</w:t>
      </w:r>
      <w:r w:rsidR="00941450">
        <w:t>imulation and E</w:t>
      </w:r>
      <w:r w:rsidR="00FB2AB3">
        <w:t>nergy</w:t>
      </w:r>
      <w:r w:rsidR="00941450">
        <w:t xml:space="preserve"> Analysis</w:t>
      </w:r>
    </w:p>
    <w:p w14:paraId="26534C14" w14:textId="77777777" w:rsidR="00941450" w:rsidRDefault="00941450" w:rsidP="00356FCA">
      <w:pPr>
        <w:pStyle w:val="CETBodytext"/>
      </w:pPr>
    </w:p>
    <w:p w14:paraId="5D842A87" w14:textId="7A569CD3" w:rsidR="00724E38" w:rsidRDefault="00E35818" w:rsidP="00356FCA">
      <w:pPr>
        <w:pStyle w:val="CETBodytext"/>
      </w:pPr>
      <w:r>
        <w:t>Initially,</w:t>
      </w:r>
      <w:r w:rsidR="0042626C">
        <w:t xml:space="preserve"> residual oil </w:t>
      </w:r>
      <w:r w:rsidR="00165ABE">
        <w:t>(15</w:t>
      </w:r>
      <w:r w:rsidR="00614AEC">
        <w:t xml:space="preserve"> wt</w:t>
      </w:r>
      <w:r w:rsidR="00165ABE">
        <w:t xml:space="preserve">% FFA) </w:t>
      </w:r>
      <w:r w:rsidR="0042626C">
        <w:t>was converted</w:t>
      </w:r>
      <w:r w:rsidR="00C35F5B">
        <w:t xml:space="preserve"> to biodiesel</w:t>
      </w:r>
      <w:r w:rsidR="0042626C">
        <w:t xml:space="preserve"> under a supercritical route using methanol </w:t>
      </w:r>
      <w:r>
        <w:t>in a 40:1 alcohol/oil proportion</w:t>
      </w:r>
      <w:r w:rsidR="00165ABE">
        <w:t>.</w:t>
      </w:r>
      <w:r>
        <w:t xml:space="preserve"> Triolein </w:t>
      </w:r>
      <w:r w:rsidR="00273275">
        <w:t xml:space="preserve">was used to </w:t>
      </w:r>
      <w:r>
        <w:t xml:space="preserve">represent </w:t>
      </w:r>
      <w:r w:rsidR="00273275">
        <w:t>the triglycerides and oleic acid to represent the FFA.</w:t>
      </w:r>
      <w:r w:rsidR="00165ABE">
        <w:t xml:space="preserve"> In this route, no catalyst was added in order to </w:t>
      </w:r>
      <w:r w:rsidR="0042626C">
        <w:t>minimize environmental issues and costs</w:t>
      </w:r>
      <w:r w:rsidR="00BF3C3F">
        <w:t>;</w:t>
      </w:r>
      <w:r w:rsidR="00165ABE">
        <w:t xml:space="preserve"> instead, </w:t>
      </w:r>
      <w:r w:rsidR="00073F6B">
        <w:fldChar w:fldCharType="begin" w:fldLock="1"/>
      </w:r>
      <w:r w:rsidR="00521527">
        <w:instrText>ADDIN CSL_CITATION {"citationItems":[{"id":"ITEM-1","itemData":{"DOI":"10.1016/j.fuel.2006.04.017","ISSN":"00162361","abstract":"For high-quality biodiesel fuel production from oils/fats, the catalyst-free two-step supercritical methanol process has been developed in a previous work, which consists of hydrolysis of triglycerides to fatty acids in subcritical water and subsequent methyl esterification of fatty acids to their methyl esters in supercritical methanol. In this paper, therefore, kinetics in hydrolysis and subsequent methyl esterification was studied to elucidate reaction mechanism. As a result, fatty acid was found to act as acid catalyst, and simple mathematical models were proposed in which regression curves can fit well with experimental results. Fatty acid was, thus, concluded to play an important role in the two-step supercritical methanol process. © 2006 Elsevier Ltd. All rights reserved.","author":[{"dropping-particle":"","family":"Minami","given":"Eiji","non-dropping-particle":"","parse-names":false,"suffix":""},{"dropping-particle":"","family":"Saka","given":"Shiro","non-dropping-particle":"","parse-names":false,"suffix":""}],"container-title":"Fuel","id":"ITEM-1","issue":"17-18","issued":{"date-parts":[["2006"]]},"page":"2479-2483","title":"Kinetics of hydrolysis and methyl esterification for biodiesel production in two-step supercritical methanol process","type":"article-journal","volume":"85"},"uris":["http://www.mendeley.com/documents/?uuid=719f2e2f-74b0-41aa-8194-adc17312b74a"]}],"mendeley":{"formattedCitation":"(Minami and Saka, 2006)","manualFormatting":"Minami and Saka (2006)","plainTextFormattedCitation":"(Minami and Saka, 2006)","previouslyFormattedCitation":"(Minami and Saka, 2006)"},"properties":{"noteIndex":0},"schema":"https://github.com/citation-style-language/schema/raw/master/csl-citation.json"}</w:instrText>
      </w:r>
      <w:r w:rsidR="00073F6B">
        <w:fldChar w:fldCharType="separate"/>
      </w:r>
      <w:r w:rsidR="00073F6B" w:rsidRPr="00073F6B">
        <w:rPr>
          <w:noProof/>
        </w:rPr>
        <w:t xml:space="preserve">Minami and Saka </w:t>
      </w:r>
      <w:r w:rsidR="00073F6B">
        <w:rPr>
          <w:noProof/>
        </w:rPr>
        <w:t>(</w:t>
      </w:r>
      <w:r w:rsidR="00073F6B" w:rsidRPr="00073F6B">
        <w:rPr>
          <w:noProof/>
        </w:rPr>
        <w:t>2006)</w:t>
      </w:r>
      <w:r w:rsidR="00073F6B">
        <w:fldChar w:fldCharType="end"/>
      </w:r>
      <w:r w:rsidR="00073F6B">
        <w:t xml:space="preserve"> showed that the fatty acid also acts as an acid catalyst in the reaction</w:t>
      </w:r>
      <w:r w:rsidR="0042626C">
        <w:t>.</w:t>
      </w:r>
      <w:r w:rsidR="00073F6B">
        <w:t xml:space="preserve"> The kinetics for th</w:t>
      </w:r>
      <w:r w:rsidR="00273275">
        <w:t xml:space="preserve">e esterification </w:t>
      </w:r>
      <w:r w:rsidR="0042288B">
        <w:fldChar w:fldCharType="begin" w:fldLock="1"/>
      </w:r>
      <w:r w:rsidR="0042288B">
        <w:instrText>ADDIN CSL_CITATION {"citationItems":[{"id":"ITEM-1","itemData":{"DOI":"10.1039/c5ra03709c","ISSN":"20462069","abstract":"Non-catalytic esterification of free fatty acids (oleic acid) with methanol for biodiesel production was studied in the reaction temperature range of 220-280 °C. To optimize the reaction conditions, the influence of the process parameters on biodiesel yield was studied with response surface methodology (RSM). It was found that biodiesel yield decreases at an exorbitant temperature. Thus, a reaction temperature below 260 °C is appropriate. At a temperature of 260 °C, with a methanol to oleic acid molar ratio of 20/1 and a reaction time of 60 min, the biodiesel yield can reach about 95%. In addition, a simplified approach to implementing a kinetic model for the esterification reaction was developed. The kinetic parameters were analyzed and discussed, and the experimental results were found to fit a first-order kinetic rate law. The rate constant of esterification in supercritical methanol increases significantly in comparison to that of subcritical conditions, and the apparent activation energy is higher than that of subcritical conditions.","author":[{"dropping-particle":"","family":"Jin","given":"Tianwei","non-dropping-particle":"","parse-names":false,"suffix":""},{"dropping-particle":"","family":"Wang","given":"Bin","non-dropping-particle":"","parse-names":false,"suffix":""},{"dropping-particle":"","family":"Zeng","given":"Jinhui","non-dropping-particle":"","parse-names":false,"suffix":""},{"dropping-particle":"","family":"Yang","given":"Chun","non-dropping-particle":"","parse-names":false,"suffix":""},{"dropping-particle":"","family":"Wang","given":"Yuqi","non-dropping-particle":"","parse-names":false,"suffix":""},{"dropping-particle":"","family":"Fang","given":"Tao","non-dropping-particle":"","parse-names":false,"suffix":""}],"container-title":"RSC Advances","id":"ITEM-1","issue":"64","issued":{"date-parts":[["2015"]]},"page":"52072-52078","title":"Esterification of free fatty acids with supercritical methanol for biodiesel production and related kinetic study","type":"article-journal","volume":"5"},"uris":["http://www.mendeley.com/documents/?uuid=8c8d94cf-148f-4bfc-9612-3c828218e65e"]}],"mendeley":{"formattedCitation":"(Jin &lt;i&gt;et al.&lt;/i&gt;, 2015)","plainTextFormattedCitation":"(Jin et al., 2015)","previouslyFormattedCitation":"(Jin &lt;i&gt;et al.&lt;/i&gt;, 2015)"},"properties":{"noteIndex":0},"schema":"https://github.com/citation-style-language/schema/raw/master/csl-citation.json"}</w:instrText>
      </w:r>
      <w:r w:rsidR="0042288B">
        <w:fldChar w:fldCharType="separate"/>
      </w:r>
      <w:r w:rsidR="0042288B" w:rsidRPr="0042288B">
        <w:rPr>
          <w:noProof/>
        </w:rPr>
        <w:t>(Jin et al., 2015)</w:t>
      </w:r>
      <w:r w:rsidR="0042288B">
        <w:fldChar w:fldCharType="end"/>
      </w:r>
      <w:r w:rsidR="00356FCA">
        <w:t xml:space="preserve"> </w:t>
      </w:r>
      <w:r w:rsidR="00273275">
        <w:t>and transesterification</w:t>
      </w:r>
      <w:r w:rsidR="00356FCA">
        <w:t xml:space="preserve"> </w:t>
      </w:r>
      <w:r w:rsidR="0042288B">
        <w:t xml:space="preserve">(parameters regressed from </w:t>
      </w:r>
      <w:r w:rsidR="0042288B">
        <w:fldChar w:fldCharType="begin" w:fldLock="1"/>
      </w:r>
      <w:r w:rsidR="00B33528">
        <w:instrText>ADDIN CSL_CITATION {"citationItems":[{"id":"ITEM-1","itemData":{"DOI":"10.1021/ie0607043","ISSN":"08885885","abstract":"Biodiesel synthesis (transesterification of triglycerides of higher fatty acid to methyl and ethyl esters) from castor oil and linseed oil using methanol and ethanol was investigated at subcritical and supercritical conditions of methanol and ethanol from 200 to 350°C at 200 bar. The effect of molar ratio of alcohol to oil, temperature, and time was investigated in supercritical methanol and ethanol. The kinetics of the reaction was first order, and the activation energies were determined from the temperature dependence of the rate coefficients. Biodiesel was also synthesized enzymatically with Novozym 435 in supercritical carbon dioxide (ScCO2). The effect of various parameters such as enzyme loading, alcohol to oil molar ratio, temperature, and time was investigated in these systems. A simplified model, based on the Ping Pong Bi Bi with competitive inhibition mechanism, was proposed to describe the enzymatic transesterification kinetics for castor oil with methanol and ethanol. © 2007 American Chemical Society.","author":[{"dropping-particle":"","family":"Varma","given":"Mahesh N.","non-dropping-particle":"","parse-names":false,"suffix":""},{"dropping-particle":"","family":"Madras","given":"Giridhar","non-dropping-particle":"","parse-names":false,"suffix":""}],"container-title":"Industrial and Engineering Chemistry Research","id":"ITEM-1","issue":"1","issued":{"date-parts":[["2007"]]},"page":"1-6","title":"Synthesis of biodiesel from castor oil and linseed oil in supercritical fluids","type":"article-journal","volume":"46"},"uris":["http://www.mendeley.com/documents/?uuid=b445cdc9-b260-4de5-ad27-8d895ce03d29"]}],"mendeley":{"formattedCitation":"(Varma and Madras, 2007)","manualFormatting":"Varma and Madras (2007)","plainTextFormattedCitation":"(Varma and Madras, 2007)","previouslyFormattedCitation":"(Varma and Madras, 2007)"},"properties":{"noteIndex":0},"schema":"https://github.com/citation-style-language/schema/raw/master/csl-citation.json"}</w:instrText>
      </w:r>
      <w:r w:rsidR="0042288B">
        <w:fldChar w:fldCharType="separate"/>
      </w:r>
      <w:r w:rsidR="0042288B" w:rsidRPr="0042288B">
        <w:rPr>
          <w:noProof/>
        </w:rPr>
        <w:t xml:space="preserve">Varma and Madras </w:t>
      </w:r>
      <w:r w:rsidR="0042288B">
        <w:rPr>
          <w:noProof/>
        </w:rPr>
        <w:t>(</w:t>
      </w:r>
      <w:r w:rsidR="0042288B" w:rsidRPr="0042288B">
        <w:rPr>
          <w:noProof/>
        </w:rPr>
        <w:t>2007)</w:t>
      </w:r>
      <w:r w:rsidR="0042288B">
        <w:fldChar w:fldCharType="end"/>
      </w:r>
      <w:r w:rsidR="0042288B">
        <w:t>)</w:t>
      </w:r>
      <w:r w:rsidR="00273275">
        <w:t xml:space="preserve"> reaction</w:t>
      </w:r>
      <w:r w:rsidR="006B5845">
        <w:t>s</w:t>
      </w:r>
      <w:r w:rsidR="00273275">
        <w:t xml:space="preserve"> were obtained separately as no article with both kinetics</w:t>
      </w:r>
      <w:r w:rsidR="00614AEC">
        <w:t xml:space="preserve"> and</w:t>
      </w:r>
      <w:r w:rsidR="00273275">
        <w:t xml:space="preserve"> in the same conditions was found. The reaction conditions used were the same </w:t>
      </w:r>
      <w:r w:rsidR="00BE5913">
        <w:t>as</w:t>
      </w:r>
      <w:r w:rsidR="00F42909">
        <w:t xml:space="preserve"> </w:t>
      </w:r>
      <w:r w:rsidR="00F42909">
        <w:fldChar w:fldCharType="begin" w:fldLock="1"/>
      </w:r>
      <w:r w:rsidR="00B33528">
        <w:instrText>ADDIN CSL_CITATION {"citationItems":[{"id":"ITEM-1","itemData":{"DOI":"10.1021/ie0607043","ISSN":"08885885","abstract":"Biodiesel synthesis (transesterification of triglycerides of higher fatty acid to methyl and ethyl esters) from castor oil and linseed oil using methanol and ethanol was investigated at subcritical and supercritical conditions of methanol and ethanol from 200 to 350°C at 200 bar. The effect of molar ratio of alcohol to oil, temperature, and time was investigated in supercritical methanol and ethanol. The kinetics of the reaction was first order, and the activation energies were determined from the temperature dependence of the rate coefficients. Biodiesel was also synthesized enzymatically with Novozym 435 in supercritical carbon dioxide (ScCO2). The effect of various parameters such as enzyme loading, alcohol to oil molar ratio, temperature, and time was investigated in these systems. A simplified model, based on the Ping Pong Bi Bi with competitive inhibition mechanism, was proposed to describe the enzymatic transesterification kinetics for castor oil with methanol and ethanol. © 2007 American Chemical Society.","author":[{"dropping-particle":"","family":"Varma","given":"Mahesh N.","non-dropping-particle":"","parse-names":false,"suffix":""},{"dropping-particle":"","family":"Madras","given":"Giridhar","non-dropping-particle":"","parse-names":false,"suffix":""}],"container-title":"Industrial and Engineering Chemistry Research","id":"ITEM-1","issue":"1","issued":{"date-parts":[["2007"]]},"page":"1-6","title":"Synthesis of biodiesel from castor oil and linseed oil in supercritical fluids","type":"article-journal","volume":"46"},"uris":["http://www.mendeley.com/documents/?uuid=b445cdc9-b260-4de5-ad27-8d895ce03d29"]}],"mendeley":{"formattedCitation":"(Varma and Madras, 2007)","manualFormatting":"Varma and Madras (2007)","plainTextFormattedCitation":"(Varma and Madras, 2007)","previouslyFormattedCitation":"(Varma and Madras, 2007)"},"properties":{"noteIndex":0},"schema":"https://github.com/citation-style-language/schema/raw/master/csl-citation.json"}</w:instrText>
      </w:r>
      <w:r w:rsidR="00F42909">
        <w:fldChar w:fldCharType="separate"/>
      </w:r>
      <w:r w:rsidR="00F42909" w:rsidRPr="0042288B">
        <w:rPr>
          <w:noProof/>
        </w:rPr>
        <w:t xml:space="preserve">Varma and Madras </w:t>
      </w:r>
      <w:r w:rsidR="00F42909">
        <w:rPr>
          <w:noProof/>
        </w:rPr>
        <w:t>(</w:t>
      </w:r>
      <w:r w:rsidR="00F42909" w:rsidRPr="0042288B">
        <w:rPr>
          <w:noProof/>
        </w:rPr>
        <w:t>2007)</w:t>
      </w:r>
      <w:r w:rsidR="00F42909">
        <w:fldChar w:fldCharType="end"/>
      </w:r>
      <w:r w:rsidR="00BE5913">
        <w:t xml:space="preserve"> used</w:t>
      </w:r>
      <w:r w:rsidR="00373939">
        <w:t xml:space="preserve"> (320 ºC and 200 bar)</w:t>
      </w:r>
      <w:r w:rsidR="00273275">
        <w:t>,</w:t>
      </w:r>
      <w:r w:rsidR="00BE5913">
        <w:t xml:space="preserve"> which presented higher temperature and pressure in relation to the esterification reaction proposed. However, considering that higher temperatures and pressures benefit the esterification reaction</w:t>
      </w:r>
      <w:r w:rsidR="00521527">
        <w:t xml:space="preserve"> </w:t>
      </w:r>
      <w:r w:rsidR="00521527">
        <w:fldChar w:fldCharType="begin" w:fldLock="1"/>
      </w:r>
      <w:r w:rsidR="0042288B">
        <w:instrText>ADDIN CSL_CITATION {"citationItems":[{"id":"ITEM-1","itemData":{"DOI":"10.1016/j.fuel.2011.08.063","ISSN":"00162361","abstract":"In this work, the single step method for non-catalytic esterification of palm fatty acid distillate (PFAD), which is readily applicable to actual production of biodiesel, was investigated. In this method, the esterification reaction is accomplished in a single step by ensuring water-free reaction conditions and the acid value is reduced to below 0.5 (mg KOH/g) which has not been possible in previous methods. The reaction was completed (&lt;0.5 mg KOH/g) within 180 min at relatively high temperature (&gt;250 °C) enough to be above boiling point of water and at moderate pressure (0.85-1.20 MPa) without any catalyst. The effects of temperature, methanol feed rate and pressure on a semi-batch reaction were investigated and the optimal values of these variables were found (temperature: 290 °C, pressure: 0.85 MPa, feed rate: 2.4 g/min). The acid value was reduced from 191.4 to 0.36 (mg KOH/g) just in 180 min at these conditions. From the kinetic study on non-catalytic esterification of PFAD, it was found that the activation energy is 17.74 kJ/mol and the frequency factor is 2.12 min -1. © 2011 Elsevier Ltd. All rights reserved.","author":[{"dropping-particle":"","family":"Cho","given":"Hyun Jun","non-dropping-particle":"","parse-names":false,"suffix":""},{"dropping-particle":"","family":"Kim","given":"Soo Hyun","non-dropping-particle":"","parse-names":false,"suffix":""},{"dropping-particle":"","family":"Hong","given":"Seok Won","non-dropping-particle":"","parse-names":false,"suffix":""},{"dropping-particle":"","family":"Yeo","given":"Yeong Koo","non-dropping-particle":"","parse-names":false,"suffix":""}],"container-title":"Fuel","id":"ITEM-1","issued":{"date-parts":[["2012"]]},"page":"373-380","publisher":"Elsevier Ltd","title":"A single step non-catalytic esterification of palm fatty acid distillate (PFAD) for biodiesel production","type":"article-journal","volume":"93"},"uris":["http://www.mendeley.com/documents/?uuid=fefd5a76-b2be-4356-b91b-c2273bedeec3"]}],"mendeley":{"formattedCitation":"(Cho &lt;i&gt;et al.&lt;/i&gt;, 2012)","plainTextFormattedCitation":"(Cho et al., 2012)","previouslyFormattedCitation":"(Cho &lt;i&gt;et al.&lt;/i&gt;, 2012)"},"properties":{"noteIndex":0},"schema":"https://github.com/citation-style-language/schema/raw/master/csl-citation.json"}</w:instrText>
      </w:r>
      <w:r w:rsidR="00521527">
        <w:fldChar w:fldCharType="separate"/>
      </w:r>
      <w:r w:rsidR="00521527" w:rsidRPr="00521527">
        <w:rPr>
          <w:noProof/>
        </w:rPr>
        <w:t xml:space="preserve">(Cho </w:t>
      </w:r>
      <w:r w:rsidR="00521527" w:rsidRPr="00F42909">
        <w:rPr>
          <w:noProof/>
        </w:rPr>
        <w:t>et al.</w:t>
      </w:r>
      <w:r w:rsidR="00521527" w:rsidRPr="00521527">
        <w:rPr>
          <w:noProof/>
        </w:rPr>
        <w:t>, 2012)</w:t>
      </w:r>
      <w:r w:rsidR="00521527">
        <w:fldChar w:fldCharType="end"/>
      </w:r>
      <w:r w:rsidR="00356FCA">
        <w:t>, and the conditions chosen are out of the kinetics range for</w:t>
      </w:r>
      <w:r w:rsidR="00BF3C3F">
        <w:t xml:space="preserve"> the</w:t>
      </w:r>
      <w:r w:rsidR="00356FCA">
        <w:t xml:space="preserve"> proposed esterification reaction</w:t>
      </w:r>
      <w:r w:rsidR="00BE5913">
        <w:t xml:space="preserve">, </w:t>
      </w:r>
      <w:r w:rsidR="00356FCA">
        <w:t xml:space="preserve">it is important to keep in mind that the results obtained here underestimate the actual </w:t>
      </w:r>
      <w:r w:rsidR="00614AEC">
        <w:t xml:space="preserve">esterification </w:t>
      </w:r>
      <w:r w:rsidR="00356FCA">
        <w:t>reaction behavior.</w:t>
      </w:r>
    </w:p>
    <w:p w14:paraId="52517509" w14:textId="46295C4C" w:rsidR="00F42909" w:rsidRPr="007C5B64" w:rsidRDefault="00BF3C3F" w:rsidP="00356FCA">
      <w:pPr>
        <w:pStyle w:val="CETBodytext"/>
      </w:pPr>
      <w:r>
        <w:t>The kinetic model proposed by Guo et al. (2013) was used for the glycerol conversion to synthesis gas</w:t>
      </w:r>
      <w:r w:rsidR="00B33528">
        <w:t xml:space="preserve">. </w:t>
      </w:r>
      <w:r w:rsidR="00183E9C">
        <w:t xml:space="preserve">The reaction conditions were 567 ºC and 250 bar. </w:t>
      </w:r>
      <w:r w:rsidR="00B33528">
        <w:t xml:space="preserve">Acetaldehyde was considered the intermediate product in this reaction as it </w:t>
      </w:r>
      <w:r w:rsidR="00077B50">
        <w:t>was</w:t>
      </w:r>
      <w:r w:rsidR="00B33528">
        <w:t xml:space="preserve"> the main liquid product </w:t>
      </w:r>
      <w:r w:rsidR="00077B50">
        <w:t>obtained</w:t>
      </w:r>
      <w:r w:rsidR="00131C50">
        <w:t>,</w:t>
      </w:r>
      <w:r w:rsidR="00077B50">
        <w:t xml:space="preserve"> and molecules with two carbons were more commonly </w:t>
      </w:r>
      <w:r>
        <w:t>present</w:t>
      </w:r>
      <w:r w:rsidR="00077B50">
        <w:t xml:space="preserve"> in the liquid phase</w:t>
      </w:r>
      <w:r w:rsidR="00FE3655">
        <w:t xml:space="preserve"> (</w:t>
      </w:r>
      <w:r w:rsidR="00FE3655">
        <w:fldChar w:fldCharType="begin" w:fldLock="1"/>
      </w:r>
      <w:r w:rsidR="00373939">
        <w:instrText>ADDIN CSL_CITATION {"citationItems":[{"id":"ITEM-1","itemData":{"DOI":"10.1016/j.supflu.2013.03.025","ISSN":"08968446","abstract":"In this paper, the liquid products from supercritical water gasification (SCWG) of glycerol were analyzed and some intermediates were identified. A simplified reaction pathway for gases production from SCWG of glycerol was proposed. The first quantitative kinetics model for describing the gaseous products (H2, CO, CH4 and CO2) of SCWG of glycerol was developed. The model comprises seven reactions to describe the typical reactions in SCWG, and the reaction rate constant of each reaction was obtained by using the nonlinear least-square fitting method. The reaction rate analysis showed that the main sources of hydrogen yield were glycerol pyrolysis and steam reforming of intermediates, while the hydrogen yield from water-gas shift reaction (WGSR) was very small. The temperature estimated by the kinetics model for completely SCWG of glycerol solution was given. In addition, the sensitivity analysis of rate constant of WGSR was done based on the model. © 2013 Elsevier Ltd. All rights reserved.","author":[{"dropping-particle":"","family":"Guo","given":"Simao","non-dropping-particle":"","parse-names":false,"suffix":""},{"dropping-particle":"","family":"Guo","given":"Liejin","non-dropping-particle":"","parse-names":false,"suffix":""},{"dropping-particle":"","family":"Yin","given":"Jiarong","non-dropping-particle":"","parse-names":false,"suffix":""},{"dropping-particle":"","family":"Jin","given":"Hui","non-dropping-particle":"","parse-names":false,"suffix":""}],"container-title":"Journal of Supercritical Fluids","id":"ITEM-1","issued":{"date-parts":[["2013"]]},"page":"95-102","publisher":"Elsevier B.V.","title":"Supercritical water gasification of glycerol: Intermediates and kinetics","type":"article-journal","volume":"78"},"uris":["http://www.mendeley.com/documents/?uuid=f171eb45-7db8-48b9-b66a-673448eeba0f"]}],"mendeley":{"formattedCitation":"(Guo &lt;i&gt;et al.&lt;/i&gt;, 2013)","manualFormatting":"Guo et al., 2013)","plainTextFormattedCitation":"(Guo et al., 2013)","previouslyFormattedCitation":"(Guo &lt;i&gt;et al.&lt;/i&gt;, 2013)"},"properties":{"noteIndex":0},"schema":"https://github.com/citation-style-language/schema/raw/master/csl-citation.json"}</w:instrText>
      </w:r>
      <w:r w:rsidR="00FE3655">
        <w:fldChar w:fldCharType="separate"/>
      </w:r>
      <w:r w:rsidR="00FE3655" w:rsidRPr="00B33528">
        <w:rPr>
          <w:noProof/>
        </w:rPr>
        <w:t>Guo et al.</w:t>
      </w:r>
      <w:r w:rsidR="00FE3655">
        <w:rPr>
          <w:noProof/>
        </w:rPr>
        <w:t>,</w:t>
      </w:r>
      <w:r w:rsidR="00FE3655" w:rsidRPr="00B33528">
        <w:rPr>
          <w:noProof/>
        </w:rPr>
        <w:t xml:space="preserve"> 2013)</w:t>
      </w:r>
      <w:r w:rsidR="00FE3655">
        <w:fldChar w:fldCharType="end"/>
      </w:r>
      <w:r w:rsidR="00077B50">
        <w:t xml:space="preserve">. Finally, </w:t>
      </w:r>
      <w:r w:rsidR="006B5845">
        <w:t>an equilibrium reactor was used to obtain methanol from the synthesis gas reaction</w:t>
      </w:r>
      <w:r w:rsidR="00FE3655">
        <w:t xml:space="preserve">. This choice was due to the lack of reproducibility </w:t>
      </w:r>
      <w:r w:rsidR="00644283">
        <w:t xml:space="preserve">between the kinetic equation and experimental data </w:t>
      </w:r>
      <w:r w:rsidR="00FE3655">
        <w:t xml:space="preserve">available in </w:t>
      </w:r>
      <w:r w:rsidR="00644283">
        <w:t>different</w:t>
      </w:r>
      <w:r w:rsidR="00FE3655">
        <w:t xml:space="preserve"> articles</w:t>
      </w:r>
      <w:r>
        <w:t xml:space="preserve"> </w:t>
      </w:r>
      <w:r w:rsidR="00131C50">
        <w:t>under</w:t>
      </w:r>
      <w:r>
        <w:t xml:space="preserve"> similar conditions</w:t>
      </w:r>
      <w:r w:rsidR="00FE3655">
        <w:t>. The equilibrium reactor, however, presented very close results compar</w:t>
      </w:r>
      <w:r>
        <w:t>ed</w:t>
      </w:r>
      <w:r w:rsidR="00FE3655">
        <w:t xml:space="preserve"> </w:t>
      </w:r>
      <w:r w:rsidR="006B5845">
        <w:t>to</w:t>
      </w:r>
      <w:r w:rsidR="00FE3655">
        <w:t xml:space="preserve"> the behavior obtained by </w:t>
      </w:r>
      <w:r w:rsidR="00373939">
        <w:fldChar w:fldCharType="begin" w:fldLock="1"/>
      </w:r>
      <w:r w:rsidR="00940E97">
        <w:instrText>ADDIN CSL_CITATION {"citationItems":[{"id":"ITEM-1","itemData":{"DOI":"10.1016/B978-0-444-63903-5.00017-0","ISBN":"9780444640109","abstract":"Methanol synthesis has drawn a lot of attention and its product, methanol, is assumed to be one of the key issues of future global energy discussion. The sustainable and cost-effective process can be achieved by successful process design, control, and optimization. In this context, an accurate process model is the important tool for process development. There, assumptions about the carbon source and reaction kinetics greatly affect the applied model structure. For this reason, the generalized overall model for explaining methanol synthesis is still under investigation. Different mathematical model structures for methanol synthesis have been developed and documented in the literature; some of those with applications are introduced in this chapter. In addition, the physical model developed by Vanden Bussche and Froment is utilized in the simulation case example and discussed in detail.","author":[{"dropping-particle":"","family":"Mäyrä","given":"Outi","non-dropping-particle":"","parse-names":false,"suffix":""},{"dropping-particle":"","family":"Leiviskä","given":"Kauko","non-dropping-particle":"","parse-names":false,"suffix":""}],"container-title":"Methanol: Science and Engineering","id":"ITEM-1","issued":{"date-parts":[["2018"]]},"page":"475-492","title":"Modeling in Methanol Synthesis","type":"article-journal"},"uris":["http://www.mendeley.com/documents/?uuid=3bc6a495-9089-43eb-ad26-42bad7ccd139"]}],"mendeley":{"formattedCitation":"(Mäyrä and Leiviskä, 2018)","manualFormatting":"Mäyrä and Leiviskä (2018)","plainTextFormattedCitation":"(Mäyrä and Leiviskä, 2018)","previouslyFormattedCitation":"(Mäyrä and Leiviskä, 2018)"},"properties":{"noteIndex":0},"schema":"https://github.com/citation-style-language/schema/raw/master/csl-citation.json"}</w:instrText>
      </w:r>
      <w:r w:rsidR="00373939">
        <w:fldChar w:fldCharType="separate"/>
      </w:r>
      <w:r w:rsidR="00373939" w:rsidRPr="00373939">
        <w:rPr>
          <w:noProof/>
        </w:rPr>
        <w:t xml:space="preserve">Mäyrä and Leiviskä </w:t>
      </w:r>
      <w:r w:rsidR="00373939">
        <w:rPr>
          <w:noProof/>
        </w:rPr>
        <w:t>(</w:t>
      </w:r>
      <w:r w:rsidR="00373939" w:rsidRPr="00373939">
        <w:rPr>
          <w:noProof/>
        </w:rPr>
        <w:t>2018)</w:t>
      </w:r>
      <w:r w:rsidR="00373939">
        <w:fldChar w:fldCharType="end"/>
      </w:r>
      <w:r w:rsidR="00FE3655">
        <w:t>.</w:t>
      </w:r>
      <w:r w:rsidR="00183E9C">
        <w:t xml:space="preserve"> The reaction conditions were 220 ºC and 50 bar</w:t>
      </w:r>
      <w:r>
        <w:t>,</w:t>
      </w:r>
      <w:r w:rsidR="007C5B64">
        <w:t xml:space="preserve"> and </w:t>
      </w:r>
      <w:r>
        <w:t>ZnO/Cr</w:t>
      </w:r>
      <w:r w:rsidRPr="00BF3C3F">
        <w:rPr>
          <w:vertAlign w:val="subscript"/>
        </w:rPr>
        <w:t>2</w:t>
      </w:r>
      <w:r>
        <w:t>O</w:t>
      </w:r>
      <w:r w:rsidRPr="00BF3C3F">
        <w:rPr>
          <w:vertAlign w:val="subscript"/>
        </w:rPr>
        <w:t>3</w:t>
      </w:r>
      <w:r>
        <w:t xml:space="preserve"> was used as the catalyst</w:t>
      </w:r>
      <w:r w:rsidR="007C5B64">
        <w:t>. Other literature data ha</w:t>
      </w:r>
      <w:r w:rsidR="00C35F5B">
        <w:t>ve</w:t>
      </w:r>
      <w:r w:rsidR="007C5B64">
        <w:t xml:space="preserve"> shown that the activity of this catalyst is very stable in the reverse-water-gas-shift reaction without coke formation</w:t>
      </w:r>
      <w:r w:rsidR="00185E9E">
        <w:t xml:space="preserve"> </w:t>
      </w:r>
      <w:r w:rsidR="00940E97">
        <w:fldChar w:fldCharType="begin" w:fldLock="1"/>
      </w:r>
      <w:r w:rsidR="00A668BA">
        <w:instrText>ADDIN CSL_CITATION {"citationItems":[{"id":"ITEM-1","itemData":{"DOI":"10.1007/BF02699123","ISSN":"02561115","abstract":"The stability and the activity of Fe2O3/Cr2O3 and ZnO/Cr2O3 catalysts were examined for a reverse-water-gas-shift reaction (RWReaction). The initial activities of those catalysts were quite high so that the conversion reached close to equilibrium. The activity of Fe2O3/Cr2O3, catalyst decreased from 33.5 to 29.8% during the RWReaction for 75 h at 873 K with GHSV (ml/gcat · h) of 100,000. Moreover, the coke formation on the Fe2O3/Cr2O3 catalyst caused clogging in the RWReactor of the CAMERE process. On the other hand, the ZnO/Cr2O3 catalyst showed no coke formation and no deactivation for the RWReaction at 873 K with GHSV (ml/gcat · h) of 150,000. The ZnO/Cr2O3 was a good catalyst for the RWReaction of the CAMERE process.","author":[{"dropping-particle":"","family":"Park","given":"Sang Woo","non-dropping-particle":"","parse-names":false,"suffix":""},{"dropping-particle":"","family":"Joo","given":"Oh Shim","non-dropping-particle":"","parse-names":false,"suffix":""},{"dropping-particle":"","family":"Jung","given":"Kwang Deog","non-dropping-particle":"","parse-names":false,"suffix":""},{"dropping-particle":"","family":"Kim","given":"Hyo","non-dropping-particle":"","parse-names":false,"suffix":""},{"dropping-particle":"","family":"Han","given":"Sung Hwan","non-dropping-particle":"","parse-names":false,"suffix":""}],"container-title":"Korean Journal of Chemical Engineering","id":"ITEM-1","issue":"6","issued":{"date-parts":[["2000"]]},"page":"719-722","title":"ZnO/Cr2O3 Catalyst for Reverse-Water-Gas-Shift Reaction of CAMERE Process","type":"article-journal","volume":"17"},"uris":["http://www.mendeley.com/documents/?uuid=d19994be-bf5a-446f-8db3-b7c40efafa43"]}],"mendeley":{"formattedCitation":"(Park &lt;i&gt;et al.&lt;/i&gt;, 2000)","plainTextFormattedCitation":"(Park et al., 2000)","previouslyFormattedCitation":"(Park &lt;i&gt;et al.&lt;/i&gt;, 2000)"},"properties":{"noteIndex":0},"schema":"https://github.com/citation-style-language/schema/raw/master/csl-citation.json"}</w:instrText>
      </w:r>
      <w:r w:rsidR="00940E97">
        <w:fldChar w:fldCharType="separate"/>
      </w:r>
      <w:r w:rsidR="00940E97" w:rsidRPr="00940E97">
        <w:rPr>
          <w:noProof/>
        </w:rPr>
        <w:t xml:space="preserve">(Park </w:t>
      </w:r>
      <w:r w:rsidR="00940E97" w:rsidRPr="00297DBF">
        <w:rPr>
          <w:noProof/>
        </w:rPr>
        <w:t>et al.</w:t>
      </w:r>
      <w:r w:rsidR="00940E97" w:rsidRPr="00940E97">
        <w:rPr>
          <w:noProof/>
        </w:rPr>
        <w:t>, 2000)</w:t>
      </w:r>
      <w:r w:rsidR="00940E97">
        <w:fldChar w:fldCharType="end"/>
      </w:r>
      <w:r>
        <w:t>. However,</w:t>
      </w:r>
      <w:r w:rsidR="00185E9E">
        <w:t xml:space="preserve"> no </w:t>
      </w:r>
      <w:r w:rsidR="00DD61B0">
        <w:t xml:space="preserve">tests regarding catalyst </w:t>
      </w:r>
      <w:r w:rsidR="00185E9E">
        <w:t xml:space="preserve">activity </w:t>
      </w:r>
      <w:r w:rsidR="00DD61B0">
        <w:t>have been</w:t>
      </w:r>
      <w:r w:rsidR="00185E9E">
        <w:t xml:space="preserve"> done </w:t>
      </w:r>
      <w:r w:rsidR="00940E97">
        <w:t>for the entire reaction proposed.</w:t>
      </w:r>
    </w:p>
    <w:p w14:paraId="1A518A80" w14:textId="245E7B76" w:rsidR="00183E9C" w:rsidRDefault="00183E9C" w:rsidP="00356FCA">
      <w:pPr>
        <w:pStyle w:val="CETBodytext"/>
      </w:pPr>
      <w:r>
        <w:t xml:space="preserve">The final simulation for </w:t>
      </w:r>
      <w:r w:rsidR="00BF3C3F">
        <w:t xml:space="preserve">the </w:t>
      </w:r>
      <w:r>
        <w:t xml:space="preserve">biodiesel production unit with glycerol processing to obtain methanol is presented in </w:t>
      </w:r>
      <w:r w:rsidR="00297DBF">
        <w:fldChar w:fldCharType="begin"/>
      </w:r>
      <w:r w:rsidR="00297DBF">
        <w:instrText xml:space="preserve"> REF _Ref92997968 \h  \* MERGEFORMAT </w:instrText>
      </w:r>
      <w:r w:rsidR="00297DBF">
        <w:fldChar w:fldCharType="separate"/>
      </w:r>
      <w:r w:rsidR="00297DBF" w:rsidRPr="00297DBF">
        <w:t>Figure 1</w:t>
      </w:r>
      <w:r w:rsidR="00297DBF">
        <w:fldChar w:fldCharType="end"/>
      </w:r>
      <w:r>
        <w:t>.</w:t>
      </w:r>
      <w:r w:rsidR="00297DBF">
        <w:t xml:space="preserve"> The solid lines represent the process streams</w:t>
      </w:r>
      <w:r w:rsidR="00BF3C3F">
        <w:t>,</w:t>
      </w:r>
      <w:r w:rsidR="00297DBF">
        <w:t xml:space="preserve"> while the dotted line</w:t>
      </w:r>
      <w:r w:rsidR="00BF3C3F">
        <w:t>s</w:t>
      </w:r>
      <w:r w:rsidR="00297DBF">
        <w:t xml:space="preserve"> represent the energy integration.</w:t>
      </w:r>
    </w:p>
    <w:p w14:paraId="21D58B0C" w14:textId="3F89D771" w:rsidR="005727E9" w:rsidRDefault="0096571B" w:rsidP="00356FCA">
      <w:pPr>
        <w:pStyle w:val="CETBodytext"/>
      </w:pPr>
      <w:r>
        <w:t>As can be seen, t</w:t>
      </w:r>
      <w:r w:rsidR="005727E9">
        <w:t xml:space="preserve">he process starts with the addition of </w:t>
      </w:r>
      <w:r>
        <w:t xml:space="preserve">the residual </w:t>
      </w:r>
      <w:r w:rsidR="005727E9">
        <w:t xml:space="preserve">oil and methanol in the supercritical reactor, followed by methanol recycling and glycerol </w:t>
      </w:r>
      <w:r w:rsidR="00614AEC">
        <w:t>separation</w:t>
      </w:r>
      <w:r w:rsidR="005727E9">
        <w:t xml:space="preserve">. The </w:t>
      </w:r>
      <w:r w:rsidR="004F1B47">
        <w:t xml:space="preserve">biodiesel from the oil phase is then </w:t>
      </w:r>
      <w:r w:rsidR="006B5845">
        <w:t xml:space="preserve">purified and </w:t>
      </w:r>
      <w:r w:rsidR="004F1B47">
        <w:t>separated as the final product</w:t>
      </w:r>
      <w:r w:rsidR="006B5845">
        <w:t>. In contrast,</w:t>
      </w:r>
      <w:r w:rsidR="004F1B47">
        <w:t xml:space="preserve"> the glycerol present in the water phase is directed to the synthesis gas formation reactor</w:t>
      </w:r>
      <w:r>
        <w:t xml:space="preserve">. </w:t>
      </w:r>
      <w:r w:rsidR="00367690">
        <w:t xml:space="preserve">These </w:t>
      </w:r>
      <w:r>
        <w:t>gases</w:t>
      </w:r>
      <w:r w:rsidR="00367690">
        <w:t xml:space="preserve"> then</w:t>
      </w:r>
      <w:r>
        <w:t xml:space="preserve"> </w:t>
      </w:r>
      <w:r w:rsidR="00367690">
        <w:t>proceed</w:t>
      </w:r>
      <w:r>
        <w:t xml:space="preserve"> to the final reactor for methanol production. An excess of hydrogen </w:t>
      </w:r>
      <w:r w:rsidR="00BF3C3F">
        <w:t xml:space="preserve">is </w:t>
      </w:r>
      <w:r>
        <w:t>added to improve reaction conversion. The unreacted gases are recycled to this reactor while methanol is directed to the methanol recycling stream.</w:t>
      </w:r>
      <w:r w:rsidR="00BF3C3F">
        <w:t xml:space="preserve"> </w:t>
      </w:r>
      <w:r w:rsidR="00367690">
        <w:t>T</w:t>
      </w:r>
      <w:r w:rsidR="00BF3C3F">
        <w:t>hree energy integration systems were used in this unit.</w:t>
      </w:r>
    </w:p>
    <w:p w14:paraId="52AF68BE" w14:textId="19A0F9A8" w:rsidR="003320C5" w:rsidRDefault="003320C5" w:rsidP="00356FCA">
      <w:pPr>
        <w:pStyle w:val="CETBodytext"/>
      </w:pPr>
      <w:r>
        <w:t>It is important to remember that the simulation with glycerol selling</w:t>
      </w:r>
      <w:r w:rsidR="00BF3C3F">
        <w:t xml:space="preserve"> (</w:t>
      </w:r>
      <w:r w:rsidR="00BF3C3F">
        <w:fldChar w:fldCharType="begin"/>
      </w:r>
      <w:r w:rsidR="00BF3C3F">
        <w:instrText xml:space="preserve"> REF _Ref93088565 \h  \* MERGEFORMAT </w:instrText>
      </w:r>
      <w:r w:rsidR="00BF3C3F">
        <w:fldChar w:fldCharType="separate"/>
      </w:r>
      <w:r w:rsidR="00BF3C3F" w:rsidRPr="00576402">
        <w:t>Figure 2</w:t>
      </w:r>
      <w:r w:rsidR="00BF3C3F">
        <w:fldChar w:fldCharType="end"/>
      </w:r>
      <w:r w:rsidR="00BF3C3F">
        <w:t>)</w:t>
      </w:r>
      <w:r>
        <w:t xml:space="preserve"> was almost the same as the one present in </w:t>
      </w:r>
      <w:r>
        <w:fldChar w:fldCharType="begin"/>
      </w:r>
      <w:r>
        <w:instrText xml:space="preserve"> REF _Ref92997968 \h  \* MERGEFORMAT </w:instrText>
      </w:r>
      <w:r>
        <w:fldChar w:fldCharType="separate"/>
      </w:r>
      <w:r w:rsidRPr="00297DBF">
        <w:t>Figure 1</w:t>
      </w:r>
      <w:r>
        <w:fldChar w:fldCharType="end"/>
      </w:r>
      <w:r>
        <w:t xml:space="preserve"> </w:t>
      </w:r>
      <w:r w:rsidR="00885FF5">
        <w:t>up to</w:t>
      </w:r>
      <w:r>
        <w:t xml:space="preserve"> the second distillation column, where </w:t>
      </w:r>
      <w:r w:rsidR="00885FF5">
        <w:t>all</w:t>
      </w:r>
      <w:r w:rsidR="000F37AD">
        <w:t xml:space="preserve"> other equipment after this column was removed.</w:t>
      </w:r>
      <w:r w:rsidR="000E7028">
        <w:t xml:space="preserve"> The conditions after the supercritical reactor were also milder, as no other supercritical reaction would </w:t>
      </w:r>
      <w:r w:rsidR="00BF3C3F">
        <w:t>occur</w:t>
      </w:r>
      <w:r w:rsidR="00BA765C">
        <w:t>.</w:t>
      </w:r>
      <w:r w:rsidR="00885FF5">
        <w:t xml:space="preserve"> Another difference between the simulated plants was regarding energy integration, where for the glycerol selling plant, only one integration was necessary for a considerable energy saving.</w:t>
      </w:r>
    </w:p>
    <w:p w14:paraId="1AB3D794" w14:textId="07A9C313" w:rsidR="00D62635" w:rsidRDefault="00D62635" w:rsidP="00356FCA">
      <w:pPr>
        <w:pStyle w:val="CETBodytext"/>
      </w:pPr>
      <w:r>
        <w:lastRenderedPageBreak/>
        <w:t>In both simulations, biodiesel within specification from the European biodiesel standard (EN 14214) was obtained, and in the glycerin selling unit, crude glycerin with low methanol (&lt;</w:t>
      </w:r>
      <w:r w:rsidR="00911023">
        <w:t>0.2</w:t>
      </w:r>
      <w:r>
        <w:t xml:space="preserve"> </w:t>
      </w:r>
      <w:r w:rsidR="00BF3C3F">
        <w:t>wt</w:t>
      </w:r>
      <w:r>
        <w:t xml:space="preserve">%) and water (&lt;2.5 </w:t>
      </w:r>
      <w:r w:rsidR="00BF3C3F">
        <w:t>wt</w:t>
      </w:r>
      <w:r>
        <w:t>%)</w:t>
      </w:r>
      <w:r w:rsidR="006B5845">
        <w:t xml:space="preserve"> content</w:t>
      </w:r>
      <w:r>
        <w:t xml:space="preserve"> was obtained.</w:t>
      </w:r>
      <w:r w:rsidR="004E62C3">
        <w:t xml:space="preserve"> For the </w:t>
      </w:r>
      <w:r w:rsidR="00BF3C3F">
        <w:t>total</w:t>
      </w:r>
      <w:r w:rsidR="004E62C3">
        <w:t xml:space="preserve"> glyceride specification, </w:t>
      </w:r>
      <w:r w:rsidR="00A5452D">
        <w:t xml:space="preserve">the unreacted triglyceride was considered the mixture among the </w:t>
      </w:r>
      <w:r w:rsidR="00D0286D">
        <w:t>mono, di, and triglycerides, as the kinetics used did not consider intermediate products</w:t>
      </w:r>
      <w:r w:rsidR="00A5452D">
        <w:t xml:space="preserve">. Therefore, the sum of mono, di, and triglyceride from the standard limits was used as the maximum </w:t>
      </w:r>
      <w:r w:rsidR="004E62C3">
        <w:t>unreacted</w:t>
      </w:r>
      <w:r w:rsidR="00A5452D">
        <w:t xml:space="preserve"> triglyceride composition possible in the simulation</w:t>
      </w:r>
      <w:r w:rsidR="006B5845">
        <w:t xml:space="preserve">, </w:t>
      </w:r>
      <w:r w:rsidR="00131C50">
        <w:t>achieving</w:t>
      </w:r>
      <w:r w:rsidR="006B5845">
        <w:t xml:space="preserve"> a value of &lt;1 wt%</w:t>
      </w:r>
      <w:r w:rsidR="00D0286D">
        <w:t xml:space="preserve"> in the model</w:t>
      </w:r>
      <w:r w:rsidR="00A5452D">
        <w:t>.</w:t>
      </w:r>
      <w:r w:rsidR="004E62C3">
        <w:t xml:space="preserve"> </w:t>
      </w:r>
    </w:p>
    <w:p w14:paraId="7C8DECC9" w14:textId="2FB870D4" w:rsidR="00D62635" w:rsidRDefault="00D62635" w:rsidP="00356FCA">
      <w:pPr>
        <w:pStyle w:val="CETBodytext"/>
      </w:pPr>
    </w:p>
    <w:p w14:paraId="51CD4497" w14:textId="77777777" w:rsidR="00131C50" w:rsidRDefault="00131C50" w:rsidP="00356FCA">
      <w:pPr>
        <w:pStyle w:val="CETBodytext"/>
      </w:pPr>
    </w:p>
    <w:p w14:paraId="4D2633F3" w14:textId="75E7F6E7" w:rsidR="00760A98" w:rsidRDefault="00131C50" w:rsidP="00297DBF">
      <w:pPr>
        <w:pStyle w:val="Legenda"/>
        <w:rPr>
          <w:b w:val="0"/>
          <w:bCs w:val="0"/>
          <w:i/>
          <w:iCs/>
          <w:color w:val="auto"/>
        </w:rPr>
      </w:pPr>
      <w:bookmarkStart w:id="0" w:name="_Ref92997968"/>
      <w:r>
        <w:rPr>
          <w:noProof/>
        </w:rPr>
        <w:drawing>
          <wp:inline distT="0" distB="0" distL="0" distR="0" wp14:anchorId="5EF7E26B" wp14:editId="001E29DB">
            <wp:extent cx="5579745" cy="2057400"/>
            <wp:effectExtent l="0" t="0" r="190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2057400"/>
                    </a:xfrm>
                    <a:prstGeom prst="rect">
                      <a:avLst/>
                    </a:prstGeom>
                  </pic:spPr>
                </pic:pic>
              </a:graphicData>
            </a:graphic>
          </wp:inline>
        </w:drawing>
      </w:r>
    </w:p>
    <w:p w14:paraId="4BC5D22A" w14:textId="072B29B0" w:rsidR="00356FCA" w:rsidRPr="00297DBF" w:rsidRDefault="00297DBF" w:rsidP="00297DBF">
      <w:pPr>
        <w:pStyle w:val="Legenda"/>
        <w:rPr>
          <w:b w:val="0"/>
          <w:bCs w:val="0"/>
          <w:i/>
          <w:iCs/>
          <w:color w:val="auto"/>
        </w:rPr>
      </w:pPr>
      <w:r w:rsidRPr="00297DBF">
        <w:rPr>
          <w:b w:val="0"/>
          <w:bCs w:val="0"/>
          <w:i/>
          <w:iCs/>
          <w:color w:val="auto"/>
        </w:rPr>
        <w:t xml:space="preserve">Figure </w:t>
      </w:r>
      <w:r w:rsidRPr="00297DBF">
        <w:rPr>
          <w:b w:val="0"/>
          <w:bCs w:val="0"/>
          <w:i/>
          <w:iCs/>
          <w:color w:val="auto"/>
        </w:rPr>
        <w:fldChar w:fldCharType="begin"/>
      </w:r>
      <w:r w:rsidRPr="00297DBF">
        <w:rPr>
          <w:b w:val="0"/>
          <w:bCs w:val="0"/>
          <w:i/>
          <w:iCs/>
          <w:color w:val="auto"/>
        </w:rPr>
        <w:instrText xml:space="preserve"> SEQ Figure \* ARABIC </w:instrText>
      </w:r>
      <w:r w:rsidRPr="00297DBF">
        <w:rPr>
          <w:b w:val="0"/>
          <w:bCs w:val="0"/>
          <w:i/>
          <w:iCs/>
          <w:color w:val="auto"/>
        </w:rPr>
        <w:fldChar w:fldCharType="separate"/>
      </w:r>
      <w:r w:rsidR="00E227D7">
        <w:rPr>
          <w:b w:val="0"/>
          <w:bCs w:val="0"/>
          <w:i/>
          <w:iCs/>
          <w:noProof/>
          <w:color w:val="auto"/>
        </w:rPr>
        <w:t>1</w:t>
      </w:r>
      <w:r w:rsidRPr="00297DBF">
        <w:rPr>
          <w:b w:val="0"/>
          <w:bCs w:val="0"/>
          <w:i/>
          <w:iCs/>
          <w:color w:val="auto"/>
        </w:rPr>
        <w:fldChar w:fldCharType="end"/>
      </w:r>
      <w:bookmarkEnd w:id="0"/>
      <w:r>
        <w:rPr>
          <w:b w:val="0"/>
          <w:bCs w:val="0"/>
          <w:i/>
          <w:iCs/>
          <w:color w:val="auto"/>
        </w:rPr>
        <w:t>: Biodiesel production</w:t>
      </w:r>
      <w:r w:rsidR="00760A98">
        <w:rPr>
          <w:b w:val="0"/>
          <w:bCs w:val="0"/>
          <w:i/>
          <w:iCs/>
          <w:color w:val="auto"/>
        </w:rPr>
        <w:t xml:space="preserve"> (</w:t>
      </w:r>
      <w:r w:rsidR="00131C50">
        <w:rPr>
          <w:b w:val="0"/>
          <w:bCs w:val="0"/>
          <w:i/>
          <w:iCs/>
          <w:color w:val="auto"/>
        </w:rPr>
        <w:t>green</w:t>
      </w:r>
      <w:r w:rsidR="00760A98">
        <w:rPr>
          <w:b w:val="0"/>
          <w:bCs w:val="0"/>
          <w:i/>
          <w:iCs/>
          <w:color w:val="auto"/>
        </w:rPr>
        <w:t xml:space="preserve"> box)</w:t>
      </w:r>
      <w:r>
        <w:rPr>
          <w:b w:val="0"/>
          <w:bCs w:val="0"/>
          <w:i/>
          <w:iCs/>
          <w:color w:val="auto"/>
        </w:rPr>
        <w:t xml:space="preserve"> and glycerol processing</w:t>
      </w:r>
      <w:r w:rsidR="00760A98">
        <w:rPr>
          <w:b w:val="0"/>
          <w:bCs w:val="0"/>
          <w:i/>
          <w:iCs/>
          <w:color w:val="auto"/>
        </w:rPr>
        <w:t xml:space="preserve"> (blue box)</w:t>
      </w:r>
      <w:r>
        <w:rPr>
          <w:b w:val="0"/>
          <w:bCs w:val="0"/>
          <w:i/>
          <w:iCs/>
          <w:color w:val="auto"/>
        </w:rPr>
        <w:t xml:space="preserve"> simulation</w:t>
      </w:r>
    </w:p>
    <w:p w14:paraId="033A8899" w14:textId="5F3F1E56" w:rsidR="00356FCA" w:rsidRDefault="00356FCA" w:rsidP="007570DB">
      <w:pPr>
        <w:pStyle w:val="CETheadingx"/>
      </w:pPr>
    </w:p>
    <w:p w14:paraId="3A4F0D24" w14:textId="4816577D" w:rsidR="007A0D89" w:rsidRPr="00011671" w:rsidRDefault="007A0D89" w:rsidP="007570DB">
      <w:pPr>
        <w:pStyle w:val="CETBodytext"/>
      </w:pPr>
      <w:r w:rsidRPr="00011671">
        <w:t xml:space="preserve">The </w:t>
      </w:r>
      <w:r w:rsidR="008D1677" w:rsidRPr="00011671">
        <w:t xml:space="preserve">simulation process proposed considering glycerol selling is presented in </w:t>
      </w:r>
      <w:r w:rsidR="00576402" w:rsidRPr="00011671">
        <w:fldChar w:fldCharType="begin"/>
      </w:r>
      <w:r w:rsidR="00576402" w:rsidRPr="00011671">
        <w:instrText xml:space="preserve"> REF _Ref93088565 \h  \* MERGEFORMAT </w:instrText>
      </w:r>
      <w:r w:rsidR="00576402" w:rsidRPr="00011671">
        <w:fldChar w:fldCharType="separate"/>
      </w:r>
      <w:r w:rsidR="00576402" w:rsidRPr="00011671">
        <w:t>Figure 2</w:t>
      </w:r>
      <w:r w:rsidR="00576402" w:rsidRPr="00011671">
        <w:fldChar w:fldCharType="end"/>
      </w:r>
      <w:r w:rsidR="00576402" w:rsidRPr="00011671">
        <w:t>.</w:t>
      </w:r>
    </w:p>
    <w:p w14:paraId="6AE43FDA" w14:textId="6AB7E020" w:rsidR="008D1677" w:rsidRDefault="008D1677" w:rsidP="008D1677">
      <w:pPr>
        <w:pStyle w:val="CETBodytext"/>
      </w:pPr>
    </w:p>
    <w:p w14:paraId="6A6B2EF3" w14:textId="0F508568" w:rsidR="00E227D7" w:rsidRDefault="00E227D7" w:rsidP="00E227D7">
      <w:pPr>
        <w:pStyle w:val="CETBodytext"/>
        <w:keepNext/>
      </w:pPr>
      <w:r>
        <w:rPr>
          <w:noProof/>
        </w:rPr>
        <w:drawing>
          <wp:inline distT="0" distB="0" distL="0" distR="0" wp14:anchorId="0B5124BF" wp14:editId="336A3F4A">
            <wp:extent cx="5579745" cy="205740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2057400"/>
                    </a:xfrm>
                    <a:prstGeom prst="rect">
                      <a:avLst/>
                    </a:prstGeom>
                  </pic:spPr>
                </pic:pic>
              </a:graphicData>
            </a:graphic>
          </wp:inline>
        </w:drawing>
      </w:r>
    </w:p>
    <w:p w14:paraId="2F21BB04" w14:textId="6E8C1F23" w:rsidR="008D1677" w:rsidRPr="00E227D7" w:rsidRDefault="00E227D7" w:rsidP="00E227D7">
      <w:pPr>
        <w:pStyle w:val="Legenda"/>
        <w:rPr>
          <w:b w:val="0"/>
          <w:bCs w:val="0"/>
          <w:i/>
          <w:iCs/>
          <w:color w:val="auto"/>
        </w:rPr>
      </w:pPr>
      <w:bookmarkStart w:id="1" w:name="_Ref93088565"/>
      <w:r w:rsidRPr="00E227D7">
        <w:rPr>
          <w:b w:val="0"/>
          <w:bCs w:val="0"/>
          <w:i/>
          <w:iCs/>
          <w:color w:val="auto"/>
        </w:rPr>
        <w:t xml:space="preserve">Figure </w:t>
      </w:r>
      <w:r w:rsidRPr="00E227D7">
        <w:rPr>
          <w:b w:val="0"/>
          <w:bCs w:val="0"/>
          <w:i/>
          <w:iCs/>
          <w:color w:val="auto"/>
        </w:rPr>
        <w:fldChar w:fldCharType="begin"/>
      </w:r>
      <w:r w:rsidRPr="00E227D7">
        <w:rPr>
          <w:b w:val="0"/>
          <w:bCs w:val="0"/>
          <w:i/>
          <w:iCs/>
          <w:color w:val="auto"/>
        </w:rPr>
        <w:instrText xml:space="preserve"> SEQ Figure \* ARABIC </w:instrText>
      </w:r>
      <w:r w:rsidRPr="00E227D7">
        <w:rPr>
          <w:b w:val="0"/>
          <w:bCs w:val="0"/>
          <w:i/>
          <w:iCs/>
          <w:color w:val="auto"/>
        </w:rPr>
        <w:fldChar w:fldCharType="separate"/>
      </w:r>
      <w:r w:rsidRPr="00E227D7">
        <w:rPr>
          <w:b w:val="0"/>
          <w:bCs w:val="0"/>
          <w:i/>
          <w:iCs/>
          <w:color w:val="auto"/>
        </w:rPr>
        <w:t>2</w:t>
      </w:r>
      <w:r w:rsidRPr="00E227D7">
        <w:rPr>
          <w:b w:val="0"/>
          <w:bCs w:val="0"/>
          <w:i/>
          <w:iCs/>
          <w:color w:val="auto"/>
        </w:rPr>
        <w:fldChar w:fldCharType="end"/>
      </w:r>
      <w:bookmarkEnd w:id="1"/>
      <w:r w:rsidRPr="00E227D7">
        <w:rPr>
          <w:b w:val="0"/>
          <w:bCs w:val="0"/>
          <w:i/>
          <w:iCs/>
          <w:color w:val="auto"/>
        </w:rPr>
        <w:t>: Biodiesel production unit with glycerol selling</w:t>
      </w:r>
    </w:p>
    <w:p w14:paraId="7C89913B" w14:textId="77777777" w:rsidR="007A0D89" w:rsidRDefault="007A0D89" w:rsidP="00011671">
      <w:pPr>
        <w:pStyle w:val="CETheadingx"/>
      </w:pPr>
    </w:p>
    <w:p w14:paraId="1E7E4956" w14:textId="1A2532E6" w:rsidR="00E109C8" w:rsidRDefault="00BF3C3F" w:rsidP="00965313">
      <w:pPr>
        <w:pStyle w:val="CETBodytext"/>
      </w:pPr>
      <w:r>
        <w:t xml:space="preserve">After </w:t>
      </w:r>
      <w:r w:rsidR="002F4CCD" w:rsidRPr="00D62635">
        <w:t>the three energy</w:t>
      </w:r>
      <w:r>
        <w:t>-</w:t>
      </w:r>
      <w:r w:rsidR="002F4CCD" w:rsidRPr="00D62635">
        <w:t xml:space="preserve">saving </w:t>
      </w:r>
      <w:r>
        <w:t>systems were</w:t>
      </w:r>
      <w:r w:rsidR="002F4CCD" w:rsidRPr="00D62635">
        <w:t xml:space="preserve"> included in the</w:t>
      </w:r>
      <w:r>
        <w:t xml:space="preserve"> glycerol processing</w:t>
      </w:r>
      <w:r w:rsidR="002F4CCD" w:rsidRPr="00D62635">
        <w:t xml:space="preserve"> simulation, energy consumption </w:t>
      </w:r>
      <w:r>
        <w:t>was</w:t>
      </w:r>
      <w:r w:rsidR="002F4CCD" w:rsidRPr="00D62635">
        <w:t xml:space="preserve"> reduced from </w:t>
      </w:r>
      <w:r w:rsidR="00BA13B4" w:rsidRPr="00BA13B4">
        <w:t>25</w:t>
      </w:r>
      <w:r w:rsidR="00BA13B4">
        <w:t>,</w:t>
      </w:r>
      <w:r w:rsidR="00BA13B4" w:rsidRPr="00BA13B4">
        <w:t>238</w:t>
      </w:r>
      <w:r w:rsidR="002F4CCD" w:rsidRPr="00D62635">
        <w:t xml:space="preserve"> kW to </w:t>
      </w:r>
      <w:r w:rsidR="00BA13B4">
        <w:t>13,381</w:t>
      </w:r>
      <w:r w:rsidR="002F4CCD" w:rsidRPr="00D62635">
        <w:t xml:space="preserve"> kW, a </w:t>
      </w:r>
      <w:r w:rsidR="00BA13B4">
        <w:t>47</w:t>
      </w:r>
      <w:r w:rsidR="002F4CCD" w:rsidRPr="00D62635">
        <w:t xml:space="preserve">% reduction. In the glycerol selling </w:t>
      </w:r>
      <w:r w:rsidR="007840AE" w:rsidRPr="00D62635">
        <w:t xml:space="preserve">unit, energy consumption was reduced from </w:t>
      </w:r>
      <w:r w:rsidR="00B338A1" w:rsidRPr="00B338A1">
        <w:t>15</w:t>
      </w:r>
      <w:r w:rsidR="00B338A1">
        <w:t>,</w:t>
      </w:r>
      <w:r w:rsidR="00B338A1" w:rsidRPr="00B338A1">
        <w:t>1</w:t>
      </w:r>
      <w:r w:rsidR="00F705B7">
        <w:t>39</w:t>
      </w:r>
      <w:r w:rsidR="00B338A1">
        <w:t xml:space="preserve"> </w:t>
      </w:r>
      <w:r w:rsidR="007840AE" w:rsidRPr="00D62635">
        <w:t xml:space="preserve">kW to </w:t>
      </w:r>
      <w:r w:rsidR="00F705B7" w:rsidRPr="00F705B7">
        <w:t>13</w:t>
      </w:r>
      <w:r w:rsidR="00F705B7">
        <w:t>,</w:t>
      </w:r>
      <w:r w:rsidR="00F705B7" w:rsidRPr="00F705B7">
        <w:t>519</w:t>
      </w:r>
      <w:r w:rsidR="00EF7012">
        <w:t xml:space="preserve"> </w:t>
      </w:r>
      <w:r w:rsidR="007840AE" w:rsidRPr="00D62635">
        <w:t xml:space="preserve">kW, a </w:t>
      </w:r>
      <w:r w:rsidR="00B338A1">
        <w:t>1</w:t>
      </w:r>
      <w:r w:rsidR="00F705B7">
        <w:t>7</w:t>
      </w:r>
      <w:r w:rsidR="007840AE" w:rsidRPr="00D62635">
        <w:t>% reduction.</w:t>
      </w:r>
      <w:r w:rsidR="006051B3">
        <w:t xml:space="preserve"> Although </w:t>
      </w:r>
      <w:r w:rsidR="001E100A">
        <w:t>the final energy consumption is very similar in both units, the utility cost in the glycerol processing unit is more than double</w:t>
      </w:r>
      <w:r w:rsidR="00131C50">
        <w:t xml:space="preserve"> of</w:t>
      </w:r>
      <w:r w:rsidR="001E100A">
        <w:t xml:space="preserve"> the glycerol selling unit, as the types of utilities used are </w:t>
      </w:r>
      <w:r w:rsidR="00B07C77">
        <w:t>no</w:t>
      </w:r>
      <w:r w:rsidR="001E100A">
        <w:t>t</w:t>
      </w:r>
      <w:r w:rsidR="00B07C77">
        <w:t xml:space="preserve"> the same</w:t>
      </w:r>
      <w:r w:rsidR="001E100A">
        <w:t>.</w:t>
      </w:r>
      <w:r w:rsidR="007840AE" w:rsidRPr="00D62635">
        <w:t xml:space="preserve"> </w:t>
      </w:r>
    </w:p>
    <w:p w14:paraId="0768493A" w14:textId="201E703B" w:rsidR="007840AE" w:rsidRDefault="006B5845" w:rsidP="00965313">
      <w:pPr>
        <w:pStyle w:val="CETBodytext"/>
      </w:pPr>
      <w:r>
        <w:t>In summary, t</w:t>
      </w:r>
      <w:r w:rsidR="00885231">
        <w:t xml:space="preserve">he </w:t>
      </w:r>
      <w:r w:rsidR="001E100A">
        <w:t>energy integration included in the simulation (</w:t>
      </w:r>
      <w:r w:rsidR="00BF3C3F">
        <w:t>e</w:t>
      </w:r>
      <w:r w:rsidR="001E100A">
        <w:t xml:space="preserve">specially the glycerol processing unit) </w:t>
      </w:r>
      <w:r w:rsidR="00BF3C3F">
        <w:t>significan</w:t>
      </w:r>
      <w:r w:rsidR="001E100A">
        <w:t xml:space="preserve">tly reduced </w:t>
      </w:r>
      <w:r w:rsidR="00885231">
        <w:t>energy consumption</w:t>
      </w:r>
      <w:r w:rsidR="00BF3C3F">
        <w:t>, utility usage, and</w:t>
      </w:r>
      <w:r w:rsidR="00131C50">
        <w:t>,</w:t>
      </w:r>
      <w:r w:rsidR="00BF3C3F">
        <w:t xml:space="preserve"> consequently,</w:t>
      </w:r>
      <w:r w:rsidR="00885231">
        <w:t xml:space="preserve"> </w:t>
      </w:r>
      <w:r w:rsidR="00B07C77">
        <w:t>the OPEX</w:t>
      </w:r>
      <w:r w:rsidR="00885231">
        <w:t>.</w:t>
      </w:r>
    </w:p>
    <w:p w14:paraId="65B06414" w14:textId="77777777" w:rsidR="007840AE" w:rsidRPr="007840AE" w:rsidRDefault="007840AE" w:rsidP="007840AE">
      <w:pPr>
        <w:pStyle w:val="CETBodytext"/>
      </w:pPr>
    </w:p>
    <w:p w14:paraId="10ED9684" w14:textId="5C0E8E67" w:rsidR="000E7028" w:rsidRPr="00011671" w:rsidRDefault="00EF7012" w:rsidP="00011671">
      <w:pPr>
        <w:pStyle w:val="CETheadingx"/>
        <w:rPr>
          <w:b/>
          <w:bCs w:val="0"/>
        </w:rPr>
      </w:pPr>
      <w:r w:rsidRPr="00011671">
        <w:rPr>
          <w:b/>
          <w:bCs w:val="0"/>
        </w:rPr>
        <w:t xml:space="preserve">3.2. Economic </w:t>
      </w:r>
      <w:r w:rsidR="00624C2B" w:rsidRPr="00011671">
        <w:rPr>
          <w:b/>
          <w:bCs w:val="0"/>
        </w:rPr>
        <w:t>Evaluation</w:t>
      </w:r>
    </w:p>
    <w:p w14:paraId="63B70B2B" w14:textId="10139E01" w:rsidR="000E7028" w:rsidRDefault="000E7028" w:rsidP="00011671">
      <w:pPr>
        <w:pStyle w:val="CETheadingx"/>
      </w:pPr>
    </w:p>
    <w:p w14:paraId="281FBFB0" w14:textId="4C5ED711" w:rsidR="0064220F" w:rsidRPr="00EF7012" w:rsidRDefault="00BF3C3F" w:rsidP="00EF7012">
      <w:pPr>
        <w:pStyle w:val="CETBodytext"/>
      </w:pPr>
      <w:r>
        <w:t>T</w:t>
      </w:r>
      <w:r w:rsidR="0064220F">
        <w:t>he two simulations were evaluated</w:t>
      </w:r>
      <w:r>
        <w:t xml:space="preserve"> to analyze if both units were economically feasible and if there are advantages to glycerol processing</w:t>
      </w:r>
      <w:r w:rsidR="0064220F">
        <w:t xml:space="preserve">. </w:t>
      </w:r>
      <w:r w:rsidR="0065655A">
        <w:fldChar w:fldCharType="begin"/>
      </w:r>
      <w:r w:rsidR="0065655A">
        <w:instrText xml:space="preserve"> REF _Ref93055013 \h </w:instrText>
      </w:r>
      <w:r w:rsidR="0065655A">
        <w:fldChar w:fldCharType="separate"/>
      </w:r>
      <w:r w:rsidR="0065655A">
        <w:t xml:space="preserve">Table </w:t>
      </w:r>
      <w:r w:rsidR="0065655A">
        <w:rPr>
          <w:noProof/>
        </w:rPr>
        <w:t>1</w:t>
      </w:r>
      <w:r w:rsidR="0065655A">
        <w:fldChar w:fldCharType="end"/>
      </w:r>
      <w:r w:rsidR="0064220F">
        <w:t xml:space="preserve"> shows the average price for each raw material and product present in the simulation. The utility price</w:t>
      </w:r>
      <w:r w:rsidR="00131C50">
        <w:t>s</w:t>
      </w:r>
      <w:r w:rsidR="0064220F">
        <w:t xml:space="preserve"> used w</w:t>
      </w:r>
      <w:r w:rsidR="00131C50">
        <w:t>ere</w:t>
      </w:r>
      <w:r w:rsidR="0064220F">
        <w:t xml:space="preserve"> Aspen’s default value</w:t>
      </w:r>
      <w:r w:rsidR="00131C50">
        <w:t>s</w:t>
      </w:r>
      <w:r>
        <w:t>, and the catalyst was not included due to the lack of information in the literature about pricing and reuse</w:t>
      </w:r>
      <w:r w:rsidR="0064220F">
        <w:t>.</w:t>
      </w:r>
      <w:r>
        <w:t xml:space="preserve"> However, </w:t>
      </w:r>
      <w:r>
        <w:fldChar w:fldCharType="begin" w:fldLock="1"/>
      </w:r>
      <w:r w:rsidR="00A41A20">
        <w:instrText>ADDIN CSL_CITATION {"citationItems":[{"id":"ITEM-1","itemData":{"DOI":"10.1007/BF02699123","ISSN":"02561115","abstract":"The stability and the activity of Fe2O3/Cr2O3 and ZnO/Cr2O3 catalysts were examined for a reverse-water-gas-shift reaction (RWReaction). The initial activities of those catalysts were quite high so that the conversion reached close to equilibrium. The activity of Fe2O3/Cr2O3, catalyst decreased from 33.5 to 29.8% during the RWReaction for 75 h at 873 K with GHSV (ml/gcat · h) of 100,000. Moreover, the coke formation on the Fe2O3/Cr2O3 catalyst caused clogging in the RWReactor of the CAMERE process. On the other hand, the ZnO/Cr2O3 catalyst showed no coke formation and no deactivation for the RWReaction at 873 K with GHSV (ml/gcat · h) of 150,000. The ZnO/Cr2O3 was a good catalyst for the RWReaction of the CAMERE process.","author":[{"dropping-particle":"","family":"Park","given":"Sang Woo","non-dropping-particle":"","parse-names":false,"suffix":""},{"dropping-particle":"","family":"Joo","given":"Oh Shim","non-dropping-particle":"","parse-names":false,"suffix":""},{"dropping-particle":"","family":"Jung","given":"Kwang Deog","non-dropping-particle":"","parse-names":false,"suffix":""},{"dropping-particle":"","family":"Kim","given":"Hyo","non-dropping-particle":"","parse-names":false,"suffix":""},{"dropping-particle":"","family":"Han","given":"Sung Hwan","non-dropping-particle":"","parse-names":false,"suffix":""}],"container-title":"Korean Journal of Chemical Engineering","id":"ITEM-1","issue":"6","issued":{"date-parts":[["2000"]]},"page":"719-722","title":"ZnO/Cr2O3 Catalyst for Reverse-Water-Gas-Shift Reaction of CAMERE Process","type":"article-journal","volume":"17"},"uris":["http://www.mendeley.com/documents/?uuid=d19994be-bf5a-446f-8db3-b7c40efafa43"]}],"mendeley":{"formattedCitation":"(Park &lt;i&gt;et al.&lt;/i&gt;, 2000)","manualFormatting":"Park et al. (2000)","plainTextFormattedCitation":"(Park et al., 2000)","previouslyFormattedCitation":"(Park &lt;i&gt;et al.&lt;/i&gt;, 2000)"},"properties":{"noteIndex":0},"schema":"https://github.com/citation-style-language/schema/raw/master/csl-citation.json"}</w:instrText>
      </w:r>
      <w:r>
        <w:fldChar w:fldCharType="separate"/>
      </w:r>
      <w:r w:rsidRPr="00BF3C3F">
        <w:rPr>
          <w:noProof/>
        </w:rPr>
        <w:t>Park</w:t>
      </w:r>
      <w:r w:rsidRPr="00131C50">
        <w:rPr>
          <w:iCs/>
          <w:noProof/>
        </w:rPr>
        <w:t xml:space="preserve"> et al. </w:t>
      </w:r>
      <w:r>
        <w:rPr>
          <w:noProof/>
        </w:rPr>
        <w:t>(</w:t>
      </w:r>
      <w:r w:rsidRPr="00BF3C3F">
        <w:rPr>
          <w:noProof/>
        </w:rPr>
        <w:t>2000)</w:t>
      </w:r>
      <w:r>
        <w:fldChar w:fldCharType="end"/>
      </w:r>
      <w:r>
        <w:rPr>
          <w:noProof/>
        </w:rPr>
        <w:t xml:space="preserve"> has shown that little </w:t>
      </w:r>
      <w:r>
        <w:rPr>
          <w:noProof/>
        </w:rPr>
        <w:lastRenderedPageBreak/>
        <w:t xml:space="preserve">to no coke formation was observed in similar reactions, which </w:t>
      </w:r>
      <w:r w:rsidR="006B5845">
        <w:rPr>
          <w:noProof/>
        </w:rPr>
        <w:t>indicates</w:t>
      </w:r>
      <w:r>
        <w:rPr>
          <w:noProof/>
        </w:rPr>
        <w:t xml:space="preserve"> that this catalyst may have high reusability</w:t>
      </w:r>
      <w:r w:rsidR="006B5845">
        <w:rPr>
          <w:noProof/>
        </w:rPr>
        <w:t>. Thus,</w:t>
      </w:r>
      <w:r>
        <w:rPr>
          <w:noProof/>
        </w:rPr>
        <w:t xml:space="preserve"> its price </w:t>
      </w:r>
      <w:r w:rsidR="006B5845">
        <w:rPr>
          <w:noProof/>
        </w:rPr>
        <w:t>might</w:t>
      </w:r>
      <w:r>
        <w:rPr>
          <w:noProof/>
        </w:rPr>
        <w:t xml:space="preserve"> have small participation in the process costs.</w:t>
      </w:r>
    </w:p>
    <w:p w14:paraId="630D07D2" w14:textId="0823049B" w:rsidR="0064220F" w:rsidRDefault="0064220F" w:rsidP="0064220F">
      <w:pPr>
        <w:pStyle w:val="CETTabletitle"/>
      </w:pPr>
      <w:bookmarkStart w:id="2" w:name="_Ref93055013"/>
      <w:r>
        <w:t xml:space="preserve">Table </w:t>
      </w:r>
      <w:r>
        <w:fldChar w:fldCharType="begin"/>
      </w:r>
      <w:r>
        <w:instrText xml:space="preserve"> SEQ Table \* ARABIC </w:instrText>
      </w:r>
      <w:r>
        <w:fldChar w:fldCharType="separate"/>
      </w:r>
      <w:r>
        <w:rPr>
          <w:noProof/>
        </w:rPr>
        <w:t>1</w:t>
      </w:r>
      <w:r>
        <w:fldChar w:fldCharType="end"/>
      </w:r>
      <w:bookmarkEnd w:id="2"/>
      <w:r>
        <w:t>: Raw material and product prices used in the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1417"/>
      </w:tblGrid>
      <w:tr w:rsidR="0064220F" w:rsidRPr="00B57B36" w14:paraId="4B29AA51" w14:textId="77777777" w:rsidTr="003267BC">
        <w:tc>
          <w:tcPr>
            <w:tcW w:w="3261" w:type="dxa"/>
            <w:tcBorders>
              <w:top w:val="single" w:sz="12" w:space="0" w:color="008000"/>
              <w:bottom w:val="single" w:sz="6" w:space="0" w:color="008000"/>
            </w:tcBorders>
            <w:shd w:val="clear" w:color="auto" w:fill="FFFFFF"/>
          </w:tcPr>
          <w:p w14:paraId="500859EC" w14:textId="11C85733" w:rsidR="0064220F" w:rsidRPr="00B57B36" w:rsidRDefault="0064220F" w:rsidP="00507B47">
            <w:pPr>
              <w:pStyle w:val="CETBodytext"/>
              <w:rPr>
                <w:lang w:val="en-GB"/>
              </w:rPr>
            </w:pPr>
            <w:r>
              <w:rPr>
                <w:lang w:val="en-GB"/>
              </w:rPr>
              <w:t>Component</w:t>
            </w:r>
          </w:p>
        </w:tc>
        <w:tc>
          <w:tcPr>
            <w:tcW w:w="1417" w:type="dxa"/>
            <w:tcBorders>
              <w:top w:val="single" w:sz="12" w:space="0" w:color="008000"/>
              <w:bottom w:val="single" w:sz="6" w:space="0" w:color="008000"/>
            </w:tcBorders>
            <w:shd w:val="clear" w:color="auto" w:fill="FFFFFF"/>
          </w:tcPr>
          <w:p w14:paraId="6B6E97E3" w14:textId="16FAF5A0" w:rsidR="0064220F" w:rsidRPr="00B57B36" w:rsidRDefault="0064220F" w:rsidP="00507B47">
            <w:pPr>
              <w:pStyle w:val="CETBodytext"/>
              <w:rPr>
                <w:lang w:val="en-GB"/>
              </w:rPr>
            </w:pPr>
            <w:r>
              <w:rPr>
                <w:lang w:val="en-GB"/>
              </w:rPr>
              <w:t>Price</w:t>
            </w:r>
            <w:r w:rsidR="00B01352">
              <w:rPr>
                <w:lang w:val="en-GB"/>
              </w:rPr>
              <w:t xml:space="preserve"> (USD/ton)</w:t>
            </w:r>
          </w:p>
        </w:tc>
      </w:tr>
      <w:tr w:rsidR="0064220F" w:rsidRPr="00B57B36" w14:paraId="18FA68DB" w14:textId="77777777" w:rsidTr="003267BC">
        <w:tc>
          <w:tcPr>
            <w:tcW w:w="3261" w:type="dxa"/>
            <w:shd w:val="clear" w:color="auto" w:fill="FFFFFF"/>
          </w:tcPr>
          <w:p w14:paraId="1877D42D" w14:textId="67ACD85A" w:rsidR="0064220F" w:rsidRPr="00B57B36" w:rsidRDefault="0064220F" w:rsidP="00507B47">
            <w:pPr>
              <w:pStyle w:val="CETBodytext"/>
              <w:rPr>
                <w:lang w:val="en-GB"/>
              </w:rPr>
            </w:pPr>
            <w:r>
              <w:rPr>
                <w:lang w:val="en-GB"/>
              </w:rPr>
              <w:t>Biodiesel</w:t>
            </w:r>
            <w:r w:rsidR="00C01F38">
              <w:rPr>
                <w:lang w:val="en-GB"/>
              </w:rPr>
              <w:t xml:space="preserve"> (Neste, 202</w:t>
            </w:r>
            <w:r w:rsidR="00FA454C">
              <w:rPr>
                <w:lang w:val="en-GB"/>
              </w:rPr>
              <w:t>2</w:t>
            </w:r>
            <w:r w:rsidR="00C01F38">
              <w:rPr>
                <w:lang w:val="en-GB"/>
              </w:rPr>
              <w:t>)</w:t>
            </w:r>
          </w:p>
        </w:tc>
        <w:tc>
          <w:tcPr>
            <w:tcW w:w="1417" w:type="dxa"/>
            <w:shd w:val="clear" w:color="auto" w:fill="FFFFFF"/>
          </w:tcPr>
          <w:p w14:paraId="48136FAE" w14:textId="2FF61201" w:rsidR="0064220F" w:rsidRPr="00B57B36" w:rsidRDefault="00B01352" w:rsidP="00507B47">
            <w:pPr>
              <w:pStyle w:val="CETBodytext"/>
              <w:rPr>
                <w:lang w:val="en-GB"/>
              </w:rPr>
            </w:pPr>
            <w:r>
              <w:rPr>
                <w:lang w:val="en-GB"/>
              </w:rPr>
              <w:t>1630</w:t>
            </w:r>
            <w:r w:rsidR="00B07C77">
              <w:rPr>
                <w:lang w:val="en-GB"/>
              </w:rPr>
              <w:t>.0</w:t>
            </w:r>
          </w:p>
        </w:tc>
      </w:tr>
      <w:tr w:rsidR="00B01352" w:rsidRPr="00B57B36" w14:paraId="6B810528" w14:textId="77777777" w:rsidTr="003267BC">
        <w:tc>
          <w:tcPr>
            <w:tcW w:w="3261" w:type="dxa"/>
            <w:shd w:val="clear" w:color="auto" w:fill="FFFFFF"/>
          </w:tcPr>
          <w:p w14:paraId="6C52C96C" w14:textId="6A5CBA12" w:rsidR="00B01352" w:rsidRDefault="00B01352" w:rsidP="00B01352">
            <w:pPr>
              <w:pStyle w:val="CETBodytext"/>
              <w:rPr>
                <w:lang w:val="en-GB"/>
              </w:rPr>
            </w:pPr>
            <w:r>
              <w:rPr>
                <w:lang w:val="en-GB"/>
              </w:rPr>
              <w:t>Glycerol</w:t>
            </w:r>
            <w:r w:rsidR="00601711">
              <w:rPr>
                <w:lang w:val="en-GB"/>
              </w:rPr>
              <w:t xml:space="preserve"> </w:t>
            </w:r>
            <w:r w:rsidR="00601711">
              <w:rPr>
                <w:lang w:val="en-GB"/>
              </w:rPr>
              <w:fldChar w:fldCharType="begin" w:fldLock="1"/>
            </w:r>
            <w:r w:rsidR="00A41A20">
              <w:rPr>
                <w:lang w:val="en-GB"/>
              </w:rPr>
              <w:instrText>ADDIN CSL_CITATION {"citationItems":[{"id":"ITEM-1","itemData":{"author":[{"dropping-particle":"","family":"Oleoline","given":"","non-dropping-particle":"","parse-names":false,"suffix":""}],"id":"ITEM-1","issued":{"date-parts":[["2022"]]},"number-of-pages":"1-5","title":"Glycerine Market Report","type":"report"},"uris":["http://www.mendeley.com/documents/?uuid=2228e463-63b8-4ebe-b6e2-fceb4ef0bce1"]}],"mendeley":{"formattedCitation":"(Oleoline, 2022)","manualFormatting":"(Oleoline, 2022)","plainTextFormattedCitation":"(Oleoline, 2022)","previouslyFormattedCitation":"(Oleoline, 2022)"},"properties":{"noteIndex":0},"schema":"https://github.com/citation-style-language/schema/raw/master/csl-citation.json"}</w:instrText>
            </w:r>
            <w:r w:rsidR="00601711">
              <w:rPr>
                <w:lang w:val="en-GB"/>
              </w:rPr>
              <w:fldChar w:fldCharType="separate"/>
            </w:r>
            <w:r w:rsidR="00601711" w:rsidRPr="00601711">
              <w:rPr>
                <w:noProof/>
                <w:lang w:val="en-GB"/>
              </w:rPr>
              <w:t>(Oleoline, 202</w:t>
            </w:r>
            <w:r w:rsidR="00FA454C">
              <w:rPr>
                <w:noProof/>
                <w:lang w:val="en-GB"/>
              </w:rPr>
              <w:t>2</w:t>
            </w:r>
            <w:r w:rsidR="00601711" w:rsidRPr="00601711">
              <w:rPr>
                <w:noProof/>
                <w:lang w:val="en-GB"/>
              </w:rPr>
              <w:t>)</w:t>
            </w:r>
            <w:r w:rsidR="00601711">
              <w:rPr>
                <w:lang w:val="en-GB"/>
              </w:rPr>
              <w:fldChar w:fldCharType="end"/>
            </w:r>
          </w:p>
        </w:tc>
        <w:tc>
          <w:tcPr>
            <w:tcW w:w="1417" w:type="dxa"/>
            <w:shd w:val="clear" w:color="auto" w:fill="FFFFFF"/>
          </w:tcPr>
          <w:p w14:paraId="3F06308A" w14:textId="549DF433" w:rsidR="00B01352" w:rsidRPr="00B57B36" w:rsidRDefault="0065655A" w:rsidP="00B01352">
            <w:pPr>
              <w:pStyle w:val="CETBodytext"/>
              <w:rPr>
                <w:lang w:val="en-GB"/>
              </w:rPr>
            </w:pPr>
            <w:r>
              <w:rPr>
                <w:lang w:val="en-GB"/>
              </w:rPr>
              <w:t>514.6</w:t>
            </w:r>
          </w:p>
        </w:tc>
      </w:tr>
      <w:tr w:rsidR="00B01352" w:rsidRPr="00B57B36" w14:paraId="39BC963D" w14:textId="77777777" w:rsidTr="003267BC">
        <w:tc>
          <w:tcPr>
            <w:tcW w:w="3261" w:type="dxa"/>
            <w:shd w:val="clear" w:color="auto" w:fill="FFFFFF"/>
          </w:tcPr>
          <w:p w14:paraId="5BDBC75A" w14:textId="3B1FF7F0" w:rsidR="00B01352" w:rsidRDefault="00B01352" w:rsidP="00B01352">
            <w:pPr>
              <w:pStyle w:val="CETBodytext"/>
              <w:rPr>
                <w:lang w:val="en-GB"/>
              </w:rPr>
            </w:pPr>
            <w:r>
              <w:rPr>
                <w:lang w:val="en-GB"/>
              </w:rPr>
              <w:t>Methanol</w:t>
            </w:r>
            <w:r w:rsidR="00C01F38">
              <w:rPr>
                <w:lang w:val="en-GB"/>
              </w:rPr>
              <w:t xml:space="preserve"> (Methanex, 202</w:t>
            </w:r>
            <w:r w:rsidR="00FA454C">
              <w:rPr>
                <w:lang w:val="en-GB"/>
              </w:rPr>
              <w:t>2</w:t>
            </w:r>
            <w:r w:rsidR="00C01F38">
              <w:rPr>
                <w:lang w:val="en-GB"/>
              </w:rPr>
              <w:t>)</w:t>
            </w:r>
          </w:p>
        </w:tc>
        <w:tc>
          <w:tcPr>
            <w:tcW w:w="1417" w:type="dxa"/>
            <w:shd w:val="clear" w:color="auto" w:fill="FFFFFF"/>
          </w:tcPr>
          <w:p w14:paraId="197BB432" w14:textId="3AD01DCD" w:rsidR="00B01352" w:rsidRPr="00B57B36" w:rsidRDefault="00B01352" w:rsidP="00B01352">
            <w:pPr>
              <w:pStyle w:val="CETBodytext"/>
              <w:rPr>
                <w:lang w:val="en-GB"/>
              </w:rPr>
            </w:pPr>
            <w:r>
              <w:rPr>
                <w:lang w:val="en-GB"/>
              </w:rPr>
              <w:t>577.5</w:t>
            </w:r>
          </w:p>
        </w:tc>
      </w:tr>
      <w:tr w:rsidR="00B01352" w:rsidRPr="00B57B36" w14:paraId="23030B39" w14:textId="77777777" w:rsidTr="003267BC">
        <w:tc>
          <w:tcPr>
            <w:tcW w:w="3261" w:type="dxa"/>
            <w:shd w:val="clear" w:color="auto" w:fill="FFFFFF"/>
          </w:tcPr>
          <w:p w14:paraId="4F8BE562" w14:textId="71290E96" w:rsidR="00B01352" w:rsidRDefault="00B01352" w:rsidP="00B01352">
            <w:pPr>
              <w:pStyle w:val="CETBodytext"/>
              <w:rPr>
                <w:lang w:val="en-GB"/>
              </w:rPr>
            </w:pPr>
            <w:r>
              <w:rPr>
                <w:lang w:val="en-GB"/>
              </w:rPr>
              <w:t>Residual oil</w:t>
            </w:r>
            <w:r w:rsidR="00FA454C">
              <w:rPr>
                <w:lang w:val="en-GB"/>
              </w:rPr>
              <w:t xml:space="preserve"> (USDA, 2022)</w:t>
            </w:r>
          </w:p>
        </w:tc>
        <w:tc>
          <w:tcPr>
            <w:tcW w:w="1417" w:type="dxa"/>
            <w:shd w:val="clear" w:color="auto" w:fill="FFFFFF"/>
          </w:tcPr>
          <w:p w14:paraId="44EBBEC9" w14:textId="19F6307C" w:rsidR="00B01352" w:rsidRPr="00B57B36" w:rsidRDefault="0065655A" w:rsidP="00B01352">
            <w:pPr>
              <w:pStyle w:val="CETBodytext"/>
              <w:rPr>
                <w:lang w:val="en-GB"/>
              </w:rPr>
            </w:pPr>
            <w:r>
              <w:rPr>
                <w:lang w:val="en-GB"/>
              </w:rPr>
              <w:t>970</w:t>
            </w:r>
            <w:r w:rsidR="00B07C77">
              <w:rPr>
                <w:lang w:val="en-GB"/>
              </w:rPr>
              <w:t>.0</w:t>
            </w:r>
          </w:p>
        </w:tc>
      </w:tr>
      <w:tr w:rsidR="00B01352" w:rsidRPr="00B57B36" w14:paraId="2966AEB7" w14:textId="77777777" w:rsidTr="003267BC">
        <w:tc>
          <w:tcPr>
            <w:tcW w:w="3261" w:type="dxa"/>
            <w:shd w:val="clear" w:color="auto" w:fill="FFFFFF"/>
          </w:tcPr>
          <w:p w14:paraId="15A90CB5" w14:textId="4E3934EA" w:rsidR="00B01352" w:rsidRDefault="00B01352" w:rsidP="00B01352">
            <w:pPr>
              <w:pStyle w:val="CETBodytext"/>
              <w:rPr>
                <w:lang w:val="en-GB"/>
              </w:rPr>
            </w:pPr>
            <w:r>
              <w:rPr>
                <w:lang w:val="en-GB"/>
              </w:rPr>
              <w:t>Hydrogen</w:t>
            </w:r>
            <w:r w:rsidR="00FA454C">
              <w:rPr>
                <w:lang w:val="en-GB"/>
              </w:rPr>
              <w:t xml:space="preserve"> </w:t>
            </w:r>
            <w:r w:rsidR="003267BC">
              <w:rPr>
                <w:lang w:val="en-GB"/>
              </w:rPr>
              <w:t>(Ammonia Energy, 2022)</w:t>
            </w:r>
          </w:p>
        </w:tc>
        <w:tc>
          <w:tcPr>
            <w:tcW w:w="1417" w:type="dxa"/>
            <w:shd w:val="clear" w:color="auto" w:fill="FFFFFF"/>
          </w:tcPr>
          <w:p w14:paraId="11594988" w14:textId="1E73A05E" w:rsidR="00B01352" w:rsidRPr="00B57B36" w:rsidRDefault="00B01352" w:rsidP="00B01352">
            <w:pPr>
              <w:pStyle w:val="CETBodytext"/>
              <w:rPr>
                <w:lang w:val="en-GB"/>
              </w:rPr>
            </w:pPr>
            <w:r>
              <w:rPr>
                <w:lang w:val="en-GB"/>
              </w:rPr>
              <w:t>7</w:t>
            </w:r>
            <w:r w:rsidR="0065655A">
              <w:rPr>
                <w:lang w:val="en-GB"/>
              </w:rPr>
              <w:t>95.5</w:t>
            </w:r>
          </w:p>
        </w:tc>
      </w:tr>
    </w:tbl>
    <w:p w14:paraId="72285F7B" w14:textId="77777777" w:rsidR="00965313" w:rsidRDefault="00965313" w:rsidP="00965313">
      <w:pPr>
        <w:pStyle w:val="CETBodytext"/>
      </w:pPr>
    </w:p>
    <w:p w14:paraId="39C3231D" w14:textId="3B305899" w:rsidR="00CB0126" w:rsidRPr="00965313" w:rsidRDefault="00864249" w:rsidP="00965313">
      <w:pPr>
        <w:pStyle w:val="CETBodytext"/>
      </w:pPr>
      <w:r>
        <w:t xml:space="preserve">As can be seen, </w:t>
      </w:r>
      <w:r w:rsidRPr="00965313">
        <w:t>glycerol’s price is about 10</w:t>
      </w:r>
      <w:r w:rsidR="00EC3407" w:rsidRPr="00965313">
        <w:t xml:space="preserve"> </w:t>
      </w:r>
      <w:r w:rsidRPr="00965313">
        <w:t xml:space="preserve">% </w:t>
      </w:r>
      <w:r w:rsidR="00BF3C3F" w:rsidRPr="00965313">
        <w:t>lower</w:t>
      </w:r>
      <w:r w:rsidRPr="00965313">
        <w:t xml:space="preserve"> than methanol</w:t>
      </w:r>
      <w:r w:rsidR="00BF3C3F" w:rsidRPr="00965313">
        <w:t>’s. T</w:t>
      </w:r>
      <w:r w:rsidRPr="00965313">
        <w:t xml:space="preserve">herefore, the </w:t>
      </w:r>
      <w:r w:rsidR="00BD1072" w:rsidRPr="00965313">
        <w:t>possibility to use glycerol as raw material for methanol production is justified</w:t>
      </w:r>
      <w:r w:rsidR="00BF3C3F" w:rsidRPr="00965313">
        <w:t>,</w:t>
      </w:r>
      <w:r w:rsidR="00BD1072" w:rsidRPr="00965313">
        <w:t xml:space="preserve"> and an optimized glycerol processing unit could help reduce raw material costs. </w:t>
      </w:r>
      <w:r w:rsidR="006B5845">
        <w:t xml:space="preserve">It </w:t>
      </w:r>
      <w:r w:rsidR="00367690">
        <w:t>i</w:t>
      </w:r>
      <w:r w:rsidR="006B5845">
        <w:t xml:space="preserve">s also observed that raw material costs have the most significant influence on the operating cost in both units (90 %), another reason to propose new ways to minimize its participation in </w:t>
      </w:r>
      <w:r w:rsidR="00367690">
        <w:t>such</w:t>
      </w:r>
      <w:r w:rsidR="006B5845">
        <w:t xml:space="preserve"> costs.</w:t>
      </w:r>
    </w:p>
    <w:p w14:paraId="27572ACE" w14:textId="5F58D0D0" w:rsidR="00CB0126" w:rsidRPr="00965313" w:rsidRDefault="000D2129" w:rsidP="00965313">
      <w:pPr>
        <w:pStyle w:val="CETBodytext"/>
      </w:pPr>
      <w:r w:rsidRPr="00965313">
        <w:t>Although the glycerol processing unit uses hydrogen, an expensive material compar</w:t>
      </w:r>
      <w:r w:rsidR="00BF3C3F" w:rsidRPr="00965313">
        <w:t>ed</w:t>
      </w:r>
      <w:r w:rsidRPr="00965313">
        <w:t xml:space="preserve"> to methanol and glycerol, only a small amount </w:t>
      </w:r>
      <w:r w:rsidR="00CB0126" w:rsidRPr="00965313">
        <w:t>is used as make</w:t>
      </w:r>
      <w:r w:rsidR="00BF3C3F" w:rsidRPr="00965313">
        <w:t>up</w:t>
      </w:r>
      <w:r w:rsidR="00367690">
        <w:t xml:space="preserve">, contributing to </w:t>
      </w:r>
      <w:r w:rsidR="00367690" w:rsidRPr="00965313">
        <w:t>only 0.7 % of the unit’s raw material costs</w:t>
      </w:r>
      <w:r w:rsidR="00BF3C3F" w:rsidRPr="00965313">
        <w:t xml:space="preserve">. Most hydrogen </w:t>
      </w:r>
      <w:r w:rsidR="00367690">
        <w:t>used in</w:t>
      </w:r>
      <w:r w:rsidR="00BF3C3F" w:rsidRPr="00965313">
        <w:t xml:space="preserve"> the last reaction comes from the previous react</w:t>
      </w:r>
      <w:r w:rsidR="00367690">
        <w:t>ion</w:t>
      </w:r>
      <w:r w:rsidR="00BF3C3F" w:rsidRPr="00965313">
        <w:t xml:space="preserve"> with synthesis gas formation,</w:t>
      </w:r>
      <w:r w:rsidRPr="00965313">
        <w:t xml:space="preserve"> which already produces </w:t>
      </w:r>
      <w:r w:rsidR="00CB0126" w:rsidRPr="00965313">
        <w:t>large amounts of this component</w:t>
      </w:r>
      <w:r w:rsidR="00BF3C3F" w:rsidRPr="00965313">
        <w:t>. T</w:t>
      </w:r>
      <w:r w:rsidR="00CB0126" w:rsidRPr="00965313">
        <w:t xml:space="preserve">he unreacted hydrogen is </w:t>
      </w:r>
      <w:r w:rsidR="00BF3C3F" w:rsidRPr="00965313">
        <w:t xml:space="preserve">also </w:t>
      </w:r>
      <w:r w:rsidR="00CB0126" w:rsidRPr="00965313">
        <w:t>recycled to the methanol production reactor</w:t>
      </w:r>
      <w:r w:rsidR="00367690">
        <w:t>.</w:t>
      </w:r>
    </w:p>
    <w:p w14:paraId="1AFC78D2" w14:textId="34BA0BB4" w:rsidR="000951DD" w:rsidRDefault="00F35BB1" w:rsidP="0064220F">
      <w:pPr>
        <w:pStyle w:val="CETBodytext"/>
        <w:rPr>
          <w:lang w:val="en-GB"/>
        </w:rPr>
      </w:pPr>
      <w:r>
        <w:rPr>
          <w:lang w:val="en-GB"/>
        </w:rPr>
        <w:t xml:space="preserve">From </w:t>
      </w:r>
      <w:r w:rsidR="00B07C77">
        <w:rPr>
          <w:lang w:val="en-GB"/>
        </w:rPr>
        <w:t>the</w:t>
      </w:r>
      <w:r>
        <w:rPr>
          <w:lang w:val="en-GB"/>
        </w:rPr>
        <w:t xml:space="preserve"> </w:t>
      </w:r>
      <w:r w:rsidR="00FB2AB3">
        <w:rPr>
          <w:lang w:val="en-GB"/>
        </w:rPr>
        <w:t>economic analysis</w:t>
      </w:r>
      <w:r>
        <w:rPr>
          <w:lang w:val="en-GB"/>
        </w:rPr>
        <w:t xml:space="preserve"> results, the glycerol processing in a circular biodiesel production process is economically feasible with a payback period of </w:t>
      </w:r>
      <w:r w:rsidR="000951DD">
        <w:rPr>
          <w:lang w:val="en-GB"/>
        </w:rPr>
        <w:t>3.86</w:t>
      </w:r>
      <w:r>
        <w:rPr>
          <w:lang w:val="en-GB"/>
        </w:rPr>
        <w:t xml:space="preserve"> years for</w:t>
      </w:r>
      <w:r w:rsidR="009442F5">
        <w:rPr>
          <w:lang w:val="en-GB"/>
        </w:rPr>
        <w:t xml:space="preserve"> </w:t>
      </w:r>
      <w:r w:rsidR="00BF3C3F">
        <w:rPr>
          <w:lang w:val="en-GB"/>
        </w:rPr>
        <w:t xml:space="preserve">annual </w:t>
      </w:r>
      <w:r>
        <w:rPr>
          <w:lang w:val="en-GB"/>
        </w:rPr>
        <w:t>biodiesel production of 70</w:t>
      </w:r>
      <w:r w:rsidR="006B5845">
        <w:rPr>
          <w:lang w:val="en-GB"/>
        </w:rPr>
        <w:t>,000</w:t>
      </w:r>
      <w:r>
        <w:rPr>
          <w:lang w:val="en-GB"/>
        </w:rPr>
        <w:t xml:space="preserve"> m</w:t>
      </w:r>
      <w:r>
        <w:rPr>
          <w:vertAlign w:val="superscript"/>
          <w:lang w:val="en-GB"/>
        </w:rPr>
        <w:t>3</w:t>
      </w:r>
      <w:r>
        <w:rPr>
          <w:lang w:val="en-GB"/>
        </w:rPr>
        <w:t>.</w:t>
      </w:r>
      <w:r w:rsidR="00741C19">
        <w:rPr>
          <w:lang w:val="en-GB"/>
        </w:rPr>
        <w:t xml:space="preserve"> The glycerol processing unit reduced methanol cost</w:t>
      </w:r>
      <w:r w:rsidR="006B5845">
        <w:rPr>
          <w:lang w:val="en-GB"/>
        </w:rPr>
        <w:t>s</w:t>
      </w:r>
      <w:r w:rsidR="00741C19">
        <w:rPr>
          <w:lang w:val="en-GB"/>
        </w:rPr>
        <w:t xml:space="preserve"> by 28 %</w:t>
      </w:r>
      <w:r w:rsidR="00BF3C3F">
        <w:rPr>
          <w:lang w:val="en-GB"/>
        </w:rPr>
        <w:t xml:space="preserve"> compared to the glycerol selling unit</w:t>
      </w:r>
      <w:r w:rsidR="00741C19">
        <w:rPr>
          <w:lang w:val="en-GB"/>
        </w:rPr>
        <w:t>, a considerable cost reduction</w:t>
      </w:r>
      <w:r w:rsidR="000951DD">
        <w:rPr>
          <w:lang w:val="en-GB"/>
        </w:rPr>
        <w:t xml:space="preserve"> that can help </w:t>
      </w:r>
      <w:r w:rsidR="00BF3C3F">
        <w:rPr>
          <w:lang w:val="en-GB"/>
        </w:rPr>
        <w:t>minimize</w:t>
      </w:r>
      <w:r w:rsidR="000951DD">
        <w:rPr>
          <w:lang w:val="en-GB"/>
        </w:rPr>
        <w:t xml:space="preserve"> the impact of possible methanol price fluctuations.</w:t>
      </w:r>
    </w:p>
    <w:p w14:paraId="01021E9E" w14:textId="2488BD21" w:rsidR="00367690" w:rsidRDefault="00870EAE" w:rsidP="00FB2AB3">
      <w:pPr>
        <w:pStyle w:val="CETBodytext"/>
        <w:rPr>
          <w:lang w:val="en-GB"/>
        </w:rPr>
      </w:pPr>
      <w:r>
        <w:rPr>
          <w:lang w:val="en-GB"/>
        </w:rPr>
        <w:t>Comparing</w:t>
      </w:r>
      <w:r w:rsidR="000951DD">
        <w:rPr>
          <w:lang w:val="en-GB"/>
        </w:rPr>
        <w:t xml:space="preserve"> the results obtained from the glycerol processing unit to the </w:t>
      </w:r>
      <w:r w:rsidR="00BF3C3F">
        <w:rPr>
          <w:lang w:val="en-GB"/>
        </w:rPr>
        <w:t>selling unit, the second one still showed more favorable results with a</w:t>
      </w:r>
      <w:r w:rsidR="009A41D6">
        <w:rPr>
          <w:lang w:val="en-GB"/>
        </w:rPr>
        <w:t xml:space="preserve"> lower payback period (2.68 years). However, one should </w:t>
      </w:r>
      <w:r w:rsidR="00BF3C3F">
        <w:rPr>
          <w:lang w:val="en-GB"/>
        </w:rPr>
        <w:t>keep</w:t>
      </w:r>
      <w:r w:rsidR="009A41D6">
        <w:rPr>
          <w:lang w:val="en-GB"/>
        </w:rPr>
        <w:t xml:space="preserve"> in mind that this advantage is present if the glycerol selling price remains high</w:t>
      </w:r>
      <w:r w:rsidR="00BF3C3F">
        <w:rPr>
          <w:lang w:val="en-GB"/>
        </w:rPr>
        <w:t>,</w:t>
      </w:r>
      <w:r w:rsidR="009A41D6">
        <w:rPr>
          <w:lang w:val="en-GB"/>
        </w:rPr>
        <w:t xml:space="preserve"> and there are enough purchasers to </w:t>
      </w:r>
      <w:r w:rsidR="001744E9">
        <w:rPr>
          <w:lang w:val="en-GB"/>
        </w:rPr>
        <w:t xml:space="preserve">meet the demand. As mentioned before, the high expectations for the </w:t>
      </w:r>
      <w:r w:rsidR="00B07C77">
        <w:rPr>
          <w:lang w:val="en-GB"/>
        </w:rPr>
        <w:t>fast</w:t>
      </w:r>
      <w:r w:rsidR="001744E9">
        <w:rPr>
          <w:lang w:val="en-GB"/>
        </w:rPr>
        <w:t xml:space="preserve"> growth of biodiesel industries can rapidly saturate </w:t>
      </w:r>
      <w:r w:rsidR="00BF3C3F">
        <w:rPr>
          <w:lang w:val="en-GB"/>
        </w:rPr>
        <w:t xml:space="preserve">the </w:t>
      </w:r>
      <w:r w:rsidR="001744E9">
        <w:rPr>
          <w:lang w:val="en-GB"/>
        </w:rPr>
        <w:t>glycerol market</w:t>
      </w:r>
      <w:r w:rsidR="00BF3C3F">
        <w:rPr>
          <w:lang w:val="en-GB"/>
        </w:rPr>
        <w:t>. T</w:t>
      </w:r>
      <w:r w:rsidR="001744E9">
        <w:rPr>
          <w:lang w:val="en-GB"/>
        </w:rPr>
        <w:t xml:space="preserve">hus, finding new alternatives for glycerol reutilization in the biodiesel industry may </w:t>
      </w:r>
      <w:r w:rsidR="00D24527">
        <w:rPr>
          <w:lang w:val="en-GB"/>
        </w:rPr>
        <w:t>ensure economic stability and reduce possible environmental issues.</w:t>
      </w:r>
    </w:p>
    <w:p w14:paraId="383068D9" w14:textId="1B89655B" w:rsidR="00FB2AB3" w:rsidRPr="00FB2AB3" w:rsidRDefault="00FB2AB3" w:rsidP="00FB2AB3">
      <w:pPr>
        <w:pStyle w:val="CETBodytext"/>
        <w:rPr>
          <w:lang w:val="en-GB"/>
        </w:rPr>
      </w:pPr>
      <w:r w:rsidRPr="00FB2AB3">
        <w:rPr>
          <w:lang w:val="en-GB"/>
        </w:rPr>
        <w:fldChar w:fldCharType="begin"/>
      </w:r>
      <w:r w:rsidRPr="00FB2AB3">
        <w:rPr>
          <w:lang w:val="en-GB"/>
        </w:rPr>
        <w:instrText xml:space="preserve"> REF _Ref93055649 \h  \* MERGEFORMAT </w:instrText>
      </w:r>
      <w:r w:rsidRPr="00FB2AB3">
        <w:rPr>
          <w:lang w:val="en-GB"/>
        </w:rPr>
      </w:r>
      <w:r w:rsidRPr="00FB2AB3">
        <w:rPr>
          <w:lang w:val="en-GB"/>
        </w:rPr>
        <w:fldChar w:fldCharType="separate"/>
      </w:r>
      <w:r w:rsidRPr="00FB2AB3">
        <w:rPr>
          <w:lang w:val="en-GB"/>
        </w:rPr>
        <w:t>Table 2</w:t>
      </w:r>
      <w:r w:rsidRPr="00FB2AB3">
        <w:rPr>
          <w:lang w:val="en-GB"/>
        </w:rPr>
        <w:fldChar w:fldCharType="end"/>
      </w:r>
      <w:r w:rsidR="00367690">
        <w:rPr>
          <w:lang w:val="en-GB"/>
        </w:rPr>
        <w:t xml:space="preserve"> shows</w:t>
      </w:r>
      <w:r w:rsidRPr="00FB2AB3">
        <w:rPr>
          <w:lang w:val="en-GB"/>
        </w:rPr>
        <w:t xml:space="preserve"> some of the previously cited economic aspects of each process for a more detailed comparison.</w:t>
      </w:r>
    </w:p>
    <w:p w14:paraId="34332433" w14:textId="14033004" w:rsidR="00FB2AB3" w:rsidRPr="00FB2AB3" w:rsidRDefault="00FB2AB3" w:rsidP="00FB2AB3">
      <w:pPr>
        <w:pStyle w:val="CETTabletitle"/>
      </w:pPr>
      <w:bookmarkStart w:id="3" w:name="_Ref93055649"/>
      <w:r w:rsidRPr="00FB2AB3">
        <w:t xml:space="preserve">Table </w:t>
      </w:r>
      <w:r w:rsidRPr="00FB2AB3">
        <w:fldChar w:fldCharType="begin"/>
      </w:r>
      <w:r w:rsidRPr="00FB2AB3">
        <w:instrText xml:space="preserve"> SEQ Table \* ARABIC </w:instrText>
      </w:r>
      <w:r w:rsidRPr="00FB2AB3">
        <w:fldChar w:fldCharType="separate"/>
      </w:r>
      <w:r w:rsidRPr="00FB2AB3">
        <w:rPr>
          <w:noProof/>
        </w:rPr>
        <w:t>2</w:t>
      </w:r>
      <w:r w:rsidRPr="00FB2AB3">
        <w:fldChar w:fldCharType="end"/>
      </w:r>
      <w:bookmarkEnd w:id="3"/>
      <w:r w:rsidRPr="00FB2AB3">
        <w:t xml:space="preserve">: Economic analysis of the </w:t>
      </w:r>
      <w:r w:rsidR="009442F5">
        <w:t>simulated</w:t>
      </w:r>
      <w:r w:rsidRPr="00FB2AB3">
        <w:t xml:space="preserve"> unit</w:t>
      </w:r>
      <w:r w:rsidR="009442F5">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2126"/>
        <w:gridCol w:w="1701"/>
      </w:tblGrid>
      <w:tr w:rsidR="00FB2AB3" w:rsidRPr="00FB2AB3" w14:paraId="436A51F1" w14:textId="77777777" w:rsidTr="00B479F9">
        <w:tc>
          <w:tcPr>
            <w:tcW w:w="3119" w:type="dxa"/>
            <w:tcBorders>
              <w:top w:val="single" w:sz="12" w:space="0" w:color="008000"/>
              <w:bottom w:val="single" w:sz="6" w:space="0" w:color="008000"/>
            </w:tcBorders>
            <w:shd w:val="clear" w:color="auto" w:fill="FFFFFF"/>
          </w:tcPr>
          <w:p w14:paraId="29008A6D" w14:textId="77777777" w:rsidR="00FB2AB3" w:rsidRPr="00FB2AB3" w:rsidRDefault="00FB2AB3" w:rsidP="00B479F9">
            <w:pPr>
              <w:pStyle w:val="CETBodytext"/>
              <w:rPr>
                <w:lang w:val="en-GB"/>
              </w:rPr>
            </w:pPr>
            <w:r w:rsidRPr="00FB2AB3">
              <w:rPr>
                <w:lang w:val="en-GB"/>
              </w:rPr>
              <w:t>Property</w:t>
            </w:r>
          </w:p>
        </w:tc>
        <w:tc>
          <w:tcPr>
            <w:tcW w:w="2126" w:type="dxa"/>
            <w:tcBorders>
              <w:top w:val="single" w:sz="12" w:space="0" w:color="008000"/>
              <w:bottom w:val="single" w:sz="6" w:space="0" w:color="008000"/>
            </w:tcBorders>
            <w:shd w:val="clear" w:color="auto" w:fill="FFFFFF"/>
          </w:tcPr>
          <w:p w14:paraId="14CB3F88" w14:textId="77777777" w:rsidR="00FB2AB3" w:rsidRPr="00FB2AB3" w:rsidRDefault="00FB2AB3" w:rsidP="00B479F9">
            <w:pPr>
              <w:pStyle w:val="CETBodytext"/>
              <w:rPr>
                <w:lang w:val="en-GB"/>
              </w:rPr>
            </w:pPr>
            <w:r w:rsidRPr="00FB2AB3">
              <w:rPr>
                <w:lang w:val="en-GB"/>
              </w:rPr>
              <w:t>Glycerol processing unit</w:t>
            </w:r>
          </w:p>
        </w:tc>
        <w:tc>
          <w:tcPr>
            <w:tcW w:w="1701" w:type="dxa"/>
            <w:tcBorders>
              <w:top w:val="single" w:sz="12" w:space="0" w:color="008000"/>
              <w:bottom w:val="single" w:sz="6" w:space="0" w:color="008000"/>
            </w:tcBorders>
            <w:shd w:val="clear" w:color="auto" w:fill="FFFFFF"/>
          </w:tcPr>
          <w:p w14:paraId="54510644" w14:textId="77777777" w:rsidR="00FB2AB3" w:rsidRPr="00FB2AB3" w:rsidRDefault="00FB2AB3" w:rsidP="00B479F9">
            <w:pPr>
              <w:pStyle w:val="CETBodytext"/>
              <w:rPr>
                <w:lang w:val="en-GB"/>
              </w:rPr>
            </w:pPr>
            <w:r w:rsidRPr="00FB2AB3">
              <w:rPr>
                <w:lang w:val="en-GB"/>
              </w:rPr>
              <w:t>Glycerol selling unit</w:t>
            </w:r>
          </w:p>
        </w:tc>
      </w:tr>
      <w:tr w:rsidR="00FB2AB3" w:rsidRPr="00FB2AB3" w14:paraId="0CA99745" w14:textId="77777777" w:rsidTr="00B479F9">
        <w:tc>
          <w:tcPr>
            <w:tcW w:w="3119" w:type="dxa"/>
            <w:shd w:val="clear" w:color="auto" w:fill="FFFFFF"/>
          </w:tcPr>
          <w:p w14:paraId="60D67253" w14:textId="77777777" w:rsidR="00FB2AB3" w:rsidRPr="00FB2AB3" w:rsidRDefault="00FB2AB3" w:rsidP="00B479F9">
            <w:pPr>
              <w:pStyle w:val="CETBodytext"/>
              <w:rPr>
                <w:lang w:val="en-GB"/>
              </w:rPr>
            </w:pPr>
            <w:r w:rsidRPr="00FB2AB3">
              <w:rPr>
                <w:lang w:val="en-GB"/>
              </w:rPr>
              <w:t>Installed Equipment Cost (USD)</w:t>
            </w:r>
          </w:p>
        </w:tc>
        <w:tc>
          <w:tcPr>
            <w:tcW w:w="2126" w:type="dxa"/>
            <w:shd w:val="clear" w:color="auto" w:fill="FFFFFF"/>
          </w:tcPr>
          <w:p w14:paraId="1DECC9F3" w14:textId="77777777" w:rsidR="00FB2AB3" w:rsidRPr="00FB2AB3" w:rsidRDefault="00FB2AB3" w:rsidP="00B479F9">
            <w:pPr>
              <w:pStyle w:val="CETBodytext"/>
              <w:rPr>
                <w:lang w:val="en-GB"/>
              </w:rPr>
            </w:pPr>
            <w:r w:rsidRPr="00FB2AB3">
              <w:rPr>
                <w:lang w:val="en-GB"/>
              </w:rPr>
              <w:t>8,253,600</w:t>
            </w:r>
          </w:p>
        </w:tc>
        <w:tc>
          <w:tcPr>
            <w:tcW w:w="1701" w:type="dxa"/>
            <w:shd w:val="clear" w:color="auto" w:fill="FFFFFF"/>
          </w:tcPr>
          <w:p w14:paraId="200C230E" w14:textId="77777777" w:rsidR="00FB2AB3" w:rsidRPr="00FB2AB3" w:rsidRDefault="00FB2AB3" w:rsidP="00B479F9">
            <w:pPr>
              <w:pStyle w:val="CETBodytext"/>
              <w:rPr>
                <w:lang w:val="en-GB"/>
              </w:rPr>
            </w:pPr>
            <w:r w:rsidRPr="00FB2AB3">
              <w:rPr>
                <w:lang w:val="en-GB"/>
              </w:rPr>
              <w:t>3,051,300</w:t>
            </w:r>
          </w:p>
        </w:tc>
      </w:tr>
      <w:tr w:rsidR="00FB2AB3" w:rsidRPr="00FB2AB3" w14:paraId="33E4E94F" w14:textId="77777777" w:rsidTr="00B479F9">
        <w:tc>
          <w:tcPr>
            <w:tcW w:w="3119" w:type="dxa"/>
            <w:shd w:val="clear" w:color="auto" w:fill="FFFFFF"/>
          </w:tcPr>
          <w:p w14:paraId="611CFAF8" w14:textId="77777777" w:rsidR="00FB2AB3" w:rsidRPr="00FB2AB3" w:rsidRDefault="00FB2AB3" w:rsidP="00B479F9">
            <w:pPr>
              <w:pStyle w:val="CETBodytext"/>
              <w:rPr>
                <w:lang w:val="en-GB"/>
              </w:rPr>
            </w:pPr>
            <w:r w:rsidRPr="00FB2AB3">
              <w:rPr>
                <w:lang w:val="en-GB"/>
              </w:rPr>
              <w:t>Total Capital Cost (USD)</w:t>
            </w:r>
          </w:p>
        </w:tc>
        <w:tc>
          <w:tcPr>
            <w:tcW w:w="2126" w:type="dxa"/>
            <w:shd w:val="clear" w:color="auto" w:fill="FFFFFF"/>
          </w:tcPr>
          <w:p w14:paraId="2FD4F22F" w14:textId="77777777" w:rsidR="00FB2AB3" w:rsidRPr="00FB2AB3" w:rsidRDefault="00FB2AB3" w:rsidP="00B479F9">
            <w:pPr>
              <w:pStyle w:val="CETBodytext"/>
              <w:rPr>
                <w:lang w:val="en-GB"/>
              </w:rPr>
            </w:pPr>
            <w:r w:rsidRPr="00FB2AB3">
              <w:rPr>
                <w:lang w:val="en-GB"/>
              </w:rPr>
              <w:t>15,946,200</w:t>
            </w:r>
          </w:p>
        </w:tc>
        <w:tc>
          <w:tcPr>
            <w:tcW w:w="1701" w:type="dxa"/>
            <w:shd w:val="clear" w:color="auto" w:fill="FFFFFF"/>
          </w:tcPr>
          <w:p w14:paraId="175BB2BE" w14:textId="77777777" w:rsidR="00FB2AB3" w:rsidRPr="00FB2AB3" w:rsidRDefault="00FB2AB3" w:rsidP="00B479F9">
            <w:pPr>
              <w:pStyle w:val="CETBodytext"/>
              <w:rPr>
                <w:lang w:val="en-GB"/>
              </w:rPr>
            </w:pPr>
            <w:r w:rsidRPr="00FB2AB3">
              <w:rPr>
                <w:lang w:val="en-GB"/>
              </w:rPr>
              <w:t>8,161,900</w:t>
            </w:r>
          </w:p>
        </w:tc>
      </w:tr>
      <w:tr w:rsidR="00FB2AB3" w:rsidRPr="00FB2AB3" w14:paraId="202816D1" w14:textId="77777777" w:rsidTr="00B479F9">
        <w:tc>
          <w:tcPr>
            <w:tcW w:w="3119" w:type="dxa"/>
            <w:shd w:val="clear" w:color="auto" w:fill="FFFFFF"/>
          </w:tcPr>
          <w:p w14:paraId="6FD73DB5" w14:textId="77777777" w:rsidR="00FB2AB3" w:rsidRPr="00FB2AB3" w:rsidRDefault="00FB2AB3" w:rsidP="00B479F9">
            <w:pPr>
              <w:pStyle w:val="CETBodytext"/>
              <w:rPr>
                <w:lang w:val="en-GB"/>
              </w:rPr>
            </w:pPr>
            <w:r w:rsidRPr="00FB2AB3">
              <w:rPr>
                <w:lang w:val="en-GB"/>
              </w:rPr>
              <w:t>Utilities Cost (USD/year)</w:t>
            </w:r>
          </w:p>
        </w:tc>
        <w:tc>
          <w:tcPr>
            <w:tcW w:w="2126" w:type="dxa"/>
            <w:shd w:val="clear" w:color="auto" w:fill="FFFFFF"/>
          </w:tcPr>
          <w:p w14:paraId="2F6749EE" w14:textId="77777777" w:rsidR="00FB2AB3" w:rsidRPr="00FB2AB3" w:rsidRDefault="00FB2AB3" w:rsidP="00B479F9">
            <w:pPr>
              <w:pStyle w:val="CETBodytext"/>
              <w:rPr>
                <w:lang w:val="en-GB"/>
              </w:rPr>
            </w:pPr>
            <w:r w:rsidRPr="00FB2AB3">
              <w:rPr>
                <w:lang w:val="en-GB"/>
              </w:rPr>
              <w:t>1,933,120</w:t>
            </w:r>
          </w:p>
        </w:tc>
        <w:tc>
          <w:tcPr>
            <w:tcW w:w="1701" w:type="dxa"/>
            <w:shd w:val="clear" w:color="auto" w:fill="FFFFFF"/>
          </w:tcPr>
          <w:p w14:paraId="288C0EFF" w14:textId="77777777" w:rsidR="00FB2AB3" w:rsidRPr="00FB2AB3" w:rsidRDefault="00FB2AB3" w:rsidP="00B479F9">
            <w:pPr>
              <w:pStyle w:val="CETBodytext"/>
              <w:rPr>
                <w:lang w:val="en-GB"/>
              </w:rPr>
            </w:pPr>
            <w:r w:rsidRPr="00FB2AB3">
              <w:rPr>
                <w:lang w:val="en-GB"/>
              </w:rPr>
              <w:t>886,006</w:t>
            </w:r>
          </w:p>
        </w:tc>
      </w:tr>
      <w:tr w:rsidR="00FB2AB3" w:rsidRPr="00FB2AB3" w14:paraId="1B86FA2F" w14:textId="77777777" w:rsidTr="00B479F9">
        <w:tc>
          <w:tcPr>
            <w:tcW w:w="3119" w:type="dxa"/>
            <w:shd w:val="clear" w:color="auto" w:fill="FFFFFF"/>
          </w:tcPr>
          <w:p w14:paraId="3D002306" w14:textId="77777777" w:rsidR="00FB2AB3" w:rsidRPr="00FB2AB3" w:rsidRDefault="00FB2AB3" w:rsidP="00B479F9">
            <w:pPr>
              <w:pStyle w:val="CETBodytext"/>
              <w:rPr>
                <w:lang w:val="en-GB"/>
              </w:rPr>
            </w:pPr>
            <w:r w:rsidRPr="00FB2AB3">
              <w:rPr>
                <w:lang w:val="en-GB"/>
              </w:rPr>
              <w:t>Raw Material Cost (USD/year)</w:t>
            </w:r>
          </w:p>
        </w:tc>
        <w:tc>
          <w:tcPr>
            <w:tcW w:w="2126" w:type="dxa"/>
            <w:shd w:val="clear" w:color="auto" w:fill="FFFFFF"/>
          </w:tcPr>
          <w:p w14:paraId="494C6184" w14:textId="77777777" w:rsidR="00FB2AB3" w:rsidRPr="00FB2AB3" w:rsidRDefault="00FB2AB3" w:rsidP="00B479F9">
            <w:pPr>
              <w:pStyle w:val="CETBodytext"/>
              <w:rPr>
                <w:lang w:val="en-GB"/>
              </w:rPr>
            </w:pPr>
            <w:r w:rsidRPr="00FB2AB3">
              <w:rPr>
                <w:lang w:val="en-GB"/>
              </w:rPr>
              <w:t>60,142,400</w:t>
            </w:r>
          </w:p>
        </w:tc>
        <w:tc>
          <w:tcPr>
            <w:tcW w:w="1701" w:type="dxa"/>
            <w:shd w:val="clear" w:color="auto" w:fill="FFFFFF"/>
          </w:tcPr>
          <w:p w14:paraId="1245D19C" w14:textId="77777777" w:rsidR="00FB2AB3" w:rsidRPr="00FB2AB3" w:rsidRDefault="00FB2AB3" w:rsidP="00B479F9">
            <w:pPr>
              <w:pStyle w:val="CETBodytext"/>
              <w:rPr>
                <w:lang w:val="en-GB"/>
              </w:rPr>
            </w:pPr>
            <w:r w:rsidRPr="00FB2AB3">
              <w:rPr>
                <w:lang w:val="en-GB"/>
              </w:rPr>
              <w:t>60,809,000</w:t>
            </w:r>
          </w:p>
        </w:tc>
      </w:tr>
      <w:tr w:rsidR="00FB2AB3" w:rsidRPr="00FB2AB3" w14:paraId="4A544B68" w14:textId="77777777" w:rsidTr="00B479F9">
        <w:tc>
          <w:tcPr>
            <w:tcW w:w="3119" w:type="dxa"/>
            <w:shd w:val="clear" w:color="auto" w:fill="FFFFFF"/>
          </w:tcPr>
          <w:p w14:paraId="24388C81" w14:textId="77777777" w:rsidR="00FB2AB3" w:rsidRPr="00FB2AB3" w:rsidRDefault="00FB2AB3" w:rsidP="00B479F9">
            <w:pPr>
              <w:pStyle w:val="CETBodytext"/>
              <w:rPr>
                <w:lang w:val="en-GB"/>
              </w:rPr>
            </w:pPr>
            <w:r w:rsidRPr="00FB2AB3">
              <w:rPr>
                <w:lang w:val="en-GB"/>
              </w:rPr>
              <w:t>Operating Cost (USD/year)</w:t>
            </w:r>
          </w:p>
        </w:tc>
        <w:tc>
          <w:tcPr>
            <w:tcW w:w="2126" w:type="dxa"/>
            <w:shd w:val="clear" w:color="auto" w:fill="FFFFFF"/>
          </w:tcPr>
          <w:p w14:paraId="287309E1" w14:textId="77777777" w:rsidR="00FB2AB3" w:rsidRPr="00FB2AB3" w:rsidRDefault="00FB2AB3" w:rsidP="00B479F9">
            <w:pPr>
              <w:pStyle w:val="CETBodytext"/>
              <w:rPr>
                <w:lang w:val="en-GB"/>
              </w:rPr>
            </w:pPr>
            <w:r w:rsidRPr="00FB2AB3">
              <w:rPr>
                <w:lang w:val="en-GB"/>
              </w:rPr>
              <w:t>69,036,200</w:t>
            </w:r>
          </w:p>
        </w:tc>
        <w:tc>
          <w:tcPr>
            <w:tcW w:w="1701" w:type="dxa"/>
            <w:shd w:val="clear" w:color="auto" w:fill="FFFFFF"/>
          </w:tcPr>
          <w:p w14:paraId="604ECE7C" w14:textId="77777777" w:rsidR="00FB2AB3" w:rsidRPr="00FB2AB3" w:rsidRDefault="00FB2AB3" w:rsidP="00B479F9">
            <w:pPr>
              <w:pStyle w:val="CETBodytext"/>
              <w:rPr>
                <w:lang w:val="en-GB"/>
              </w:rPr>
            </w:pPr>
            <w:r w:rsidRPr="00FB2AB3">
              <w:rPr>
                <w:lang w:val="en-GB"/>
              </w:rPr>
              <w:t>67,990,700</w:t>
            </w:r>
          </w:p>
        </w:tc>
      </w:tr>
      <w:tr w:rsidR="00FB2AB3" w:rsidRPr="00FB2AB3" w14:paraId="4D611220" w14:textId="77777777" w:rsidTr="00B479F9">
        <w:tc>
          <w:tcPr>
            <w:tcW w:w="3119" w:type="dxa"/>
            <w:shd w:val="clear" w:color="auto" w:fill="FFFFFF"/>
          </w:tcPr>
          <w:p w14:paraId="1EDD9EE3" w14:textId="77777777" w:rsidR="00FB2AB3" w:rsidRPr="00FB2AB3" w:rsidRDefault="00FB2AB3" w:rsidP="00B479F9">
            <w:pPr>
              <w:pStyle w:val="CETBodytext"/>
              <w:rPr>
                <w:lang w:val="en-GB"/>
              </w:rPr>
            </w:pPr>
            <w:r w:rsidRPr="00FB2AB3">
              <w:rPr>
                <w:lang w:val="en-GB"/>
              </w:rPr>
              <w:t>Product Sales (USD/year)</w:t>
            </w:r>
          </w:p>
        </w:tc>
        <w:tc>
          <w:tcPr>
            <w:tcW w:w="2126" w:type="dxa"/>
            <w:shd w:val="clear" w:color="auto" w:fill="FFFFFF"/>
          </w:tcPr>
          <w:p w14:paraId="37253698" w14:textId="77777777" w:rsidR="00FB2AB3" w:rsidRPr="00FB2AB3" w:rsidRDefault="00FB2AB3" w:rsidP="00B479F9">
            <w:pPr>
              <w:pStyle w:val="CETBodytext"/>
              <w:rPr>
                <w:lang w:val="en-GB"/>
              </w:rPr>
            </w:pPr>
            <w:r w:rsidRPr="00FB2AB3">
              <w:rPr>
                <w:lang w:val="en-GB"/>
              </w:rPr>
              <w:t>95,758,600</w:t>
            </w:r>
          </w:p>
        </w:tc>
        <w:tc>
          <w:tcPr>
            <w:tcW w:w="1701" w:type="dxa"/>
            <w:shd w:val="clear" w:color="auto" w:fill="FFFFFF"/>
          </w:tcPr>
          <w:p w14:paraId="29AC2DAD" w14:textId="77777777" w:rsidR="00FB2AB3" w:rsidRPr="00FB2AB3" w:rsidRDefault="00FB2AB3" w:rsidP="00B479F9">
            <w:pPr>
              <w:pStyle w:val="CETBodytext"/>
              <w:rPr>
                <w:lang w:val="en-GB"/>
              </w:rPr>
            </w:pPr>
            <w:r w:rsidRPr="00FB2AB3">
              <w:rPr>
                <w:lang w:val="en-GB"/>
              </w:rPr>
              <w:t>99,536,400</w:t>
            </w:r>
          </w:p>
        </w:tc>
      </w:tr>
      <w:tr w:rsidR="00FB2AB3" w:rsidRPr="00FB2AB3" w14:paraId="7EA6B798" w14:textId="77777777" w:rsidTr="00B479F9">
        <w:tc>
          <w:tcPr>
            <w:tcW w:w="3119" w:type="dxa"/>
            <w:shd w:val="clear" w:color="auto" w:fill="FFFFFF"/>
          </w:tcPr>
          <w:p w14:paraId="20012C05" w14:textId="77777777" w:rsidR="00FB2AB3" w:rsidRPr="00FB2AB3" w:rsidRDefault="00FB2AB3" w:rsidP="00B479F9">
            <w:pPr>
              <w:pStyle w:val="CETBodytext"/>
              <w:rPr>
                <w:lang w:val="en-GB"/>
              </w:rPr>
            </w:pPr>
            <w:r w:rsidRPr="00FB2AB3">
              <w:rPr>
                <w:lang w:val="en-GB"/>
              </w:rPr>
              <w:t>Payback Period (year)</w:t>
            </w:r>
          </w:p>
        </w:tc>
        <w:tc>
          <w:tcPr>
            <w:tcW w:w="2126" w:type="dxa"/>
            <w:shd w:val="clear" w:color="auto" w:fill="FFFFFF"/>
          </w:tcPr>
          <w:p w14:paraId="68027FD9" w14:textId="77777777" w:rsidR="00FB2AB3" w:rsidRPr="00FB2AB3" w:rsidRDefault="00FB2AB3" w:rsidP="00B479F9">
            <w:pPr>
              <w:pStyle w:val="CETBodytext"/>
              <w:rPr>
                <w:lang w:val="en-GB"/>
              </w:rPr>
            </w:pPr>
            <w:r w:rsidRPr="00FB2AB3">
              <w:rPr>
                <w:lang w:val="en-GB"/>
              </w:rPr>
              <w:t>3.86</w:t>
            </w:r>
          </w:p>
        </w:tc>
        <w:tc>
          <w:tcPr>
            <w:tcW w:w="1701" w:type="dxa"/>
            <w:shd w:val="clear" w:color="auto" w:fill="FFFFFF"/>
          </w:tcPr>
          <w:p w14:paraId="42EFA556" w14:textId="77777777" w:rsidR="00FB2AB3" w:rsidRPr="00FB2AB3" w:rsidRDefault="00FB2AB3" w:rsidP="00B479F9">
            <w:pPr>
              <w:pStyle w:val="CETBodytext"/>
              <w:rPr>
                <w:lang w:val="en-GB"/>
              </w:rPr>
            </w:pPr>
            <w:r w:rsidRPr="00FB2AB3">
              <w:rPr>
                <w:lang w:val="en-GB"/>
              </w:rPr>
              <w:t>2.68</w:t>
            </w:r>
          </w:p>
        </w:tc>
      </w:tr>
    </w:tbl>
    <w:p w14:paraId="5CB21DDC" w14:textId="77777777" w:rsidR="00FB2AB3" w:rsidRDefault="00FB2AB3" w:rsidP="00F448FB">
      <w:pPr>
        <w:pStyle w:val="CETBodytext"/>
        <w:rPr>
          <w:lang w:val="en-GB"/>
        </w:rPr>
      </w:pPr>
    </w:p>
    <w:p w14:paraId="3A9795C5" w14:textId="1114A010" w:rsidR="003267BC" w:rsidRDefault="00BF3C3F" w:rsidP="00F448FB">
      <w:pPr>
        <w:pStyle w:val="CETBodytext"/>
        <w:rPr>
          <w:lang w:val="en-GB"/>
        </w:rPr>
      </w:pPr>
      <w:r>
        <w:rPr>
          <w:lang w:val="en-GB"/>
        </w:rPr>
        <w:t>Apart from the overall economic evaluation obtained, f</w:t>
      </w:r>
      <w:r w:rsidR="00FE1EC6">
        <w:rPr>
          <w:lang w:val="en-GB"/>
        </w:rPr>
        <w:t>our</w:t>
      </w:r>
      <w:r w:rsidR="00D85884">
        <w:rPr>
          <w:lang w:val="en-GB"/>
        </w:rPr>
        <w:t xml:space="preserve"> analys</w:t>
      </w:r>
      <w:r>
        <w:rPr>
          <w:lang w:val="en-GB"/>
        </w:rPr>
        <w:t>e</w:t>
      </w:r>
      <w:r w:rsidR="00D85884">
        <w:rPr>
          <w:lang w:val="en-GB"/>
        </w:rPr>
        <w:t>s were made</w:t>
      </w:r>
      <w:r>
        <w:rPr>
          <w:lang w:val="en-GB"/>
        </w:rPr>
        <w:t xml:space="preserve"> to verify the behavior of both units to different components’ price fluctuation</w:t>
      </w:r>
      <w:r w:rsidR="00D85884">
        <w:rPr>
          <w:lang w:val="en-GB"/>
        </w:rPr>
        <w:t xml:space="preserve">; varying biodiesel price </w:t>
      </w:r>
      <w:r w:rsidR="00131C50">
        <w:rPr>
          <w:lang w:val="en-GB"/>
        </w:rPr>
        <w:t>by</w:t>
      </w:r>
      <w:r w:rsidR="0059346E">
        <w:rPr>
          <w:lang w:val="en-GB"/>
        </w:rPr>
        <w:t xml:space="preserve"> 10 %; varying methanol price </w:t>
      </w:r>
      <w:r w:rsidR="00131C50">
        <w:rPr>
          <w:lang w:val="en-GB"/>
        </w:rPr>
        <w:t>by</w:t>
      </w:r>
      <w:r w:rsidR="0059346E">
        <w:rPr>
          <w:lang w:val="en-GB"/>
        </w:rPr>
        <w:t xml:space="preserve"> 10 %; varying glycerol price </w:t>
      </w:r>
      <w:r w:rsidR="00131C50">
        <w:rPr>
          <w:lang w:val="en-GB"/>
        </w:rPr>
        <w:t>by</w:t>
      </w:r>
      <w:r w:rsidR="0059346E">
        <w:rPr>
          <w:lang w:val="en-GB"/>
        </w:rPr>
        <w:t xml:space="preserve"> 10 %</w:t>
      </w:r>
      <w:r w:rsidR="00FE1EC6">
        <w:rPr>
          <w:lang w:val="en-GB"/>
        </w:rPr>
        <w:t xml:space="preserve">, and varying acid oil price </w:t>
      </w:r>
      <w:r w:rsidR="00131C50">
        <w:rPr>
          <w:lang w:val="en-GB"/>
        </w:rPr>
        <w:t>by</w:t>
      </w:r>
      <w:r w:rsidR="00FE1EC6">
        <w:rPr>
          <w:lang w:val="en-GB"/>
        </w:rPr>
        <w:t xml:space="preserve"> 10 %</w:t>
      </w:r>
      <w:r w:rsidR="0059346E">
        <w:rPr>
          <w:lang w:val="en-GB"/>
        </w:rPr>
        <w:t xml:space="preserve">. </w:t>
      </w:r>
      <w:r w:rsidR="008D1EEC">
        <w:rPr>
          <w:lang w:val="en-GB"/>
        </w:rPr>
        <w:fldChar w:fldCharType="begin"/>
      </w:r>
      <w:r w:rsidR="008D1EEC">
        <w:rPr>
          <w:lang w:val="en-GB"/>
        </w:rPr>
        <w:instrText xml:space="preserve"> REF _Ref93067034 \h </w:instrText>
      </w:r>
      <w:r w:rsidR="008D1EEC">
        <w:rPr>
          <w:lang w:val="en-GB"/>
        </w:rPr>
      </w:r>
      <w:r w:rsidR="008D1EEC">
        <w:rPr>
          <w:lang w:val="en-GB"/>
        </w:rPr>
        <w:fldChar w:fldCharType="separate"/>
      </w:r>
      <w:r w:rsidR="008D1EEC">
        <w:t xml:space="preserve">Table </w:t>
      </w:r>
      <w:r w:rsidR="008D1EEC">
        <w:rPr>
          <w:noProof/>
        </w:rPr>
        <w:t>3</w:t>
      </w:r>
      <w:r w:rsidR="008D1EEC">
        <w:rPr>
          <w:lang w:val="en-GB"/>
        </w:rPr>
        <w:fldChar w:fldCharType="end"/>
      </w:r>
      <w:r w:rsidR="0059346E">
        <w:rPr>
          <w:lang w:val="en-GB"/>
        </w:rPr>
        <w:t xml:space="preserve"> shows the payback period difference to a 10 % variation </w:t>
      </w:r>
      <w:r w:rsidR="00131C50">
        <w:rPr>
          <w:lang w:val="en-GB"/>
        </w:rPr>
        <w:t>in</w:t>
      </w:r>
      <w:r w:rsidR="0059346E">
        <w:rPr>
          <w:lang w:val="en-GB"/>
        </w:rPr>
        <w:t xml:space="preserve"> biodiesel price.</w:t>
      </w:r>
    </w:p>
    <w:p w14:paraId="288CD17F" w14:textId="7A98603E" w:rsidR="0059346E" w:rsidRDefault="0059346E" w:rsidP="0059346E">
      <w:pPr>
        <w:pStyle w:val="CETTabletitle"/>
      </w:pPr>
      <w:bookmarkStart w:id="4" w:name="_Ref93067034"/>
      <w:r>
        <w:t xml:space="preserve">Table </w:t>
      </w:r>
      <w:r>
        <w:fldChar w:fldCharType="begin"/>
      </w:r>
      <w:r>
        <w:instrText xml:space="preserve"> SEQ Table \* ARABIC </w:instrText>
      </w:r>
      <w:r>
        <w:fldChar w:fldCharType="separate"/>
      </w:r>
      <w:r w:rsidR="008311CA">
        <w:rPr>
          <w:noProof/>
        </w:rPr>
        <w:t>3</w:t>
      </w:r>
      <w:r>
        <w:fldChar w:fldCharType="end"/>
      </w:r>
      <w:bookmarkEnd w:id="4"/>
      <w:r>
        <w:t xml:space="preserve">: </w:t>
      </w:r>
      <w:r w:rsidR="00B442C1">
        <w:t>Payback period for a variation of 10 % in biodiesel cost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701"/>
        <w:gridCol w:w="1560"/>
        <w:gridCol w:w="1559"/>
      </w:tblGrid>
      <w:tr w:rsidR="0059346E" w:rsidRPr="00B57B36" w14:paraId="7512A436" w14:textId="34C6067E" w:rsidTr="00BF3C3F">
        <w:tc>
          <w:tcPr>
            <w:tcW w:w="3969" w:type="dxa"/>
            <w:tcBorders>
              <w:top w:val="single" w:sz="12" w:space="0" w:color="008000"/>
              <w:bottom w:val="single" w:sz="6" w:space="0" w:color="008000"/>
            </w:tcBorders>
            <w:shd w:val="clear" w:color="auto" w:fill="FFFFFF"/>
          </w:tcPr>
          <w:p w14:paraId="3D4DC250" w14:textId="7E19A1D8" w:rsidR="0059346E" w:rsidRPr="0059346E" w:rsidRDefault="0059346E" w:rsidP="0059346E">
            <w:pPr>
              <w:pStyle w:val="CETBodytext"/>
              <w:rPr>
                <w:lang w:val="en-GB"/>
              </w:rPr>
            </w:pPr>
            <w:r w:rsidRPr="0059346E">
              <w:rPr>
                <w:lang w:val="en-GB"/>
              </w:rPr>
              <w:t>Unit simulated</w:t>
            </w:r>
          </w:p>
        </w:tc>
        <w:tc>
          <w:tcPr>
            <w:tcW w:w="1701" w:type="dxa"/>
            <w:tcBorders>
              <w:top w:val="single" w:sz="12" w:space="0" w:color="008000"/>
              <w:bottom w:val="single" w:sz="6" w:space="0" w:color="008000"/>
            </w:tcBorders>
            <w:shd w:val="clear" w:color="auto" w:fill="FFFFFF"/>
          </w:tcPr>
          <w:p w14:paraId="6B245459" w14:textId="1061F133" w:rsidR="0059346E" w:rsidRPr="0059346E" w:rsidRDefault="0059346E" w:rsidP="008D1EEC">
            <w:pPr>
              <w:pStyle w:val="CETBodytext"/>
              <w:jc w:val="left"/>
              <w:rPr>
                <w:lang w:val="en-GB"/>
              </w:rPr>
            </w:pPr>
            <w:r w:rsidRPr="0059346E">
              <w:rPr>
                <w:lang w:val="en-GB"/>
              </w:rPr>
              <w:t>10 % below original biodiesel price</w:t>
            </w:r>
          </w:p>
        </w:tc>
        <w:tc>
          <w:tcPr>
            <w:tcW w:w="1560" w:type="dxa"/>
            <w:tcBorders>
              <w:top w:val="single" w:sz="12" w:space="0" w:color="008000"/>
              <w:bottom w:val="single" w:sz="6" w:space="0" w:color="008000"/>
            </w:tcBorders>
            <w:shd w:val="clear" w:color="auto" w:fill="FFFFFF"/>
          </w:tcPr>
          <w:p w14:paraId="6BC4B9A3" w14:textId="000A27DA" w:rsidR="0059346E" w:rsidRPr="0059346E" w:rsidRDefault="0059346E" w:rsidP="008D1EEC">
            <w:pPr>
              <w:pStyle w:val="CETBodytext"/>
              <w:jc w:val="left"/>
              <w:rPr>
                <w:lang w:val="en-GB"/>
              </w:rPr>
            </w:pPr>
            <w:r w:rsidRPr="0059346E">
              <w:rPr>
                <w:lang w:val="en-GB"/>
              </w:rPr>
              <w:t>Original biodiesel price</w:t>
            </w:r>
          </w:p>
        </w:tc>
        <w:tc>
          <w:tcPr>
            <w:tcW w:w="1559" w:type="dxa"/>
            <w:tcBorders>
              <w:top w:val="single" w:sz="12" w:space="0" w:color="008000"/>
              <w:bottom w:val="single" w:sz="6" w:space="0" w:color="008000"/>
            </w:tcBorders>
            <w:shd w:val="clear" w:color="auto" w:fill="FFFFFF"/>
          </w:tcPr>
          <w:p w14:paraId="2BF3F202" w14:textId="7AB853DF" w:rsidR="0059346E" w:rsidRPr="0059346E" w:rsidRDefault="0059346E" w:rsidP="008D1EEC">
            <w:pPr>
              <w:pStyle w:val="CETBodytext"/>
              <w:rPr>
                <w:lang w:val="en-GB"/>
              </w:rPr>
            </w:pPr>
            <w:r w:rsidRPr="0059346E">
              <w:rPr>
                <w:lang w:val="en-GB"/>
              </w:rPr>
              <w:t>10 % above original biodiesel price</w:t>
            </w:r>
          </w:p>
        </w:tc>
      </w:tr>
      <w:tr w:rsidR="0084000D" w:rsidRPr="00B57B36" w14:paraId="4F6AE001" w14:textId="4897EF39" w:rsidTr="00BF3C3F">
        <w:tc>
          <w:tcPr>
            <w:tcW w:w="3969" w:type="dxa"/>
            <w:shd w:val="clear" w:color="auto" w:fill="FFFFFF"/>
          </w:tcPr>
          <w:p w14:paraId="6732B183" w14:textId="1CE0A9A6" w:rsidR="0084000D" w:rsidRPr="0059346E" w:rsidRDefault="0084000D" w:rsidP="0084000D">
            <w:pPr>
              <w:pStyle w:val="CETBodytext"/>
              <w:jc w:val="left"/>
              <w:rPr>
                <w:lang w:val="en-GB"/>
              </w:rPr>
            </w:pPr>
            <w:r>
              <w:rPr>
                <w:lang w:val="en-GB"/>
              </w:rPr>
              <w:t xml:space="preserve">Payback period of </w:t>
            </w:r>
            <w:r w:rsidR="00BF3C3F">
              <w:rPr>
                <w:lang w:val="en-GB"/>
              </w:rPr>
              <w:t xml:space="preserve">the </w:t>
            </w:r>
            <w:r>
              <w:rPr>
                <w:lang w:val="en-GB"/>
              </w:rPr>
              <w:t>g</w:t>
            </w:r>
            <w:r w:rsidRPr="0059346E">
              <w:rPr>
                <w:lang w:val="en-GB"/>
              </w:rPr>
              <w:t>lycerol processing unit</w:t>
            </w:r>
          </w:p>
        </w:tc>
        <w:tc>
          <w:tcPr>
            <w:tcW w:w="1701" w:type="dxa"/>
            <w:shd w:val="clear" w:color="auto" w:fill="FFFFFF"/>
          </w:tcPr>
          <w:p w14:paraId="1ED0DF36" w14:textId="363EEAB2" w:rsidR="0084000D" w:rsidRPr="0059346E" w:rsidRDefault="0084000D" w:rsidP="0084000D">
            <w:pPr>
              <w:pStyle w:val="CETBodytext"/>
              <w:rPr>
                <w:lang w:val="en-GB"/>
              </w:rPr>
            </w:pPr>
            <w:r>
              <w:rPr>
                <w:lang w:val="en-GB"/>
              </w:rPr>
              <w:t>5.61</w:t>
            </w:r>
          </w:p>
        </w:tc>
        <w:tc>
          <w:tcPr>
            <w:tcW w:w="1560" w:type="dxa"/>
            <w:shd w:val="clear" w:color="auto" w:fill="FFFFFF"/>
          </w:tcPr>
          <w:p w14:paraId="4E0FCE51" w14:textId="5CCEA551" w:rsidR="0084000D" w:rsidRPr="0059346E" w:rsidRDefault="0084000D" w:rsidP="0084000D">
            <w:pPr>
              <w:pStyle w:val="CETBodytext"/>
              <w:rPr>
                <w:lang w:val="en-GB"/>
              </w:rPr>
            </w:pPr>
            <w:r>
              <w:rPr>
                <w:lang w:val="en-GB"/>
              </w:rPr>
              <w:t>3.86</w:t>
            </w:r>
          </w:p>
        </w:tc>
        <w:tc>
          <w:tcPr>
            <w:tcW w:w="1559" w:type="dxa"/>
            <w:shd w:val="clear" w:color="auto" w:fill="FFFFFF"/>
          </w:tcPr>
          <w:p w14:paraId="07C135E7" w14:textId="25A3897E" w:rsidR="0084000D" w:rsidRPr="0059346E" w:rsidRDefault="0084000D" w:rsidP="0084000D">
            <w:pPr>
              <w:pStyle w:val="CETBodytext"/>
              <w:rPr>
                <w:lang w:val="en-GB"/>
              </w:rPr>
            </w:pPr>
            <w:r>
              <w:rPr>
                <w:lang w:val="en-GB"/>
              </w:rPr>
              <w:t>3.03</w:t>
            </w:r>
          </w:p>
        </w:tc>
      </w:tr>
      <w:tr w:rsidR="0084000D" w:rsidRPr="00B57B36" w14:paraId="42DA29F1" w14:textId="1A3D8A61" w:rsidTr="00BF3C3F">
        <w:tc>
          <w:tcPr>
            <w:tcW w:w="3969" w:type="dxa"/>
            <w:shd w:val="clear" w:color="auto" w:fill="FFFFFF"/>
          </w:tcPr>
          <w:p w14:paraId="52205364" w14:textId="064C2F11" w:rsidR="0084000D" w:rsidRPr="0059346E" w:rsidRDefault="0084000D" w:rsidP="0084000D">
            <w:pPr>
              <w:pStyle w:val="CETBodytext"/>
              <w:rPr>
                <w:lang w:val="en-GB"/>
              </w:rPr>
            </w:pPr>
            <w:r>
              <w:rPr>
                <w:lang w:val="en-GB"/>
              </w:rPr>
              <w:t xml:space="preserve">Payback period of </w:t>
            </w:r>
            <w:r w:rsidR="00BF3C3F">
              <w:rPr>
                <w:lang w:val="en-GB"/>
              </w:rPr>
              <w:t xml:space="preserve">the </w:t>
            </w:r>
            <w:r>
              <w:rPr>
                <w:lang w:val="en-GB"/>
              </w:rPr>
              <w:t>g</w:t>
            </w:r>
            <w:r w:rsidRPr="0059346E">
              <w:rPr>
                <w:lang w:val="en-GB"/>
              </w:rPr>
              <w:t>lycerol selling unit</w:t>
            </w:r>
          </w:p>
        </w:tc>
        <w:tc>
          <w:tcPr>
            <w:tcW w:w="1701" w:type="dxa"/>
            <w:shd w:val="clear" w:color="auto" w:fill="FFFFFF"/>
          </w:tcPr>
          <w:p w14:paraId="3D2BF2AD" w14:textId="26BE83A2" w:rsidR="0084000D" w:rsidRPr="0059346E" w:rsidRDefault="0084000D" w:rsidP="0084000D">
            <w:pPr>
              <w:pStyle w:val="CETBodytext"/>
              <w:rPr>
                <w:lang w:val="en-GB"/>
              </w:rPr>
            </w:pPr>
            <w:r>
              <w:rPr>
                <w:lang w:val="en-GB"/>
              </w:rPr>
              <w:t>3.59</w:t>
            </w:r>
          </w:p>
        </w:tc>
        <w:tc>
          <w:tcPr>
            <w:tcW w:w="1560" w:type="dxa"/>
            <w:shd w:val="clear" w:color="auto" w:fill="FFFFFF"/>
          </w:tcPr>
          <w:p w14:paraId="5A09BE66" w14:textId="261D6EFC" w:rsidR="0084000D" w:rsidRPr="0059346E" w:rsidRDefault="0084000D" w:rsidP="0084000D">
            <w:pPr>
              <w:pStyle w:val="CETBodytext"/>
              <w:rPr>
                <w:lang w:val="en-GB"/>
              </w:rPr>
            </w:pPr>
            <w:r>
              <w:rPr>
                <w:lang w:val="en-GB"/>
              </w:rPr>
              <w:t>2.68</w:t>
            </w:r>
          </w:p>
        </w:tc>
        <w:tc>
          <w:tcPr>
            <w:tcW w:w="1559" w:type="dxa"/>
            <w:shd w:val="clear" w:color="auto" w:fill="FFFFFF"/>
          </w:tcPr>
          <w:p w14:paraId="45F26C33" w14:textId="71045884" w:rsidR="0084000D" w:rsidRPr="0059346E" w:rsidRDefault="0084000D" w:rsidP="0084000D">
            <w:pPr>
              <w:pStyle w:val="CETBodytext"/>
              <w:rPr>
                <w:lang w:val="en-GB"/>
              </w:rPr>
            </w:pPr>
            <w:r>
              <w:rPr>
                <w:lang w:val="en-GB"/>
              </w:rPr>
              <w:t>2.20</w:t>
            </w:r>
          </w:p>
        </w:tc>
      </w:tr>
    </w:tbl>
    <w:p w14:paraId="41C71996" w14:textId="77777777" w:rsidR="0059346E" w:rsidRDefault="0059346E" w:rsidP="00F448FB">
      <w:pPr>
        <w:pStyle w:val="CETBodytext"/>
        <w:rPr>
          <w:lang w:val="en-GB"/>
        </w:rPr>
      </w:pPr>
    </w:p>
    <w:p w14:paraId="2CBDC03F" w14:textId="6CDFF040" w:rsidR="008311CA" w:rsidRDefault="008D1EEC" w:rsidP="0064220F">
      <w:pPr>
        <w:pStyle w:val="CETBodytext"/>
        <w:rPr>
          <w:lang w:val="en-GB"/>
        </w:rPr>
      </w:pPr>
      <w:r>
        <w:rPr>
          <w:lang w:val="en-GB"/>
        </w:rPr>
        <w:t>It can be seen</w:t>
      </w:r>
      <w:r w:rsidR="00987BB8">
        <w:rPr>
          <w:lang w:val="en-GB"/>
        </w:rPr>
        <w:t xml:space="preserve"> that a 10 % variation above the final biodiesel price would </w:t>
      </w:r>
      <w:r w:rsidR="00D21876">
        <w:rPr>
          <w:lang w:val="en-GB"/>
        </w:rPr>
        <w:t>de</w:t>
      </w:r>
      <w:r w:rsidR="00987BB8">
        <w:rPr>
          <w:lang w:val="en-GB"/>
        </w:rPr>
        <w:t xml:space="preserve">crease the payback period by </w:t>
      </w:r>
      <w:r w:rsidR="00D21876">
        <w:rPr>
          <w:lang w:val="en-GB"/>
        </w:rPr>
        <w:t>2</w:t>
      </w:r>
      <w:r w:rsidR="00FB2AB3">
        <w:rPr>
          <w:lang w:val="en-GB"/>
        </w:rPr>
        <w:t>2</w:t>
      </w:r>
      <w:r w:rsidR="00987BB8">
        <w:rPr>
          <w:lang w:val="en-GB"/>
        </w:rPr>
        <w:t xml:space="preserve"> % in the glycerol processing unit and by </w:t>
      </w:r>
      <w:r w:rsidR="00D21876">
        <w:rPr>
          <w:lang w:val="en-GB"/>
        </w:rPr>
        <w:t xml:space="preserve">18 </w:t>
      </w:r>
      <w:r w:rsidR="00987BB8">
        <w:rPr>
          <w:lang w:val="en-GB"/>
        </w:rPr>
        <w:t xml:space="preserve">% in the glycerol selling unit. Moreover, a 10 % variation below the biodiesel price would </w:t>
      </w:r>
      <w:r w:rsidR="00D21876">
        <w:rPr>
          <w:lang w:val="en-GB"/>
        </w:rPr>
        <w:t>in</w:t>
      </w:r>
      <w:r w:rsidR="00987BB8">
        <w:rPr>
          <w:lang w:val="en-GB"/>
        </w:rPr>
        <w:t xml:space="preserve">crease the payback period by </w:t>
      </w:r>
      <w:r w:rsidR="00D21876">
        <w:rPr>
          <w:lang w:val="en-GB"/>
        </w:rPr>
        <w:t>45</w:t>
      </w:r>
      <w:r w:rsidR="00987BB8">
        <w:rPr>
          <w:lang w:val="en-GB"/>
        </w:rPr>
        <w:t xml:space="preserve"> % and </w:t>
      </w:r>
      <w:r w:rsidR="00D21876">
        <w:rPr>
          <w:lang w:val="en-GB"/>
        </w:rPr>
        <w:t>34</w:t>
      </w:r>
      <w:r w:rsidR="00987BB8">
        <w:rPr>
          <w:lang w:val="en-GB"/>
        </w:rPr>
        <w:t xml:space="preserve"> % in the glycerol processing and selling unit</w:t>
      </w:r>
      <w:r w:rsidR="00BF3C3F">
        <w:rPr>
          <w:lang w:val="en-GB"/>
        </w:rPr>
        <w:t>s</w:t>
      </w:r>
      <w:r w:rsidR="00987BB8">
        <w:rPr>
          <w:lang w:val="en-GB"/>
        </w:rPr>
        <w:t>, respectively.</w:t>
      </w:r>
      <w:r w:rsidR="009A4B9F">
        <w:rPr>
          <w:lang w:val="en-GB"/>
        </w:rPr>
        <w:t xml:space="preserve"> The</w:t>
      </w:r>
      <w:r w:rsidR="00BF3C3F">
        <w:rPr>
          <w:lang w:val="en-GB"/>
        </w:rPr>
        <w:t>se</w:t>
      </w:r>
      <w:r w:rsidR="009A4B9F">
        <w:rPr>
          <w:lang w:val="en-GB"/>
        </w:rPr>
        <w:t xml:space="preserve"> results show that </w:t>
      </w:r>
      <w:r w:rsidR="00D21876">
        <w:rPr>
          <w:lang w:val="en-GB"/>
        </w:rPr>
        <w:t xml:space="preserve">the biodiesel price </w:t>
      </w:r>
      <w:r w:rsidR="00BF3C3F">
        <w:rPr>
          <w:lang w:val="en-GB"/>
        </w:rPr>
        <w:t>strongly influences</w:t>
      </w:r>
      <w:r w:rsidR="00D21876">
        <w:rPr>
          <w:lang w:val="en-GB"/>
        </w:rPr>
        <w:t xml:space="preserve"> the </w:t>
      </w:r>
      <w:r w:rsidR="009B65CA">
        <w:rPr>
          <w:lang w:val="en-GB"/>
        </w:rPr>
        <w:t>glycerol processing unit</w:t>
      </w:r>
      <w:r w:rsidR="00367690">
        <w:rPr>
          <w:lang w:val="en-GB"/>
        </w:rPr>
        <w:t xml:space="preserve">, </w:t>
      </w:r>
      <w:r w:rsidR="00367690">
        <w:rPr>
          <w:lang w:val="en-GB"/>
        </w:rPr>
        <w:lastRenderedPageBreak/>
        <w:t>as</w:t>
      </w:r>
      <w:r w:rsidR="009B65CA">
        <w:rPr>
          <w:lang w:val="en-GB"/>
        </w:rPr>
        <w:t xml:space="preserve"> </w:t>
      </w:r>
      <w:r w:rsidR="00BF3C3F">
        <w:rPr>
          <w:lang w:val="en-GB"/>
        </w:rPr>
        <w:t>biodiesel is the only product that is actually marketable in this unit. In contrast,</w:t>
      </w:r>
      <w:r w:rsidR="009B65CA">
        <w:rPr>
          <w:lang w:val="en-GB"/>
        </w:rPr>
        <w:t xml:space="preserve"> the glycerol selling unit has two products, and thus, </w:t>
      </w:r>
      <w:r w:rsidR="00BF3C3F">
        <w:rPr>
          <w:lang w:val="en-GB"/>
        </w:rPr>
        <w:t xml:space="preserve">it </w:t>
      </w:r>
      <w:r w:rsidR="008311CA">
        <w:rPr>
          <w:lang w:val="en-GB"/>
        </w:rPr>
        <w:t xml:space="preserve">slightly </w:t>
      </w:r>
      <w:r w:rsidR="009B65CA">
        <w:rPr>
          <w:lang w:val="en-GB"/>
        </w:rPr>
        <w:t>decreas</w:t>
      </w:r>
      <w:r w:rsidR="00BF3C3F">
        <w:rPr>
          <w:lang w:val="en-GB"/>
        </w:rPr>
        <w:t xml:space="preserve">es </w:t>
      </w:r>
      <w:r w:rsidR="009B65CA">
        <w:rPr>
          <w:lang w:val="en-GB"/>
        </w:rPr>
        <w:t xml:space="preserve">the biodiesel </w:t>
      </w:r>
      <w:r w:rsidR="008311CA">
        <w:rPr>
          <w:lang w:val="en-GB"/>
        </w:rPr>
        <w:t>influence in the payback period.</w:t>
      </w:r>
      <w:r w:rsidR="009B65CA">
        <w:rPr>
          <w:lang w:val="en-GB"/>
        </w:rPr>
        <w:t xml:space="preserve"> </w:t>
      </w:r>
    </w:p>
    <w:p w14:paraId="26BB0478" w14:textId="12DAB0DD" w:rsidR="008D1EEC" w:rsidRDefault="008311CA" w:rsidP="0064220F">
      <w:pPr>
        <w:pStyle w:val="CETBodytext"/>
        <w:rPr>
          <w:lang w:val="en-GB"/>
        </w:rPr>
      </w:pPr>
      <w:r>
        <w:rPr>
          <w:lang w:val="en-GB"/>
        </w:rPr>
        <w:t xml:space="preserve">Variations in the methanol price were also verified, and the results can be seen in </w:t>
      </w:r>
      <w:r>
        <w:rPr>
          <w:lang w:val="en-GB"/>
        </w:rPr>
        <w:fldChar w:fldCharType="begin"/>
      </w:r>
      <w:r>
        <w:rPr>
          <w:lang w:val="en-GB"/>
        </w:rPr>
        <w:instrText xml:space="preserve"> REF _Ref93069631 \h </w:instrText>
      </w:r>
      <w:r>
        <w:rPr>
          <w:lang w:val="en-GB"/>
        </w:rPr>
      </w:r>
      <w:r>
        <w:rPr>
          <w:lang w:val="en-GB"/>
        </w:rPr>
        <w:fldChar w:fldCharType="separate"/>
      </w:r>
      <w:r>
        <w:t xml:space="preserve">Table </w:t>
      </w:r>
      <w:r>
        <w:rPr>
          <w:noProof/>
        </w:rPr>
        <w:t>4</w:t>
      </w:r>
      <w:r>
        <w:rPr>
          <w:lang w:val="en-GB"/>
        </w:rPr>
        <w:fldChar w:fldCharType="end"/>
      </w:r>
      <w:r>
        <w:rPr>
          <w:lang w:val="en-GB"/>
        </w:rPr>
        <w:t>.</w:t>
      </w:r>
      <w:r w:rsidR="008D1EEC">
        <w:rPr>
          <w:lang w:val="en-GB"/>
        </w:rPr>
        <w:t xml:space="preserve"> </w:t>
      </w:r>
    </w:p>
    <w:p w14:paraId="358CB4C2" w14:textId="3F678A94" w:rsidR="008D1EEC" w:rsidRDefault="008D1EEC" w:rsidP="008D1EEC">
      <w:pPr>
        <w:pStyle w:val="CETTabletitle"/>
      </w:pPr>
      <w:bookmarkStart w:id="5" w:name="_Ref93069631"/>
      <w:r>
        <w:t xml:space="preserve">Table </w:t>
      </w:r>
      <w:r>
        <w:fldChar w:fldCharType="begin"/>
      </w:r>
      <w:r>
        <w:instrText xml:space="preserve"> SEQ Table \* ARABIC </w:instrText>
      </w:r>
      <w:r>
        <w:fldChar w:fldCharType="separate"/>
      </w:r>
      <w:r w:rsidR="00FE1EC6">
        <w:rPr>
          <w:noProof/>
        </w:rPr>
        <w:t>4</w:t>
      </w:r>
      <w:r>
        <w:fldChar w:fldCharType="end"/>
      </w:r>
      <w:bookmarkEnd w:id="5"/>
      <w:r>
        <w:t xml:space="preserve">: </w:t>
      </w:r>
      <w:r w:rsidR="00B442C1">
        <w:t>Payback period for a variation of 10 % in methanol cost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701"/>
        <w:gridCol w:w="1560"/>
        <w:gridCol w:w="1559"/>
      </w:tblGrid>
      <w:tr w:rsidR="008D1EEC" w:rsidRPr="00B57B36" w14:paraId="611EB79B" w14:textId="77777777" w:rsidTr="00BF3C3F">
        <w:tc>
          <w:tcPr>
            <w:tcW w:w="3969" w:type="dxa"/>
            <w:tcBorders>
              <w:top w:val="single" w:sz="12" w:space="0" w:color="008000"/>
              <w:bottom w:val="single" w:sz="6" w:space="0" w:color="008000"/>
            </w:tcBorders>
            <w:shd w:val="clear" w:color="auto" w:fill="FFFFFF"/>
          </w:tcPr>
          <w:p w14:paraId="71FF3411" w14:textId="77777777" w:rsidR="008D1EEC" w:rsidRPr="0059346E" w:rsidRDefault="008D1EEC" w:rsidP="0072348A">
            <w:pPr>
              <w:pStyle w:val="CETBodytext"/>
              <w:rPr>
                <w:lang w:val="en-GB"/>
              </w:rPr>
            </w:pPr>
            <w:r w:rsidRPr="0059346E">
              <w:rPr>
                <w:lang w:val="en-GB"/>
              </w:rPr>
              <w:t>Unit simulated</w:t>
            </w:r>
          </w:p>
        </w:tc>
        <w:tc>
          <w:tcPr>
            <w:tcW w:w="1701" w:type="dxa"/>
            <w:tcBorders>
              <w:top w:val="single" w:sz="12" w:space="0" w:color="008000"/>
              <w:bottom w:val="single" w:sz="6" w:space="0" w:color="008000"/>
            </w:tcBorders>
            <w:shd w:val="clear" w:color="auto" w:fill="FFFFFF"/>
          </w:tcPr>
          <w:p w14:paraId="667D55DA" w14:textId="139F4F97" w:rsidR="008D1EEC" w:rsidRPr="0059346E" w:rsidRDefault="008D1EEC" w:rsidP="0072348A">
            <w:pPr>
              <w:pStyle w:val="CETBodytext"/>
              <w:jc w:val="left"/>
              <w:rPr>
                <w:lang w:val="en-GB"/>
              </w:rPr>
            </w:pPr>
            <w:r w:rsidRPr="0059346E">
              <w:rPr>
                <w:lang w:val="en-GB"/>
              </w:rPr>
              <w:t xml:space="preserve">10 % below original </w:t>
            </w:r>
            <w:r>
              <w:rPr>
                <w:lang w:val="en-GB"/>
              </w:rPr>
              <w:t>methanol</w:t>
            </w:r>
            <w:r w:rsidRPr="0059346E">
              <w:rPr>
                <w:lang w:val="en-GB"/>
              </w:rPr>
              <w:t xml:space="preserve"> price</w:t>
            </w:r>
          </w:p>
        </w:tc>
        <w:tc>
          <w:tcPr>
            <w:tcW w:w="1560" w:type="dxa"/>
            <w:tcBorders>
              <w:top w:val="single" w:sz="12" w:space="0" w:color="008000"/>
              <w:bottom w:val="single" w:sz="6" w:space="0" w:color="008000"/>
            </w:tcBorders>
            <w:shd w:val="clear" w:color="auto" w:fill="FFFFFF"/>
          </w:tcPr>
          <w:p w14:paraId="715378C4" w14:textId="69DD9223" w:rsidR="008D1EEC" w:rsidRPr="0059346E" w:rsidRDefault="008D1EEC" w:rsidP="0072348A">
            <w:pPr>
              <w:pStyle w:val="CETBodytext"/>
              <w:jc w:val="left"/>
              <w:rPr>
                <w:lang w:val="en-GB"/>
              </w:rPr>
            </w:pPr>
            <w:r w:rsidRPr="0059346E">
              <w:rPr>
                <w:lang w:val="en-GB"/>
              </w:rPr>
              <w:t xml:space="preserve">Original </w:t>
            </w:r>
            <w:r>
              <w:rPr>
                <w:lang w:val="en-GB"/>
              </w:rPr>
              <w:t>methanol</w:t>
            </w:r>
            <w:r w:rsidRPr="0059346E">
              <w:rPr>
                <w:lang w:val="en-GB"/>
              </w:rPr>
              <w:t xml:space="preserve"> price</w:t>
            </w:r>
          </w:p>
        </w:tc>
        <w:tc>
          <w:tcPr>
            <w:tcW w:w="1559" w:type="dxa"/>
            <w:tcBorders>
              <w:top w:val="single" w:sz="12" w:space="0" w:color="008000"/>
              <w:bottom w:val="single" w:sz="6" w:space="0" w:color="008000"/>
            </w:tcBorders>
            <w:shd w:val="clear" w:color="auto" w:fill="FFFFFF"/>
          </w:tcPr>
          <w:p w14:paraId="2A4CD89D" w14:textId="7E9C5600" w:rsidR="008D1EEC" w:rsidRPr="0059346E" w:rsidRDefault="008D1EEC" w:rsidP="0072348A">
            <w:pPr>
              <w:pStyle w:val="CETBodytext"/>
              <w:rPr>
                <w:lang w:val="en-GB"/>
              </w:rPr>
            </w:pPr>
            <w:r w:rsidRPr="0059346E">
              <w:rPr>
                <w:lang w:val="en-GB"/>
              </w:rPr>
              <w:t xml:space="preserve">10 % above original </w:t>
            </w:r>
            <w:r>
              <w:rPr>
                <w:lang w:val="en-GB"/>
              </w:rPr>
              <w:t>methanol</w:t>
            </w:r>
            <w:r w:rsidRPr="0059346E">
              <w:rPr>
                <w:lang w:val="en-GB"/>
              </w:rPr>
              <w:t xml:space="preserve"> price</w:t>
            </w:r>
          </w:p>
        </w:tc>
      </w:tr>
      <w:tr w:rsidR="00987BB8" w:rsidRPr="00B57B36" w14:paraId="13599BD0" w14:textId="77777777" w:rsidTr="00BF3C3F">
        <w:tc>
          <w:tcPr>
            <w:tcW w:w="3969" w:type="dxa"/>
            <w:shd w:val="clear" w:color="auto" w:fill="FFFFFF"/>
          </w:tcPr>
          <w:p w14:paraId="72769477" w14:textId="115CFB53" w:rsidR="00987BB8" w:rsidRPr="0059346E" w:rsidRDefault="00987BB8" w:rsidP="00987BB8">
            <w:pPr>
              <w:pStyle w:val="CETBodytext"/>
              <w:jc w:val="left"/>
              <w:rPr>
                <w:lang w:val="en-GB"/>
              </w:rPr>
            </w:pPr>
            <w:r>
              <w:rPr>
                <w:lang w:val="en-GB"/>
              </w:rPr>
              <w:t xml:space="preserve">Payback period of </w:t>
            </w:r>
            <w:r w:rsidR="00BF3C3F">
              <w:rPr>
                <w:lang w:val="en-GB"/>
              </w:rPr>
              <w:t xml:space="preserve">the </w:t>
            </w:r>
            <w:r>
              <w:rPr>
                <w:lang w:val="en-GB"/>
              </w:rPr>
              <w:t>g</w:t>
            </w:r>
            <w:r w:rsidRPr="0059346E">
              <w:rPr>
                <w:lang w:val="en-GB"/>
              </w:rPr>
              <w:t>lycerol processing unit</w:t>
            </w:r>
          </w:p>
        </w:tc>
        <w:tc>
          <w:tcPr>
            <w:tcW w:w="1701" w:type="dxa"/>
            <w:shd w:val="clear" w:color="auto" w:fill="FFFFFF"/>
          </w:tcPr>
          <w:p w14:paraId="4A2A8D4B" w14:textId="4C4AAC40" w:rsidR="00987BB8" w:rsidRPr="0059346E" w:rsidRDefault="006051B3" w:rsidP="00987BB8">
            <w:pPr>
              <w:pStyle w:val="CETBodytext"/>
              <w:rPr>
                <w:lang w:val="en-GB"/>
              </w:rPr>
            </w:pPr>
            <w:r>
              <w:rPr>
                <w:lang w:val="en-GB"/>
              </w:rPr>
              <w:t>3.82</w:t>
            </w:r>
          </w:p>
        </w:tc>
        <w:tc>
          <w:tcPr>
            <w:tcW w:w="1560" w:type="dxa"/>
            <w:shd w:val="clear" w:color="auto" w:fill="FFFFFF"/>
          </w:tcPr>
          <w:p w14:paraId="5D7B5E05" w14:textId="77777777" w:rsidR="00987BB8" w:rsidRPr="0059346E" w:rsidRDefault="00987BB8" w:rsidP="00987BB8">
            <w:pPr>
              <w:pStyle w:val="CETBodytext"/>
              <w:rPr>
                <w:lang w:val="en-GB"/>
              </w:rPr>
            </w:pPr>
            <w:r>
              <w:rPr>
                <w:lang w:val="en-GB"/>
              </w:rPr>
              <w:t>3.86</w:t>
            </w:r>
          </w:p>
        </w:tc>
        <w:tc>
          <w:tcPr>
            <w:tcW w:w="1559" w:type="dxa"/>
            <w:shd w:val="clear" w:color="auto" w:fill="FFFFFF"/>
          </w:tcPr>
          <w:p w14:paraId="60D2D59C" w14:textId="71307758" w:rsidR="00987BB8" w:rsidRPr="0059346E" w:rsidRDefault="00987BB8" w:rsidP="00987BB8">
            <w:pPr>
              <w:pStyle w:val="CETBodytext"/>
              <w:rPr>
                <w:lang w:val="en-GB"/>
              </w:rPr>
            </w:pPr>
            <w:r>
              <w:rPr>
                <w:lang w:val="en-GB"/>
              </w:rPr>
              <w:t>3.90</w:t>
            </w:r>
          </w:p>
        </w:tc>
      </w:tr>
      <w:tr w:rsidR="00987BB8" w:rsidRPr="00B57B36" w14:paraId="1B7176AC" w14:textId="77777777" w:rsidTr="00BF3C3F">
        <w:tc>
          <w:tcPr>
            <w:tcW w:w="3969" w:type="dxa"/>
            <w:shd w:val="clear" w:color="auto" w:fill="FFFFFF"/>
          </w:tcPr>
          <w:p w14:paraId="6FBB41BE" w14:textId="264B0A43" w:rsidR="00987BB8" w:rsidRPr="0059346E" w:rsidRDefault="00987BB8" w:rsidP="00987BB8">
            <w:pPr>
              <w:pStyle w:val="CETBodytext"/>
              <w:rPr>
                <w:lang w:val="en-GB"/>
              </w:rPr>
            </w:pPr>
            <w:r>
              <w:rPr>
                <w:lang w:val="en-GB"/>
              </w:rPr>
              <w:t xml:space="preserve">Payback period of </w:t>
            </w:r>
            <w:r w:rsidR="00BF3C3F">
              <w:rPr>
                <w:lang w:val="en-GB"/>
              </w:rPr>
              <w:t xml:space="preserve">the </w:t>
            </w:r>
            <w:r>
              <w:rPr>
                <w:lang w:val="en-GB"/>
              </w:rPr>
              <w:t>g</w:t>
            </w:r>
            <w:r w:rsidRPr="0059346E">
              <w:rPr>
                <w:lang w:val="en-GB"/>
              </w:rPr>
              <w:t>lycerol selling unit</w:t>
            </w:r>
          </w:p>
        </w:tc>
        <w:tc>
          <w:tcPr>
            <w:tcW w:w="1701" w:type="dxa"/>
            <w:shd w:val="clear" w:color="auto" w:fill="FFFFFF"/>
          </w:tcPr>
          <w:p w14:paraId="7DD6054A" w14:textId="2802B5BF" w:rsidR="00987BB8" w:rsidRPr="0059346E" w:rsidRDefault="00DD4ECB" w:rsidP="00987BB8">
            <w:pPr>
              <w:pStyle w:val="CETBodytext"/>
              <w:rPr>
                <w:lang w:val="en-GB"/>
              </w:rPr>
            </w:pPr>
            <w:r>
              <w:rPr>
                <w:lang w:val="en-GB"/>
              </w:rPr>
              <w:t>2.65</w:t>
            </w:r>
          </w:p>
        </w:tc>
        <w:tc>
          <w:tcPr>
            <w:tcW w:w="1560" w:type="dxa"/>
            <w:shd w:val="clear" w:color="auto" w:fill="FFFFFF"/>
          </w:tcPr>
          <w:p w14:paraId="1695DE0C" w14:textId="77777777" w:rsidR="00987BB8" w:rsidRPr="0059346E" w:rsidRDefault="00987BB8" w:rsidP="00987BB8">
            <w:pPr>
              <w:pStyle w:val="CETBodytext"/>
              <w:rPr>
                <w:lang w:val="en-GB"/>
              </w:rPr>
            </w:pPr>
            <w:r>
              <w:rPr>
                <w:lang w:val="en-GB"/>
              </w:rPr>
              <w:t>2.68</w:t>
            </w:r>
          </w:p>
        </w:tc>
        <w:tc>
          <w:tcPr>
            <w:tcW w:w="1559" w:type="dxa"/>
            <w:shd w:val="clear" w:color="auto" w:fill="FFFFFF"/>
          </w:tcPr>
          <w:p w14:paraId="0E743712" w14:textId="5DA02141" w:rsidR="00987BB8" w:rsidRPr="0059346E" w:rsidRDefault="008311CA" w:rsidP="00987BB8">
            <w:pPr>
              <w:pStyle w:val="CETBodytext"/>
              <w:rPr>
                <w:lang w:val="en-GB"/>
              </w:rPr>
            </w:pPr>
            <w:r>
              <w:rPr>
                <w:lang w:val="en-GB"/>
              </w:rPr>
              <w:t>2.72</w:t>
            </w:r>
          </w:p>
        </w:tc>
      </w:tr>
    </w:tbl>
    <w:p w14:paraId="05FC27BA" w14:textId="5F977E20" w:rsidR="008D1EEC" w:rsidRDefault="008D1EEC" w:rsidP="0064220F">
      <w:pPr>
        <w:pStyle w:val="CETBodytext"/>
        <w:rPr>
          <w:lang w:val="en-GB"/>
        </w:rPr>
      </w:pPr>
    </w:p>
    <w:p w14:paraId="0D69EAFC" w14:textId="0AD5EF9D" w:rsidR="00747B63" w:rsidRDefault="00FB2AB3" w:rsidP="00FE1EC6">
      <w:pPr>
        <w:pStyle w:val="CETBodytext"/>
        <w:rPr>
          <w:lang w:val="en-GB"/>
        </w:rPr>
      </w:pPr>
      <w:r>
        <w:rPr>
          <w:lang w:val="en-GB"/>
        </w:rPr>
        <w:t>It is</w:t>
      </w:r>
      <w:r w:rsidR="00542C50">
        <w:rPr>
          <w:lang w:val="en-GB"/>
        </w:rPr>
        <w:t xml:space="preserve"> possible to observe that a 10 % variation </w:t>
      </w:r>
      <w:r w:rsidR="00836394">
        <w:rPr>
          <w:lang w:val="en-GB"/>
        </w:rPr>
        <w:t>in</w:t>
      </w:r>
      <w:r w:rsidR="00157C0C">
        <w:rPr>
          <w:lang w:val="en-GB"/>
        </w:rPr>
        <w:t xml:space="preserve"> methanol price </w:t>
      </w:r>
      <w:r w:rsidR="00836394">
        <w:rPr>
          <w:lang w:val="en-GB"/>
        </w:rPr>
        <w:t xml:space="preserve">(above or below the original price) </w:t>
      </w:r>
      <w:r w:rsidR="00157C0C">
        <w:rPr>
          <w:lang w:val="en-GB"/>
        </w:rPr>
        <w:t xml:space="preserve">would </w:t>
      </w:r>
      <w:r>
        <w:rPr>
          <w:lang w:val="en-GB"/>
        </w:rPr>
        <w:t>vary</w:t>
      </w:r>
      <w:r w:rsidR="00157C0C">
        <w:rPr>
          <w:lang w:val="en-GB"/>
        </w:rPr>
        <w:t xml:space="preserve"> the payback period by 1 % and 1.5% in the glycerol processing </w:t>
      </w:r>
      <w:r w:rsidR="00836394">
        <w:rPr>
          <w:lang w:val="en-GB"/>
        </w:rPr>
        <w:t xml:space="preserve">and selling units, respectively. This small impact is mainly due to the high </w:t>
      </w:r>
      <w:r w:rsidR="00DB3CA4">
        <w:rPr>
          <w:lang w:val="en-GB"/>
        </w:rPr>
        <w:t>residual oil price, as methanol cost only represents 6 % of the raw material cost, wh</w:t>
      </w:r>
      <w:r w:rsidR="00131C50">
        <w:rPr>
          <w:lang w:val="en-GB"/>
        </w:rPr>
        <w:t>ile</w:t>
      </w:r>
      <w:r w:rsidR="00DB3CA4">
        <w:rPr>
          <w:lang w:val="en-GB"/>
        </w:rPr>
        <w:t xml:space="preserve"> the residual oil is responsible for the other 94%.</w:t>
      </w:r>
      <w:r w:rsidR="001A6227">
        <w:rPr>
          <w:lang w:val="en-GB"/>
        </w:rPr>
        <w:t xml:space="preserve"> However, these numbers already show the lower impact of methanol price fluctuation in the glycerol processing unit. </w:t>
      </w:r>
      <w:r w:rsidR="006B5845">
        <w:rPr>
          <w:lang w:val="en-GB"/>
        </w:rPr>
        <w:t>Moreover, c</w:t>
      </w:r>
      <w:r w:rsidR="001A6227">
        <w:rPr>
          <w:lang w:val="en-GB"/>
        </w:rPr>
        <w:t>onsidering the acid oil price participation in the raw material cost, the use of cheaper oil sources may</w:t>
      </w:r>
      <w:r w:rsidR="006B5845">
        <w:rPr>
          <w:lang w:val="en-GB"/>
        </w:rPr>
        <w:t xml:space="preserve"> increase methanol participation in this cost and</w:t>
      </w:r>
      <w:r w:rsidR="001A6227">
        <w:rPr>
          <w:lang w:val="en-GB"/>
        </w:rPr>
        <w:t xml:space="preserve"> </w:t>
      </w:r>
      <w:r w:rsidR="0073705E">
        <w:rPr>
          <w:lang w:val="en-GB"/>
        </w:rPr>
        <w:t>provide more expressive results for the comparisons regarding methanol price fluctuations.</w:t>
      </w:r>
    </w:p>
    <w:p w14:paraId="4D286994" w14:textId="41A9EEB8" w:rsidR="00B442C1" w:rsidRDefault="00FE1EC6" w:rsidP="0064220F">
      <w:pPr>
        <w:pStyle w:val="CETBodytext"/>
        <w:rPr>
          <w:lang w:val="en-GB"/>
        </w:rPr>
      </w:pPr>
      <w:r>
        <w:rPr>
          <w:lang w:val="en-GB"/>
        </w:rPr>
        <w:t>T</w:t>
      </w:r>
      <w:r w:rsidR="00B442C1">
        <w:rPr>
          <w:lang w:val="en-GB"/>
        </w:rPr>
        <w:t>he payback period analysis regarding glycerol price fluctuation</w:t>
      </w:r>
      <w:r w:rsidR="00BF3C3F">
        <w:rPr>
          <w:lang w:val="en-GB"/>
        </w:rPr>
        <w:t xml:space="preserve"> </w:t>
      </w:r>
      <w:r w:rsidR="00B442C1">
        <w:rPr>
          <w:lang w:val="en-GB"/>
        </w:rPr>
        <w:t xml:space="preserve">was </w:t>
      </w:r>
      <w:r>
        <w:rPr>
          <w:lang w:val="en-GB"/>
        </w:rPr>
        <w:t xml:space="preserve">also </w:t>
      </w:r>
      <w:r w:rsidR="00B442C1">
        <w:rPr>
          <w:lang w:val="en-GB"/>
        </w:rPr>
        <w:t xml:space="preserve">made, as shown in </w:t>
      </w:r>
      <w:r w:rsidR="00B442C1">
        <w:rPr>
          <w:lang w:val="en-GB"/>
        </w:rPr>
        <w:fldChar w:fldCharType="begin"/>
      </w:r>
      <w:r w:rsidR="00B442C1">
        <w:rPr>
          <w:lang w:val="en-GB"/>
        </w:rPr>
        <w:instrText xml:space="preserve"> REF _Ref93074315 \h </w:instrText>
      </w:r>
      <w:r w:rsidR="00B442C1">
        <w:rPr>
          <w:lang w:val="en-GB"/>
        </w:rPr>
      </w:r>
      <w:r w:rsidR="00B442C1">
        <w:rPr>
          <w:lang w:val="en-GB"/>
        </w:rPr>
        <w:fldChar w:fldCharType="separate"/>
      </w:r>
      <w:r>
        <w:t xml:space="preserve">Table </w:t>
      </w:r>
      <w:r>
        <w:rPr>
          <w:noProof/>
        </w:rPr>
        <w:t>5</w:t>
      </w:r>
      <w:r w:rsidR="00B442C1">
        <w:rPr>
          <w:lang w:val="en-GB"/>
        </w:rPr>
        <w:fldChar w:fldCharType="end"/>
      </w:r>
      <w:r w:rsidR="00B442C1">
        <w:rPr>
          <w:lang w:val="en-GB"/>
        </w:rPr>
        <w:t>.</w:t>
      </w:r>
    </w:p>
    <w:p w14:paraId="19FE77EF" w14:textId="6FDEBAA5" w:rsidR="0084000D" w:rsidRDefault="0084000D" w:rsidP="0084000D">
      <w:pPr>
        <w:pStyle w:val="CETTabletitle"/>
      </w:pPr>
      <w:bookmarkStart w:id="6" w:name="_Ref93074315"/>
      <w:r>
        <w:t xml:space="preserve">Table </w:t>
      </w:r>
      <w:r>
        <w:fldChar w:fldCharType="begin"/>
      </w:r>
      <w:r>
        <w:instrText xml:space="preserve"> SEQ Table \* ARABIC </w:instrText>
      </w:r>
      <w:r>
        <w:fldChar w:fldCharType="separate"/>
      </w:r>
      <w:r w:rsidR="00FE1EC6">
        <w:rPr>
          <w:noProof/>
        </w:rPr>
        <w:t>5</w:t>
      </w:r>
      <w:r>
        <w:fldChar w:fldCharType="end"/>
      </w:r>
      <w:bookmarkEnd w:id="6"/>
      <w:r>
        <w:t xml:space="preserve">: </w:t>
      </w:r>
      <w:r w:rsidR="001A6227">
        <w:t>Payback period for a variation of 10 % in glycerol cost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701"/>
        <w:gridCol w:w="1560"/>
        <w:gridCol w:w="1559"/>
      </w:tblGrid>
      <w:tr w:rsidR="0084000D" w:rsidRPr="00B57B36" w14:paraId="0280F983" w14:textId="77777777" w:rsidTr="00BF3C3F">
        <w:tc>
          <w:tcPr>
            <w:tcW w:w="3969" w:type="dxa"/>
            <w:tcBorders>
              <w:top w:val="single" w:sz="12" w:space="0" w:color="008000"/>
              <w:bottom w:val="single" w:sz="6" w:space="0" w:color="008000"/>
            </w:tcBorders>
            <w:shd w:val="clear" w:color="auto" w:fill="FFFFFF"/>
          </w:tcPr>
          <w:p w14:paraId="524BBC3A" w14:textId="77777777" w:rsidR="0084000D" w:rsidRPr="0059346E" w:rsidRDefault="0084000D" w:rsidP="0072348A">
            <w:pPr>
              <w:pStyle w:val="CETBodytext"/>
              <w:rPr>
                <w:lang w:val="en-GB"/>
              </w:rPr>
            </w:pPr>
            <w:r w:rsidRPr="0059346E">
              <w:rPr>
                <w:lang w:val="en-GB"/>
              </w:rPr>
              <w:t>Unit simulated</w:t>
            </w:r>
          </w:p>
        </w:tc>
        <w:tc>
          <w:tcPr>
            <w:tcW w:w="1701" w:type="dxa"/>
            <w:tcBorders>
              <w:top w:val="single" w:sz="12" w:space="0" w:color="008000"/>
              <w:bottom w:val="single" w:sz="6" w:space="0" w:color="008000"/>
            </w:tcBorders>
            <w:shd w:val="clear" w:color="auto" w:fill="FFFFFF"/>
          </w:tcPr>
          <w:p w14:paraId="3E80E3F3" w14:textId="18E29D2C" w:rsidR="0084000D" w:rsidRPr="0059346E" w:rsidRDefault="0084000D" w:rsidP="0072348A">
            <w:pPr>
              <w:pStyle w:val="CETBodytext"/>
              <w:jc w:val="left"/>
              <w:rPr>
                <w:lang w:val="en-GB"/>
              </w:rPr>
            </w:pPr>
            <w:r w:rsidRPr="0059346E">
              <w:rPr>
                <w:lang w:val="en-GB"/>
              </w:rPr>
              <w:t xml:space="preserve">10 % below original </w:t>
            </w:r>
            <w:r>
              <w:rPr>
                <w:lang w:val="en-GB"/>
              </w:rPr>
              <w:t>glycerol</w:t>
            </w:r>
            <w:r w:rsidRPr="0059346E">
              <w:rPr>
                <w:lang w:val="en-GB"/>
              </w:rPr>
              <w:t xml:space="preserve"> price</w:t>
            </w:r>
          </w:p>
        </w:tc>
        <w:tc>
          <w:tcPr>
            <w:tcW w:w="1560" w:type="dxa"/>
            <w:tcBorders>
              <w:top w:val="single" w:sz="12" w:space="0" w:color="008000"/>
              <w:bottom w:val="single" w:sz="6" w:space="0" w:color="008000"/>
            </w:tcBorders>
            <w:shd w:val="clear" w:color="auto" w:fill="FFFFFF"/>
          </w:tcPr>
          <w:p w14:paraId="71B5A3D0" w14:textId="4EBA0029" w:rsidR="0084000D" w:rsidRPr="0059346E" w:rsidRDefault="0084000D" w:rsidP="0072348A">
            <w:pPr>
              <w:pStyle w:val="CETBodytext"/>
              <w:jc w:val="left"/>
              <w:rPr>
                <w:lang w:val="en-GB"/>
              </w:rPr>
            </w:pPr>
            <w:r w:rsidRPr="0059346E">
              <w:rPr>
                <w:lang w:val="en-GB"/>
              </w:rPr>
              <w:t xml:space="preserve">Original </w:t>
            </w:r>
            <w:r>
              <w:rPr>
                <w:lang w:val="en-GB"/>
              </w:rPr>
              <w:t>glycerol</w:t>
            </w:r>
            <w:r w:rsidRPr="0059346E">
              <w:rPr>
                <w:lang w:val="en-GB"/>
              </w:rPr>
              <w:t xml:space="preserve"> price</w:t>
            </w:r>
          </w:p>
        </w:tc>
        <w:tc>
          <w:tcPr>
            <w:tcW w:w="1559" w:type="dxa"/>
            <w:tcBorders>
              <w:top w:val="single" w:sz="12" w:space="0" w:color="008000"/>
              <w:bottom w:val="single" w:sz="6" w:space="0" w:color="008000"/>
            </w:tcBorders>
            <w:shd w:val="clear" w:color="auto" w:fill="FFFFFF"/>
          </w:tcPr>
          <w:p w14:paraId="605A47CA" w14:textId="349AF14D" w:rsidR="0084000D" w:rsidRPr="0059346E" w:rsidRDefault="0084000D" w:rsidP="0072348A">
            <w:pPr>
              <w:pStyle w:val="CETBodytext"/>
              <w:rPr>
                <w:lang w:val="en-GB"/>
              </w:rPr>
            </w:pPr>
            <w:r w:rsidRPr="0059346E">
              <w:rPr>
                <w:lang w:val="en-GB"/>
              </w:rPr>
              <w:t xml:space="preserve">10 % above original </w:t>
            </w:r>
            <w:r>
              <w:rPr>
                <w:lang w:val="en-GB"/>
              </w:rPr>
              <w:t>glycerol</w:t>
            </w:r>
            <w:r w:rsidRPr="0059346E">
              <w:rPr>
                <w:lang w:val="en-GB"/>
              </w:rPr>
              <w:t xml:space="preserve"> price</w:t>
            </w:r>
          </w:p>
        </w:tc>
      </w:tr>
      <w:tr w:rsidR="0084000D" w:rsidRPr="00B57B36" w14:paraId="7662F545" w14:textId="77777777" w:rsidTr="00BF3C3F">
        <w:tc>
          <w:tcPr>
            <w:tcW w:w="3969" w:type="dxa"/>
            <w:shd w:val="clear" w:color="auto" w:fill="FFFFFF"/>
          </w:tcPr>
          <w:p w14:paraId="28F0C400" w14:textId="32437E3B" w:rsidR="0084000D" w:rsidRPr="0059346E" w:rsidRDefault="0084000D" w:rsidP="0072348A">
            <w:pPr>
              <w:pStyle w:val="CETBodytext"/>
              <w:jc w:val="left"/>
              <w:rPr>
                <w:lang w:val="en-GB"/>
              </w:rPr>
            </w:pPr>
            <w:r>
              <w:rPr>
                <w:lang w:val="en-GB"/>
              </w:rPr>
              <w:t xml:space="preserve">Payback period of </w:t>
            </w:r>
            <w:r w:rsidR="00BF3C3F">
              <w:rPr>
                <w:lang w:val="en-GB"/>
              </w:rPr>
              <w:t xml:space="preserve">the </w:t>
            </w:r>
            <w:r>
              <w:rPr>
                <w:lang w:val="en-GB"/>
              </w:rPr>
              <w:t>g</w:t>
            </w:r>
            <w:r w:rsidRPr="0059346E">
              <w:rPr>
                <w:lang w:val="en-GB"/>
              </w:rPr>
              <w:t>lycerol processing unit</w:t>
            </w:r>
          </w:p>
        </w:tc>
        <w:tc>
          <w:tcPr>
            <w:tcW w:w="1701" w:type="dxa"/>
            <w:shd w:val="clear" w:color="auto" w:fill="FFFFFF"/>
          </w:tcPr>
          <w:p w14:paraId="379BEA54" w14:textId="653D5EEC" w:rsidR="0084000D" w:rsidRPr="0059346E" w:rsidRDefault="0084000D" w:rsidP="0072348A">
            <w:pPr>
              <w:pStyle w:val="CETBodytext"/>
              <w:rPr>
                <w:lang w:val="en-GB"/>
              </w:rPr>
            </w:pPr>
            <w:r>
              <w:rPr>
                <w:lang w:val="en-GB"/>
              </w:rPr>
              <w:t>3.86</w:t>
            </w:r>
          </w:p>
        </w:tc>
        <w:tc>
          <w:tcPr>
            <w:tcW w:w="1560" w:type="dxa"/>
            <w:shd w:val="clear" w:color="auto" w:fill="FFFFFF"/>
          </w:tcPr>
          <w:p w14:paraId="73795714" w14:textId="77777777" w:rsidR="0084000D" w:rsidRPr="0059346E" w:rsidRDefault="0084000D" w:rsidP="0072348A">
            <w:pPr>
              <w:pStyle w:val="CETBodytext"/>
              <w:rPr>
                <w:lang w:val="en-GB"/>
              </w:rPr>
            </w:pPr>
            <w:r>
              <w:rPr>
                <w:lang w:val="en-GB"/>
              </w:rPr>
              <w:t>3.86</w:t>
            </w:r>
          </w:p>
        </w:tc>
        <w:tc>
          <w:tcPr>
            <w:tcW w:w="1559" w:type="dxa"/>
            <w:shd w:val="clear" w:color="auto" w:fill="FFFFFF"/>
          </w:tcPr>
          <w:p w14:paraId="110E8DCF" w14:textId="7E6F7C37" w:rsidR="0084000D" w:rsidRPr="0059346E" w:rsidRDefault="0084000D" w:rsidP="0072348A">
            <w:pPr>
              <w:pStyle w:val="CETBodytext"/>
              <w:rPr>
                <w:lang w:val="en-GB"/>
              </w:rPr>
            </w:pPr>
            <w:r>
              <w:rPr>
                <w:lang w:val="en-GB"/>
              </w:rPr>
              <w:t>3.86</w:t>
            </w:r>
          </w:p>
        </w:tc>
      </w:tr>
      <w:tr w:rsidR="0084000D" w:rsidRPr="00B57B36" w14:paraId="6ACBEA14" w14:textId="77777777" w:rsidTr="00BF3C3F">
        <w:tc>
          <w:tcPr>
            <w:tcW w:w="3969" w:type="dxa"/>
            <w:shd w:val="clear" w:color="auto" w:fill="FFFFFF"/>
          </w:tcPr>
          <w:p w14:paraId="4D684550" w14:textId="78D585AE" w:rsidR="0084000D" w:rsidRPr="0059346E" w:rsidRDefault="0084000D" w:rsidP="0072348A">
            <w:pPr>
              <w:pStyle w:val="CETBodytext"/>
              <w:rPr>
                <w:lang w:val="en-GB"/>
              </w:rPr>
            </w:pPr>
            <w:r>
              <w:rPr>
                <w:lang w:val="en-GB"/>
              </w:rPr>
              <w:t xml:space="preserve">Payback period of </w:t>
            </w:r>
            <w:r w:rsidR="00BF3C3F">
              <w:rPr>
                <w:lang w:val="en-GB"/>
              </w:rPr>
              <w:t xml:space="preserve">the </w:t>
            </w:r>
            <w:r>
              <w:rPr>
                <w:lang w:val="en-GB"/>
              </w:rPr>
              <w:t>g</w:t>
            </w:r>
            <w:r w:rsidRPr="0059346E">
              <w:rPr>
                <w:lang w:val="en-GB"/>
              </w:rPr>
              <w:t>lycerol selling unit</w:t>
            </w:r>
          </w:p>
        </w:tc>
        <w:tc>
          <w:tcPr>
            <w:tcW w:w="1701" w:type="dxa"/>
            <w:shd w:val="clear" w:color="auto" w:fill="FFFFFF"/>
          </w:tcPr>
          <w:p w14:paraId="3437E19C" w14:textId="1C362936" w:rsidR="0084000D" w:rsidRPr="0059346E" w:rsidRDefault="00747B63" w:rsidP="0072348A">
            <w:pPr>
              <w:pStyle w:val="CETBodytext"/>
              <w:rPr>
                <w:lang w:val="en-GB"/>
              </w:rPr>
            </w:pPr>
            <w:r>
              <w:rPr>
                <w:lang w:val="en-GB"/>
              </w:rPr>
              <w:t>2.70</w:t>
            </w:r>
          </w:p>
        </w:tc>
        <w:tc>
          <w:tcPr>
            <w:tcW w:w="1560" w:type="dxa"/>
            <w:shd w:val="clear" w:color="auto" w:fill="FFFFFF"/>
          </w:tcPr>
          <w:p w14:paraId="5ED6E574" w14:textId="77777777" w:rsidR="0084000D" w:rsidRPr="0059346E" w:rsidRDefault="0084000D" w:rsidP="0072348A">
            <w:pPr>
              <w:pStyle w:val="CETBodytext"/>
              <w:rPr>
                <w:lang w:val="en-GB"/>
              </w:rPr>
            </w:pPr>
            <w:r>
              <w:rPr>
                <w:lang w:val="en-GB"/>
              </w:rPr>
              <w:t>2.68</w:t>
            </w:r>
          </w:p>
        </w:tc>
        <w:tc>
          <w:tcPr>
            <w:tcW w:w="1559" w:type="dxa"/>
            <w:shd w:val="clear" w:color="auto" w:fill="FFFFFF"/>
          </w:tcPr>
          <w:p w14:paraId="752D6D6D" w14:textId="0775705B" w:rsidR="0084000D" w:rsidRPr="0059346E" w:rsidRDefault="00157C0C" w:rsidP="0072348A">
            <w:pPr>
              <w:pStyle w:val="CETBodytext"/>
              <w:rPr>
                <w:lang w:val="en-GB"/>
              </w:rPr>
            </w:pPr>
            <w:r>
              <w:rPr>
                <w:lang w:val="en-GB"/>
              </w:rPr>
              <w:t>2.67</w:t>
            </w:r>
          </w:p>
        </w:tc>
      </w:tr>
    </w:tbl>
    <w:p w14:paraId="5111267D" w14:textId="3788FC52" w:rsidR="0084000D" w:rsidRDefault="0084000D" w:rsidP="0064220F">
      <w:pPr>
        <w:pStyle w:val="CETBodytext"/>
        <w:rPr>
          <w:lang w:val="en-GB"/>
        </w:rPr>
      </w:pPr>
    </w:p>
    <w:p w14:paraId="1D44B37D" w14:textId="3F666B4C" w:rsidR="00276F92" w:rsidRDefault="00276F92" w:rsidP="0064220F">
      <w:pPr>
        <w:pStyle w:val="CETBodytext"/>
        <w:rPr>
          <w:lang w:val="en-GB"/>
        </w:rPr>
      </w:pPr>
      <w:r>
        <w:rPr>
          <w:lang w:val="en-GB"/>
        </w:rPr>
        <w:t xml:space="preserve">Similar to what happened with the methanol and residual oil price, the variation of glycerol will </w:t>
      </w:r>
      <w:r w:rsidR="00BF3C3F">
        <w:rPr>
          <w:lang w:val="en-GB"/>
        </w:rPr>
        <w:t>slightly impact</w:t>
      </w:r>
      <w:r>
        <w:rPr>
          <w:lang w:val="en-GB"/>
        </w:rPr>
        <w:t xml:space="preserve"> the glycerol selling unit</w:t>
      </w:r>
      <w:r w:rsidR="00700913">
        <w:rPr>
          <w:lang w:val="en-GB"/>
        </w:rPr>
        <w:t xml:space="preserve">, as the income from glycerol price represents only 2.7 % of the total income from the unit. At lower biodiesel prices, however, the participation of glycerol in the product sale </w:t>
      </w:r>
      <w:r w:rsidR="00742A63">
        <w:rPr>
          <w:lang w:val="en-GB"/>
        </w:rPr>
        <w:t>will increase.</w:t>
      </w:r>
    </w:p>
    <w:p w14:paraId="7327FC71" w14:textId="355527F0" w:rsidR="00FE1EC6" w:rsidRDefault="00FE1EC6" w:rsidP="0064220F">
      <w:pPr>
        <w:pStyle w:val="CETBodytext"/>
        <w:rPr>
          <w:lang w:val="en-GB"/>
        </w:rPr>
      </w:pPr>
      <w:r>
        <w:rPr>
          <w:lang w:val="en-GB"/>
        </w:rPr>
        <w:t xml:space="preserve">Finally, the payback period analysis for the acid oil price fluctuation (10 %) was made, as shown in </w:t>
      </w:r>
      <w:r>
        <w:rPr>
          <w:lang w:val="en-GB"/>
        </w:rPr>
        <w:fldChar w:fldCharType="begin"/>
      </w:r>
      <w:r>
        <w:rPr>
          <w:lang w:val="en-GB"/>
        </w:rPr>
        <w:instrText xml:space="preserve"> REF _Ref93077210 \h </w:instrText>
      </w:r>
      <w:r>
        <w:rPr>
          <w:lang w:val="en-GB"/>
        </w:rPr>
      </w:r>
      <w:r>
        <w:rPr>
          <w:lang w:val="en-GB"/>
        </w:rPr>
        <w:fldChar w:fldCharType="separate"/>
      </w:r>
      <w:r>
        <w:t xml:space="preserve">Table </w:t>
      </w:r>
      <w:r>
        <w:rPr>
          <w:noProof/>
        </w:rPr>
        <w:t>6</w:t>
      </w:r>
      <w:r>
        <w:rPr>
          <w:lang w:val="en-GB"/>
        </w:rPr>
        <w:fldChar w:fldCharType="end"/>
      </w:r>
      <w:r>
        <w:rPr>
          <w:lang w:val="en-GB"/>
        </w:rPr>
        <w:t>.</w:t>
      </w:r>
    </w:p>
    <w:p w14:paraId="3F3912FC" w14:textId="609B2475" w:rsidR="00FE1EC6" w:rsidRDefault="00FE1EC6" w:rsidP="00FE1EC6">
      <w:pPr>
        <w:pStyle w:val="CETTabletitle"/>
      </w:pPr>
      <w:bookmarkStart w:id="7" w:name="_Ref93077210"/>
      <w:r>
        <w:t xml:space="preserve">Table </w:t>
      </w:r>
      <w:r>
        <w:fldChar w:fldCharType="begin"/>
      </w:r>
      <w:r>
        <w:instrText xml:space="preserve"> SEQ Table \* ARABIC </w:instrText>
      </w:r>
      <w:r>
        <w:fldChar w:fldCharType="separate"/>
      </w:r>
      <w:r>
        <w:rPr>
          <w:noProof/>
        </w:rPr>
        <w:t>6</w:t>
      </w:r>
      <w:r>
        <w:fldChar w:fldCharType="end"/>
      </w:r>
      <w:bookmarkEnd w:id="7"/>
      <w:r>
        <w:t xml:space="preserve">: </w:t>
      </w:r>
      <w:r w:rsidR="001A6227">
        <w:t>Payback period for a variation of 10 % in acid oil cost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843"/>
        <w:gridCol w:w="1418"/>
        <w:gridCol w:w="1559"/>
      </w:tblGrid>
      <w:tr w:rsidR="00FE1EC6" w:rsidRPr="00B57B36" w14:paraId="275DE293" w14:textId="77777777" w:rsidTr="00BF3C3F">
        <w:tc>
          <w:tcPr>
            <w:tcW w:w="3969" w:type="dxa"/>
            <w:tcBorders>
              <w:top w:val="single" w:sz="12" w:space="0" w:color="008000"/>
              <w:bottom w:val="single" w:sz="6" w:space="0" w:color="008000"/>
            </w:tcBorders>
            <w:shd w:val="clear" w:color="auto" w:fill="FFFFFF"/>
          </w:tcPr>
          <w:p w14:paraId="0B9A34CD" w14:textId="77777777" w:rsidR="00FE1EC6" w:rsidRPr="0059346E" w:rsidRDefault="00FE1EC6" w:rsidP="0072348A">
            <w:pPr>
              <w:pStyle w:val="CETBodytext"/>
              <w:rPr>
                <w:lang w:val="en-GB"/>
              </w:rPr>
            </w:pPr>
            <w:r w:rsidRPr="0059346E">
              <w:rPr>
                <w:lang w:val="en-GB"/>
              </w:rPr>
              <w:t>Unit simulated</w:t>
            </w:r>
          </w:p>
        </w:tc>
        <w:tc>
          <w:tcPr>
            <w:tcW w:w="1843" w:type="dxa"/>
            <w:tcBorders>
              <w:top w:val="single" w:sz="12" w:space="0" w:color="008000"/>
              <w:bottom w:val="single" w:sz="6" w:space="0" w:color="008000"/>
            </w:tcBorders>
            <w:shd w:val="clear" w:color="auto" w:fill="FFFFFF"/>
          </w:tcPr>
          <w:p w14:paraId="35E85B7D" w14:textId="2D2CE65E" w:rsidR="00FE1EC6" w:rsidRPr="0059346E" w:rsidRDefault="00FE1EC6" w:rsidP="0072348A">
            <w:pPr>
              <w:pStyle w:val="CETBodytext"/>
              <w:jc w:val="left"/>
              <w:rPr>
                <w:lang w:val="en-GB"/>
              </w:rPr>
            </w:pPr>
            <w:r w:rsidRPr="0059346E">
              <w:rPr>
                <w:lang w:val="en-GB"/>
              </w:rPr>
              <w:t xml:space="preserve">10 % below original </w:t>
            </w:r>
            <w:r w:rsidR="001A6227">
              <w:rPr>
                <w:lang w:val="en-GB"/>
              </w:rPr>
              <w:t>acid oil</w:t>
            </w:r>
            <w:r w:rsidRPr="0059346E">
              <w:rPr>
                <w:lang w:val="en-GB"/>
              </w:rPr>
              <w:t xml:space="preserve"> price</w:t>
            </w:r>
          </w:p>
        </w:tc>
        <w:tc>
          <w:tcPr>
            <w:tcW w:w="1418" w:type="dxa"/>
            <w:tcBorders>
              <w:top w:val="single" w:sz="12" w:space="0" w:color="008000"/>
              <w:bottom w:val="single" w:sz="6" w:space="0" w:color="008000"/>
            </w:tcBorders>
            <w:shd w:val="clear" w:color="auto" w:fill="FFFFFF"/>
          </w:tcPr>
          <w:p w14:paraId="2E0A9B09" w14:textId="6EB6748D" w:rsidR="00FE1EC6" w:rsidRPr="0059346E" w:rsidRDefault="00FE1EC6" w:rsidP="0072348A">
            <w:pPr>
              <w:pStyle w:val="CETBodytext"/>
              <w:jc w:val="left"/>
              <w:rPr>
                <w:lang w:val="en-GB"/>
              </w:rPr>
            </w:pPr>
            <w:r w:rsidRPr="0059346E">
              <w:rPr>
                <w:lang w:val="en-GB"/>
              </w:rPr>
              <w:t xml:space="preserve">Original </w:t>
            </w:r>
            <w:r w:rsidR="001A6227">
              <w:rPr>
                <w:lang w:val="en-GB"/>
              </w:rPr>
              <w:t>acid oil</w:t>
            </w:r>
            <w:r w:rsidRPr="0059346E">
              <w:rPr>
                <w:lang w:val="en-GB"/>
              </w:rPr>
              <w:t xml:space="preserve"> price</w:t>
            </w:r>
          </w:p>
        </w:tc>
        <w:tc>
          <w:tcPr>
            <w:tcW w:w="1559" w:type="dxa"/>
            <w:tcBorders>
              <w:top w:val="single" w:sz="12" w:space="0" w:color="008000"/>
              <w:bottom w:val="single" w:sz="6" w:space="0" w:color="008000"/>
            </w:tcBorders>
            <w:shd w:val="clear" w:color="auto" w:fill="FFFFFF"/>
          </w:tcPr>
          <w:p w14:paraId="67EA6CD4" w14:textId="56EB1B27" w:rsidR="00FE1EC6" w:rsidRPr="0059346E" w:rsidRDefault="00FE1EC6" w:rsidP="0072348A">
            <w:pPr>
              <w:pStyle w:val="CETBodytext"/>
              <w:rPr>
                <w:lang w:val="en-GB"/>
              </w:rPr>
            </w:pPr>
            <w:r w:rsidRPr="0059346E">
              <w:rPr>
                <w:lang w:val="en-GB"/>
              </w:rPr>
              <w:t xml:space="preserve">10 % above original </w:t>
            </w:r>
            <w:r w:rsidR="001A6227">
              <w:rPr>
                <w:lang w:val="en-GB"/>
              </w:rPr>
              <w:t>acid oil</w:t>
            </w:r>
            <w:r w:rsidRPr="0059346E">
              <w:rPr>
                <w:lang w:val="en-GB"/>
              </w:rPr>
              <w:t xml:space="preserve"> price</w:t>
            </w:r>
          </w:p>
        </w:tc>
      </w:tr>
      <w:tr w:rsidR="001A6227" w:rsidRPr="00B57B36" w14:paraId="38FA30FC" w14:textId="77777777" w:rsidTr="00BF3C3F">
        <w:tc>
          <w:tcPr>
            <w:tcW w:w="3969" w:type="dxa"/>
            <w:shd w:val="clear" w:color="auto" w:fill="FFFFFF"/>
          </w:tcPr>
          <w:p w14:paraId="57C9E7E9" w14:textId="6FAFFDEE" w:rsidR="001A6227" w:rsidRPr="0059346E" w:rsidRDefault="001A6227" w:rsidP="001A6227">
            <w:pPr>
              <w:pStyle w:val="CETBodytext"/>
              <w:jc w:val="left"/>
              <w:rPr>
                <w:lang w:val="en-GB"/>
              </w:rPr>
            </w:pPr>
            <w:r>
              <w:rPr>
                <w:lang w:val="en-GB"/>
              </w:rPr>
              <w:t>Payback period of</w:t>
            </w:r>
            <w:r w:rsidR="00BF3C3F">
              <w:rPr>
                <w:lang w:val="en-GB"/>
              </w:rPr>
              <w:t xml:space="preserve"> the</w:t>
            </w:r>
            <w:r>
              <w:rPr>
                <w:lang w:val="en-GB"/>
              </w:rPr>
              <w:t xml:space="preserve"> g</w:t>
            </w:r>
            <w:r w:rsidRPr="0059346E">
              <w:rPr>
                <w:lang w:val="en-GB"/>
              </w:rPr>
              <w:t>lycerol processing unit</w:t>
            </w:r>
          </w:p>
        </w:tc>
        <w:tc>
          <w:tcPr>
            <w:tcW w:w="1843" w:type="dxa"/>
            <w:shd w:val="clear" w:color="auto" w:fill="FFFFFF"/>
          </w:tcPr>
          <w:p w14:paraId="77D2AC8F" w14:textId="04EDC9DC" w:rsidR="001A6227" w:rsidRPr="0059346E" w:rsidRDefault="0073705E" w:rsidP="001A6227">
            <w:pPr>
              <w:pStyle w:val="CETBodytext"/>
              <w:rPr>
                <w:lang w:val="en-GB"/>
              </w:rPr>
            </w:pPr>
            <w:r>
              <w:rPr>
                <w:lang w:val="en-GB"/>
              </w:rPr>
              <w:t>3.20</w:t>
            </w:r>
          </w:p>
        </w:tc>
        <w:tc>
          <w:tcPr>
            <w:tcW w:w="1418" w:type="dxa"/>
            <w:shd w:val="clear" w:color="auto" w:fill="FFFFFF"/>
          </w:tcPr>
          <w:p w14:paraId="6832DEC3" w14:textId="337B779F" w:rsidR="001A6227" w:rsidRPr="0059346E" w:rsidRDefault="001A6227" w:rsidP="001A6227">
            <w:pPr>
              <w:pStyle w:val="CETBodytext"/>
              <w:rPr>
                <w:lang w:val="en-GB"/>
              </w:rPr>
            </w:pPr>
            <w:r>
              <w:rPr>
                <w:lang w:val="en-GB"/>
              </w:rPr>
              <w:t>3.86</w:t>
            </w:r>
          </w:p>
        </w:tc>
        <w:tc>
          <w:tcPr>
            <w:tcW w:w="1559" w:type="dxa"/>
            <w:shd w:val="clear" w:color="auto" w:fill="FFFFFF"/>
          </w:tcPr>
          <w:p w14:paraId="0298BF94" w14:textId="4E361D84" w:rsidR="001A6227" w:rsidRPr="0059346E" w:rsidRDefault="0073705E" w:rsidP="001A6227">
            <w:pPr>
              <w:pStyle w:val="CETBodytext"/>
              <w:rPr>
                <w:lang w:val="en-GB"/>
              </w:rPr>
            </w:pPr>
            <w:r>
              <w:rPr>
                <w:lang w:val="en-GB"/>
              </w:rPr>
              <w:t>5.11</w:t>
            </w:r>
          </w:p>
        </w:tc>
      </w:tr>
      <w:tr w:rsidR="001A6227" w:rsidRPr="00B57B36" w14:paraId="3B701797" w14:textId="77777777" w:rsidTr="00BF3C3F">
        <w:tc>
          <w:tcPr>
            <w:tcW w:w="3969" w:type="dxa"/>
            <w:shd w:val="clear" w:color="auto" w:fill="FFFFFF"/>
          </w:tcPr>
          <w:p w14:paraId="7136116F" w14:textId="60D04E01" w:rsidR="001A6227" w:rsidRPr="0059346E" w:rsidRDefault="001A6227" w:rsidP="001A6227">
            <w:pPr>
              <w:pStyle w:val="CETBodytext"/>
              <w:rPr>
                <w:lang w:val="en-GB"/>
              </w:rPr>
            </w:pPr>
            <w:r>
              <w:rPr>
                <w:lang w:val="en-GB"/>
              </w:rPr>
              <w:t xml:space="preserve">Payback period of </w:t>
            </w:r>
            <w:r w:rsidR="00BF3C3F">
              <w:rPr>
                <w:lang w:val="en-GB"/>
              </w:rPr>
              <w:t xml:space="preserve">the </w:t>
            </w:r>
            <w:r>
              <w:rPr>
                <w:lang w:val="en-GB"/>
              </w:rPr>
              <w:t>g</w:t>
            </w:r>
            <w:r w:rsidRPr="0059346E">
              <w:rPr>
                <w:lang w:val="en-GB"/>
              </w:rPr>
              <w:t>lycerol selling unit</w:t>
            </w:r>
          </w:p>
        </w:tc>
        <w:tc>
          <w:tcPr>
            <w:tcW w:w="1843" w:type="dxa"/>
            <w:shd w:val="clear" w:color="auto" w:fill="FFFFFF"/>
          </w:tcPr>
          <w:p w14:paraId="4247B0A8" w14:textId="623B238B" w:rsidR="001A6227" w:rsidRPr="0059346E" w:rsidRDefault="00292658" w:rsidP="001A6227">
            <w:pPr>
              <w:pStyle w:val="CETBodytext"/>
              <w:rPr>
                <w:lang w:val="en-GB"/>
              </w:rPr>
            </w:pPr>
            <w:r>
              <w:rPr>
                <w:lang w:val="en-GB"/>
              </w:rPr>
              <w:t>2.24</w:t>
            </w:r>
          </w:p>
        </w:tc>
        <w:tc>
          <w:tcPr>
            <w:tcW w:w="1418" w:type="dxa"/>
            <w:shd w:val="clear" w:color="auto" w:fill="FFFFFF"/>
          </w:tcPr>
          <w:p w14:paraId="5350F512" w14:textId="22A8E6F4" w:rsidR="001A6227" w:rsidRPr="0059346E" w:rsidRDefault="001A6227" w:rsidP="001A6227">
            <w:pPr>
              <w:pStyle w:val="CETBodytext"/>
              <w:rPr>
                <w:lang w:val="en-GB"/>
              </w:rPr>
            </w:pPr>
            <w:r>
              <w:rPr>
                <w:lang w:val="en-GB"/>
              </w:rPr>
              <w:t>2.68</w:t>
            </w:r>
          </w:p>
        </w:tc>
        <w:tc>
          <w:tcPr>
            <w:tcW w:w="1559" w:type="dxa"/>
            <w:shd w:val="clear" w:color="auto" w:fill="FFFFFF"/>
          </w:tcPr>
          <w:p w14:paraId="63D69DC9" w14:textId="311F8166" w:rsidR="001A6227" w:rsidRPr="0059346E" w:rsidRDefault="00292658" w:rsidP="001A6227">
            <w:pPr>
              <w:pStyle w:val="CETBodytext"/>
              <w:rPr>
                <w:lang w:val="en-GB"/>
              </w:rPr>
            </w:pPr>
            <w:r>
              <w:rPr>
                <w:lang w:val="en-GB"/>
              </w:rPr>
              <w:t>3.35</w:t>
            </w:r>
          </w:p>
        </w:tc>
      </w:tr>
    </w:tbl>
    <w:p w14:paraId="078FD5C4" w14:textId="77777777" w:rsidR="00FE1EC6" w:rsidRDefault="00FE1EC6" w:rsidP="0064220F">
      <w:pPr>
        <w:pStyle w:val="CETBodytext"/>
        <w:rPr>
          <w:lang w:val="en-GB"/>
        </w:rPr>
      </w:pPr>
    </w:p>
    <w:p w14:paraId="39EA1EEC" w14:textId="189B0E4B" w:rsidR="001A6227" w:rsidRDefault="0073705E" w:rsidP="0064220F">
      <w:pPr>
        <w:pStyle w:val="CETBodytext"/>
        <w:rPr>
          <w:lang w:val="en-GB"/>
        </w:rPr>
      </w:pPr>
      <w:r>
        <w:rPr>
          <w:lang w:val="en-GB"/>
        </w:rPr>
        <w:t xml:space="preserve">This analysis showed </w:t>
      </w:r>
      <w:r w:rsidR="00790EDD">
        <w:rPr>
          <w:lang w:val="en-GB"/>
        </w:rPr>
        <w:t xml:space="preserve">that </w:t>
      </w:r>
      <w:r>
        <w:rPr>
          <w:lang w:val="en-GB"/>
        </w:rPr>
        <w:t>the</w:t>
      </w:r>
      <w:r w:rsidR="00790EDD">
        <w:rPr>
          <w:lang w:val="en-GB"/>
        </w:rPr>
        <w:t xml:space="preserve"> </w:t>
      </w:r>
      <w:r w:rsidR="00292658">
        <w:rPr>
          <w:lang w:val="en-GB"/>
        </w:rPr>
        <w:t xml:space="preserve">residual oil price has an important impact </w:t>
      </w:r>
      <w:r w:rsidR="00BF3C3F">
        <w:rPr>
          <w:lang w:val="en-GB"/>
        </w:rPr>
        <w:t>on</w:t>
      </w:r>
      <w:r w:rsidR="00292658">
        <w:rPr>
          <w:lang w:val="en-GB"/>
        </w:rPr>
        <w:t xml:space="preserve"> the units’ operating costs, as an increase </w:t>
      </w:r>
      <w:r w:rsidR="00131C50">
        <w:rPr>
          <w:lang w:val="en-GB"/>
        </w:rPr>
        <w:t>of</w:t>
      </w:r>
      <w:r w:rsidR="00292658">
        <w:rPr>
          <w:lang w:val="en-GB"/>
        </w:rPr>
        <w:t xml:space="preserve"> 10 % of its price increased the payback period </w:t>
      </w:r>
      <w:r w:rsidR="00BF3C3F">
        <w:rPr>
          <w:lang w:val="en-GB"/>
        </w:rPr>
        <w:t>by</w:t>
      </w:r>
      <w:r w:rsidR="00292658">
        <w:rPr>
          <w:lang w:val="en-GB"/>
        </w:rPr>
        <w:t xml:space="preserve"> </w:t>
      </w:r>
      <w:r w:rsidR="00024A03">
        <w:rPr>
          <w:lang w:val="en-GB"/>
        </w:rPr>
        <w:t xml:space="preserve">32 % and 25% for the glycerol processing and selling units, respectively. This difference is minimized when decreasing the residual oil price </w:t>
      </w:r>
      <w:r w:rsidR="00BF3C3F">
        <w:rPr>
          <w:lang w:val="en-GB"/>
        </w:rPr>
        <w:t>by</w:t>
      </w:r>
      <w:r w:rsidR="00024A03">
        <w:rPr>
          <w:lang w:val="en-GB"/>
        </w:rPr>
        <w:t xml:space="preserve"> 10 %,</w:t>
      </w:r>
      <w:r w:rsidR="00BF3C3F">
        <w:rPr>
          <w:lang w:val="en-GB"/>
        </w:rPr>
        <w:t xml:space="preserve"> where</w:t>
      </w:r>
      <w:r w:rsidR="00024A03">
        <w:rPr>
          <w:lang w:val="en-GB"/>
        </w:rPr>
        <w:t xml:space="preserve"> the payback period decreased </w:t>
      </w:r>
      <w:r w:rsidR="00131C50">
        <w:rPr>
          <w:lang w:val="en-GB"/>
        </w:rPr>
        <w:t xml:space="preserve">by </w:t>
      </w:r>
      <w:r w:rsidR="00024A03">
        <w:rPr>
          <w:lang w:val="en-GB"/>
        </w:rPr>
        <w:t>17 % and 16 % for the glycerol processing and selling units, respectively.</w:t>
      </w:r>
      <w:r>
        <w:rPr>
          <w:lang w:val="en-GB"/>
        </w:rPr>
        <w:t xml:space="preserve"> </w:t>
      </w:r>
    </w:p>
    <w:p w14:paraId="7EB8EBAA" w14:textId="3E329182" w:rsidR="001D5DBB" w:rsidRDefault="00742A63" w:rsidP="0064220F">
      <w:pPr>
        <w:pStyle w:val="CETBodytext"/>
        <w:rPr>
          <w:lang w:val="en-GB"/>
        </w:rPr>
      </w:pPr>
      <w:r>
        <w:rPr>
          <w:lang w:val="en-GB"/>
        </w:rPr>
        <w:t xml:space="preserve">The results </w:t>
      </w:r>
      <w:r w:rsidR="007842D9">
        <w:rPr>
          <w:lang w:val="en-GB"/>
        </w:rPr>
        <w:t>obtained from the previous tables showed</w:t>
      </w:r>
      <w:r>
        <w:rPr>
          <w:lang w:val="en-GB"/>
        </w:rPr>
        <w:t xml:space="preserve"> that </w:t>
      </w:r>
      <w:r w:rsidR="007842D9">
        <w:rPr>
          <w:lang w:val="en-GB"/>
        </w:rPr>
        <w:t xml:space="preserve">the </w:t>
      </w:r>
      <w:r w:rsidR="00C15E0A">
        <w:rPr>
          <w:lang w:val="en-GB"/>
        </w:rPr>
        <w:t>glycero</w:t>
      </w:r>
      <w:r w:rsidR="007842D9">
        <w:rPr>
          <w:lang w:val="en-GB"/>
        </w:rPr>
        <w:t>l processing to obtain methanol</w:t>
      </w:r>
      <w:r w:rsidR="00C15E0A">
        <w:rPr>
          <w:lang w:val="en-GB"/>
        </w:rPr>
        <w:t xml:space="preserve"> </w:t>
      </w:r>
      <w:r w:rsidR="007842D9">
        <w:rPr>
          <w:lang w:val="en-GB"/>
        </w:rPr>
        <w:t>improves economic stability regarding methanol price</w:t>
      </w:r>
      <w:r w:rsidR="00E03026">
        <w:rPr>
          <w:lang w:val="en-GB"/>
        </w:rPr>
        <w:t xml:space="preserve"> fluctuations</w:t>
      </w:r>
      <w:r w:rsidR="007842D9">
        <w:rPr>
          <w:lang w:val="en-GB"/>
        </w:rPr>
        <w:t xml:space="preserve"> and, as expected, has no influence </w:t>
      </w:r>
      <w:r w:rsidR="00131C50">
        <w:rPr>
          <w:lang w:val="en-GB"/>
        </w:rPr>
        <w:t>on</w:t>
      </w:r>
      <w:r w:rsidR="00E03026">
        <w:rPr>
          <w:lang w:val="en-GB"/>
        </w:rPr>
        <w:t xml:space="preserve"> glycerol price fluctuations. </w:t>
      </w:r>
      <w:r w:rsidR="00790EDD">
        <w:rPr>
          <w:lang w:val="en-GB"/>
        </w:rPr>
        <w:t>Nevertheless, this unit presented less stability to biodiesel and acid oil price fluctuations</w:t>
      </w:r>
      <w:r w:rsidR="001D5DBB">
        <w:rPr>
          <w:lang w:val="en-GB"/>
        </w:rPr>
        <w:t>.</w:t>
      </w:r>
    </w:p>
    <w:p w14:paraId="1F4F6DFD" w14:textId="0B96745E" w:rsidR="00742A63" w:rsidRPr="0064220F" w:rsidRDefault="00012380" w:rsidP="0064220F">
      <w:pPr>
        <w:pStyle w:val="CETBodytext"/>
        <w:rPr>
          <w:lang w:val="en-GB"/>
        </w:rPr>
      </w:pPr>
      <w:r>
        <w:rPr>
          <w:lang w:val="en-GB"/>
        </w:rPr>
        <w:t xml:space="preserve">Despite </w:t>
      </w:r>
      <w:r w:rsidR="00C63A34">
        <w:rPr>
          <w:lang w:val="en-GB"/>
        </w:rPr>
        <w:t>th</w:t>
      </w:r>
      <w:r>
        <w:rPr>
          <w:lang w:val="en-GB"/>
        </w:rPr>
        <w:t xml:space="preserve">e satisfactory results from the economic analysis, it was observed that the second part of the process (for methanol production from glycerol) </w:t>
      </w:r>
      <w:r w:rsidR="003A6AF8">
        <w:rPr>
          <w:lang w:val="en-GB"/>
        </w:rPr>
        <w:t>m</w:t>
      </w:r>
      <w:r w:rsidR="00BF3C3F">
        <w:rPr>
          <w:lang w:val="en-GB"/>
        </w:rPr>
        <w:t>ight</w:t>
      </w:r>
      <w:r w:rsidR="003A6AF8">
        <w:rPr>
          <w:lang w:val="en-GB"/>
        </w:rPr>
        <w:t xml:space="preserve"> be further improved, as the glycerol conversion obtained in the synthesis gas reactor was around 80 % and </w:t>
      </w:r>
      <w:r w:rsidR="0086433E">
        <w:rPr>
          <w:lang w:val="en-GB"/>
        </w:rPr>
        <w:t>at the end, for each mol of glycerol consumed, only 1.4</w:t>
      </w:r>
      <w:r w:rsidR="00FC549D">
        <w:rPr>
          <w:lang w:val="en-GB"/>
        </w:rPr>
        <w:t xml:space="preserve"> mols of methanol </w:t>
      </w:r>
      <w:r w:rsidR="00614AEC">
        <w:rPr>
          <w:lang w:val="en-GB"/>
        </w:rPr>
        <w:t>are</w:t>
      </w:r>
      <w:r w:rsidR="00FC549D">
        <w:rPr>
          <w:lang w:val="en-GB"/>
        </w:rPr>
        <w:t xml:space="preserve"> produced. Therefore, </w:t>
      </w:r>
      <w:r w:rsidR="00E93EC3">
        <w:rPr>
          <w:lang w:val="en-GB"/>
        </w:rPr>
        <w:t>technolog</w:t>
      </w:r>
      <w:r w:rsidR="00BF3C3F">
        <w:rPr>
          <w:lang w:val="en-GB"/>
        </w:rPr>
        <w:t>ical</w:t>
      </w:r>
      <w:r w:rsidR="00FE2878">
        <w:rPr>
          <w:lang w:val="en-GB"/>
        </w:rPr>
        <w:t xml:space="preserve"> improvement</w:t>
      </w:r>
      <w:r w:rsidR="00BF3C3F">
        <w:rPr>
          <w:lang w:val="en-GB"/>
        </w:rPr>
        <w:t>s</w:t>
      </w:r>
      <w:r w:rsidR="00FE2878">
        <w:rPr>
          <w:lang w:val="en-GB"/>
        </w:rPr>
        <w:t xml:space="preserve"> </w:t>
      </w:r>
      <w:r w:rsidR="00E93EC3">
        <w:rPr>
          <w:lang w:val="en-GB"/>
        </w:rPr>
        <w:t xml:space="preserve">for </w:t>
      </w:r>
      <w:r w:rsidR="00B72209">
        <w:rPr>
          <w:lang w:val="en-GB"/>
        </w:rPr>
        <w:t>glycerol conversion</w:t>
      </w:r>
      <w:r w:rsidR="00FE2878">
        <w:rPr>
          <w:lang w:val="en-GB"/>
        </w:rPr>
        <w:t xml:space="preserve"> </w:t>
      </w:r>
      <w:r w:rsidR="00BF3C3F">
        <w:rPr>
          <w:lang w:val="en-GB"/>
        </w:rPr>
        <w:t>are</w:t>
      </w:r>
      <w:r w:rsidR="00972E8E">
        <w:rPr>
          <w:lang w:val="en-GB"/>
        </w:rPr>
        <w:t xml:space="preserve"> necessary </w:t>
      </w:r>
      <w:r w:rsidR="00912B3A">
        <w:rPr>
          <w:lang w:val="en-GB"/>
        </w:rPr>
        <w:t>to obtain a higher methanol yield and</w:t>
      </w:r>
      <w:r w:rsidR="00131C50">
        <w:rPr>
          <w:lang w:val="en-GB"/>
        </w:rPr>
        <w:t xml:space="preserve"> to</w:t>
      </w:r>
      <w:r w:rsidR="001C23C3">
        <w:rPr>
          <w:lang w:val="en-GB"/>
        </w:rPr>
        <w:t xml:space="preserve"> be economically competitive, even though it was already shown that </w:t>
      </w:r>
      <w:r w:rsidR="00972E8E">
        <w:rPr>
          <w:lang w:val="en-GB"/>
        </w:rPr>
        <w:t>this process is economically feasible.</w:t>
      </w:r>
    </w:p>
    <w:p w14:paraId="68D26B83" w14:textId="24FE0D3B" w:rsidR="00600535" w:rsidRPr="00B57B36" w:rsidRDefault="00600535" w:rsidP="00600535">
      <w:pPr>
        <w:pStyle w:val="CETHeading1"/>
        <w:rPr>
          <w:lang w:val="en-GB"/>
        </w:rPr>
      </w:pPr>
      <w:r w:rsidRPr="00B57B36">
        <w:rPr>
          <w:lang w:val="en-GB"/>
        </w:rPr>
        <w:t>Conclusions</w:t>
      </w:r>
    </w:p>
    <w:p w14:paraId="040BE428" w14:textId="5C041406" w:rsidR="00E109C8" w:rsidRPr="00223422" w:rsidRDefault="00972E8E" w:rsidP="00965313">
      <w:pPr>
        <w:pStyle w:val="CETBodytext"/>
        <w:rPr>
          <w:b/>
        </w:rPr>
      </w:pPr>
      <w:r w:rsidRPr="00972E8E">
        <w:t xml:space="preserve">The </w:t>
      </w:r>
      <w:r>
        <w:t>reutilization of crude glycerol in the biodiesel production process</w:t>
      </w:r>
      <w:r w:rsidR="004C2026">
        <w:t xml:space="preserve"> to form methanol is a </w:t>
      </w:r>
      <w:r w:rsidR="00E33BD1">
        <w:t xml:space="preserve">potential issue </w:t>
      </w:r>
      <w:r w:rsidR="007B19C4">
        <w:t xml:space="preserve">to </w:t>
      </w:r>
      <w:r w:rsidR="007B19C4" w:rsidRPr="00965313">
        <w:t>be further studied and discussed</w:t>
      </w:r>
      <w:r w:rsidR="00BF3C3F" w:rsidRPr="00965313">
        <w:t>, as it may significantly improve</w:t>
      </w:r>
      <w:r w:rsidR="004C2026" w:rsidRPr="00965313">
        <w:t xml:space="preserve"> </w:t>
      </w:r>
      <w:r w:rsidR="00131C50">
        <w:t xml:space="preserve">the </w:t>
      </w:r>
      <w:r w:rsidR="004C2026" w:rsidRPr="00965313">
        <w:t xml:space="preserve">stability </w:t>
      </w:r>
      <w:r w:rsidR="00131C50">
        <w:t>of</w:t>
      </w:r>
      <w:r w:rsidR="004C2026" w:rsidRPr="00965313">
        <w:t xml:space="preserve"> methanol price fluctuations</w:t>
      </w:r>
      <w:r w:rsidR="007B19C4" w:rsidRPr="00965313">
        <w:t xml:space="preserve"> in the biodiesel industry. </w:t>
      </w:r>
      <w:r w:rsidR="00922CA3" w:rsidRPr="00965313">
        <w:t xml:space="preserve">To verify the possibility of this reutilization, a simulation process using a supercritical route for biodiesel production and two reactors for the glycerol conversion, one to convert glycerol to synthesis gas and another one to produce methanol from this synthesis gas, was proposed. </w:t>
      </w:r>
      <w:r w:rsidR="00CE383C" w:rsidRPr="00965313">
        <w:t xml:space="preserve">Acid oil was chosen as the oil </w:t>
      </w:r>
      <w:r w:rsidR="00CE383C" w:rsidRPr="00965313">
        <w:lastRenderedPageBreak/>
        <w:t>source for biodiesel production, and t</w:t>
      </w:r>
      <w:r w:rsidR="00922CA3" w:rsidRPr="00965313">
        <w:t xml:space="preserve">he </w:t>
      </w:r>
      <w:r w:rsidR="009B18FE" w:rsidRPr="00965313">
        <w:t xml:space="preserve">reactions kinetics and system behavior were obtained </w:t>
      </w:r>
      <w:r w:rsidR="00BF3C3F" w:rsidRPr="00965313">
        <w:t>and compared with</w:t>
      </w:r>
      <w:r w:rsidR="009B18FE" w:rsidRPr="00965313">
        <w:t xml:space="preserve"> the literature.</w:t>
      </w:r>
      <w:r w:rsidR="00E33BD1">
        <w:t xml:space="preserve"> It was observed that the price of the oil source had a significate impact </w:t>
      </w:r>
      <w:r w:rsidR="00131C50">
        <w:t>o</w:t>
      </w:r>
      <w:r w:rsidR="00E33BD1">
        <w:t>n the economic aspects of the project, justifying the use of residual sources to reduce raw material costs.</w:t>
      </w:r>
      <w:r w:rsidR="009B18FE" w:rsidRPr="00965313">
        <w:t xml:space="preserve"> </w:t>
      </w:r>
      <w:r w:rsidR="00E33BD1">
        <w:t>Subsequently, the e</w:t>
      </w:r>
      <w:r w:rsidR="009B18FE" w:rsidRPr="00965313">
        <w:t xml:space="preserve">nergy analysis </w:t>
      </w:r>
      <w:r w:rsidR="00E33BD1">
        <w:t xml:space="preserve">developed </w:t>
      </w:r>
      <w:r w:rsidR="009B18FE" w:rsidRPr="00965313">
        <w:t>showed the possibility to reduce energy consumption by 47 %</w:t>
      </w:r>
      <w:r w:rsidR="00912B3A">
        <w:t xml:space="preserve">. </w:t>
      </w:r>
      <w:r w:rsidR="00223422" w:rsidRPr="00965313">
        <w:t>Considering a 70</w:t>
      </w:r>
      <w:r w:rsidR="006B5845">
        <w:t>,000</w:t>
      </w:r>
      <w:r w:rsidR="00223422" w:rsidRPr="00965313">
        <w:t xml:space="preserve"> m</w:t>
      </w:r>
      <w:r w:rsidR="00223422" w:rsidRPr="00965313">
        <w:rPr>
          <w:vertAlign w:val="superscript"/>
        </w:rPr>
        <w:t>3</w:t>
      </w:r>
      <w:r w:rsidR="00223422" w:rsidRPr="00965313">
        <w:t xml:space="preserve">/year of biodiesel production, the payback period obtained for this process </w:t>
      </w:r>
      <w:r w:rsidR="00131C50">
        <w:t>was</w:t>
      </w:r>
      <w:r w:rsidR="00223422" w:rsidRPr="00965313">
        <w:t xml:space="preserve"> 3.86</w:t>
      </w:r>
      <w:r w:rsidR="00C63A34">
        <w:t xml:space="preserve"> years</w:t>
      </w:r>
      <w:r w:rsidR="00223422" w:rsidRPr="00965313">
        <w:t>, a very positive result for biofuels production.</w:t>
      </w:r>
      <w:r w:rsidR="00E33BD1">
        <w:t xml:space="preserve"> Therefore, t</w:t>
      </w:r>
      <w:r w:rsidR="00E33BD1" w:rsidRPr="00965313">
        <w:t>he biodiesel production process with glycerol conversion to methanol is economically feasible</w:t>
      </w:r>
      <w:r w:rsidR="00E33BD1">
        <w:t xml:space="preserve"> and helped reduce methanol costs by 28%</w:t>
      </w:r>
      <w:r w:rsidR="00E33BD1" w:rsidRPr="00965313">
        <w:t>.</w:t>
      </w:r>
      <w:r w:rsidR="00E33BD1">
        <w:t xml:space="preserve"> It also improved process stability regarding methanol price fluctuations</w:t>
      </w:r>
      <w:r w:rsidR="00E33BD1">
        <w:t xml:space="preserve">. </w:t>
      </w:r>
      <w:r w:rsidR="00223422" w:rsidRPr="00965313">
        <w:t xml:space="preserve">Nevertheless, by comparing this simulation with </w:t>
      </w:r>
      <w:r w:rsidR="0009736D" w:rsidRPr="00965313">
        <w:t>another one built considering only biodiesel production and selling the obtained glycerol, it was seen that the glycerol processing unit was not as competitive</w:t>
      </w:r>
      <w:r w:rsidR="00BF3C3F" w:rsidRPr="00965313">
        <w:t>.</w:t>
      </w:r>
      <w:r w:rsidR="0009736D" w:rsidRPr="00965313">
        <w:t xml:space="preserve"> </w:t>
      </w:r>
      <w:r w:rsidR="00BF3C3F" w:rsidRPr="00965313">
        <w:t xml:space="preserve">It </w:t>
      </w:r>
      <w:r w:rsidR="0009736D" w:rsidRPr="00965313">
        <w:t>show</w:t>
      </w:r>
      <w:r w:rsidR="00BF3C3F" w:rsidRPr="00965313">
        <w:t>s, therefore,</w:t>
      </w:r>
      <w:r w:rsidR="0009736D" w:rsidRPr="00965313">
        <w:t xml:space="preserve"> the need </w:t>
      </w:r>
      <w:r w:rsidR="00D86ED6" w:rsidRPr="00965313">
        <w:t>for</w:t>
      </w:r>
      <w:r w:rsidR="0009736D" w:rsidRPr="00965313">
        <w:t xml:space="preserve"> further technological improvements </w:t>
      </w:r>
      <w:r w:rsidR="00D86ED6" w:rsidRPr="00965313">
        <w:t>to meet future demand for glycerol use, as rapid growth in biodiesel production is expected.</w:t>
      </w:r>
      <w:r w:rsidR="00CE383C" w:rsidRPr="00965313">
        <w:t xml:space="preserve"> Despite the better results obtained from the unit with glycerol selling, one </w:t>
      </w:r>
      <w:r w:rsidR="00BF3C3F" w:rsidRPr="00965313">
        <w:t>must</w:t>
      </w:r>
      <w:r w:rsidR="00CE383C" w:rsidRPr="00965313">
        <w:t xml:space="preserve"> bear in mind that this route is advantageous as long </w:t>
      </w:r>
      <w:r w:rsidR="007A0D89" w:rsidRPr="00965313">
        <w:t>as methanol and glycerol have an easy transportation route</w:t>
      </w:r>
      <w:r w:rsidR="00BF3C3F" w:rsidRPr="00965313">
        <w:t xml:space="preserve"> and market demand.</w:t>
      </w:r>
      <w:r w:rsidR="007A0D89" w:rsidRPr="00965313">
        <w:t xml:space="preserve"> </w:t>
      </w:r>
      <w:r w:rsidR="00BF3C3F" w:rsidRPr="00965313">
        <w:t>O</w:t>
      </w:r>
      <w:r w:rsidR="007A0D89" w:rsidRPr="00965313">
        <w:t xml:space="preserve">therwise, costs associated with raw material and products transportation and </w:t>
      </w:r>
      <w:r w:rsidR="003F6A26">
        <w:t>storage</w:t>
      </w:r>
      <w:r w:rsidR="007A0D89" w:rsidRPr="00965313">
        <w:t xml:space="preserve"> could overcome the costs for</w:t>
      </w:r>
      <w:r w:rsidR="00BF3C3F" w:rsidRPr="00965313">
        <w:t xml:space="preserve"> the</w:t>
      </w:r>
      <w:r w:rsidR="007A0D89" w:rsidRPr="00965313">
        <w:t xml:space="preserve"> glycerol conversion to methanol.</w:t>
      </w:r>
    </w:p>
    <w:p w14:paraId="459D05E6" w14:textId="13537714" w:rsidR="00600535" w:rsidRPr="00B57B36" w:rsidRDefault="00600535" w:rsidP="00600535">
      <w:pPr>
        <w:pStyle w:val="CETAcknowledgementstitle"/>
      </w:pPr>
      <w:r w:rsidRPr="00B57B36">
        <w:t>Acknowledgments</w:t>
      </w:r>
    </w:p>
    <w:p w14:paraId="33F8138F" w14:textId="18CB3B57" w:rsidR="00600535" w:rsidRPr="00A668BA" w:rsidRDefault="001F3E31" w:rsidP="00600535">
      <w:pPr>
        <w:pStyle w:val="CETBodytext"/>
      </w:pPr>
      <w:r w:rsidRPr="00A668BA">
        <w:t xml:space="preserve">To Programa de Recursos Humanos da ANP </w:t>
      </w:r>
      <w:r w:rsidR="00A668BA" w:rsidRPr="00A668BA">
        <w:t>(</w:t>
      </w:r>
      <w:r w:rsidRPr="00A668BA">
        <w:t>PRH-ANP</w:t>
      </w:r>
      <w:r w:rsidR="00A668BA" w:rsidRPr="00A668BA">
        <w:t xml:space="preserve">) </w:t>
      </w:r>
      <w:r w:rsidR="00A668BA" w:rsidRPr="004D35BA">
        <w:t>for providing financial support and scholarships</w:t>
      </w:r>
      <w:r w:rsidR="00600535" w:rsidRPr="00A668BA">
        <w:t>.</w:t>
      </w:r>
    </w:p>
    <w:p w14:paraId="33D59759" w14:textId="07DF6738" w:rsidR="00B75D2A" w:rsidRDefault="00600535" w:rsidP="00AF5EBE">
      <w:pPr>
        <w:pStyle w:val="CETReference"/>
      </w:pPr>
      <w:r w:rsidRPr="00B57B36">
        <w:t>References</w:t>
      </w:r>
    </w:p>
    <w:p w14:paraId="3DA303AC" w14:textId="6C8E3390" w:rsidR="003267BC" w:rsidRPr="00965313" w:rsidRDefault="003267BC" w:rsidP="00965313">
      <w:pPr>
        <w:pStyle w:val="CETReferencetext"/>
      </w:pPr>
      <w:r w:rsidRPr="00965313">
        <w:t>Ammonia Energy Association, 2019, The cost of hydrogen: Platts launches Hydrogen Price Assessment, Ammonia Energy Association, &lt;https://www.ammoniaenergy.org/articles/the-cost-of-hydrogen-platts-launches-hydrogen-price-assessment/&gt; accessed 10.01.2022.</w:t>
      </w:r>
    </w:p>
    <w:p w14:paraId="3F3E9C4F" w14:textId="3F1D4352" w:rsidR="00A41A20" w:rsidRPr="00A41A20" w:rsidRDefault="00A41A20" w:rsidP="00A41A20">
      <w:pPr>
        <w:pStyle w:val="CETReferencetext"/>
        <w:rPr>
          <w:lang w:val="en-US" w:eastAsia="pt-BR"/>
        </w:rPr>
      </w:pPr>
      <w:r w:rsidRPr="00A41A20">
        <w:rPr>
          <w:lang w:val="en-US" w:eastAsia="pt-BR"/>
        </w:rPr>
        <w:t>Casa M., Prizio C., Miccio M., 2021, Biodiesel production from tomato seed by transesterification with Alkaline and ‘Green’ catalysts: Simulation and discussion</w:t>
      </w:r>
      <w:r>
        <w:rPr>
          <w:lang w:val="en-US" w:eastAsia="pt-BR"/>
        </w:rPr>
        <w:t>,</w:t>
      </w:r>
      <w:r w:rsidRPr="00A41A20">
        <w:rPr>
          <w:lang w:val="en-US" w:eastAsia="pt-BR"/>
        </w:rPr>
        <w:t xml:space="preserve"> Chemical Engineering Transactions</w:t>
      </w:r>
      <w:r>
        <w:rPr>
          <w:lang w:val="en-US" w:eastAsia="pt-BR"/>
        </w:rPr>
        <w:t>,</w:t>
      </w:r>
      <w:r w:rsidRPr="00A41A20">
        <w:rPr>
          <w:lang w:val="en-US" w:eastAsia="pt-BR"/>
        </w:rPr>
        <w:t xml:space="preserve"> </w:t>
      </w:r>
      <w:r w:rsidRPr="008F2FCB">
        <w:rPr>
          <w:lang w:val="en-US" w:eastAsia="pt-BR"/>
        </w:rPr>
        <w:t>87,</w:t>
      </w:r>
      <w:r w:rsidRPr="00A41A20">
        <w:rPr>
          <w:lang w:val="en-US" w:eastAsia="pt-BR"/>
        </w:rPr>
        <w:t xml:space="preserve"> 451</w:t>
      </w:r>
      <w:r w:rsidR="008F2FCB" w:rsidRPr="00965313">
        <w:t>–</w:t>
      </w:r>
      <w:r w:rsidRPr="00A41A20">
        <w:rPr>
          <w:lang w:val="en-US" w:eastAsia="pt-BR"/>
        </w:rPr>
        <w:t>456.</w:t>
      </w:r>
    </w:p>
    <w:p w14:paraId="00BA3D4F" w14:textId="73DAC7A2" w:rsidR="00C52C3C" w:rsidRPr="00965313" w:rsidRDefault="00B75D2A" w:rsidP="00965313">
      <w:pPr>
        <w:pStyle w:val="CETReferencetext"/>
      </w:pPr>
      <w:r w:rsidRPr="00965313">
        <w:t>Cho H. J., Kim S. H., Hong S. W.</w:t>
      </w:r>
      <w:r w:rsidR="00965313">
        <w:t>,</w:t>
      </w:r>
      <w:r w:rsidRPr="00965313">
        <w:t xml:space="preserve"> Yeo Y. K., 2012, A single step non-catalytic esterification of palm fatty acid distillate (PFAD) for biodiesel production, Fuel, 93, 373–380.</w:t>
      </w:r>
    </w:p>
    <w:p w14:paraId="049AB131" w14:textId="72C40CA0" w:rsidR="003A6B32" w:rsidRPr="00965313" w:rsidRDefault="00B75D2A" w:rsidP="00965313">
      <w:pPr>
        <w:pStyle w:val="CETReferencetext"/>
      </w:pPr>
      <w:r w:rsidRPr="00965313">
        <w:t>Farobie O.</w:t>
      </w:r>
      <w:r w:rsidR="00965313">
        <w:t>,</w:t>
      </w:r>
      <w:r w:rsidRPr="00965313">
        <w:t xml:space="preserve"> Matsumura Y., 2017, State of the art of biodiesel production under supercritical conditions, Progress in Energy and Combustion Science, 63, 173–203.</w:t>
      </w:r>
    </w:p>
    <w:p w14:paraId="52166A15" w14:textId="2B14B459" w:rsidR="00B75D2A" w:rsidRPr="00965313" w:rsidRDefault="00B75D2A" w:rsidP="00965313">
      <w:pPr>
        <w:pStyle w:val="CETReferencetext"/>
      </w:pPr>
      <w:r w:rsidRPr="00965313">
        <w:t>Guo S., Guo L., Yin J.</w:t>
      </w:r>
      <w:r w:rsidR="00965313">
        <w:t>,</w:t>
      </w:r>
      <w:r w:rsidRPr="00965313">
        <w:t xml:space="preserve"> Jin H., 2013, Supercritical water gasification of glycerol: Intermediates and kinetics, Journal of Supercritical Fluids, 78, 95–102.</w:t>
      </w:r>
    </w:p>
    <w:p w14:paraId="0DEC7D05" w14:textId="36B90DC2" w:rsidR="00B75D2A" w:rsidRPr="00965313" w:rsidRDefault="00B75D2A" w:rsidP="00965313">
      <w:pPr>
        <w:pStyle w:val="CETReferencetext"/>
      </w:pPr>
      <w:r w:rsidRPr="00965313">
        <w:t>Ortiz F. J.</w:t>
      </w:r>
      <w:r w:rsidR="008F2FCB">
        <w:t xml:space="preserve"> G.</w:t>
      </w:r>
      <w:r w:rsidRPr="00965313">
        <w:t>, Serrera</w:t>
      </w:r>
      <w:r w:rsidR="008F2FCB">
        <w:t xml:space="preserve"> </w:t>
      </w:r>
      <w:r w:rsidR="008F2FCB" w:rsidRPr="00965313">
        <w:t>A.</w:t>
      </w:r>
      <w:r w:rsidRPr="00965313">
        <w:t>, Galera</w:t>
      </w:r>
      <w:r w:rsidR="008F2FCB">
        <w:t xml:space="preserve"> </w:t>
      </w:r>
      <w:r w:rsidR="008F2FCB" w:rsidRPr="00965313">
        <w:t>S.</w:t>
      </w:r>
      <w:r w:rsidRPr="00965313">
        <w:t>, Ollero</w:t>
      </w:r>
      <w:r w:rsidR="008F2FCB">
        <w:t xml:space="preserve"> </w:t>
      </w:r>
      <w:r w:rsidR="008F2FCB" w:rsidRPr="00965313">
        <w:t>P.</w:t>
      </w:r>
      <w:r w:rsidR="0014204F" w:rsidRPr="00965313">
        <w:t>,</w:t>
      </w:r>
      <w:r w:rsidRPr="00965313">
        <w:t xml:space="preserve"> 2013</w:t>
      </w:r>
      <w:r w:rsidR="0014204F" w:rsidRPr="00965313">
        <w:t>,</w:t>
      </w:r>
      <w:r w:rsidRPr="00965313">
        <w:t xml:space="preserve"> Methanol Synthesis from Syngas Obtained by Supercritical Water Reforming of Glycerol</w:t>
      </w:r>
      <w:r w:rsidR="0014204F" w:rsidRPr="00965313">
        <w:t>,</w:t>
      </w:r>
      <w:r w:rsidRPr="00965313">
        <w:t xml:space="preserve"> Fuel </w:t>
      </w:r>
      <w:r w:rsidR="0014204F" w:rsidRPr="00965313">
        <w:t>,</w:t>
      </w:r>
      <w:r w:rsidRPr="00965313">
        <w:t>105</w:t>
      </w:r>
      <w:r w:rsidR="0014204F" w:rsidRPr="00965313">
        <w:t>,</w:t>
      </w:r>
      <w:r w:rsidRPr="00965313">
        <w:t xml:space="preserve"> 739–51.</w:t>
      </w:r>
    </w:p>
    <w:p w14:paraId="3D55652F" w14:textId="5ED41ECD" w:rsidR="00AD2600" w:rsidRPr="00965313" w:rsidRDefault="00AD2600" w:rsidP="00965313">
      <w:pPr>
        <w:pStyle w:val="CETReferencetext"/>
      </w:pPr>
      <w:r w:rsidRPr="00965313">
        <w:t xml:space="preserve">Jin T., Wang B., Zeng J., Yang C., Wang Y., Fang T., 2015, Esterification of free fatty acids with supercritical methanol for biodiesel production and related kinetic stud, RSC Advances, </w:t>
      </w:r>
      <w:r w:rsidR="008F2FCB">
        <w:t>5</w:t>
      </w:r>
      <w:r w:rsidRPr="00965313">
        <w:t xml:space="preserve">, </w:t>
      </w:r>
      <w:r w:rsidR="008F2FCB">
        <w:t>1</w:t>
      </w:r>
      <w:r w:rsidRPr="00965313">
        <w:t>–8.</w:t>
      </w:r>
    </w:p>
    <w:p w14:paraId="2C41E679" w14:textId="1E9C6B07" w:rsidR="00B4506D" w:rsidRPr="00965313" w:rsidRDefault="00B4506D" w:rsidP="00965313">
      <w:pPr>
        <w:pStyle w:val="CETReferencetext"/>
      </w:pPr>
      <w:r w:rsidRPr="00965313">
        <w:t>Knothe G</w:t>
      </w:r>
      <w:r w:rsidR="008F2FCB">
        <w:t>.</w:t>
      </w:r>
      <w:r w:rsidRPr="00965313">
        <w:t>, Gerpen J</w:t>
      </w:r>
      <w:r w:rsidR="008F2FCB">
        <w:t xml:space="preserve">. </w:t>
      </w:r>
      <w:r w:rsidRPr="00965313">
        <w:t>V</w:t>
      </w:r>
      <w:r w:rsidR="008F2FCB">
        <w:t>.</w:t>
      </w:r>
      <w:r w:rsidRPr="00965313">
        <w:t>, Krahl J.</w:t>
      </w:r>
      <w:r w:rsidR="0014204F" w:rsidRPr="00965313">
        <w:t>, 2005,</w:t>
      </w:r>
      <w:r w:rsidRPr="00965313">
        <w:t xml:space="preserve"> The biodiesel handbook. 2nd ed. Champaing: AOCS Press</w:t>
      </w:r>
      <w:r w:rsidR="0014204F" w:rsidRPr="00965313">
        <w:t>.</w:t>
      </w:r>
    </w:p>
    <w:p w14:paraId="40047134" w14:textId="53A305BF" w:rsidR="00AD2600" w:rsidRPr="00965313" w:rsidRDefault="00AD2600" w:rsidP="00965313">
      <w:pPr>
        <w:pStyle w:val="CETReferencetext"/>
      </w:pPr>
      <w:r w:rsidRPr="00965313">
        <w:t>Mäyrä O., Leiviskä K., 2018, Modeling in Methanol Synthesis, Methanol: Science and Engineering, 475–492.</w:t>
      </w:r>
    </w:p>
    <w:p w14:paraId="3AE18991" w14:textId="48F7DBE0" w:rsidR="00C01F38" w:rsidRPr="00965313" w:rsidRDefault="00C01F38" w:rsidP="00965313">
      <w:pPr>
        <w:pStyle w:val="CETReferencetext"/>
      </w:pPr>
      <w:r w:rsidRPr="00965313">
        <w:t>Methanex, 202</w:t>
      </w:r>
      <w:r w:rsidR="00FA454C" w:rsidRPr="00965313">
        <w:t>2</w:t>
      </w:r>
      <w:r w:rsidRPr="00965313">
        <w:t>, &lt;methanex.com/our-business/pricing&gt; accessed 10.01.2022.</w:t>
      </w:r>
    </w:p>
    <w:p w14:paraId="5A85358B" w14:textId="74F93A46" w:rsidR="00AD2600" w:rsidRPr="00965313" w:rsidRDefault="00AD2600" w:rsidP="00965313">
      <w:pPr>
        <w:pStyle w:val="CETReferencetext"/>
      </w:pPr>
      <w:r w:rsidRPr="00965313">
        <w:t xml:space="preserve">Minami E., Saka S., 2006, Kinetics of hydrolysis and methyl esterification for biodiesel production in two-step supercritical methanol process, Fuel, </w:t>
      </w:r>
      <w:r w:rsidR="008F2FCB">
        <w:t>85</w:t>
      </w:r>
      <w:r w:rsidRPr="00965313">
        <w:t>, 2479–2483.</w:t>
      </w:r>
    </w:p>
    <w:p w14:paraId="7F9EC7E4" w14:textId="5331889C" w:rsidR="00AD2600" w:rsidRPr="00965313" w:rsidRDefault="00AD2600" w:rsidP="00965313">
      <w:pPr>
        <w:pStyle w:val="CETReferencetext"/>
      </w:pPr>
      <w:r w:rsidRPr="00965313">
        <w:t>Monteiro M. R., Kugelmeier C. L., Pinheiro R. S., Batalha M. O., César A.</w:t>
      </w:r>
      <w:r w:rsidR="008F2FCB">
        <w:t xml:space="preserve"> S.</w:t>
      </w:r>
      <w:r w:rsidRPr="00965313">
        <w:t xml:space="preserve">, 2018, Glycerol from biodiesel production: Technological paths for sustainability, Renewable and Sustainable Energy Reviews, </w:t>
      </w:r>
      <w:r w:rsidR="008F2FCB">
        <w:t>88</w:t>
      </w:r>
      <w:r w:rsidRPr="00965313">
        <w:t>, 109–122.</w:t>
      </w:r>
    </w:p>
    <w:p w14:paraId="35F0FD6D" w14:textId="1A115FBF" w:rsidR="00C01F38" w:rsidRPr="00965313" w:rsidRDefault="00C01F38" w:rsidP="00965313">
      <w:pPr>
        <w:pStyle w:val="CETReferencetext"/>
      </w:pPr>
      <w:r w:rsidRPr="00965313">
        <w:t>Neste, 202</w:t>
      </w:r>
      <w:r w:rsidR="00FA454C" w:rsidRPr="00965313">
        <w:t>2</w:t>
      </w:r>
      <w:r w:rsidRPr="00965313">
        <w:t xml:space="preserve">, </w:t>
      </w:r>
      <w:r w:rsidR="00FA454C" w:rsidRPr="00965313">
        <w:t>&lt;neste.com/investors/market-data/biodiesel-prices-sme-fame#c52ae609&gt; accessed 10.01.2022</w:t>
      </w:r>
    </w:p>
    <w:p w14:paraId="634B569E" w14:textId="0DDE21F9" w:rsidR="00C01F38" w:rsidRPr="00965313" w:rsidRDefault="00C01F38" w:rsidP="00965313">
      <w:pPr>
        <w:pStyle w:val="CETReferencetext"/>
      </w:pPr>
      <w:r w:rsidRPr="00965313">
        <w:t>Oleoline, 202</w:t>
      </w:r>
      <w:r w:rsidR="00FA454C" w:rsidRPr="00965313">
        <w:t>2</w:t>
      </w:r>
      <w:r w:rsidRPr="00965313">
        <w:t>, Glycerine Market Report &lt;hbint.com/datas/media/6058c0f45e3e8833fb39340b/sample-quarterly-glycerine-2.pdf</w:t>
      </w:r>
      <w:hyperlink r:id="rId12" w:history="1"/>
      <w:r w:rsidRPr="00965313">
        <w:t>&gt; accessed 10.01.2022.</w:t>
      </w:r>
    </w:p>
    <w:p w14:paraId="0A1713BC" w14:textId="2BBAAB87" w:rsidR="00AD2600" w:rsidRPr="00965313" w:rsidRDefault="00AD2600" w:rsidP="00965313">
      <w:pPr>
        <w:pStyle w:val="CETReferencetext"/>
      </w:pPr>
      <w:r w:rsidRPr="00965313">
        <w:t xml:space="preserve">Park S. W., Joo O. S., Jung K. D., Kim H., Han S. H., 2000, ZnO/Cr2O3 Catalyst for Reverse-Water-Gas-Shift Reaction of CAMERE Process, Korean Journal of Chemical Engineering, </w:t>
      </w:r>
      <w:r w:rsidR="008F2FCB">
        <w:t>17</w:t>
      </w:r>
      <w:r w:rsidRPr="00965313">
        <w:t>, 719–722.</w:t>
      </w:r>
    </w:p>
    <w:p w14:paraId="1A7CCED1" w14:textId="11A30CCE" w:rsidR="00EB402C" w:rsidRPr="00EB402C" w:rsidRDefault="00EB402C" w:rsidP="00EB402C">
      <w:pPr>
        <w:pStyle w:val="CETReferencetext"/>
        <w:rPr>
          <w:lang w:val="en-US" w:eastAsia="pt-BR"/>
        </w:rPr>
      </w:pPr>
      <w:r w:rsidRPr="00EB402C">
        <w:rPr>
          <w:lang w:val="en-US" w:eastAsia="pt-BR"/>
        </w:rPr>
        <w:t>Santos J. M., De Sousa G. F. B., Vidotti A. D. S., De Freitas A. C. D., Guirardello R., 2021</w:t>
      </w:r>
      <w:r>
        <w:rPr>
          <w:lang w:val="en-US" w:eastAsia="pt-BR"/>
        </w:rPr>
        <w:t>,</w:t>
      </w:r>
      <w:r w:rsidRPr="00EB402C">
        <w:rPr>
          <w:lang w:val="en-US" w:eastAsia="pt-BR"/>
        </w:rPr>
        <w:t xml:space="preserve"> Optimization of glycerol gasification process in supercritical water using thermodynamic approach</w:t>
      </w:r>
      <w:r>
        <w:rPr>
          <w:lang w:val="en-US" w:eastAsia="pt-BR"/>
        </w:rPr>
        <w:t>,</w:t>
      </w:r>
      <w:r w:rsidRPr="00EB402C">
        <w:rPr>
          <w:lang w:val="en-US" w:eastAsia="pt-BR"/>
        </w:rPr>
        <w:t xml:space="preserve"> Chemical Engineering Transactions, 86, 847–852.</w:t>
      </w:r>
    </w:p>
    <w:p w14:paraId="532D3643" w14:textId="41E72BD4" w:rsidR="00AD2600" w:rsidRPr="00965313" w:rsidRDefault="00AD2600" w:rsidP="00965313">
      <w:pPr>
        <w:pStyle w:val="CETReferencetext"/>
      </w:pPr>
      <w:r w:rsidRPr="00965313">
        <w:t xml:space="preserve">Sawangkeaw R., Bunyakiat K., Ngamprasertsith S., 2010, A review of laboratory-scale research on lipid conversion to biodiesel with supercritical methanol (2001-2009), Journal of Supercritical Fluids, </w:t>
      </w:r>
      <w:r w:rsidR="008F2FCB">
        <w:t>55</w:t>
      </w:r>
      <w:r w:rsidRPr="00965313">
        <w:t>, 1–13.</w:t>
      </w:r>
    </w:p>
    <w:p w14:paraId="3284D049" w14:textId="49676EFB" w:rsidR="00FA454C" w:rsidRPr="00965313" w:rsidRDefault="00FA454C" w:rsidP="00965313">
      <w:pPr>
        <w:pStyle w:val="CETReferencetext"/>
      </w:pPr>
      <w:r w:rsidRPr="00965313">
        <w:t xml:space="preserve">USDA Livestock, </w:t>
      </w:r>
      <w:r w:rsidR="00965313">
        <w:t>Poultry &amp; Grain Market News</w:t>
      </w:r>
      <w:r w:rsidRPr="00965313">
        <w:t>, 2022, National Weekly Ag Energy Round-Up, &lt;ams.usda.gov/mnreports/lswagenergy.pdf&gt; accessed 10.01.2022.</w:t>
      </w:r>
    </w:p>
    <w:p w14:paraId="106CFA02" w14:textId="0C40FA68" w:rsidR="007F62A9" w:rsidRPr="00965313" w:rsidRDefault="00AF5EBE" w:rsidP="007F62A9">
      <w:pPr>
        <w:pStyle w:val="CETReferencetext"/>
      </w:pPr>
      <w:r w:rsidRPr="00C35F5B">
        <w:rPr>
          <w:lang w:val="en-US"/>
        </w:rPr>
        <w:t>Varma M. N., Madras G., 2007</w:t>
      </w:r>
      <w:r w:rsidR="008F2FCB" w:rsidRPr="00C35F5B">
        <w:rPr>
          <w:lang w:val="en-US"/>
        </w:rPr>
        <w:t>,</w:t>
      </w:r>
      <w:r w:rsidRPr="00C35F5B">
        <w:rPr>
          <w:lang w:val="en-US"/>
        </w:rPr>
        <w:t xml:space="preserve"> </w:t>
      </w:r>
      <w:r w:rsidRPr="00965313">
        <w:t xml:space="preserve">Synthesis of biodiesel from castor oil and linseed oil in supercritical fluids, Industrial and Engineering Chemistry Research, </w:t>
      </w:r>
      <w:r w:rsidR="008F2FCB">
        <w:t>46</w:t>
      </w:r>
      <w:r w:rsidRPr="00965313">
        <w:t>, 1–6</w:t>
      </w:r>
      <w:r w:rsidR="00BF3C3F" w:rsidRPr="00965313">
        <w:t>.</w:t>
      </w:r>
    </w:p>
    <w:sectPr w:rsidR="007F62A9" w:rsidRPr="0096531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D016" w14:textId="77777777" w:rsidR="008007EE" w:rsidRDefault="008007EE" w:rsidP="004F5E36">
      <w:r>
        <w:separator/>
      </w:r>
    </w:p>
  </w:endnote>
  <w:endnote w:type="continuationSeparator" w:id="0">
    <w:p w14:paraId="282E019E" w14:textId="77777777" w:rsidR="008007EE" w:rsidRDefault="008007E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81AD" w14:textId="77777777" w:rsidR="008007EE" w:rsidRDefault="008007EE" w:rsidP="004F5E36">
      <w:r>
        <w:separator/>
      </w:r>
    </w:p>
  </w:footnote>
  <w:footnote w:type="continuationSeparator" w:id="0">
    <w:p w14:paraId="29EC3D1A" w14:textId="77777777" w:rsidR="008007EE" w:rsidRDefault="008007E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7D2407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52FB"/>
    <w:rsid w:val="00005717"/>
    <w:rsid w:val="0001010E"/>
    <w:rsid w:val="00011671"/>
    <w:rsid w:val="000117CB"/>
    <w:rsid w:val="00012380"/>
    <w:rsid w:val="00024A03"/>
    <w:rsid w:val="0003148D"/>
    <w:rsid w:val="00031EEC"/>
    <w:rsid w:val="00051566"/>
    <w:rsid w:val="00062A9A"/>
    <w:rsid w:val="00065058"/>
    <w:rsid w:val="00073F6B"/>
    <w:rsid w:val="00077B50"/>
    <w:rsid w:val="00086C39"/>
    <w:rsid w:val="00090B2F"/>
    <w:rsid w:val="000951DD"/>
    <w:rsid w:val="0009736D"/>
    <w:rsid w:val="000A03B2"/>
    <w:rsid w:val="000D0268"/>
    <w:rsid w:val="000D2129"/>
    <w:rsid w:val="000D30E4"/>
    <w:rsid w:val="000D34BE"/>
    <w:rsid w:val="000E102F"/>
    <w:rsid w:val="000E36F1"/>
    <w:rsid w:val="000E3A73"/>
    <w:rsid w:val="000E414A"/>
    <w:rsid w:val="000E7028"/>
    <w:rsid w:val="000F093C"/>
    <w:rsid w:val="000F37AD"/>
    <w:rsid w:val="000F787B"/>
    <w:rsid w:val="000F7B06"/>
    <w:rsid w:val="00107DCF"/>
    <w:rsid w:val="0012091F"/>
    <w:rsid w:val="00126BC2"/>
    <w:rsid w:val="001308B6"/>
    <w:rsid w:val="0013121F"/>
    <w:rsid w:val="00131C50"/>
    <w:rsid w:val="00131FE6"/>
    <w:rsid w:val="0013263F"/>
    <w:rsid w:val="001331DF"/>
    <w:rsid w:val="001348A9"/>
    <w:rsid w:val="00134DE4"/>
    <w:rsid w:val="0014034D"/>
    <w:rsid w:val="0014204F"/>
    <w:rsid w:val="00144D16"/>
    <w:rsid w:val="00150E59"/>
    <w:rsid w:val="00152DE3"/>
    <w:rsid w:val="00157C0C"/>
    <w:rsid w:val="001644C1"/>
    <w:rsid w:val="00164CF9"/>
    <w:rsid w:val="00165ABE"/>
    <w:rsid w:val="001667A6"/>
    <w:rsid w:val="001744E9"/>
    <w:rsid w:val="00181888"/>
    <w:rsid w:val="00183E9C"/>
    <w:rsid w:val="00184AD6"/>
    <w:rsid w:val="00185E9E"/>
    <w:rsid w:val="001A4AF7"/>
    <w:rsid w:val="001A6227"/>
    <w:rsid w:val="001B0349"/>
    <w:rsid w:val="001B1E93"/>
    <w:rsid w:val="001B65C1"/>
    <w:rsid w:val="001C23C3"/>
    <w:rsid w:val="001C684B"/>
    <w:rsid w:val="001D0CFB"/>
    <w:rsid w:val="001D21AF"/>
    <w:rsid w:val="001D53FC"/>
    <w:rsid w:val="001D5DBB"/>
    <w:rsid w:val="001E100A"/>
    <w:rsid w:val="001E59E2"/>
    <w:rsid w:val="001F3E31"/>
    <w:rsid w:val="001F42A5"/>
    <w:rsid w:val="001F7B9D"/>
    <w:rsid w:val="00201C93"/>
    <w:rsid w:val="002224B4"/>
    <w:rsid w:val="00223422"/>
    <w:rsid w:val="00235612"/>
    <w:rsid w:val="002447EF"/>
    <w:rsid w:val="00251550"/>
    <w:rsid w:val="002560C6"/>
    <w:rsid w:val="00263B05"/>
    <w:rsid w:val="0027221A"/>
    <w:rsid w:val="00273275"/>
    <w:rsid w:val="00275B61"/>
    <w:rsid w:val="00276F92"/>
    <w:rsid w:val="00280FAF"/>
    <w:rsid w:val="00282656"/>
    <w:rsid w:val="00292658"/>
    <w:rsid w:val="00296B83"/>
    <w:rsid w:val="00297DBF"/>
    <w:rsid w:val="002B4015"/>
    <w:rsid w:val="002B78CE"/>
    <w:rsid w:val="002C2FB6"/>
    <w:rsid w:val="002E5FA7"/>
    <w:rsid w:val="002F3309"/>
    <w:rsid w:val="002F4CCD"/>
    <w:rsid w:val="003008CE"/>
    <w:rsid w:val="003009B7"/>
    <w:rsid w:val="00300E56"/>
    <w:rsid w:val="0030469C"/>
    <w:rsid w:val="00321CA6"/>
    <w:rsid w:val="00323763"/>
    <w:rsid w:val="003267BC"/>
    <w:rsid w:val="003320C5"/>
    <w:rsid w:val="00334C09"/>
    <w:rsid w:val="00335D4E"/>
    <w:rsid w:val="00356FCA"/>
    <w:rsid w:val="00367690"/>
    <w:rsid w:val="003723D4"/>
    <w:rsid w:val="00373939"/>
    <w:rsid w:val="00381905"/>
    <w:rsid w:val="00381F47"/>
    <w:rsid w:val="00383718"/>
    <w:rsid w:val="00384CC8"/>
    <w:rsid w:val="003871FD"/>
    <w:rsid w:val="003A1E30"/>
    <w:rsid w:val="003A2829"/>
    <w:rsid w:val="003A6AF8"/>
    <w:rsid w:val="003A6B32"/>
    <w:rsid w:val="003A7D1C"/>
    <w:rsid w:val="003B304B"/>
    <w:rsid w:val="003B3146"/>
    <w:rsid w:val="003D547D"/>
    <w:rsid w:val="003F015E"/>
    <w:rsid w:val="003F6A26"/>
    <w:rsid w:val="00400414"/>
    <w:rsid w:val="0041446B"/>
    <w:rsid w:val="0042288B"/>
    <w:rsid w:val="0042626C"/>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2026"/>
    <w:rsid w:val="004C26A5"/>
    <w:rsid w:val="004C3D1D"/>
    <w:rsid w:val="004C7913"/>
    <w:rsid w:val="004D1952"/>
    <w:rsid w:val="004E4DD6"/>
    <w:rsid w:val="004E62C3"/>
    <w:rsid w:val="004F1B47"/>
    <w:rsid w:val="004F2EF6"/>
    <w:rsid w:val="004F5E36"/>
    <w:rsid w:val="004F690F"/>
    <w:rsid w:val="00501B23"/>
    <w:rsid w:val="00507B47"/>
    <w:rsid w:val="00507BEF"/>
    <w:rsid w:val="00507CC9"/>
    <w:rsid w:val="005119A5"/>
    <w:rsid w:val="00521527"/>
    <w:rsid w:val="0052389A"/>
    <w:rsid w:val="00524715"/>
    <w:rsid w:val="005278B7"/>
    <w:rsid w:val="00532016"/>
    <w:rsid w:val="005346C8"/>
    <w:rsid w:val="00536EB8"/>
    <w:rsid w:val="00542C50"/>
    <w:rsid w:val="00543E7D"/>
    <w:rsid w:val="00547A68"/>
    <w:rsid w:val="005531C9"/>
    <w:rsid w:val="005654E7"/>
    <w:rsid w:val="00566A16"/>
    <w:rsid w:val="005676D0"/>
    <w:rsid w:val="00570C43"/>
    <w:rsid w:val="005727E9"/>
    <w:rsid w:val="005736B2"/>
    <w:rsid w:val="00576402"/>
    <w:rsid w:val="0059346E"/>
    <w:rsid w:val="005B2110"/>
    <w:rsid w:val="005B61E6"/>
    <w:rsid w:val="005C77E1"/>
    <w:rsid w:val="005D668A"/>
    <w:rsid w:val="005D6A2F"/>
    <w:rsid w:val="005E1A82"/>
    <w:rsid w:val="005E794C"/>
    <w:rsid w:val="005F0A28"/>
    <w:rsid w:val="005F0E5E"/>
    <w:rsid w:val="00600535"/>
    <w:rsid w:val="00601711"/>
    <w:rsid w:val="006051B3"/>
    <w:rsid w:val="00610CD6"/>
    <w:rsid w:val="00614AEC"/>
    <w:rsid w:val="00620DEE"/>
    <w:rsid w:val="00621F92"/>
    <w:rsid w:val="0062280A"/>
    <w:rsid w:val="00624C2B"/>
    <w:rsid w:val="00625639"/>
    <w:rsid w:val="00631B33"/>
    <w:rsid w:val="0064184D"/>
    <w:rsid w:val="0064220F"/>
    <w:rsid w:val="006422CC"/>
    <w:rsid w:val="00644283"/>
    <w:rsid w:val="00646A39"/>
    <w:rsid w:val="0065655A"/>
    <w:rsid w:val="00660363"/>
    <w:rsid w:val="00660E3E"/>
    <w:rsid w:val="00662E74"/>
    <w:rsid w:val="00680C23"/>
    <w:rsid w:val="0068500A"/>
    <w:rsid w:val="00693766"/>
    <w:rsid w:val="006A3281"/>
    <w:rsid w:val="006B063E"/>
    <w:rsid w:val="006B4888"/>
    <w:rsid w:val="006B5845"/>
    <w:rsid w:val="006C2E45"/>
    <w:rsid w:val="006C359C"/>
    <w:rsid w:val="006C5579"/>
    <w:rsid w:val="006D6E8B"/>
    <w:rsid w:val="006E737D"/>
    <w:rsid w:val="00700913"/>
    <w:rsid w:val="00713973"/>
    <w:rsid w:val="00720A24"/>
    <w:rsid w:val="00724E38"/>
    <w:rsid w:val="00732386"/>
    <w:rsid w:val="00732490"/>
    <w:rsid w:val="0073514D"/>
    <w:rsid w:val="0073705E"/>
    <w:rsid w:val="00741C19"/>
    <w:rsid w:val="00741CB8"/>
    <w:rsid w:val="00742A63"/>
    <w:rsid w:val="007447F3"/>
    <w:rsid w:val="00745F7C"/>
    <w:rsid w:val="00747B63"/>
    <w:rsid w:val="0075499F"/>
    <w:rsid w:val="00754FBF"/>
    <w:rsid w:val="007570DB"/>
    <w:rsid w:val="0075719F"/>
    <w:rsid w:val="00760A98"/>
    <w:rsid w:val="00765D4E"/>
    <w:rsid w:val="007661C8"/>
    <w:rsid w:val="0077098D"/>
    <w:rsid w:val="007763F2"/>
    <w:rsid w:val="007840AE"/>
    <w:rsid w:val="007842D9"/>
    <w:rsid w:val="00790EDD"/>
    <w:rsid w:val="007931FA"/>
    <w:rsid w:val="007A0D89"/>
    <w:rsid w:val="007A4861"/>
    <w:rsid w:val="007A70F3"/>
    <w:rsid w:val="007A7BBA"/>
    <w:rsid w:val="007B0C50"/>
    <w:rsid w:val="007B19C4"/>
    <w:rsid w:val="007B48F9"/>
    <w:rsid w:val="007C1A43"/>
    <w:rsid w:val="007C5B64"/>
    <w:rsid w:val="007E0301"/>
    <w:rsid w:val="007F62A9"/>
    <w:rsid w:val="0080013E"/>
    <w:rsid w:val="008007EE"/>
    <w:rsid w:val="00813288"/>
    <w:rsid w:val="008168FC"/>
    <w:rsid w:val="00830996"/>
    <w:rsid w:val="008311CA"/>
    <w:rsid w:val="008345F1"/>
    <w:rsid w:val="00836394"/>
    <w:rsid w:val="0084000D"/>
    <w:rsid w:val="0084535E"/>
    <w:rsid w:val="00864249"/>
    <w:rsid w:val="0086433E"/>
    <w:rsid w:val="00865B07"/>
    <w:rsid w:val="008667EA"/>
    <w:rsid w:val="00870EAE"/>
    <w:rsid w:val="0087637F"/>
    <w:rsid w:val="00885231"/>
    <w:rsid w:val="00885FF5"/>
    <w:rsid w:val="00892AD5"/>
    <w:rsid w:val="008A1512"/>
    <w:rsid w:val="008D07B2"/>
    <w:rsid w:val="008D1135"/>
    <w:rsid w:val="008D1677"/>
    <w:rsid w:val="008D1EEC"/>
    <w:rsid w:val="008D32B9"/>
    <w:rsid w:val="008D433B"/>
    <w:rsid w:val="008E566E"/>
    <w:rsid w:val="008F2FCB"/>
    <w:rsid w:val="0090161A"/>
    <w:rsid w:val="00901EB6"/>
    <w:rsid w:val="00904C62"/>
    <w:rsid w:val="00911023"/>
    <w:rsid w:val="00911B25"/>
    <w:rsid w:val="00912B3A"/>
    <w:rsid w:val="0091692D"/>
    <w:rsid w:val="00922BA8"/>
    <w:rsid w:val="00922CA3"/>
    <w:rsid w:val="00924DAC"/>
    <w:rsid w:val="00927058"/>
    <w:rsid w:val="009404CF"/>
    <w:rsid w:val="00940E97"/>
    <w:rsid w:val="00941450"/>
    <w:rsid w:val="00942750"/>
    <w:rsid w:val="009442F5"/>
    <w:rsid w:val="009450CE"/>
    <w:rsid w:val="00947179"/>
    <w:rsid w:val="0095164B"/>
    <w:rsid w:val="00952E6C"/>
    <w:rsid w:val="00954090"/>
    <w:rsid w:val="009573E7"/>
    <w:rsid w:val="00963E05"/>
    <w:rsid w:val="00964A45"/>
    <w:rsid w:val="00965313"/>
    <w:rsid w:val="0096571B"/>
    <w:rsid w:val="00967843"/>
    <w:rsid w:val="00967D54"/>
    <w:rsid w:val="00971028"/>
    <w:rsid w:val="00972E8E"/>
    <w:rsid w:val="00987BB8"/>
    <w:rsid w:val="00992336"/>
    <w:rsid w:val="00993B84"/>
    <w:rsid w:val="00996483"/>
    <w:rsid w:val="00996F5A"/>
    <w:rsid w:val="00996F71"/>
    <w:rsid w:val="009A41D6"/>
    <w:rsid w:val="009A4B9F"/>
    <w:rsid w:val="009B041A"/>
    <w:rsid w:val="009B18FE"/>
    <w:rsid w:val="009B65CA"/>
    <w:rsid w:val="009C37C3"/>
    <w:rsid w:val="009C7C86"/>
    <w:rsid w:val="009D2FF7"/>
    <w:rsid w:val="009E7884"/>
    <w:rsid w:val="009E788A"/>
    <w:rsid w:val="009F0E08"/>
    <w:rsid w:val="00A03DE3"/>
    <w:rsid w:val="00A1657A"/>
    <w:rsid w:val="00A1763D"/>
    <w:rsid w:val="00A17CEC"/>
    <w:rsid w:val="00A27EF0"/>
    <w:rsid w:val="00A41A20"/>
    <w:rsid w:val="00A42361"/>
    <w:rsid w:val="00A50B20"/>
    <w:rsid w:val="00A51390"/>
    <w:rsid w:val="00A51D15"/>
    <w:rsid w:val="00A5452D"/>
    <w:rsid w:val="00A60D13"/>
    <w:rsid w:val="00A627E4"/>
    <w:rsid w:val="00A668BA"/>
    <w:rsid w:val="00A72745"/>
    <w:rsid w:val="00A76EFC"/>
    <w:rsid w:val="00A91010"/>
    <w:rsid w:val="00A97F29"/>
    <w:rsid w:val="00AA702E"/>
    <w:rsid w:val="00AB0964"/>
    <w:rsid w:val="00AB5011"/>
    <w:rsid w:val="00AC38FC"/>
    <w:rsid w:val="00AC7368"/>
    <w:rsid w:val="00AD16B9"/>
    <w:rsid w:val="00AD2600"/>
    <w:rsid w:val="00AE30FA"/>
    <w:rsid w:val="00AE377D"/>
    <w:rsid w:val="00AF0EBA"/>
    <w:rsid w:val="00AF41CC"/>
    <w:rsid w:val="00AF5EBE"/>
    <w:rsid w:val="00B01352"/>
    <w:rsid w:val="00B02C8A"/>
    <w:rsid w:val="00B07C77"/>
    <w:rsid w:val="00B17FBD"/>
    <w:rsid w:val="00B315A6"/>
    <w:rsid w:val="00B31813"/>
    <w:rsid w:val="00B33365"/>
    <w:rsid w:val="00B33528"/>
    <w:rsid w:val="00B338A1"/>
    <w:rsid w:val="00B442C1"/>
    <w:rsid w:val="00B44C52"/>
    <w:rsid w:val="00B4506D"/>
    <w:rsid w:val="00B525CF"/>
    <w:rsid w:val="00B57B36"/>
    <w:rsid w:val="00B57E6F"/>
    <w:rsid w:val="00B72209"/>
    <w:rsid w:val="00B75D2A"/>
    <w:rsid w:val="00B8686D"/>
    <w:rsid w:val="00B91290"/>
    <w:rsid w:val="00B93F69"/>
    <w:rsid w:val="00BA13B4"/>
    <w:rsid w:val="00BA26F3"/>
    <w:rsid w:val="00BA765C"/>
    <w:rsid w:val="00BB1DDC"/>
    <w:rsid w:val="00BC30C9"/>
    <w:rsid w:val="00BD077D"/>
    <w:rsid w:val="00BD1072"/>
    <w:rsid w:val="00BE3E58"/>
    <w:rsid w:val="00BE44C8"/>
    <w:rsid w:val="00BE5913"/>
    <w:rsid w:val="00BF3C3F"/>
    <w:rsid w:val="00C0046C"/>
    <w:rsid w:val="00C01616"/>
    <w:rsid w:val="00C0162B"/>
    <w:rsid w:val="00C01F38"/>
    <w:rsid w:val="00C068ED"/>
    <w:rsid w:val="00C15E0A"/>
    <w:rsid w:val="00C22E0C"/>
    <w:rsid w:val="00C345B1"/>
    <w:rsid w:val="00C35F5B"/>
    <w:rsid w:val="00C40142"/>
    <w:rsid w:val="00C452A6"/>
    <w:rsid w:val="00C52C3C"/>
    <w:rsid w:val="00C57182"/>
    <w:rsid w:val="00C57863"/>
    <w:rsid w:val="00C63A34"/>
    <w:rsid w:val="00C655FD"/>
    <w:rsid w:val="00C75407"/>
    <w:rsid w:val="00C870A8"/>
    <w:rsid w:val="00C94434"/>
    <w:rsid w:val="00C9618C"/>
    <w:rsid w:val="00CA0D75"/>
    <w:rsid w:val="00CA1C95"/>
    <w:rsid w:val="00CA5A9C"/>
    <w:rsid w:val="00CB0126"/>
    <w:rsid w:val="00CC09B1"/>
    <w:rsid w:val="00CC4C20"/>
    <w:rsid w:val="00CD3517"/>
    <w:rsid w:val="00CD5FE2"/>
    <w:rsid w:val="00CE383C"/>
    <w:rsid w:val="00CE753C"/>
    <w:rsid w:val="00CE7C68"/>
    <w:rsid w:val="00D0286D"/>
    <w:rsid w:val="00D02B4C"/>
    <w:rsid w:val="00D040C4"/>
    <w:rsid w:val="00D164B6"/>
    <w:rsid w:val="00D21876"/>
    <w:rsid w:val="00D24527"/>
    <w:rsid w:val="00D46B7E"/>
    <w:rsid w:val="00D47B02"/>
    <w:rsid w:val="00D5667F"/>
    <w:rsid w:val="00D57C84"/>
    <w:rsid w:val="00D6057D"/>
    <w:rsid w:val="00D62635"/>
    <w:rsid w:val="00D71640"/>
    <w:rsid w:val="00D836C5"/>
    <w:rsid w:val="00D84576"/>
    <w:rsid w:val="00D85884"/>
    <w:rsid w:val="00D85A20"/>
    <w:rsid w:val="00D86ED6"/>
    <w:rsid w:val="00DA1399"/>
    <w:rsid w:val="00DA24C6"/>
    <w:rsid w:val="00DA4D7B"/>
    <w:rsid w:val="00DB3CA4"/>
    <w:rsid w:val="00DC16AC"/>
    <w:rsid w:val="00DD4ECB"/>
    <w:rsid w:val="00DD61B0"/>
    <w:rsid w:val="00DD7E4E"/>
    <w:rsid w:val="00DE264A"/>
    <w:rsid w:val="00DF5072"/>
    <w:rsid w:val="00E02D18"/>
    <w:rsid w:val="00E03026"/>
    <w:rsid w:val="00E041E7"/>
    <w:rsid w:val="00E109C8"/>
    <w:rsid w:val="00E12D42"/>
    <w:rsid w:val="00E227D7"/>
    <w:rsid w:val="00E23CA1"/>
    <w:rsid w:val="00E25487"/>
    <w:rsid w:val="00E33BD1"/>
    <w:rsid w:val="00E3572C"/>
    <w:rsid w:val="00E35818"/>
    <w:rsid w:val="00E409A8"/>
    <w:rsid w:val="00E50C12"/>
    <w:rsid w:val="00E65B91"/>
    <w:rsid w:val="00E7209D"/>
    <w:rsid w:val="00E72EAD"/>
    <w:rsid w:val="00E76116"/>
    <w:rsid w:val="00E77223"/>
    <w:rsid w:val="00E83FF4"/>
    <w:rsid w:val="00E8528B"/>
    <w:rsid w:val="00E85B94"/>
    <w:rsid w:val="00E93EC3"/>
    <w:rsid w:val="00E978D0"/>
    <w:rsid w:val="00EA4613"/>
    <w:rsid w:val="00EA6766"/>
    <w:rsid w:val="00EA7F91"/>
    <w:rsid w:val="00EB1523"/>
    <w:rsid w:val="00EB402C"/>
    <w:rsid w:val="00EC0E49"/>
    <w:rsid w:val="00EC101F"/>
    <w:rsid w:val="00EC1D9F"/>
    <w:rsid w:val="00EC3407"/>
    <w:rsid w:val="00ED773D"/>
    <w:rsid w:val="00EE0131"/>
    <w:rsid w:val="00EE17B0"/>
    <w:rsid w:val="00EF06D9"/>
    <w:rsid w:val="00EF7012"/>
    <w:rsid w:val="00F235B9"/>
    <w:rsid w:val="00F30C64"/>
    <w:rsid w:val="00F32BA2"/>
    <w:rsid w:val="00F32CDB"/>
    <w:rsid w:val="00F33CA4"/>
    <w:rsid w:val="00F35BB1"/>
    <w:rsid w:val="00F40297"/>
    <w:rsid w:val="00F42909"/>
    <w:rsid w:val="00F448FB"/>
    <w:rsid w:val="00F565FE"/>
    <w:rsid w:val="00F63A70"/>
    <w:rsid w:val="00F705B7"/>
    <w:rsid w:val="00F7534E"/>
    <w:rsid w:val="00F84194"/>
    <w:rsid w:val="00F957EA"/>
    <w:rsid w:val="00FA1802"/>
    <w:rsid w:val="00FA21D0"/>
    <w:rsid w:val="00FA454C"/>
    <w:rsid w:val="00FA5F5F"/>
    <w:rsid w:val="00FB2AB3"/>
    <w:rsid w:val="00FB730C"/>
    <w:rsid w:val="00FC2695"/>
    <w:rsid w:val="00FC3E03"/>
    <w:rsid w:val="00FC3FC1"/>
    <w:rsid w:val="00FC549D"/>
    <w:rsid w:val="00FE1EC6"/>
    <w:rsid w:val="00FE2878"/>
    <w:rsid w:val="00FE365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11671"/>
    <w:pPr>
      <w:keepNext/>
      <w:suppressAutoHyphens/>
      <w:spacing w:before="120" w:after="0" w:line="240" w:lineRule="auto"/>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11671"/>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argrafodaLista">
    <w:name w:val="List Paragraph"/>
    <w:basedOn w:val="Normal"/>
    <w:uiPriority w:val="34"/>
    <w:rsid w:val="00280FAF"/>
    <w:pPr>
      <w:ind w:left="720"/>
      <w:contextualSpacing/>
    </w:pPr>
  </w:style>
  <w:style w:type="character" w:styleId="MenoPendente">
    <w:name w:val="Unresolved Mention"/>
    <w:basedOn w:val="Fontepargpadro"/>
    <w:uiPriority w:val="99"/>
    <w:semiHidden/>
    <w:unhideWhenUsed/>
    <w:rsid w:val="0032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1502">
      <w:bodyDiv w:val="1"/>
      <w:marLeft w:val="0"/>
      <w:marRight w:val="0"/>
      <w:marTop w:val="0"/>
      <w:marBottom w:val="0"/>
      <w:divBdr>
        <w:top w:val="none" w:sz="0" w:space="0" w:color="auto"/>
        <w:left w:val="none" w:sz="0" w:space="0" w:color="auto"/>
        <w:bottom w:val="none" w:sz="0" w:space="0" w:color="auto"/>
        <w:right w:val="none" w:sz="0" w:space="0" w:color="auto"/>
      </w:divBdr>
    </w:div>
    <w:div w:id="674503685">
      <w:bodyDiv w:val="1"/>
      <w:marLeft w:val="0"/>
      <w:marRight w:val="0"/>
      <w:marTop w:val="0"/>
      <w:marBottom w:val="0"/>
      <w:divBdr>
        <w:top w:val="none" w:sz="0" w:space="0" w:color="auto"/>
        <w:left w:val="none" w:sz="0" w:space="0" w:color="auto"/>
        <w:bottom w:val="none" w:sz="0" w:space="0" w:color="auto"/>
        <w:right w:val="none" w:sz="0" w:space="0" w:color="auto"/>
      </w:divBdr>
    </w:div>
    <w:div w:id="7707347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8986">
      <w:bodyDiv w:val="1"/>
      <w:marLeft w:val="0"/>
      <w:marRight w:val="0"/>
      <w:marTop w:val="0"/>
      <w:marBottom w:val="0"/>
      <w:divBdr>
        <w:top w:val="none" w:sz="0" w:space="0" w:color="auto"/>
        <w:left w:val="none" w:sz="0" w:space="0" w:color="auto"/>
        <w:bottom w:val="none" w:sz="0" w:space="0" w:color="auto"/>
        <w:right w:val="none" w:sz="0" w:space="0" w:color="auto"/>
      </w:divBdr>
    </w:div>
    <w:div w:id="812065273">
      <w:bodyDiv w:val="1"/>
      <w:marLeft w:val="0"/>
      <w:marRight w:val="0"/>
      <w:marTop w:val="0"/>
      <w:marBottom w:val="0"/>
      <w:divBdr>
        <w:top w:val="none" w:sz="0" w:space="0" w:color="auto"/>
        <w:left w:val="none" w:sz="0" w:space="0" w:color="auto"/>
        <w:bottom w:val="none" w:sz="0" w:space="0" w:color="auto"/>
        <w:right w:val="none" w:sz="0" w:space="0" w:color="auto"/>
      </w:divBdr>
    </w:div>
    <w:div w:id="848954250">
      <w:bodyDiv w:val="1"/>
      <w:marLeft w:val="0"/>
      <w:marRight w:val="0"/>
      <w:marTop w:val="0"/>
      <w:marBottom w:val="0"/>
      <w:divBdr>
        <w:top w:val="none" w:sz="0" w:space="0" w:color="auto"/>
        <w:left w:val="none" w:sz="0" w:space="0" w:color="auto"/>
        <w:bottom w:val="none" w:sz="0" w:space="0" w:color="auto"/>
        <w:right w:val="none" w:sz="0" w:space="0" w:color="auto"/>
      </w:divBdr>
    </w:div>
    <w:div w:id="8630597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38655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0190">
      <w:bodyDiv w:val="1"/>
      <w:marLeft w:val="0"/>
      <w:marRight w:val="0"/>
      <w:marTop w:val="0"/>
      <w:marBottom w:val="0"/>
      <w:divBdr>
        <w:top w:val="none" w:sz="0" w:space="0" w:color="auto"/>
        <w:left w:val="none" w:sz="0" w:space="0" w:color="auto"/>
        <w:bottom w:val="none" w:sz="0" w:space="0" w:color="auto"/>
        <w:right w:val="none" w:sz="0" w:space="0" w:color="auto"/>
      </w:divBdr>
    </w:div>
    <w:div w:id="1097872018">
      <w:bodyDiv w:val="1"/>
      <w:marLeft w:val="0"/>
      <w:marRight w:val="0"/>
      <w:marTop w:val="0"/>
      <w:marBottom w:val="0"/>
      <w:divBdr>
        <w:top w:val="none" w:sz="0" w:space="0" w:color="auto"/>
        <w:left w:val="none" w:sz="0" w:space="0" w:color="auto"/>
        <w:bottom w:val="none" w:sz="0" w:space="0" w:color="auto"/>
        <w:right w:val="none" w:sz="0" w:space="0" w:color="auto"/>
      </w:divBdr>
    </w:div>
    <w:div w:id="1126509546">
      <w:bodyDiv w:val="1"/>
      <w:marLeft w:val="0"/>
      <w:marRight w:val="0"/>
      <w:marTop w:val="0"/>
      <w:marBottom w:val="0"/>
      <w:divBdr>
        <w:top w:val="none" w:sz="0" w:space="0" w:color="auto"/>
        <w:left w:val="none" w:sz="0" w:space="0" w:color="auto"/>
        <w:bottom w:val="none" w:sz="0" w:space="0" w:color="auto"/>
        <w:right w:val="none" w:sz="0" w:space="0" w:color="auto"/>
      </w:divBdr>
    </w:div>
    <w:div w:id="1145856494">
      <w:bodyDiv w:val="1"/>
      <w:marLeft w:val="0"/>
      <w:marRight w:val="0"/>
      <w:marTop w:val="0"/>
      <w:marBottom w:val="0"/>
      <w:divBdr>
        <w:top w:val="none" w:sz="0" w:space="0" w:color="auto"/>
        <w:left w:val="none" w:sz="0" w:space="0" w:color="auto"/>
        <w:bottom w:val="none" w:sz="0" w:space="0" w:color="auto"/>
        <w:right w:val="none" w:sz="0" w:space="0" w:color="auto"/>
      </w:divBdr>
    </w:div>
    <w:div w:id="1267931053">
      <w:bodyDiv w:val="1"/>
      <w:marLeft w:val="0"/>
      <w:marRight w:val="0"/>
      <w:marTop w:val="0"/>
      <w:marBottom w:val="0"/>
      <w:divBdr>
        <w:top w:val="none" w:sz="0" w:space="0" w:color="auto"/>
        <w:left w:val="none" w:sz="0" w:space="0" w:color="auto"/>
        <w:bottom w:val="none" w:sz="0" w:space="0" w:color="auto"/>
        <w:right w:val="none" w:sz="0" w:space="0" w:color="auto"/>
      </w:divBdr>
    </w:div>
    <w:div w:id="132600644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718">
      <w:bodyDiv w:val="1"/>
      <w:marLeft w:val="0"/>
      <w:marRight w:val="0"/>
      <w:marTop w:val="0"/>
      <w:marBottom w:val="0"/>
      <w:divBdr>
        <w:top w:val="none" w:sz="0" w:space="0" w:color="auto"/>
        <w:left w:val="none" w:sz="0" w:space="0" w:color="auto"/>
        <w:bottom w:val="none" w:sz="0" w:space="0" w:color="auto"/>
        <w:right w:val="none" w:sz="0" w:space="0" w:color="auto"/>
      </w:divBdr>
    </w:div>
    <w:div w:id="1985432255">
      <w:bodyDiv w:val="1"/>
      <w:marLeft w:val="0"/>
      <w:marRight w:val="0"/>
      <w:marTop w:val="0"/>
      <w:marBottom w:val="0"/>
      <w:divBdr>
        <w:top w:val="none" w:sz="0" w:space="0" w:color="auto"/>
        <w:left w:val="none" w:sz="0" w:space="0" w:color="auto"/>
        <w:bottom w:val="none" w:sz="0" w:space="0" w:color="auto"/>
        <w:right w:val="none" w:sz="0" w:space="0" w:color="auto"/>
      </w:divBdr>
    </w:div>
    <w:div w:id="2062439481">
      <w:bodyDiv w:val="1"/>
      <w:marLeft w:val="0"/>
      <w:marRight w:val="0"/>
      <w:marTop w:val="0"/>
      <w:marBottom w:val="0"/>
      <w:divBdr>
        <w:top w:val="none" w:sz="0" w:space="0" w:color="auto"/>
        <w:left w:val="none" w:sz="0" w:space="0" w:color="auto"/>
        <w:bottom w:val="none" w:sz="0" w:space="0" w:color="auto"/>
        <w:right w:val="none" w:sz="0" w:space="0" w:color="auto"/>
      </w:divBdr>
    </w:div>
    <w:div w:id="212155971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8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bint.com/datas/media/6058c0f45e3e8833fb39340b/sample-quarterly-glycerine-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9775</Words>
  <Characters>52790</Characters>
  <Application>Microsoft Office Word</Application>
  <DocSecurity>0</DocSecurity>
  <Lines>439</Lines>
  <Paragraphs>124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Bruna Ricetti Margarida</cp:lastModifiedBy>
  <cp:revision>16</cp:revision>
  <cp:lastPrinted>2015-05-12T18:31:00Z</cp:lastPrinted>
  <dcterms:created xsi:type="dcterms:W3CDTF">2022-03-23T20:58:00Z</dcterms:created>
  <dcterms:modified xsi:type="dcterms:W3CDTF">2022-03-28T21:13:00Z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17594b0b-befd-30c3-b204-d87b111fb55b</vt:lpwstr>
  </property>
  <property fmtid="{D5CDD505-2E9C-101B-9397-08002B2CF9AE}" pid="26" name="Mendeley Citation Style_1">
    <vt:lpwstr>http://www.zotero.org/styles/harvard1</vt:lpwstr>
  </property>
</Properties>
</file>