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65D5BBBB"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D46B7E">
              <w:rPr>
                <w:rFonts w:cs="Arial"/>
                <w:b/>
                <w:bCs/>
                <w:i/>
                <w:iCs/>
                <w:color w:val="000066"/>
                <w:sz w:val="22"/>
                <w:szCs w:val="22"/>
                <w:lang w:eastAsia="it-IT"/>
              </w:rPr>
              <w:t>9</w:t>
            </w:r>
            <w:r w:rsidR="001D21AF">
              <w:rPr>
                <w:rFonts w:cs="Arial"/>
                <w:b/>
                <w:bCs/>
                <w:i/>
                <w:iCs/>
                <w:color w:val="000066"/>
                <w:sz w:val="22"/>
                <w:szCs w:val="22"/>
                <w:lang w:eastAsia="it-IT"/>
              </w:rPr>
              <w:t>2</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20</w:t>
            </w:r>
            <w:r w:rsidR="00DF5072">
              <w:rPr>
                <w:rFonts w:cs="Arial"/>
                <w:b/>
                <w:bCs/>
                <w:i/>
                <w:iCs/>
                <w:color w:val="000066"/>
                <w:sz w:val="22"/>
                <w:szCs w:val="22"/>
                <w:lang w:eastAsia="it-IT"/>
              </w:rPr>
              <w:t>2</w:t>
            </w:r>
            <w:r w:rsidR="007B48F9">
              <w:rPr>
                <w:rFonts w:cs="Arial"/>
                <w:b/>
                <w:bCs/>
                <w:i/>
                <w:iCs/>
                <w:color w:val="000066"/>
                <w:sz w:val="22"/>
                <w:szCs w:val="22"/>
                <w:lang w:eastAsia="it-IT"/>
              </w:rPr>
              <w:t>2</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4B0BB442" w14:textId="14967F0F" w:rsidR="00300E56" w:rsidRPr="0044071E" w:rsidRDefault="00300E56" w:rsidP="00B57E6F">
            <w:pPr>
              <w:ind w:left="-107"/>
              <w:outlineLvl w:val="2"/>
              <w:rPr>
                <w:rFonts w:ascii="Tahoma" w:hAnsi="Tahoma" w:cs="Tahoma"/>
                <w:bCs/>
                <w:color w:val="000000"/>
                <w:sz w:val="14"/>
                <w:szCs w:val="14"/>
                <w:lang w:val="it-IT" w:eastAsia="it-IT"/>
              </w:rPr>
            </w:pPr>
            <w:r w:rsidRPr="0044071E">
              <w:rPr>
                <w:rFonts w:ascii="Tahoma" w:hAnsi="Tahoma" w:cs="Tahoma"/>
                <w:iCs/>
                <w:color w:val="333333"/>
                <w:sz w:val="14"/>
                <w:szCs w:val="14"/>
                <w:lang w:val="it-IT" w:eastAsia="it-IT"/>
              </w:rPr>
              <w:t>Guest Editors:</w:t>
            </w:r>
            <w:r w:rsidR="001D21AF" w:rsidRPr="0044071E">
              <w:rPr>
                <w:rFonts w:ascii="Tahoma" w:hAnsi="Tahoma" w:cs="Tahoma"/>
                <w:color w:val="000000"/>
                <w:sz w:val="14"/>
                <w:szCs w:val="14"/>
                <w:shd w:val="clear" w:color="auto" w:fill="FFFFFF"/>
                <w:lang w:val="it-IT"/>
              </w:rPr>
              <w:t xml:space="preserve"> Rubens Maciel Filho</w:t>
            </w:r>
            <w:r w:rsidR="00964A45">
              <w:rPr>
                <w:rFonts w:ascii="Tahoma" w:hAnsi="Tahoma" w:cs="Tahoma"/>
                <w:color w:val="000000"/>
                <w:sz w:val="14"/>
                <w:szCs w:val="14"/>
                <w:shd w:val="clear" w:color="auto" w:fill="FFFFFF"/>
                <w:lang w:val="it-IT"/>
              </w:rPr>
              <w:t>,</w:t>
            </w:r>
            <w:r w:rsidR="00964A45" w:rsidRPr="0044071E">
              <w:rPr>
                <w:rFonts w:ascii="Tahoma" w:hAnsi="Tahoma" w:cs="Tahoma"/>
                <w:color w:val="000000"/>
                <w:sz w:val="14"/>
                <w:szCs w:val="14"/>
                <w:shd w:val="clear" w:color="auto" w:fill="FFFFFF"/>
                <w:lang w:val="it-IT"/>
              </w:rPr>
              <w:t xml:space="preserve"> Eliseo Ranzi</w:t>
            </w:r>
            <w:r w:rsidR="00964A45">
              <w:rPr>
                <w:rFonts w:ascii="Tahoma" w:hAnsi="Tahoma" w:cs="Tahoma"/>
                <w:color w:val="000000"/>
                <w:sz w:val="14"/>
                <w:szCs w:val="14"/>
                <w:shd w:val="clear" w:color="auto" w:fill="FFFFFF"/>
                <w:lang w:val="it-IT"/>
              </w:rPr>
              <w:t>, Leonardo Tognotti</w:t>
            </w:r>
          </w:p>
          <w:p w14:paraId="1B0F1814" w14:textId="4A78A049" w:rsidR="000A03B2" w:rsidRPr="00B57B36" w:rsidRDefault="00FA5F5F" w:rsidP="001D21AF">
            <w:pPr>
              <w:tabs>
                <w:tab w:val="left" w:pos="-108"/>
              </w:tabs>
              <w:spacing w:line="140" w:lineRule="atLeast"/>
              <w:ind w:left="-107"/>
              <w:jc w:val="left"/>
            </w:pPr>
            <w:r>
              <w:rPr>
                <w:rFonts w:ascii="Tahoma" w:hAnsi="Tahoma" w:cs="Tahoma"/>
                <w:iCs/>
                <w:color w:val="333333"/>
                <w:sz w:val="14"/>
                <w:szCs w:val="14"/>
                <w:lang w:eastAsia="it-IT"/>
              </w:rPr>
              <w:t>Copyright © 20</w:t>
            </w:r>
            <w:r w:rsidR="00DF5072">
              <w:rPr>
                <w:rFonts w:ascii="Tahoma" w:hAnsi="Tahoma" w:cs="Tahoma"/>
                <w:iCs/>
                <w:color w:val="333333"/>
                <w:sz w:val="14"/>
                <w:szCs w:val="14"/>
                <w:lang w:eastAsia="it-IT"/>
              </w:rPr>
              <w:t>2</w:t>
            </w:r>
            <w:r w:rsidR="00E72EAD">
              <w:rPr>
                <w:rFonts w:ascii="Tahoma" w:hAnsi="Tahoma" w:cs="Tahoma"/>
                <w:iCs/>
                <w:color w:val="333333"/>
                <w:sz w:val="14"/>
                <w:szCs w:val="14"/>
                <w:lang w:eastAsia="it-IT"/>
              </w:rPr>
              <w:t>2</w:t>
            </w:r>
            <w:r w:rsidR="00904C62" w:rsidRPr="00B57B36">
              <w:rPr>
                <w:rFonts w:ascii="Tahoma" w:hAnsi="Tahoma" w:cs="Tahoma"/>
                <w:iCs/>
                <w:color w:val="333333"/>
                <w:sz w:val="14"/>
                <w:szCs w:val="14"/>
                <w:lang w:eastAsia="it-IT"/>
              </w:rPr>
              <w:t>, AIDIC Servizi S.r.l.</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D32B9">
              <w:rPr>
                <w:rFonts w:ascii="Tahoma" w:hAnsi="Tahoma" w:cs="Tahoma"/>
                <w:sz w:val="14"/>
                <w:szCs w:val="14"/>
              </w:rPr>
              <w:t>978-88-</w:t>
            </w:r>
            <w:r w:rsidR="008D32B9" w:rsidRPr="00EF06D9">
              <w:rPr>
                <w:rFonts w:ascii="Tahoma" w:hAnsi="Tahoma" w:cs="Tahoma"/>
                <w:sz w:val="14"/>
                <w:szCs w:val="14"/>
              </w:rPr>
              <w:t>95608</w:t>
            </w:r>
            <w:r w:rsidR="00D46B7E">
              <w:rPr>
                <w:rFonts w:ascii="Tahoma" w:hAnsi="Tahoma" w:cs="Tahoma"/>
                <w:sz w:val="14"/>
                <w:szCs w:val="14"/>
              </w:rPr>
              <w:t>-</w:t>
            </w:r>
            <w:r w:rsidR="001D21AF">
              <w:rPr>
                <w:rFonts w:ascii="Tahoma" w:hAnsi="Tahoma" w:cs="Tahoma"/>
                <w:sz w:val="14"/>
                <w:szCs w:val="14"/>
              </w:rPr>
              <w:t>90</w:t>
            </w:r>
            <w:r w:rsidR="00D46B7E">
              <w:rPr>
                <w:rFonts w:ascii="Tahoma" w:hAnsi="Tahoma" w:cs="Tahoma"/>
                <w:sz w:val="14"/>
                <w:szCs w:val="14"/>
              </w:rPr>
              <w:t>-</w:t>
            </w:r>
            <w:r w:rsidR="001D21AF">
              <w:rPr>
                <w:rFonts w:ascii="Tahoma" w:hAnsi="Tahoma" w:cs="Tahoma"/>
                <w:sz w:val="14"/>
                <w:szCs w:val="14"/>
              </w:rPr>
              <w:t>7</w:t>
            </w:r>
            <w:r w:rsidR="007B48F9" w:rsidRPr="00EF06D9">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10DAA130" w14:textId="77777777" w:rsidR="000A03B2" w:rsidRPr="00B57B36" w:rsidRDefault="000A03B2" w:rsidP="000A03B2">
      <w:pPr>
        <w:pStyle w:val="CETAuthors"/>
        <w:sectPr w:rsidR="000A03B2" w:rsidRPr="00B57B36" w:rsidSect="00CD5FE2">
          <w:type w:val="continuous"/>
          <w:pgSz w:w="11906" w:h="16838" w:code="9"/>
          <w:pgMar w:top="1701" w:right="1418" w:bottom="1701" w:left="1701" w:header="1701" w:footer="0" w:gutter="0"/>
          <w:cols w:space="708"/>
          <w:titlePg/>
          <w:docGrid w:linePitch="360"/>
        </w:sectPr>
      </w:pPr>
    </w:p>
    <w:p w14:paraId="2E667253" w14:textId="739A1133" w:rsidR="00E978D0" w:rsidRPr="00B57B36" w:rsidRDefault="00F2409D" w:rsidP="00E978D0">
      <w:pPr>
        <w:pStyle w:val="CETTitle"/>
      </w:pPr>
      <w:r w:rsidRPr="00F2409D">
        <w:t>An experimental investigation on the effect of exhaust gas recirculation in a small-scale fixed bed biomass boiler</w:t>
      </w:r>
    </w:p>
    <w:p w14:paraId="0488FED2" w14:textId="441785E0" w:rsidR="00B57E6F" w:rsidRPr="00F2409D" w:rsidRDefault="00AE3B72" w:rsidP="00B57E6F">
      <w:pPr>
        <w:pStyle w:val="CETAuthors"/>
        <w:rPr>
          <w:lang w:val="it-IT"/>
        </w:rPr>
      </w:pPr>
      <w:r w:rsidRPr="00F2409D">
        <w:rPr>
          <w:lang w:val="it-IT"/>
        </w:rPr>
        <w:t>Gianluca</w:t>
      </w:r>
      <w:r w:rsidR="00D1523F" w:rsidRPr="00F2409D">
        <w:rPr>
          <w:lang w:val="it-IT"/>
        </w:rPr>
        <w:t xml:space="preserve"> Caposciutti</w:t>
      </w:r>
      <w:r w:rsidR="00B57E6F" w:rsidRPr="00F2409D">
        <w:rPr>
          <w:vertAlign w:val="superscript"/>
          <w:lang w:val="it-IT"/>
        </w:rPr>
        <w:t>a</w:t>
      </w:r>
      <w:r w:rsidR="00B57E6F" w:rsidRPr="00F2409D">
        <w:rPr>
          <w:lang w:val="it-IT"/>
        </w:rPr>
        <w:t xml:space="preserve">, </w:t>
      </w:r>
      <w:r w:rsidR="00D1523F" w:rsidRPr="00F2409D">
        <w:rPr>
          <w:lang w:val="it-IT"/>
        </w:rPr>
        <w:t>Marco Antonelli</w:t>
      </w:r>
      <w:r w:rsidR="005D5D94" w:rsidRPr="00F2409D">
        <w:rPr>
          <w:vertAlign w:val="superscript"/>
          <w:lang w:val="it-IT"/>
        </w:rPr>
        <w:t>a</w:t>
      </w:r>
      <w:r w:rsidR="00B57E6F" w:rsidRPr="00F2409D">
        <w:rPr>
          <w:lang w:val="it-IT"/>
        </w:rPr>
        <w:t xml:space="preserve">, </w:t>
      </w:r>
      <w:r w:rsidR="005D5D94" w:rsidRPr="00F2409D">
        <w:rPr>
          <w:lang w:val="it-IT"/>
        </w:rPr>
        <w:t>Federica Barontini</w:t>
      </w:r>
      <w:r w:rsidR="005D5D94" w:rsidRPr="00F2409D">
        <w:rPr>
          <w:vertAlign w:val="superscript"/>
          <w:lang w:val="it-IT"/>
        </w:rPr>
        <w:t>b,</w:t>
      </w:r>
      <w:r w:rsidR="005D5D94" w:rsidRPr="00F2409D">
        <w:rPr>
          <w:lang w:val="it-IT"/>
        </w:rPr>
        <w:t>*, Chiara Galletti</w:t>
      </w:r>
      <w:r w:rsidR="005D5D94" w:rsidRPr="00F2409D">
        <w:rPr>
          <w:vertAlign w:val="superscript"/>
          <w:lang w:val="it-IT"/>
        </w:rPr>
        <w:t>b</w:t>
      </w:r>
      <w:r w:rsidR="005D5D94" w:rsidRPr="00F2409D">
        <w:rPr>
          <w:lang w:val="it-IT"/>
        </w:rPr>
        <w:t>, Leonardo Tognotti</w:t>
      </w:r>
      <w:r w:rsidR="005D5D94" w:rsidRPr="00F2409D">
        <w:rPr>
          <w:vertAlign w:val="superscript"/>
          <w:lang w:val="it-IT"/>
        </w:rPr>
        <w:t>b</w:t>
      </w:r>
      <w:r w:rsidR="005D5D94" w:rsidRPr="00F2409D">
        <w:rPr>
          <w:lang w:val="it-IT"/>
        </w:rPr>
        <w:t>, Umberto Desideri</w:t>
      </w:r>
      <w:r w:rsidR="005D5D94" w:rsidRPr="00F2409D">
        <w:rPr>
          <w:vertAlign w:val="superscript"/>
          <w:lang w:val="it-IT"/>
        </w:rPr>
        <w:t>a</w:t>
      </w:r>
    </w:p>
    <w:p w14:paraId="6B2D21B3" w14:textId="3E3C6DA3" w:rsidR="00B57E6F" w:rsidRPr="00BD1F23" w:rsidRDefault="00B57E6F" w:rsidP="00B57E6F">
      <w:pPr>
        <w:pStyle w:val="CETAddress"/>
        <w:rPr>
          <w:lang w:val="it-IT"/>
        </w:rPr>
      </w:pPr>
      <w:r w:rsidRPr="00BD1F23">
        <w:rPr>
          <w:vertAlign w:val="superscript"/>
          <w:lang w:val="it-IT"/>
        </w:rPr>
        <w:t>a</w:t>
      </w:r>
      <w:r w:rsidR="00BD1F23" w:rsidRPr="00BD1F23">
        <w:rPr>
          <w:lang w:val="it-IT"/>
        </w:rPr>
        <w:t xml:space="preserve"> Dipartimento di Ingegneria dell'Energia, dei Sistemi, del Territorio e delle Costruzioni, Università di Pisa, Largo Lucio Lazzarino 2, 56122 Pisa, Italy</w:t>
      </w:r>
      <w:r w:rsidRPr="00BD1F23">
        <w:rPr>
          <w:lang w:val="it-IT"/>
        </w:rPr>
        <w:t xml:space="preserve"> </w:t>
      </w:r>
    </w:p>
    <w:p w14:paraId="3D72B0B0" w14:textId="0441D33E" w:rsidR="00B57E6F" w:rsidRPr="00E57D51" w:rsidRDefault="00B57E6F" w:rsidP="00B57E6F">
      <w:pPr>
        <w:pStyle w:val="CETAddress"/>
        <w:rPr>
          <w:lang w:val="it-IT"/>
        </w:rPr>
      </w:pPr>
      <w:r w:rsidRPr="00E57D51">
        <w:rPr>
          <w:vertAlign w:val="superscript"/>
          <w:lang w:val="it-IT"/>
        </w:rPr>
        <w:t>b</w:t>
      </w:r>
      <w:r w:rsidR="00E57D51" w:rsidRPr="00E57D51">
        <w:rPr>
          <w:vertAlign w:val="superscript"/>
          <w:lang w:val="it-IT"/>
        </w:rPr>
        <w:t xml:space="preserve"> </w:t>
      </w:r>
      <w:r w:rsidR="00E57D51" w:rsidRPr="00E57D51">
        <w:rPr>
          <w:lang w:val="it-IT"/>
        </w:rPr>
        <w:t>Dipartimento di Ingegneria Civile e Industriale, Università di Pisa, Largo Lucio Lazzarino 2, 56122 Pisa, Italy</w:t>
      </w:r>
    </w:p>
    <w:p w14:paraId="73F1267A" w14:textId="154DC837" w:rsidR="00B57E6F" w:rsidRDefault="00B57E6F" w:rsidP="00B57E6F">
      <w:pPr>
        <w:pStyle w:val="CETemail"/>
      </w:pPr>
      <w:r w:rsidRPr="00F57A6E">
        <w:rPr>
          <w:lang w:val="it-IT"/>
        </w:rPr>
        <w:t xml:space="preserve"> </w:t>
      </w:r>
      <w:r w:rsidR="00F47D66" w:rsidRPr="00F47D66">
        <w:t>federica.barontini@unipi.it</w:t>
      </w:r>
    </w:p>
    <w:p w14:paraId="4250C412" w14:textId="283258FB" w:rsidR="00FD507E" w:rsidRPr="00FD507E" w:rsidRDefault="008C6E79" w:rsidP="00FD507E">
      <w:pPr>
        <w:pStyle w:val="CETBodytext"/>
        <w:rPr>
          <w:lang w:val="en-GB"/>
        </w:rPr>
      </w:pPr>
      <w:r>
        <w:rPr>
          <w:lang w:val="en-GB"/>
        </w:rPr>
        <w:t xml:space="preserve">Exhaust gas recirculation </w:t>
      </w:r>
      <w:r w:rsidR="000A6F97">
        <w:rPr>
          <w:lang w:val="en-GB"/>
        </w:rPr>
        <w:t>is a technique that allows for controlling the</w:t>
      </w:r>
      <w:r w:rsidR="008D45A4">
        <w:rPr>
          <w:lang w:val="en-GB"/>
        </w:rPr>
        <w:t xml:space="preserve"> </w:t>
      </w:r>
      <w:r w:rsidR="000A6F97">
        <w:rPr>
          <w:lang w:val="en-GB"/>
        </w:rPr>
        <w:t xml:space="preserve">combustion chamber temperature and </w:t>
      </w:r>
      <w:r w:rsidR="001F4B7F">
        <w:rPr>
          <w:lang w:val="en-GB"/>
        </w:rPr>
        <w:t>reducing the NO</w:t>
      </w:r>
      <w:r w:rsidR="001F4B7F" w:rsidRPr="00D54C46">
        <w:rPr>
          <w:vertAlign w:val="subscript"/>
          <w:lang w:val="en-GB"/>
        </w:rPr>
        <w:t>x</w:t>
      </w:r>
      <w:r w:rsidR="001F4B7F">
        <w:rPr>
          <w:lang w:val="en-GB"/>
        </w:rPr>
        <w:t xml:space="preserve"> and particle matter emissions. Moreover, it helps to </w:t>
      </w:r>
      <w:r w:rsidR="00457F06">
        <w:rPr>
          <w:lang w:val="en-GB"/>
        </w:rPr>
        <w:t xml:space="preserve">mitigate soot formation and ash agglomeration in combustion systems. </w:t>
      </w:r>
      <w:r w:rsidR="006400C4">
        <w:rPr>
          <w:lang w:val="en-GB"/>
        </w:rPr>
        <w:t>T</w:t>
      </w:r>
      <w:r w:rsidR="00457F06">
        <w:rPr>
          <w:lang w:val="en-GB"/>
        </w:rPr>
        <w:t>he present study</w:t>
      </w:r>
      <w:r w:rsidR="006400C4">
        <w:rPr>
          <w:lang w:val="en-GB"/>
        </w:rPr>
        <w:t xml:space="preserve"> </w:t>
      </w:r>
      <w:r w:rsidR="00457F06">
        <w:rPr>
          <w:lang w:val="en-GB"/>
        </w:rPr>
        <w:t>investigate</w:t>
      </w:r>
      <w:r w:rsidR="006400C4">
        <w:rPr>
          <w:lang w:val="en-GB"/>
        </w:rPr>
        <w:t>d</w:t>
      </w:r>
      <w:r w:rsidR="00457F06">
        <w:rPr>
          <w:lang w:val="en-GB"/>
        </w:rPr>
        <w:t xml:space="preserve"> </w:t>
      </w:r>
      <w:r w:rsidR="000A59A0">
        <w:rPr>
          <w:lang w:val="en-GB"/>
        </w:rPr>
        <w:t xml:space="preserve">the effect of </w:t>
      </w:r>
      <w:r w:rsidR="008C7CFD">
        <w:rPr>
          <w:lang w:val="en-GB"/>
        </w:rPr>
        <w:t xml:space="preserve">exhaust gas recirculation on combustion temperatures of a 140 kW underfed stoker biomass boiler. </w:t>
      </w:r>
      <w:r w:rsidR="00893180">
        <w:rPr>
          <w:lang w:val="en-GB"/>
        </w:rPr>
        <w:t>To this purpose, a wide range of operating conditions</w:t>
      </w:r>
      <w:r w:rsidR="006400C4">
        <w:rPr>
          <w:lang w:val="en-GB"/>
        </w:rPr>
        <w:t xml:space="preserve"> were used</w:t>
      </w:r>
      <w:r w:rsidR="00893180">
        <w:rPr>
          <w:lang w:val="en-GB"/>
        </w:rPr>
        <w:t>, collecting data regarding flue gas</w:t>
      </w:r>
      <w:r w:rsidR="008D45A4">
        <w:rPr>
          <w:lang w:val="en-GB"/>
        </w:rPr>
        <w:t xml:space="preserve"> and fixed bed temperatures. It turned out that the recirculating ratio has a significant effect on</w:t>
      </w:r>
      <w:r w:rsidR="00A4640A">
        <w:rPr>
          <w:lang w:val="en-GB"/>
        </w:rPr>
        <w:t xml:space="preserve"> the temperatures in the primary combustion zone, affecting the thermal </w:t>
      </w:r>
      <w:r w:rsidR="00DC73AE">
        <w:rPr>
          <w:lang w:val="en-GB"/>
        </w:rPr>
        <w:t>gradient</w:t>
      </w:r>
      <w:r w:rsidR="00A4640A">
        <w:rPr>
          <w:lang w:val="en-GB"/>
        </w:rPr>
        <w:t xml:space="preserve"> and the main thermal zones </w:t>
      </w:r>
      <w:r w:rsidR="00DC73AE">
        <w:rPr>
          <w:lang w:val="en-GB"/>
        </w:rPr>
        <w:t>of the biomass combusting bed. The obtained results can be useful for lumped parameter modeling, or CFD validation purposes.</w:t>
      </w:r>
    </w:p>
    <w:p w14:paraId="0A1E0AE0" w14:textId="77777777" w:rsidR="000250B5" w:rsidRPr="00B57B36" w:rsidRDefault="000250B5" w:rsidP="000250B5">
      <w:pPr>
        <w:pStyle w:val="CETHeading1"/>
        <w:rPr>
          <w:lang w:val="en-GB"/>
        </w:rPr>
      </w:pPr>
      <w:r w:rsidRPr="00B57B36">
        <w:rPr>
          <w:lang w:val="en-GB"/>
        </w:rPr>
        <w:t>Introduction</w:t>
      </w:r>
    </w:p>
    <w:p w14:paraId="3D93F11E" w14:textId="77777777" w:rsidR="000250B5" w:rsidRPr="0022097B" w:rsidRDefault="000250B5" w:rsidP="000250B5">
      <w:pPr>
        <w:pStyle w:val="CETBodytext"/>
        <w:rPr>
          <w:lang w:val="en-GB"/>
        </w:rPr>
      </w:pPr>
      <w:r w:rsidRPr="0022097B">
        <w:rPr>
          <w:lang w:val="en-GB"/>
        </w:rPr>
        <w:t>With the increment in the world energy demand and the increasing concerns on environmental pollution, global warming, and climate change, the use of renewable, sustainable, and environmentally-friendly energy resources has become mandatory. In this scenario, biomass appears as one of the most promising renewable energy resources, because of its abundance, wide distribution, and carbon dioxide neutrality. Among all biomass-to-energy conversion technologies, biomass combustion for heat and power generation represents the most common and efficient conversion route. Stoves and boilers fed with biomass woodchips have a wide broad market share in Europe, especially for small-power applications. However, further efforts in the design and operation of these devices are still required to improve their performance in terms of efficiency and pollutant emissions. In particular, the NO</w:t>
      </w:r>
      <w:r w:rsidRPr="00B24E42">
        <w:rPr>
          <w:vertAlign w:val="subscript"/>
          <w:lang w:val="en-GB"/>
        </w:rPr>
        <w:t>x</w:t>
      </w:r>
      <w:r w:rsidRPr="0022097B">
        <w:rPr>
          <w:lang w:val="en-GB"/>
        </w:rPr>
        <w:t>, CO and particulate matter emissions pose a growing concern for the recent European regulations in terms of air quality. Therefore, several strategies have been proposed to reduce pollutant emissions from such devices, such as air staging and exhaust gas recirculation. Amongst them, exhaust gas recirculation (EGR) can provide key advantages. Firstly, relative air-fuel velocity and combustion turbulence can be increased without increasing the oxygen excess in the combustion chamber. Secondly, the fuel bed temperature can be limited thanks to the reduced oxygen availability, thus reducing NO</w:t>
      </w:r>
      <w:r w:rsidRPr="00466B43">
        <w:rPr>
          <w:vertAlign w:val="subscript"/>
          <w:lang w:val="en-GB"/>
        </w:rPr>
        <w:t>x</w:t>
      </w:r>
      <w:r w:rsidRPr="0022097B">
        <w:rPr>
          <w:lang w:val="en-GB"/>
        </w:rPr>
        <w:t xml:space="preserve"> production, also mitigating ash agglomeration and soot transport phenomena. </w:t>
      </w:r>
    </w:p>
    <w:p w14:paraId="6F95D926" w14:textId="5FBD7447" w:rsidR="000250B5" w:rsidRPr="0022097B" w:rsidRDefault="000250B5" w:rsidP="000250B5">
      <w:pPr>
        <w:pStyle w:val="CETBodytext"/>
        <w:rPr>
          <w:lang w:val="en-GB"/>
        </w:rPr>
      </w:pPr>
      <w:r w:rsidRPr="0022097B">
        <w:rPr>
          <w:lang w:val="en-GB"/>
        </w:rPr>
        <w:t>However, the potential of the EGR technique has been scarcely explored in the literature.</w:t>
      </w:r>
      <w:r w:rsidR="002C3C03">
        <w:rPr>
          <w:lang w:val="en-GB"/>
        </w:rPr>
        <w:t xml:space="preserve"> </w:t>
      </w:r>
      <w:r w:rsidR="002C3C03" w:rsidRPr="0022097B">
        <w:rPr>
          <w:lang w:val="en-GB"/>
        </w:rPr>
        <w:t>Schulte et al. (2020)</w:t>
      </w:r>
      <w:r w:rsidRPr="0022097B">
        <w:rPr>
          <w:lang w:val="en-GB"/>
        </w:rPr>
        <w:t xml:space="preserve"> proved that the use of EGR in combination with a low excess air ratio in the fuel bed, could reduce particulate matter emissions from a pellet boiler.</w:t>
      </w:r>
      <w:r w:rsidR="002C3C03">
        <w:rPr>
          <w:lang w:val="en-GB"/>
        </w:rPr>
        <w:t xml:space="preserve"> </w:t>
      </w:r>
      <w:r w:rsidR="002C3C03" w:rsidRPr="0022097B">
        <w:rPr>
          <w:lang w:val="en-GB"/>
        </w:rPr>
        <w:t>Archan et al. (2021)</w:t>
      </w:r>
      <w:r w:rsidRPr="0022097B">
        <w:rPr>
          <w:lang w:val="en-GB"/>
        </w:rPr>
        <w:t xml:space="preserve"> developed and experimentally investigated a small-scale (200 kW) multi-fuel biomass grate furnace, employing a low oxygen concentration in the bed and a double air staging, including the supply of flue gas recirculation. Their results indicate a positive influence of recirculated flue gas on NO</w:t>
      </w:r>
      <w:r w:rsidRPr="00466B43">
        <w:rPr>
          <w:vertAlign w:val="subscript"/>
          <w:lang w:val="en-GB"/>
        </w:rPr>
        <w:t>x</w:t>
      </w:r>
      <w:r w:rsidRPr="0022097B">
        <w:rPr>
          <w:lang w:val="en-GB"/>
        </w:rPr>
        <w:t xml:space="preserve"> emissions, since the EGR utilization within the reduction zone limits the NO</w:t>
      </w:r>
      <w:r w:rsidRPr="00466B43">
        <w:rPr>
          <w:vertAlign w:val="subscript"/>
          <w:lang w:val="en-GB"/>
        </w:rPr>
        <w:t>x</w:t>
      </w:r>
      <w:r w:rsidRPr="0022097B">
        <w:rPr>
          <w:lang w:val="en-GB"/>
        </w:rPr>
        <w:t xml:space="preserve"> formation potential by minimizing local temperature peaks and lowering the oxygen partial pressure. Numerical models, specifically Computational Fluid Dynamics (CFD) models, were applied to the theoretical study of the effect of EGR on boiler performance and gas contaminant emissions</w:t>
      </w:r>
      <w:r w:rsidR="008937B5">
        <w:rPr>
          <w:lang w:val="en-GB"/>
        </w:rPr>
        <w:t>.</w:t>
      </w:r>
      <w:r w:rsidR="004B70C5">
        <w:rPr>
          <w:lang w:val="en-GB"/>
        </w:rPr>
        <w:t xml:space="preserve"> </w:t>
      </w:r>
      <w:r w:rsidR="004B70C5" w:rsidRPr="0022097B">
        <w:rPr>
          <w:lang w:val="en-GB"/>
        </w:rPr>
        <w:t>Gomez et al. (2019)</w:t>
      </w:r>
      <w:r w:rsidR="008937B5">
        <w:rPr>
          <w:lang w:val="en-GB"/>
        </w:rPr>
        <w:t xml:space="preserve"> </w:t>
      </w:r>
      <w:r w:rsidRPr="0022097B">
        <w:rPr>
          <w:lang w:val="en-GB"/>
        </w:rPr>
        <w:t xml:space="preserve">carried out several simulations of a 30 </w:t>
      </w:r>
      <w:r w:rsidRPr="0022097B">
        <w:rPr>
          <w:lang w:val="en-GB"/>
        </w:rPr>
        <w:lastRenderedPageBreak/>
        <w:t>kW boiler operating in different conditions: the results showed that EGR can increase the boiler thermal performance and reduce the NO</w:t>
      </w:r>
      <w:r w:rsidRPr="00466B43">
        <w:rPr>
          <w:vertAlign w:val="subscript"/>
          <w:lang w:val="en-GB"/>
        </w:rPr>
        <w:t>x</w:t>
      </w:r>
      <w:r w:rsidRPr="0022097B">
        <w:rPr>
          <w:lang w:val="en-GB"/>
        </w:rPr>
        <w:t xml:space="preserve"> emissions, especially for low oxygen excess values. The results of the CFD modelling study of a 13 MW waste wood-fired grate boiler performed by</w:t>
      </w:r>
      <w:r w:rsidR="00713019">
        <w:rPr>
          <w:lang w:val="en-GB"/>
        </w:rPr>
        <w:t xml:space="preserve"> </w:t>
      </w:r>
      <w:r w:rsidR="00713019" w:rsidRPr="0022097B">
        <w:rPr>
          <w:lang w:val="en-GB"/>
        </w:rPr>
        <w:t>Rajh et al. (2018)</w:t>
      </w:r>
      <w:r w:rsidRPr="0022097B">
        <w:rPr>
          <w:lang w:val="en-GB"/>
        </w:rPr>
        <w:t xml:space="preserve"> indicated that an optimized configuration of the air and recycled flue gas jets can greatly enhance mixing and extend the residence time of the combustibles in the hot zones in the furnace, and therefore improve combustion and reduce pollutant emissions, especially </w:t>
      </w:r>
      <w:r>
        <w:rPr>
          <w:lang w:val="en-GB"/>
        </w:rPr>
        <w:t>those</w:t>
      </w:r>
      <w:r w:rsidRPr="0022097B">
        <w:rPr>
          <w:lang w:val="en-GB"/>
        </w:rPr>
        <w:t xml:space="preserve"> due to incomplete combustion such as </w:t>
      </w:r>
      <w:r>
        <w:rPr>
          <w:lang w:val="en-GB"/>
        </w:rPr>
        <w:t>CO</w:t>
      </w:r>
      <w:r w:rsidRPr="0022097B">
        <w:rPr>
          <w:lang w:val="en-GB"/>
        </w:rPr>
        <w:t>. The availability of specific experimental data is crucial for the development and validation of numerical models, that could be used to improve the performance of biomass boilers</w:t>
      </w:r>
      <w:r w:rsidR="00327E29">
        <w:rPr>
          <w:lang w:val="en-GB"/>
        </w:rPr>
        <w:t xml:space="preserve"> </w:t>
      </w:r>
      <w:r w:rsidR="00327E29" w:rsidRPr="0022097B">
        <w:rPr>
          <w:lang w:val="en-GB"/>
        </w:rPr>
        <w:t>(Patronelli et al., 2018)</w:t>
      </w:r>
      <w:r w:rsidRPr="0022097B">
        <w:rPr>
          <w:lang w:val="en-GB"/>
        </w:rPr>
        <w:t>.</w:t>
      </w:r>
    </w:p>
    <w:p w14:paraId="62B86B0F" w14:textId="3200B13B" w:rsidR="000250B5" w:rsidRDefault="000250B5" w:rsidP="000250B5">
      <w:pPr>
        <w:pStyle w:val="CETBodytext"/>
        <w:rPr>
          <w:lang w:val="en-GB"/>
        </w:rPr>
      </w:pPr>
      <w:r w:rsidRPr="0022097B">
        <w:rPr>
          <w:lang w:val="en-GB"/>
        </w:rPr>
        <w:t xml:space="preserve">In the present work, the effect of the EGR was experimentally studied in a 140 kW fixed-bed biomass boiler. To this purpose, the boiler was equipped with control and measuring systems to analyze temperature, mass flow and gas composition. </w:t>
      </w:r>
      <w:r w:rsidR="00A65364">
        <w:rPr>
          <w:lang w:val="en-GB"/>
        </w:rPr>
        <w:t>More specifically, the t</w:t>
      </w:r>
      <w:r w:rsidRPr="0022097B">
        <w:rPr>
          <w:lang w:val="en-GB"/>
        </w:rPr>
        <w:t xml:space="preserve">emperatures in the fuel bed and </w:t>
      </w:r>
      <w:r w:rsidR="00A65364">
        <w:rPr>
          <w:lang w:val="en-GB"/>
        </w:rPr>
        <w:t xml:space="preserve">the </w:t>
      </w:r>
      <w:r w:rsidRPr="0022097B">
        <w:rPr>
          <w:lang w:val="en-GB"/>
        </w:rPr>
        <w:t>exhaust gas composition were monitored under different operating conditions, i.e., equivalence ratio, primary to secondary air-flow ratio, and EGR ratio, to assess the potential of EGR in biomass furnaces.</w:t>
      </w:r>
    </w:p>
    <w:p w14:paraId="6BE40D82" w14:textId="45FADCAB" w:rsidR="009B4BDB" w:rsidRPr="00B57B36" w:rsidRDefault="009B4BDB" w:rsidP="009B4BDB">
      <w:pPr>
        <w:pStyle w:val="CETHeading1"/>
        <w:rPr>
          <w:lang w:val="en-GB"/>
        </w:rPr>
      </w:pPr>
      <w:r>
        <w:rPr>
          <w:lang w:val="en-GB"/>
        </w:rPr>
        <w:t>Method</w:t>
      </w:r>
    </w:p>
    <w:p w14:paraId="60A0D16F" w14:textId="05512A3A" w:rsidR="00723102" w:rsidRDefault="00A65364" w:rsidP="00453E24">
      <w:pPr>
        <w:pStyle w:val="CETBodytext"/>
        <w:rPr>
          <w:lang w:val="en-GB"/>
        </w:rPr>
      </w:pPr>
      <w:r>
        <w:rPr>
          <w:lang w:val="en-GB"/>
        </w:rPr>
        <w:t>The</w:t>
      </w:r>
      <w:r w:rsidR="00006786" w:rsidRPr="00006786">
        <w:rPr>
          <w:lang w:val="en-GB"/>
        </w:rPr>
        <w:t xml:space="preserve"> fixed bed boiler</w:t>
      </w:r>
      <w:r>
        <w:rPr>
          <w:lang w:val="en-GB"/>
        </w:rPr>
        <w:t xml:space="preserve"> </w:t>
      </w:r>
      <w:r w:rsidR="00006786" w:rsidRPr="00006786">
        <w:rPr>
          <w:lang w:val="en-GB"/>
        </w:rPr>
        <w:t xml:space="preserve">is a 140 kW underfed stocker </w:t>
      </w:r>
      <w:r>
        <w:rPr>
          <w:lang w:val="en-GB"/>
        </w:rPr>
        <w:t xml:space="preserve">belonging to </w:t>
      </w:r>
      <w:r w:rsidR="00006786" w:rsidRPr="00006786">
        <w:rPr>
          <w:lang w:val="en-GB"/>
        </w:rPr>
        <w:t>the University of Pisa</w:t>
      </w:r>
      <w:r w:rsidR="009F4E58">
        <w:rPr>
          <w:lang w:val="en-GB"/>
        </w:rPr>
        <w:t xml:space="preserve"> and is</w:t>
      </w:r>
      <w:r w:rsidR="00EE5902">
        <w:rPr>
          <w:lang w:val="en-GB"/>
        </w:rPr>
        <w:t xml:space="preserve"> shown </w:t>
      </w:r>
      <w:r w:rsidR="00B6202C">
        <w:rPr>
          <w:lang w:val="en-GB"/>
        </w:rPr>
        <w:t xml:space="preserve">in </w:t>
      </w:r>
      <w:r w:rsidR="00EE5902">
        <w:rPr>
          <w:lang w:val="en-GB"/>
        </w:rPr>
        <w:t xml:space="preserve">Figure 1a. </w:t>
      </w:r>
      <w:r w:rsidR="00723102">
        <w:rPr>
          <w:lang w:val="en-GB"/>
        </w:rPr>
        <w:t xml:space="preserve">The fixed bed has a 600 mm length, 150 mm width, and 200 mm depth, and </w:t>
      </w:r>
      <w:r w:rsidR="00B6202C">
        <w:rPr>
          <w:lang w:val="en-GB"/>
        </w:rPr>
        <w:t xml:space="preserve">it </w:t>
      </w:r>
      <w:r w:rsidR="00723102">
        <w:rPr>
          <w:lang w:val="en-GB"/>
        </w:rPr>
        <w:t xml:space="preserve">is equipped </w:t>
      </w:r>
      <w:r w:rsidR="00B6202C">
        <w:rPr>
          <w:lang w:val="en-GB"/>
        </w:rPr>
        <w:t xml:space="preserve">with </w:t>
      </w:r>
      <w:r w:rsidR="00723102">
        <w:rPr>
          <w:lang w:val="en-GB"/>
        </w:rPr>
        <w:t>a screw feeder (</w:t>
      </w:r>
      <w:r w:rsidR="00B6202C">
        <w:rPr>
          <w:lang w:val="en-GB"/>
        </w:rPr>
        <w:t xml:space="preserve">having </w:t>
      </w:r>
      <w:r w:rsidR="00723102">
        <w:rPr>
          <w:lang w:val="en-GB"/>
        </w:rPr>
        <w:t>a</w:t>
      </w:r>
      <w:r w:rsidR="00D54C46">
        <w:rPr>
          <w:lang w:val="en-GB"/>
        </w:rPr>
        <w:t>n</w:t>
      </w:r>
      <w:r w:rsidR="00723102">
        <w:rPr>
          <w:lang w:val="en-GB"/>
        </w:rPr>
        <w:t xml:space="preserve"> 80 mm diameter and 80 mm step) providing the biomass flow </w:t>
      </w:r>
      <m:oMath>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B</m:t>
            </m:r>
          </m:sub>
        </m:sSub>
      </m:oMath>
      <w:r w:rsidR="00723102">
        <w:rPr>
          <w:lang w:val="en-GB"/>
        </w:rPr>
        <w:t xml:space="preserve"> at a constant rate</w:t>
      </w:r>
      <w:r w:rsidR="00723102" w:rsidRPr="00E8210C">
        <w:rPr>
          <w:lang w:val="en-GB"/>
        </w:rPr>
        <w:t xml:space="preserve"> </w:t>
      </w:r>
      <w:r w:rsidR="00723102">
        <w:rPr>
          <w:lang w:val="en-GB"/>
        </w:rPr>
        <w:t>from below the bed</w:t>
      </w:r>
      <w:r w:rsidR="009A66B8">
        <w:rPr>
          <w:lang w:val="en-GB"/>
        </w:rPr>
        <w:t xml:space="preserve"> (see Fig</w:t>
      </w:r>
      <w:r w:rsidR="00EE5902">
        <w:rPr>
          <w:lang w:val="en-GB"/>
        </w:rPr>
        <w:t>ure</w:t>
      </w:r>
      <w:r w:rsidR="009A66B8">
        <w:rPr>
          <w:lang w:val="en-GB"/>
        </w:rPr>
        <w:t xml:space="preserve"> 1</w:t>
      </w:r>
      <w:r w:rsidR="00EE5902">
        <w:rPr>
          <w:lang w:val="en-GB"/>
        </w:rPr>
        <w:t>b</w:t>
      </w:r>
      <w:r w:rsidR="009A66B8">
        <w:rPr>
          <w:lang w:val="en-GB"/>
        </w:rPr>
        <w:t>)</w:t>
      </w:r>
      <w:r w:rsidR="00723102">
        <w:rPr>
          <w:lang w:val="en-GB"/>
        </w:rPr>
        <w:t xml:space="preserve">. </w:t>
      </w:r>
      <w:r w:rsidR="00723102" w:rsidRPr="00806D40">
        <w:rPr>
          <w:lang w:val="en-GB"/>
        </w:rPr>
        <w:t>The total air</w:t>
      </w:r>
      <w:r w:rsidR="00723102">
        <w:rPr>
          <w:lang w:val="en-GB"/>
        </w:rPr>
        <w:t xml:space="preserve"> </w:t>
      </w:r>
      <w:r w:rsidR="00723102" w:rsidRPr="00806D40">
        <w:rPr>
          <w:lang w:val="en-GB"/>
        </w:rPr>
        <w:t xml:space="preserve">flow is supplied by a 2.2 kW centrifugal blower, and it </w:t>
      </w:r>
      <w:r w:rsidR="00723102">
        <w:rPr>
          <w:lang w:val="en-GB"/>
        </w:rPr>
        <w:t>is split</w:t>
      </w:r>
      <w:r w:rsidR="00723102" w:rsidRPr="00806D40">
        <w:rPr>
          <w:lang w:val="en-GB"/>
        </w:rPr>
        <w:t xml:space="preserve"> into primary and secondary flow</w:t>
      </w:r>
      <w:r w:rsidR="00723102">
        <w:rPr>
          <w:lang w:val="en-GB"/>
        </w:rPr>
        <w:t>s</w:t>
      </w:r>
      <w:r w:rsidR="009A66B8">
        <w:rPr>
          <w:lang w:val="en-GB"/>
        </w:rPr>
        <w:t xml:space="preserve"> </w:t>
      </w:r>
      <w:r w:rsidR="009A66B8" w:rsidRPr="00806D40">
        <w:rPr>
          <w:lang w:val="en-GB"/>
        </w:rPr>
        <w:t>using two</w:t>
      </w:r>
      <w:r w:rsidR="009A66B8">
        <w:rPr>
          <w:lang w:val="en-GB"/>
        </w:rPr>
        <w:t xml:space="preserve"> sphere-valves</w:t>
      </w:r>
      <w:r w:rsidR="00723102">
        <w:rPr>
          <w:lang w:val="en-GB"/>
        </w:rPr>
        <w:t xml:space="preserve">. The primary air is injected 20 mm below the biomass fixed bed surface through 68 rectangular nozzles (20 mm length and 3 mm height), distributed in 3 rows around the fixed bed. The secondary air is </w:t>
      </w:r>
      <w:r w:rsidR="00B6202C">
        <w:rPr>
          <w:lang w:val="en-GB"/>
        </w:rPr>
        <w:t xml:space="preserve">fed </w:t>
      </w:r>
      <w:r w:rsidR="00723102">
        <w:rPr>
          <w:lang w:val="en-GB"/>
        </w:rPr>
        <w:t xml:space="preserve">around the biomass bed through a stainless-steel pipe system and injected by 7 circular ducts (20 mm diameter). </w:t>
      </w:r>
      <w:r w:rsidR="00581B22">
        <w:rPr>
          <w:lang w:val="en-GB"/>
        </w:rPr>
        <w:t xml:space="preserve">An exhaust gas blower extracts the flue gases from the combustion chamber and to keep the pressure at 20 Pa below the ambient one for safety reasons. </w:t>
      </w:r>
      <w:r w:rsidR="00723102">
        <w:rPr>
          <w:lang w:val="en-GB"/>
        </w:rPr>
        <w:t>After the combustion stage, a gas-to-oil heat exchanger heat</w:t>
      </w:r>
      <w:r w:rsidR="009A66B8">
        <w:rPr>
          <w:lang w:val="en-GB"/>
        </w:rPr>
        <w:t>s</w:t>
      </w:r>
      <w:r w:rsidR="00723102">
        <w:rPr>
          <w:lang w:val="en-GB"/>
        </w:rPr>
        <w:t xml:space="preserve"> up a Seriola 1510 diathermic oil, thus transferring the heat to a Kettle water boiler.</w:t>
      </w:r>
    </w:p>
    <w:p w14:paraId="4F85F06B" w14:textId="56380F12" w:rsidR="00723102" w:rsidRPr="00B6202C" w:rsidRDefault="00522760" w:rsidP="00453E24">
      <w:pPr>
        <w:pStyle w:val="CETBodytext"/>
      </w:pPr>
      <w:r>
        <w:t xml:space="preserve">More details about the boiler are given in </w:t>
      </w:r>
      <w:r>
        <w:rPr>
          <w:lang w:val="en-GB"/>
        </w:rPr>
        <w:t>previous works</w:t>
      </w:r>
      <w:r w:rsidR="00BF6CD6">
        <w:rPr>
          <w:lang w:val="en-GB"/>
        </w:rPr>
        <w:t xml:space="preserve"> (Caposciutti et al., 2018, 20</w:t>
      </w:r>
      <w:r w:rsidR="00621FD7">
        <w:rPr>
          <w:lang w:val="en-GB"/>
        </w:rPr>
        <w:t>20</w:t>
      </w:r>
      <w:r w:rsidR="00BF6CD6">
        <w:rPr>
          <w:lang w:val="en-GB"/>
        </w:rPr>
        <w:t>)</w:t>
      </w:r>
      <w:r>
        <w:rPr>
          <w:lang w:val="en-GB"/>
        </w:rPr>
        <w:t xml:space="preserve">; however, with respect to these works the boiler was modified </w:t>
      </w:r>
      <w:r w:rsidR="00B6202C">
        <w:rPr>
          <w:lang w:val="en-GB"/>
        </w:rPr>
        <w:t xml:space="preserve">here </w:t>
      </w:r>
      <w:r>
        <w:rPr>
          <w:lang w:val="en-GB"/>
        </w:rPr>
        <w:t xml:space="preserve">to recirculate </w:t>
      </w:r>
      <w:r w:rsidR="00B6202C">
        <w:rPr>
          <w:lang w:val="en-GB"/>
        </w:rPr>
        <w:t xml:space="preserve">the </w:t>
      </w:r>
      <w:r>
        <w:rPr>
          <w:lang w:val="en-GB"/>
        </w:rPr>
        <w:t xml:space="preserve">exhaust gases. </w:t>
      </w:r>
      <w:r w:rsidR="00B6202C">
        <w:rPr>
          <w:lang w:val="en-GB"/>
        </w:rPr>
        <w:t>More specifically, t</w:t>
      </w:r>
      <w:r>
        <w:rPr>
          <w:lang w:val="en-GB"/>
        </w:rPr>
        <w:t>he exhaust gases are extracted downstream of the heat exchange</w:t>
      </w:r>
      <w:r w:rsidR="00B6202C">
        <w:rPr>
          <w:lang w:val="en-GB"/>
        </w:rPr>
        <w:t>r</w:t>
      </w:r>
      <w:r>
        <w:rPr>
          <w:lang w:val="en-GB"/>
        </w:rPr>
        <w:t xml:space="preserve">, with a </w:t>
      </w:r>
      <m:oMath>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R</m:t>
            </m:r>
          </m:sub>
        </m:sSub>
        <m:r>
          <w:rPr>
            <w:rFonts w:ascii="Cambria Math" w:hAnsi="Cambria Math"/>
            <w:lang w:val="en-GB"/>
          </w:rPr>
          <m:t xml:space="preserve"> </m:t>
        </m:r>
      </m:oMath>
      <w:r>
        <w:rPr>
          <w:lang w:val="en-GB"/>
        </w:rPr>
        <w:t xml:space="preserve">mass flow </w:t>
      </w:r>
      <w:r w:rsidR="00B6202C">
        <w:rPr>
          <w:lang w:val="en-GB"/>
        </w:rPr>
        <w:t>rate, and</w:t>
      </w:r>
      <w:r>
        <w:rPr>
          <w:lang w:val="en-GB"/>
        </w:rPr>
        <w:t xml:space="preserve"> </w:t>
      </w:r>
      <w:r w:rsidR="00B6202C">
        <w:rPr>
          <w:lang w:val="en-GB"/>
        </w:rPr>
        <w:t xml:space="preserve">subsequently are </w:t>
      </w:r>
      <w:r>
        <w:rPr>
          <w:lang w:val="en-GB"/>
        </w:rPr>
        <w:t xml:space="preserve">mixed with the primary air. The value of </w:t>
      </w:r>
      <m:oMath>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R</m:t>
            </m:r>
          </m:sub>
        </m:sSub>
      </m:oMath>
      <w:r>
        <w:rPr>
          <w:lang w:val="en-GB"/>
        </w:rPr>
        <w:t xml:space="preserve"> is controlled by means of a 0.75 kW high-temperature blower and a gate valve, while </w:t>
      </w:r>
      <m:oMath>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R</m:t>
            </m:r>
          </m:sub>
        </m:sSub>
        <m:r>
          <w:rPr>
            <w:rFonts w:ascii="Cambria Math" w:hAnsi="Cambria Math"/>
            <w:lang w:val="en-GB"/>
          </w:rPr>
          <m:t xml:space="preserve"> </m:t>
        </m:r>
      </m:oMath>
      <w:r>
        <w:rPr>
          <w:lang w:val="en-GB"/>
        </w:rPr>
        <w:t>is evaluated through a stagnation pressure measurement system.</w:t>
      </w:r>
    </w:p>
    <w:p w14:paraId="2CDC33D0" w14:textId="06548E3F" w:rsidR="009A66B8" w:rsidRDefault="009A66B8" w:rsidP="009A66B8">
      <w:pPr>
        <w:pStyle w:val="CETBodytext"/>
        <w:rPr>
          <w:lang w:val="en-GB"/>
        </w:rPr>
      </w:pPr>
      <w:r>
        <w:rPr>
          <w:lang w:val="en-GB"/>
        </w:rPr>
        <w:t xml:space="preserve">The primary and secondary air mass flow rates, i.e., </w:t>
      </w:r>
      <m:oMath>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a,p</m:t>
            </m:r>
          </m:sub>
        </m:sSub>
        <m:r>
          <w:rPr>
            <w:rFonts w:ascii="Cambria Math" w:hAnsi="Cambria Math"/>
            <w:lang w:val="en-GB"/>
          </w:rPr>
          <m:t xml:space="preserve"> </m:t>
        </m:r>
      </m:oMath>
      <w:r w:rsidR="00806D40" w:rsidRPr="00806D40">
        <w:rPr>
          <w:lang w:val="en-GB"/>
        </w:rPr>
        <w:t xml:space="preserve">and </w:t>
      </w:r>
      <m:oMath>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a,s</m:t>
            </m:r>
          </m:sub>
        </m:sSub>
      </m:oMath>
      <w:r w:rsidR="00806D40" w:rsidRPr="00806D40">
        <w:rPr>
          <w:lang w:val="en-GB"/>
        </w:rPr>
        <w:t>, respectively</w:t>
      </w:r>
      <w:r>
        <w:rPr>
          <w:lang w:val="en-GB"/>
        </w:rPr>
        <w:t xml:space="preserve">, </w:t>
      </w:r>
      <w:r w:rsidR="00797897">
        <w:rPr>
          <w:lang w:val="en-GB"/>
        </w:rPr>
        <w:t xml:space="preserve">are </w:t>
      </w:r>
      <w:r>
        <w:rPr>
          <w:lang w:val="en-GB"/>
        </w:rPr>
        <w:t>measured by</w:t>
      </w:r>
      <w:r w:rsidR="009D3239">
        <w:rPr>
          <w:lang w:val="en-GB"/>
        </w:rPr>
        <w:t xml:space="preserve"> using two </w:t>
      </w:r>
      <w:r w:rsidR="009D3239">
        <w:t xml:space="preserve">TFLOW T112 hot wire sensors. </w:t>
      </w:r>
      <w:r>
        <w:rPr>
          <w:lang w:val="en-GB"/>
        </w:rPr>
        <w:t xml:space="preserve">The </w:t>
      </w:r>
      <w:r w:rsidR="00B6202C">
        <w:rPr>
          <w:lang w:val="en-GB"/>
        </w:rPr>
        <w:t xml:space="preserve">heat </w:t>
      </w:r>
      <w:r>
        <w:rPr>
          <w:lang w:val="en-GB"/>
        </w:rPr>
        <w:t xml:space="preserve">exchanger gas inlet and outlet temperatures (namely </w:t>
      </w: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f,in</m:t>
            </m:r>
          </m:sub>
        </m:sSub>
      </m:oMath>
      <w:r>
        <w:rPr>
          <w:lang w:val="en-GB"/>
        </w:rPr>
        <w:t xml:space="preserve"> and </w:t>
      </w: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f,out</m:t>
            </m:r>
          </m:sub>
        </m:sSub>
      </m:oMath>
      <w:r>
        <w:rPr>
          <w:lang w:val="en-GB"/>
        </w:rPr>
        <w:t>, respectively) are monitored by means of radiation-shielded k-type thermocouples. The flue gas composition, in terms of CO</w:t>
      </w:r>
      <w:r w:rsidRPr="00B6202C">
        <w:rPr>
          <w:vertAlign w:val="subscript"/>
          <w:lang w:val="en-GB"/>
        </w:rPr>
        <w:t>2</w:t>
      </w:r>
      <w:r>
        <w:rPr>
          <w:lang w:val="en-GB"/>
        </w:rPr>
        <w:t xml:space="preserve"> and O</w:t>
      </w:r>
      <w:r w:rsidRPr="00B6202C">
        <w:rPr>
          <w:vertAlign w:val="subscript"/>
          <w:lang w:val="en-GB"/>
        </w:rPr>
        <w:t>2</w:t>
      </w:r>
      <w:r>
        <w:rPr>
          <w:lang w:val="en-GB"/>
        </w:rPr>
        <w:t xml:space="preserve">, </w:t>
      </w:r>
      <w:r w:rsidR="00510E53">
        <w:rPr>
          <w:lang w:val="en-GB"/>
        </w:rPr>
        <w:t xml:space="preserve">is </w:t>
      </w:r>
      <w:r>
        <w:rPr>
          <w:lang w:val="en-GB"/>
        </w:rPr>
        <w:t xml:space="preserve">monitored by means of a NDIR and a paramagnetic-based instruments from Environnement SA for mass balance calculation. </w:t>
      </w:r>
      <w:r w:rsidR="00EE5902">
        <w:rPr>
          <w:lang w:val="en-GB"/>
        </w:rPr>
        <w:t>A scheme of the measuring system is provided in Figure 2a.</w:t>
      </w:r>
    </w:p>
    <w:p w14:paraId="16BC71CE" w14:textId="60E09C55" w:rsidR="009A66B8" w:rsidRDefault="009A66B8" w:rsidP="009A66B8">
      <w:pPr>
        <w:pStyle w:val="CETBodytext"/>
        <w:rPr>
          <w:lang w:val="en-GB"/>
        </w:rPr>
      </w:pPr>
      <w:r>
        <w:rPr>
          <w:lang w:val="en-GB"/>
        </w:rPr>
        <w:t>The fixed bed is instrumented with 12 k-type thermocouples to measure the temperature in several positions, as described by the scheme in Figure 2</w:t>
      </w:r>
      <w:r w:rsidR="00EE5902">
        <w:rPr>
          <w:lang w:val="en-GB"/>
        </w:rPr>
        <w:t>b</w:t>
      </w:r>
      <w:r>
        <w:rPr>
          <w:lang w:val="en-GB"/>
        </w:rPr>
        <w:t>. These are mounted on a stainless-steel housing to keep them in position during the operation. The thermal sensor housing is designed to limit the interaction with the biomass and gas flow.</w:t>
      </w:r>
    </w:p>
    <w:p w14:paraId="3E8462B5" w14:textId="3BBAFD8F" w:rsidR="009A66B8" w:rsidRDefault="009A66B8" w:rsidP="009A66B8">
      <w:pPr>
        <w:pStyle w:val="CETBodytext"/>
        <w:rPr>
          <w:lang w:val="en-GB"/>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8"/>
        <w:gridCol w:w="4389"/>
      </w:tblGrid>
      <w:tr w:rsidR="00C621EF" w14:paraId="1AE45F4D" w14:textId="77777777" w:rsidTr="00D54C46">
        <w:tc>
          <w:tcPr>
            <w:tcW w:w="4388" w:type="dxa"/>
            <w:tcMar>
              <w:left w:w="0" w:type="dxa"/>
              <w:right w:w="0" w:type="dxa"/>
            </w:tcMar>
          </w:tcPr>
          <w:p w14:paraId="2EB5D049" w14:textId="71F51162" w:rsidR="00C621EF" w:rsidRDefault="00D43C2B" w:rsidP="00D54C46">
            <w:pPr>
              <w:pStyle w:val="CETBodytext"/>
              <w:spacing w:before="60" w:after="60"/>
              <w:ind w:left="717"/>
              <w:rPr>
                <w:lang w:val="en-GB"/>
              </w:rPr>
            </w:pPr>
            <w:r w:rsidRPr="00D54C46">
              <w:rPr>
                <w:i/>
                <w:iCs/>
                <w:lang w:val="en-GB"/>
              </w:rPr>
              <w:t>(a)</w:t>
            </w:r>
            <w:r>
              <w:rPr>
                <w:lang w:val="en-GB"/>
              </w:rPr>
              <w:t xml:space="preserve">  </w:t>
            </w:r>
            <w:r w:rsidR="00C621EF" w:rsidRPr="009F4E58">
              <w:rPr>
                <w:noProof/>
                <w:lang w:val="it-IT" w:eastAsia="it-IT"/>
              </w:rPr>
              <w:drawing>
                <wp:inline distT="0" distB="0" distL="0" distR="0" wp14:anchorId="15585908" wp14:editId="7544EDF3">
                  <wp:extent cx="1907100" cy="216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5309" b="9746"/>
                          <a:stretch/>
                        </pic:blipFill>
                        <pic:spPr bwMode="auto">
                          <a:xfrm>
                            <a:off x="0" y="0"/>
                            <a:ext cx="1907100" cy="2160000"/>
                          </a:xfrm>
                          <a:prstGeom prst="rect">
                            <a:avLst/>
                          </a:prstGeom>
                          <a:ln>
                            <a:noFill/>
                          </a:ln>
                          <a:extLst>
                            <a:ext uri="{53640926-AAD7-44D8-BBD7-CCE9431645EC}">
                              <a14:shadowObscured xmlns:a14="http://schemas.microsoft.com/office/drawing/2010/main"/>
                            </a:ext>
                          </a:extLst>
                        </pic:spPr>
                      </pic:pic>
                    </a:graphicData>
                  </a:graphic>
                </wp:inline>
              </w:drawing>
            </w:r>
          </w:p>
        </w:tc>
        <w:tc>
          <w:tcPr>
            <w:tcW w:w="4389" w:type="dxa"/>
            <w:tcMar>
              <w:left w:w="0" w:type="dxa"/>
              <w:right w:w="0" w:type="dxa"/>
            </w:tcMar>
          </w:tcPr>
          <w:p w14:paraId="0E6A30F2" w14:textId="41E2F210" w:rsidR="00C621EF" w:rsidRDefault="00D43C2B" w:rsidP="00D54C46">
            <w:pPr>
              <w:pStyle w:val="CETBodytext"/>
              <w:spacing w:before="60" w:after="60"/>
              <w:ind w:left="357"/>
              <w:jc w:val="center"/>
              <w:rPr>
                <w:lang w:val="en-GB"/>
              </w:rPr>
            </w:pPr>
            <w:r w:rsidRPr="00D54C46">
              <w:rPr>
                <w:i/>
                <w:iCs/>
                <w:lang w:val="en-GB"/>
              </w:rPr>
              <w:t>(b)</w:t>
            </w:r>
            <w:r>
              <w:rPr>
                <w:lang w:val="en-GB"/>
              </w:rPr>
              <w:t xml:space="preserve">  </w:t>
            </w:r>
            <w:r w:rsidR="00C621EF">
              <w:rPr>
                <w:noProof/>
                <w:lang w:val="it-IT" w:eastAsia="it-IT"/>
              </w:rPr>
              <w:drawing>
                <wp:inline distT="0" distB="0" distL="0" distR="0" wp14:anchorId="70B466A9" wp14:editId="53D35FF3">
                  <wp:extent cx="1688533" cy="2160000"/>
                  <wp:effectExtent l="0" t="0" r="635"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flipH="1" flipV="1">
                            <a:off x="0" y="0"/>
                            <a:ext cx="1688533" cy="2160000"/>
                          </a:xfrm>
                          <a:prstGeom prst="rect">
                            <a:avLst/>
                          </a:prstGeom>
                          <a:noFill/>
                          <a:ln>
                            <a:noFill/>
                          </a:ln>
                        </pic:spPr>
                      </pic:pic>
                    </a:graphicData>
                  </a:graphic>
                </wp:inline>
              </w:drawing>
            </w:r>
          </w:p>
        </w:tc>
      </w:tr>
      <w:tr w:rsidR="00F66F10" w:rsidRPr="00FB0B9D" w14:paraId="2565E233" w14:textId="77777777" w:rsidTr="00D54C46">
        <w:tc>
          <w:tcPr>
            <w:tcW w:w="8777" w:type="dxa"/>
            <w:gridSpan w:val="2"/>
            <w:tcMar>
              <w:left w:w="0" w:type="dxa"/>
              <w:right w:w="0" w:type="dxa"/>
            </w:tcMar>
          </w:tcPr>
          <w:p w14:paraId="4628C6F8" w14:textId="24406437" w:rsidR="00F66F10" w:rsidRPr="00FB0B9D" w:rsidRDefault="00F66F10" w:rsidP="00D54C46">
            <w:pPr>
              <w:pStyle w:val="CETCaption"/>
              <w:spacing w:after="0"/>
            </w:pPr>
            <w:r w:rsidRPr="00FB0B9D">
              <w:t>Figure 1</w:t>
            </w:r>
            <w:r w:rsidR="00C61FCF" w:rsidRPr="00FB0B9D">
              <w:t>:</w:t>
            </w:r>
            <w:r w:rsidRPr="00FB0B9D">
              <w:t xml:space="preserve"> Picture of the </w:t>
            </w:r>
            <w:r w:rsidR="00522760" w:rsidRPr="00FB0B9D">
              <w:t>boiler (a) and fixed bed (b)</w:t>
            </w:r>
            <w:r w:rsidR="00D54C46">
              <w:t>.</w:t>
            </w:r>
          </w:p>
        </w:tc>
      </w:tr>
    </w:tbl>
    <w:p w14:paraId="627C8166" w14:textId="397BFC54" w:rsidR="00880BC9" w:rsidRDefault="00880BC9"/>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7"/>
      </w:tblGrid>
      <w:tr w:rsidR="00C621EF" w14:paraId="30DD9ABB" w14:textId="77777777" w:rsidTr="00D54C46">
        <w:tc>
          <w:tcPr>
            <w:tcW w:w="8777" w:type="dxa"/>
            <w:tcMar>
              <w:left w:w="0" w:type="dxa"/>
              <w:right w:w="0" w:type="dxa"/>
            </w:tcMar>
          </w:tcPr>
          <w:p w14:paraId="6715229C" w14:textId="5A82AEE6" w:rsidR="00C621EF" w:rsidRDefault="00CB6909" w:rsidP="00F57A6E">
            <w:pPr>
              <w:pStyle w:val="CETBodytext"/>
              <w:jc w:val="center"/>
              <w:rPr>
                <w:lang w:val="en-GB"/>
              </w:rPr>
            </w:pPr>
            <w:r>
              <w:rPr>
                <w:noProof/>
              </w:rPr>
              <w:object w:dxaOrig="15645" w:dyaOrig="7605" w14:anchorId="6B10E2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58.85pt;height:125.75pt;mso-width-percent:0;mso-height-percent:0;mso-width-percent:0;mso-height-percent:0" o:ole="">
                  <v:imagedata r:id="rId12" o:title=""/>
                </v:shape>
                <o:OLEObject Type="Embed" ProgID="PBrush" ShapeID="_x0000_i1025" DrawAspect="Content" ObjectID="_1710678072" r:id="rId13"/>
              </w:object>
            </w:r>
          </w:p>
        </w:tc>
      </w:tr>
      <w:tr w:rsidR="00C621EF" w:rsidRPr="00323F13" w14:paraId="196D4144" w14:textId="77777777" w:rsidTr="00D54C46">
        <w:tc>
          <w:tcPr>
            <w:tcW w:w="8777" w:type="dxa"/>
            <w:tcMar>
              <w:left w:w="0" w:type="dxa"/>
              <w:right w:w="0" w:type="dxa"/>
            </w:tcMar>
          </w:tcPr>
          <w:p w14:paraId="641BCBFB" w14:textId="31A299E7" w:rsidR="00C621EF" w:rsidRPr="00323F13" w:rsidRDefault="00C621EF" w:rsidP="0069054F">
            <w:pPr>
              <w:pStyle w:val="CETBodytext"/>
              <w:rPr>
                <w:i/>
                <w:iCs/>
                <w:lang w:val="en-GB"/>
              </w:rPr>
            </w:pPr>
            <w:r w:rsidRPr="00323F13">
              <w:rPr>
                <w:i/>
                <w:iCs/>
                <w:lang w:val="en-GB"/>
              </w:rPr>
              <w:t>(a)</w:t>
            </w:r>
          </w:p>
        </w:tc>
      </w:tr>
      <w:tr w:rsidR="00C621EF" w14:paraId="5946B0F8" w14:textId="77777777" w:rsidTr="00D54C46">
        <w:tc>
          <w:tcPr>
            <w:tcW w:w="8777" w:type="dxa"/>
            <w:tcMar>
              <w:left w:w="0" w:type="dxa"/>
              <w:right w:w="0" w:type="dxa"/>
            </w:tcMar>
          </w:tcPr>
          <w:p w14:paraId="1427E346" w14:textId="54B5677A" w:rsidR="00C621EF" w:rsidRDefault="00C621EF" w:rsidP="00F57A6E">
            <w:pPr>
              <w:pStyle w:val="CETBodytext"/>
              <w:jc w:val="center"/>
              <w:rPr>
                <w:lang w:val="en-GB"/>
              </w:rPr>
            </w:pPr>
            <w:r>
              <w:rPr>
                <w:noProof/>
                <w:lang w:val="it-IT" w:eastAsia="it-IT"/>
              </w:rPr>
              <w:drawing>
                <wp:inline distT="0" distB="0" distL="0" distR="0" wp14:anchorId="4E4FA031" wp14:editId="21BD2AC0">
                  <wp:extent cx="3295934" cy="1539802"/>
                  <wp:effectExtent l="0" t="0" r="0" b="381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51742" cy="1565875"/>
                          </a:xfrm>
                          <a:prstGeom prst="rect">
                            <a:avLst/>
                          </a:prstGeom>
                          <a:noFill/>
                          <a:ln>
                            <a:noFill/>
                          </a:ln>
                        </pic:spPr>
                      </pic:pic>
                    </a:graphicData>
                  </a:graphic>
                </wp:inline>
              </w:drawing>
            </w:r>
          </w:p>
        </w:tc>
      </w:tr>
      <w:tr w:rsidR="00C621EF" w:rsidRPr="00323F13" w14:paraId="10F54723" w14:textId="77777777" w:rsidTr="00D54C46">
        <w:tc>
          <w:tcPr>
            <w:tcW w:w="8777" w:type="dxa"/>
            <w:tcMar>
              <w:left w:w="0" w:type="dxa"/>
              <w:right w:w="0" w:type="dxa"/>
            </w:tcMar>
          </w:tcPr>
          <w:p w14:paraId="147CC098" w14:textId="50EA702D" w:rsidR="00C621EF" w:rsidRPr="00323F13" w:rsidRDefault="00C621EF" w:rsidP="00F66F10">
            <w:pPr>
              <w:pStyle w:val="CETBodytext"/>
              <w:rPr>
                <w:i/>
                <w:iCs/>
                <w:lang w:val="en-GB"/>
              </w:rPr>
            </w:pPr>
            <w:r w:rsidRPr="00323F13">
              <w:rPr>
                <w:i/>
                <w:iCs/>
                <w:lang w:val="en-GB"/>
              </w:rPr>
              <w:t>(b)</w:t>
            </w:r>
          </w:p>
        </w:tc>
      </w:tr>
      <w:tr w:rsidR="00F66F10" w:rsidRPr="00323F13" w14:paraId="29872183" w14:textId="77777777" w:rsidTr="00D54C46">
        <w:tc>
          <w:tcPr>
            <w:tcW w:w="8777" w:type="dxa"/>
            <w:tcMar>
              <w:left w:w="0" w:type="dxa"/>
              <w:right w:w="0" w:type="dxa"/>
            </w:tcMar>
          </w:tcPr>
          <w:p w14:paraId="410CF7B1" w14:textId="62AE6D20" w:rsidR="00F66F10" w:rsidRPr="00323F13" w:rsidRDefault="00F66F10" w:rsidP="00D54C46">
            <w:pPr>
              <w:pStyle w:val="CETCaption"/>
            </w:pPr>
            <w:r w:rsidRPr="00323F13">
              <w:t xml:space="preserve">Figure 2. Scheme of the system (a) and of thermocouples displacement </w:t>
            </w:r>
            <w:r w:rsidR="00AC4642" w:rsidRPr="00323F13">
              <w:t>(</w:t>
            </w:r>
            <w:r w:rsidRPr="00323F13">
              <w:t>i.e., black dots</w:t>
            </w:r>
            <w:r w:rsidR="00AC4642" w:rsidRPr="00323F13">
              <w:t>)</w:t>
            </w:r>
            <w:r w:rsidRPr="00323F13">
              <w:t xml:space="preserve"> in the fixed bed (b)</w:t>
            </w:r>
            <w:r w:rsidR="00C72FF2">
              <w:t>.</w:t>
            </w:r>
          </w:p>
        </w:tc>
      </w:tr>
    </w:tbl>
    <w:p w14:paraId="7370BAC8" w14:textId="4F4EC624" w:rsidR="001D04DD" w:rsidRDefault="001D04DD" w:rsidP="00453E24">
      <w:pPr>
        <w:pStyle w:val="CETBodytext"/>
        <w:rPr>
          <w:lang w:val="en-GB"/>
        </w:rPr>
      </w:pPr>
    </w:p>
    <w:p w14:paraId="1C14335D" w14:textId="6B1E1C34" w:rsidR="001A207B" w:rsidRDefault="001A207B" w:rsidP="00453E24">
      <w:pPr>
        <w:pStyle w:val="CETBodytext"/>
        <w:rPr>
          <w:lang w:val="en-GB"/>
        </w:rPr>
      </w:pPr>
      <w:r>
        <w:rPr>
          <w:lang w:val="en-GB"/>
        </w:rPr>
        <w:t xml:space="preserve">For </w:t>
      </w:r>
      <w:r w:rsidR="00EE5902">
        <w:rPr>
          <w:lang w:val="en-GB"/>
        </w:rPr>
        <w:t xml:space="preserve">the </w:t>
      </w:r>
      <w:r>
        <w:rPr>
          <w:lang w:val="en-GB"/>
        </w:rPr>
        <w:t xml:space="preserve">thermocouple displacement, three </w:t>
      </w:r>
      <w:r w:rsidR="00D67A5D" w:rsidRPr="00C621EF">
        <w:rPr>
          <w:i/>
          <w:iCs/>
          <w:lang w:val="en-GB"/>
        </w:rPr>
        <w:t>ZY</w:t>
      </w:r>
      <w:r w:rsidR="00D67A5D">
        <w:rPr>
          <w:lang w:val="en-GB"/>
        </w:rPr>
        <w:t xml:space="preserve"> </w:t>
      </w:r>
      <w:r>
        <w:rPr>
          <w:lang w:val="en-GB"/>
        </w:rPr>
        <w:t xml:space="preserve">planes </w:t>
      </w:r>
      <w:r w:rsidR="00D1792A">
        <w:rPr>
          <w:lang w:val="en-GB"/>
        </w:rPr>
        <w:t xml:space="preserve">were </w:t>
      </w:r>
      <w:r w:rsidR="000E0975">
        <w:rPr>
          <w:lang w:val="en-GB"/>
        </w:rPr>
        <w:t>considered</w:t>
      </w:r>
      <w:r>
        <w:rPr>
          <w:lang w:val="en-GB"/>
        </w:rPr>
        <w:t xml:space="preserve"> with different distance</w:t>
      </w:r>
      <w:r w:rsidR="00BF550B">
        <w:rPr>
          <w:lang w:val="en-GB"/>
        </w:rPr>
        <w:t>s</w:t>
      </w:r>
      <w:r>
        <w:rPr>
          <w:lang w:val="en-GB"/>
        </w:rPr>
        <w:t xml:space="preserve"> from the biomass flow inlet</w:t>
      </w:r>
      <w:r w:rsidR="00D67A5D">
        <w:rPr>
          <w:lang w:val="en-GB"/>
        </w:rPr>
        <w:t xml:space="preserve">, thus </w:t>
      </w:r>
      <w:r w:rsidR="00BF550B">
        <w:rPr>
          <w:lang w:val="en-GB"/>
        </w:rPr>
        <w:t xml:space="preserve">the </w:t>
      </w:r>
      <w:r w:rsidR="00D67A5D">
        <w:rPr>
          <w:lang w:val="en-GB"/>
        </w:rPr>
        <w:t>Left, Central</w:t>
      </w:r>
      <w:r w:rsidR="00BF550B">
        <w:rPr>
          <w:lang w:val="en-GB"/>
        </w:rPr>
        <w:t>,</w:t>
      </w:r>
      <w:r w:rsidR="00D67A5D">
        <w:rPr>
          <w:lang w:val="en-GB"/>
        </w:rPr>
        <w:t xml:space="preserve"> and Right planes</w:t>
      </w:r>
      <w:r w:rsidR="00D1792A">
        <w:rPr>
          <w:lang w:val="en-GB"/>
        </w:rPr>
        <w:t xml:space="preserve"> were</w:t>
      </w:r>
      <w:r w:rsidR="00D67A5D">
        <w:rPr>
          <w:lang w:val="en-GB"/>
        </w:rPr>
        <w:t xml:space="preserve"> chosen. The distance of the Left plane from the biomass inlet </w:t>
      </w:r>
      <w:r w:rsidR="00D1792A">
        <w:rPr>
          <w:lang w:val="en-GB"/>
        </w:rPr>
        <w:t xml:space="preserve">was </w:t>
      </w:r>
      <w:r w:rsidR="00D67A5D">
        <w:rPr>
          <w:lang w:val="en-GB"/>
        </w:rPr>
        <w:t>31</w:t>
      </w:r>
      <w:r w:rsidR="0096509F">
        <w:rPr>
          <w:lang w:val="en-GB"/>
        </w:rPr>
        <w:t>5</w:t>
      </w:r>
      <w:r w:rsidR="00D67A5D">
        <w:rPr>
          <w:lang w:val="en-GB"/>
        </w:rPr>
        <w:t xml:space="preserve"> mm. </w:t>
      </w:r>
      <w:r w:rsidR="003C6A87">
        <w:rPr>
          <w:lang w:val="en-GB"/>
        </w:rPr>
        <w:t xml:space="preserve">Three lines on the </w:t>
      </w:r>
      <w:r w:rsidR="003C6A87" w:rsidRPr="00C621EF">
        <w:rPr>
          <w:i/>
          <w:iCs/>
          <w:lang w:val="en-GB"/>
        </w:rPr>
        <w:t>ZX</w:t>
      </w:r>
      <w:r w:rsidR="003C6A87">
        <w:rPr>
          <w:lang w:val="en-GB"/>
        </w:rPr>
        <w:t xml:space="preserve"> fixed bed symmetry plane </w:t>
      </w:r>
      <w:r w:rsidR="00D1792A">
        <w:rPr>
          <w:lang w:val="en-GB"/>
        </w:rPr>
        <w:t xml:space="preserve">were </w:t>
      </w:r>
      <w:r w:rsidR="003C6A87">
        <w:rPr>
          <w:lang w:val="en-GB"/>
        </w:rPr>
        <w:t>chosen to be 100 mm below the biomass surface</w:t>
      </w:r>
      <w:r w:rsidR="009C127E">
        <w:rPr>
          <w:lang w:val="en-GB"/>
        </w:rPr>
        <w:t xml:space="preserve"> (i.e., lower line)</w:t>
      </w:r>
      <w:r w:rsidR="003C6A87">
        <w:rPr>
          <w:lang w:val="en-GB"/>
        </w:rPr>
        <w:t>, on the biomass surface</w:t>
      </w:r>
      <w:r w:rsidR="009C127E">
        <w:rPr>
          <w:lang w:val="en-GB"/>
        </w:rPr>
        <w:t xml:space="preserve"> (i.e., middle line)</w:t>
      </w:r>
      <w:r w:rsidR="003C6A87">
        <w:rPr>
          <w:lang w:val="en-GB"/>
        </w:rPr>
        <w:t>, and 150 mm above it</w:t>
      </w:r>
      <w:r w:rsidR="009C127E">
        <w:rPr>
          <w:lang w:val="en-GB"/>
        </w:rPr>
        <w:t xml:space="preserve"> (i.e., upper line)</w:t>
      </w:r>
      <w:r w:rsidR="00D1792A">
        <w:rPr>
          <w:lang w:val="en-GB"/>
        </w:rPr>
        <w:t>, the latter</w:t>
      </w:r>
      <w:r w:rsidR="009C127E">
        <w:rPr>
          <w:lang w:val="en-GB"/>
        </w:rPr>
        <w:t xml:space="preserve"> </w:t>
      </w:r>
      <w:r w:rsidR="003C6A87">
        <w:rPr>
          <w:lang w:val="en-GB"/>
        </w:rPr>
        <w:t xml:space="preserve">corresponding to the secondary air inlet position. Finally, </w:t>
      </w:r>
      <w:r w:rsidR="009C127E">
        <w:rPr>
          <w:lang w:val="en-GB"/>
        </w:rPr>
        <w:t xml:space="preserve">a side-line </w:t>
      </w:r>
      <w:r w:rsidR="00D1792A">
        <w:rPr>
          <w:lang w:val="en-GB"/>
        </w:rPr>
        <w:t xml:space="preserve">was </w:t>
      </w:r>
      <w:r w:rsidR="009C127E">
        <w:rPr>
          <w:lang w:val="en-GB"/>
        </w:rPr>
        <w:t>defined on the biomass surface</w:t>
      </w:r>
      <w:r w:rsidR="00D1792A">
        <w:rPr>
          <w:lang w:val="en-GB"/>
        </w:rPr>
        <w:t>, i.e.</w:t>
      </w:r>
      <w:r w:rsidR="00664334">
        <w:rPr>
          <w:lang w:val="en-GB"/>
        </w:rPr>
        <w:t>,</w:t>
      </w:r>
      <w:r w:rsidR="00D1792A">
        <w:rPr>
          <w:lang w:val="en-GB"/>
        </w:rPr>
        <w:t xml:space="preserve"> in the</w:t>
      </w:r>
      <w:r w:rsidR="009C127E">
        <w:rPr>
          <w:lang w:val="en-GB"/>
        </w:rPr>
        <w:t xml:space="preserve"> </w:t>
      </w:r>
      <w:r w:rsidR="009C127E" w:rsidRPr="00C621EF">
        <w:rPr>
          <w:i/>
          <w:iCs/>
          <w:lang w:val="en-GB"/>
        </w:rPr>
        <w:t>XY</w:t>
      </w:r>
      <w:r w:rsidR="009C127E">
        <w:rPr>
          <w:lang w:val="en-GB"/>
        </w:rPr>
        <w:t xml:space="preserve"> plane, </w:t>
      </w:r>
      <w:r w:rsidR="00D1792A">
        <w:rPr>
          <w:lang w:val="en-GB"/>
        </w:rPr>
        <w:t xml:space="preserve">at a distance of </w:t>
      </w:r>
      <w:r w:rsidR="009C127E">
        <w:rPr>
          <w:lang w:val="en-GB"/>
        </w:rPr>
        <w:t>55</w:t>
      </w:r>
      <w:r w:rsidR="001B331C">
        <w:rPr>
          <w:lang w:val="en-GB"/>
        </w:rPr>
        <w:t xml:space="preserve"> mm</w:t>
      </w:r>
      <w:r w:rsidR="009C127E">
        <w:rPr>
          <w:lang w:val="en-GB"/>
        </w:rPr>
        <w:t xml:space="preserve"> from the middle line. </w:t>
      </w:r>
    </w:p>
    <w:p w14:paraId="0667FA8C" w14:textId="1A79FAFB" w:rsidR="00A54103" w:rsidRDefault="00D1792A" w:rsidP="00453E24">
      <w:pPr>
        <w:pStyle w:val="CETBodytext"/>
        <w:rPr>
          <w:lang w:val="en-GB"/>
        </w:rPr>
      </w:pPr>
      <w:r>
        <w:rPr>
          <w:lang w:val="en-GB"/>
        </w:rPr>
        <w:t xml:space="preserve">Hence, </w:t>
      </w:r>
      <w:r w:rsidR="009C127E">
        <w:rPr>
          <w:lang w:val="en-GB"/>
        </w:rPr>
        <w:t xml:space="preserve">the fixed bed thermal behavior </w:t>
      </w:r>
      <w:r>
        <w:rPr>
          <w:lang w:val="en-GB"/>
        </w:rPr>
        <w:t xml:space="preserve">was reconstructed </w:t>
      </w:r>
      <w:r w:rsidR="009C127E">
        <w:rPr>
          <w:lang w:val="en-GB"/>
        </w:rPr>
        <w:t xml:space="preserve">by using linear interpolation of </w:t>
      </w:r>
      <w:r>
        <w:rPr>
          <w:lang w:val="en-GB"/>
        </w:rPr>
        <w:t xml:space="preserve">the </w:t>
      </w:r>
      <w:r w:rsidR="009C127E">
        <w:rPr>
          <w:lang w:val="en-GB"/>
        </w:rPr>
        <w:t>temperatures</w:t>
      </w:r>
      <w:r w:rsidR="00E8210C">
        <w:rPr>
          <w:lang w:val="en-GB"/>
        </w:rPr>
        <w:t xml:space="preserve"> </w:t>
      </w:r>
      <w:r>
        <w:rPr>
          <w:lang w:val="en-GB"/>
        </w:rPr>
        <w:t>measured in the positions shown in Figure 2b</w:t>
      </w:r>
      <w:r w:rsidR="009C127E">
        <w:rPr>
          <w:lang w:val="en-GB"/>
        </w:rPr>
        <w:t xml:space="preserve">, </w:t>
      </w:r>
      <w:r>
        <w:rPr>
          <w:lang w:val="en-GB"/>
        </w:rPr>
        <w:t>allowing to evaluate this behaviou</w:t>
      </w:r>
      <w:r w:rsidR="00411AA8">
        <w:rPr>
          <w:lang w:val="en-GB"/>
        </w:rPr>
        <w:t>r</w:t>
      </w:r>
      <w:r>
        <w:rPr>
          <w:lang w:val="en-GB"/>
        </w:rPr>
        <w:t xml:space="preserve"> for</w:t>
      </w:r>
      <w:r w:rsidR="009C127E">
        <w:rPr>
          <w:lang w:val="en-GB"/>
        </w:rPr>
        <w:t xml:space="preserve"> different operating conditions.</w:t>
      </w:r>
    </w:p>
    <w:p w14:paraId="7F0734D7" w14:textId="0DFDBCBA" w:rsidR="00A54103" w:rsidRDefault="00A54103" w:rsidP="00A54103">
      <w:pPr>
        <w:pStyle w:val="CETBodytext"/>
        <w:rPr>
          <w:lang w:val="en-GB"/>
        </w:rPr>
      </w:pPr>
      <w:r>
        <w:rPr>
          <w:lang w:val="en-GB"/>
        </w:rPr>
        <w:t>The ai</w:t>
      </w:r>
      <w:r w:rsidR="006351EB">
        <w:rPr>
          <w:lang w:val="en-GB"/>
        </w:rPr>
        <w:t>r excess ratio</w:t>
      </w:r>
      <w:r>
        <w:rPr>
          <w:lang w:val="en-GB"/>
        </w:rPr>
        <w:t xml:space="preserve"> is </w:t>
      </w:r>
    </w:p>
    <w:tbl>
      <w:tblPr>
        <w:tblW w:w="5000" w:type="pct"/>
        <w:tblLook w:val="04A0" w:firstRow="1" w:lastRow="0" w:firstColumn="1" w:lastColumn="0" w:noHBand="0" w:noVBand="1"/>
      </w:tblPr>
      <w:tblGrid>
        <w:gridCol w:w="7982"/>
        <w:gridCol w:w="805"/>
      </w:tblGrid>
      <w:tr w:rsidR="00FE333F" w:rsidRPr="00B57B36" w14:paraId="5DD3CF9B" w14:textId="77777777" w:rsidTr="007B5A6D">
        <w:tc>
          <w:tcPr>
            <w:tcW w:w="8188" w:type="dxa"/>
            <w:shd w:val="clear" w:color="auto" w:fill="auto"/>
            <w:vAlign w:val="center"/>
          </w:tcPr>
          <w:p w14:paraId="7C998C13" w14:textId="5CF80E88" w:rsidR="005F691E" w:rsidRPr="005F691E" w:rsidRDefault="005F691E" w:rsidP="005F691E">
            <w:pPr>
              <w:pStyle w:val="CETEquation"/>
            </w:pPr>
            <m:oMathPara>
              <m:oMathParaPr>
                <m:jc m:val="left"/>
              </m:oMathParaPr>
              <m:oMath>
                <m:r>
                  <w:rPr>
                    <w:rFonts w:ascii="Cambria Math" w:hAnsi="Cambria Math"/>
                  </w:rPr>
                  <m:t>λ</m:t>
                </m:r>
                <m:r>
                  <m:rPr>
                    <m:sty m:val="p"/>
                  </m:rPr>
                  <w:rPr>
                    <w:rFonts w:ascii="Cambria Math" w:hAnsi="Cambria Math"/>
                  </w:rPr>
                  <m:t xml:space="preserve">= </m:t>
                </m:r>
                <m:f>
                  <m:fPr>
                    <m:ctrlPr>
                      <w:rPr>
                        <w:rFonts w:ascii="Cambria Math" w:hAnsi="Cambria Math"/>
                      </w:rPr>
                    </m:ctrlPr>
                  </m:fPr>
                  <m:num>
                    <m:r>
                      <w:rPr>
                        <w:rFonts w:ascii="Cambria Math" w:hAnsi="Cambria Math"/>
                      </w:rPr>
                      <m:t>α</m:t>
                    </m:r>
                  </m:num>
                  <m:den>
                    <m:sSub>
                      <m:sSubPr>
                        <m:ctrlPr>
                          <w:rPr>
                            <w:rFonts w:ascii="Cambria Math" w:hAnsi="Cambria Math"/>
                          </w:rPr>
                        </m:ctrlPr>
                      </m:sSubPr>
                      <m:e>
                        <m:r>
                          <w:rPr>
                            <w:rFonts w:ascii="Cambria Math" w:hAnsi="Cambria Math"/>
                          </w:rPr>
                          <m:t>α</m:t>
                        </m:r>
                      </m:e>
                      <m:sub>
                        <m:r>
                          <w:rPr>
                            <w:rFonts w:ascii="Cambria Math" w:hAnsi="Cambria Math"/>
                          </w:rPr>
                          <m:t>st</m:t>
                        </m:r>
                      </m:sub>
                    </m:sSub>
                  </m:den>
                </m:f>
                <m:r>
                  <m:rPr>
                    <m:sty m:val="p"/>
                  </m:rPr>
                  <w:rPr>
                    <w:rFonts w:ascii="Cambria Math" w:hAnsi="Cambria Math"/>
                  </w:rPr>
                  <m:t xml:space="preserve">  </m:t>
                </m:r>
              </m:oMath>
            </m:oMathPara>
          </w:p>
        </w:tc>
        <w:tc>
          <w:tcPr>
            <w:tcW w:w="815" w:type="dxa"/>
            <w:shd w:val="clear" w:color="auto" w:fill="auto"/>
            <w:vAlign w:val="center"/>
          </w:tcPr>
          <w:p w14:paraId="299FB688" w14:textId="77777777" w:rsidR="005F691E" w:rsidRPr="00B57B36" w:rsidRDefault="005F691E" w:rsidP="007B5A6D">
            <w:pPr>
              <w:pStyle w:val="CETEquation"/>
              <w:jc w:val="right"/>
            </w:pPr>
            <w:r w:rsidRPr="00B57B36">
              <w:t>(1)</w:t>
            </w:r>
          </w:p>
        </w:tc>
      </w:tr>
    </w:tbl>
    <w:p w14:paraId="3728652E" w14:textId="4824D6AF" w:rsidR="00A54103" w:rsidRDefault="005F691E" w:rsidP="00453E24">
      <w:pPr>
        <w:pStyle w:val="CETBodytext"/>
        <w:rPr>
          <w:lang w:val="en-GB"/>
        </w:rPr>
      </w:pPr>
      <w:r>
        <w:rPr>
          <w:lang w:val="en-GB"/>
        </w:rPr>
        <w:t>w</w:t>
      </w:r>
      <w:r w:rsidR="00A54103" w:rsidRPr="00D1792A">
        <w:rPr>
          <w:szCs w:val="18"/>
          <w:lang w:val="en-GB"/>
        </w:rPr>
        <w:t xml:space="preserve">here </w:t>
      </w:r>
      <m:oMath>
        <m:r>
          <w:rPr>
            <w:rFonts w:ascii="Cambria Math" w:hAnsi="Cambria Math"/>
            <w:szCs w:val="18"/>
            <w:lang w:val="en-GB"/>
          </w:rPr>
          <m:t>α</m:t>
        </m:r>
      </m:oMath>
      <w:r w:rsidR="00A54103" w:rsidRPr="00D1792A">
        <w:rPr>
          <w:szCs w:val="18"/>
          <w:lang w:val="en-GB"/>
        </w:rPr>
        <w:t xml:space="preserve"> represents</w:t>
      </w:r>
      <w:r w:rsidR="00A54103">
        <w:rPr>
          <w:lang w:val="en-GB"/>
        </w:rPr>
        <w:t xml:space="preserve"> the air-to-fuel ratio </w:t>
      </w:r>
    </w:p>
    <w:tbl>
      <w:tblPr>
        <w:tblW w:w="5000" w:type="pct"/>
        <w:tblLook w:val="04A0" w:firstRow="1" w:lastRow="0" w:firstColumn="1" w:lastColumn="0" w:noHBand="0" w:noVBand="1"/>
      </w:tblPr>
      <w:tblGrid>
        <w:gridCol w:w="7983"/>
        <w:gridCol w:w="804"/>
      </w:tblGrid>
      <w:tr w:rsidR="00FE333F" w:rsidRPr="00B57B36" w14:paraId="71881C1F" w14:textId="77777777" w:rsidTr="007B5A6D">
        <w:tc>
          <w:tcPr>
            <w:tcW w:w="8188" w:type="dxa"/>
            <w:shd w:val="clear" w:color="auto" w:fill="auto"/>
            <w:vAlign w:val="center"/>
          </w:tcPr>
          <w:p w14:paraId="436EC441" w14:textId="0570935D" w:rsidR="005F691E" w:rsidRPr="005F691E" w:rsidRDefault="005F691E" w:rsidP="005F691E">
            <w:pPr>
              <w:pStyle w:val="CETEquation"/>
            </w:pPr>
            <m:oMathPara>
              <m:oMathParaPr>
                <m:jc m:val="left"/>
              </m:oMathParaPr>
              <m:oMath>
                <m:r>
                  <w:rPr>
                    <w:rFonts w:ascii="Cambria Math" w:hAnsi="Cambria Math"/>
                  </w:rPr>
                  <m:t>α</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m</m:t>
                        </m:r>
                      </m:e>
                      <m:sub>
                        <m:r>
                          <w:rPr>
                            <w:rFonts w:ascii="Cambria Math" w:hAnsi="Cambria Math"/>
                          </w:rPr>
                          <m:t>a</m:t>
                        </m:r>
                        <m:r>
                          <m:rPr>
                            <m:sty m:val="p"/>
                          </m:rPr>
                          <w:rPr>
                            <w:rFonts w:ascii="Cambria Math" w:hAnsi="Cambria Math"/>
                          </w:rPr>
                          <m:t>,</m:t>
                        </m:r>
                        <m:r>
                          <w:rPr>
                            <w:rFonts w:ascii="Cambria Math" w:hAnsi="Cambria Math"/>
                          </w:rPr>
                          <m:t>p</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a</m:t>
                        </m:r>
                        <m:r>
                          <m:rPr>
                            <m:sty m:val="p"/>
                          </m:rPr>
                          <w:rPr>
                            <w:rFonts w:ascii="Cambria Math" w:hAnsi="Cambria Math"/>
                          </w:rPr>
                          <m:t>,</m:t>
                        </m:r>
                        <m:r>
                          <w:rPr>
                            <w:rFonts w:ascii="Cambria Math" w:hAnsi="Cambria Math"/>
                          </w:rPr>
                          <m:t>s</m:t>
                        </m:r>
                      </m:sub>
                    </m:sSub>
                  </m:num>
                  <m:den>
                    <m:sSub>
                      <m:sSubPr>
                        <m:ctrlPr>
                          <w:rPr>
                            <w:rFonts w:ascii="Cambria Math" w:hAnsi="Cambria Math"/>
                          </w:rPr>
                        </m:ctrlPr>
                      </m:sSubPr>
                      <m:e>
                        <m:r>
                          <w:rPr>
                            <w:rFonts w:ascii="Cambria Math" w:hAnsi="Cambria Math"/>
                          </w:rPr>
                          <m:t>m</m:t>
                        </m:r>
                      </m:e>
                      <m:sub>
                        <m:r>
                          <w:rPr>
                            <w:rFonts w:ascii="Cambria Math" w:hAnsi="Cambria Math"/>
                          </w:rPr>
                          <m:t>b</m:t>
                        </m:r>
                      </m:sub>
                    </m:sSub>
                  </m:den>
                </m:f>
              </m:oMath>
            </m:oMathPara>
          </w:p>
        </w:tc>
        <w:tc>
          <w:tcPr>
            <w:tcW w:w="815" w:type="dxa"/>
            <w:shd w:val="clear" w:color="auto" w:fill="auto"/>
            <w:vAlign w:val="center"/>
          </w:tcPr>
          <w:p w14:paraId="0B6BC204" w14:textId="48D5E219" w:rsidR="005F691E" w:rsidRPr="00B57B36" w:rsidRDefault="005F691E" w:rsidP="007B5A6D">
            <w:pPr>
              <w:pStyle w:val="CETEquation"/>
              <w:jc w:val="right"/>
            </w:pPr>
            <w:r w:rsidRPr="00B57B36">
              <w:t>(</w:t>
            </w:r>
            <w:r>
              <w:t>2</w:t>
            </w:r>
            <w:r w:rsidRPr="00B57B36">
              <w:t>)</w:t>
            </w:r>
          </w:p>
        </w:tc>
      </w:tr>
    </w:tbl>
    <w:p w14:paraId="6B9B4D3E" w14:textId="6DD7E093" w:rsidR="00A6174F" w:rsidRDefault="00D1792A" w:rsidP="00453E24">
      <w:pPr>
        <w:pStyle w:val="CETBodytext"/>
        <w:rPr>
          <w:lang w:val="en-GB"/>
        </w:rPr>
      </w:pPr>
      <w:r>
        <w:rPr>
          <w:lang w:val="en-GB"/>
        </w:rPr>
        <w:t>In the present system</w:t>
      </w:r>
      <w:r w:rsidR="002A5D1F">
        <w:rPr>
          <w:lang w:val="en-GB"/>
        </w:rPr>
        <w:t xml:space="preserve">, </w:t>
      </w:r>
      <m:oMath>
        <m:r>
          <w:rPr>
            <w:rFonts w:ascii="Cambria Math" w:hAnsi="Cambria Math"/>
            <w:lang w:val="en-GB"/>
          </w:rPr>
          <m:t>α</m:t>
        </m:r>
      </m:oMath>
      <w:r w:rsidR="002A5D1F" w:rsidRPr="002A5D1F">
        <w:rPr>
          <w:lang w:val="en-GB"/>
        </w:rPr>
        <w:t xml:space="preserve"> can be </w:t>
      </w:r>
      <w:r w:rsidR="001A7575">
        <w:rPr>
          <w:lang w:val="en-GB"/>
        </w:rPr>
        <w:t xml:space="preserve">directly </w:t>
      </w:r>
      <w:r w:rsidR="002A5D1F" w:rsidRPr="002A5D1F">
        <w:rPr>
          <w:lang w:val="en-GB"/>
        </w:rPr>
        <w:t>derived from the flue gas oxygen content</w:t>
      </w:r>
      <w:r w:rsidR="000C0BD1">
        <w:rPr>
          <w:lang w:val="en-GB"/>
        </w:rPr>
        <w:t xml:space="preserve">, and </w:t>
      </w:r>
      <m:oMath>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b</m:t>
            </m:r>
          </m:sub>
        </m:sSub>
      </m:oMath>
      <w:r w:rsidR="000C0BD1">
        <w:rPr>
          <w:lang w:val="en-GB"/>
        </w:rPr>
        <w:t xml:space="preserve"> is calculated from </w:t>
      </w:r>
      <w:r w:rsidR="00F707D5">
        <w:rPr>
          <w:lang w:val="en-GB"/>
        </w:rPr>
        <w:t>the air-to-fuel ratio</w:t>
      </w:r>
      <w:r w:rsidR="00C55F75">
        <w:rPr>
          <w:lang w:val="en-GB"/>
        </w:rPr>
        <w:t xml:space="preserve"> knowing the total air flow rate</w:t>
      </w:r>
      <w:r w:rsidR="00B52ACE">
        <w:rPr>
          <w:lang w:val="en-GB"/>
        </w:rPr>
        <w:t xml:space="preserve"> (Caposciutti et al., 2018)</w:t>
      </w:r>
      <w:r w:rsidR="000235C0">
        <w:rPr>
          <w:lang w:val="en-GB"/>
        </w:rPr>
        <w:t>.</w:t>
      </w:r>
    </w:p>
    <w:p w14:paraId="678859DC" w14:textId="08394EBF" w:rsidR="002E6F55" w:rsidRDefault="00F707D5" w:rsidP="006351EB">
      <w:pPr>
        <w:pStyle w:val="CETBodytext"/>
        <w:rPr>
          <w:lang w:val="en-GB"/>
        </w:rPr>
      </w:pPr>
      <w:r>
        <w:rPr>
          <w:lang w:val="en-GB"/>
        </w:rPr>
        <w:t xml:space="preserve">Moreover, </w:t>
      </w:r>
      <w:r w:rsidR="002E6F55">
        <w:rPr>
          <w:lang w:val="en-GB"/>
        </w:rPr>
        <w:t>the</w:t>
      </w:r>
      <w:r w:rsidR="006351EB">
        <w:rPr>
          <w:lang w:val="en-GB"/>
        </w:rPr>
        <w:t xml:space="preserve"> primary air excess ratio can be defined as</w:t>
      </w:r>
      <w:r w:rsidR="006351EB" w:rsidDel="006351EB">
        <w:rPr>
          <w:lang w:val="en-GB"/>
        </w:rPr>
        <w:t xml:space="preserve"> </w:t>
      </w:r>
      <w:r w:rsidR="002E6F55">
        <w:rPr>
          <w:lang w:val="en-GB"/>
        </w:rPr>
        <w:t>:</w:t>
      </w:r>
    </w:p>
    <w:tbl>
      <w:tblPr>
        <w:tblW w:w="5000" w:type="pct"/>
        <w:tblLook w:val="04A0" w:firstRow="1" w:lastRow="0" w:firstColumn="1" w:lastColumn="0" w:noHBand="0" w:noVBand="1"/>
      </w:tblPr>
      <w:tblGrid>
        <w:gridCol w:w="7983"/>
        <w:gridCol w:w="804"/>
      </w:tblGrid>
      <w:tr w:rsidR="00FE333F" w:rsidRPr="00B57B36" w14:paraId="52238A4F" w14:textId="77777777" w:rsidTr="007B5A6D">
        <w:tc>
          <w:tcPr>
            <w:tcW w:w="8188" w:type="dxa"/>
            <w:shd w:val="clear" w:color="auto" w:fill="auto"/>
            <w:vAlign w:val="center"/>
          </w:tcPr>
          <w:p w14:paraId="4D14E5E2" w14:textId="225FCE33" w:rsidR="00176441" w:rsidRPr="00176441" w:rsidRDefault="008646CC" w:rsidP="00176441">
            <w:pPr>
              <w:pStyle w:val="CETEquation"/>
            </w:pPr>
            <m:oMathPara>
              <m:oMathParaPr>
                <m:jc m:val="left"/>
              </m:oMathParaPr>
              <m:oMath>
                <m:sSub>
                  <m:sSubPr>
                    <m:ctrlPr>
                      <w:rPr>
                        <w:rFonts w:ascii="Cambria Math" w:hAnsi="Cambria Math"/>
                      </w:rPr>
                    </m:ctrlPr>
                  </m:sSubPr>
                  <m:e>
                    <m:r>
                      <w:rPr>
                        <w:rFonts w:ascii="Cambria Math" w:hAnsi="Cambria Math"/>
                      </w:rPr>
                      <m:t>λ</m:t>
                    </m:r>
                  </m:e>
                  <m:sub>
                    <m:r>
                      <w:rPr>
                        <w:rFonts w:ascii="Cambria Math" w:hAnsi="Cambria Math"/>
                      </w:rPr>
                      <m:t>p</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m</m:t>
                        </m:r>
                      </m:e>
                      <m:sub>
                        <m:r>
                          <w:rPr>
                            <w:rFonts w:ascii="Cambria Math" w:hAnsi="Cambria Math"/>
                          </w:rPr>
                          <m:t>a</m:t>
                        </m:r>
                        <m:r>
                          <m:rPr>
                            <m:sty m:val="p"/>
                          </m:rPr>
                          <w:rPr>
                            <w:rFonts w:ascii="Cambria Math" w:hAnsi="Cambria Math"/>
                          </w:rPr>
                          <m:t>,</m:t>
                        </m:r>
                        <m:r>
                          <w:rPr>
                            <w:rFonts w:ascii="Cambria Math" w:hAnsi="Cambria Math"/>
                          </w:rPr>
                          <m:t>p</m:t>
                        </m:r>
                      </m:sub>
                    </m:sSub>
                  </m:num>
                  <m:den>
                    <m:sSub>
                      <m:sSubPr>
                        <m:ctrlPr>
                          <w:rPr>
                            <w:rFonts w:ascii="Cambria Math" w:hAnsi="Cambria Math"/>
                          </w:rPr>
                        </m:ctrlPr>
                      </m:sSubPr>
                      <m:e>
                        <m:r>
                          <w:rPr>
                            <w:rFonts w:ascii="Cambria Math" w:hAnsi="Cambria Math"/>
                          </w:rPr>
                          <m:t>m</m:t>
                        </m:r>
                      </m:e>
                      <m:sub>
                        <m:r>
                          <w:rPr>
                            <w:rFonts w:ascii="Cambria Math" w:hAnsi="Cambria Math"/>
                          </w:rPr>
                          <m:t>b</m:t>
                        </m:r>
                      </m:sub>
                    </m:sSub>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α</m:t>
                        </m:r>
                      </m:e>
                      <m:sub>
                        <m:r>
                          <w:rPr>
                            <w:rFonts w:ascii="Cambria Math" w:hAnsi="Cambria Math"/>
                          </w:rPr>
                          <m:t>st</m:t>
                        </m:r>
                      </m:sub>
                    </m:sSub>
                  </m:den>
                </m:f>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α</m:t>
                        </m:r>
                      </m:e>
                      <m:sub>
                        <m:r>
                          <w:rPr>
                            <w:rFonts w:ascii="Cambria Math" w:hAnsi="Cambria Math"/>
                          </w:rPr>
                          <m:t>p</m:t>
                        </m:r>
                      </m:sub>
                    </m:sSub>
                  </m:num>
                  <m:den>
                    <m:sSub>
                      <m:sSubPr>
                        <m:ctrlPr>
                          <w:rPr>
                            <w:rFonts w:ascii="Cambria Math" w:hAnsi="Cambria Math"/>
                          </w:rPr>
                        </m:ctrlPr>
                      </m:sSubPr>
                      <m:e>
                        <m:r>
                          <w:rPr>
                            <w:rFonts w:ascii="Cambria Math" w:hAnsi="Cambria Math"/>
                          </w:rPr>
                          <m:t>α</m:t>
                        </m:r>
                      </m:e>
                      <m:sub>
                        <m:r>
                          <w:rPr>
                            <w:rFonts w:ascii="Cambria Math" w:hAnsi="Cambria Math"/>
                          </w:rPr>
                          <m:t>st</m:t>
                        </m:r>
                      </m:sub>
                    </m:sSub>
                  </m:den>
                </m:f>
              </m:oMath>
            </m:oMathPara>
          </w:p>
        </w:tc>
        <w:tc>
          <w:tcPr>
            <w:tcW w:w="815" w:type="dxa"/>
            <w:shd w:val="clear" w:color="auto" w:fill="auto"/>
            <w:vAlign w:val="center"/>
          </w:tcPr>
          <w:p w14:paraId="35C3FBD3" w14:textId="44D16C9F" w:rsidR="00176441" w:rsidRPr="00B57B36" w:rsidRDefault="00176441" w:rsidP="007B5A6D">
            <w:pPr>
              <w:pStyle w:val="CETEquation"/>
              <w:jc w:val="right"/>
            </w:pPr>
            <w:r w:rsidRPr="00B57B36">
              <w:t>(</w:t>
            </w:r>
            <w:r>
              <w:t>3</w:t>
            </w:r>
            <w:r w:rsidRPr="00B57B36">
              <w:t>)</w:t>
            </w:r>
          </w:p>
        </w:tc>
      </w:tr>
    </w:tbl>
    <w:p w14:paraId="520D5C44" w14:textId="7E5A9993" w:rsidR="00E8210C" w:rsidRDefault="00E9066C" w:rsidP="00453E24">
      <w:pPr>
        <w:pStyle w:val="CETBodytext"/>
        <w:rPr>
          <w:lang w:val="en-GB"/>
        </w:rPr>
      </w:pPr>
      <w:r>
        <w:rPr>
          <w:lang w:val="en-GB"/>
        </w:rPr>
        <w:t xml:space="preserve">Finally, </w:t>
      </w:r>
      <w:r w:rsidR="006351EB">
        <w:rPr>
          <w:lang w:val="en-GB"/>
        </w:rPr>
        <w:t xml:space="preserve">the </w:t>
      </w:r>
      <w:r w:rsidR="00A6174F">
        <w:rPr>
          <w:lang w:val="en-GB"/>
        </w:rPr>
        <w:t xml:space="preserve">recirculation ratio </w:t>
      </w:r>
      <w:r w:rsidR="00A6174F" w:rsidRPr="00B6202C">
        <w:rPr>
          <w:i/>
          <w:iCs/>
          <w:lang w:val="en-GB"/>
        </w:rPr>
        <w:t>R</w:t>
      </w:r>
      <w:r w:rsidR="00A6174F">
        <w:rPr>
          <w:lang w:val="en-GB"/>
        </w:rPr>
        <w:t xml:space="preserve"> </w:t>
      </w:r>
      <w:r w:rsidR="006351EB">
        <w:rPr>
          <w:lang w:val="en-GB"/>
        </w:rPr>
        <w:t xml:space="preserve">represents </w:t>
      </w:r>
      <w:r w:rsidR="00D1792A">
        <w:rPr>
          <w:lang w:val="en-GB"/>
        </w:rPr>
        <w:t xml:space="preserve">the </w:t>
      </w:r>
      <w:r w:rsidR="006351EB">
        <w:rPr>
          <w:lang w:val="en-GB"/>
        </w:rPr>
        <w:t>ratio between the recirculated and total flue gas mass flow, i.e.:</w:t>
      </w:r>
    </w:p>
    <w:tbl>
      <w:tblPr>
        <w:tblW w:w="5000" w:type="pct"/>
        <w:tblLook w:val="04A0" w:firstRow="1" w:lastRow="0" w:firstColumn="1" w:lastColumn="0" w:noHBand="0" w:noVBand="1"/>
      </w:tblPr>
      <w:tblGrid>
        <w:gridCol w:w="7982"/>
        <w:gridCol w:w="805"/>
      </w:tblGrid>
      <w:tr w:rsidR="00FE333F" w:rsidRPr="00B57B36" w14:paraId="07221F08" w14:textId="77777777" w:rsidTr="007B5A6D">
        <w:tc>
          <w:tcPr>
            <w:tcW w:w="8188" w:type="dxa"/>
            <w:shd w:val="clear" w:color="auto" w:fill="auto"/>
            <w:vAlign w:val="center"/>
          </w:tcPr>
          <w:p w14:paraId="09A308EC" w14:textId="740B07F1" w:rsidR="002E4443" w:rsidRPr="002E4443" w:rsidRDefault="002E4443" w:rsidP="002E4443">
            <w:pPr>
              <w:pStyle w:val="CETEquation"/>
            </w:pPr>
            <m:oMathPara>
              <m:oMathParaPr>
                <m:jc m:val="left"/>
              </m:oMathParaPr>
              <m:oMath>
                <m:r>
                  <w:rPr>
                    <w:rFonts w:ascii="Cambria Math" w:hAnsi="Cambria Math"/>
                  </w:rPr>
                  <m:t>R</m:t>
                </m:r>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m</m:t>
                        </m:r>
                      </m:e>
                      <m:sub>
                        <m:r>
                          <w:rPr>
                            <w:rFonts w:ascii="Cambria Math" w:hAnsi="Cambria Math"/>
                          </w:rPr>
                          <m:t>R</m:t>
                        </m:r>
                      </m:sub>
                    </m:sSub>
                  </m:num>
                  <m:den>
                    <m:sSub>
                      <m:sSubPr>
                        <m:ctrlPr>
                          <w:rPr>
                            <w:rFonts w:ascii="Cambria Math" w:hAnsi="Cambria Math"/>
                          </w:rPr>
                        </m:ctrlPr>
                      </m:sSubPr>
                      <m:e>
                        <m:r>
                          <w:rPr>
                            <w:rFonts w:ascii="Cambria Math" w:hAnsi="Cambria Math"/>
                          </w:rPr>
                          <m:t>m</m:t>
                        </m:r>
                      </m:e>
                      <m:sub>
                        <m:r>
                          <w:rPr>
                            <w:rFonts w:ascii="Cambria Math" w:hAnsi="Cambria Math"/>
                          </w:rPr>
                          <m:t>F</m:t>
                        </m:r>
                      </m:sub>
                    </m:sSub>
                  </m:den>
                </m:f>
              </m:oMath>
            </m:oMathPara>
          </w:p>
        </w:tc>
        <w:tc>
          <w:tcPr>
            <w:tcW w:w="815" w:type="dxa"/>
            <w:shd w:val="clear" w:color="auto" w:fill="auto"/>
            <w:vAlign w:val="center"/>
          </w:tcPr>
          <w:p w14:paraId="4E99FFE1" w14:textId="3DF6DF75" w:rsidR="002E4443" w:rsidRPr="00B57B36" w:rsidRDefault="002E4443" w:rsidP="007B5A6D">
            <w:pPr>
              <w:pStyle w:val="CETEquation"/>
              <w:jc w:val="right"/>
            </w:pPr>
            <w:r w:rsidRPr="00B57B36">
              <w:t>(</w:t>
            </w:r>
            <w:r>
              <w:t>4</w:t>
            </w:r>
            <w:r w:rsidRPr="00B57B36">
              <w:t>)</w:t>
            </w:r>
          </w:p>
        </w:tc>
      </w:tr>
    </w:tbl>
    <w:p w14:paraId="3F0093C5" w14:textId="367976BB" w:rsidR="00A6174F" w:rsidRDefault="00A6174F" w:rsidP="00453E24">
      <w:pPr>
        <w:pStyle w:val="CETBodytext"/>
        <w:rPr>
          <w:lang w:val="en-GB"/>
        </w:rPr>
      </w:pPr>
    </w:p>
    <w:p w14:paraId="6CCCC364" w14:textId="0DD7B14F" w:rsidR="009507DC" w:rsidRDefault="009507DC" w:rsidP="00453E24">
      <w:pPr>
        <w:pStyle w:val="CETBodytext"/>
        <w:rPr>
          <w:lang w:val="en-GB"/>
        </w:rPr>
      </w:pPr>
      <w:r>
        <w:rPr>
          <w:lang w:val="en-GB"/>
        </w:rPr>
        <w:t xml:space="preserve">The biomass </w:t>
      </w:r>
      <w:r w:rsidR="006351EB">
        <w:rPr>
          <w:lang w:val="en-GB"/>
        </w:rPr>
        <w:t>was</w:t>
      </w:r>
      <w:r>
        <w:rPr>
          <w:lang w:val="en-GB"/>
        </w:rPr>
        <w:t xml:space="preserve"> </w:t>
      </w:r>
      <w:r w:rsidR="007E1F9C">
        <w:rPr>
          <w:lang w:val="en-GB"/>
        </w:rPr>
        <w:t xml:space="preserve">poplar woodchips </w:t>
      </w:r>
      <w:r w:rsidR="00C82772">
        <w:rPr>
          <w:lang w:val="en-GB"/>
        </w:rPr>
        <w:t>whose</w:t>
      </w:r>
      <w:r w:rsidR="007E1F9C">
        <w:rPr>
          <w:lang w:val="en-GB"/>
        </w:rPr>
        <w:t xml:space="preserve"> composition </w:t>
      </w:r>
      <w:r w:rsidR="00C82772">
        <w:rPr>
          <w:lang w:val="en-GB"/>
        </w:rPr>
        <w:t xml:space="preserve">is </w:t>
      </w:r>
      <w:r w:rsidR="007E1F9C">
        <w:rPr>
          <w:lang w:val="en-GB"/>
        </w:rPr>
        <w:t>reported in Table 1.</w:t>
      </w:r>
    </w:p>
    <w:p w14:paraId="61063240" w14:textId="26B9CA10" w:rsidR="007E1F9C" w:rsidRPr="00B57B36" w:rsidRDefault="007E1F9C" w:rsidP="007E1F9C">
      <w:pPr>
        <w:pStyle w:val="CETTabletitle"/>
      </w:pPr>
      <w:r w:rsidRPr="00B57B36">
        <w:lastRenderedPageBreak/>
        <w:t>Table 1:</w:t>
      </w:r>
      <w:r w:rsidR="009E364A">
        <w:t xml:space="preserve"> </w:t>
      </w:r>
      <w:r>
        <w:t>Biomass characteristics</w:t>
      </w:r>
      <w:r w:rsidR="00EE5902">
        <w:t>.</w:t>
      </w:r>
    </w:p>
    <w:tbl>
      <w:tblPr>
        <w:tblW w:w="0" w:type="auto"/>
        <w:jc w:val="center"/>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097"/>
        <w:gridCol w:w="1097"/>
        <w:gridCol w:w="1097"/>
        <w:gridCol w:w="1097"/>
        <w:gridCol w:w="1093"/>
        <w:gridCol w:w="1093"/>
        <w:gridCol w:w="1093"/>
      </w:tblGrid>
      <w:tr w:rsidR="007E1F9C" w:rsidRPr="00B57B36" w14:paraId="64D23200" w14:textId="1D7DD4DD" w:rsidTr="00F57A6E">
        <w:trPr>
          <w:jc w:val="center"/>
        </w:trPr>
        <w:tc>
          <w:tcPr>
            <w:tcW w:w="1097" w:type="dxa"/>
            <w:tcBorders>
              <w:top w:val="single" w:sz="12" w:space="0" w:color="008000"/>
              <w:bottom w:val="single" w:sz="6" w:space="0" w:color="008000"/>
            </w:tcBorders>
            <w:shd w:val="clear" w:color="auto" w:fill="FFFFFF"/>
          </w:tcPr>
          <w:p w14:paraId="5A7BDCB6" w14:textId="278E1E2C" w:rsidR="007E1F9C" w:rsidRPr="00B57B36" w:rsidRDefault="007E1F9C" w:rsidP="007132E8">
            <w:pPr>
              <w:pStyle w:val="CETBodytext"/>
              <w:rPr>
                <w:lang w:val="en-GB"/>
              </w:rPr>
            </w:pPr>
            <w:r>
              <w:rPr>
                <w:lang w:val="en-GB"/>
              </w:rPr>
              <w:t>C</w:t>
            </w:r>
          </w:p>
        </w:tc>
        <w:tc>
          <w:tcPr>
            <w:tcW w:w="1097" w:type="dxa"/>
            <w:tcBorders>
              <w:top w:val="single" w:sz="12" w:space="0" w:color="008000"/>
              <w:bottom w:val="single" w:sz="6" w:space="0" w:color="008000"/>
            </w:tcBorders>
            <w:shd w:val="clear" w:color="auto" w:fill="FFFFFF"/>
          </w:tcPr>
          <w:p w14:paraId="5CCF0702" w14:textId="2CECB74C" w:rsidR="007E1F9C" w:rsidRPr="00B57B36" w:rsidRDefault="007E1F9C" w:rsidP="007132E8">
            <w:pPr>
              <w:pStyle w:val="CETBodytext"/>
              <w:rPr>
                <w:lang w:val="en-GB"/>
              </w:rPr>
            </w:pPr>
            <w:r>
              <w:rPr>
                <w:lang w:val="en-GB"/>
              </w:rPr>
              <w:t>H</w:t>
            </w:r>
          </w:p>
        </w:tc>
        <w:tc>
          <w:tcPr>
            <w:tcW w:w="1097" w:type="dxa"/>
            <w:tcBorders>
              <w:top w:val="single" w:sz="12" w:space="0" w:color="008000"/>
              <w:bottom w:val="single" w:sz="6" w:space="0" w:color="008000"/>
            </w:tcBorders>
            <w:shd w:val="clear" w:color="auto" w:fill="FFFFFF"/>
          </w:tcPr>
          <w:p w14:paraId="0D4CD037" w14:textId="1040A5B8" w:rsidR="007E1F9C" w:rsidRPr="00B57B36" w:rsidRDefault="007E1F9C" w:rsidP="007132E8">
            <w:pPr>
              <w:pStyle w:val="CETBodytext"/>
              <w:ind w:right="-1"/>
              <w:rPr>
                <w:rFonts w:cs="Arial"/>
                <w:szCs w:val="18"/>
                <w:lang w:val="en-GB"/>
              </w:rPr>
            </w:pPr>
            <w:r>
              <w:rPr>
                <w:rFonts w:cs="Arial"/>
                <w:szCs w:val="18"/>
                <w:lang w:val="en-GB"/>
              </w:rPr>
              <w:t>N</w:t>
            </w:r>
          </w:p>
        </w:tc>
        <w:tc>
          <w:tcPr>
            <w:tcW w:w="1097" w:type="dxa"/>
            <w:tcBorders>
              <w:top w:val="single" w:sz="12" w:space="0" w:color="008000"/>
              <w:bottom w:val="single" w:sz="6" w:space="0" w:color="008000"/>
            </w:tcBorders>
            <w:shd w:val="clear" w:color="auto" w:fill="FFFFFF"/>
          </w:tcPr>
          <w:p w14:paraId="56DC8474" w14:textId="1B2245C9" w:rsidR="007E1F9C" w:rsidRPr="00B57B36" w:rsidRDefault="007E1F9C" w:rsidP="007132E8">
            <w:pPr>
              <w:pStyle w:val="CETBodytext"/>
              <w:ind w:right="-1"/>
              <w:rPr>
                <w:rFonts w:cs="Arial"/>
                <w:szCs w:val="18"/>
                <w:lang w:val="en-GB"/>
              </w:rPr>
            </w:pPr>
            <w:r>
              <w:rPr>
                <w:rFonts w:cs="Arial"/>
                <w:szCs w:val="18"/>
                <w:lang w:val="en-GB"/>
              </w:rPr>
              <w:t>O</w:t>
            </w:r>
          </w:p>
        </w:tc>
        <w:tc>
          <w:tcPr>
            <w:tcW w:w="1093" w:type="dxa"/>
            <w:tcBorders>
              <w:top w:val="single" w:sz="12" w:space="0" w:color="008000"/>
              <w:bottom w:val="single" w:sz="6" w:space="0" w:color="008000"/>
            </w:tcBorders>
            <w:shd w:val="clear" w:color="auto" w:fill="FFFFFF"/>
          </w:tcPr>
          <w:p w14:paraId="0BBC48E5" w14:textId="7638421D" w:rsidR="007E1F9C" w:rsidRDefault="007E1F9C" w:rsidP="007132E8">
            <w:pPr>
              <w:pStyle w:val="CETBodytext"/>
              <w:ind w:right="-1"/>
              <w:rPr>
                <w:rFonts w:cs="Arial"/>
                <w:szCs w:val="18"/>
                <w:lang w:val="en-GB"/>
              </w:rPr>
            </w:pPr>
            <w:r>
              <w:rPr>
                <w:rFonts w:cs="Arial"/>
                <w:szCs w:val="18"/>
                <w:lang w:val="en-GB"/>
              </w:rPr>
              <w:t>Moisture</w:t>
            </w:r>
          </w:p>
        </w:tc>
        <w:tc>
          <w:tcPr>
            <w:tcW w:w="1093" w:type="dxa"/>
            <w:tcBorders>
              <w:top w:val="single" w:sz="12" w:space="0" w:color="008000"/>
              <w:bottom w:val="single" w:sz="6" w:space="0" w:color="008000"/>
            </w:tcBorders>
            <w:shd w:val="clear" w:color="auto" w:fill="FFFFFF"/>
          </w:tcPr>
          <w:p w14:paraId="503894F0" w14:textId="07C33CE4" w:rsidR="007E1F9C" w:rsidRDefault="007E1F9C" w:rsidP="007132E8">
            <w:pPr>
              <w:pStyle w:val="CETBodytext"/>
              <w:ind w:right="-1"/>
              <w:rPr>
                <w:rFonts w:cs="Arial"/>
                <w:szCs w:val="18"/>
                <w:lang w:val="en-GB"/>
              </w:rPr>
            </w:pPr>
            <w:r>
              <w:rPr>
                <w:rFonts w:cs="Arial"/>
                <w:szCs w:val="18"/>
                <w:lang w:val="en-GB"/>
              </w:rPr>
              <w:t>Ash</w:t>
            </w:r>
          </w:p>
        </w:tc>
        <w:tc>
          <w:tcPr>
            <w:tcW w:w="1093" w:type="dxa"/>
            <w:tcBorders>
              <w:top w:val="single" w:sz="12" w:space="0" w:color="008000"/>
              <w:bottom w:val="single" w:sz="6" w:space="0" w:color="008000"/>
            </w:tcBorders>
            <w:shd w:val="clear" w:color="auto" w:fill="FFFFFF"/>
          </w:tcPr>
          <w:p w14:paraId="7F5BED0F" w14:textId="274921BA" w:rsidR="007E1F9C" w:rsidRDefault="007E1F9C" w:rsidP="007132E8">
            <w:pPr>
              <w:pStyle w:val="CETBodytext"/>
              <w:ind w:right="-1"/>
              <w:rPr>
                <w:rFonts w:cs="Arial"/>
                <w:szCs w:val="18"/>
                <w:lang w:val="en-GB"/>
              </w:rPr>
            </w:pPr>
            <w:r>
              <w:rPr>
                <w:rFonts w:cs="Arial"/>
                <w:szCs w:val="18"/>
                <w:lang w:val="en-GB"/>
              </w:rPr>
              <w:t>LHV</w:t>
            </w:r>
          </w:p>
        </w:tc>
      </w:tr>
      <w:tr w:rsidR="007E1F9C" w:rsidRPr="00B57B36" w14:paraId="39A6281D" w14:textId="676A0F56" w:rsidTr="00F57A6E">
        <w:trPr>
          <w:jc w:val="center"/>
        </w:trPr>
        <w:tc>
          <w:tcPr>
            <w:tcW w:w="1097" w:type="dxa"/>
            <w:shd w:val="clear" w:color="auto" w:fill="FFFFFF"/>
          </w:tcPr>
          <w:p w14:paraId="00FAB300" w14:textId="4089A1A7" w:rsidR="007E1F9C" w:rsidRPr="00B57B36" w:rsidRDefault="007E1F9C" w:rsidP="007132E8">
            <w:pPr>
              <w:pStyle w:val="CETBodytext"/>
              <w:rPr>
                <w:lang w:val="en-GB"/>
              </w:rPr>
            </w:pPr>
            <w:r>
              <w:rPr>
                <w:lang w:val="en-GB"/>
              </w:rPr>
              <w:t>(%d</w:t>
            </w:r>
            <w:r w:rsidR="00EE5902">
              <w:rPr>
                <w:lang w:val="en-GB"/>
              </w:rPr>
              <w:t>af</w:t>
            </w:r>
            <w:r>
              <w:rPr>
                <w:lang w:val="en-GB"/>
              </w:rPr>
              <w:t>)</w:t>
            </w:r>
          </w:p>
        </w:tc>
        <w:tc>
          <w:tcPr>
            <w:tcW w:w="1097" w:type="dxa"/>
            <w:shd w:val="clear" w:color="auto" w:fill="FFFFFF"/>
          </w:tcPr>
          <w:p w14:paraId="2CB1B8FB" w14:textId="7B0B5556" w:rsidR="007E1F9C" w:rsidRPr="00B57B36" w:rsidRDefault="007E1F9C" w:rsidP="007132E8">
            <w:pPr>
              <w:pStyle w:val="CETBodytext"/>
              <w:rPr>
                <w:lang w:val="en-GB"/>
              </w:rPr>
            </w:pPr>
            <w:r>
              <w:rPr>
                <w:lang w:val="en-GB"/>
              </w:rPr>
              <w:t>(%d</w:t>
            </w:r>
            <w:r w:rsidR="00EE5902">
              <w:rPr>
                <w:lang w:val="en-GB"/>
              </w:rPr>
              <w:t>af</w:t>
            </w:r>
            <w:r>
              <w:rPr>
                <w:lang w:val="en-GB"/>
              </w:rPr>
              <w:t>)</w:t>
            </w:r>
          </w:p>
        </w:tc>
        <w:tc>
          <w:tcPr>
            <w:tcW w:w="1097" w:type="dxa"/>
            <w:shd w:val="clear" w:color="auto" w:fill="FFFFFF"/>
          </w:tcPr>
          <w:p w14:paraId="39122E95" w14:textId="7CD5C3FE" w:rsidR="007E1F9C" w:rsidRPr="00B57B36" w:rsidRDefault="007E1F9C" w:rsidP="007132E8">
            <w:pPr>
              <w:pStyle w:val="CETBodytext"/>
              <w:ind w:right="-1"/>
              <w:rPr>
                <w:rFonts w:cs="Arial"/>
                <w:szCs w:val="18"/>
                <w:lang w:val="en-GB"/>
              </w:rPr>
            </w:pPr>
            <w:r>
              <w:rPr>
                <w:lang w:val="en-GB"/>
              </w:rPr>
              <w:t>(%d</w:t>
            </w:r>
            <w:r w:rsidR="00EE5902">
              <w:rPr>
                <w:lang w:val="en-GB"/>
              </w:rPr>
              <w:t>af</w:t>
            </w:r>
            <w:r>
              <w:rPr>
                <w:lang w:val="en-GB"/>
              </w:rPr>
              <w:t>)</w:t>
            </w:r>
          </w:p>
        </w:tc>
        <w:tc>
          <w:tcPr>
            <w:tcW w:w="1097" w:type="dxa"/>
            <w:shd w:val="clear" w:color="auto" w:fill="FFFFFF"/>
          </w:tcPr>
          <w:p w14:paraId="0991CE5B" w14:textId="2FCCDBF0" w:rsidR="007E1F9C" w:rsidRPr="00B57B36" w:rsidRDefault="007E1F9C" w:rsidP="007132E8">
            <w:pPr>
              <w:pStyle w:val="CETBodytext"/>
              <w:ind w:right="-1"/>
              <w:rPr>
                <w:rFonts w:cs="Arial"/>
                <w:szCs w:val="18"/>
                <w:lang w:val="en-GB"/>
              </w:rPr>
            </w:pPr>
            <w:r>
              <w:rPr>
                <w:lang w:val="en-GB"/>
              </w:rPr>
              <w:t>(%d</w:t>
            </w:r>
            <w:r w:rsidR="00EE5902">
              <w:rPr>
                <w:lang w:val="en-GB"/>
              </w:rPr>
              <w:t>af</w:t>
            </w:r>
            <w:r>
              <w:rPr>
                <w:lang w:val="en-GB"/>
              </w:rPr>
              <w:t>)</w:t>
            </w:r>
          </w:p>
        </w:tc>
        <w:tc>
          <w:tcPr>
            <w:tcW w:w="1093" w:type="dxa"/>
            <w:shd w:val="clear" w:color="auto" w:fill="FFFFFF"/>
          </w:tcPr>
          <w:p w14:paraId="2011F7D4" w14:textId="4DA80CCF" w:rsidR="007E1F9C" w:rsidRPr="00B57B36" w:rsidRDefault="007E1F9C" w:rsidP="007132E8">
            <w:pPr>
              <w:pStyle w:val="CETBodytext"/>
              <w:ind w:right="-1"/>
              <w:rPr>
                <w:rFonts w:cs="Arial"/>
                <w:szCs w:val="18"/>
                <w:lang w:val="en-GB"/>
              </w:rPr>
            </w:pPr>
            <w:r>
              <w:rPr>
                <w:lang w:val="en-GB"/>
              </w:rPr>
              <w:t>(%ar)</w:t>
            </w:r>
          </w:p>
        </w:tc>
        <w:tc>
          <w:tcPr>
            <w:tcW w:w="1093" w:type="dxa"/>
            <w:shd w:val="clear" w:color="auto" w:fill="FFFFFF"/>
          </w:tcPr>
          <w:p w14:paraId="19E297E9" w14:textId="43003738" w:rsidR="007E1F9C" w:rsidRPr="00B57B36" w:rsidRDefault="007E1F9C" w:rsidP="007132E8">
            <w:pPr>
              <w:pStyle w:val="CETBodytext"/>
              <w:ind w:right="-1"/>
              <w:rPr>
                <w:rFonts w:cs="Arial"/>
                <w:szCs w:val="18"/>
                <w:lang w:val="en-GB"/>
              </w:rPr>
            </w:pPr>
            <w:r>
              <w:rPr>
                <w:lang w:val="en-GB"/>
              </w:rPr>
              <w:t>(%db)</w:t>
            </w:r>
          </w:p>
        </w:tc>
        <w:tc>
          <w:tcPr>
            <w:tcW w:w="1093" w:type="dxa"/>
            <w:shd w:val="clear" w:color="auto" w:fill="FFFFFF"/>
          </w:tcPr>
          <w:p w14:paraId="6ADB558B" w14:textId="5AC689DC" w:rsidR="007E1F9C" w:rsidRPr="00B57B36" w:rsidRDefault="007E1F9C" w:rsidP="007132E8">
            <w:pPr>
              <w:pStyle w:val="CETBodytext"/>
              <w:ind w:right="-1"/>
              <w:rPr>
                <w:rFonts w:cs="Arial"/>
                <w:szCs w:val="18"/>
                <w:lang w:val="en-GB"/>
              </w:rPr>
            </w:pPr>
            <w:r>
              <w:rPr>
                <w:rFonts w:cs="Arial"/>
                <w:szCs w:val="18"/>
                <w:lang w:val="en-GB"/>
              </w:rPr>
              <w:t>(</w:t>
            </w:r>
            <w:r w:rsidR="006305D7">
              <w:rPr>
                <w:rFonts w:cs="Arial"/>
                <w:szCs w:val="18"/>
                <w:lang w:val="en-GB"/>
              </w:rPr>
              <w:t>M</w:t>
            </w:r>
            <w:r>
              <w:rPr>
                <w:rFonts w:cs="Arial"/>
                <w:szCs w:val="18"/>
                <w:lang w:val="en-GB"/>
              </w:rPr>
              <w:t>J/kg)</w:t>
            </w:r>
          </w:p>
        </w:tc>
      </w:tr>
      <w:tr w:rsidR="007E1F9C" w:rsidRPr="00B57B36" w14:paraId="42A16883" w14:textId="3866F936" w:rsidTr="00F57A6E">
        <w:trPr>
          <w:jc w:val="center"/>
        </w:trPr>
        <w:tc>
          <w:tcPr>
            <w:tcW w:w="1097" w:type="dxa"/>
            <w:shd w:val="clear" w:color="auto" w:fill="FFFFFF"/>
          </w:tcPr>
          <w:p w14:paraId="452B41E4" w14:textId="023F3A1E" w:rsidR="007E1F9C" w:rsidRPr="00B57B36" w:rsidRDefault="006305D7" w:rsidP="007132E8">
            <w:pPr>
              <w:pStyle w:val="CETBodytext"/>
              <w:ind w:right="-1"/>
              <w:rPr>
                <w:rFonts w:cs="Arial"/>
                <w:szCs w:val="18"/>
                <w:lang w:val="en-GB"/>
              </w:rPr>
            </w:pPr>
            <w:r>
              <w:rPr>
                <w:rFonts w:cs="Arial"/>
                <w:szCs w:val="18"/>
                <w:lang w:val="en-GB"/>
              </w:rPr>
              <w:t>48.76</w:t>
            </w:r>
          </w:p>
        </w:tc>
        <w:tc>
          <w:tcPr>
            <w:tcW w:w="1097" w:type="dxa"/>
            <w:shd w:val="clear" w:color="auto" w:fill="FFFFFF"/>
          </w:tcPr>
          <w:p w14:paraId="278BA651" w14:textId="2007E415" w:rsidR="007E1F9C" w:rsidRPr="00B57B36" w:rsidRDefault="006305D7" w:rsidP="007132E8">
            <w:pPr>
              <w:pStyle w:val="CETBodytext"/>
              <w:ind w:right="-1"/>
              <w:rPr>
                <w:rFonts w:cs="Arial"/>
                <w:szCs w:val="18"/>
                <w:lang w:val="en-GB"/>
              </w:rPr>
            </w:pPr>
            <w:r>
              <w:rPr>
                <w:rFonts w:cs="Arial"/>
                <w:szCs w:val="18"/>
                <w:lang w:val="en-GB"/>
              </w:rPr>
              <w:t>5.68</w:t>
            </w:r>
          </w:p>
        </w:tc>
        <w:tc>
          <w:tcPr>
            <w:tcW w:w="1097" w:type="dxa"/>
            <w:shd w:val="clear" w:color="auto" w:fill="FFFFFF"/>
          </w:tcPr>
          <w:p w14:paraId="337826C7" w14:textId="61941F33" w:rsidR="007E1F9C" w:rsidRPr="00B57B36" w:rsidRDefault="006305D7" w:rsidP="007132E8">
            <w:pPr>
              <w:pStyle w:val="CETBodytext"/>
              <w:ind w:right="-1"/>
              <w:rPr>
                <w:rFonts w:cs="Arial"/>
                <w:szCs w:val="18"/>
                <w:lang w:val="en-GB"/>
              </w:rPr>
            </w:pPr>
            <w:r>
              <w:rPr>
                <w:rFonts w:cs="Arial"/>
                <w:szCs w:val="18"/>
                <w:lang w:val="en-GB"/>
              </w:rPr>
              <w:t>0.21</w:t>
            </w:r>
          </w:p>
        </w:tc>
        <w:tc>
          <w:tcPr>
            <w:tcW w:w="1097" w:type="dxa"/>
            <w:shd w:val="clear" w:color="auto" w:fill="FFFFFF"/>
          </w:tcPr>
          <w:p w14:paraId="2374605C" w14:textId="1BCBFAD8" w:rsidR="007E1F9C" w:rsidRPr="00B57B36" w:rsidRDefault="006305D7" w:rsidP="007132E8">
            <w:pPr>
              <w:pStyle w:val="CETBodytext"/>
              <w:ind w:right="-1"/>
              <w:rPr>
                <w:rFonts w:cs="Arial"/>
                <w:szCs w:val="18"/>
                <w:lang w:val="en-GB"/>
              </w:rPr>
            </w:pPr>
            <w:r>
              <w:rPr>
                <w:rFonts w:cs="Arial"/>
                <w:szCs w:val="18"/>
                <w:lang w:val="en-GB"/>
              </w:rPr>
              <w:t>45.35</w:t>
            </w:r>
          </w:p>
        </w:tc>
        <w:tc>
          <w:tcPr>
            <w:tcW w:w="1093" w:type="dxa"/>
            <w:shd w:val="clear" w:color="auto" w:fill="FFFFFF"/>
          </w:tcPr>
          <w:p w14:paraId="49370F62" w14:textId="1A64FBB0" w:rsidR="007E1F9C" w:rsidRPr="00B57B36" w:rsidRDefault="006305D7" w:rsidP="007132E8">
            <w:pPr>
              <w:pStyle w:val="CETBodytext"/>
              <w:ind w:right="-1"/>
              <w:rPr>
                <w:rFonts w:cs="Arial"/>
                <w:szCs w:val="18"/>
                <w:lang w:val="en-GB"/>
              </w:rPr>
            </w:pPr>
            <w:r>
              <w:rPr>
                <w:rFonts w:cs="Arial"/>
                <w:szCs w:val="18"/>
                <w:lang w:val="en-GB"/>
              </w:rPr>
              <w:t>10.06</w:t>
            </w:r>
          </w:p>
        </w:tc>
        <w:tc>
          <w:tcPr>
            <w:tcW w:w="1093" w:type="dxa"/>
            <w:shd w:val="clear" w:color="auto" w:fill="FFFFFF"/>
          </w:tcPr>
          <w:p w14:paraId="369C13AD" w14:textId="3060A86F" w:rsidR="007E1F9C" w:rsidRPr="00B57B36" w:rsidRDefault="006305D7" w:rsidP="007132E8">
            <w:pPr>
              <w:pStyle w:val="CETBodytext"/>
              <w:ind w:right="-1"/>
              <w:rPr>
                <w:rFonts w:cs="Arial"/>
                <w:szCs w:val="18"/>
                <w:lang w:val="en-GB"/>
              </w:rPr>
            </w:pPr>
            <w:r>
              <w:rPr>
                <w:rFonts w:cs="Arial"/>
                <w:szCs w:val="18"/>
                <w:lang w:val="en-GB"/>
              </w:rPr>
              <w:t>0.9</w:t>
            </w:r>
          </w:p>
        </w:tc>
        <w:tc>
          <w:tcPr>
            <w:tcW w:w="1093" w:type="dxa"/>
            <w:shd w:val="clear" w:color="auto" w:fill="FFFFFF"/>
          </w:tcPr>
          <w:p w14:paraId="61735AFE" w14:textId="0913C57E" w:rsidR="007E1F9C" w:rsidRPr="00B57B36" w:rsidRDefault="006305D7" w:rsidP="007132E8">
            <w:pPr>
              <w:pStyle w:val="CETBodytext"/>
              <w:ind w:right="-1"/>
              <w:rPr>
                <w:rFonts w:cs="Arial"/>
                <w:szCs w:val="18"/>
                <w:lang w:val="en-GB"/>
              </w:rPr>
            </w:pPr>
            <w:r>
              <w:rPr>
                <w:rFonts w:cs="Arial"/>
                <w:szCs w:val="18"/>
                <w:lang w:val="en-GB"/>
              </w:rPr>
              <w:t>17.88</w:t>
            </w:r>
          </w:p>
        </w:tc>
      </w:tr>
    </w:tbl>
    <w:p w14:paraId="3D91FC32" w14:textId="77777777" w:rsidR="007E1F9C" w:rsidRDefault="007E1F9C" w:rsidP="00453E24">
      <w:pPr>
        <w:pStyle w:val="CETBodytext"/>
        <w:rPr>
          <w:lang w:val="en-GB"/>
        </w:rPr>
      </w:pPr>
    </w:p>
    <w:p w14:paraId="2641A08B" w14:textId="13DC1ECB" w:rsidR="00AB4BBA" w:rsidRDefault="003E547E" w:rsidP="00C975A3">
      <w:pPr>
        <w:pStyle w:val="CETBodytext"/>
        <w:rPr>
          <w:lang w:val="en-GB"/>
        </w:rPr>
      </w:pPr>
      <m:oMath>
        <m:r>
          <w:rPr>
            <w:rFonts w:ascii="Cambria Math" w:hAnsi="Cambria Math"/>
            <w:szCs w:val="18"/>
            <w:lang w:val="en-GB"/>
          </w:rPr>
          <m:t>λ</m:t>
        </m:r>
      </m:oMath>
      <w:r w:rsidR="006351EB" w:rsidRPr="00AD1514">
        <w:rPr>
          <w:szCs w:val="18"/>
          <w:lang w:val="en-GB"/>
        </w:rPr>
        <w:t xml:space="preserve"> </w:t>
      </w:r>
      <w:r w:rsidRPr="00B6202C">
        <w:rPr>
          <w:szCs w:val="18"/>
          <w:lang w:val="en-GB"/>
        </w:rPr>
        <w:t xml:space="preserve">, </w:t>
      </w:r>
      <m:oMath>
        <m:sSub>
          <m:sSubPr>
            <m:ctrlPr>
              <w:rPr>
                <w:rFonts w:ascii="Cambria Math" w:hAnsi="Cambria Math"/>
                <w:i/>
                <w:szCs w:val="18"/>
                <w:lang w:val="en-GB"/>
              </w:rPr>
            </m:ctrlPr>
          </m:sSubPr>
          <m:e>
            <m:r>
              <w:rPr>
                <w:rFonts w:ascii="Cambria Math" w:hAnsi="Cambria Math"/>
                <w:szCs w:val="18"/>
                <w:lang w:val="en-GB"/>
              </w:rPr>
              <m:t>λ</m:t>
            </m:r>
          </m:e>
          <m:sub>
            <m:r>
              <w:rPr>
                <w:rFonts w:ascii="Cambria Math" w:hAnsi="Cambria Math"/>
                <w:szCs w:val="18"/>
                <w:lang w:val="en-GB"/>
              </w:rPr>
              <m:t>p</m:t>
            </m:r>
          </m:sub>
        </m:sSub>
      </m:oMath>
      <w:r w:rsidRPr="00B6202C">
        <w:rPr>
          <w:szCs w:val="18"/>
          <w:lang w:val="en-GB"/>
        </w:rPr>
        <w:t xml:space="preserve">, </w:t>
      </w:r>
      <w:r w:rsidRPr="00AD1514">
        <w:rPr>
          <w:szCs w:val="18"/>
          <w:lang w:val="en-GB"/>
        </w:rPr>
        <w:t>and</w:t>
      </w:r>
      <m:oMath>
        <m:r>
          <m:rPr>
            <m:sty m:val="p"/>
          </m:rPr>
          <w:rPr>
            <w:rFonts w:ascii="Cambria Math" w:hAnsi="Cambria Math"/>
            <w:szCs w:val="18"/>
            <w:lang w:val="en-GB"/>
          </w:rPr>
          <m:t xml:space="preserve"> </m:t>
        </m:r>
      </m:oMath>
      <w:r w:rsidR="00D930B7" w:rsidRPr="0069054F">
        <w:rPr>
          <w:i/>
          <w:iCs/>
          <w:szCs w:val="18"/>
          <w:lang w:val="en-GB"/>
        </w:rPr>
        <w:t>R</w:t>
      </w:r>
      <w:r w:rsidR="00D930B7">
        <w:rPr>
          <w:szCs w:val="18"/>
          <w:lang w:val="en-GB"/>
        </w:rPr>
        <w:t xml:space="preserve"> </w:t>
      </w:r>
      <w:r w:rsidR="00815074" w:rsidRPr="00AD1514">
        <w:rPr>
          <w:szCs w:val="18"/>
          <w:lang w:val="en-GB"/>
        </w:rPr>
        <w:t xml:space="preserve">are the </w:t>
      </w:r>
      <w:r w:rsidRPr="00AD1514">
        <w:rPr>
          <w:szCs w:val="18"/>
          <w:lang w:val="en-GB"/>
        </w:rPr>
        <w:t>main operation parameters</w:t>
      </w:r>
      <w:r w:rsidR="00723102" w:rsidRPr="00AD1514">
        <w:rPr>
          <w:szCs w:val="18"/>
          <w:lang w:val="en-GB"/>
        </w:rPr>
        <w:t xml:space="preserve">. </w:t>
      </w:r>
      <w:r w:rsidR="009F4354">
        <w:rPr>
          <w:szCs w:val="18"/>
          <w:lang w:val="en-GB"/>
        </w:rPr>
        <w:t xml:space="preserve">Tests were performed by varying both </w:t>
      </w:r>
      <m:oMath>
        <m:r>
          <w:rPr>
            <w:rFonts w:ascii="Cambria Math" w:hAnsi="Cambria Math"/>
            <w:szCs w:val="18"/>
            <w:lang w:val="en-GB"/>
          </w:rPr>
          <m:t>λ</m:t>
        </m:r>
      </m:oMath>
      <w:r w:rsidR="009F4354" w:rsidRPr="00AD1514">
        <w:rPr>
          <w:szCs w:val="18"/>
          <w:lang w:val="en-GB"/>
        </w:rPr>
        <w:t xml:space="preserve"> </w:t>
      </w:r>
      <w:r w:rsidR="009F4354">
        <w:rPr>
          <w:szCs w:val="18"/>
          <w:lang w:val="en-GB"/>
        </w:rPr>
        <w:t xml:space="preserve">and </w:t>
      </w:r>
      <m:oMath>
        <m:sSub>
          <m:sSubPr>
            <m:ctrlPr>
              <w:rPr>
                <w:rFonts w:ascii="Cambria Math" w:hAnsi="Cambria Math"/>
                <w:i/>
                <w:szCs w:val="18"/>
                <w:lang w:val="en-GB"/>
              </w:rPr>
            </m:ctrlPr>
          </m:sSubPr>
          <m:e>
            <m:r>
              <w:rPr>
                <w:rFonts w:ascii="Cambria Math" w:hAnsi="Cambria Math"/>
                <w:szCs w:val="18"/>
                <w:lang w:val="en-GB"/>
              </w:rPr>
              <m:t>λ</m:t>
            </m:r>
          </m:e>
          <m:sub>
            <m:r>
              <w:rPr>
                <w:rFonts w:ascii="Cambria Math" w:hAnsi="Cambria Math"/>
                <w:szCs w:val="18"/>
                <w:lang w:val="en-GB"/>
              </w:rPr>
              <m:t>p</m:t>
            </m:r>
          </m:sub>
        </m:sSub>
      </m:oMath>
      <w:r w:rsidR="009F4354">
        <w:rPr>
          <w:szCs w:val="18"/>
          <w:lang w:val="en-GB"/>
        </w:rPr>
        <w:t xml:space="preserve">. </w:t>
      </w:r>
      <w:r w:rsidR="00723102" w:rsidRPr="00AD1514">
        <w:rPr>
          <w:szCs w:val="18"/>
          <w:lang w:val="en-GB"/>
        </w:rPr>
        <w:t>To</w:t>
      </w:r>
      <w:r w:rsidR="00B173A8" w:rsidRPr="00AD1514">
        <w:rPr>
          <w:szCs w:val="18"/>
          <w:lang w:val="en-GB"/>
        </w:rPr>
        <w:t xml:space="preserve"> evaluate the effect of </w:t>
      </w:r>
      <w:r w:rsidR="00B173A8" w:rsidRPr="00B6202C">
        <w:rPr>
          <w:i/>
          <w:iCs/>
          <w:szCs w:val="18"/>
          <w:lang w:val="en-GB"/>
        </w:rPr>
        <w:t>R</w:t>
      </w:r>
      <w:r w:rsidR="00B173A8" w:rsidRPr="00AD1514">
        <w:rPr>
          <w:szCs w:val="18"/>
          <w:lang w:val="en-GB"/>
        </w:rPr>
        <w:t xml:space="preserve">, all the tests </w:t>
      </w:r>
      <w:r w:rsidR="00723102" w:rsidRPr="00AD1514">
        <w:rPr>
          <w:szCs w:val="18"/>
          <w:lang w:val="en-GB"/>
        </w:rPr>
        <w:t>were</w:t>
      </w:r>
      <w:r w:rsidR="00B173A8" w:rsidRPr="00AD1514">
        <w:rPr>
          <w:szCs w:val="18"/>
          <w:lang w:val="en-GB"/>
        </w:rPr>
        <w:t xml:space="preserve"> repeated at the </w:t>
      </w:r>
      <w:r w:rsidR="00723102" w:rsidRPr="00AD1514">
        <w:rPr>
          <w:szCs w:val="18"/>
          <w:lang w:val="en-GB"/>
        </w:rPr>
        <w:t xml:space="preserve">approximately </w:t>
      </w:r>
      <w:r w:rsidR="00B173A8" w:rsidRPr="00AD1514">
        <w:rPr>
          <w:szCs w:val="18"/>
          <w:lang w:val="en-GB"/>
        </w:rPr>
        <w:t>same (</w:t>
      </w:r>
      <m:oMath>
        <m:r>
          <w:rPr>
            <w:rFonts w:ascii="Cambria Math" w:hAnsi="Cambria Math"/>
            <w:szCs w:val="18"/>
            <w:lang w:val="en-GB"/>
          </w:rPr>
          <m:t>λ</m:t>
        </m:r>
      </m:oMath>
      <w:r w:rsidR="00892DDB" w:rsidRPr="00B6202C">
        <w:rPr>
          <w:szCs w:val="18"/>
          <w:lang w:val="en-GB"/>
        </w:rPr>
        <w:t xml:space="preserve">, </w:t>
      </w:r>
      <m:oMath>
        <m:sSub>
          <m:sSubPr>
            <m:ctrlPr>
              <w:rPr>
                <w:rFonts w:ascii="Cambria Math" w:hAnsi="Cambria Math"/>
                <w:i/>
                <w:szCs w:val="18"/>
                <w:lang w:val="en-GB"/>
              </w:rPr>
            </m:ctrlPr>
          </m:sSubPr>
          <m:e>
            <m:r>
              <w:rPr>
                <w:rFonts w:ascii="Cambria Math" w:hAnsi="Cambria Math"/>
                <w:szCs w:val="18"/>
                <w:lang w:val="en-GB"/>
              </w:rPr>
              <m:t>λ</m:t>
            </m:r>
          </m:e>
          <m:sub>
            <m:r>
              <w:rPr>
                <w:rFonts w:ascii="Cambria Math" w:hAnsi="Cambria Math"/>
                <w:szCs w:val="18"/>
                <w:lang w:val="en-GB"/>
              </w:rPr>
              <m:t>p</m:t>
            </m:r>
          </m:sub>
        </m:sSub>
      </m:oMath>
      <w:r w:rsidR="00B173A8" w:rsidRPr="00AD1514">
        <w:rPr>
          <w:szCs w:val="18"/>
          <w:lang w:val="en-GB"/>
        </w:rPr>
        <w:t xml:space="preserve">) conditions, while the gate valve </w:t>
      </w:r>
      <w:r w:rsidR="00723102" w:rsidRPr="00AD1514">
        <w:rPr>
          <w:szCs w:val="18"/>
          <w:lang w:val="en-GB"/>
        </w:rPr>
        <w:t>was</w:t>
      </w:r>
      <w:r w:rsidR="00B173A8" w:rsidRPr="00AD1514">
        <w:rPr>
          <w:szCs w:val="18"/>
          <w:lang w:val="en-GB"/>
        </w:rPr>
        <w:t xml:space="preserve"> </w:t>
      </w:r>
      <w:r w:rsidR="00892DDB" w:rsidRPr="00AD1514">
        <w:rPr>
          <w:szCs w:val="18"/>
          <w:lang w:val="en-GB"/>
        </w:rPr>
        <w:t>controlled</w:t>
      </w:r>
      <w:r w:rsidR="00874F7F" w:rsidRPr="00AD1514">
        <w:rPr>
          <w:szCs w:val="18"/>
          <w:lang w:val="en-GB"/>
        </w:rPr>
        <w:t xml:space="preserve"> to </w:t>
      </w:r>
      <w:r w:rsidR="00723102" w:rsidRPr="00AD1514">
        <w:rPr>
          <w:szCs w:val="18"/>
          <w:lang w:val="en-GB"/>
        </w:rPr>
        <w:t xml:space="preserve">ensure </w:t>
      </w:r>
      <w:r w:rsidR="00726F19" w:rsidRPr="00AD1514">
        <w:rPr>
          <w:i/>
          <w:iCs/>
          <w:szCs w:val="18"/>
          <w:lang w:val="en-GB"/>
        </w:rPr>
        <w:t>R</w:t>
      </w:r>
      <w:r w:rsidR="00726F19" w:rsidRPr="00AD1514">
        <w:rPr>
          <w:szCs w:val="18"/>
          <w:lang w:val="en-GB"/>
        </w:rPr>
        <w:t xml:space="preserve"> </w:t>
      </w:r>
      <w:r w:rsidR="00723102" w:rsidRPr="00AD1514">
        <w:rPr>
          <w:szCs w:val="18"/>
          <w:lang w:val="en-GB"/>
        </w:rPr>
        <w:t xml:space="preserve">to be </w:t>
      </w:r>
      <w:r w:rsidR="000173EB" w:rsidRPr="00AD1514">
        <w:rPr>
          <w:szCs w:val="18"/>
          <w:lang w:val="en-GB"/>
        </w:rPr>
        <w:t>around</w:t>
      </w:r>
      <w:r w:rsidR="000173EB">
        <w:rPr>
          <w:lang w:val="en-GB"/>
        </w:rPr>
        <w:t xml:space="preserve"> </w:t>
      </w:r>
      <w:r w:rsidR="00726F19">
        <w:rPr>
          <w:lang w:val="en-GB"/>
        </w:rPr>
        <w:t xml:space="preserve">0, </w:t>
      </w:r>
      <w:r w:rsidR="00A30E7F">
        <w:rPr>
          <w:lang w:val="en-GB"/>
        </w:rPr>
        <w:t>0.3 and 0.6.</w:t>
      </w:r>
      <w:r w:rsidR="00C975A3">
        <w:rPr>
          <w:lang w:val="en-GB"/>
        </w:rPr>
        <w:t xml:space="preserve"> Totally, 12 operating points </w:t>
      </w:r>
      <w:r w:rsidR="00723102">
        <w:rPr>
          <w:lang w:val="en-GB"/>
        </w:rPr>
        <w:t xml:space="preserve">were </w:t>
      </w:r>
      <w:r w:rsidR="00C975A3">
        <w:rPr>
          <w:lang w:val="en-GB"/>
        </w:rPr>
        <w:t>investigated.</w:t>
      </w:r>
      <w:r w:rsidR="00534E23">
        <w:rPr>
          <w:lang w:val="en-GB"/>
        </w:rPr>
        <w:t xml:space="preserve"> </w:t>
      </w:r>
      <w:r w:rsidR="00F61B85">
        <w:rPr>
          <w:lang w:val="en-GB"/>
        </w:rPr>
        <w:t xml:space="preserve">All the temperature and mass flow </w:t>
      </w:r>
      <w:r w:rsidR="00987E53">
        <w:rPr>
          <w:lang w:val="en-GB"/>
        </w:rPr>
        <w:t xml:space="preserve">measurements </w:t>
      </w:r>
      <w:r w:rsidR="00723102">
        <w:rPr>
          <w:lang w:val="en-GB"/>
        </w:rPr>
        <w:t xml:space="preserve">were </w:t>
      </w:r>
      <w:r w:rsidR="00813FD7">
        <w:rPr>
          <w:lang w:val="en-GB"/>
        </w:rPr>
        <w:t>managed</w:t>
      </w:r>
      <w:r w:rsidR="00987E53">
        <w:rPr>
          <w:lang w:val="en-GB"/>
        </w:rPr>
        <w:t xml:space="preserve"> by means of </w:t>
      </w:r>
      <w:r w:rsidR="00350AFA">
        <w:rPr>
          <w:lang w:val="en-GB"/>
        </w:rPr>
        <w:t>a NI9214, a</w:t>
      </w:r>
      <w:r w:rsidR="00EE1EAF">
        <w:rPr>
          <w:lang w:val="en-GB"/>
        </w:rPr>
        <w:t>nd a</w:t>
      </w:r>
      <w:r w:rsidR="00350AFA">
        <w:rPr>
          <w:lang w:val="en-GB"/>
        </w:rPr>
        <w:t xml:space="preserve"> </w:t>
      </w:r>
      <w:r w:rsidR="00EE1EAF">
        <w:rPr>
          <w:lang w:val="en-GB"/>
        </w:rPr>
        <w:t>NI9207</w:t>
      </w:r>
      <w:r w:rsidR="00813FD7">
        <w:rPr>
          <w:lang w:val="en-GB"/>
        </w:rPr>
        <w:t xml:space="preserve"> </w:t>
      </w:r>
      <w:r w:rsidR="00987E53">
        <w:rPr>
          <w:lang w:val="en-GB"/>
        </w:rPr>
        <w:t xml:space="preserve">boards </w:t>
      </w:r>
      <w:r w:rsidR="00EE1EAF">
        <w:rPr>
          <w:lang w:val="en-GB"/>
        </w:rPr>
        <w:t>with a NI</w:t>
      </w:r>
      <w:r w:rsidR="00315CE5">
        <w:rPr>
          <w:lang w:val="en-GB"/>
        </w:rPr>
        <w:t>922</w:t>
      </w:r>
      <w:r w:rsidR="00C51F05">
        <w:rPr>
          <w:lang w:val="en-GB"/>
        </w:rPr>
        <w:t>3</w:t>
      </w:r>
      <w:r w:rsidR="00315CE5">
        <w:rPr>
          <w:lang w:val="en-GB"/>
        </w:rPr>
        <w:t xml:space="preserve"> chassis, </w:t>
      </w:r>
      <w:r w:rsidR="00987E53">
        <w:rPr>
          <w:lang w:val="en-GB"/>
        </w:rPr>
        <w:t xml:space="preserve">and a Labview-based software. </w:t>
      </w:r>
      <w:r w:rsidR="00534E23">
        <w:rPr>
          <w:lang w:val="en-GB"/>
        </w:rPr>
        <w:t xml:space="preserve">Data </w:t>
      </w:r>
      <w:r w:rsidR="00723102">
        <w:rPr>
          <w:lang w:val="en-GB"/>
        </w:rPr>
        <w:t xml:space="preserve">were </w:t>
      </w:r>
      <w:r w:rsidR="00534E23">
        <w:rPr>
          <w:lang w:val="en-GB"/>
        </w:rPr>
        <w:t xml:space="preserve">sampled for at least 30 min </w:t>
      </w:r>
      <w:r w:rsidR="00F61B85">
        <w:rPr>
          <w:lang w:val="en-GB"/>
        </w:rPr>
        <w:t>in steady state condition.</w:t>
      </w:r>
    </w:p>
    <w:p w14:paraId="3A7D7FCB" w14:textId="18EC25F9" w:rsidR="009507DC" w:rsidRPr="00B57B36" w:rsidRDefault="009507DC" w:rsidP="009507DC">
      <w:pPr>
        <w:pStyle w:val="CETHeading1"/>
        <w:rPr>
          <w:lang w:val="en-GB"/>
        </w:rPr>
      </w:pPr>
      <w:r>
        <w:rPr>
          <w:lang w:val="en-GB"/>
        </w:rPr>
        <w:t>Results and discussion</w:t>
      </w:r>
    </w:p>
    <w:p w14:paraId="0E2848CC" w14:textId="0BCD86C0" w:rsidR="009507DC" w:rsidRDefault="00570B53" w:rsidP="00453E24">
      <w:pPr>
        <w:pStyle w:val="CETBodytext"/>
        <w:rPr>
          <w:lang w:val="en-GB"/>
        </w:rPr>
      </w:pPr>
      <w:r>
        <w:rPr>
          <w:lang w:val="en-GB"/>
        </w:rPr>
        <w:t xml:space="preserve">The resulting operating conditions </w:t>
      </w:r>
      <w:r w:rsidR="00534E23">
        <w:rPr>
          <w:lang w:val="en-GB"/>
        </w:rPr>
        <w:t xml:space="preserve">and flue gas temperatures </w:t>
      </w:r>
      <w:r w:rsidR="00B27A31">
        <w:rPr>
          <w:lang w:val="en-GB"/>
        </w:rPr>
        <w:t xml:space="preserve">measured in the experimental tests </w:t>
      </w:r>
      <w:r w:rsidR="00534E23">
        <w:rPr>
          <w:lang w:val="en-GB"/>
        </w:rPr>
        <w:t>are reported in Table 2</w:t>
      </w:r>
      <w:r w:rsidR="00B73243">
        <w:rPr>
          <w:lang w:val="en-GB"/>
        </w:rPr>
        <w:t xml:space="preserve">, where </w:t>
      </w:r>
      <w:r w:rsidR="005840E9">
        <w:rPr>
          <w:lang w:val="en-GB"/>
        </w:rPr>
        <w:t xml:space="preserve">the </w:t>
      </w:r>
      <w:r w:rsidR="00B73243">
        <w:rPr>
          <w:lang w:val="en-GB"/>
        </w:rPr>
        <w:t>different IDs refer to different operating conditions.</w:t>
      </w:r>
      <w:r w:rsidR="005840E9">
        <w:rPr>
          <w:lang w:val="en-GB"/>
        </w:rPr>
        <w:t xml:space="preserve"> </w:t>
      </w:r>
      <w:r w:rsidR="00602039" w:rsidRPr="00AD1514">
        <w:rPr>
          <w:szCs w:val="18"/>
          <w:lang w:val="en-GB"/>
        </w:rPr>
        <w:t>Consistently with the literature</w:t>
      </w:r>
      <w:r w:rsidR="00602039">
        <w:rPr>
          <w:szCs w:val="18"/>
          <w:lang w:val="en-GB"/>
        </w:rPr>
        <w:t xml:space="preserve"> (Carroll et al., 2015; Lamberg et al., 2011)</w:t>
      </w:r>
      <w:r w:rsidR="00602039" w:rsidRPr="00AD1514">
        <w:rPr>
          <w:szCs w:val="18"/>
          <w:lang w:val="en-GB"/>
        </w:rPr>
        <w:t xml:space="preserve">, </w:t>
      </w:r>
      <m:oMath>
        <m:r>
          <w:rPr>
            <w:rFonts w:ascii="Cambria Math" w:hAnsi="Cambria Math"/>
            <w:szCs w:val="18"/>
            <w:lang w:val="en-GB"/>
          </w:rPr>
          <m:t>λ</m:t>
        </m:r>
      </m:oMath>
      <w:r w:rsidR="00602039" w:rsidRPr="00AD1514">
        <w:rPr>
          <w:szCs w:val="18"/>
          <w:lang w:val="en-GB"/>
        </w:rPr>
        <w:t xml:space="preserve"> was </w:t>
      </w:r>
      <w:r w:rsidR="004134D0">
        <w:rPr>
          <w:szCs w:val="18"/>
          <w:lang w:val="en-GB"/>
        </w:rPr>
        <w:t>varied</w:t>
      </w:r>
      <w:r w:rsidR="00602039" w:rsidRPr="00AD1514">
        <w:rPr>
          <w:szCs w:val="18"/>
          <w:lang w:val="en-GB"/>
        </w:rPr>
        <w:t xml:space="preserve"> between 1.</w:t>
      </w:r>
      <w:r w:rsidR="004134D0">
        <w:rPr>
          <w:szCs w:val="18"/>
          <w:lang w:val="en-GB"/>
        </w:rPr>
        <w:t>1</w:t>
      </w:r>
      <w:r w:rsidR="00602039" w:rsidRPr="00AD1514">
        <w:rPr>
          <w:szCs w:val="18"/>
          <w:lang w:val="en-GB"/>
        </w:rPr>
        <w:t xml:space="preserve"> and </w:t>
      </w:r>
      <w:r w:rsidR="004134D0">
        <w:rPr>
          <w:szCs w:val="18"/>
          <w:lang w:val="en-GB"/>
        </w:rPr>
        <w:t>3</w:t>
      </w:r>
      <w:r w:rsidR="00602039" w:rsidRPr="00AD1514">
        <w:rPr>
          <w:szCs w:val="18"/>
          <w:lang w:val="en-GB"/>
        </w:rPr>
        <w:t xml:space="preserve">, while </w:t>
      </w:r>
      <m:oMath>
        <m:sSub>
          <m:sSubPr>
            <m:ctrlPr>
              <w:rPr>
                <w:rFonts w:ascii="Cambria Math" w:hAnsi="Cambria Math"/>
                <w:i/>
                <w:szCs w:val="18"/>
                <w:lang w:val="en-GB"/>
              </w:rPr>
            </m:ctrlPr>
          </m:sSubPr>
          <m:e>
            <m:r>
              <w:rPr>
                <w:rFonts w:ascii="Cambria Math" w:hAnsi="Cambria Math"/>
                <w:szCs w:val="18"/>
                <w:lang w:val="en-GB"/>
              </w:rPr>
              <m:t>λ</m:t>
            </m:r>
          </m:e>
          <m:sub>
            <m:r>
              <w:rPr>
                <w:rFonts w:ascii="Cambria Math" w:hAnsi="Cambria Math"/>
                <w:szCs w:val="18"/>
                <w:lang w:val="en-GB"/>
              </w:rPr>
              <m:t>p</m:t>
            </m:r>
          </m:sub>
        </m:sSub>
      </m:oMath>
      <w:r w:rsidR="00602039" w:rsidRPr="00AD1514">
        <w:rPr>
          <w:szCs w:val="18"/>
          <w:lang w:val="en-GB"/>
        </w:rPr>
        <w:t xml:space="preserve"> between 0.1 and 0.6.</w:t>
      </w:r>
      <w:r w:rsidR="00EA1203">
        <w:rPr>
          <w:szCs w:val="18"/>
          <w:lang w:val="en-GB"/>
        </w:rPr>
        <w:t xml:space="preserve"> </w:t>
      </w:r>
      <w:r w:rsidR="00EA1203" w:rsidRPr="00AD1514">
        <w:rPr>
          <w:szCs w:val="18"/>
          <w:lang w:val="en-GB"/>
        </w:rPr>
        <w:t xml:space="preserve">To </w:t>
      </w:r>
      <w:r w:rsidR="00EA1203">
        <w:rPr>
          <w:szCs w:val="18"/>
          <w:lang w:val="en-GB"/>
        </w:rPr>
        <w:t>assess</w:t>
      </w:r>
      <w:r w:rsidR="00EA1203" w:rsidRPr="00AD1514">
        <w:rPr>
          <w:szCs w:val="18"/>
          <w:lang w:val="en-GB"/>
        </w:rPr>
        <w:t xml:space="preserve"> the effect of </w:t>
      </w:r>
      <w:r w:rsidR="00EA1203" w:rsidRPr="00B6202C">
        <w:rPr>
          <w:i/>
          <w:iCs/>
          <w:szCs w:val="18"/>
          <w:lang w:val="en-GB"/>
        </w:rPr>
        <w:t>R</w:t>
      </w:r>
      <w:r w:rsidR="00EA1203" w:rsidRPr="00AD1514">
        <w:rPr>
          <w:szCs w:val="18"/>
          <w:lang w:val="en-GB"/>
        </w:rPr>
        <w:t>, the tests were re</w:t>
      </w:r>
      <w:r w:rsidR="00C11F34">
        <w:rPr>
          <w:szCs w:val="18"/>
          <w:lang w:val="en-GB"/>
        </w:rPr>
        <w:t>plicated</w:t>
      </w:r>
      <w:r w:rsidR="00EA1203" w:rsidRPr="00AD1514">
        <w:rPr>
          <w:szCs w:val="18"/>
          <w:lang w:val="en-GB"/>
        </w:rPr>
        <w:t xml:space="preserve"> at the approximately same (</w:t>
      </w:r>
      <m:oMath>
        <m:r>
          <w:rPr>
            <w:rFonts w:ascii="Cambria Math" w:hAnsi="Cambria Math"/>
            <w:szCs w:val="18"/>
            <w:lang w:val="en-GB"/>
          </w:rPr>
          <m:t>λ</m:t>
        </m:r>
      </m:oMath>
      <w:r w:rsidR="00EA1203" w:rsidRPr="00B6202C">
        <w:rPr>
          <w:szCs w:val="18"/>
          <w:lang w:val="en-GB"/>
        </w:rPr>
        <w:t xml:space="preserve">, </w:t>
      </w:r>
      <m:oMath>
        <m:sSub>
          <m:sSubPr>
            <m:ctrlPr>
              <w:rPr>
                <w:rFonts w:ascii="Cambria Math" w:hAnsi="Cambria Math"/>
                <w:i/>
                <w:szCs w:val="18"/>
                <w:lang w:val="en-GB"/>
              </w:rPr>
            </m:ctrlPr>
          </m:sSubPr>
          <m:e>
            <m:r>
              <w:rPr>
                <w:rFonts w:ascii="Cambria Math" w:hAnsi="Cambria Math"/>
                <w:szCs w:val="18"/>
                <w:lang w:val="en-GB"/>
              </w:rPr>
              <m:t>λ</m:t>
            </m:r>
          </m:e>
          <m:sub>
            <m:r>
              <w:rPr>
                <w:rFonts w:ascii="Cambria Math" w:hAnsi="Cambria Math"/>
                <w:szCs w:val="18"/>
                <w:lang w:val="en-GB"/>
              </w:rPr>
              <m:t>p</m:t>
            </m:r>
          </m:sub>
        </m:sSub>
      </m:oMath>
      <w:r w:rsidR="00EA1203" w:rsidRPr="00AD1514">
        <w:rPr>
          <w:szCs w:val="18"/>
          <w:lang w:val="en-GB"/>
        </w:rPr>
        <w:t xml:space="preserve">) conditions, </w:t>
      </w:r>
      <w:r w:rsidR="00C70A71">
        <w:rPr>
          <w:szCs w:val="18"/>
          <w:lang w:val="en-GB"/>
        </w:rPr>
        <w:t>with different</w:t>
      </w:r>
      <w:r w:rsidR="00EA1203" w:rsidRPr="00AD1514">
        <w:rPr>
          <w:szCs w:val="18"/>
          <w:lang w:val="en-GB"/>
        </w:rPr>
        <w:t xml:space="preserve"> </w:t>
      </w:r>
      <w:r w:rsidR="00EA1203" w:rsidRPr="00AD1514">
        <w:rPr>
          <w:i/>
          <w:iCs/>
          <w:szCs w:val="18"/>
          <w:lang w:val="en-GB"/>
        </w:rPr>
        <w:t>R</w:t>
      </w:r>
      <w:r w:rsidR="00EA1203" w:rsidRPr="00AD1514">
        <w:rPr>
          <w:szCs w:val="18"/>
          <w:lang w:val="en-GB"/>
        </w:rPr>
        <w:t xml:space="preserve"> </w:t>
      </w:r>
      <w:r w:rsidR="00C70A71">
        <w:rPr>
          <w:szCs w:val="18"/>
          <w:lang w:val="en-GB"/>
        </w:rPr>
        <w:t xml:space="preserve">values, namely </w:t>
      </w:r>
      <w:r w:rsidR="00EA1203" w:rsidRPr="00AD1514">
        <w:rPr>
          <w:szCs w:val="18"/>
          <w:lang w:val="en-GB"/>
        </w:rPr>
        <w:t>around</w:t>
      </w:r>
      <w:r w:rsidR="00EA1203">
        <w:rPr>
          <w:lang w:val="en-GB"/>
        </w:rPr>
        <w:t xml:space="preserve"> 0, 0.3 and 0.6.</w:t>
      </w:r>
    </w:p>
    <w:p w14:paraId="7D7390DC" w14:textId="3FDB3DDA" w:rsidR="00374DC5" w:rsidRPr="00B57B36" w:rsidRDefault="00374DC5" w:rsidP="00374DC5">
      <w:pPr>
        <w:pStyle w:val="CETTabletitle"/>
      </w:pPr>
      <w:r w:rsidRPr="00B57B36">
        <w:t xml:space="preserve">Table </w:t>
      </w:r>
      <w:r w:rsidR="00531EA8">
        <w:t>2</w:t>
      </w:r>
      <w:r w:rsidRPr="00B57B36">
        <w:t>:</w:t>
      </w:r>
      <w:r>
        <w:t xml:space="preserve"> </w:t>
      </w:r>
      <w:r w:rsidR="00531EA8">
        <w:t>Obtained operating conditions</w:t>
      </w:r>
    </w:p>
    <w:tbl>
      <w:tblPr>
        <w:tblW w:w="5000" w:type="pc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354"/>
        <w:gridCol w:w="621"/>
        <w:gridCol w:w="621"/>
        <w:gridCol w:w="621"/>
        <w:gridCol w:w="620"/>
        <w:gridCol w:w="620"/>
        <w:gridCol w:w="620"/>
        <w:gridCol w:w="620"/>
        <w:gridCol w:w="620"/>
        <w:gridCol w:w="620"/>
        <w:gridCol w:w="620"/>
        <w:gridCol w:w="620"/>
        <w:gridCol w:w="610"/>
      </w:tblGrid>
      <w:tr w:rsidR="000E467D" w:rsidRPr="00C846F8" w14:paraId="4604FE89" w14:textId="7BD1288E" w:rsidTr="000E467D">
        <w:tc>
          <w:tcPr>
            <w:tcW w:w="770" w:type="pct"/>
            <w:tcBorders>
              <w:top w:val="single" w:sz="12" w:space="0" w:color="008000"/>
              <w:bottom w:val="single" w:sz="6" w:space="0" w:color="008000"/>
            </w:tcBorders>
            <w:shd w:val="clear" w:color="auto" w:fill="FFFFFF"/>
          </w:tcPr>
          <w:p w14:paraId="3E6EEE33" w14:textId="5B9418D8" w:rsidR="002E2C36" w:rsidRPr="00C846F8" w:rsidRDefault="002E2C36" w:rsidP="007132E8">
            <w:pPr>
              <w:pStyle w:val="CETBodytext"/>
              <w:rPr>
                <w:rFonts w:cs="Arial"/>
                <w:szCs w:val="18"/>
                <w:lang w:val="en-GB"/>
              </w:rPr>
            </w:pPr>
          </w:p>
        </w:tc>
        <w:tc>
          <w:tcPr>
            <w:tcW w:w="353" w:type="pct"/>
            <w:tcBorders>
              <w:top w:val="single" w:sz="12" w:space="0" w:color="008000"/>
              <w:bottom w:val="single" w:sz="6" w:space="0" w:color="008000"/>
            </w:tcBorders>
            <w:shd w:val="clear" w:color="auto" w:fill="FFFFFF"/>
          </w:tcPr>
          <w:p w14:paraId="40B4E921" w14:textId="274DFCAA" w:rsidR="002E2C36" w:rsidRPr="00C846F8" w:rsidRDefault="007B14B9" w:rsidP="007132E8">
            <w:pPr>
              <w:pStyle w:val="CETBodytext"/>
              <w:rPr>
                <w:rFonts w:cs="Arial"/>
                <w:szCs w:val="18"/>
                <w:lang w:val="en-GB"/>
              </w:rPr>
            </w:pPr>
            <w:r w:rsidRPr="00C846F8">
              <w:rPr>
                <w:rFonts w:cs="Arial"/>
                <w:szCs w:val="18"/>
                <w:lang w:val="en-GB"/>
              </w:rPr>
              <w:t>ID1</w:t>
            </w:r>
          </w:p>
        </w:tc>
        <w:tc>
          <w:tcPr>
            <w:tcW w:w="353" w:type="pct"/>
            <w:tcBorders>
              <w:top w:val="single" w:sz="12" w:space="0" w:color="008000"/>
              <w:bottom w:val="single" w:sz="6" w:space="0" w:color="008000"/>
            </w:tcBorders>
            <w:shd w:val="clear" w:color="auto" w:fill="FFFFFF"/>
          </w:tcPr>
          <w:p w14:paraId="77605F37" w14:textId="3F095FB5" w:rsidR="002E2C36" w:rsidRPr="00C846F8" w:rsidRDefault="007B14B9" w:rsidP="007132E8">
            <w:pPr>
              <w:pStyle w:val="CETBodytext"/>
              <w:ind w:right="-1"/>
              <w:rPr>
                <w:rFonts w:cs="Arial"/>
                <w:szCs w:val="18"/>
                <w:lang w:val="en-GB"/>
              </w:rPr>
            </w:pPr>
            <w:r w:rsidRPr="00C846F8">
              <w:rPr>
                <w:rFonts w:cs="Arial"/>
                <w:szCs w:val="18"/>
                <w:lang w:val="en-GB"/>
              </w:rPr>
              <w:t>ID2</w:t>
            </w:r>
          </w:p>
        </w:tc>
        <w:tc>
          <w:tcPr>
            <w:tcW w:w="353" w:type="pct"/>
            <w:tcBorders>
              <w:top w:val="single" w:sz="12" w:space="0" w:color="008000"/>
              <w:bottom w:val="single" w:sz="6" w:space="0" w:color="008000"/>
            </w:tcBorders>
            <w:shd w:val="clear" w:color="auto" w:fill="FFFFFF"/>
          </w:tcPr>
          <w:p w14:paraId="4731C514" w14:textId="0E5BDA63" w:rsidR="002E2C36" w:rsidRPr="00C846F8" w:rsidRDefault="007B14B9" w:rsidP="007132E8">
            <w:pPr>
              <w:pStyle w:val="CETBodytext"/>
              <w:ind w:right="-1"/>
              <w:rPr>
                <w:rFonts w:cs="Arial"/>
                <w:szCs w:val="18"/>
                <w:lang w:val="en-GB"/>
              </w:rPr>
            </w:pPr>
            <w:r w:rsidRPr="00C846F8">
              <w:rPr>
                <w:rFonts w:cs="Arial"/>
                <w:szCs w:val="18"/>
                <w:lang w:val="en-GB"/>
              </w:rPr>
              <w:t>ID3</w:t>
            </w:r>
          </w:p>
        </w:tc>
        <w:tc>
          <w:tcPr>
            <w:tcW w:w="353" w:type="pct"/>
            <w:tcBorders>
              <w:top w:val="single" w:sz="12" w:space="0" w:color="008000"/>
              <w:bottom w:val="single" w:sz="6" w:space="0" w:color="008000"/>
            </w:tcBorders>
            <w:shd w:val="clear" w:color="auto" w:fill="FFFFFF"/>
          </w:tcPr>
          <w:p w14:paraId="5B627318" w14:textId="0110FDE1" w:rsidR="002E2C36" w:rsidRPr="00C846F8" w:rsidRDefault="007B14B9" w:rsidP="007132E8">
            <w:pPr>
              <w:pStyle w:val="CETBodytext"/>
              <w:ind w:right="-1"/>
              <w:rPr>
                <w:rFonts w:cs="Arial"/>
                <w:szCs w:val="18"/>
                <w:lang w:val="en-GB"/>
              </w:rPr>
            </w:pPr>
            <w:r w:rsidRPr="00C846F8">
              <w:rPr>
                <w:rFonts w:cs="Arial"/>
                <w:szCs w:val="18"/>
                <w:lang w:val="en-GB"/>
              </w:rPr>
              <w:t>ID4</w:t>
            </w:r>
          </w:p>
        </w:tc>
        <w:tc>
          <w:tcPr>
            <w:tcW w:w="353" w:type="pct"/>
            <w:tcBorders>
              <w:top w:val="single" w:sz="12" w:space="0" w:color="008000"/>
              <w:bottom w:val="single" w:sz="6" w:space="0" w:color="008000"/>
            </w:tcBorders>
            <w:shd w:val="clear" w:color="auto" w:fill="FFFFFF"/>
          </w:tcPr>
          <w:p w14:paraId="6AE64FF6" w14:textId="2C5AF239" w:rsidR="002E2C36" w:rsidRPr="00C846F8" w:rsidRDefault="007B14B9" w:rsidP="007132E8">
            <w:pPr>
              <w:pStyle w:val="CETBodytext"/>
              <w:ind w:right="-1"/>
              <w:rPr>
                <w:rFonts w:cs="Arial"/>
                <w:szCs w:val="18"/>
                <w:lang w:val="en-GB"/>
              </w:rPr>
            </w:pPr>
            <w:r w:rsidRPr="00C846F8">
              <w:rPr>
                <w:rFonts w:cs="Arial"/>
                <w:szCs w:val="18"/>
                <w:lang w:val="en-GB"/>
              </w:rPr>
              <w:t>ID5</w:t>
            </w:r>
          </w:p>
        </w:tc>
        <w:tc>
          <w:tcPr>
            <w:tcW w:w="353" w:type="pct"/>
            <w:tcBorders>
              <w:top w:val="single" w:sz="12" w:space="0" w:color="008000"/>
              <w:bottom w:val="single" w:sz="6" w:space="0" w:color="008000"/>
            </w:tcBorders>
            <w:shd w:val="clear" w:color="auto" w:fill="FFFFFF"/>
          </w:tcPr>
          <w:p w14:paraId="20966DF4" w14:textId="07B42291" w:rsidR="002E2C36" w:rsidRPr="00C846F8" w:rsidRDefault="007B14B9" w:rsidP="007132E8">
            <w:pPr>
              <w:pStyle w:val="CETBodytext"/>
              <w:ind w:right="-1"/>
              <w:rPr>
                <w:rFonts w:cs="Arial"/>
                <w:szCs w:val="18"/>
                <w:lang w:val="en-GB"/>
              </w:rPr>
            </w:pPr>
            <w:r w:rsidRPr="00C846F8">
              <w:rPr>
                <w:rFonts w:cs="Arial"/>
                <w:szCs w:val="18"/>
                <w:lang w:val="en-GB"/>
              </w:rPr>
              <w:t>ID6</w:t>
            </w:r>
          </w:p>
        </w:tc>
        <w:tc>
          <w:tcPr>
            <w:tcW w:w="353" w:type="pct"/>
            <w:tcBorders>
              <w:top w:val="single" w:sz="12" w:space="0" w:color="008000"/>
              <w:bottom w:val="single" w:sz="6" w:space="0" w:color="008000"/>
            </w:tcBorders>
            <w:shd w:val="clear" w:color="auto" w:fill="FFFFFF"/>
          </w:tcPr>
          <w:p w14:paraId="3A564464" w14:textId="620D40C4" w:rsidR="002E2C36" w:rsidRPr="00C846F8" w:rsidRDefault="007B14B9" w:rsidP="007132E8">
            <w:pPr>
              <w:pStyle w:val="CETBodytext"/>
              <w:ind w:right="-1"/>
              <w:rPr>
                <w:rFonts w:cs="Arial"/>
                <w:szCs w:val="18"/>
                <w:lang w:val="en-GB"/>
              </w:rPr>
            </w:pPr>
            <w:r w:rsidRPr="00C846F8">
              <w:rPr>
                <w:rFonts w:cs="Arial"/>
                <w:szCs w:val="18"/>
                <w:lang w:val="en-GB"/>
              </w:rPr>
              <w:t>ID7</w:t>
            </w:r>
          </w:p>
        </w:tc>
        <w:tc>
          <w:tcPr>
            <w:tcW w:w="353" w:type="pct"/>
            <w:tcBorders>
              <w:top w:val="single" w:sz="12" w:space="0" w:color="008000"/>
              <w:bottom w:val="single" w:sz="6" w:space="0" w:color="008000"/>
            </w:tcBorders>
            <w:shd w:val="clear" w:color="auto" w:fill="FFFFFF"/>
          </w:tcPr>
          <w:p w14:paraId="4A915C90" w14:textId="0C156F98" w:rsidR="002E2C36" w:rsidRPr="00C846F8" w:rsidRDefault="007B14B9" w:rsidP="007132E8">
            <w:pPr>
              <w:pStyle w:val="CETBodytext"/>
              <w:ind w:right="-1"/>
              <w:rPr>
                <w:rFonts w:cs="Arial"/>
                <w:szCs w:val="18"/>
                <w:lang w:val="en-GB"/>
              </w:rPr>
            </w:pPr>
            <w:r w:rsidRPr="00C846F8">
              <w:rPr>
                <w:rFonts w:cs="Arial"/>
                <w:szCs w:val="18"/>
                <w:lang w:val="en-GB"/>
              </w:rPr>
              <w:t>ID8</w:t>
            </w:r>
          </w:p>
        </w:tc>
        <w:tc>
          <w:tcPr>
            <w:tcW w:w="353" w:type="pct"/>
            <w:tcBorders>
              <w:top w:val="single" w:sz="12" w:space="0" w:color="008000"/>
              <w:bottom w:val="single" w:sz="6" w:space="0" w:color="008000"/>
            </w:tcBorders>
            <w:shd w:val="clear" w:color="auto" w:fill="FFFFFF"/>
          </w:tcPr>
          <w:p w14:paraId="06243521" w14:textId="74E1DCE4" w:rsidR="002E2C36" w:rsidRPr="00C846F8" w:rsidRDefault="007B14B9" w:rsidP="007132E8">
            <w:pPr>
              <w:pStyle w:val="CETBodytext"/>
              <w:ind w:right="-1"/>
              <w:rPr>
                <w:rFonts w:cs="Arial"/>
                <w:szCs w:val="18"/>
                <w:lang w:val="en-GB"/>
              </w:rPr>
            </w:pPr>
            <w:r w:rsidRPr="00C846F8">
              <w:rPr>
                <w:rFonts w:cs="Arial"/>
                <w:szCs w:val="18"/>
                <w:lang w:val="en-GB"/>
              </w:rPr>
              <w:t>ID9</w:t>
            </w:r>
          </w:p>
        </w:tc>
        <w:tc>
          <w:tcPr>
            <w:tcW w:w="353" w:type="pct"/>
            <w:tcBorders>
              <w:top w:val="single" w:sz="12" w:space="0" w:color="008000"/>
              <w:bottom w:val="single" w:sz="6" w:space="0" w:color="008000"/>
            </w:tcBorders>
            <w:shd w:val="clear" w:color="auto" w:fill="FFFFFF"/>
          </w:tcPr>
          <w:p w14:paraId="1BF52571" w14:textId="4064D89C" w:rsidR="002E2C36" w:rsidRPr="00C846F8" w:rsidRDefault="007B14B9" w:rsidP="007132E8">
            <w:pPr>
              <w:pStyle w:val="CETBodytext"/>
              <w:ind w:right="-1"/>
              <w:rPr>
                <w:rFonts w:cs="Arial"/>
                <w:szCs w:val="18"/>
                <w:lang w:val="en-GB"/>
              </w:rPr>
            </w:pPr>
            <w:r w:rsidRPr="00C846F8">
              <w:rPr>
                <w:rFonts w:cs="Arial"/>
                <w:szCs w:val="18"/>
                <w:lang w:val="en-GB"/>
              </w:rPr>
              <w:t>ID10</w:t>
            </w:r>
          </w:p>
        </w:tc>
        <w:tc>
          <w:tcPr>
            <w:tcW w:w="353" w:type="pct"/>
            <w:tcBorders>
              <w:top w:val="single" w:sz="12" w:space="0" w:color="008000"/>
              <w:bottom w:val="single" w:sz="6" w:space="0" w:color="008000"/>
            </w:tcBorders>
            <w:shd w:val="clear" w:color="auto" w:fill="FFFFFF"/>
          </w:tcPr>
          <w:p w14:paraId="32395306" w14:textId="262C6F3D" w:rsidR="002E2C36" w:rsidRPr="00C846F8" w:rsidRDefault="007B14B9" w:rsidP="007132E8">
            <w:pPr>
              <w:pStyle w:val="CETBodytext"/>
              <w:ind w:right="-1"/>
              <w:rPr>
                <w:rFonts w:cs="Arial"/>
                <w:szCs w:val="18"/>
                <w:lang w:val="en-GB"/>
              </w:rPr>
            </w:pPr>
            <w:r w:rsidRPr="00C846F8">
              <w:rPr>
                <w:rFonts w:cs="Arial"/>
                <w:szCs w:val="18"/>
                <w:lang w:val="en-GB"/>
              </w:rPr>
              <w:t>ID11</w:t>
            </w:r>
          </w:p>
        </w:tc>
        <w:tc>
          <w:tcPr>
            <w:tcW w:w="353" w:type="pct"/>
            <w:tcBorders>
              <w:top w:val="single" w:sz="12" w:space="0" w:color="008000"/>
              <w:bottom w:val="single" w:sz="6" w:space="0" w:color="008000"/>
            </w:tcBorders>
            <w:shd w:val="clear" w:color="auto" w:fill="FFFFFF"/>
          </w:tcPr>
          <w:p w14:paraId="220DC7B3" w14:textId="3C914124" w:rsidR="002E2C36" w:rsidRPr="00C846F8" w:rsidRDefault="000E467D" w:rsidP="007132E8">
            <w:pPr>
              <w:pStyle w:val="CETBodytext"/>
              <w:ind w:right="-1"/>
              <w:rPr>
                <w:rFonts w:cs="Arial"/>
                <w:szCs w:val="18"/>
                <w:lang w:val="en-GB"/>
              </w:rPr>
            </w:pPr>
            <w:r w:rsidRPr="00C846F8">
              <w:rPr>
                <w:rFonts w:cs="Arial"/>
                <w:szCs w:val="18"/>
                <w:lang w:val="en-GB"/>
              </w:rPr>
              <w:t>ID12</w:t>
            </w:r>
          </w:p>
        </w:tc>
      </w:tr>
      <w:tr w:rsidR="000E467D" w:rsidRPr="00C846F8" w14:paraId="04F17E21" w14:textId="105AAE8A" w:rsidTr="000E467D">
        <w:tc>
          <w:tcPr>
            <w:tcW w:w="770" w:type="pct"/>
            <w:shd w:val="clear" w:color="auto" w:fill="FFFFFF"/>
            <w:vAlign w:val="bottom"/>
          </w:tcPr>
          <w:p w14:paraId="48A59FE4" w14:textId="193CF8F7" w:rsidR="007B14B9" w:rsidRPr="00C846F8" w:rsidRDefault="00723102" w:rsidP="007B14B9">
            <w:pPr>
              <w:pStyle w:val="CETBodytext"/>
              <w:rPr>
                <w:rFonts w:cs="Arial"/>
                <w:szCs w:val="18"/>
                <w:lang w:val="en-GB"/>
              </w:rPr>
            </w:pPr>
            <m:oMath>
              <m:r>
                <w:rPr>
                  <w:rFonts w:ascii="Cambria Math" w:hAnsi="Cambria Math" w:cs="Arial"/>
                  <w:szCs w:val="18"/>
                  <w:lang w:val="en-GB"/>
                </w:rPr>
                <m:t>λ</m:t>
              </m:r>
            </m:oMath>
            <w:r w:rsidR="000E467D" w:rsidRPr="00C846F8">
              <w:rPr>
                <w:rFonts w:cs="Arial"/>
                <w:color w:val="000000"/>
                <w:szCs w:val="18"/>
              </w:rPr>
              <w:t xml:space="preserve"> (-)</w:t>
            </w:r>
          </w:p>
        </w:tc>
        <w:tc>
          <w:tcPr>
            <w:tcW w:w="353" w:type="pct"/>
            <w:shd w:val="clear" w:color="auto" w:fill="FFFFFF"/>
            <w:vAlign w:val="bottom"/>
          </w:tcPr>
          <w:p w14:paraId="14F3CAAB" w14:textId="12DBF995" w:rsidR="007B14B9" w:rsidRPr="00C846F8" w:rsidRDefault="007B14B9" w:rsidP="007B14B9">
            <w:pPr>
              <w:pStyle w:val="CETBodytext"/>
              <w:rPr>
                <w:rFonts w:cs="Arial"/>
                <w:szCs w:val="18"/>
                <w:lang w:val="en-GB"/>
              </w:rPr>
            </w:pPr>
            <w:r w:rsidRPr="00C846F8">
              <w:rPr>
                <w:rFonts w:cs="Arial"/>
                <w:color w:val="000000"/>
                <w:szCs w:val="18"/>
              </w:rPr>
              <w:t>1.21</w:t>
            </w:r>
          </w:p>
        </w:tc>
        <w:tc>
          <w:tcPr>
            <w:tcW w:w="353" w:type="pct"/>
            <w:shd w:val="clear" w:color="auto" w:fill="FFFFFF"/>
            <w:vAlign w:val="bottom"/>
          </w:tcPr>
          <w:p w14:paraId="67B2B79E" w14:textId="254DE52C" w:rsidR="007B14B9" w:rsidRPr="00C846F8" w:rsidRDefault="007B14B9" w:rsidP="007B14B9">
            <w:pPr>
              <w:pStyle w:val="CETBodytext"/>
              <w:ind w:right="-1"/>
              <w:rPr>
                <w:rFonts w:cs="Arial"/>
                <w:szCs w:val="18"/>
                <w:lang w:val="en-GB"/>
              </w:rPr>
            </w:pPr>
            <w:r w:rsidRPr="00C846F8">
              <w:rPr>
                <w:rFonts w:cs="Arial"/>
                <w:color w:val="000000"/>
                <w:szCs w:val="18"/>
              </w:rPr>
              <w:t>1.44</w:t>
            </w:r>
          </w:p>
        </w:tc>
        <w:tc>
          <w:tcPr>
            <w:tcW w:w="353" w:type="pct"/>
            <w:shd w:val="clear" w:color="auto" w:fill="FFFFFF"/>
            <w:vAlign w:val="bottom"/>
          </w:tcPr>
          <w:p w14:paraId="4E3B1CC3" w14:textId="7AEBCDF1" w:rsidR="007B14B9" w:rsidRPr="00C846F8" w:rsidRDefault="007B14B9" w:rsidP="007B14B9">
            <w:pPr>
              <w:pStyle w:val="CETBodytext"/>
              <w:ind w:right="-1"/>
              <w:rPr>
                <w:rFonts w:cs="Arial"/>
                <w:szCs w:val="18"/>
                <w:lang w:val="en-GB"/>
              </w:rPr>
            </w:pPr>
            <w:r w:rsidRPr="00C846F8">
              <w:rPr>
                <w:rFonts w:cs="Arial"/>
                <w:color w:val="000000"/>
                <w:szCs w:val="18"/>
              </w:rPr>
              <w:t>1.24</w:t>
            </w:r>
          </w:p>
        </w:tc>
        <w:tc>
          <w:tcPr>
            <w:tcW w:w="353" w:type="pct"/>
            <w:shd w:val="clear" w:color="auto" w:fill="FFFFFF"/>
            <w:vAlign w:val="bottom"/>
          </w:tcPr>
          <w:p w14:paraId="4CCB420D" w14:textId="52C67C1E" w:rsidR="007B14B9" w:rsidRPr="00C846F8" w:rsidRDefault="007B14B9" w:rsidP="007B14B9">
            <w:pPr>
              <w:pStyle w:val="CETBodytext"/>
              <w:ind w:right="-1"/>
              <w:rPr>
                <w:rFonts w:cs="Arial"/>
                <w:szCs w:val="18"/>
                <w:lang w:val="en-GB"/>
              </w:rPr>
            </w:pPr>
            <w:r w:rsidRPr="00C846F8">
              <w:rPr>
                <w:rFonts w:cs="Arial"/>
                <w:color w:val="000000"/>
                <w:szCs w:val="18"/>
              </w:rPr>
              <w:t>1.35</w:t>
            </w:r>
          </w:p>
        </w:tc>
        <w:tc>
          <w:tcPr>
            <w:tcW w:w="353" w:type="pct"/>
            <w:shd w:val="clear" w:color="auto" w:fill="FFFFFF"/>
            <w:vAlign w:val="bottom"/>
          </w:tcPr>
          <w:p w14:paraId="2CB1C511" w14:textId="111FBEDC" w:rsidR="007B14B9" w:rsidRPr="00C846F8" w:rsidRDefault="007B14B9" w:rsidP="007B14B9">
            <w:pPr>
              <w:pStyle w:val="CETBodytext"/>
              <w:ind w:right="-1"/>
              <w:rPr>
                <w:rFonts w:cs="Arial"/>
                <w:szCs w:val="18"/>
                <w:lang w:val="en-GB"/>
              </w:rPr>
            </w:pPr>
            <w:r w:rsidRPr="00C846F8">
              <w:rPr>
                <w:rFonts w:cs="Arial"/>
                <w:color w:val="000000"/>
                <w:szCs w:val="18"/>
              </w:rPr>
              <w:t>1.41</w:t>
            </w:r>
          </w:p>
        </w:tc>
        <w:tc>
          <w:tcPr>
            <w:tcW w:w="353" w:type="pct"/>
            <w:shd w:val="clear" w:color="auto" w:fill="FFFFFF"/>
            <w:vAlign w:val="bottom"/>
          </w:tcPr>
          <w:p w14:paraId="3AE1D692" w14:textId="6447933C" w:rsidR="007B14B9" w:rsidRPr="00C846F8" w:rsidRDefault="007B14B9" w:rsidP="007B14B9">
            <w:pPr>
              <w:pStyle w:val="CETBodytext"/>
              <w:ind w:right="-1"/>
              <w:rPr>
                <w:rFonts w:cs="Arial"/>
                <w:szCs w:val="18"/>
                <w:lang w:val="en-GB"/>
              </w:rPr>
            </w:pPr>
            <w:r w:rsidRPr="00C846F8">
              <w:rPr>
                <w:rFonts w:cs="Arial"/>
                <w:color w:val="000000"/>
                <w:szCs w:val="18"/>
              </w:rPr>
              <w:t>1.96</w:t>
            </w:r>
          </w:p>
        </w:tc>
        <w:tc>
          <w:tcPr>
            <w:tcW w:w="353" w:type="pct"/>
            <w:shd w:val="clear" w:color="auto" w:fill="FFFFFF"/>
            <w:vAlign w:val="bottom"/>
          </w:tcPr>
          <w:p w14:paraId="5D5544CC" w14:textId="28E853B1" w:rsidR="007B14B9" w:rsidRPr="00C846F8" w:rsidRDefault="007B14B9" w:rsidP="007B14B9">
            <w:pPr>
              <w:pStyle w:val="CETBodytext"/>
              <w:ind w:right="-1"/>
              <w:rPr>
                <w:rFonts w:cs="Arial"/>
                <w:szCs w:val="18"/>
                <w:lang w:val="en-GB"/>
              </w:rPr>
            </w:pPr>
            <w:r w:rsidRPr="00C846F8">
              <w:rPr>
                <w:rFonts w:cs="Arial"/>
                <w:color w:val="000000"/>
                <w:szCs w:val="18"/>
              </w:rPr>
              <w:t>1.45</w:t>
            </w:r>
          </w:p>
        </w:tc>
        <w:tc>
          <w:tcPr>
            <w:tcW w:w="353" w:type="pct"/>
            <w:shd w:val="clear" w:color="auto" w:fill="FFFFFF"/>
            <w:vAlign w:val="bottom"/>
          </w:tcPr>
          <w:p w14:paraId="57B3CF81" w14:textId="73DF808B" w:rsidR="007B14B9" w:rsidRPr="00C846F8" w:rsidRDefault="007B14B9" w:rsidP="007B14B9">
            <w:pPr>
              <w:pStyle w:val="CETBodytext"/>
              <w:ind w:right="-1"/>
              <w:rPr>
                <w:rFonts w:cs="Arial"/>
                <w:szCs w:val="18"/>
                <w:lang w:val="en-GB"/>
              </w:rPr>
            </w:pPr>
            <w:r w:rsidRPr="00C846F8">
              <w:rPr>
                <w:rFonts w:cs="Arial"/>
                <w:color w:val="000000"/>
                <w:szCs w:val="18"/>
              </w:rPr>
              <w:t>1.10</w:t>
            </w:r>
          </w:p>
        </w:tc>
        <w:tc>
          <w:tcPr>
            <w:tcW w:w="353" w:type="pct"/>
            <w:shd w:val="clear" w:color="auto" w:fill="FFFFFF"/>
            <w:vAlign w:val="bottom"/>
          </w:tcPr>
          <w:p w14:paraId="037AD6C9" w14:textId="60534D21" w:rsidR="007B14B9" w:rsidRPr="00C846F8" w:rsidRDefault="007B14B9" w:rsidP="007B14B9">
            <w:pPr>
              <w:pStyle w:val="CETBodytext"/>
              <w:ind w:right="-1"/>
              <w:rPr>
                <w:rFonts w:cs="Arial"/>
                <w:szCs w:val="18"/>
                <w:lang w:val="en-GB"/>
              </w:rPr>
            </w:pPr>
            <w:r w:rsidRPr="00C846F8">
              <w:rPr>
                <w:rFonts w:cs="Arial"/>
                <w:color w:val="000000"/>
                <w:szCs w:val="18"/>
              </w:rPr>
              <w:t>1.20</w:t>
            </w:r>
          </w:p>
        </w:tc>
        <w:tc>
          <w:tcPr>
            <w:tcW w:w="353" w:type="pct"/>
            <w:shd w:val="clear" w:color="auto" w:fill="FFFFFF"/>
            <w:vAlign w:val="bottom"/>
          </w:tcPr>
          <w:p w14:paraId="7BD1B5B7" w14:textId="76C2D5E8" w:rsidR="007B14B9" w:rsidRPr="00C846F8" w:rsidRDefault="007B14B9" w:rsidP="007B14B9">
            <w:pPr>
              <w:pStyle w:val="CETBodytext"/>
              <w:ind w:right="-1"/>
              <w:rPr>
                <w:rFonts w:cs="Arial"/>
                <w:szCs w:val="18"/>
                <w:lang w:val="en-GB"/>
              </w:rPr>
            </w:pPr>
            <w:r w:rsidRPr="00C846F8">
              <w:rPr>
                <w:rFonts w:cs="Arial"/>
                <w:color w:val="000000"/>
                <w:szCs w:val="18"/>
              </w:rPr>
              <w:t>2.53</w:t>
            </w:r>
          </w:p>
        </w:tc>
        <w:tc>
          <w:tcPr>
            <w:tcW w:w="353" w:type="pct"/>
            <w:shd w:val="clear" w:color="auto" w:fill="FFFFFF"/>
            <w:vAlign w:val="bottom"/>
          </w:tcPr>
          <w:p w14:paraId="77E78E53" w14:textId="2B952D34" w:rsidR="007B14B9" w:rsidRPr="00C846F8" w:rsidRDefault="007B14B9" w:rsidP="007B14B9">
            <w:pPr>
              <w:pStyle w:val="CETBodytext"/>
              <w:ind w:right="-1"/>
              <w:rPr>
                <w:rFonts w:cs="Arial"/>
                <w:szCs w:val="18"/>
                <w:lang w:val="en-GB"/>
              </w:rPr>
            </w:pPr>
            <w:r w:rsidRPr="00C846F8">
              <w:rPr>
                <w:rFonts w:cs="Arial"/>
                <w:color w:val="000000"/>
                <w:szCs w:val="18"/>
              </w:rPr>
              <w:t>1.93</w:t>
            </w:r>
          </w:p>
        </w:tc>
        <w:tc>
          <w:tcPr>
            <w:tcW w:w="353" w:type="pct"/>
            <w:shd w:val="clear" w:color="auto" w:fill="FFFFFF"/>
            <w:vAlign w:val="bottom"/>
          </w:tcPr>
          <w:p w14:paraId="01E6ACF8" w14:textId="14F3EA8D" w:rsidR="007B14B9" w:rsidRPr="00C846F8" w:rsidRDefault="007B14B9" w:rsidP="007B14B9">
            <w:pPr>
              <w:pStyle w:val="CETBodytext"/>
              <w:ind w:right="-1"/>
              <w:rPr>
                <w:rFonts w:cs="Arial"/>
                <w:szCs w:val="18"/>
                <w:lang w:val="en-GB"/>
              </w:rPr>
            </w:pPr>
            <w:r w:rsidRPr="00C846F8">
              <w:rPr>
                <w:rFonts w:cs="Arial"/>
                <w:color w:val="000000"/>
                <w:szCs w:val="18"/>
              </w:rPr>
              <w:t>3.27</w:t>
            </w:r>
          </w:p>
        </w:tc>
      </w:tr>
      <w:tr w:rsidR="000E467D" w:rsidRPr="00C846F8" w14:paraId="368577C7" w14:textId="77A9726D" w:rsidTr="000E467D">
        <w:tc>
          <w:tcPr>
            <w:tcW w:w="770" w:type="pct"/>
            <w:shd w:val="clear" w:color="auto" w:fill="FFFFFF"/>
            <w:vAlign w:val="bottom"/>
          </w:tcPr>
          <w:p w14:paraId="3F80585C" w14:textId="5327E1DD" w:rsidR="007B14B9" w:rsidRPr="00C846F8" w:rsidRDefault="008646CC" w:rsidP="007B14B9">
            <w:pPr>
              <w:pStyle w:val="CETBodytext"/>
              <w:ind w:right="-1"/>
              <w:rPr>
                <w:rFonts w:cs="Arial"/>
                <w:szCs w:val="18"/>
                <w:lang w:val="en-GB"/>
              </w:rPr>
            </w:pPr>
            <m:oMath>
              <m:sSub>
                <m:sSubPr>
                  <m:ctrlPr>
                    <w:rPr>
                      <w:rFonts w:ascii="Cambria Math" w:hAnsi="Cambria Math" w:cs="Arial"/>
                      <w:i/>
                      <w:color w:val="000000"/>
                      <w:szCs w:val="18"/>
                    </w:rPr>
                  </m:ctrlPr>
                </m:sSubPr>
                <m:e>
                  <m:r>
                    <w:rPr>
                      <w:rFonts w:ascii="Cambria Math" w:hAnsi="Cambria Math" w:cs="Arial"/>
                      <w:szCs w:val="18"/>
                      <w:lang w:val="en-GB"/>
                    </w:rPr>
                    <m:t>λ</m:t>
                  </m:r>
                </m:e>
                <m:sub>
                  <m:r>
                    <w:rPr>
                      <w:rFonts w:ascii="Cambria Math" w:hAnsi="Cambria Math" w:cs="Arial"/>
                      <w:color w:val="000000"/>
                      <w:szCs w:val="18"/>
                    </w:rPr>
                    <m:t>p</m:t>
                  </m:r>
                </m:sub>
              </m:sSub>
            </m:oMath>
            <w:r w:rsidR="000E467D" w:rsidRPr="00C846F8">
              <w:rPr>
                <w:rFonts w:cs="Arial"/>
                <w:color w:val="000000"/>
                <w:szCs w:val="18"/>
              </w:rPr>
              <w:t xml:space="preserve"> (-)</w:t>
            </w:r>
          </w:p>
        </w:tc>
        <w:tc>
          <w:tcPr>
            <w:tcW w:w="353" w:type="pct"/>
            <w:shd w:val="clear" w:color="auto" w:fill="FFFFFF"/>
            <w:vAlign w:val="bottom"/>
          </w:tcPr>
          <w:p w14:paraId="39CA86E2" w14:textId="62A832C6" w:rsidR="007B14B9" w:rsidRPr="00C846F8" w:rsidRDefault="007B14B9" w:rsidP="007B14B9">
            <w:pPr>
              <w:pStyle w:val="CETBodytext"/>
              <w:ind w:right="-1"/>
              <w:rPr>
                <w:rFonts w:cs="Arial"/>
                <w:szCs w:val="18"/>
                <w:lang w:val="en-GB"/>
              </w:rPr>
            </w:pPr>
            <w:r w:rsidRPr="00C846F8">
              <w:rPr>
                <w:rFonts w:cs="Arial"/>
                <w:color w:val="000000"/>
                <w:szCs w:val="18"/>
              </w:rPr>
              <w:t>0.50</w:t>
            </w:r>
          </w:p>
        </w:tc>
        <w:tc>
          <w:tcPr>
            <w:tcW w:w="353" w:type="pct"/>
            <w:shd w:val="clear" w:color="auto" w:fill="FFFFFF"/>
            <w:vAlign w:val="bottom"/>
          </w:tcPr>
          <w:p w14:paraId="29A54E31" w14:textId="3A81E82B" w:rsidR="007B14B9" w:rsidRPr="00C846F8" w:rsidRDefault="007B14B9" w:rsidP="007B14B9">
            <w:pPr>
              <w:pStyle w:val="CETBodytext"/>
              <w:ind w:right="-1"/>
              <w:rPr>
                <w:rFonts w:cs="Arial"/>
                <w:szCs w:val="18"/>
                <w:lang w:val="en-GB"/>
              </w:rPr>
            </w:pPr>
            <w:r w:rsidRPr="00C846F8">
              <w:rPr>
                <w:rFonts w:cs="Arial"/>
                <w:color w:val="000000"/>
                <w:szCs w:val="18"/>
              </w:rPr>
              <w:t>0.43</w:t>
            </w:r>
          </w:p>
        </w:tc>
        <w:tc>
          <w:tcPr>
            <w:tcW w:w="353" w:type="pct"/>
            <w:shd w:val="clear" w:color="auto" w:fill="FFFFFF"/>
            <w:vAlign w:val="bottom"/>
          </w:tcPr>
          <w:p w14:paraId="45B56938" w14:textId="401695B1" w:rsidR="007B14B9" w:rsidRPr="00C846F8" w:rsidRDefault="007B14B9" w:rsidP="007B14B9">
            <w:pPr>
              <w:pStyle w:val="CETBodytext"/>
              <w:ind w:right="-1"/>
              <w:rPr>
                <w:rFonts w:cs="Arial"/>
                <w:szCs w:val="18"/>
                <w:lang w:val="en-GB"/>
              </w:rPr>
            </w:pPr>
            <w:r w:rsidRPr="00C846F8">
              <w:rPr>
                <w:rFonts w:cs="Arial"/>
                <w:color w:val="000000"/>
                <w:szCs w:val="18"/>
              </w:rPr>
              <w:t>0.28</w:t>
            </w:r>
          </w:p>
        </w:tc>
        <w:tc>
          <w:tcPr>
            <w:tcW w:w="353" w:type="pct"/>
            <w:shd w:val="clear" w:color="auto" w:fill="FFFFFF"/>
            <w:vAlign w:val="bottom"/>
          </w:tcPr>
          <w:p w14:paraId="5B9264C1" w14:textId="7A4D88E2" w:rsidR="007B14B9" w:rsidRPr="00C846F8" w:rsidRDefault="007B14B9" w:rsidP="007B14B9">
            <w:pPr>
              <w:pStyle w:val="CETBodytext"/>
              <w:ind w:right="-1"/>
              <w:rPr>
                <w:rFonts w:cs="Arial"/>
                <w:szCs w:val="18"/>
                <w:lang w:val="en-GB"/>
              </w:rPr>
            </w:pPr>
            <w:r w:rsidRPr="00C846F8">
              <w:rPr>
                <w:rFonts w:cs="Arial"/>
                <w:color w:val="000000"/>
                <w:szCs w:val="18"/>
              </w:rPr>
              <w:t>0.15</w:t>
            </w:r>
          </w:p>
        </w:tc>
        <w:tc>
          <w:tcPr>
            <w:tcW w:w="353" w:type="pct"/>
            <w:shd w:val="clear" w:color="auto" w:fill="FFFFFF"/>
            <w:vAlign w:val="bottom"/>
          </w:tcPr>
          <w:p w14:paraId="1A303108" w14:textId="2C273269" w:rsidR="007B14B9" w:rsidRPr="00C846F8" w:rsidRDefault="007B14B9" w:rsidP="007B14B9">
            <w:pPr>
              <w:pStyle w:val="CETBodytext"/>
              <w:ind w:right="-1"/>
              <w:rPr>
                <w:rFonts w:cs="Arial"/>
                <w:szCs w:val="18"/>
                <w:lang w:val="en-GB"/>
              </w:rPr>
            </w:pPr>
            <w:r w:rsidRPr="00C846F8">
              <w:rPr>
                <w:rFonts w:cs="Arial"/>
                <w:color w:val="000000"/>
                <w:szCs w:val="18"/>
              </w:rPr>
              <w:t>0.35</w:t>
            </w:r>
          </w:p>
        </w:tc>
        <w:tc>
          <w:tcPr>
            <w:tcW w:w="353" w:type="pct"/>
            <w:shd w:val="clear" w:color="auto" w:fill="FFFFFF"/>
            <w:vAlign w:val="bottom"/>
          </w:tcPr>
          <w:p w14:paraId="45D5CF7B" w14:textId="1BFB515E" w:rsidR="007B14B9" w:rsidRPr="00C846F8" w:rsidRDefault="007B14B9" w:rsidP="007B14B9">
            <w:pPr>
              <w:pStyle w:val="CETBodytext"/>
              <w:ind w:right="-1"/>
              <w:rPr>
                <w:rFonts w:cs="Arial"/>
                <w:szCs w:val="18"/>
                <w:lang w:val="en-GB"/>
              </w:rPr>
            </w:pPr>
            <w:r w:rsidRPr="00C846F8">
              <w:rPr>
                <w:rFonts w:cs="Arial"/>
                <w:color w:val="000000"/>
                <w:szCs w:val="18"/>
              </w:rPr>
              <w:t>0.25</w:t>
            </w:r>
          </w:p>
        </w:tc>
        <w:tc>
          <w:tcPr>
            <w:tcW w:w="353" w:type="pct"/>
            <w:shd w:val="clear" w:color="auto" w:fill="FFFFFF"/>
            <w:vAlign w:val="bottom"/>
          </w:tcPr>
          <w:p w14:paraId="3E1D03A0" w14:textId="136D4204" w:rsidR="007B14B9" w:rsidRPr="00C846F8" w:rsidRDefault="007B14B9" w:rsidP="007B14B9">
            <w:pPr>
              <w:pStyle w:val="CETBodytext"/>
              <w:ind w:right="-1"/>
              <w:rPr>
                <w:rFonts w:cs="Arial"/>
                <w:szCs w:val="18"/>
                <w:lang w:val="en-GB"/>
              </w:rPr>
            </w:pPr>
            <w:r w:rsidRPr="00C846F8">
              <w:rPr>
                <w:rFonts w:cs="Arial"/>
                <w:color w:val="000000"/>
                <w:szCs w:val="18"/>
              </w:rPr>
              <w:t>0.13</w:t>
            </w:r>
          </w:p>
        </w:tc>
        <w:tc>
          <w:tcPr>
            <w:tcW w:w="353" w:type="pct"/>
            <w:shd w:val="clear" w:color="auto" w:fill="FFFFFF"/>
            <w:vAlign w:val="bottom"/>
          </w:tcPr>
          <w:p w14:paraId="68E3DE11" w14:textId="618A5623" w:rsidR="007B14B9" w:rsidRPr="00C846F8" w:rsidRDefault="007B14B9" w:rsidP="007B14B9">
            <w:pPr>
              <w:pStyle w:val="CETBodytext"/>
              <w:ind w:right="-1"/>
              <w:rPr>
                <w:rFonts w:cs="Arial"/>
                <w:szCs w:val="18"/>
                <w:lang w:val="en-GB"/>
              </w:rPr>
            </w:pPr>
            <w:r w:rsidRPr="00C846F8">
              <w:rPr>
                <w:rFonts w:cs="Arial"/>
                <w:color w:val="000000"/>
                <w:szCs w:val="18"/>
              </w:rPr>
              <w:t>0.39</w:t>
            </w:r>
          </w:p>
        </w:tc>
        <w:tc>
          <w:tcPr>
            <w:tcW w:w="353" w:type="pct"/>
            <w:shd w:val="clear" w:color="auto" w:fill="FFFFFF"/>
            <w:vAlign w:val="bottom"/>
          </w:tcPr>
          <w:p w14:paraId="6A21A02A" w14:textId="13176FE2" w:rsidR="007B14B9" w:rsidRPr="00C846F8" w:rsidRDefault="007B14B9" w:rsidP="007B14B9">
            <w:pPr>
              <w:pStyle w:val="CETBodytext"/>
              <w:ind w:right="-1"/>
              <w:rPr>
                <w:rFonts w:cs="Arial"/>
                <w:szCs w:val="18"/>
                <w:lang w:val="en-GB"/>
              </w:rPr>
            </w:pPr>
            <w:r w:rsidRPr="00C846F8">
              <w:rPr>
                <w:rFonts w:cs="Arial"/>
                <w:color w:val="000000"/>
                <w:szCs w:val="18"/>
              </w:rPr>
              <w:t>0.56</w:t>
            </w:r>
          </w:p>
        </w:tc>
        <w:tc>
          <w:tcPr>
            <w:tcW w:w="353" w:type="pct"/>
            <w:shd w:val="clear" w:color="auto" w:fill="FFFFFF"/>
            <w:vAlign w:val="bottom"/>
          </w:tcPr>
          <w:p w14:paraId="16C24853" w14:textId="052BEB8D" w:rsidR="007B14B9" w:rsidRPr="00C846F8" w:rsidRDefault="007B14B9" w:rsidP="007B14B9">
            <w:pPr>
              <w:pStyle w:val="CETBodytext"/>
              <w:ind w:right="-1"/>
              <w:rPr>
                <w:rFonts w:cs="Arial"/>
                <w:szCs w:val="18"/>
                <w:lang w:val="en-GB"/>
              </w:rPr>
            </w:pPr>
            <w:r w:rsidRPr="00C846F8">
              <w:rPr>
                <w:rFonts w:cs="Arial"/>
                <w:color w:val="000000"/>
                <w:szCs w:val="18"/>
              </w:rPr>
              <w:t>0.31</w:t>
            </w:r>
          </w:p>
        </w:tc>
        <w:tc>
          <w:tcPr>
            <w:tcW w:w="353" w:type="pct"/>
            <w:shd w:val="clear" w:color="auto" w:fill="FFFFFF"/>
            <w:vAlign w:val="bottom"/>
          </w:tcPr>
          <w:p w14:paraId="5A284D15" w14:textId="00F8276A" w:rsidR="007B14B9" w:rsidRPr="00C846F8" w:rsidRDefault="007B14B9" w:rsidP="007B14B9">
            <w:pPr>
              <w:pStyle w:val="CETBodytext"/>
              <w:ind w:right="-1"/>
              <w:rPr>
                <w:rFonts w:cs="Arial"/>
                <w:szCs w:val="18"/>
                <w:lang w:val="en-GB"/>
              </w:rPr>
            </w:pPr>
            <w:r w:rsidRPr="00C846F8">
              <w:rPr>
                <w:rFonts w:cs="Arial"/>
                <w:color w:val="000000"/>
                <w:szCs w:val="18"/>
              </w:rPr>
              <w:t>0.23</w:t>
            </w:r>
          </w:p>
        </w:tc>
        <w:tc>
          <w:tcPr>
            <w:tcW w:w="353" w:type="pct"/>
            <w:shd w:val="clear" w:color="auto" w:fill="FFFFFF"/>
            <w:vAlign w:val="bottom"/>
          </w:tcPr>
          <w:p w14:paraId="3A97B9A8" w14:textId="4B0CC0E9" w:rsidR="007B14B9" w:rsidRPr="00C846F8" w:rsidRDefault="007B14B9" w:rsidP="007B14B9">
            <w:pPr>
              <w:pStyle w:val="CETBodytext"/>
              <w:ind w:right="-1"/>
              <w:rPr>
                <w:rFonts w:cs="Arial"/>
                <w:szCs w:val="18"/>
                <w:lang w:val="en-GB"/>
              </w:rPr>
            </w:pPr>
            <w:r w:rsidRPr="00C846F8">
              <w:rPr>
                <w:rFonts w:cs="Arial"/>
                <w:color w:val="000000"/>
                <w:szCs w:val="18"/>
              </w:rPr>
              <w:t>0.20</w:t>
            </w:r>
          </w:p>
        </w:tc>
      </w:tr>
      <w:tr w:rsidR="000E467D" w:rsidRPr="00C846F8" w14:paraId="34D1AB21" w14:textId="77777777" w:rsidTr="000E467D">
        <w:tc>
          <w:tcPr>
            <w:tcW w:w="770" w:type="pct"/>
            <w:shd w:val="clear" w:color="auto" w:fill="FFFFFF"/>
            <w:vAlign w:val="bottom"/>
          </w:tcPr>
          <w:p w14:paraId="007FEE47" w14:textId="2DA5E7CD" w:rsidR="007B14B9" w:rsidRPr="00C846F8" w:rsidRDefault="000E467D" w:rsidP="007B14B9">
            <w:pPr>
              <w:pStyle w:val="CETBodytext"/>
              <w:ind w:right="-1"/>
              <w:rPr>
                <w:rFonts w:cs="Arial"/>
                <w:szCs w:val="18"/>
                <w:lang w:val="en-GB"/>
              </w:rPr>
            </w:pPr>
            <m:oMath>
              <m:r>
                <w:rPr>
                  <w:rFonts w:ascii="Cambria Math" w:hAnsi="Cambria Math" w:cs="Arial"/>
                  <w:color w:val="000000"/>
                  <w:szCs w:val="18"/>
                </w:rPr>
                <m:t>R</m:t>
              </m:r>
            </m:oMath>
            <w:r w:rsidRPr="00C846F8">
              <w:rPr>
                <w:rFonts w:cs="Arial"/>
                <w:color w:val="000000"/>
                <w:szCs w:val="18"/>
              </w:rPr>
              <w:t xml:space="preserve"> (-)</w:t>
            </w:r>
          </w:p>
        </w:tc>
        <w:tc>
          <w:tcPr>
            <w:tcW w:w="353" w:type="pct"/>
            <w:shd w:val="clear" w:color="auto" w:fill="FFFFFF"/>
            <w:vAlign w:val="bottom"/>
          </w:tcPr>
          <w:p w14:paraId="46E4B9B7" w14:textId="3AE336A7" w:rsidR="007B14B9" w:rsidRPr="00C846F8" w:rsidRDefault="00B73243" w:rsidP="007B14B9">
            <w:pPr>
              <w:pStyle w:val="CETBodytext"/>
              <w:ind w:right="-1"/>
              <w:rPr>
                <w:rFonts w:cs="Arial"/>
                <w:szCs w:val="18"/>
                <w:lang w:val="en-GB"/>
              </w:rPr>
            </w:pPr>
            <w:r w:rsidRPr="00C846F8">
              <w:rPr>
                <w:rFonts w:cs="Arial"/>
                <w:color w:val="000000"/>
                <w:szCs w:val="18"/>
              </w:rPr>
              <w:t>0</w:t>
            </w:r>
          </w:p>
        </w:tc>
        <w:tc>
          <w:tcPr>
            <w:tcW w:w="353" w:type="pct"/>
            <w:shd w:val="clear" w:color="auto" w:fill="FFFFFF"/>
            <w:vAlign w:val="bottom"/>
          </w:tcPr>
          <w:p w14:paraId="4FB56EFE" w14:textId="5BAE1B2D" w:rsidR="007B14B9" w:rsidRPr="00C846F8" w:rsidRDefault="00B73243" w:rsidP="007B14B9">
            <w:pPr>
              <w:pStyle w:val="CETBodytext"/>
              <w:ind w:right="-1"/>
              <w:rPr>
                <w:rFonts w:cs="Arial"/>
                <w:szCs w:val="18"/>
                <w:lang w:val="en-GB"/>
              </w:rPr>
            </w:pPr>
            <w:r w:rsidRPr="00C846F8">
              <w:rPr>
                <w:rFonts w:cs="Arial"/>
                <w:color w:val="000000"/>
                <w:szCs w:val="18"/>
              </w:rPr>
              <w:t>0</w:t>
            </w:r>
          </w:p>
        </w:tc>
        <w:tc>
          <w:tcPr>
            <w:tcW w:w="353" w:type="pct"/>
            <w:shd w:val="clear" w:color="auto" w:fill="FFFFFF"/>
            <w:vAlign w:val="bottom"/>
          </w:tcPr>
          <w:p w14:paraId="7E6FD8C4" w14:textId="2657B256" w:rsidR="007B14B9" w:rsidRPr="00C846F8" w:rsidRDefault="007B14B9" w:rsidP="007B14B9">
            <w:pPr>
              <w:pStyle w:val="CETBodytext"/>
              <w:ind w:right="-1"/>
              <w:rPr>
                <w:rFonts w:cs="Arial"/>
                <w:szCs w:val="18"/>
                <w:lang w:val="en-GB"/>
              </w:rPr>
            </w:pPr>
            <w:r w:rsidRPr="00C846F8">
              <w:rPr>
                <w:rFonts w:cs="Arial"/>
                <w:color w:val="000000"/>
                <w:szCs w:val="18"/>
              </w:rPr>
              <w:t>0.46</w:t>
            </w:r>
          </w:p>
        </w:tc>
        <w:tc>
          <w:tcPr>
            <w:tcW w:w="353" w:type="pct"/>
            <w:shd w:val="clear" w:color="auto" w:fill="FFFFFF"/>
            <w:vAlign w:val="bottom"/>
          </w:tcPr>
          <w:p w14:paraId="23DBD6E2" w14:textId="0D615A6C" w:rsidR="007B14B9" w:rsidRPr="00C846F8" w:rsidRDefault="007B14B9" w:rsidP="007B14B9">
            <w:pPr>
              <w:pStyle w:val="CETBodytext"/>
              <w:ind w:right="-1"/>
              <w:rPr>
                <w:rFonts w:cs="Arial"/>
                <w:szCs w:val="18"/>
                <w:lang w:val="en-GB"/>
              </w:rPr>
            </w:pPr>
            <w:r w:rsidRPr="00C846F8">
              <w:rPr>
                <w:rFonts w:cs="Arial"/>
                <w:color w:val="000000"/>
                <w:szCs w:val="18"/>
              </w:rPr>
              <w:t>0.55</w:t>
            </w:r>
          </w:p>
        </w:tc>
        <w:tc>
          <w:tcPr>
            <w:tcW w:w="353" w:type="pct"/>
            <w:shd w:val="clear" w:color="auto" w:fill="FFFFFF"/>
            <w:vAlign w:val="bottom"/>
          </w:tcPr>
          <w:p w14:paraId="43CF635C" w14:textId="039B372B" w:rsidR="007B14B9" w:rsidRPr="00C846F8" w:rsidRDefault="00B73243" w:rsidP="007B14B9">
            <w:pPr>
              <w:pStyle w:val="CETBodytext"/>
              <w:ind w:right="-1"/>
              <w:rPr>
                <w:rFonts w:cs="Arial"/>
                <w:szCs w:val="18"/>
                <w:lang w:val="en-GB"/>
              </w:rPr>
            </w:pPr>
            <w:r w:rsidRPr="00C846F8">
              <w:rPr>
                <w:rFonts w:cs="Arial"/>
                <w:color w:val="000000"/>
                <w:szCs w:val="18"/>
              </w:rPr>
              <w:t>0</w:t>
            </w:r>
          </w:p>
        </w:tc>
        <w:tc>
          <w:tcPr>
            <w:tcW w:w="353" w:type="pct"/>
            <w:shd w:val="clear" w:color="auto" w:fill="FFFFFF"/>
            <w:vAlign w:val="bottom"/>
          </w:tcPr>
          <w:p w14:paraId="0623904D" w14:textId="459815D7" w:rsidR="007B14B9" w:rsidRPr="00C846F8" w:rsidRDefault="007B14B9" w:rsidP="007B14B9">
            <w:pPr>
              <w:pStyle w:val="CETBodytext"/>
              <w:ind w:right="-1"/>
              <w:rPr>
                <w:rFonts w:cs="Arial"/>
                <w:szCs w:val="18"/>
                <w:lang w:val="en-GB"/>
              </w:rPr>
            </w:pPr>
            <w:r w:rsidRPr="00C846F8">
              <w:rPr>
                <w:rFonts w:cs="Arial"/>
                <w:color w:val="000000"/>
                <w:szCs w:val="18"/>
              </w:rPr>
              <w:t>0.40</w:t>
            </w:r>
          </w:p>
        </w:tc>
        <w:tc>
          <w:tcPr>
            <w:tcW w:w="353" w:type="pct"/>
            <w:shd w:val="clear" w:color="auto" w:fill="FFFFFF"/>
            <w:vAlign w:val="bottom"/>
          </w:tcPr>
          <w:p w14:paraId="1D637F37" w14:textId="768AB4BD" w:rsidR="007B14B9" w:rsidRPr="00C846F8" w:rsidRDefault="007B14B9" w:rsidP="007B14B9">
            <w:pPr>
              <w:pStyle w:val="CETBodytext"/>
              <w:ind w:right="-1"/>
              <w:rPr>
                <w:rFonts w:cs="Arial"/>
                <w:szCs w:val="18"/>
                <w:lang w:val="en-GB"/>
              </w:rPr>
            </w:pPr>
            <w:r w:rsidRPr="00C846F8">
              <w:rPr>
                <w:rFonts w:cs="Arial"/>
                <w:color w:val="000000"/>
                <w:szCs w:val="18"/>
              </w:rPr>
              <w:t>0.48</w:t>
            </w:r>
          </w:p>
        </w:tc>
        <w:tc>
          <w:tcPr>
            <w:tcW w:w="353" w:type="pct"/>
            <w:shd w:val="clear" w:color="auto" w:fill="FFFFFF"/>
            <w:vAlign w:val="bottom"/>
          </w:tcPr>
          <w:p w14:paraId="0D141F06" w14:textId="4244BC7B" w:rsidR="007B14B9" w:rsidRPr="00C846F8" w:rsidRDefault="007B14B9" w:rsidP="007B14B9">
            <w:pPr>
              <w:pStyle w:val="CETBodytext"/>
              <w:ind w:right="-1"/>
              <w:rPr>
                <w:rFonts w:cs="Arial"/>
                <w:szCs w:val="18"/>
                <w:lang w:val="en-GB"/>
              </w:rPr>
            </w:pPr>
            <w:r w:rsidRPr="00C846F8">
              <w:rPr>
                <w:rFonts w:cs="Arial"/>
                <w:color w:val="000000"/>
                <w:szCs w:val="18"/>
              </w:rPr>
              <w:t>0.57</w:t>
            </w:r>
          </w:p>
        </w:tc>
        <w:tc>
          <w:tcPr>
            <w:tcW w:w="353" w:type="pct"/>
            <w:shd w:val="clear" w:color="auto" w:fill="FFFFFF"/>
            <w:vAlign w:val="bottom"/>
          </w:tcPr>
          <w:p w14:paraId="57F6EBF1" w14:textId="61FFA468" w:rsidR="007B14B9" w:rsidRPr="00C846F8" w:rsidRDefault="007B14B9" w:rsidP="007B14B9">
            <w:pPr>
              <w:pStyle w:val="CETBodytext"/>
              <w:ind w:right="-1"/>
              <w:rPr>
                <w:rFonts w:cs="Arial"/>
                <w:szCs w:val="18"/>
                <w:lang w:val="en-GB"/>
              </w:rPr>
            </w:pPr>
            <w:r w:rsidRPr="00C846F8">
              <w:rPr>
                <w:rFonts w:cs="Arial"/>
                <w:color w:val="000000"/>
                <w:szCs w:val="18"/>
              </w:rPr>
              <w:t>0.76</w:t>
            </w:r>
          </w:p>
        </w:tc>
        <w:tc>
          <w:tcPr>
            <w:tcW w:w="353" w:type="pct"/>
            <w:shd w:val="clear" w:color="auto" w:fill="FFFFFF"/>
            <w:vAlign w:val="bottom"/>
          </w:tcPr>
          <w:p w14:paraId="36C65052" w14:textId="02B0D58F" w:rsidR="007B14B9" w:rsidRPr="00C846F8" w:rsidRDefault="00B73243" w:rsidP="007B14B9">
            <w:pPr>
              <w:pStyle w:val="CETBodytext"/>
              <w:ind w:right="-1"/>
              <w:rPr>
                <w:rFonts w:cs="Arial"/>
                <w:szCs w:val="18"/>
                <w:lang w:val="en-GB"/>
              </w:rPr>
            </w:pPr>
            <w:r w:rsidRPr="00C846F8">
              <w:rPr>
                <w:rFonts w:cs="Arial"/>
                <w:color w:val="000000"/>
                <w:szCs w:val="18"/>
              </w:rPr>
              <w:t>0</w:t>
            </w:r>
          </w:p>
        </w:tc>
        <w:tc>
          <w:tcPr>
            <w:tcW w:w="353" w:type="pct"/>
            <w:shd w:val="clear" w:color="auto" w:fill="FFFFFF"/>
            <w:vAlign w:val="bottom"/>
          </w:tcPr>
          <w:p w14:paraId="71043679" w14:textId="3870C8E8" w:rsidR="007B14B9" w:rsidRPr="00C846F8" w:rsidRDefault="007B14B9" w:rsidP="007B14B9">
            <w:pPr>
              <w:pStyle w:val="CETBodytext"/>
              <w:ind w:right="-1"/>
              <w:rPr>
                <w:rFonts w:cs="Arial"/>
                <w:szCs w:val="18"/>
                <w:lang w:val="en-GB"/>
              </w:rPr>
            </w:pPr>
            <w:r w:rsidRPr="00C846F8">
              <w:rPr>
                <w:rFonts w:cs="Arial"/>
                <w:color w:val="000000"/>
                <w:szCs w:val="18"/>
              </w:rPr>
              <w:t>0.34</w:t>
            </w:r>
          </w:p>
        </w:tc>
        <w:tc>
          <w:tcPr>
            <w:tcW w:w="353" w:type="pct"/>
            <w:shd w:val="clear" w:color="auto" w:fill="FFFFFF"/>
            <w:vAlign w:val="bottom"/>
          </w:tcPr>
          <w:p w14:paraId="49AAB43F" w14:textId="59D83D34" w:rsidR="007B14B9" w:rsidRPr="00C846F8" w:rsidRDefault="007B14B9" w:rsidP="007B14B9">
            <w:pPr>
              <w:pStyle w:val="CETBodytext"/>
              <w:ind w:right="-1"/>
              <w:rPr>
                <w:rFonts w:cs="Arial"/>
                <w:szCs w:val="18"/>
                <w:lang w:val="en-GB"/>
              </w:rPr>
            </w:pPr>
            <w:r w:rsidRPr="00C846F8">
              <w:rPr>
                <w:rFonts w:cs="Arial"/>
                <w:color w:val="000000"/>
                <w:szCs w:val="18"/>
              </w:rPr>
              <w:t>0.30</w:t>
            </w:r>
          </w:p>
        </w:tc>
      </w:tr>
      <w:tr w:rsidR="000E467D" w:rsidRPr="00C846F8" w14:paraId="012178BE" w14:textId="77777777" w:rsidTr="000E467D">
        <w:tc>
          <w:tcPr>
            <w:tcW w:w="770" w:type="pct"/>
            <w:shd w:val="clear" w:color="auto" w:fill="FFFFFF"/>
            <w:vAlign w:val="bottom"/>
          </w:tcPr>
          <w:p w14:paraId="69E8B6D5" w14:textId="254DD617" w:rsidR="007B14B9" w:rsidRPr="00C846F8" w:rsidRDefault="008646CC" w:rsidP="007B14B9">
            <w:pPr>
              <w:pStyle w:val="CETBodytext"/>
              <w:ind w:right="-1"/>
              <w:rPr>
                <w:rFonts w:cs="Arial"/>
                <w:szCs w:val="18"/>
                <w:lang w:val="en-GB"/>
              </w:rPr>
            </w:pPr>
            <m:oMath>
              <m:sSub>
                <m:sSubPr>
                  <m:ctrlPr>
                    <w:rPr>
                      <w:rFonts w:ascii="Cambria Math" w:hAnsi="Cambria Math" w:cs="Arial"/>
                      <w:i/>
                      <w:color w:val="000000"/>
                      <w:szCs w:val="18"/>
                    </w:rPr>
                  </m:ctrlPr>
                </m:sSubPr>
                <m:e>
                  <m:r>
                    <w:rPr>
                      <w:rFonts w:ascii="Cambria Math" w:hAnsi="Cambria Math" w:cs="Arial"/>
                      <w:color w:val="000000"/>
                      <w:szCs w:val="18"/>
                    </w:rPr>
                    <m:t>T</m:t>
                  </m:r>
                </m:e>
                <m:sub>
                  <m:r>
                    <w:rPr>
                      <w:rFonts w:ascii="Cambria Math" w:hAnsi="Cambria Math" w:cs="Arial"/>
                      <w:color w:val="000000"/>
                      <w:szCs w:val="18"/>
                    </w:rPr>
                    <m:t>f,in</m:t>
                  </m:r>
                </m:sub>
              </m:sSub>
            </m:oMath>
            <w:r w:rsidR="000E467D" w:rsidRPr="00C846F8">
              <w:rPr>
                <w:rFonts w:cs="Arial"/>
                <w:color w:val="000000"/>
                <w:szCs w:val="18"/>
              </w:rPr>
              <w:t xml:space="preserve"> (°C)</w:t>
            </w:r>
          </w:p>
        </w:tc>
        <w:tc>
          <w:tcPr>
            <w:tcW w:w="353" w:type="pct"/>
            <w:shd w:val="clear" w:color="auto" w:fill="FFFFFF"/>
            <w:vAlign w:val="bottom"/>
          </w:tcPr>
          <w:p w14:paraId="1FBAF4FA" w14:textId="35CE453A" w:rsidR="007B14B9" w:rsidRPr="00C846F8" w:rsidRDefault="007B14B9" w:rsidP="007B14B9">
            <w:pPr>
              <w:pStyle w:val="CETBodytext"/>
              <w:ind w:right="-1"/>
              <w:rPr>
                <w:rFonts w:cs="Arial"/>
                <w:szCs w:val="18"/>
                <w:lang w:val="en-GB"/>
              </w:rPr>
            </w:pPr>
            <w:r w:rsidRPr="00C846F8">
              <w:rPr>
                <w:rFonts w:cs="Arial"/>
                <w:color w:val="000000"/>
                <w:szCs w:val="18"/>
              </w:rPr>
              <w:t>669</w:t>
            </w:r>
          </w:p>
        </w:tc>
        <w:tc>
          <w:tcPr>
            <w:tcW w:w="353" w:type="pct"/>
            <w:shd w:val="clear" w:color="auto" w:fill="FFFFFF"/>
            <w:vAlign w:val="bottom"/>
          </w:tcPr>
          <w:p w14:paraId="6254EE5D" w14:textId="45428A14" w:rsidR="007B14B9" w:rsidRPr="00C846F8" w:rsidRDefault="007B14B9" w:rsidP="007B14B9">
            <w:pPr>
              <w:pStyle w:val="CETBodytext"/>
              <w:ind w:right="-1"/>
              <w:rPr>
                <w:rFonts w:cs="Arial"/>
                <w:szCs w:val="18"/>
                <w:lang w:val="en-GB"/>
              </w:rPr>
            </w:pPr>
            <w:r w:rsidRPr="00C846F8">
              <w:rPr>
                <w:rFonts w:cs="Arial"/>
                <w:color w:val="000000"/>
                <w:szCs w:val="18"/>
              </w:rPr>
              <w:t>696</w:t>
            </w:r>
          </w:p>
        </w:tc>
        <w:tc>
          <w:tcPr>
            <w:tcW w:w="353" w:type="pct"/>
            <w:shd w:val="clear" w:color="auto" w:fill="FFFFFF"/>
            <w:vAlign w:val="bottom"/>
          </w:tcPr>
          <w:p w14:paraId="6F4953ED" w14:textId="24B7EA19" w:rsidR="007B14B9" w:rsidRPr="00C846F8" w:rsidRDefault="007B14B9" w:rsidP="007B14B9">
            <w:pPr>
              <w:pStyle w:val="CETBodytext"/>
              <w:ind w:right="-1"/>
              <w:rPr>
                <w:rFonts w:cs="Arial"/>
                <w:szCs w:val="18"/>
                <w:lang w:val="en-GB"/>
              </w:rPr>
            </w:pPr>
            <w:r w:rsidRPr="00C846F8">
              <w:rPr>
                <w:rFonts w:cs="Arial"/>
                <w:color w:val="000000"/>
                <w:szCs w:val="18"/>
              </w:rPr>
              <w:t>698</w:t>
            </w:r>
          </w:p>
        </w:tc>
        <w:tc>
          <w:tcPr>
            <w:tcW w:w="353" w:type="pct"/>
            <w:shd w:val="clear" w:color="auto" w:fill="FFFFFF"/>
            <w:vAlign w:val="bottom"/>
          </w:tcPr>
          <w:p w14:paraId="6B25ABBF" w14:textId="3E9C89D6" w:rsidR="007B14B9" w:rsidRPr="00C846F8" w:rsidRDefault="007B14B9" w:rsidP="007B14B9">
            <w:pPr>
              <w:pStyle w:val="CETBodytext"/>
              <w:ind w:right="-1"/>
              <w:rPr>
                <w:rFonts w:cs="Arial"/>
                <w:szCs w:val="18"/>
                <w:lang w:val="en-GB"/>
              </w:rPr>
            </w:pPr>
            <w:r w:rsidRPr="00C846F8">
              <w:rPr>
                <w:rFonts w:cs="Arial"/>
                <w:color w:val="000000"/>
                <w:szCs w:val="18"/>
              </w:rPr>
              <w:t>728</w:t>
            </w:r>
          </w:p>
        </w:tc>
        <w:tc>
          <w:tcPr>
            <w:tcW w:w="353" w:type="pct"/>
            <w:shd w:val="clear" w:color="auto" w:fill="FFFFFF"/>
            <w:vAlign w:val="bottom"/>
          </w:tcPr>
          <w:p w14:paraId="1F3AB9F2" w14:textId="1660BEE5" w:rsidR="007B14B9" w:rsidRPr="00C846F8" w:rsidRDefault="007B14B9" w:rsidP="007B14B9">
            <w:pPr>
              <w:pStyle w:val="CETBodytext"/>
              <w:ind w:right="-1"/>
              <w:rPr>
                <w:rFonts w:cs="Arial"/>
                <w:szCs w:val="18"/>
                <w:lang w:val="en-GB"/>
              </w:rPr>
            </w:pPr>
            <w:r w:rsidRPr="00C846F8">
              <w:rPr>
                <w:rFonts w:cs="Arial"/>
                <w:color w:val="000000"/>
                <w:szCs w:val="18"/>
              </w:rPr>
              <w:t>766</w:t>
            </w:r>
          </w:p>
        </w:tc>
        <w:tc>
          <w:tcPr>
            <w:tcW w:w="353" w:type="pct"/>
            <w:shd w:val="clear" w:color="auto" w:fill="FFFFFF"/>
            <w:vAlign w:val="bottom"/>
          </w:tcPr>
          <w:p w14:paraId="2AFC409F" w14:textId="18881D1A" w:rsidR="007B14B9" w:rsidRPr="00C846F8" w:rsidRDefault="007B14B9" w:rsidP="007B14B9">
            <w:pPr>
              <w:pStyle w:val="CETBodytext"/>
              <w:ind w:right="-1"/>
              <w:rPr>
                <w:rFonts w:cs="Arial"/>
                <w:szCs w:val="18"/>
                <w:lang w:val="en-GB"/>
              </w:rPr>
            </w:pPr>
            <w:r w:rsidRPr="00C846F8">
              <w:rPr>
                <w:rFonts w:cs="Arial"/>
                <w:color w:val="000000"/>
                <w:szCs w:val="18"/>
              </w:rPr>
              <w:t>722</w:t>
            </w:r>
          </w:p>
        </w:tc>
        <w:tc>
          <w:tcPr>
            <w:tcW w:w="353" w:type="pct"/>
            <w:shd w:val="clear" w:color="auto" w:fill="FFFFFF"/>
            <w:vAlign w:val="bottom"/>
          </w:tcPr>
          <w:p w14:paraId="2A47E715" w14:textId="38D133FB" w:rsidR="007B14B9" w:rsidRPr="00C846F8" w:rsidRDefault="007B14B9" w:rsidP="007B14B9">
            <w:pPr>
              <w:pStyle w:val="CETBodytext"/>
              <w:ind w:right="-1"/>
              <w:rPr>
                <w:rFonts w:cs="Arial"/>
                <w:szCs w:val="18"/>
                <w:lang w:val="en-GB"/>
              </w:rPr>
            </w:pPr>
            <w:r w:rsidRPr="00C846F8">
              <w:rPr>
                <w:rFonts w:cs="Arial"/>
                <w:color w:val="000000"/>
                <w:szCs w:val="18"/>
              </w:rPr>
              <w:t>763</w:t>
            </w:r>
          </w:p>
        </w:tc>
        <w:tc>
          <w:tcPr>
            <w:tcW w:w="353" w:type="pct"/>
            <w:shd w:val="clear" w:color="auto" w:fill="FFFFFF"/>
            <w:vAlign w:val="bottom"/>
          </w:tcPr>
          <w:p w14:paraId="2378E9DF" w14:textId="4CC3ED3D" w:rsidR="007B14B9" w:rsidRPr="00C846F8" w:rsidRDefault="007B14B9" w:rsidP="007B14B9">
            <w:pPr>
              <w:pStyle w:val="CETBodytext"/>
              <w:ind w:right="-1"/>
              <w:rPr>
                <w:rFonts w:cs="Arial"/>
                <w:szCs w:val="18"/>
                <w:lang w:val="en-GB"/>
              </w:rPr>
            </w:pPr>
            <w:r w:rsidRPr="00C846F8">
              <w:rPr>
                <w:rFonts w:cs="Arial"/>
                <w:color w:val="000000"/>
                <w:szCs w:val="18"/>
              </w:rPr>
              <w:t>838</w:t>
            </w:r>
          </w:p>
        </w:tc>
        <w:tc>
          <w:tcPr>
            <w:tcW w:w="353" w:type="pct"/>
            <w:shd w:val="clear" w:color="auto" w:fill="FFFFFF"/>
            <w:vAlign w:val="bottom"/>
          </w:tcPr>
          <w:p w14:paraId="70B0D04C" w14:textId="13711AD3" w:rsidR="007B14B9" w:rsidRPr="00C846F8" w:rsidRDefault="007B14B9" w:rsidP="007B14B9">
            <w:pPr>
              <w:pStyle w:val="CETBodytext"/>
              <w:ind w:right="-1"/>
              <w:rPr>
                <w:rFonts w:cs="Arial"/>
                <w:szCs w:val="18"/>
                <w:lang w:val="en-GB"/>
              </w:rPr>
            </w:pPr>
            <w:r w:rsidRPr="00C846F8">
              <w:rPr>
                <w:rFonts w:cs="Arial"/>
                <w:color w:val="000000"/>
                <w:szCs w:val="18"/>
              </w:rPr>
              <w:t>830</w:t>
            </w:r>
          </w:p>
        </w:tc>
        <w:tc>
          <w:tcPr>
            <w:tcW w:w="353" w:type="pct"/>
            <w:shd w:val="clear" w:color="auto" w:fill="FFFFFF"/>
            <w:vAlign w:val="bottom"/>
          </w:tcPr>
          <w:p w14:paraId="4A33EDF8" w14:textId="751EC613" w:rsidR="007B14B9" w:rsidRPr="00C846F8" w:rsidRDefault="007B14B9" w:rsidP="007B14B9">
            <w:pPr>
              <w:pStyle w:val="CETBodytext"/>
              <w:ind w:right="-1"/>
              <w:rPr>
                <w:rFonts w:cs="Arial"/>
                <w:szCs w:val="18"/>
                <w:lang w:val="en-GB"/>
              </w:rPr>
            </w:pPr>
            <w:r w:rsidRPr="00C846F8">
              <w:rPr>
                <w:rFonts w:cs="Arial"/>
                <w:color w:val="000000"/>
                <w:szCs w:val="18"/>
              </w:rPr>
              <w:t>698</w:t>
            </w:r>
          </w:p>
        </w:tc>
        <w:tc>
          <w:tcPr>
            <w:tcW w:w="353" w:type="pct"/>
            <w:shd w:val="clear" w:color="auto" w:fill="FFFFFF"/>
            <w:vAlign w:val="bottom"/>
          </w:tcPr>
          <w:p w14:paraId="453D0E66" w14:textId="38A1B44C" w:rsidR="007B14B9" w:rsidRPr="00C846F8" w:rsidRDefault="007B14B9" w:rsidP="007B14B9">
            <w:pPr>
              <w:pStyle w:val="CETBodytext"/>
              <w:ind w:right="-1"/>
              <w:rPr>
                <w:rFonts w:cs="Arial"/>
                <w:szCs w:val="18"/>
                <w:lang w:val="en-GB"/>
              </w:rPr>
            </w:pPr>
            <w:r w:rsidRPr="00C846F8">
              <w:rPr>
                <w:rFonts w:cs="Arial"/>
                <w:color w:val="000000"/>
                <w:szCs w:val="18"/>
              </w:rPr>
              <w:t>744</w:t>
            </w:r>
          </w:p>
        </w:tc>
        <w:tc>
          <w:tcPr>
            <w:tcW w:w="353" w:type="pct"/>
            <w:shd w:val="clear" w:color="auto" w:fill="FFFFFF"/>
            <w:vAlign w:val="bottom"/>
          </w:tcPr>
          <w:p w14:paraId="525E2796" w14:textId="2E8EA8F1" w:rsidR="007B14B9" w:rsidRPr="00C846F8" w:rsidRDefault="007B14B9" w:rsidP="007B14B9">
            <w:pPr>
              <w:pStyle w:val="CETBodytext"/>
              <w:ind w:right="-1"/>
              <w:rPr>
                <w:rFonts w:cs="Arial"/>
                <w:szCs w:val="18"/>
                <w:lang w:val="en-GB"/>
              </w:rPr>
            </w:pPr>
            <w:r w:rsidRPr="00C846F8">
              <w:rPr>
                <w:rFonts w:cs="Arial"/>
                <w:color w:val="000000"/>
                <w:szCs w:val="18"/>
              </w:rPr>
              <w:t>686</w:t>
            </w:r>
          </w:p>
        </w:tc>
      </w:tr>
    </w:tbl>
    <w:p w14:paraId="604CFE2C" w14:textId="77777777" w:rsidR="00374DC5" w:rsidRDefault="00374DC5" w:rsidP="00374DC5">
      <w:pPr>
        <w:pStyle w:val="CETBodytext"/>
        <w:rPr>
          <w:lang w:val="en-GB"/>
        </w:rPr>
      </w:pPr>
    </w:p>
    <w:p w14:paraId="39F7D914" w14:textId="30834AF0" w:rsidR="009507DC" w:rsidRPr="00023147" w:rsidRDefault="00F069F5" w:rsidP="00453E24">
      <w:pPr>
        <w:pStyle w:val="CETBodytext"/>
        <w:rPr>
          <w:iCs/>
          <w:szCs w:val="18"/>
          <w:lang w:val="en-GB"/>
        </w:rPr>
      </w:pPr>
      <w:r>
        <w:rPr>
          <w:lang w:val="en-GB"/>
        </w:rPr>
        <w:t>Fig</w:t>
      </w:r>
      <w:r w:rsidR="00581B22">
        <w:rPr>
          <w:lang w:val="en-GB"/>
        </w:rPr>
        <w:t>ure</w:t>
      </w:r>
      <w:r w:rsidR="0076025C">
        <w:rPr>
          <w:lang w:val="en-GB"/>
        </w:rPr>
        <w:t xml:space="preserve"> 3 shows the </w:t>
      </w:r>
      <w:r w:rsidR="00B67F1B" w:rsidRPr="00AD1514">
        <w:rPr>
          <w:szCs w:val="18"/>
          <w:lang w:val="en-GB"/>
        </w:rPr>
        <w:t xml:space="preserve">average fuel bed temperature as a function of </w:t>
      </w:r>
      <m:oMath>
        <m:sSub>
          <m:sSubPr>
            <m:ctrlPr>
              <w:rPr>
                <w:rFonts w:ascii="Cambria Math" w:hAnsi="Cambria Math"/>
                <w:i/>
                <w:iCs/>
                <w:szCs w:val="18"/>
                <w:lang w:val="en-GB"/>
              </w:rPr>
            </m:ctrlPr>
          </m:sSubPr>
          <m:e>
            <m:r>
              <w:rPr>
                <w:rFonts w:ascii="Cambria Math" w:hAnsi="Cambria Math"/>
                <w:szCs w:val="18"/>
                <w:lang w:val="en-GB"/>
              </w:rPr>
              <m:t>λ</m:t>
            </m:r>
          </m:e>
          <m:sub>
            <m:r>
              <w:rPr>
                <w:rFonts w:ascii="Cambria Math" w:hAnsi="Cambria Math"/>
                <w:szCs w:val="18"/>
                <w:lang w:val="en-GB"/>
              </w:rPr>
              <m:t>p</m:t>
            </m:r>
          </m:sub>
        </m:sSub>
      </m:oMath>
      <w:r w:rsidR="00B67F1B" w:rsidRPr="00AD1514">
        <w:rPr>
          <w:iCs/>
          <w:szCs w:val="18"/>
          <w:lang w:val="en-GB"/>
        </w:rPr>
        <w:t xml:space="preserve">, </w:t>
      </w:r>
      <w:r w:rsidR="00B67F1B" w:rsidRPr="00AD1514">
        <w:rPr>
          <w:szCs w:val="18"/>
          <w:lang w:val="en-GB"/>
        </w:rPr>
        <w:t xml:space="preserve">and </w:t>
      </w:r>
      <w:r w:rsidR="00B67F1B" w:rsidRPr="00B6202C">
        <w:rPr>
          <w:i/>
          <w:iCs/>
          <w:szCs w:val="18"/>
          <w:lang w:val="en-GB"/>
        </w:rPr>
        <w:t>R</w:t>
      </w:r>
      <w:r w:rsidR="00B67F1B" w:rsidRPr="00AD1514">
        <w:rPr>
          <w:szCs w:val="18"/>
          <w:lang w:val="en-GB"/>
        </w:rPr>
        <w:t>.</w:t>
      </w:r>
      <w:r w:rsidR="005840E9" w:rsidRPr="00AD1514">
        <w:rPr>
          <w:szCs w:val="18"/>
          <w:lang w:val="en-GB"/>
        </w:rPr>
        <w:t xml:space="preserve"> The average fuel bed temperature is obtained by averaging the </w:t>
      </w:r>
      <w:r w:rsidR="00815074" w:rsidRPr="00AD1514">
        <w:rPr>
          <w:szCs w:val="18"/>
          <w:lang w:val="en-GB"/>
        </w:rPr>
        <w:t xml:space="preserve">9 </w:t>
      </w:r>
      <w:r w:rsidR="005840E9" w:rsidRPr="00AD1514">
        <w:rPr>
          <w:szCs w:val="18"/>
          <w:lang w:val="en-GB"/>
        </w:rPr>
        <w:t>temperature measurements</w:t>
      </w:r>
      <w:r w:rsidR="003C6DA1">
        <w:rPr>
          <w:szCs w:val="18"/>
          <w:lang w:val="en-GB"/>
        </w:rPr>
        <w:t xml:space="preserve"> in the bed</w:t>
      </w:r>
      <w:r w:rsidR="00815074" w:rsidRPr="00AD1514">
        <w:rPr>
          <w:szCs w:val="18"/>
          <w:lang w:val="en-GB"/>
        </w:rPr>
        <w:t>.</w:t>
      </w:r>
      <w:r w:rsidR="005840E9" w:rsidRPr="00AD1514">
        <w:rPr>
          <w:szCs w:val="18"/>
          <w:lang w:val="en-GB"/>
        </w:rPr>
        <w:t xml:space="preserve"> </w:t>
      </w:r>
      <w:r w:rsidR="003C6DA1">
        <w:rPr>
          <w:szCs w:val="18"/>
          <w:lang w:val="en-GB"/>
        </w:rPr>
        <w:t xml:space="preserve"> It can be observed how such temperature increases with the recirculation ratio, which mixes a high temperature stream with the primary air feeding the bed. For low </w:t>
      </w:r>
      <w:r w:rsidR="003C6DA1" w:rsidRPr="00B6202C">
        <w:rPr>
          <w:i/>
          <w:iCs/>
          <w:szCs w:val="18"/>
          <w:lang w:val="en-GB"/>
        </w:rPr>
        <w:t>R</w:t>
      </w:r>
      <w:r w:rsidR="003C6DA1">
        <w:rPr>
          <w:szCs w:val="18"/>
          <w:lang w:val="en-GB"/>
        </w:rPr>
        <w:t xml:space="preserve"> values, results indicate a non-monotic trend of the average temperature with  </w:t>
      </w:r>
      <m:oMath>
        <m:sSub>
          <m:sSubPr>
            <m:ctrlPr>
              <w:rPr>
                <w:rFonts w:ascii="Cambria Math" w:hAnsi="Cambria Math"/>
                <w:i/>
                <w:iCs/>
                <w:szCs w:val="18"/>
                <w:lang w:val="en-GB"/>
              </w:rPr>
            </m:ctrlPr>
          </m:sSubPr>
          <m:e>
            <m:r>
              <w:rPr>
                <w:rFonts w:ascii="Cambria Math" w:hAnsi="Cambria Math"/>
                <w:szCs w:val="18"/>
                <w:lang w:val="en-GB"/>
              </w:rPr>
              <m:t>λ</m:t>
            </m:r>
          </m:e>
          <m:sub>
            <m:r>
              <w:rPr>
                <w:rFonts w:ascii="Cambria Math" w:hAnsi="Cambria Math"/>
                <w:szCs w:val="18"/>
                <w:lang w:val="en-GB"/>
              </w:rPr>
              <m:t>p</m:t>
            </m:r>
          </m:sub>
        </m:sSub>
      </m:oMath>
      <w:r w:rsidR="00023147">
        <w:rPr>
          <w:iCs/>
          <w:szCs w:val="18"/>
          <w:lang w:val="en-GB"/>
        </w:rPr>
        <w:t xml:space="preserve"> thus indicating the presence of an optimal value of such parameter to trigger combustion. For low </w:t>
      </w:r>
      <m:oMath>
        <m:sSub>
          <m:sSubPr>
            <m:ctrlPr>
              <w:rPr>
                <w:rFonts w:ascii="Cambria Math" w:hAnsi="Cambria Math"/>
                <w:i/>
                <w:iCs/>
                <w:szCs w:val="18"/>
                <w:lang w:val="en-GB"/>
              </w:rPr>
            </m:ctrlPr>
          </m:sSubPr>
          <m:e>
            <m:r>
              <w:rPr>
                <w:rFonts w:ascii="Cambria Math" w:hAnsi="Cambria Math"/>
                <w:szCs w:val="18"/>
                <w:lang w:val="en-GB"/>
              </w:rPr>
              <m:t>λ</m:t>
            </m:r>
          </m:e>
          <m:sub>
            <m:r>
              <w:rPr>
                <w:rFonts w:ascii="Cambria Math" w:hAnsi="Cambria Math"/>
                <w:szCs w:val="18"/>
                <w:lang w:val="en-GB"/>
              </w:rPr>
              <m:t>p</m:t>
            </m:r>
          </m:sub>
        </m:sSub>
      </m:oMath>
      <w:r w:rsidR="00023147">
        <w:rPr>
          <w:iCs/>
          <w:szCs w:val="18"/>
          <w:lang w:val="en-GB"/>
        </w:rPr>
        <w:t xml:space="preserve"> and </w:t>
      </w:r>
      <w:r w:rsidR="00023147" w:rsidRPr="00B6202C">
        <w:rPr>
          <w:i/>
          <w:szCs w:val="18"/>
          <w:lang w:val="en-GB"/>
        </w:rPr>
        <w:t>R</w:t>
      </w:r>
      <w:r w:rsidR="00023147">
        <w:rPr>
          <w:iCs/>
          <w:szCs w:val="18"/>
          <w:lang w:val="en-GB"/>
        </w:rPr>
        <w:t xml:space="preserve">, combustion is hampered by the low mixing and oxygen availability; further increasing  </w:t>
      </w:r>
      <m:oMath>
        <m:sSub>
          <m:sSubPr>
            <m:ctrlPr>
              <w:rPr>
                <w:rFonts w:ascii="Cambria Math" w:hAnsi="Cambria Math"/>
                <w:i/>
                <w:iCs/>
                <w:szCs w:val="18"/>
                <w:lang w:val="en-GB"/>
              </w:rPr>
            </m:ctrlPr>
          </m:sSubPr>
          <m:e>
            <m:r>
              <w:rPr>
                <w:rFonts w:ascii="Cambria Math" w:hAnsi="Cambria Math"/>
                <w:szCs w:val="18"/>
                <w:lang w:val="en-GB"/>
              </w:rPr>
              <m:t>λ</m:t>
            </m:r>
          </m:e>
          <m:sub>
            <m:r>
              <w:rPr>
                <w:rFonts w:ascii="Cambria Math" w:hAnsi="Cambria Math"/>
                <w:szCs w:val="18"/>
                <w:lang w:val="en-GB"/>
              </w:rPr>
              <m:t>p</m:t>
            </m:r>
          </m:sub>
        </m:sSub>
      </m:oMath>
      <w:r w:rsidR="00023147">
        <w:rPr>
          <w:iCs/>
          <w:szCs w:val="18"/>
          <w:lang w:val="en-GB"/>
        </w:rPr>
        <w:t xml:space="preserve"> the average temperature increases up to a</w:t>
      </w:r>
      <w:r w:rsidR="001C47F5">
        <w:rPr>
          <w:iCs/>
          <w:szCs w:val="18"/>
          <w:lang w:val="en-GB"/>
        </w:rPr>
        <w:t xml:space="preserve"> </w:t>
      </w:r>
      <w:r w:rsidR="00023147">
        <w:rPr>
          <w:iCs/>
          <w:szCs w:val="18"/>
          <w:lang w:val="en-GB"/>
        </w:rPr>
        <w:t>maximum value. Subsequentl</w:t>
      </w:r>
      <w:r w:rsidR="001C47F5">
        <w:rPr>
          <w:iCs/>
          <w:szCs w:val="18"/>
          <w:lang w:val="en-GB"/>
        </w:rPr>
        <w:t>y,</w:t>
      </w:r>
      <w:r w:rsidR="00023147">
        <w:rPr>
          <w:iCs/>
          <w:szCs w:val="18"/>
          <w:lang w:val="en-GB"/>
        </w:rPr>
        <w:t xml:space="preserve"> the average temperature decreases </w:t>
      </w:r>
      <w:r w:rsidR="00664334">
        <w:rPr>
          <w:iCs/>
          <w:szCs w:val="18"/>
          <w:lang w:val="en-GB"/>
        </w:rPr>
        <w:t xml:space="preserve">because of </w:t>
      </w:r>
      <w:r w:rsidR="00023147">
        <w:rPr>
          <w:iCs/>
          <w:szCs w:val="18"/>
          <w:lang w:val="en-GB"/>
        </w:rPr>
        <w:t>th</w:t>
      </w:r>
      <w:r w:rsidR="00581B22">
        <w:rPr>
          <w:iCs/>
          <w:szCs w:val="18"/>
          <w:lang w:val="en-GB"/>
        </w:rPr>
        <w:t>e</w:t>
      </w:r>
      <w:r w:rsidR="00023147">
        <w:rPr>
          <w:iCs/>
          <w:szCs w:val="18"/>
          <w:lang w:val="en-GB"/>
        </w:rPr>
        <w:t xml:space="preserve"> dilution with primary air.  With increasing </w:t>
      </w:r>
      <w:r w:rsidR="00023147" w:rsidRPr="006B1E8D">
        <w:rPr>
          <w:i/>
          <w:szCs w:val="18"/>
          <w:lang w:val="en-GB"/>
        </w:rPr>
        <w:t>R</w:t>
      </w:r>
      <w:r w:rsidR="00023147">
        <w:rPr>
          <w:iCs/>
          <w:szCs w:val="18"/>
          <w:lang w:val="en-GB"/>
        </w:rPr>
        <w:t xml:space="preserve"> such behaviour </w:t>
      </w:r>
      <w:r w:rsidR="001C47F5">
        <w:rPr>
          <w:iCs/>
          <w:szCs w:val="18"/>
          <w:lang w:val="en-GB"/>
        </w:rPr>
        <w:t>is hampered by the increased mixing and turbulence in the reaction region which promote combustion and lead to high temperatures.</w:t>
      </w:r>
    </w:p>
    <w:p w14:paraId="63E97A6B" w14:textId="656B8C81" w:rsidR="00E05543" w:rsidRDefault="00E05543" w:rsidP="00453E24">
      <w:pPr>
        <w:pStyle w:val="CETBodytext"/>
        <w:rPr>
          <w:lang w:val="en-GB"/>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7"/>
      </w:tblGrid>
      <w:tr w:rsidR="003C6DA1" w14:paraId="290A4E08" w14:textId="7B960A5D" w:rsidTr="00D54C46">
        <w:tc>
          <w:tcPr>
            <w:tcW w:w="8777" w:type="dxa"/>
            <w:tcMar>
              <w:left w:w="0" w:type="dxa"/>
              <w:right w:w="0" w:type="dxa"/>
            </w:tcMar>
          </w:tcPr>
          <w:p w14:paraId="46188B9E" w14:textId="6A5DAA3E" w:rsidR="003C6DA1" w:rsidRPr="007C0DCB" w:rsidRDefault="00B611C8" w:rsidP="00E05543">
            <w:pPr>
              <w:pStyle w:val="CETBodytext"/>
              <w:jc w:val="center"/>
              <w:rPr>
                <w:noProof/>
              </w:rPr>
            </w:pPr>
            <w:r w:rsidRPr="00B611C8">
              <w:rPr>
                <w:noProof/>
              </w:rPr>
              <w:drawing>
                <wp:inline distT="0" distB="0" distL="0" distR="0" wp14:anchorId="2658F80C" wp14:editId="241E9382">
                  <wp:extent cx="3771900" cy="2581370"/>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5563" b="3187"/>
                          <a:stretch/>
                        </pic:blipFill>
                        <pic:spPr bwMode="auto">
                          <a:xfrm>
                            <a:off x="0" y="0"/>
                            <a:ext cx="3808595" cy="2606483"/>
                          </a:xfrm>
                          <a:prstGeom prst="rect">
                            <a:avLst/>
                          </a:prstGeom>
                          <a:ln>
                            <a:noFill/>
                          </a:ln>
                          <a:extLst>
                            <a:ext uri="{53640926-AAD7-44D8-BBD7-CCE9431645EC}">
                              <a14:shadowObscured xmlns:a14="http://schemas.microsoft.com/office/drawing/2010/main"/>
                            </a:ext>
                          </a:extLst>
                        </pic:spPr>
                      </pic:pic>
                    </a:graphicData>
                  </a:graphic>
                </wp:inline>
              </w:drawing>
            </w:r>
          </w:p>
        </w:tc>
      </w:tr>
      <w:tr w:rsidR="00FA7EF3" w:rsidRPr="00C846F8" w14:paraId="337D55F6" w14:textId="77777777" w:rsidTr="00D54C46">
        <w:tc>
          <w:tcPr>
            <w:tcW w:w="8777" w:type="dxa"/>
            <w:tcMar>
              <w:left w:w="0" w:type="dxa"/>
              <w:right w:w="0" w:type="dxa"/>
            </w:tcMar>
          </w:tcPr>
          <w:p w14:paraId="3C2D5E09" w14:textId="27CE4D86" w:rsidR="00FA7EF3" w:rsidRPr="001F5D51" w:rsidRDefault="00FA7EF3" w:rsidP="00D54C46">
            <w:pPr>
              <w:pStyle w:val="CETCaption"/>
              <w:spacing w:after="120"/>
            </w:pPr>
            <w:r w:rsidRPr="001F5D51">
              <w:t xml:space="preserve">Figure 3. </w:t>
            </w:r>
            <w:r w:rsidR="00A97615" w:rsidRPr="001F5D51">
              <w:t xml:space="preserve">Average fuel bed temperature </w:t>
            </w:r>
            <w:r w:rsidRPr="001F5D51">
              <w:t xml:space="preserve">vs </w:t>
            </w:r>
            <m:oMath>
              <m:sSub>
                <m:sSubPr>
                  <m:ctrlPr>
                    <w:rPr>
                      <w:rFonts w:ascii="Cambria Math" w:hAnsi="Cambria Math"/>
                    </w:rPr>
                  </m:ctrlPr>
                </m:sSubPr>
                <m:e>
                  <m:r>
                    <w:rPr>
                      <w:rFonts w:ascii="Cambria Math" w:hAnsi="Cambria Math"/>
                    </w:rPr>
                    <m:t>λ</m:t>
                  </m:r>
                </m:e>
                <m:sub>
                  <m:r>
                    <w:rPr>
                      <w:rFonts w:ascii="Cambria Math" w:hAnsi="Cambria Math"/>
                    </w:rPr>
                    <m:t>p</m:t>
                  </m:r>
                </m:sub>
              </m:sSub>
            </m:oMath>
            <w:r w:rsidR="00C72FF2">
              <w:t xml:space="preserve"> </w:t>
            </w:r>
            <w:r w:rsidR="00A97615" w:rsidRPr="001F5D51">
              <w:t>and R</w:t>
            </w:r>
            <w:r w:rsidR="00D54C46">
              <w:t>.</w:t>
            </w:r>
          </w:p>
        </w:tc>
      </w:tr>
    </w:tbl>
    <w:p w14:paraId="0EF5B587" w14:textId="3F57774E" w:rsidR="0046037C" w:rsidRDefault="00C46C6E" w:rsidP="00453E24">
      <w:pPr>
        <w:pStyle w:val="CETBodytext"/>
        <w:rPr>
          <w:lang w:val="en-GB"/>
        </w:rPr>
      </w:pPr>
      <w:r>
        <w:rPr>
          <w:lang w:val="en-GB"/>
        </w:rPr>
        <w:lastRenderedPageBreak/>
        <w:t>Fig</w:t>
      </w:r>
      <w:r w:rsidR="001C47F5">
        <w:rPr>
          <w:lang w:val="en-GB"/>
        </w:rPr>
        <w:t>ure</w:t>
      </w:r>
      <w:r>
        <w:rPr>
          <w:lang w:val="en-GB"/>
        </w:rPr>
        <w:t xml:space="preserve"> </w:t>
      </w:r>
      <w:r w:rsidR="00FA7EF3">
        <w:rPr>
          <w:lang w:val="en-GB"/>
        </w:rPr>
        <w:t>4</w:t>
      </w:r>
      <w:r>
        <w:rPr>
          <w:lang w:val="en-GB"/>
        </w:rPr>
        <w:t xml:space="preserve"> shows the temperatures in the </w:t>
      </w:r>
      <w:r w:rsidR="00F06525">
        <w:rPr>
          <w:lang w:val="en-GB"/>
        </w:rPr>
        <w:t xml:space="preserve">biomass </w:t>
      </w:r>
      <w:r w:rsidR="00445CEC">
        <w:rPr>
          <w:lang w:val="en-GB"/>
        </w:rPr>
        <w:t xml:space="preserve">primary </w:t>
      </w:r>
      <w:r w:rsidR="00F06525">
        <w:rPr>
          <w:lang w:val="en-GB"/>
        </w:rPr>
        <w:t>combustion area.</w:t>
      </w:r>
      <w:r w:rsidR="001C47F5">
        <w:rPr>
          <w:lang w:val="en-GB"/>
        </w:rPr>
        <w:t xml:space="preserve"> The top panels refer to </w:t>
      </w:r>
      <w:r w:rsidR="001C39D1">
        <w:rPr>
          <w:lang w:val="en-GB"/>
        </w:rPr>
        <w:t xml:space="preserve">the vertical </w:t>
      </w:r>
      <w:r w:rsidR="00581B22">
        <w:rPr>
          <w:i/>
          <w:iCs/>
          <w:lang w:val="en-GB"/>
        </w:rPr>
        <w:t>ZX</w:t>
      </w:r>
      <w:r w:rsidR="00581B22">
        <w:rPr>
          <w:lang w:val="en-GB"/>
        </w:rPr>
        <w:t xml:space="preserve"> </w:t>
      </w:r>
      <w:r w:rsidR="001C39D1">
        <w:rPr>
          <w:lang w:val="en-GB"/>
        </w:rPr>
        <w:t>plane, while the bottom panel</w:t>
      </w:r>
      <w:r w:rsidR="00D54C46">
        <w:rPr>
          <w:lang w:val="en-GB"/>
        </w:rPr>
        <w:t>s</w:t>
      </w:r>
      <w:r w:rsidR="001C39D1">
        <w:rPr>
          <w:lang w:val="en-GB"/>
        </w:rPr>
        <w:t xml:space="preserve"> to the horizontal </w:t>
      </w:r>
      <w:r w:rsidR="00755D45">
        <w:rPr>
          <w:i/>
          <w:iCs/>
          <w:lang w:val="en-GB"/>
        </w:rPr>
        <w:t>YX</w:t>
      </w:r>
      <w:r w:rsidR="00755D45">
        <w:rPr>
          <w:lang w:val="en-GB"/>
        </w:rPr>
        <w:t xml:space="preserve"> </w:t>
      </w:r>
      <w:r w:rsidR="001C39D1">
        <w:rPr>
          <w:lang w:val="en-GB"/>
        </w:rPr>
        <w:t xml:space="preserve">plane (see Figure 2b). </w:t>
      </w:r>
      <w:r w:rsidR="00E20B0F">
        <w:rPr>
          <w:lang w:val="en-GB"/>
        </w:rPr>
        <w:t>Six</w:t>
      </w:r>
      <w:r w:rsidR="00D54C46">
        <w:rPr>
          <w:lang w:val="en-GB"/>
        </w:rPr>
        <w:t xml:space="preserve"> </w:t>
      </w:r>
      <w:r w:rsidR="001C39D1">
        <w:rPr>
          <w:lang w:val="en-GB"/>
        </w:rPr>
        <w:t xml:space="preserve">conditions in terms of </w:t>
      </w:r>
      <m:oMath>
        <m:r>
          <w:rPr>
            <w:rFonts w:ascii="Cambria Math" w:hAnsi="Cambria Math"/>
            <w:szCs w:val="18"/>
            <w:lang w:val="en-GB"/>
          </w:rPr>
          <m:t xml:space="preserve">λ, </m:t>
        </m:r>
        <m:sSub>
          <m:sSubPr>
            <m:ctrlPr>
              <w:rPr>
                <w:rFonts w:ascii="Cambria Math" w:hAnsi="Cambria Math"/>
                <w:i/>
                <w:iCs/>
                <w:szCs w:val="18"/>
                <w:lang w:val="en-GB"/>
              </w:rPr>
            </m:ctrlPr>
          </m:sSubPr>
          <m:e>
            <m:r>
              <w:rPr>
                <w:rFonts w:ascii="Cambria Math" w:hAnsi="Cambria Math"/>
                <w:szCs w:val="18"/>
                <w:lang w:val="en-GB"/>
              </w:rPr>
              <m:t>λ</m:t>
            </m:r>
          </m:e>
          <m:sub>
            <m:r>
              <w:rPr>
                <w:rFonts w:ascii="Cambria Math" w:hAnsi="Cambria Math"/>
                <w:szCs w:val="18"/>
                <w:lang w:val="en-GB"/>
              </w:rPr>
              <m:t>p</m:t>
            </m:r>
          </m:sub>
        </m:sSub>
        <m:r>
          <w:rPr>
            <w:rFonts w:ascii="Cambria Math" w:hAnsi="Cambria Math"/>
            <w:szCs w:val="18"/>
            <w:lang w:val="en-GB"/>
          </w:rPr>
          <m:t xml:space="preserve"> </m:t>
        </m:r>
      </m:oMath>
      <w:r w:rsidR="001C39D1">
        <w:rPr>
          <w:lang w:val="en-GB"/>
        </w:rPr>
        <w:t xml:space="preserve">and </w:t>
      </w:r>
      <w:r w:rsidR="001C39D1" w:rsidRPr="00C621EF">
        <w:rPr>
          <w:i/>
          <w:iCs/>
          <w:lang w:val="en-GB"/>
        </w:rPr>
        <w:t>R</w:t>
      </w:r>
      <w:r w:rsidR="001C39D1">
        <w:rPr>
          <w:lang w:val="en-GB"/>
        </w:rPr>
        <w:t xml:space="preserve"> are </w:t>
      </w:r>
      <w:r w:rsidR="00D54C46">
        <w:rPr>
          <w:lang w:val="en-GB"/>
        </w:rPr>
        <w:t>selected</w:t>
      </w:r>
      <w:r w:rsidR="00E20B0F">
        <w:rPr>
          <w:lang w:val="en-GB"/>
        </w:rPr>
        <w:t>, even though two pairs conditions match each other closely and are devised to assess the accuracy of the measurements.</w:t>
      </w:r>
    </w:p>
    <w:p w14:paraId="3353B9AD" w14:textId="2E06F8FE" w:rsidR="00445CEC" w:rsidRDefault="00445CEC" w:rsidP="00453E24">
      <w:pPr>
        <w:pStyle w:val="CETBodytext"/>
        <w:rPr>
          <w:lang w:val="en-GB"/>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8"/>
        <w:gridCol w:w="4389"/>
      </w:tblGrid>
      <w:tr w:rsidR="00445CEC" w:rsidRPr="00C846F8" w14:paraId="64429C41" w14:textId="77777777" w:rsidTr="00D54C46">
        <w:tc>
          <w:tcPr>
            <w:tcW w:w="4388" w:type="dxa"/>
            <w:tcMar>
              <w:left w:w="0" w:type="dxa"/>
              <w:right w:w="0" w:type="dxa"/>
            </w:tcMar>
          </w:tcPr>
          <w:p w14:paraId="7128A15C" w14:textId="3FC66332" w:rsidR="00445CEC" w:rsidRPr="00C846F8" w:rsidRDefault="00255091" w:rsidP="00453E24">
            <w:pPr>
              <w:pStyle w:val="CETBodytext"/>
              <w:rPr>
                <w:i/>
                <w:iCs/>
                <w:lang w:val="en-GB"/>
              </w:rPr>
            </w:pPr>
            <w:r w:rsidRPr="00C846F8">
              <w:rPr>
                <w:i/>
                <w:iCs/>
                <w:noProof/>
                <w:lang w:val="it-IT" w:eastAsia="it-IT"/>
              </w:rPr>
              <w:drawing>
                <wp:inline distT="0" distB="0" distL="0" distR="0" wp14:anchorId="38D8529A" wp14:editId="648C96C1">
                  <wp:extent cx="2638531" cy="1978898"/>
                  <wp:effectExtent l="0" t="0" r="0" b="2540"/>
                  <wp:docPr id="4"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16"/>
                          <pic:cNvPicPr>
                            <a:picLocks noChangeAspect="1" noChangeArrowheads="1"/>
                          </pic:cNvPicPr>
                        </pic:nvPicPr>
                        <pic:blipFill>
                          <a:blip r:embed="rId16"/>
                          <a:stretch>
                            <a:fillRect/>
                          </a:stretch>
                        </pic:blipFill>
                        <pic:spPr bwMode="auto">
                          <a:xfrm>
                            <a:off x="0" y="0"/>
                            <a:ext cx="2638531" cy="1978898"/>
                          </a:xfrm>
                          <a:prstGeom prst="rect">
                            <a:avLst/>
                          </a:prstGeom>
                          <a:noFill/>
                          <a:ln>
                            <a:noFill/>
                          </a:ln>
                        </pic:spPr>
                      </pic:pic>
                    </a:graphicData>
                  </a:graphic>
                </wp:inline>
              </w:drawing>
            </w:r>
          </w:p>
        </w:tc>
        <w:tc>
          <w:tcPr>
            <w:tcW w:w="4389" w:type="dxa"/>
            <w:tcMar>
              <w:left w:w="0" w:type="dxa"/>
              <w:right w:w="0" w:type="dxa"/>
            </w:tcMar>
          </w:tcPr>
          <w:p w14:paraId="3EC34533" w14:textId="1D5A5498" w:rsidR="00445CEC" w:rsidRPr="00C846F8" w:rsidRDefault="00770C0B" w:rsidP="00453E24">
            <w:pPr>
              <w:pStyle w:val="CETBodytext"/>
              <w:rPr>
                <w:i/>
                <w:iCs/>
                <w:lang w:val="en-GB"/>
              </w:rPr>
            </w:pPr>
            <w:r w:rsidRPr="00C846F8">
              <w:rPr>
                <w:i/>
                <w:iCs/>
                <w:noProof/>
                <w:lang w:val="it-IT" w:eastAsia="it-IT"/>
              </w:rPr>
              <w:drawing>
                <wp:inline distT="0" distB="0" distL="0" distR="0" wp14:anchorId="2514E0D9" wp14:editId="76A6D6FB">
                  <wp:extent cx="2638531" cy="1978898"/>
                  <wp:effectExtent l="0" t="0" r="0" b="254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16"/>
                          <pic:cNvPicPr>
                            <a:picLocks noChangeAspect="1" noChangeArrowheads="1"/>
                          </pic:cNvPicPr>
                        </pic:nvPicPr>
                        <pic:blipFill>
                          <a:blip r:embed="rId17"/>
                          <a:stretch>
                            <a:fillRect/>
                          </a:stretch>
                        </pic:blipFill>
                        <pic:spPr bwMode="auto">
                          <a:xfrm>
                            <a:off x="0" y="0"/>
                            <a:ext cx="2638531" cy="1978898"/>
                          </a:xfrm>
                          <a:prstGeom prst="rect">
                            <a:avLst/>
                          </a:prstGeom>
                          <a:noFill/>
                          <a:ln>
                            <a:noFill/>
                          </a:ln>
                        </pic:spPr>
                      </pic:pic>
                    </a:graphicData>
                  </a:graphic>
                </wp:inline>
              </w:drawing>
            </w:r>
          </w:p>
        </w:tc>
      </w:tr>
      <w:tr w:rsidR="00445CEC" w:rsidRPr="00C846F8" w14:paraId="153B5B51" w14:textId="77777777" w:rsidTr="00D54C46">
        <w:tc>
          <w:tcPr>
            <w:tcW w:w="4388" w:type="dxa"/>
            <w:tcMar>
              <w:left w:w="0" w:type="dxa"/>
              <w:right w:w="0" w:type="dxa"/>
            </w:tcMar>
          </w:tcPr>
          <w:p w14:paraId="6A714493" w14:textId="3A2033DC" w:rsidR="00445CEC" w:rsidRPr="00C846F8" w:rsidRDefault="00CD2595" w:rsidP="00453E24">
            <w:pPr>
              <w:pStyle w:val="CETBodytext"/>
              <w:rPr>
                <w:i/>
                <w:iCs/>
                <w:lang w:val="en-GB"/>
              </w:rPr>
            </w:pPr>
            <w:r w:rsidRPr="00C846F8">
              <w:rPr>
                <w:i/>
                <w:iCs/>
                <w:lang w:val="en-GB"/>
              </w:rPr>
              <w:t>(a)</w:t>
            </w:r>
          </w:p>
        </w:tc>
        <w:tc>
          <w:tcPr>
            <w:tcW w:w="4389" w:type="dxa"/>
            <w:tcMar>
              <w:left w:w="0" w:type="dxa"/>
              <w:right w:w="0" w:type="dxa"/>
            </w:tcMar>
          </w:tcPr>
          <w:p w14:paraId="1660A8E0" w14:textId="4996D6CC" w:rsidR="00445CEC" w:rsidRPr="00C846F8" w:rsidRDefault="00CD2595" w:rsidP="00453E24">
            <w:pPr>
              <w:pStyle w:val="CETBodytext"/>
              <w:rPr>
                <w:i/>
                <w:iCs/>
                <w:lang w:val="en-GB"/>
              </w:rPr>
            </w:pPr>
            <w:r w:rsidRPr="00C846F8">
              <w:rPr>
                <w:i/>
                <w:iCs/>
                <w:lang w:val="en-GB"/>
              </w:rPr>
              <w:t>(b)</w:t>
            </w:r>
          </w:p>
        </w:tc>
      </w:tr>
      <w:tr w:rsidR="00445CEC" w:rsidRPr="00C846F8" w14:paraId="209682FE" w14:textId="77777777" w:rsidTr="00D54C46">
        <w:tc>
          <w:tcPr>
            <w:tcW w:w="4388" w:type="dxa"/>
            <w:tcMar>
              <w:left w:w="0" w:type="dxa"/>
              <w:right w:w="0" w:type="dxa"/>
            </w:tcMar>
          </w:tcPr>
          <w:p w14:paraId="212ADFE9" w14:textId="05AC561D" w:rsidR="00445CEC" w:rsidRPr="00C846F8" w:rsidRDefault="009C5D90" w:rsidP="00453E24">
            <w:pPr>
              <w:pStyle w:val="CETBodytext"/>
              <w:rPr>
                <w:i/>
                <w:iCs/>
                <w:lang w:val="en-GB"/>
              </w:rPr>
            </w:pPr>
            <w:r w:rsidRPr="00C846F8">
              <w:rPr>
                <w:i/>
                <w:iCs/>
                <w:noProof/>
                <w:lang w:val="it-IT" w:eastAsia="it-IT"/>
              </w:rPr>
              <w:drawing>
                <wp:inline distT="0" distB="0" distL="0" distR="0" wp14:anchorId="5FE2A1A2" wp14:editId="43BA2A38">
                  <wp:extent cx="2638531" cy="1978898"/>
                  <wp:effectExtent l="0" t="0" r="0" b="254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17"/>
                          <pic:cNvPicPr>
                            <a:picLocks noChangeAspect="1" noChangeArrowheads="1"/>
                          </pic:cNvPicPr>
                        </pic:nvPicPr>
                        <pic:blipFill>
                          <a:blip r:embed="rId18"/>
                          <a:stretch>
                            <a:fillRect/>
                          </a:stretch>
                        </pic:blipFill>
                        <pic:spPr bwMode="auto">
                          <a:xfrm>
                            <a:off x="0" y="0"/>
                            <a:ext cx="2638531" cy="1978898"/>
                          </a:xfrm>
                          <a:prstGeom prst="rect">
                            <a:avLst/>
                          </a:prstGeom>
                          <a:noFill/>
                          <a:ln>
                            <a:noFill/>
                          </a:ln>
                        </pic:spPr>
                      </pic:pic>
                    </a:graphicData>
                  </a:graphic>
                </wp:inline>
              </w:drawing>
            </w:r>
          </w:p>
        </w:tc>
        <w:tc>
          <w:tcPr>
            <w:tcW w:w="4389" w:type="dxa"/>
            <w:tcMar>
              <w:left w:w="0" w:type="dxa"/>
              <w:right w:w="0" w:type="dxa"/>
            </w:tcMar>
          </w:tcPr>
          <w:p w14:paraId="04DCAAF1" w14:textId="29EEC0BF" w:rsidR="00445CEC" w:rsidRPr="00C846F8" w:rsidRDefault="007A607C" w:rsidP="00453E24">
            <w:pPr>
              <w:pStyle w:val="CETBodytext"/>
              <w:rPr>
                <w:i/>
                <w:iCs/>
                <w:lang w:val="en-GB"/>
              </w:rPr>
            </w:pPr>
            <w:r w:rsidRPr="00C846F8">
              <w:rPr>
                <w:i/>
                <w:iCs/>
                <w:noProof/>
                <w:lang w:val="it-IT" w:eastAsia="it-IT"/>
              </w:rPr>
              <w:drawing>
                <wp:inline distT="0" distB="0" distL="0" distR="0" wp14:anchorId="665EE5A8" wp14:editId="5A0B4678">
                  <wp:extent cx="2638531" cy="1978898"/>
                  <wp:effectExtent l="0" t="0" r="0" b="254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magine 18"/>
                          <pic:cNvPicPr>
                            <a:picLocks noChangeAspect="1" noChangeArrowheads="1"/>
                          </pic:cNvPicPr>
                        </pic:nvPicPr>
                        <pic:blipFill>
                          <a:blip r:embed="rId19"/>
                          <a:stretch>
                            <a:fillRect/>
                          </a:stretch>
                        </pic:blipFill>
                        <pic:spPr bwMode="auto">
                          <a:xfrm>
                            <a:off x="0" y="0"/>
                            <a:ext cx="2638531" cy="1978898"/>
                          </a:xfrm>
                          <a:prstGeom prst="rect">
                            <a:avLst/>
                          </a:prstGeom>
                          <a:noFill/>
                          <a:ln>
                            <a:noFill/>
                          </a:ln>
                        </pic:spPr>
                      </pic:pic>
                    </a:graphicData>
                  </a:graphic>
                </wp:inline>
              </w:drawing>
            </w:r>
          </w:p>
        </w:tc>
      </w:tr>
      <w:tr w:rsidR="00445CEC" w:rsidRPr="00C846F8" w14:paraId="5CF58758" w14:textId="77777777" w:rsidTr="00D54C46">
        <w:tc>
          <w:tcPr>
            <w:tcW w:w="4388" w:type="dxa"/>
            <w:tcMar>
              <w:left w:w="0" w:type="dxa"/>
              <w:right w:w="0" w:type="dxa"/>
            </w:tcMar>
          </w:tcPr>
          <w:p w14:paraId="492C20E4" w14:textId="33C89108" w:rsidR="00445CEC" w:rsidRPr="00C846F8" w:rsidRDefault="00CD2595" w:rsidP="00453E24">
            <w:pPr>
              <w:pStyle w:val="CETBodytext"/>
              <w:rPr>
                <w:i/>
                <w:iCs/>
                <w:lang w:val="en-GB"/>
              </w:rPr>
            </w:pPr>
            <w:r w:rsidRPr="00C846F8">
              <w:rPr>
                <w:i/>
                <w:iCs/>
                <w:lang w:val="en-GB"/>
              </w:rPr>
              <w:t>(c)</w:t>
            </w:r>
          </w:p>
        </w:tc>
        <w:tc>
          <w:tcPr>
            <w:tcW w:w="4389" w:type="dxa"/>
            <w:tcMar>
              <w:left w:w="0" w:type="dxa"/>
              <w:right w:w="0" w:type="dxa"/>
            </w:tcMar>
          </w:tcPr>
          <w:p w14:paraId="3CF6A3C5" w14:textId="79C4FDB9" w:rsidR="00445CEC" w:rsidRPr="00C846F8" w:rsidRDefault="00CD2595" w:rsidP="00453E24">
            <w:pPr>
              <w:pStyle w:val="CETBodytext"/>
              <w:rPr>
                <w:i/>
                <w:iCs/>
                <w:lang w:val="en-GB"/>
              </w:rPr>
            </w:pPr>
            <w:r w:rsidRPr="00C846F8">
              <w:rPr>
                <w:i/>
                <w:iCs/>
                <w:lang w:val="en-GB"/>
              </w:rPr>
              <w:t>(d)</w:t>
            </w:r>
          </w:p>
        </w:tc>
      </w:tr>
      <w:tr w:rsidR="00445CEC" w:rsidRPr="00C846F8" w14:paraId="454772E0" w14:textId="77777777" w:rsidTr="00D54C46">
        <w:tc>
          <w:tcPr>
            <w:tcW w:w="4388" w:type="dxa"/>
            <w:tcMar>
              <w:left w:w="0" w:type="dxa"/>
              <w:right w:w="0" w:type="dxa"/>
            </w:tcMar>
          </w:tcPr>
          <w:p w14:paraId="52561F72" w14:textId="0F2E1CF8" w:rsidR="00445CEC" w:rsidRPr="00C846F8" w:rsidRDefault="005E377F" w:rsidP="00453E24">
            <w:pPr>
              <w:pStyle w:val="CETBodytext"/>
              <w:rPr>
                <w:i/>
                <w:iCs/>
                <w:lang w:val="en-GB"/>
              </w:rPr>
            </w:pPr>
            <w:r w:rsidRPr="00C846F8">
              <w:rPr>
                <w:i/>
                <w:iCs/>
                <w:noProof/>
                <w:lang w:val="it-IT" w:eastAsia="it-IT"/>
              </w:rPr>
              <w:drawing>
                <wp:inline distT="0" distB="0" distL="0" distR="0" wp14:anchorId="61CAC7FD" wp14:editId="1F6E7582">
                  <wp:extent cx="2638531" cy="1978898"/>
                  <wp:effectExtent l="0" t="0" r="0" b="254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magine 20"/>
                          <pic:cNvPicPr>
                            <a:picLocks noChangeAspect="1" noChangeArrowheads="1"/>
                          </pic:cNvPicPr>
                        </pic:nvPicPr>
                        <pic:blipFill>
                          <a:blip r:embed="rId20"/>
                          <a:stretch>
                            <a:fillRect/>
                          </a:stretch>
                        </pic:blipFill>
                        <pic:spPr bwMode="auto">
                          <a:xfrm>
                            <a:off x="0" y="0"/>
                            <a:ext cx="2638531" cy="1978898"/>
                          </a:xfrm>
                          <a:prstGeom prst="rect">
                            <a:avLst/>
                          </a:prstGeom>
                          <a:noFill/>
                          <a:ln>
                            <a:noFill/>
                          </a:ln>
                        </pic:spPr>
                      </pic:pic>
                    </a:graphicData>
                  </a:graphic>
                </wp:inline>
              </w:drawing>
            </w:r>
          </w:p>
        </w:tc>
        <w:tc>
          <w:tcPr>
            <w:tcW w:w="4389" w:type="dxa"/>
            <w:tcMar>
              <w:left w:w="0" w:type="dxa"/>
              <w:right w:w="0" w:type="dxa"/>
            </w:tcMar>
          </w:tcPr>
          <w:p w14:paraId="4D014882" w14:textId="15DF7238" w:rsidR="00445CEC" w:rsidRPr="00C846F8" w:rsidRDefault="00D37AC7" w:rsidP="00453E24">
            <w:pPr>
              <w:pStyle w:val="CETBodytext"/>
              <w:rPr>
                <w:i/>
                <w:iCs/>
                <w:lang w:val="en-GB"/>
              </w:rPr>
            </w:pPr>
            <w:r w:rsidRPr="00C846F8">
              <w:rPr>
                <w:i/>
                <w:iCs/>
                <w:noProof/>
                <w:lang w:val="it-IT" w:eastAsia="it-IT"/>
              </w:rPr>
              <w:drawing>
                <wp:inline distT="0" distB="0" distL="0" distR="0" wp14:anchorId="6078D294" wp14:editId="085F7905">
                  <wp:extent cx="2638531" cy="1978898"/>
                  <wp:effectExtent l="0" t="0" r="0" b="254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magine 19"/>
                          <pic:cNvPicPr>
                            <a:picLocks noChangeAspect="1" noChangeArrowheads="1"/>
                          </pic:cNvPicPr>
                        </pic:nvPicPr>
                        <pic:blipFill>
                          <a:blip r:embed="rId21"/>
                          <a:stretch>
                            <a:fillRect/>
                          </a:stretch>
                        </pic:blipFill>
                        <pic:spPr bwMode="auto">
                          <a:xfrm>
                            <a:off x="0" y="0"/>
                            <a:ext cx="2638531" cy="1978898"/>
                          </a:xfrm>
                          <a:prstGeom prst="rect">
                            <a:avLst/>
                          </a:prstGeom>
                          <a:noFill/>
                          <a:ln>
                            <a:noFill/>
                          </a:ln>
                        </pic:spPr>
                      </pic:pic>
                    </a:graphicData>
                  </a:graphic>
                </wp:inline>
              </w:drawing>
            </w:r>
          </w:p>
        </w:tc>
      </w:tr>
      <w:tr w:rsidR="0091606B" w:rsidRPr="00C846F8" w14:paraId="41ECA48B" w14:textId="77777777" w:rsidTr="00D54C46">
        <w:tc>
          <w:tcPr>
            <w:tcW w:w="4388" w:type="dxa"/>
            <w:tcMar>
              <w:left w:w="0" w:type="dxa"/>
              <w:right w:w="0" w:type="dxa"/>
            </w:tcMar>
          </w:tcPr>
          <w:p w14:paraId="7F0E237F" w14:textId="29147895" w:rsidR="009A3215" w:rsidRPr="00C846F8" w:rsidRDefault="00CD2595" w:rsidP="00453E24">
            <w:pPr>
              <w:pStyle w:val="CETBodytext"/>
              <w:rPr>
                <w:i/>
                <w:iCs/>
                <w:lang w:val="en-GB"/>
              </w:rPr>
            </w:pPr>
            <w:r w:rsidRPr="00C846F8">
              <w:rPr>
                <w:i/>
                <w:iCs/>
                <w:lang w:val="en-GB"/>
              </w:rPr>
              <w:t>(e)</w:t>
            </w:r>
          </w:p>
        </w:tc>
        <w:tc>
          <w:tcPr>
            <w:tcW w:w="4389" w:type="dxa"/>
            <w:tcMar>
              <w:left w:w="0" w:type="dxa"/>
              <w:right w:w="0" w:type="dxa"/>
            </w:tcMar>
          </w:tcPr>
          <w:p w14:paraId="5C74BD04" w14:textId="7BDF8A3B" w:rsidR="009A3215" w:rsidRPr="00C846F8" w:rsidRDefault="00CD2595" w:rsidP="00453E24">
            <w:pPr>
              <w:pStyle w:val="CETBodytext"/>
              <w:rPr>
                <w:i/>
                <w:iCs/>
                <w:lang w:val="en-GB"/>
              </w:rPr>
            </w:pPr>
            <w:r w:rsidRPr="00C846F8">
              <w:rPr>
                <w:i/>
                <w:iCs/>
                <w:lang w:val="en-GB"/>
              </w:rPr>
              <w:t>(f)</w:t>
            </w:r>
          </w:p>
        </w:tc>
      </w:tr>
      <w:tr w:rsidR="00445CEC" w:rsidRPr="00C846F8" w14:paraId="2AC0595C" w14:textId="77777777" w:rsidTr="00D54C46">
        <w:tc>
          <w:tcPr>
            <w:tcW w:w="8777" w:type="dxa"/>
            <w:gridSpan w:val="2"/>
            <w:tcMar>
              <w:left w:w="0" w:type="dxa"/>
              <w:right w:w="0" w:type="dxa"/>
            </w:tcMar>
          </w:tcPr>
          <w:p w14:paraId="11920B18" w14:textId="09FEC917" w:rsidR="00445CEC" w:rsidRPr="00C846F8" w:rsidRDefault="00445CEC" w:rsidP="00D54C46">
            <w:pPr>
              <w:pStyle w:val="CETCaption"/>
            </w:pPr>
            <w:r w:rsidRPr="00C846F8">
              <w:t xml:space="preserve">Figure </w:t>
            </w:r>
            <w:r w:rsidR="00FA7EF3" w:rsidRPr="00C846F8">
              <w:t>4</w:t>
            </w:r>
            <w:r w:rsidRPr="00C846F8">
              <w:t>.</w:t>
            </w:r>
            <w:r w:rsidR="00A144D3" w:rsidRPr="00C846F8">
              <w:t xml:space="preserve"> Temperature spatial distribution in the biomass primary combustion area</w:t>
            </w:r>
            <w:r w:rsidR="00664334" w:rsidRPr="00C846F8">
              <w:t xml:space="preserve">: </w:t>
            </w:r>
            <w:r w:rsidR="00E0767C">
              <w:t>Z</w:t>
            </w:r>
            <w:r w:rsidR="00E0767C" w:rsidRPr="00C846F8">
              <w:t xml:space="preserve">X </w:t>
            </w:r>
            <w:r w:rsidR="00664334" w:rsidRPr="00C846F8">
              <w:t xml:space="preserve">(top panel) and </w:t>
            </w:r>
            <w:r w:rsidR="00E0767C" w:rsidRPr="00C846F8">
              <w:t>Y</w:t>
            </w:r>
            <w:r w:rsidR="00E0767C">
              <w:t>X</w:t>
            </w:r>
            <w:r w:rsidR="00E0767C" w:rsidRPr="00C846F8">
              <w:t xml:space="preserve"> </w:t>
            </w:r>
            <w:r w:rsidR="00664334" w:rsidRPr="00C846F8">
              <w:t>(bottom panel) planes</w:t>
            </w:r>
            <w:r w:rsidR="00CF796A" w:rsidRPr="00C846F8">
              <w:t xml:space="preserve">. </w:t>
            </w:r>
            <w:r w:rsidR="00BB56AA">
              <w:t xml:space="preserve">a) ID1; b) ID2; c) ID4; d) ID7; e) ID6; f) ID9. </w:t>
            </w:r>
            <w:r w:rsidR="00CF796A" w:rsidRPr="00C846F8">
              <w:t>See Table 2 for more details on operating conditions.</w:t>
            </w:r>
          </w:p>
        </w:tc>
      </w:tr>
    </w:tbl>
    <w:p w14:paraId="5C8AE543" w14:textId="5DB92136" w:rsidR="00445CEC" w:rsidRDefault="00445CEC" w:rsidP="00453E24">
      <w:pPr>
        <w:pStyle w:val="CETBodytext"/>
        <w:rPr>
          <w:lang w:val="en-GB"/>
        </w:rPr>
      </w:pPr>
    </w:p>
    <w:p w14:paraId="4BEDF479" w14:textId="7289AC4A" w:rsidR="00B76903" w:rsidRDefault="00E20B0F" w:rsidP="00453E24">
      <w:pPr>
        <w:pStyle w:val="CETBodytext"/>
        <w:rPr>
          <w:lang w:val="en-GB"/>
        </w:rPr>
      </w:pPr>
      <w:r>
        <w:rPr>
          <w:lang w:val="en-GB"/>
        </w:rPr>
        <w:t xml:space="preserve">Indeed, </w:t>
      </w:r>
      <w:r w:rsidR="00D551F9">
        <w:rPr>
          <w:lang w:val="en-GB"/>
        </w:rPr>
        <w:t xml:space="preserve">Figure </w:t>
      </w:r>
      <w:r w:rsidR="00FA7EF3">
        <w:rPr>
          <w:lang w:val="en-GB"/>
        </w:rPr>
        <w:t>4</w:t>
      </w:r>
      <w:r w:rsidR="00D551F9">
        <w:rPr>
          <w:lang w:val="en-GB"/>
        </w:rPr>
        <w:t xml:space="preserve"> shows </w:t>
      </w:r>
      <w:r w:rsidR="00F7099D">
        <w:rPr>
          <w:lang w:val="en-GB"/>
        </w:rPr>
        <w:t>good</w:t>
      </w:r>
      <w:r w:rsidR="00D551F9">
        <w:rPr>
          <w:lang w:val="en-GB"/>
        </w:rPr>
        <w:t xml:space="preserve"> repeatability in temperature distributions </w:t>
      </w:r>
      <w:r w:rsidR="00515726">
        <w:rPr>
          <w:lang w:val="en-GB"/>
        </w:rPr>
        <w:t>obtained with similar operating conditions, as shown by comparing Fig</w:t>
      </w:r>
      <w:r w:rsidR="007132E8">
        <w:rPr>
          <w:lang w:val="en-GB"/>
        </w:rPr>
        <w:t xml:space="preserve">ure </w:t>
      </w:r>
      <w:r w:rsidR="00FA7EF3">
        <w:rPr>
          <w:lang w:val="en-GB"/>
        </w:rPr>
        <w:t>4</w:t>
      </w:r>
      <w:r w:rsidR="00515726">
        <w:rPr>
          <w:lang w:val="en-GB"/>
        </w:rPr>
        <w:t>a</w:t>
      </w:r>
      <w:r w:rsidR="007132E8">
        <w:rPr>
          <w:lang w:val="en-GB"/>
        </w:rPr>
        <w:t xml:space="preserve"> </w:t>
      </w:r>
      <w:r w:rsidR="00A4730C">
        <w:rPr>
          <w:lang w:val="en-GB"/>
        </w:rPr>
        <w:t xml:space="preserve">(ID1) </w:t>
      </w:r>
      <w:r w:rsidR="007132E8">
        <w:rPr>
          <w:lang w:val="en-GB"/>
        </w:rPr>
        <w:t xml:space="preserve">with </w:t>
      </w:r>
      <w:r w:rsidR="00581B22">
        <w:rPr>
          <w:lang w:val="en-GB"/>
        </w:rPr>
        <w:t xml:space="preserve">Figure </w:t>
      </w:r>
      <w:r w:rsidR="007132E8">
        <w:rPr>
          <w:lang w:val="en-GB"/>
        </w:rPr>
        <w:t>4</w:t>
      </w:r>
      <w:r w:rsidR="00515726">
        <w:rPr>
          <w:lang w:val="en-GB"/>
        </w:rPr>
        <w:t xml:space="preserve">b </w:t>
      </w:r>
      <w:r w:rsidR="00A4730C">
        <w:rPr>
          <w:lang w:val="en-GB"/>
        </w:rPr>
        <w:t xml:space="preserve">(ID2) </w:t>
      </w:r>
      <w:r w:rsidR="00515726">
        <w:rPr>
          <w:lang w:val="en-GB"/>
        </w:rPr>
        <w:t>and Fig</w:t>
      </w:r>
      <w:r w:rsidR="007132E8">
        <w:rPr>
          <w:lang w:val="en-GB"/>
        </w:rPr>
        <w:t>ure</w:t>
      </w:r>
      <w:r w:rsidR="00581B22">
        <w:rPr>
          <w:lang w:val="en-GB"/>
        </w:rPr>
        <w:t xml:space="preserve"> </w:t>
      </w:r>
      <w:r w:rsidR="00FA7EF3">
        <w:rPr>
          <w:lang w:val="en-GB"/>
        </w:rPr>
        <w:t>4</w:t>
      </w:r>
      <w:r w:rsidR="00515726">
        <w:rPr>
          <w:lang w:val="en-GB"/>
        </w:rPr>
        <w:t>c</w:t>
      </w:r>
      <w:r w:rsidR="007132E8">
        <w:rPr>
          <w:lang w:val="en-GB"/>
        </w:rPr>
        <w:t xml:space="preserve"> </w:t>
      </w:r>
      <w:r w:rsidR="00A4730C">
        <w:rPr>
          <w:lang w:val="en-GB"/>
        </w:rPr>
        <w:t xml:space="preserve">(ID4) </w:t>
      </w:r>
      <w:r w:rsidR="007132E8">
        <w:rPr>
          <w:lang w:val="en-GB"/>
        </w:rPr>
        <w:t xml:space="preserve">with </w:t>
      </w:r>
      <w:r w:rsidR="00581B22">
        <w:rPr>
          <w:lang w:val="en-GB"/>
        </w:rPr>
        <w:t xml:space="preserve">Figure </w:t>
      </w:r>
      <w:r w:rsidR="007132E8">
        <w:rPr>
          <w:lang w:val="en-GB"/>
        </w:rPr>
        <w:t>4</w:t>
      </w:r>
      <w:r w:rsidR="00515726">
        <w:rPr>
          <w:lang w:val="en-GB"/>
        </w:rPr>
        <w:t>d</w:t>
      </w:r>
      <w:r w:rsidR="00A4730C">
        <w:rPr>
          <w:lang w:val="en-GB"/>
        </w:rPr>
        <w:t xml:space="preserve"> (ID7)</w:t>
      </w:r>
      <w:r w:rsidR="00515726">
        <w:rPr>
          <w:lang w:val="en-GB"/>
        </w:rPr>
        <w:t xml:space="preserve">. </w:t>
      </w:r>
      <w:r w:rsidR="00581B22">
        <w:rPr>
          <w:lang w:val="en-GB"/>
        </w:rPr>
        <w:t>The t</w:t>
      </w:r>
      <w:r w:rsidR="00081C71">
        <w:rPr>
          <w:lang w:val="en-GB"/>
        </w:rPr>
        <w:t xml:space="preserve">emperature </w:t>
      </w:r>
      <w:r w:rsidR="007132E8">
        <w:rPr>
          <w:lang w:val="en-GB"/>
        </w:rPr>
        <w:t xml:space="preserve">distribution </w:t>
      </w:r>
      <w:r w:rsidR="003D1854">
        <w:rPr>
          <w:lang w:val="en-GB"/>
        </w:rPr>
        <w:t>show</w:t>
      </w:r>
      <w:r w:rsidR="007132E8">
        <w:rPr>
          <w:lang w:val="en-GB"/>
        </w:rPr>
        <w:t>ed</w:t>
      </w:r>
      <w:r w:rsidR="00081C71">
        <w:rPr>
          <w:lang w:val="en-GB"/>
        </w:rPr>
        <w:t xml:space="preserve"> </w:t>
      </w:r>
      <w:r w:rsidR="003D1854">
        <w:rPr>
          <w:lang w:val="en-GB"/>
        </w:rPr>
        <w:t xml:space="preserve">a larger </w:t>
      </w:r>
      <w:r w:rsidR="007132E8">
        <w:rPr>
          <w:lang w:val="en-GB"/>
        </w:rPr>
        <w:t xml:space="preserve">disuniformity </w:t>
      </w:r>
      <w:r w:rsidR="003D1854">
        <w:rPr>
          <w:lang w:val="en-GB"/>
        </w:rPr>
        <w:t xml:space="preserve">when no recirculation </w:t>
      </w:r>
      <w:r w:rsidR="007132E8">
        <w:rPr>
          <w:lang w:val="en-GB"/>
        </w:rPr>
        <w:t xml:space="preserve">was </w:t>
      </w:r>
      <w:r w:rsidR="003D1854">
        <w:rPr>
          <w:lang w:val="en-GB"/>
        </w:rPr>
        <w:t xml:space="preserve">used. When </w:t>
      </w:r>
      <w:r w:rsidR="003D1854" w:rsidRPr="00B6202C">
        <w:rPr>
          <w:i/>
          <w:lang w:val="en-GB"/>
        </w:rPr>
        <w:t>R</w:t>
      </w:r>
      <w:r w:rsidR="003D1854">
        <w:rPr>
          <w:lang w:val="en-GB"/>
        </w:rPr>
        <w:t xml:space="preserve"> </w:t>
      </w:r>
      <w:r w:rsidR="007132E8">
        <w:rPr>
          <w:lang w:val="en-GB"/>
        </w:rPr>
        <w:t>wa</w:t>
      </w:r>
      <w:r w:rsidR="003D1854">
        <w:rPr>
          <w:lang w:val="en-GB"/>
        </w:rPr>
        <w:t xml:space="preserve">s </w:t>
      </w:r>
      <w:r w:rsidR="003D1854">
        <w:rPr>
          <w:lang w:val="en-GB"/>
        </w:rPr>
        <w:lastRenderedPageBreak/>
        <w:t>increased</w:t>
      </w:r>
      <w:r w:rsidR="00B6013D">
        <w:rPr>
          <w:lang w:val="en-GB"/>
        </w:rPr>
        <w:t xml:space="preserve">, the temperature </w:t>
      </w:r>
      <w:r w:rsidR="00EA44ED">
        <w:rPr>
          <w:lang w:val="en-GB"/>
        </w:rPr>
        <w:t xml:space="preserve">on the bed surface </w:t>
      </w:r>
      <w:r w:rsidR="007132E8">
        <w:rPr>
          <w:lang w:val="en-GB"/>
        </w:rPr>
        <w:t xml:space="preserve">was more uniform </w:t>
      </w:r>
      <w:r w:rsidR="00B6013D">
        <w:rPr>
          <w:lang w:val="en-GB"/>
        </w:rPr>
        <w:t xml:space="preserve">and </w:t>
      </w:r>
      <w:r w:rsidR="007132E8">
        <w:rPr>
          <w:lang w:val="en-GB"/>
        </w:rPr>
        <w:t xml:space="preserve">its </w:t>
      </w:r>
      <w:r w:rsidR="00A546C5">
        <w:rPr>
          <w:lang w:val="en-GB"/>
        </w:rPr>
        <w:t>average</w:t>
      </w:r>
      <w:r w:rsidR="00B6013D">
        <w:rPr>
          <w:lang w:val="en-GB"/>
        </w:rPr>
        <w:t xml:space="preserve"> temperature </w:t>
      </w:r>
      <w:r w:rsidR="007132E8">
        <w:rPr>
          <w:lang w:val="en-GB"/>
        </w:rPr>
        <w:t>reached its maximum</w:t>
      </w:r>
      <w:r w:rsidR="00A546C5">
        <w:rPr>
          <w:lang w:val="en-GB"/>
        </w:rPr>
        <w:t xml:space="preserve">. This fact </w:t>
      </w:r>
      <w:r w:rsidR="007132E8">
        <w:rPr>
          <w:lang w:val="en-GB"/>
        </w:rPr>
        <w:t xml:space="preserve">was </w:t>
      </w:r>
      <w:r w:rsidR="00A546C5">
        <w:rPr>
          <w:lang w:val="en-GB"/>
        </w:rPr>
        <w:t>verified</w:t>
      </w:r>
      <w:r w:rsidR="000C0CC3">
        <w:rPr>
          <w:lang w:val="en-GB"/>
        </w:rPr>
        <w:t xml:space="preserve"> at constant </w:t>
      </w:r>
      <w:r w:rsidR="007132E8">
        <w:rPr>
          <w:lang w:val="en-GB"/>
        </w:rPr>
        <w:t>air excess</w:t>
      </w:r>
      <w:r w:rsidR="005C62BA">
        <w:rPr>
          <w:lang w:val="en-GB"/>
        </w:rPr>
        <w:t xml:space="preserve"> ratio,</w:t>
      </w:r>
      <w:r w:rsidR="00A546C5">
        <w:rPr>
          <w:lang w:val="en-GB"/>
        </w:rPr>
        <w:t xml:space="preserve"> </w:t>
      </w:r>
      <w:r w:rsidR="00CF6002">
        <w:rPr>
          <w:lang w:val="en-GB"/>
        </w:rPr>
        <w:t xml:space="preserve">both by increasing </w:t>
      </w:r>
      <w:r w:rsidR="00CF6002" w:rsidRPr="00B6202C">
        <w:rPr>
          <w:i/>
          <w:lang w:val="en-GB"/>
        </w:rPr>
        <w:t>R</w:t>
      </w:r>
      <w:r w:rsidR="00CF6002">
        <w:rPr>
          <w:lang w:val="en-GB"/>
        </w:rPr>
        <w:t xml:space="preserve"> and lowering </w:t>
      </w:r>
      <m:oMath>
        <m:sSub>
          <m:sSubPr>
            <m:ctrlPr>
              <w:rPr>
                <w:rFonts w:ascii="Cambria Math" w:hAnsi="Cambria Math"/>
                <w:lang w:val="en-GB"/>
              </w:rPr>
            </m:ctrlPr>
          </m:sSubPr>
          <m:e>
            <m:r>
              <w:rPr>
                <w:rFonts w:ascii="Cambria Math" w:hAnsi="Cambria Math"/>
                <w:lang w:val="en-GB"/>
              </w:rPr>
              <m:t>λ</m:t>
            </m:r>
          </m:e>
          <m:sub>
            <m:r>
              <w:rPr>
                <w:rFonts w:ascii="Cambria Math" w:hAnsi="Cambria Math"/>
                <w:lang w:val="en-GB"/>
              </w:rPr>
              <m:t>p</m:t>
            </m:r>
          </m:sub>
        </m:sSub>
      </m:oMath>
      <w:r w:rsidR="007B14F5" w:rsidRPr="007B14F5">
        <w:rPr>
          <w:lang w:val="en-GB"/>
        </w:rPr>
        <w:t xml:space="preserve"> (Fig</w:t>
      </w:r>
      <w:r w:rsidR="007132E8">
        <w:rPr>
          <w:lang w:val="en-GB"/>
        </w:rPr>
        <w:t xml:space="preserve">ure </w:t>
      </w:r>
      <w:r w:rsidR="00FA7EF3">
        <w:rPr>
          <w:lang w:val="en-GB"/>
        </w:rPr>
        <w:t>4</w:t>
      </w:r>
      <w:r w:rsidR="007B14F5" w:rsidRPr="007B14F5">
        <w:rPr>
          <w:lang w:val="en-GB"/>
        </w:rPr>
        <w:t xml:space="preserve">a-b </w:t>
      </w:r>
      <w:r w:rsidR="00992094">
        <w:rPr>
          <w:lang w:val="en-GB"/>
        </w:rPr>
        <w:t>against</w:t>
      </w:r>
      <w:r w:rsidR="007B14F5" w:rsidRPr="007B14F5">
        <w:rPr>
          <w:lang w:val="en-GB"/>
        </w:rPr>
        <w:t xml:space="preserve"> Fig</w:t>
      </w:r>
      <w:r w:rsidR="007132E8">
        <w:rPr>
          <w:lang w:val="en-GB"/>
        </w:rPr>
        <w:t xml:space="preserve">ure </w:t>
      </w:r>
      <w:r w:rsidR="00FA7EF3">
        <w:rPr>
          <w:lang w:val="en-GB"/>
        </w:rPr>
        <w:t>4</w:t>
      </w:r>
      <w:r w:rsidR="007B14F5" w:rsidRPr="007B14F5">
        <w:rPr>
          <w:lang w:val="en-GB"/>
        </w:rPr>
        <w:t>c-d</w:t>
      </w:r>
      <w:r w:rsidR="004370DE">
        <w:rPr>
          <w:lang w:val="en-GB"/>
        </w:rPr>
        <w:t>, i.e. ID1-ID2 against ID4-ID7</w:t>
      </w:r>
      <w:r w:rsidR="007B14F5" w:rsidRPr="007B14F5">
        <w:rPr>
          <w:lang w:val="en-GB"/>
        </w:rPr>
        <w:t>)</w:t>
      </w:r>
      <w:r w:rsidR="007B14F5">
        <w:rPr>
          <w:lang w:val="en-GB"/>
        </w:rPr>
        <w:t xml:space="preserve">, </w:t>
      </w:r>
      <w:r w:rsidR="005C62BA">
        <w:rPr>
          <w:lang w:val="en-GB"/>
        </w:rPr>
        <w:t>or</w:t>
      </w:r>
      <w:r w:rsidR="006520AE">
        <w:rPr>
          <w:lang w:val="en-GB"/>
        </w:rPr>
        <w:t xml:space="preserve"> by</w:t>
      </w:r>
      <w:r w:rsidR="007B14F5">
        <w:rPr>
          <w:lang w:val="en-GB"/>
        </w:rPr>
        <w:t xml:space="preserve"> </w:t>
      </w:r>
      <w:r w:rsidR="000C0CC3">
        <w:rPr>
          <w:lang w:val="en-GB"/>
        </w:rPr>
        <w:t xml:space="preserve">increasing </w:t>
      </w:r>
      <w:r w:rsidR="000C0CC3" w:rsidRPr="00B6202C">
        <w:rPr>
          <w:i/>
          <w:lang w:val="en-GB"/>
        </w:rPr>
        <w:t>R</w:t>
      </w:r>
      <w:r w:rsidR="000C0CC3">
        <w:rPr>
          <w:lang w:val="en-GB"/>
        </w:rPr>
        <w:t xml:space="preserve"> at constant </w:t>
      </w:r>
      <m:oMath>
        <m:sSub>
          <m:sSubPr>
            <m:ctrlPr>
              <w:rPr>
                <w:rFonts w:ascii="Cambria Math" w:hAnsi="Cambria Math"/>
                <w:lang w:val="en-GB"/>
              </w:rPr>
            </m:ctrlPr>
          </m:sSubPr>
          <m:e>
            <m:r>
              <w:rPr>
                <w:rFonts w:ascii="Cambria Math" w:hAnsi="Cambria Math"/>
                <w:lang w:val="en-GB"/>
              </w:rPr>
              <m:t>λ</m:t>
            </m:r>
          </m:e>
          <m:sub>
            <m:r>
              <w:rPr>
                <w:rFonts w:ascii="Cambria Math" w:hAnsi="Cambria Math"/>
                <w:lang w:val="en-GB"/>
              </w:rPr>
              <m:t>p</m:t>
            </m:r>
          </m:sub>
        </m:sSub>
      </m:oMath>
      <w:r w:rsidR="005C62BA">
        <w:rPr>
          <w:lang w:val="en-GB"/>
        </w:rPr>
        <w:t xml:space="preserve"> </w:t>
      </w:r>
      <w:r w:rsidR="005C62BA" w:rsidRPr="007B14F5">
        <w:rPr>
          <w:lang w:val="en-GB"/>
        </w:rPr>
        <w:t>(Fig</w:t>
      </w:r>
      <w:r w:rsidR="007132E8">
        <w:rPr>
          <w:lang w:val="en-GB"/>
        </w:rPr>
        <w:t xml:space="preserve">ure </w:t>
      </w:r>
      <w:r w:rsidR="00FA7EF3">
        <w:rPr>
          <w:lang w:val="en-GB"/>
        </w:rPr>
        <w:t>4</w:t>
      </w:r>
      <w:r w:rsidR="005C62BA" w:rsidRPr="007B14F5">
        <w:rPr>
          <w:lang w:val="en-GB"/>
        </w:rPr>
        <w:t xml:space="preserve">a-b </w:t>
      </w:r>
      <w:r w:rsidR="00992094">
        <w:rPr>
          <w:lang w:val="en-GB"/>
        </w:rPr>
        <w:t>against</w:t>
      </w:r>
      <w:r w:rsidR="005C62BA" w:rsidRPr="007B14F5">
        <w:rPr>
          <w:lang w:val="en-GB"/>
        </w:rPr>
        <w:t xml:space="preserve"> Fig</w:t>
      </w:r>
      <w:r w:rsidR="007132E8">
        <w:rPr>
          <w:lang w:val="en-GB"/>
        </w:rPr>
        <w:t xml:space="preserve">ure </w:t>
      </w:r>
      <w:r w:rsidR="00262D5F">
        <w:rPr>
          <w:lang w:val="en-GB"/>
        </w:rPr>
        <w:t>4</w:t>
      </w:r>
      <w:r w:rsidR="005C62BA">
        <w:rPr>
          <w:lang w:val="en-GB"/>
        </w:rPr>
        <w:t>f</w:t>
      </w:r>
      <w:r w:rsidR="00CE7784">
        <w:rPr>
          <w:lang w:val="en-GB"/>
        </w:rPr>
        <w:t>, i.e. ID1-ID2 against ID9</w:t>
      </w:r>
      <w:r w:rsidR="005C62BA" w:rsidRPr="007B14F5">
        <w:rPr>
          <w:lang w:val="en-GB"/>
        </w:rPr>
        <w:t>)</w:t>
      </w:r>
      <w:r w:rsidR="005C62BA">
        <w:rPr>
          <w:lang w:val="en-GB"/>
        </w:rPr>
        <w:t xml:space="preserve">. </w:t>
      </w:r>
      <w:r w:rsidR="00D040C1">
        <w:rPr>
          <w:lang w:val="en-GB"/>
        </w:rPr>
        <w:t xml:space="preserve">On the other hand, </w:t>
      </w:r>
      <w:r w:rsidR="007132E8">
        <w:rPr>
          <w:lang w:val="en-GB"/>
        </w:rPr>
        <w:t xml:space="preserve">increasing </w:t>
      </w:r>
      <w:r w:rsidR="00D040C1" w:rsidRPr="00C621EF">
        <w:rPr>
          <w:i/>
          <w:iCs/>
          <w:lang w:val="en-GB"/>
        </w:rPr>
        <w:t>R</w:t>
      </w:r>
      <w:r w:rsidR="00D040C1">
        <w:rPr>
          <w:lang w:val="en-GB"/>
        </w:rPr>
        <w:t xml:space="preserve"> </w:t>
      </w:r>
      <w:r w:rsidR="00B56C8D">
        <w:rPr>
          <w:lang w:val="en-GB"/>
        </w:rPr>
        <w:t xml:space="preserve">had a </w:t>
      </w:r>
      <w:r w:rsidR="00D040C1">
        <w:rPr>
          <w:lang w:val="en-GB"/>
        </w:rPr>
        <w:t xml:space="preserve">negligible </w:t>
      </w:r>
      <w:r w:rsidR="00B56C8D">
        <w:rPr>
          <w:lang w:val="en-GB"/>
        </w:rPr>
        <w:t xml:space="preserve">effect </w:t>
      </w:r>
      <w:r w:rsidR="00D969AC">
        <w:rPr>
          <w:lang w:val="en-GB"/>
        </w:rPr>
        <w:t xml:space="preserve">on </w:t>
      </w:r>
      <w:r w:rsidR="00B56C8D">
        <w:rPr>
          <w:lang w:val="en-GB"/>
        </w:rPr>
        <w:t xml:space="preserve">the </w:t>
      </w:r>
      <w:r w:rsidR="00D969AC">
        <w:rPr>
          <w:lang w:val="en-GB"/>
        </w:rPr>
        <w:t xml:space="preserve">fuel bed temperatures </w:t>
      </w:r>
      <w:r w:rsidR="00B56C8D">
        <w:rPr>
          <w:lang w:val="en-GB"/>
        </w:rPr>
        <w:t xml:space="preserve">for </w:t>
      </w:r>
      <w:r w:rsidR="00D969AC">
        <w:rPr>
          <w:lang w:val="en-GB"/>
        </w:rPr>
        <w:t xml:space="preserve">high </w:t>
      </w:r>
      <w:r w:rsidR="007132E8">
        <w:rPr>
          <w:lang w:val="en-GB"/>
        </w:rPr>
        <w:t>air excess</w:t>
      </w:r>
      <w:r w:rsidR="00D969AC">
        <w:rPr>
          <w:lang w:val="en-GB"/>
        </w:rPr>
        <w:t xml:space="preserve"> ratio</w:t>
      </w:r>
      <w:r w:rsidR="007132E8">
        <w:rPr>
          <w:lang w:val="en-GB"/>
        </w:rPr>
        <w:t>s</w:t>
      </w:r>
      <w:r w:rsidR="00D969AC">
        <w:rPr>
          <w:lang w:val="en-GB"/>
        </w:rPr>
        <w:t xml:space="preserve">, as </w:t>
      </w:r>
      <w:r w:rsidR="007132E8">
        <w:rPr>
          <w:lang w:val="en-GB"/>
        </w:rPr>
        <w:t xml:space="preserve">also </w:t>
      </w:r>
      <w:r w:rsidR="00D969AC">
        <w:rPr>
          <w:lang w:val="en-GB"/>
        </w:rPr>
        <w:t>shown by Fig</w:t>
      </w:r>
      <w:r w:rsidR="007132E8">
        <w:rPr>
          <w:lang w:val="en-GB"/>
        </w:rPr>
        <w:t xml:space="preserve">ure </w:t>
      </w:r>
      <w:r w:rsidR="00D969AC">
        <w:rPr>
          <w:lang w:val="en-GB"/>
        </w:rPr>
        <w:t xml:space="preserve">3, </w:t>
      </w:r>
      <w:r w:rsidR="00936F9F">
        <w:rPr>
          <w:lang w:val="en-GB"/>
        </w:rPr>
        <w:t>because</w:t>
      </w:r>
      <w:r w:rsidR="00D969AC">
        <w:rPr>
          <w:lang w:val="en-GB"/>
        </w:rPr>
        <w:t xml:space="preserve"> of </w:t>
      </w:r>
      <w:r w:rsidR="001D1F45">
        <w:rPr>
          <w:lang w:val="en-GB"/>
        </w:rPr>
        <w:t xml:space="preserve">a large amount of </w:t>
      </w:r>
      <w:r w:rsidR="00C74C65">
        <w:rPr>
          <w:lang w:val="en-GB"/>
        </w:rPr>
        <w:t>cold</w:t>
      </w:r>
      <w:r w:rsidR="001D1F45">
        <w:rPr>
          <w:lang w:val="en-GB"/>
        </w:rPr>
        <w:t xml:space="preserve"> air injected into the system</w:t>
      </w:r>
      <w:r w:rsidR="00D510E8">
        <w:rPr>
          <w:lang w:val="en-GB"/>
        </w:rPr>
        <w:t xml:space="preserve"> (</w:t>
      </w:r>
      <w:r w:rsidR="00F85736">
        <w:rPr>
          <w:lang w:val="en-GB"/>
        </w:rPr>
        <w:t xml:space="preserve">see </w:t>
      </w:r>
      <w:r w:rsidR="00D510E8">
        <w:rPr>
          <w:lang w:val="en-GB"/>
        </w:rPr>
        <w:t>Fig</w:t>
      </w:r>
      <w:r w:rsidR="007132E8">
        <w:rPr>
          <w:lang w:val="en-GB"/>
        </w:rPr>
        <w:t xml:space="preserve">ure </w:t>
      </w:r>
      <w:r w:rsidR="00FA7EF3">
        <w:rPr>
          <w:lang w:val="en-GB"/>
        </w:rPr>
        <w:t>4</w:t>
      </w:r>
      <w:r w:rsidR="00D510E8">
        <w:rPr>
          <w:lang w:val="en-GB"/>
        </w:rPr>
        <w:t>e</w:t>
      </w:r>
      <w:r w:rsidR="00CE7784">
        <w:rPr>
          <w:lang w:val="en-GB"/>
        </w:rPr>
        <w:t>, i.e. ID6</w:t>
      </w:r>
      <w:r w:rsidR="00D510E8">
        <w:rPr>
          <w:lang w:val="en-GB"/>
        </w:rPr>
        <w:t>)</w:t>
      </w:r>
      <w:r w:rsidR="001D1F45">
        <w:rPr>
          <w:lang w:val="en-GB"/>
        </w:rPr>
        <w:t>.</w:t>
      </w:r>
      <w:r w:rsidR="005C1C0F">
        <w:rPr>
          <w:lang w:val="en-GB"/>
        </w:rPr>
        <w:t xml:space="preserve"> </w:t>
      </w:r>
      <w:r w:rsidR="00B76903">
        <w:rPr>
          <w:lang w:val="en-GB"/>
        </w:rPr>
        <w:t>Fig</w:t>
      </w:r>
      <w:r w:rsidR="007132E8">
        <w:rPr>
          <w:lang w:val="en-GB"/>
        </w:rPr>
        <w:t xml:space="preserve">ure </w:t>
      </w:r>
      <w:r w:rsidR="00B76903">
        <w:rPr>
          <w:lang w:val="en-GB"/>
        </w:rPr>
        <w:t xml:space="preserve">4 shows that </w:t>
      </w:r>
      <w:r w:rsidR="007132E8">
        <w:rPr>
          <w:lang w:val="en-GB"/>
        </w:rPr>
        <w:t xml:space="preserve">different </w:t>
      </w:r>
      <w:r w:rsidR="00B76903">
        <w:rPr>
          <w:lang w:val="en-GB"/>
        </w:rPr>
        <w:t xml:space="preserve">thermal regions </w:t>
      </w:r>
      <w:r w:rsidR="00955C1A">
        <w:rPr>
          <w:lang w:val="en-GB"/>
        </w:rPr>
        <w:t>appear</w:t>
      </w:r>
      <w:r w:rsidR="00B76903">
        <w:rPr>
          <w:lang w:val="en-GB"/>
        </w:rPr>
        <w:t xml:space="preserve"> in the solid biomass zone from the left to the right area of the fixed bed.</w:t>
      </w:r>
    </w:p>
    <w:p w14:paraId="5F0CDB1C" w14:textId="6EACE419" w:rsidR="006544AB" w:rsidRDefault="00B76903" w:rsidP="00453E24">
      <w:pPr>
        <w:pStyle w:val="CETBodytext"/>
        <w:rPr>
          <w:lang w:val="en-GB"/>
        </w:rPr>
      </w:pPr>
      <w:r>
        <w:rPr>
          <w:lang w:val="en-GB"/>
        </w:rPr>
        <w:t xml:space="preserve">On the bottom-left side of the fuel bed, lower temperatures </w:t>
      </w:r>
      <w:r w:rsidR="007132E8">
        <w:rPr>
          <w:lang w:val="en-GB"/>
        </w:rPr>
        <w:t xml:space="preserve">were </w:t>
      </w:r>
      <w:r>
        <w:rPr>
          <w:lang w:val="en-GB"/>
        </w:rPr>
        <w:t>found possibly due to the high moisture content of the biomass</w:t>
      </w:r>
      <w:r w:rsidR="007132E8">
        <w:rPr>
          <w:lang w:val="en-GB"/>
        </w:rPr>
        <w:t>;</w:t>
      </w:r>
      <w:r>
        <w:rPr>
          <w:lang w:val="en-GB"/>
        </w:rPr>
        <w:t xml:space="preserve"> </w:t>
      </w:r>
      <w:r w:rsidR="007132E8">
        <w:rPr>
          <w:lang w:val="en-GB"/>
        </w:rPr>
        <w:t xml:space="preserve">a </w:t>
      </w:r>
      <w:r>
        <w:rPr>
          <w:lang w:val="en-GB"/>
        </w:rPr>
        <w:t>drying phase near the inlet region</w:t>
      </w:r>
      <w:r w:rsidR="004E0527">
        <w:rPr>
          <w:lang w:val="en-GB"/>
        </w:rPr>
        <w:t xml:space="preserve"> </w:t>
      </w:r>
      <w:r w:rsidR="007132E8">
        <w:rPr>
          <w:lang w:val="en-GB"/>
        </w:rPr>
        <w:t xml:space="preserve">appeared </w:t>
      </w:r>
      <w:r w:rsidR="004E0527">
        <w:rPr>
          <w:lang w:val="en-GB"/>
        </w:rPr>
        <w:t xml:space="preserve">due to the fresh fuel supply. </w:t>
      </w:r>
      <w:r w:rsidR="00A454C9">
        <w:rPr>
          <w:lang w:val="en-GB"/>
        </w:rPr>
        <w:t xml:space="preserve">In </w:t>
      </w:r>
      <w:r w:rsidR="007132E8">
        <w:rPr>
          <w:lang w:val="en-GB"/>
        </w:rPr>
        <w:t xml:space="preserve">the </w:t>
      </w:r>
      <w:r w:rsidR="00A454C9">
        <w:rPr>
          <w:lang w:val="en-GB"/>
        </w:rPr>
        <w:t xml:space="preserve">central area, </w:t>
      </w:r>
      <w:r w:rsidR="004E0527">
        <w:rPr>
          <w:lang w:val="en-GB"/>
        </w:rPr>
        <w:t xml:space="preserve">the higher temperature </w:t>
      </w:r>
      <w:r w:rsidR="007132E8">
        <w:rPr>
          <w:lang w:val="en-GB"/>
        </w:rPr>
        <w:t xml:space="preserve">indicated </w:t>
      </w:r>
      <w:r w:rsidR="004E0527">
        <w:rPr>
          <w:lang w:val="en-GB"/>
        </w:rPr>
        <w:t xml:space="preserve">that combustion reactions, both in gas </w:t>
      </w:r>
      <w:r w:rsidR="00955C1A">
        <w:rPr>
          <w:lang w:val="en-GB"/>
        </w:rPr>
        <w:t>and</w:t>
      </w:r>
      <w:r w:rsidR="004E0527">
        <w:rPr>
          <w:lang w:val="en-GB"/>
        </w:rPr>
        <w:t xml:space="preserve"> solid phase, </w:t>
      </w:r>
      <w:r w:rsidR="007132E8">
        <w:rPr>
          <w:lang w:val="en-GB"/>
        </w:rPr>
        <w:t xml:space="preserve">took </w:t>
      </w:r>
      <w:r w:rsidR="004E0527">
        <w:rPr>
          <w:lang w:val="en-GB"/>
        </w:rPr>
        <w:t xml:space="preserve">place. </w:t>
      </w:r>
      <w:r w:rsidR="005C1C0F">
        <w:rPr>
          <w:lang w:val="en-GB"/>
        </w:rPr>
        <w:t xml:space="preserve">In all the cases, </w:t>
      </w:r>
      <w:r w:rsidR="006F787D">
        <w:rPr>
          <w:lang w:val="en-GB"/>
        </w:rPr>
        <w:t>the bottom-right side of the fuel bed temperatures</w:t>
      </w:r>
      <w:r w:rsidR="007132E8">
        <w:rPr>
          <w:lang w:val="en-GB"/>
        </w:rPr>
        <w:t xml:space="preserve"> were</w:t>
      </w:r>
      <w:r w:rsidR="006F787D">
        <w:rPr>
          <w:lang w:val="en-GB"/>
        </w:rPr>
        <w:t xml:space="preserve"> lower than 600 °C</w:t>
      </w:r>
      <w:r>
        <w:rPr>
          <w:lang w:val="en-GB"/>
        </w:rPr>
        <w:t>.</w:t>
      </w:r>
      <w:r w:rsidR="006F787D">
        <w:rPr>
          <w:lang w:val="en-GB"/>
        </w:rPr>
        <w:t xml:space="preserve"> This </w:t>
      </w:r>
      <w:r w:rsidR="007132E8">
        <w:rPr>
          <w:lang w:val="en-GB"/>
        </w:rPr>
        <w:t>wa</w:t>
      </w:r>
      <w:r w:rsidR="004715DD">
        <w:rPr>
          <w:lang w:val="en-GB"/>
        </w:rPr>
        <w:t xml:space="preserve">s due to the accumulation of depleted fuel </w:t>
      </w:r>
      <w:r w:rsidR="00F90938">
        <w:rPr>
          <w:lang w:val="en-GB"/>
        </w:rPr>
        <w:t>promoted by the</w:t>
      </w:r>
      <w:r w:rsidR="004715DD">
        <w:rPr>
          <w:lang w:val="en-GB"/>
        </w:rPr>
        <w:t xml:space="preserve"> motion of the screw feeder</w:t>
      </w:r>
      <w:r w:rsidR="00703AA3">
        <w:rPr>
          <w:lang w:val="en-GB"/>
        </w:rPr>
        <w:t xml:space="preserve">, which </w:t>
      </w:r>
      <w:r w:rsidR="00FF10C0">
        <w:rPr>
          <w:lang w:val="en-GB"/>
        </w:rPr>
        <w:t xml:space="preserve">pushed </w:t>
      </w:r>
      <w:r w:rsidR="00703AA3">
        <w:rPr>
          <w:lang w:val="en-GB"/>
        </w:rPr>
        <w:t>fresh biomass from the</w:t>
      </w:r>
      <w:r w:rsidR="00453BBB">
        <w:rPr>
          <w:lang w:val="en-GB"/>
        </w:rPr>
        <w:t xml:space="preserve"> bottom-</w:t>
      </w:r>
      <w:r w:rsidR="00703AA3">
        <w:rPr>
          <w:lang w:val="en-GB"/>
        </w:rPr>
        <w:t xml:space="preserve">left to the </w:t>
      </w:r>
      <w:r w:rsidR="00453BBB">
        <w:rPr>
          <w:lang w:val="en-GB"/>
        </w:rPr>
        <w:t>bottom-</w:t>
      </w:r>
      <w:r w:rsidR="00703AA3">
        <w:rPr>
          <w:lang w:val="en-GB"/>
        </w:rPr>
        <w:t xml:space="preserve">right of the </w:t>
      </w:r>
      <w:r w:rsidR="00453BBB">
        <w:rPr>
          <w:lang w:val="en-GB"/>
        </w:rPr>
        <w:t>system</w:t>
      </w:r>
      <w:r w:rsidR="003E5C0F">
        <w:rPr>
          <w:lang w:val="en-GB"/>
        </w:rPr>
        <w:t>.</w:t>
      </w:r>
      <w:r w:rsidR="00327973">
        <w:rPr>
          <w:lang w:val="en-GB"/>
        </w:rPr>
        <w:t xml:space="preserve"> This fact was </w:t>
      </w:r>
      <w:r w:rsidR="00FF10C0">
        <w:rPr>
          <w:lang w:val="en-GB"/>
        </w:rPr>
        <w:t xml:space="preserve">already </w:t>
      </w:r>
      <w:r w:rsidR="0033008A">
        <w:rPr>
          <w:lang w:val="en-GB"/>
        </w:rPr>
        <w:t>observed</w:t>
      </w:r>
      <w:r w:rsidR="00327973">
        <w:rPr>
          <w:lang w:val="en-GB"/>
        </w:rPr>
        <w:t xml:space="preserve"> in </w:t>
      </w:r>
      <w:r w:rsidR="00FF10C0">
        <w:rPr>
          <w:lang w:val="en-GB"/>
        </w:rPr>
        <w:t xml:space="preserve">other </w:t>
      </w:r>
      <w:r w:rsidR="00327973">
        <w:rPr>
          <w:lang w:val="en-GB"/>
        </w:rPr>
        <w:t>recent studies involving the sam</w:t>
      </w:r>
      <w:r w:rsidR="00CE07A8">
        <w:rPr>
          <w:lang w:val="en-GB"/>
        </w:rPr>
        <w:t>e device in different operating conditions</w:t>
      </w:r>
      <w:r w:rsidR="005837AE">
        <w:rPr>
          <w:lang w:val="en-GB"/>
        </w:rPr>
        <w:t xml:space="preserve"> (Caposciutti et al., 2018)</w:t>
      </w:r>
      <w:r>
        <w:rPr>
          <w:lang w:val="en-GB"/>
        </w:rPr>
        <w:t xml:space="preserve">. </w:t>
      </w:r>
      <w:r w:rsidR="0033008A">
        <w:rPr>
          <w:lang w:val="en-GB"/>
        </w:rPr>
        <w:t>Fig</w:t>
      </w:r>
      <w:r w:rsidR="00B56C8D">
        <w:rPr>
          <w:lang w:val="en-GB"/>
        </w:rPr>
        <w:t xml:space="preserve">ure </w:t>
      </w:r>
      <w:r w:rsidR="0033008A">
        <w:rPr>
          <w:lang w:val="en-GB"/>
        </w:rPr>
        <w:t xml:space="preserve">4 also </w:t>
      </w:r>
      <w:r w:rsidR="00B56C8D">
        <w:rPr>
          <w:lang w:val="en-GB"/>
        </w:rPr>
        <w:t>highlight</w:t>
      </w:r>
      <w:r w:rsidR="00364938">
        <w:rPr>
          <w:lang w:val="en-GB"/>
        </w:rPr>
        <w:t>s</w:t>
      </w:r>
      <w:r w:rsidR="0033008A">
        <w:rPr>
          <w:lang w:val="en-GB"/>
        </w:rPr>
        <w:t xml:space="preserve"> that the EGR </w:t>
      </w:r>
      <w:r w:rsidR="005C60D6">
        <w:rPr>
          <w:lang w:val="en-GB"/>
        </w:rPr>
        <w:t xml:space="preserve">can </w:t>
      </w:r>
      <w:r w:rsidR="0033008A">
        <w:rPr>
          <w:lang w:val="en-GB"/>
        </w:rPr>
        <w:t xml:space="preserve">drastically </w:t>
      </w:r>
      <w:r w:rsidR="005C60D6">
        <w:rPr>
          <w:lang w:val="en-GB"/>
        </w:rPr>
        <w:t xml:space="preserve">affect </w:t>
      </w:r>
      <w:r w:rsidR="00FF10C0">
        <w:rPr>
          <w:lang w:val="en-GB"/>
        </w:rPr>
        <w:t>the</w:t>
      </w:r>
      <w:r w:rsidR="00BE495E">
        <w:rPr>
          <w:lang w:val="en-GB"/>
        </w:rPr>
        <w:t xml:space="preserve"> </w:t>
      </w:r>
      <w:r w:rsidR="00FF10C0">
        <w:rPr>
          <w:lang w:val="en-GB"/>
        </w:rPr>
        <w:t xml:space="preserve">extent of these </w:t>
      </w:r>
      <w:r w:rsidR="005C60D6">
        <w:rPr>
          <w:lang w:val="en-GB"/>
        </w:rPr>
        <w:t>zones</w:t>
      </w:r>
      <w:r w:rsidR="00C76E3A">
        <w:rPr>
          <w:lang w:val="en-GB"/>
        </w:rPr>
        <w:t>.</w:t>
      </w:r>
      <w:r w:rsidR="005C60D6">
        <w:rPr>
          <w:lang w:val="en-GB"/>
        </w:rPr>
        <w:t xml:space="preserve"> In particular, </w:t>
      </w:r>
      <w:r w:rsidR="00C76E3A">
        <w:rPr>
          <w:lang w:val="en-GB"/>
        </w:rPr>
        <w:t>large gas recirculation</w:t>
      </w:r>
      <w:r w:rsidR="00823719">
        <w:rPr>
          <w:lang w:val="en-GB"/>
        </w:rPr>
        <w:t xml:space="preserve"> </w:t>
      </w:r>
      <w:r w:rsidR="00BE495E">
        <w:rPr>
          <w:lang w:val="en-GB"/>
        </w:rPr>
        <w:t xml:space="preserve">pushed </w:t>
      </w:r>
      <w:r w:rsidR="00823719">
        <w:rPr>
          <w:lang w:val="en-GB"/>
        </w:rPr>
        <w:t xml:space="preserve">the drying zone </w:t>
      </w:r>
      <w:r w:rsidR="00C040CC">
        <w:rPr>
          <w:lang w:val="en-GB"/>
        </w:rPr>
        <w:t>towards the inlet position</w:t>
      </w:r>
      <w:r w:rsidR="00775088">
        <w:rPr>
          <w:lang w:val="en-GB"/>
        </w:rPr>
        <w:t xml:space="preserve">, </w:t>
      </w:r>
      <w:r w:rsidR="009D7535">
        <w:rPr>
          <w:lang w:val="en-GB"/>
        </w:rPr>
        <w:t>resulting in a</w:t>
      </w:r>
      <w:r w:rsidR="009515F6">
        <w:rPr>
          <w:lang w:val="en-GB"/>
        </w:rPr>
        <w:t xml:space="preserve"> more uniform </w:t>
      </w:r>
      <w:r w:rsidR="00775088">
        <w:rPr>
          <w:lang w:val="en-GB"/>
        </w:rPr>
        <w:t>temperature</w:t>
      </w:r>
      <w:r w:rsidR="009515F6">
        <w:rPr>
          <w:lang w:val="en-GB"/>
        </w:rPr>
        <w:t xml:space="preserve"> profile</w:t>
      </w:r>
      <w:r w:rsidR="00775088">
        <w:rPr>
          <w:lang w:val="en-GB"/>
        </w:rPr>
        <w:t xml:space="preserve"> in the remaining part of the fixed bed. </w:t>
      </w:r>
    </w:p>
    <w:p w14:paraId="39955D1D" w14:textId="42FF7434" w:rsidR="00744F9B" w:rsidRPr="00B57B36" w:rsidRDefault="00744F9B" w:rsidP="00744F9B">
      <w:pPr>
        <w:pStyle w:val="CETHeading1"/>
        <w:rPr>
          <w:lang w:val="en-GB"/>
        </w:rPr>
      </w:pPr>
      <w:r>
        <w:rPr>
          <w:lang w:val="en-GB"/>
        </w:rPr>
        <w:t>Conclusions</w:t>
      </w:r>
    </w:p>
    <w:p w14:paraId="1D43C554" w14:textId="102D4534" w:rsidR="004225AF" w:rsidRDefault="00F41497" w:rsidP="00453E24">
      <w:pPr>
        <w:pStyle w:val="CETBodytext"/>
        <w:rPr>
          <w:lang w:val="en-GB"/>
        </w:rPr>
      </w:pPr>
      <w:r w:rsidRPr="00F41497">
        <w:rPr>
          <w:lang w:val="en-GB"/>
        </w:rPr>
        <w:t xml:space="preserve">Exhaust gas recirculation </w:t>
      </w:r>
      <w:r w:rsidR="00E92704">
        <w:rPr>
          <w:lang w:val="en-GB"/>
        </w:rPr>
        <w:t>wa</w:t>
      </w:r>
      <w:r w:rsidR="00E92704" w:rsidRPr="00F41497">
        <w:rPr>
          <w:lang w:val="en-GB"/>
        </w:rPr>
        <w:t xml:space="preserve">s </w:t>
      </w:r>
      <w:r w:rsidR="00B56C8D">
        <w:rPr>
          <w:lang w:val="en-GB"/>
        </w:rPr>
        <w:t xml:space="preserve">investigated in </w:t>
      </w:r>
      <w:r w:rsidRPr="00F41497">
        <w:rPr>
          <w:lang w:val="en-GB"/>
        </w:rPr>
        <w:t>a 140 kW biomass underfed stoker boiler</w:t>
      </w:r>
      <w:r w:rsidR="009720D9">
        <w:rPr>
          <w:lang w:val="en-GB"/>
        </w:rPr>
        <w:t xml:space="preserve"> </w:t>
      </w:r>
      <w:r w:rsidR="00B56C8D">
        <w:rPr>
          <w:lang w:val="en-GB"/>
        </w:rPr>
        <w:t xml:space="preserve">to analyse its impact on the </w:t>
      </w:r>
      <w:r w:rsidRPr="00F41497">
        <w:rPr>
          <w:lang w:val="en-GB"/>
        </w:rPr>
        <w:t>temperatures</w:t>
      </w:r>
      <w:r w:rsidR="00B56C8D">
        <w:rPr>
          <w:lang w:val="en-GB"/>
        </w:rPr>
        <w:t xml:space="preserve"> in the combustion region</w:t>
      </w:r>
      <w:r w:rsidRPr="00F41497">
        <w:rPr>
          <w:lang w:val="en-GB"/>
        </w:rPr>
        <w:t>.</w:t>
      </w:r>
      <w:r w:rsidR="00ED4F01">
        <w:rPr>
          <w:lang w:val="en-GB"/>
        </w:rPr>
        <w:t xml:space="preserve"> </w:t>
      </w:r>
      <w:r w:rsidR="00B56C8D">
        <w:rPr>
          <w:lang w:val="en-GB"/>
        </w:rPr>
        <w:t>In particular, th</w:t>
      </w:r>
      <w:r w:rsidRPr="00F41497">
        <w:rPr>
          <w:lang w:val="en-GB"/>
        </w:rPr>
        <w:t xml:space="preserve">e temperature distribution inside and above the fixed bed </w:t>
      </w:r>
      <w:r w:rsidR="00BE495E">
        <w:rPr>
          <w:lang w:val="en-GB"/>
        </w:rPr>
        <w:t>wa</w:t>
      </w:r>
      <w:r w:rsidRPr="00F41497">
        <w:rPr>
          <w:lang w:val="en-GB"/>
        </w:rPr>
        <w:t>s analyzed as a function of the</w:t>
      </w:r>
      <w:r w:rsidR="00BE495E">
        <w:rPr>
          <w:lang w:val="en-GB"/>
        </w:rPr>
        <w:t xml:space="preserve"> air excess and</w:t>
      </w:r>
      <w:r w:rsidRPr="00F41497">
        <w:rPr>
          <w:lang w:val="en-GB"/>
        </w:rPr>
        <w:t xml:space="preserve"> recirculation ratio</w:t>
      </w:r>
      <w:r w:rsidR="00BE495E">
        <w:rPr>
          <w:lang w:val="en-GB"/>
        </w:rPr>
        <w:t>s</w:t>
      </w:r>
      <w:r w:rsidRPr="00F41497">
        <w:rPr>
          <w:lang w:val="en-GB"/>
        </w:rPr>
        <w:t xml:space="preserve">. </w:t>
      </w:r>
      <w:r w:rsidR="00BE495E">
        <w:rPr>
          <w:lang w:val="en-GB"/>
        </w:rPr>
        <w:t xml:space="preserve">When </w:t>
      </w:r>
      <w:r w:rsidR="009720D9">
        <w:rPr>
          <w:lang w:val="en-GB"/>
        </w:rPr>
        <w:t>the recirculation</w:t>
      </w:r>
      <w:r w:rsidR="00BE495E">
        <w:rPr>
          <w:lang w:val="en-GB"/>
        </w:rPr>
        <w:t xml:space="preserve"> was introduced, the behaviour of the average bed temperature versus the air excess ratio changed. Without recirculation, in facts, an optimal value of the air excess exists, as a result of the </w:t>
      </w:r>
      <w:r w:rsidR="00664334">
        <w:rPr>
          <w:lang w:val="en-GB"/>
        </w:rPr>
        <w:t xml:space="preserve">interplay </w:t>
      </w:r>
      <w:r w:rsidR="00BE495E">
        <w:rPr>
          <w:lang w:val="en-GB"/>
        </w:rPr>
        <w:t xml:space="preserve">between better mixing and fresh air dilution. When the recirculation was increased, this trend was smoothed and the average temperature trend </w:t>
      </w:r>
      <w:r w:rsidR="009720D9">
        <w:rPr>
          <w:lang w:val="en-GB"/>
        </w:rPr>
        <w:t xml:space="preserve">with the excess ratio </w:t>
      </w:r>
      <w:r w:rsidR="00BE495E">
        <w:rPr>
          <w:lang w:val="en-GB"/>
        </w:rPr>
        <w:t xml:space="preserve">resulted more uniform. </w:t>
      </w:r>
      <w:r w:rsidR="00526C15" w:rsidRPr="00526C15">
        <w:rPr>
          <w:lang w:val="en-GB"/>
        </w:rPr>
        <w:t xml:space="preserve">The recirculation ratio also affects the </w:t>
      </w:r>
      <w:r w:rsidR="00664334" w:rsidRPr="00526C15">
        <w:rPr>
          <w:lang w:val="en-GB"/>
        </w:rPr>
        <w:t>behaviour</w:t>
      </w:r>
      <w:r w:rsidR="00526C15" w:rsidRPr="00526C15">
        <w:rPr>
          <w:lang w:val="en-GB"/>
        </w:rPr>
        <w:t xml:space="preserve"> of the fixed bed </w:t>
      </w:r>
      <w:r w:rsidR="009720D9">
        <w:rPr>
          <w:lang w:val="en-GB"/>
        </w:rPr>
        <w:t xml:space="preserve">local </w:t>
      </w:r>
      <w:r w:rsidR="00526C15" w:rsidRPr="00526C15">
        <w:rPr>
          <w:lang w:val="en-GB"/>
        </w:rPr>
        <w:t xml:space="preserve">temperatures. For similar </w:t>
      </w:r>
      <w:r w:rsidR="00BE495E">
        <w:rPr>
          <w:lang w:val="en-GB"/>
        </w:rPr>
        <w:t>air excess ratios</w:t>
      </w:r>
      <w:r w:rsidR="00526C15" w:rsidRPr="00526C15">
        <w:rPr>
          <w:lang w:val="en-GB"/>
        </w:rPr>
        <w:t xml:space="preserve">, a higher rate of recirculated flue gas increases the average biomass bed temperatures and leads to a more even </w:t>
      </w:r>
      <w:r w:rsidR="008B651E">
        <w:rPr>
          <w:lang w:val="en-GB"/>
        </w:rPr>
        <w:t>temperature distribution</w:t>
      </w:r>
      <w:r w:rsidR="00526C15" w:rsidRPr="00526C15">
        <w:rPr>
          <w:lang w:val="en-GB"/>
        </w:rPr>
        <w:t>. Moreover, it pushes the main reaction area towards the fuel inlet zone</w:t>
      </w:r>
      <w:r w:rsidR="0050059E">
        <w:rPr>
          <w:lang w:val="en-GB"/>
        </w:rPr>
        <w:t xml:space="preserve">, drastically affecting the thermal zones </w:t>
      </w:r>
      <w:r w:rsidR="00BE495E">
        <w:rPr>
          <w:lang w:val="en-GB"/>
        </w:rPr>
        <w:t xml:space="preserve">distribution </w:t>
      </w:r>
      <w:r w:rsidR="0050059E">
        <w:rPr>
          <w:lang w:val="en-GB"/>
        </w:rPr>
        <w:t>in the bed of combusti</w:t>
      </w:r>
      <w:r w:rsidR="00BE495E">
        <w:rPr>
          <w:lang w:val="en-GB"/>
        </w:rPr>
        <w:t>ng</w:t>
      </w:r>
      <w:r w:rsidR="0050059E">
        <w:rPr>
          <w:lang w:val="en-GB"/>
        </w:rPr>
        <w:t xml:space="preserve"> biomass</w:t>
      </w:r>
      <w:r w:rsidR="00526C15" w:rsidRPr="00526C15">
        <w:rPr>
          <w:lang w:val="en-GB"/>
        </w:rPr>
        <w:t xml:space="preserve">. These details </w:t>
      </w:r>
      <w:r w:rsidR="00AB3B24">
        <w:rPr>
          <w:lang w:val="en-GB"/>
        </w:rPr>
        <w:t>can be</w:t>
      </w:r>
      <w:r w:rsidR="00AB3B24" w:rsidRPr="00526C15">
        <w:rPr>
          <w:lang w:val="en-GB"/>
        </w:rPr>
        <w:t xml:space="preserve"> </w:t>
      </w:r>
      <w:r w:rsidR="00526C15" w:rsidRPr="00526C15">
        <w:rPr>
          <w:lang w:val="en-GB"/>
        </w:rPr>
        <w:t xml:space="preserve">useful for </w:t>
      </w:r>
      <w:r w:rsidR="00AB3B24">
        <w:rPr>
          <w:lang w:val="en-GB"/>
        </w:rPr>
        <w:t xml:space="preserve">developing </w:t>
      </w:r>
      <w:r w:rsidR="00526C15" w:rsidRPr="00526C15">
        <w:rPr>
          <w:lang w:val="en-GB"/>
        </w:rPr>
        <w:t>solid combustion lumped</w:t>
      </w:r>
      <w:r w:rsidR="00664334">
        <w:rPr>
          <w:lang w:val="en-GB"/>
        </w:rPr>
        <w:t>-</w:t>
      </w:r>
      <w:r w:rsidR="00526C15" w:rsidRPr="00526C15">
        <w:rPr>
          <w:lang w:val="en-GB"/>
        </w:rPr>
        <w:t xml:space="preserve">parameter models, and for </w:t>
      </w:r>
      <w:r w:rsidR="00AB3B24">
        <w:rPr>
          <w:lang w:val="en-GB"/>
        </w:rPr>
        <w:t xml:space="preserve">validating </w:t>
      </w:r>
      <w:r w:rsidR="00526C15" w:rsidRPr="00526C15">
        <w:rPr>
          <w:lang w:val="en-GB"/>
        </w:rPr>
        <w:t xml:space="preserve">CFD </w:t>
      </w:r>
      <w:r w:rsidR="00AB3B24">
        <w:rPr>
          <w:lang w:val="en-GB"/>
        </w:rPr>
        <w:t>models</w:t>
      </w:r>
      <w:r w:rsidR="00526C15" w:rsidRPr="00526C15">
        <w:rPr>
          <w:lang w:val="en-GB"/>
        </w:rPr>
        <w:t xml:space="preserve">. </w:t>
      </w:r>
      <w:r w:rsidR="002747E5">
        <w:rPr>
          <w:lang w:val="en-GB"/>
        </w:rPr>
        <w:t>For instance, the present data may support the development of in-bed models based on reactor networks to be coupled to freeboard CFD calculations</w:t>
      </w:r>
      <w:r w:rsidR="003A1B64">
        <w:rPr>
          <w:lang w:val="en-GB"/>
        </w:rPr>
        <w:t>.</w:t>
      </w:r>
    </w:p>
    <w:p w14:paraId="65825F07" w14:textId="77777777" w:rsidR="004225AF" w:rsidRPr="00B57B36" w:rsidRDefault="004225AF" w:rsidP="004225AF">
      <w:pPr>
        <w:pStyle w:val="CETReference"/>
      </w:pPr>
      <w:r w:rsidRPr="00B57B36">
        <w:t>References</w:t>
      </w:r>
    </w:p>
    <w:p w14:paraId="5E28A102" w14:textId="6DF611A6" w:rsidR="001A7575" w:rsidRPr="001A7575" w:rsidRDefault="004225AF" w:rsidP="001A7575">
      <w:pPr>
        <w:widowControl w:val="0"/>
        <w:autoSpaceDE w:val="0"/>
        <w:autoSpaceDN w:val="0"/>
        <w:adjustRightInd w:val="0"/>
        <w:spacing w:line="240" w:lineRule="auto"/>
        <w:ind w:left="480" w:hanging="480"/>
        <w:rPr>
          <w:rFonts w:cs="Arial"/>
          <w:noProof/>
          <w:szCs w:val="24"/>
        </w:rPr>
      </w:pPr>
      <w:r>
        <w:fldChar w:fldCharType="begin" w:fldLock="1"/>
      </w:r>
      <w:r>
        <w:instrText xml:space="preserve">ADDIN Mendeley Bibliography CSL_BIBLIOGRAPHY </w:instrText>
      </w:r>
      <w:r>
        <w:fldChar w:fldCharType="separate"/>
      </w:r>
      <w:r w:rsidR="001A7575" w:rsidRPr="001A7575">
        <w:rPr>
          <w:rFonts w:cs="Arial"/>
          <w:noProof/>
          <w:szCs w:val="24"/>
        </w:rPr>
        <w:t>Archan G</w:t>
      </w:r>
      <w:r w:rsidR="00A73D29">
        <w:rPr>
          <w:rFonts w:cs="Arial"/>
          <w:noProof/>
          <w:szCs w:val="24"/>
        </w:rPr>
        <w:t>.</w:t>
      </w:r>
      <w:r w:rsidR="001A7575" w:rsidRPr="001A7575">
        <w:rPr>
          <w:rFonts w:cs="Arial"/>
          <w:noProof/>
          <w:szCs w:val="24"/>
        </w:rPr>
        <w:t>,</w:t>
      </w:r>
      <w:r w:rsidR="00A73D29">
        <w:rPr>
          <w:rFonts w:cs="Arial"/>
          <w:noProof/>
          <w:szCs w:val="24"/>
        </w:rPr>
        <w:t xml:space="preserve"> </w:t>
      </w:r>
      <w:r w:rsidR="001A7575" w:rsidRPr="001A7575">
        <w:rPr>
          <w:rFonts w:cs="Arial"/>
          <w:noProof/>
          <w:szCs w:val="24"/>
        </w:rPr>
        <w:t>Anca-Couce</w:t>
      </w:r>
      <w:r w:rsidR="00A73D29">
        <w:rPr>
          <w:rFonts w:cs="Arial"/>
          <w:noProof/>
          <w:szCs w:val="24"/>
        </w:rPr>
        <w:t xml:space="preserve"> A.</w:t>
      </w:r>
      <w:r w:rsidR="001A7575" w:rsidRPr="001A7575">
        <w:rPr>
          <w:rFonts w:cs="Arial"/>
          <w:noProof/>
          <w:szCs w:val="24"/>
        </w:rPr>
        <w:t>, Buchmayr</w:t>
      </w:r>
      <w:r w:rsidR="00A73D29">
        <w:rPr>
          <w:rFonts w:cs="Arial"/>
          <w:noProof/>
          <w:szCs w:val="24"/>
        </w:rPr>
        <w:t xml:space="preserve"> M.</w:t>
      </w:r>
      <w:r w:rsidR="001A7575" w:rsidRPr="001A7575">
        <w:rPr>
          <w:rFonts w:cs="Arial"/>
          <w:noProof/>
          <w:szCs w:val="24"/>
        </w:rPr>
        <w:t>, Hochenauer</w:t>
      </w:r>
      <w:r w:rsidR="00A73D29">
        <w:rPr>
          <w:rFonts w:cs="Arial"/>
          <w:noProof/>
          <w:szCs w:val="24"/>
        </w:rPr>
        <w:t xml:space="preserve"> C.</w:t>
      </w:r>
      <w:r w:rsidR="001A7575" w:rsidRPr="001A7575">
        <w:rPr>
          <w:rFonts w:cs="Arial"/>
          <w:noProof/>
          <w:szCs w:val="24"/>
        </w:rPr>
        <w:t>, Gruber</w:t>
      </w:r>
      <w:r w:rsidR="00A73D29">
        <w:rPr>
          <w:rFonts w:cs="Arial"/>
          <w:noProof/>
          <w:szCs w:val="24"/>
        </w:rPr>
        <w:t xml:space="preserve"> J.</w:t>
      </w:r>
      <w:r w:rsidR="001A7575" w:rsidRPr="001A7575">
        <w:rPr>
          <w:rFonts w:cs="Arial"/>
          <w:noProof/>
          <w:szCs w:val="24"/>
        </w:rPr>
        <w:t>, Scharler</w:t>
      </w:r>
      <w:r w:rsidR="00A73D29">
        <w:rPr>
          <w:rFonts w:cs="Arial"/>
          <w:noProof/>
          <w:szCs w:val="24"/>
        </w:rPr>
        <w:t xml:space="preserve"> R.</w:t>
      </w:r>
      <w:r w:rsidR="003A023C">
        <w:rPr>
          <w:rFonts w:cs="Arial"/>
          <w:noProof/>
          <w:szCs w:val="24"/>
        </w:rPr>
        <w:t>,</w:t>
      </w:r>
      <w:r w:rsidR="003A023C" w:rsidRPr="001A7575">
        <w:rPr>
          <w:rFonts w:cs="Arial"/>
          <w:noProof/>
          <w:szCs w:val="24"/>
        </w:rPr>
        <w:t xml:space="preserve"> </w:t>
      </w:r>
      <w:r w:rsidR="001A7575" w:rsidRPr="001A7575">
        <w:rPr>
          <w:rFonts w:cs="Arial"/>
          <w:noProof/>
          <w:szCs w:val="24"/>
        </w:rPr>
        <w:t>2021</w:t>
      </w:r>
      <w:r w:rsidR="003A023C">
        <w:rPr>
          <w:rFonts w:cs="Arial"/>
          <w:noProof/>
          <w:szCs w:val="24"/>
        </w:rPr>
        <w:t>,</w:t>
      </w:r>
      <w:r w:rsidR="003A023C" w:rsidRPr="001A7575">
        <w:rPr>
          <w:rFonts w:cs="Arial"/>
          <w:noProof/>
          <w:szCs w:val="24"/>
        </w:rPr>
        <w:t xml:space="preserve"> </w:t>
      </w:r>
      <w:r w:rsidR="001A7575" w:rsidRPr="001A7575">
        <w:rPr>
          <w:rFonts w:cs="Arial"/>
          <w:noProof/>
          <w:szCs w:val="24"/>
        </w:rPr>
        <w:t>Experimental Evaluation of Primary Measures for NO</w:t>
      </w:r>
      <w:r w:rsidR="001A7575" w:rsidRPr="00D54C46">
        <w:rPr>
          <w:rFonts w:cs="Arial"/>
          <w:noProof/>
          <w:szCs w:val="24"/>
          <w:vertAlign w:val="subscript"/>
        </w:rPr>
        <w:t>X</w:t>
      </w:r>
      <w:r w:rsidR="001A7575" w:rsidRPr="001A7575">
        <w:rPr>
          <w:rFonts w:cs="Arial"/>
          <w:noProof/>
          <w:szCs w:val="24"/>
        </w:rPr>
        <w:t xml:space="preserve"> and Dust Emission Reduction in a Novel 200</w:t>
      </w:r>
      <w:r w:rsidR="003A023C">
        <w:rPr>
          <w:rFonts w:cs="Arial"/>
          <w:noProof/>
          <w:szCs w:val="24"/>
        </w:rPr>
        <w:t xml:space="preserve"> k</w:t>
      </w:r>
      <w:r w:rsidR="001A7575" w:rsidRPr="001A7575">
        <w:rPr>
          <w:rFonts w:cs="Arial"/>
          <w:noProof/>
          <w:szCs w:val="24"/>
        </w:rPr>
        <w:t>W Multi-Fuel Biomass Boiler</w:t>
      </w:r>
      <w:r w:rsidR="003A023C">
        <w:rPr>
          <w:rFonts w:cs="Arial"/>
          <w:noProof/>
          <w:szCs w:val="24"/>
        </w:rPr>
        <w:t>,</w:t>
      </w:r>
      <w:r w:rsidR="001A7575" w:rsidRPr="001A7575">
        <w:rPr>
          <w:rFonts w:cs="Arial"/>
          <w:noProof/>
          <w:szCs w:val="24"/>
        </w:rPr>
        <w:t xml:space="preserve"> </w:t>
      </w:r>
      <w:r w:rsidR="001A7575" w:rsidRPr="00D54C46">
        <w:rPr>
          <w:rFonts w:cs="Arial"/>
          <w:noProof/>
          <w:szCs w:val="24"/>
        </w:rPr>
        <w:t>Renewable Energy</w:t>
      </w:r>
      <w:r w:rsidR="003A023C">
        <w:rPr>
          <w:rFonts w:cs="Arial"/>
          <w:noProof/>
          <w:szCs w:val="24"/>
        </w:rPr>
        <w:t>,</w:t>
      </w:r>
      <w:r w:rsidR="001A7575" w:rsidRPr="003A023C">
        <w:rPr>
          <w:rFonts w:cs="Arial"/>
          <w:noProof/>
          <w:szCs w:val="24"/>
        </w:rPr>
        <w:t xml:space="preserve"> </w:t>
      </w:r>
      <w:r w:rsidR="001A7575" w:rsidRPr="001A7575">
        <w:rPr>
          <w:rFonts w:cs="Arial"/>
          <w:noProof/>
          <w:szCs w:val="24"/>
        </w:rPr>
        <w:t>170</w:t>
      </w:r>
      <w:r w:rsidR="003A023C">
        <w:rPr>
          <w:rFonts w:cs="Arial"/>
          <w:noProof/>
          <w:szCs w:val="24"/>
        </w:rPr>
        <w:t>,</w:t>
      </w:r>
      <w:r w:rsidR="003A023C" w:rsidRPr="001A7575">
        <w:rPr>
          <w:rFonts w:cs="Arial"/>
          <w:noProof/>
          <w:szCs w:val="24"/>
        </w:rPr>
        <w:t xml:space="preserve"> </w:t>
      </w:r>
      <w:r w:rsidR="001A7575" w:rsidRPr="001A7575">
        <w:rPr>
          <w:rFonts w:cs="Arial"/>
          <w:noProof/>
          <w:szCs w:val="24"/>
        </w:rPr>
        <w:t>1186–96.</w:t>
      </w:r>
    </w:p>
    <w:p w14:paraId="57B5BE8A" w14:textId="7FBFA118" w:rsidR="001A7575" w:rsidRPr="001A7575" w:rsidRDefault="001A7575" w:rsidP="001A7575">
      <w:pPr>
        <w:widowControl w:val="0"/>
        <w:autoSpaceDE w:val="0"/>
        <w:autoSpaceDN w:val="0"/>
        <w:adjustRightInd w:val="0"/>
        <w:spacing w:line="240" w:lineRule="auto"/>
        <w:ind w:left="480" w:hanging="480"/>
        <w:rPr>
          <w:rFonts w:cs="Arial"/>
          <w:noProof/>
          <w:szCs w:val="24"/>
        </w:rPr>
      </w:pPr>
      <w:r w:rsidRPr="00F57A6E">
        <w:rPr>
          <w:rFonts w:cs="Arial"/>
          <w:noProof/>
          <w:szCs w:val="24"/>
          <w:lang w:val="en-US"/>
        </w:rPr>
        <w:t>Caposciutti G</w:t>
      </w:r>
      <w:r w:rsidR="00AF252C" w:rsidRPr="00F57A6E">
        <w:rPr>
          <w:rFonts w:cs="Arial"/>
          <w:noProof/>
          <w:szCs w:val="24"/>
          <w:lang w:val="en-US"/>
        </w:rPr>
        <w:t>.</w:t>
      </w:r>
      <w:r w:rsidRPr="00F57A6E">
        <w:rPr>
          <w:rFonts w:cs="Arial"/>
          <w:noProof/>
          <w:szCs w:val="24"/>
          <w:lang w:val="en-US"/>
        </w:rPr>
        <w:t>, Barontini</w:t>
      </w:r>
      <w:r w:rsidR="00AF252C" w:rsidRPr="00F57A6E">
        <w:rPr>
          <w:rFonts w:cs="Arial"/>
          <w:noProof/>
          <w:szCs w:val="24"/>
          <w:lang w:val="en-US"/>
        </w:rPr>
        <w:t xml:space="preserve"> F.</w:t>
      </w:r>
      <w:r w:rsidRPr="00F57A6E">
        <w:rPr>
          <w:rFonts w:cs="Arial"/>
          <w:noProof/>
          <w:szCs w:val="24"/>
          <w:lang w:val="en-US"/>
        </w:rPr>
        <w:t>,</w:t>
      </w:r>
      <w:r w:rsidR="00AF252C" w:rsidRPr="00F57A6E">
        <w:rPr>
          <w:rFonts w:cs="Arial"/>
          <w:noProof/>
          <w:szCs w:val="24"/>
          <w:lang w:val="en-US"/>
        </w:rPr>
        <w:t xml:space="preserve"> </w:t>
      </w:r>
      <w:r w:rsidRPr="00F57A6E">
        <w:rPr>
          <w:rFonts w:cs="Arial"/>
          <w:noProof/>
          <w:szCs w:val="24"/>
          <w:lang w:val="en-US"/>
        </w:rPr>
        <w:t>Antonelli</w:t>
      </w:r>
      <w:r w:rsidR="00AF252C" w:rsidRPr="00F57A6E">
        <w:rPr>
          <w:rFonts w:cs="Arial"/>
          <w:noProof/>
          <w:szCs w:val="24"/>
          <w:lang w:val="en-US"/>
        </w:rPr>
        <w:t xml:space="preserve"> M.</w:t>
      </w:r>
      <w:r w:rsidRPr="00F57A6E">
        <w:rPr>
          <w:rFonts w:cs="Arial"/>
          <w:noProof/>
          <w:szCs w:val="24"/>
          <w:lang w:val="en-US"/>
        </w:rPr>
        <w:t>, Tognotti</w:t>
      </w:r>
      <w:r w:rsidR="00AF252C" w:rsidRPr="00F57A6E">
        <w:rPr>
          <w:rFonts w:cs="Arial"/>
          <w:noProof/>
          <w:szCs w:val="24"/>
          <w:lang w:val="en-US"/>
        </w:rPr>
        <w:t xml:space="preserve"> L.</w:t>
      </w:r>
      <w:r w:rsidRPr="00F57A6E">
        <w:rPr>
          <w:rFonts w:cs="Arial"/>
          <w:noProof/>
          <w:szCs w:val="24"/>
          <w:lang w:val="en-US"/>
        </w:rPr>
        <w:t>,</w:t>
      </w:r>
      <w:r w:rsidR="002B6D49" w:rsidRPr="00F57A6E">
        <w:rPr>
          <w:rFonts w:cs="Arial"/>
          <w:noProof/>
          <w:szCs w:val="24"/>
          <w:lang w:val="en-US"/>
        </w:rPr>
        <w:t xml:space="preserve"> </w:t>
      </w:r>
      <w:r w:rsidRPr="00F57A6E">
        <w:rPr>
          <w:rFonts w:cs="Arial"/>
          <w:noProof/>
          <w:szCs w:val="24"/>
          <w:lang w:val="en-US"/>
        </w:rPr>
        <w:t>Desideri</w:t>
      </w:r>
      <w:r w:rsidR="002B6D49" w:rsidRPr="00F57A6E">
        <w:rPr>
          <w:rFonts w:cs="Arial"/>
          <w:noProof/>
          <w:szCs w:val="24"/>
          <w:lang w:val="en-US"/>
        </w:rPr>
        <w:t xml:space="preserve"> U.</w:t>
      </w:r>
      <w:r w:rsidR="003A023C" w:rsidRPr="00F57A6E">
        <w:rPr>
          <w:rFonts w:cs="Arial"/>
          <w:noProof/>
          <w:szCs w:val="24"/>
          <w:lang w:val="en-US"/>
        </w:rPr>
        <w:t xml:space="preserve">, </w:t>
      </w:r>
      <w:r w:rsidRPr="001A7575">
        <w:rPr>
          <w:rFonts w:cs="Arial"/>
          <w:noProof/>
          <w:szCs w:val="24"/>
        </w:rPr>
        <w:t>2018</w:t>
      </w:r>
      <w:r w:rsidR="003A023C">
        <w:rPr>
          <w:rFonts w:cs="Arial"/>
          <w:noProof/>
          <w:szCs w:val="24"/>
        </w:rPr>
        <w:t>,</w:t>
      </w:r>
      <w:r w:rsidR="003A023C" w:rsidRPr="001A7575">
        <w:rPr>
          <w:rFonts w:cs="Arial"/>
          <w:noProof/>
          <w:szCs w:val="24"/>
        </w:rPr>
        <w:t xml:space="preserve"> </w:t>
      </w:r>
      <w:r w:rsidRPr="001A7575">
        <w:rPr>
          <w:rFonts w:cs="Arial"/>
          <w:noProof/>
          <w:szCs w:val="24"/>
        </w:rPr>
        <w:t>Experimental Investigation on the Air Excess and Air Displacement Influence on Early Stage and Complete Combustion Gaseous Emissions of a Small Scale Fixed Bed Biomass Boiler</w:t>
      </w:r>
      <w:r w:rsidR="003A023C">
        <w:rPr>
          <w:rFonts w:cs="Arial"/>
          <w:noProof/>
          <w:szCs w:val="24"/>
        </w:rPr>
        <w:t>,</w:t>
      </w:r>
      <w:r w:rsidRPr="001A7575">
        <w:rPr>
          <w:rFonts w:cs="Arial"/>
          <w:noProof/>
          <w:szCs w:val="24"/>
        </w:rPr>
        <w:t xml:space="preserve"> </w:t>
      </w:r>
      <w:r w:rsidRPr="00D54C46">
        <w:rPr>
          <w:rFonts w:cs="Arial"/>
          <w:noProof/>
          <w:szCs w:val="24"/>
        </w:rPr>
        <w:t>Applied Energy</w:t>
      </w:r>
      <w:r w:rsidR="003A023C">
        <w:rPr>
          <w:rFonts w:cs="Arial"/>
          <w:noProof/>
          <w:szCs w:val="24"/>
        </w:rPr>
        <w:t>,</w:t>
      </w:r>
      <w:r w:rsidRPr="003A023C">
        <w:rPr>
          <w:rFonts w:cs="Arial"/>
          <w:noProof/>
          <w:szCs w:val="24"/>
        </w:rPr>
        <w:t xml:space="preserve"> </w:t>
      </w:r>
      <w:r w:rsidRPr="001A7575">
        <w:rPr>
          <w:rFonts w:cs="Arial"/>
          <w:noProof/>
          <w:szCs w:val="24"/>
        </w:rPr>
        <w:t>216</w:t>
      </w:r>
      <w:r w:rsidR="003A023C">
        <w:rPr>
          <w:rFonts w:cs="Arial"/>
          <w:noProof/>
          <w:szCs w:val="24"/>
        </w:rPr>
        <w:t>,</w:t>
      </w:r>
      <w:r w:rsidR="003A023C" w:rsidRPr="001A7575">
        <w:rPr>
          <w:rFonts w:cs="Arial"/>
          <w:noProof/>
          <w:szCs w:val="24"/>
        </w:rPr>
        <w:t xml:space="preserve"> </w:t>
      </w:r>
      <w:r w:rsidRPr="001A7575">
        <w:rPr>
          <w:rFonts w:cs="Arial"/>
          <w:noProof/>
          <w:szCs w:val="24"/>
        </w:rPr>
        <w:t>576–87.</w:t>
      </w:r>
    </w:p>
    <w:p w14:paraId="725B94CA" w14:textId="7B62EAE5" w:rsidR="001A7575" w:rsidRPr="001A7575" w:rsidRDefault="001A7575" w:rsidP="001A7575">
      <w:pPr>
        <w:widowControl w:val="0"/>
        <w:autoSpaceDE w:val="0"/>
        <w:autoSpaceDN w:val="0"/>
        <w:adjustRightInd w:val="0"/>
        <w:spacing w:line="240" w:lineRule="auto"/>
        <w:ind w:left="480" w:hanging="480"/>
        <w:rPr>
          <w:rFonts w:cs="Arial"/>
          <w:noProof/>
          <w:szCs w:val="24"/>
        </w:rPr>
      </w:pPr>
      <w:r w:rsidRPr="00F57A6E">
        <w:rPr>
          <w:rFonts w:cs="Arial"/>
          <w:noProof/>
          <w:szCs w:val="24"/>
        </w:rPr>
        <w:t>Caposciutti G</w:t>
      </w:r>
      <w:r w:rsidR="00C56E78" w:rsidRPr="00F57A6E">
        <w:rPr>
          <w:rFonts w:cs="Arial"/>
          <w:noProof/>
          <w:szCs w:val="24"/>
        </w:rPr>
        <w:t>.</w:t>
      </w:r>
      <w:r w:rsidRPr="00F57A6E">
        <w:rPr>
          <w:rFonts w:cs="Arial"/>
          <w:noProof/>
          <w:szCs w:val="24"/>
        </w:rPr>
        <w:t>,</w:t>
      </w:r>
      <w:r w:rsidR="00C56E78" w:rsidRPr="00F57A6E">
        <w:rPr>
          <w:rFonts w:cs="Arial"/>
          <w:noProof/>
          <w:szCs w:val="24"/>
        </w:rPr>
        <w:t xml:space="preserve"> </w:t>
      </w:r>
      <w:r w:rsidRPr="00F57A6E">
        <w:rPr>
          <w:rFonts w:cs="Arial"/>
          <w:noProof/>
          <w:szCs w:val="24"/>
        </w:rPr>
        <w:t>Barontini</w:t>
      </w:r>
      <w:r w:rsidR="00C56E78" w:rsidRPr="00F57A6E">
        <w:rPr>
          <w:rFonts w:cs="Arial"/>
          <w:noProof/>
          <w:szCs w:val="24"/>
        </w:rPr>
        <w:t xml:space="preserve"> F.</w:t>
      </w:r>
      <w:r w:rsidRPr="00F57A6E">
        <w:rPr>
          <w:rFonts w:cs="Arial"/>
          <w:noProof/>
          <w:szCs w:val="24"/>
        </w:rPr>
        <w:t>, Galletti</w:t>
      </w:r>
      <w:r w:rsidR="00C56E78" w:rsidRPr="00F57A6E">
        <w:rPr>
          <w:rFonts w:cs="Arial"/>
          <w:noProof/>
          <w:szCs w:val="24"/>
        </w:rPr>
        <w:t xml:space="preserve"> C.</w:t>
      </w:r>
      <w:r w:rsidRPr="00F57A6E">
        <w:rPr>
          <w:rFonts w:cs="Arial"/>
          <w:noProof/>
          <w:szCs w:val="24"/>
        </w:rPr>
        <w:t>, Antonelli</w:t>
      </w:r>
      <w:r w:rsidR="00C56E78" w:rsidRPr="00F57A6E">
        <w:rPr>
          <w:rFonts w:cs="Arial"/>
          <w:noProof/>
          <w:szCs w:val="24"/>
        </w:rPr>
        <w:t xml:space="preserve"> M.</w:t>
      </w:r>
      <w:r w:rsidRPr="00F57A6E">
        <w:rPr>
          <w:rFonts w:cs="Arial"/>
          <w:noProof/>
          <w:szCs w:val="24"/>
        </w:rPr>
        <w:t xml:space="preserve"> Tognotti</w:t>
      </w:r>
      <w:r w:rsidR="00C56E78" w:rsidRPr="00F57A6E">
        <w:rPr>
          <w:rFonts w:cs="Arial"/>
          <w:noProof/>
          <w:szCs w:val="24"/>
        </w:rPr>
        <w:t xml:space="preserve"> L.</w:t>
      </w:r>
      <w:r w:rsidRPr="00F57A6E">
        <w:rPr>
          <w:rFonts w:cs="Arial"/>
          <w:noProof/>
          <w:szCs w:val="24"/>
        </w:rPr>
        <w:t>,</w:t>
      </w:r>
      <w:r w:rsidR="00C56E78" w:rsidRPr="00F57A6E">
        <w:rPr>
          <w:rFonts w:cs="Arial"/>
          <w:noProof/>
          <w:szCs w:val="24"/>
        </w:rPr>
        <w:t xml:space="preserve"> </w:t>
      </w:r>
      <w:r w:rsidRPr="00F57A6E">
        <w:rPr>
          <w:rFonts w:cs="Arial"/>
          <w:noProof/>
          <w:szCs w:val="24"/>
        </w:rPr>
        <w:t>Desideri</w:t>
      </w:r>
      <w:r w:rsidR="00C56E78" w:rsidRPr="00F57A6E">
        <w:rPr>
          <w:rFonts w:cs="Arial"/>
          <w:noProof/>
          <w:szCs w:val="24"/>
        </w:rPr>
        <w:t xml:space="preserve"> U.</w:t>
      </w:r>
      <w:r w:rsidR="00B72896" w:rsidRPr="00F57A6E">
        <w:rPr>
          <w:rFonts w:cs="Arial"/>
          <w:noProof/>
          <w:szCs w:val="24"/>
        </w:rPr>
        <w:t xml:space="preserve">, </w:t>
      </w:r>
      <w:r w:rsidR="00CD6399" w:rsidRPr="001A7575">
        <w:rPr>
          <w:rFonts w:cs="Arial"/>
          <w:noProof/>
          <w:szCs w:val="24"/>
        </w:rPr>
        <w:t>20</w:t>
      </w:r>
      <w:r w:rsidR="00CD6399">
        <w:rPr>
          <w:rFonts w:cs="Arial"/>
          <w:noProof/>
          <w:szCs w:val="24"/>
        </w:rPr>
        <w:t>20</w:t>
      </w:r>
      <w:r w:rsidR="00B72896">
        <w:rPr>
          <w:rFonts w:cs="Arial"/>
          <w:noProof/>
          <w:szCs w:val="24"/>
        </w:rPr>
        <w:t>,</w:t>
      </w:r>
      <w:r w:rsidR="00B72896" w:rsidRPr="001A7575">
        <w:rPr>
          <w:rFonts w:cs="Arial"/>
          <w:noProof/>
          <w:szCs w:val="24"/>
        </w:rPr>
        <w:t xml:space="preserve"> </w:t>
      </w:r>
      <w:r w:rsidRPr="001A7575">
        <w:rPr>
          <w:rFonts w:cs="Arial"/>
          <w:noProof/>
          <w:szCs w:val="24"/>
        </w:rPr>
        <w:t>Woodchip Size Effect on Combustion Temperatures and Volatiles in a Small-Scale Fixed Bed Biomass Boiler</w:t>
      </w:r>
      <w:r w:rsidR="00B72896">
        <w:rPr>
          <w:rFonts w:cs="Arial"/>
          <w:noProof/>
          <w:szCs w:val="24"/>
        </w:rPr>
        <w:t>,</w:t>
      </w:r>
      <w:r w:rsidR="00B72896" w:rsidRPr="001A7575">
        <w:rPr>
          <w:rFonts w:cs="Arial"/>
          <w:noProof/>
          <w:szCs w:val="24"/>
        </w:rPr>
        <w:t xml:space="preserve"> </w:t>
      </w:r>
      <w:r w:rsidRPr="00D54C46">
        <w:rPr>
          <w:rFonts w:cs="Arial"/>
          <w:noProof/>
          <w:szCs w:val="24"/>
        </w:rPr>
        <w:t>Renewable Energy</w:t>
      </w:r>
      <w:r w:rsidR="00B72896">
        <w:rPr>
          <w:rFonts w:cs="Arial"/>
          <w:noProof/>
          <w:szCs w:val="24"/>
        </w:rPr>
        <w:t xml:space="preserve">, </w:t>
      </w:r>
      <w:r w:rsidR="00CD6399">
        <w:rPr>
          <w:rFonts w:cs="Arial"/>
          <w:noProof/>
          <w:szCs w:val="24"/>
        </w:rPr>
        <w:t>151, 161-174</w:t>
      </w:r>
      <w:r w:rsidRPr="00B72896">
        <w:rPr>
          <w:rFonts w:cs="Arial"/>
          <w:noProof/>
          <w:szCs w:val="24"/>
        </w:rPr>
        <w:t>.</w:t>
      </w:r>
    </w:p>
    <w:p w14:paraId="3CD67BE7" w14:textId="54EA3B70" w:rsidR="002747E5" w:rsidRPr="00D54C46" w:rsidRDefault="001A7575" w:rsidP="002747E5">
      <w:pPr>
        <w:widowControl w:val="0"/>
        <w:autoSpaceDE w:val="0"/>
        <w:autoSpaceDN w:val="0"/>
        <w:adjustRightInd w:val="0"/>
        <w:spacing w:line="240" w:lineRule="auto"/>
        <w:ind w:left="480" w:hanging="480"/>
        <w:rPr>
          <w:rFonts w:cs="Arial"/>
          <w:noProof/>
          <w:szCs w:val="24"/>
          <w:lang w:val="en-US"/>
        </w:rPr>
      </w:pPr>
      <w:r w:rsidRPr="001A7575">
        <w:rPr>
          <w:rFonts w:cs="Arial"/>
          <w:noProof/>
          <w:szCs w:val="24"/>
        </w:rPr>
        <w:t>Carroll J.P., Finnan</w:t>
      </w:r>
      <w:r w:rsidR="00E0325B" w:rsidRPr="00E0325B">
        <w:rPr>
          <w:rFonts w:cs="Arial"/>
          <w:noProof/>
          <w:szCs w:val="24"/>
        </w:rPr>
        <w:t xml:space="preserve"> </w:t>
      </w:r>
      <w:r w:rsidR="00E0325B" w:rsidRPr="001A7575">
        <w:rPr>
          <w:rFonts w:cs="Arial"/>
          <w:noProof/>
          <w:szCs w:val="24"/>
        </w:rPr>
        <w:t>J.M</w:t>
      </w:r>
      <w:r w:rsidRPr="001A7575">
        <w:rPr>
          <w:rFonts w:cs="Arial"/>
          <w:noProof/>
          <w:szCs w:val="24"/>
        </w:rPr>
        <w:t>, Biedermann</w:t>
      </w:r>
      <w:r w:rsidR="00E0325B" w:rsidRPr="00E0325B">
        <w:rPr>
          <w:rFonts w:cs="Arial"/>
          <w:noProof/>
          <w:szCs w:val="24"/>
        </w:rPr>
        <w:t xml:space="preserve"> </w:t>
      </w:r>
      <w:r w:rsidR="00E0325B" w:rsidRPr="001A7575">
        <w:rPr>
          <w:rFonts w:cs="Arial"/>
          <w:noProof/>
          <w:szCs w:val="24"/>
        </w:rPr>
        <w:t>F.</w:t>
      </w:r>
      <w:r w:rsidRPr="001A7575">
        <w:rPr>
          <w:rFonts w:cs="Arial"/>
          <w:noProof/>
          <w:szCs w:val="24"/>
        </w:rPr>
        <w:t>, Brunner</w:t>
      </w:r>
      <w:r w:rsidR="00E0325B" w:rsidRPr="00E0325B">
        <w:rPr>
          <w:rFonts w:cs="Arial"/>
          <w:noProof/>
          <w:szCs w:val="24"/>
        </w:rPr>
        <w:t xml:space="preserve"> </w:t>
      </w:r>
      <w:r w:rsidR="00E0325B" w:rsidRPr="001A7575">
        <w:rPr>
          <w:rFonts w:cs="Arial"/>
          <w:noProof/>
          <w:szCs w:val="24"/>
        </w:rPr>
        <w:t>T.</w:t>
      </w:r>
      <w:r w:rsidRPr="001A7575">
        <w:rPr>
          <w:rFonts w:cs="Arial"/>
          <w:noProof/>
          <w:szCs w:val="24"/>
        </w:rPr>
        <w:t>, Obernberger</w:t>
      </w:r>
      <w:r w:rsidR="00E0325B" w:rsidRPr="00E0325B">
        <w:rPr>
          <w:rFonts w:cs="Arial"/>
          <w:noProof/>
          <w:szCs w:val="24"/>
        </w:rPr>
        <w:t xml:space="preserve"> </w:t>
      </w:r>
      <w:r w:rsidR="00E0325B" w:rsidRPr="001A7575">
        <w:rPr>
          <w:rFonts w:cs="Arial"/>
          <w:noProof/>
          <w:szCs w:val="24"/>
        </w:rPr>
        <w:t>I.</w:t>
      </w:r>
      <w:r w:rsidR="00E0325B">
        <w:rPr>
          <w:rFonts w:cs="Arial"/>
          <w:noProof/>
          <w:szCs w:val="24"/>
        </w:rPr>
        <w:t>,</w:t>
      </w:r>
      <w:r w:rsidR="00E0325B" w:rsidRPr="001A7575">
        <w:rPr>
          <w:rFonts w:cs="Arial"/>
          <w:noProof/>
          <w:szCs w:val="24"/>
        </w:rPr>
        <w:t xml:space="preserve"> </w:t>
      </w:r>
      <w:r w:rsidRPr="001A7575">
        <w:rPr>
          <w:rFonts w:cs="Arial"/>
          <w:noProof/>
          <w:szCs w:val="24"/>
        </w:rPr>
        <w:t>2015</w:t>
      </w:r>
      <w:r w:rsidR="00E0325B">
        <w:rPr>
          <w:rFonts w:cs="Arial"/>
          <w:noProof/>
          <w:szCs w:val="24"/>
        </w:rPr>
        <w:t xml:space="preserve">, </w:t>
      </w:r>
      <w:r w:rsidRPr="001A7575">
        <w:rPr>
          <w:rFonts w:cs="Arial"/>
          <w:noProof/>
          <w:szCs w:val="24"/>
        </w:rPr>
        <w:t>Air Staging to Reduce Emissions from Energy Crop Combustion in Small Scale Applications</w:t>
      </w:r>
      <w:r w:rsidR="00E0325B">
        <w:rPr>
          <w:rFonts w:cs="Arial"/>
          <w:noProof/>
          <w:szCs w:val="24"/>
        </w:rPr>
        <w:t>,</w:t>
      </w:r>
      <w:r w:rsidRPr="001A7575">
        <w:rPr>
          <w:rFonts w:cs="Arial"/>
          <w:noProof/>
          <w:szCs w:val="24"/>
        </w:rPr>
        <w:t xml:space="preserve"> </w:t>
      </w:r>
      <w:r w:rsidRPr="00D54C46">
        <w:rPr>
          <w:rFonts w:cs="Arial"/>
          <w:noProof/>
          <w:szCs w:val="24"/>
          <w:lang w:val="en-US"/>
        </w:rPr>
        <w:t>Fuel</w:t>
      </w:r>
      <w:r w:rsidRPr="00E0325B">
        <w:rPr>
          <w:rFonts w:cs="Arial"/>
          <w:noProof/>
          <w:szCs w:val="24"/>
          <w:lang w:val="en-US"/>
        </w:rPr>
        <w:t xml:space="preserve"> </w:t>
      </w:r>
      <w:r w:rsidRPr="00C621EF">
        <w:rPr>
          <w:rFonts w:cs="Arial"/>
          <w:noProof/>
          <w:szCs w:val="24"/>
          <w:lang w:val="en-US"/>
        </w:rPr>
        <w:t>155</w:t>
      </w:r>
      <w:r w:rsidR="00E0325B">
        <w:rPr>
          <w:rFonts w:cs="Arial"/>
          <w:noProof/>
          <w:szCs w:val="24"/>
          <w:lang w:val="en-US"/>
        </w:rPr>
        <w:t>,</w:t>
      </w:r>
      <w:r w:rsidRPr="00C621EF">
        <w:rPr>
          <w:rFonts w:cs="Arial"/>
          <w:noProof/>
          <w:szCs w:val="24"/>
          <w:lang w:val="en-US"/>
        </w:rPr>
        <w:t xml:space="preserve"> 37–43.</w:t>
      </w:r>
    </w:p>
    <w:p w14:paraId="34567E81" w14:textId="22CB7B26" w:rsidR="001A7575" w:rsidRPr="001A7575" w:rsidRDefault="001A7575" w:rsidP="001A7575">
      <w:pPr>
        <w:widowControl w:val="0"/>
        <w:autoSpaceDE w:val="0"/>
        <w:autoSpaceDN w:val="0"/>
        <w:adjustRightInd w:val="0"/>
        <w:spacing w:line="240" w:lineRule="auto"/>
        <w:ind w:left="480" w:hanging="480"/>
        <w:rPr>
          <w:rFonts w:cs="Arial"/>
          <w:noProof/>
          <w:szCs w:val="24"/>
        </w:rPr>
      </w:pPr>
      <w:r w:rsidRPr="001A7575">
        <w:rPr>
          <w:rFonts w:cs="Arial"/>
          <w:noProof/>
          <w:szCs w:val="24"/>
        </w:rPr>
        <w:t>Gómez M</w:t>
      </w:r>
      <w:r w:rsidR="004E2F81">
        <w:rPr>
          <w:rFonts w:cs="Arial"/>
          <w:noProof/>
          <w:szCs w:val="24"/>
        </w:rPr>
        <w:t>.</w:t>
      </w:r>
      <w:r w:rsidRPr="001A7575">
        <w:rPr>
          <w:rFonts w:cs="Arial"/>
          <w:noProof/>
          <w:szCs w:val="24"/>
        </w:rPr>
        <w:t>A</w:t>
      </w:r>
      <w:r w:rsidR="004E2F81">
        <w:rPr>
          <w:rFonts w:cs="Arial"/>
          <w:noProof/>
          <w:szCs w:val="24"/>
        </w:rPr>
        <w:t>.</w:t>
      </w:r>
      <w:r w:rsidRPr="001A7575">
        <w:rPr>
          <w:rFonts w:cs="Arial"/>
          <w:noProof/>
          <w:szCs w:val="24"/>
        </w:rPr>
        <w:t>, Martín</w:t>
      </w:r>
      <w:r w:rsidR="004E2F81" w:rsidRPr="004E2F81">
        <w:rPr>
          <w:rFonts w:cs="Arial"/>
          <w:noProof/>
          <w:szCs w:val="24"/>
        </w:rPr>
        <w:t xml:space="preserve"> </w:t>
      </w:r>
      <w:r w:rsidR="004E2F81" w:rsidRPr="001A7575">
        <w:rPr>
          <w:rFonts w:cs="Arial"/>
          <w:noProof/>
          <w:szCs w:val="24"/>
        </w:rPr>
        <w:t>R</w:t>
      </w:r>
      <w:r w:rsidR="004E2F81">
        <w:rPr>
          <w:rFonts w:cs="Arial"/>
          <w:noProof/>
          <w:szCs w:val="24"/>
        </w:rPr>
        <w:t>.</w:t>
      </w:r>
      <w:r w:rsidRPr="001A7575">
        <w:rPr>
          <w:rFonts w:cs="Arial"/>
          <w:noProof/>
          <w:szCs w:val="24"/>
        </w:rPr>
        <w:t>, Chapela</w:t>
      </w:r>
      <w:r w:rsidR="004E2F81" w:rsidRPr="004E2F81">
        <w:rPr>
          <w:rFonts w:cs="Arial"/>
          <w:noProof/>
          <w:szCs w:val="24"/>
        </w:rPr>
        <w:t xml:space="preserve"> </w:t>
      </w:r>
      <w:r w:rsidR="004E2F81" w:rsidRPr="001A7575">
        <w:rPr>
          <w:rFonts w:cs="Arial"/>
          <w:noProof/>
          <w:szCs w:val="24"/>
        </w:rPr>
        <w:t>S</w:t>
      </w:r>
      <w:r w:rsidR="004E2F81">
        <w:rPr>
          <w:rFonts w:cs="Arial"/>
          <w:noProof/>
          <w:szCs w:val="24"/>
        </w:rPr>
        <w:t>.</w:t>
      </w:r>
      <w:r w:rsidRPr="001A7575">
        <w:rPr>
          <w:rFonts w:cs="Arial"/>
          <w:noProof/>
          <w:szCs w:val="24"/>
        </w:rPr>
        <w:t>, Porteiro</w:t>
      </w:r>
      <w:r w:rsidR="004E2F81" w:rsidRPr="004E2F81">
        <w:rPr>
          <w:rFonts w:cs="Arial"/>
          <w:noProof/>
          <w:szCs w:val="24"/>
        </w:rPr>
        <w:t xml:space="preserve"> </w:t>
      </w:r>
      <w:r w:rsidR="004E2F81" w:rsidRPr="001A7575">
        <w:rPr>
          <w:rFonts w:cs="Arial"/>
          <w:noProof/>
          <w:szCs w:val="24"/>
        </w:rPr>
        <w:t>J</w:t>
      </w:r>
      <w:r w:rsidRPr="001A7575">
        <w:rPr>
          <w:rFonts w:cs="Arial"/>
          <w:noProof/>
          <w:szCs w:val="24"/>
        </w:rPr>
        <w:t>.</w:t>
      </w:r>
      <w:r w:rsidR="004E2F81">
        <w:rPr>
          <w:rFonts w:cs="Arial"/>
          <w:noProof/>
          <w:szCs w:val="24"/>
        </w:rPr>
        <w:t>,</w:t>
      </w:r>
      <w:r w:rsidRPr="001A7575">
        <w:rPr>
          <w:rFonts w:cs="Arial"/>
          <w:noProof/>
          <w:szCs w:val="24"/>
        </w:rPr>
        <w:t xml:space="preserve"> 2019</w:t>
      </w:r>
      <w:r w:rsidR="004E2F81">
        <w:rPr>
          <w:rFonts w:cs="Arial"/>
          <w:noProof/>
          <w:szCs w:val="24"/>
        </w:rPr>
        <w:t>,</w:t>
      </w:r>
      <w:r w:rsidR="004E2F81" w:rsidRPr="001A7575">
        <w:rPr>
          <w:rFonts w:cs="Arial"/>
          <w:noProof/>
          <w:szCs w:val="24"/>
        </w:rPr>
        <w:t xml:space="preserve"> </w:t>
      </w:r>
      <w:r w:rsidRPr="001A7575">
        <w:rPr>
          <w:rFonts w:cs="Arial"/>
          <w:noProof/>
          <w:szCs w:val="24"/>
        </w:rPr>
        <w:t>Steady CFD Combustion Modeling for Biomass Boilers: An Application to the Study of the Exhaust Gas Recirculation Performance</w:t>
      </w:r>
      <w:r w:rsidR="00131407">
        <w:rPr>
          <w:rFonts w:cs="Arial"/>
          <w:noProof/>
          <w:szCs w:val="24"/>
        </w:rPr>
        <w:t>,</w:t>
      </w:r>
      <w:r w:rsidRPr="00131407">
        <w:rPr>
          <w:rFonts w:cs="Arial"/>
          <w:noProof/>
          <w:szCs w:val="24"/>
        </w:rPr>
        <w:t xml:space="preserve"> </w:t>
      </w:r>
      <w:r w:rsidRPr="00D54C46">
        <w:rPr>
          <w:rFonts w:cs="Arial"/>
          <w:noProof/>
          <w:szCs w:val="24"/>
        </w:rPr>
        <w:t>Energy Conversion and Management</w:t>
      </w:r>
      <w:r w:rsidR="00131407">
        <w:rPr>
          <w:rFonts w:cs="Arial"/>
          <w:noProof/>
          <w:szCs w:val="24"/>
        </w:rPr>
        <w:t>,</w:t>
      </w:r>
      <w:r w:rsidRPr="00131407">
        <w:rPr>
          <w:rFonts w:cs="Arial"/>
          <w:noProof/>
          <w:szCs w:val="24"/>
        </w:rPr>
        <w:t xml:space="preserve"> </w:t>
      </w:r>
      <w:r w:rsidRPr="001A7575">
        <w:rPr>
          <w:rFonts w:cs="Arial"/>
          <w:noProof/>
          <w:szCs w:val="24"/>
        </w:rPr>
        <w:t>179</w:t>
      </w:r>
      <w:r w:rsidR="00131407">
        <w:rPr>
          <w:rFonts w:cs="Arial"/>
          <w:noProof/>
          <w:szCs w:val="24"/>
        </w:rPr>
        <w:t>,</w:t>
      </w:r>
      <w:r w:rsidR="00131407" w:rsidRPr="001A7575">
        <w:rPr>
          <w:rFonts w:cs="Arial"/>
          <w:noProof/>
          <w:szCs w:val="24"/>
        </w:rPr>
        <w:t xml:space="preserve"> </w:t>
      </w:r>
      <w:r w:rsidRPr="001A7575">
        <w:rPr>
          <w:rFonts w:cs="Arial"/>
          <w:noProof/>
          <w:szCs w:val="24"/>
        </w:rPr>
        <w:t>91–103.</w:t>
      </w:r>
    </w:p>
    <w:p w14:paraId="753FEBC8" w14:textId="78102389" w:rsidR="001A7575" w:rsidRPr="00F57A6E" w:rsidRDefault="001A7575" w:rsidP="001A7575">
      <w:pPr>
        <w:widowControl w:val="0"/>
        <w:autoSpaceDE w:val="0"/>
        <w:autoSpaceDN w:val="0"/>
        <w:adjustRightInd w:val="0"/>
        <w:spacing w:line="240" w:lineRule="auto"/>
        <w:ind w:left="480" w:hanging="480"/>
        <w:rPr>
          <w:rFonts w:cs="Arial"/>
          <w:noProof/>
          <w:szCs w:val="24"/>
          <w:lang w:val="en-US"/>
        </w:rPr>
      </w:pPr>
      <w:r w:rsidRPr="001A7575">
        <w:rPr>
          <w:rFonts w:cs="Arial"/>
          <w:noProof/>
          <w:szCs w:val="24"/>
        </w:rPr>
        <w:t>Lamberg H</w:t>
      </w:r>
      <w:r w:rsidR="00E963C8">
        <w:rPr>
          <w:rFonts w:cs="Arial"/>
          <w:noProof/>
          <w:szCs w:val="24"/>
        </w:rPr>
        <w:t>.</w:t>
      </w:r>
      <w:r w:rsidRPr="001A7575">
        <w:rPr>
          <w:rFonts w:cs="Arial"/>
          <w:noProof/>
          <w:szCs w:val="24"/>
        </w:rPr>
        <w:t>, Sippula</w:t>
      </w:r>
      <w:r w:rsidR="00E963C8" w:rsidRPr="00E963C8">
        <w:rPr>
          <w:rFonts w:cs="Arial"/>
          <w:noProof/>
          <w:szCs w:val="24"/>
        </w:rPr>
        <w:t xml:space="preserve"> </w:t>
      </w:r>
      <w:r w:rsidR="00E963C8" w:rsidRPr="001A7575">
        <w:rPr>
          <w:rFonts w:cs="Arial"/>
          <w:noProof/>
          <w:szCs w:val="24"/>
        </w:rPr>
        <w:t>O</w:t>
      </w:r>
      <w:r w:rsidR="00E963C8">
        <w:rPr>
          <w:rFonts w:cs="Arial"/>
          <w:noProof/>
          <w:szCs w:val="24"/>
        </w:rPr>
        <w:t>.</w:t>
      </w:r>
      <w:r w:rsidRPr="001A7575">
        <w:rPr>
          <w:rFonts w:cs="Arial"/>
          <w:noProof/>
          <w:szCs w:val="24"/>
        </w:rPr>
        <w:t>, Tissari</w:t>
      </w:r>
      <w:r w:rsidR="00E963C8" w:rsidRPr="00E963C8">
        <w:rPr>
          <w:rFonts w:cs="Arial"/>
          <w:noProof/>
          <w:szCs w:val="24"/>
        </w:rPr>
        <w:t xml:space="preserve"> </w:t>
      </w:r>
      <w:r w:rsidR="00E963C8" w:rsidRPr="001A7575">
        <w:rPr>
          <w:rFonts w:cs="Arial"/>
          <w:noProof/>
          <w:szCs w:val="24"/>
        </w:rPr>
        <w:t>J</w:t>
      </w:r>
      <w:r w:rsidR="00E963C8">
        <w:rPr>
          <w:rFonts w:cs="Arial"/>
          <w:noProof/>
          <w:szCs w:val="24"/>
        </w:rPr>
        <w:t>.</w:t>
      </w:r>
      <w:r w:rsidRPr="001A7575">
        <w:rPr>
          <w:rFonts w:cs="Arial"/>
          <w:noProof/>
          <w:szCs w:val="24"/>
        </w:rPr>
        <w:t>,</w:t>
      </w:r>
      <w:r w:rsidR="00E963C8">
        <w:rPr>
          <w:rFonts w:cs="Arial"/>
          <w:noProof/>
          <w:szCs w:val="24"/>
        </w:rPr>
        <w:t xml:space="preserve"> </w:t>
      </w:r>
      <w:r w:rsidRPr="001A7575">
        <w:rPr>
          <w:rFonts w:cs="Arial"/>
          <w:noProof/>
          <w:szCs w:val="24"/>
        </w:rPr>
        <w:t>Jokiniemi</w:t>
      </w:r>
      <w:r w:rsidR="00E963C8" w:rsidRPr="00E963C8">
        <w:rPr>
          <w:rFonts w:cs="Arial"/>
          <w:noProof/>
          <w:szCs w:val="24"/>
        </w:rPr>
        <w:t xml:space="preserve"> </w:t>
      </w:r>
      <w:r w:rsidR="00E963C8" w:rsidRPr="001A7575">
        <w:rPr>
          <w:rFonts w:cs="Arial"/>
          <w:noProof/>
          <w:szCs w:val="24"/>
        </w:rPr>
        <w:t>J</w:t>
      </w:r>
      <w:r w:rsidR="00E963C8">
        <w:rPr>
          <w:rFonts w:cs="Arial"/>
          <w:noProof/>
          <w:szCs w:val="24"/>
        </w:rPr>
        <w:t>.,</w:t>
      </w:r>
      <w:r w:rsidR="00E963C8" w:rsidRPr="001A7575">
        <w:rPr>
          <w:rFonts w:cs="Arial"/>
          <w:noProof/>
          <w:szCs w:val="24"/>
        </w:rPr>
        <w:t xml:space="preserve"> </w:t>
      </w:r>
      <w:r w:rsidRPr="001A7575">
        <w:rPr>
          <w:rFonts w:cs="Arial"/>
          <w:noProof/>
          <w:szCs w:val="24"/>
        </w:rPr>
        <w:t>2011</w:t>
      </w:r>
      <w:r w:rsidR="00E963C8">
        <w:rPr>
          <w:rFonts w:cs="Arial"/>
          <w:noProof/>
          <w:szCs w:val="24"/>
        </w:rPr>
        <w:t xml:space="preserve">, </w:t>
      </w:r>
      <w:r w:rsidRPr="001A7575">
        <w:rPr>
          <w:rFonts w:cs="Arial"/>
          <w:noProof/>
          <w:szCs w:val="24"/>
        </w:rPr>
        <w:t>Effects of Air Staging and Load on Fine-Particle and Gaseous Emissions from a Small-Scale Pellet Boiler</w:t>
      </w:r>
      <w:r w:rsidR="00E963C8">
        <w:rPr>
          <w:rFonts w:cs="Arial"/>
          <w:noProof/>
          <w:szCs w:val="24"/>
        </w:rPr>
        <w:t>,</w:t>
      </w:r>
      <w:r w:rsidR="00E963C8" w:rsidRPr="001A7575">
        <w:rPr>
          <w:rFonts w:cs="Arial"/>
          <w:noProof/>
          <w:szCs w:val="24"/>
        </w:rPr>
        <w:t xml:space="preserve"> </w:t>
      </w:r>
      <w:r w:rsidRPr="00F57A6E">
        <w:rPr>
          <w:rFonts w:cs="Arial"/>
          <w:noProof/>
          <w:szCs w:val="24"/>
          <w:lang w:val="en-US"/>
        </w:rPr>
        <w:t>Energy &amp; Fuels</w:t>
      </w:r>
      <w:r w:rsidR="00E963C8" w:rsidRPr="00F57A6E">
        <w:rPr>
          <w:rFonts w:cs="Arial"/>
          <w:noProof/>
          <w:szCs w:val="24"/>
          <w:lang w:val="en-US"/>
        </w:rPr>
        <w:t>,</w:t>
      </w:r>
      <w:r w:rsidRPr="00F57A6E">
        <w:rPr>
          <w:rFonts w:cs="Arial"/>
          <w:noProof/>
          <w:szCs w:val="24"/>
          <w:lang w:val="en-US"/>
        </w:rPr>
        <w:t xml:space="preserve"> 25</w:t>
      </w:r>
      <w:r w:rsidR="00E963C8" w:rsidRPr="00F57A6E">
        <w:rPr>
          <w:rFonts w:cs="Arial"/>
          <w:noProof/>
          <w:szCs w:val="24"/>
          <w:lang w:val="en-US"/>
        </w:rPr>
        <w:t>,</w:t>
      </w:r>
      <w:r w:rsidRPr="00F57A6E">
        <w:rPr>
          <w:rFonts w:cs="Arial"/>
          <w:noProof/>
          <w:szCs w:val="24"/>
          <w:lang w:val="en-US"/>
        </w:rPr>
        <w:t xml:space="preserve"> 4952–60.</w:t>
      </w:r>
    </w:p>
    <w:p w14:paraId="30455E74" w14:textId="34B8ABC4" w:rsidR="001A7575" w:rsidRPr="001A7575" w:rsidRDefault="001A7575" w:rsidP="001A7575">
      <w:pPr>
        <w:widowControl w:val="0"/>
        <w:autoSpaceDE w:val="0"/>
        <w:autoSpaceDN w:val="0"/>
        <w:adjustRightInd w:val="0"/>
        <w:spacing w:line="240" w:lineRule="auto"/>
        <w:ind w:left="480" w:hanging="480"/>
        <w:rPr>
          <w:rFonts w:cs="Arial"/>
          <w:noProof/>
          <w:szCs w:val="24"/>
        </w:rPr>
      </w:pPr>
      <w:r w:rsidRPr="00F57A6E">
        <w:rPr>
          <w:rFonts w:cs="Arial"/>
          <w:noProof/>
          <w:szCs w:val="24"/>
          <w:lang w:val="en-US"/>
        </w:rPr>
        <w:t>Patronelli S</w:t>
      </w:r>
      <w:r w:rsidR="004336B7" w:rsidRPr="00F57A6E">
        <w:rPr>
          <w:rFonts w:cs="Arial"/>
          <w:noProof/>
          <w:szCs w:val="24"/>
          <w:lang w:val="en-US"/>
        </w:rPr>
        <w:t>.</w:t>
      </w:r>
      <w:r w:rsidRPr="00F57A6E">
        <w:rPr>
          <w:rFonts w:cs="Arial"/>
          <w:noProof/>
          <w:szCs w:val="24"/>
          <w:lang w:val="en-US"/>
        </w:rPr>
        <w:t>,</w:t>
      </w:r>
      <w:r w:rsidR="004336B7" w:rsidRPr="00F57A6E">
        <w:rPr>
          <w:rFonts w:cs="Arial"/>
          <w:noProof/>
          <w:szCs w:val="24"/>
          <w:lang w:val="en-US"/>
        </w:rPr>
        <w:t xml:space="preserve"> </w:t>
      </w:r>
      <w:r w:rsidRPr="00F57A6E">
        <w:rPr>
          <w:rFonts w:cs="Arial"/>
          <w:noProof/>
          <w:szCs w:val="24"/>
          <w:lang w:val="en-US"/>
        </w:rPr>
        <w:t>Antonelli</w:t>
      </w:r>
      <w:r w:rsidR="004336B7" w:rsidRPr="00F57A6E">
        <w:rPr>
          <w:rFonts w:cs="Arial"/>
          <w:noProof/>
          <w:szCs w:val="24"/>
          <w:lang w:val="en-US"/>
        </w:rPr>
        <w:t xml:space="preserve"> M., </w:t>
      </w:r>
      <w:r w:rsidRPr="00F57A6E">
        <w:rPr>
          <w:rFonts w:cs="Arial"/>
          <w:noProof/>
          <w:szCs w:val="24"/>
          <w:lang w:val="en-US"/>
        </w:rPr>
        <w:t>Tognotti</w:t>
      </w:r>
      <w:r w:rsidR="004336B7" w:rsidRPr="00F57A6E">
        <w:rPr>
          <w:rFonts w:cs="Arial"/>
          <w:noProof/>
          <w:szCs w:val="24"/>
          <w:lang w:val="en-US"/>
        </w:rPr>
        <w:t xml:space="preserve"> L.</w:t>
      </w:r>
      <w:r w:rsidRPr="00F57A6E">
        <w:rPr>
          <w:rFonts w:cs="Arial"/>
          <w:noProof/>
          <w:szCs w:val="24"/>
          <w:lang w:val="en-US"/>
        </w:rPr>
        <w:t>,</w:t>
      </w:r>
      <w:r w:rsidR="004336B7" w:rsidRPr="00F57A6E">
        <w:rPr>
          <w:rFonts w:cs="Arial"/>
          <w:noProof/>
          <w:szCs w:val="24"/>
          <w:lang w:val="en-US"/>
        </w:rPr>
        <w:t xml:space="preserve"> </w:t>
      </w:r>
      <w:r w:rsidRPr="00F57A6E">
        <w:rPr>
          <w:rFonts w:cs="Arial"/>
          <w:noProof/>
          <w:szCs w:val="24"/>
          <w:lang w:val="en-US"/>
        </w:rPr>
        <w:t>Galletti</w:t>
      </w:r>
      <w:r w:rsidR="004336B7" w:rsidRPr="00F57A6E">
        <w:rPr>
          <w:rFonts w:cs="Arial"/>
          <w:noProof/>
          <w:szCs w:val="24"/>
          <w:lang w:val="en-US"/>
        </w:rPr>
        <w:t xml:space="preserve"> C</w:t>
      </w:r>
      <w:r w:rsidRPr="00F57A6E">
        <w:rPr>
          <w:rFonts w:cs="Arial"/>
          <w:noProof/>
          <w:szCs w:val="24"/>
          <w:lang w:val="en-US"/>
        </w:rPr>
        <w:t>.</w:t>
      </w:r>
      <w:r w:rsidR="004336B7" w:rsidRPr="00F57A6E">
        <w:rPr>
          <w:rFonts w:cs="Arial"/>
          <w:noProof/>
          <w:szCs w:val="24"/>
          <w:lang w:val="en-US"/>
        </w:rPr>
        <w:t>,</w:t>
      </w:r>
      <w:r w:rsidRPr="00F57A6E">
        <w:rPr>
          <w:rFonts w:cs="Arial"/>
          <w:noProof/>
          <w:szCs w:val="24"/>
          <w:lang w:val="en-US"/>
        </w:rPr>
        <w:t xml:space="preserve"> </w:t>
      </w:r>
      <w:r w:rsidRPr="001A7575">
        <w:rPr>
          <w:rFonts w:cs="Arial"/>
          <w:noProof/>
          <w:szCs w:val="24"/>
        </w:rPr>
        <w:t>2018</w:t>
      </w:r>
      <w:r w:rsidR="004336B7">
        <w:rPr>
          <w:rFonts w:cs="Arial"/>
          <w:noProof/>
          <w:szCs w:val="24"/>
        </w:rPr>
        <w:t>,</w:t>
      </w:r>
      <w:r w:rsidR="004336B7" w:rsidRPr="001A7575">
        <w:rPr>
          <w:rFonts w:cs="Arial"/>
          <w:noProof/>
          <w:szCs w:val="24"/>
        </w:rPr>
        <w:t xml:space="preserve"> </w:t>
      </w:r>
      <w:r w:rsidRPr="001A7575">
        <w:rPr>
          <w:rFonts w:cs="Arial"/>
          <w:noProof/>
          <w:szCs w:val="24"/>
        </w:rPr>
        <w:t>Combustion of Wood-Chips in a Small-Scale Fixed-Bed Boiler: Validation of the Numerical Model through in-Flame Measurements</w:t>
      </w:r>
      <w:r w:rsidR="004336B7">
        <w:rPr>
          <w:rFonts w:cs="Arial"/>
          <w:noProof/>
          <w:szCs w:val="24"/>
        </w:rPr>
        <w:t>,</w:t>
      </w:r>
      <w:r w:rsidR="004336B7" w:rsidRPr="001A7575">
        <w:rPr>
          <w:rFonts w:cs="Arial"/>
          <w:noProof/>
          <w:szCs w:val="24"/>
        </w:rPr>
        <w:t xml:space="preserve"> </w:t>
      </w:r>
      <w:r w:rsidRPr="00D54C46">
        <w:rPr>
          <w:rFonts w:cs="Arial"/>
          <w:noProof/>
          <w:szCs w:val="24"/>
        </w:rPr>
        <w:t>Fuel</w:t>
      </w:r>
      <w:r w:rsidR="004336B7">
        <w:rPr>
          <w:rFonts w:cs="Arial"/>
          <w:noProof/>
          <w:szCs w:val="24"/>
        </w:rPr>
        <w:t>,</w:t>
      </w:r>
      <w:r w:rsidRPr="004336B7">
        <w:rPr>
          <w:rFonts w:cs="Arial"/>
          <w:noProof/>
          <w:szCs w:val="24"/>
        </w:rPr>
        <w:t xml:space="preserve"> </w:t>
      </w:r>
      <w:r w:rsidRPr="001A7575">
        <w:rPr>
          <w:rFonts w:cs="Arial"/>
          <w:noProof/>
          <w:szCs w:val="24"/>
        </w:rPr>
        <w:t>221</w:t>
      </w:r>
      <w:r w:rsidR="004336B7">
        <w:rPr>
          <w:rFonts w:cs="Arial"/>
          <w:noProof/>
          <w:szCs w:val="24"/>
        </w:rPr>
        <w:t>,</w:t>
      </w:r>
      <w:r w:rsidR="004336B7" w:rsidRPr="001A7575">
        <w:rPr>
          <w:rFonts w:cs="Arial"/>
          <w:noProof/>
          <w:szCs w:val="24"/>
        </w:rPr>
        <w:t xml:space="preserve"> </w:t>
      </w:r>
      <w:r w:rsidRPr="001A7575">
        <w:rPr>
          <w:rFonts w:cs="Arial"/>
          <w:noProof/>
          <w:szCs w:val="24"/>
        </w:rPr>
        <w:t>128–37.</w:t>
      </w:r>
    </w:p>
    <w:p w14:paraId="70455949" w14:textId="51140EE0" w:rsidR="001A7575" w:rsidRPr="001A7575" w:rsidRDefault="001A7575" w:rsidP="001A7575">
      <w:pPr>
        <w:widowControl w:val="0"/>
        <w:autoSpaceDE w:val="0"/>
        <w:autoSpaceDN w:val="0"/>
        <w:adjustRightInd w:val="0"/>
        <w:spacing w:line="240" w:lineRule="auto"/>
        <w:ind w:left="480" w:hanging="480"/>
        <w:rPr>
          <w:rFonts w:cs="Arial"/>
          <w:noProof/>
          <w:szCs w:val="24"/>
        </w:rPr>
      </w:pPr>
      <w:r w:rsidRPr="001A7575">
        <w:rPr>
          <w:rFonts w:cs="Arial"/>
          <w:noProof/>
          <w:szCs w:val="24"/>
        </w:rPr>
        <w:t>Rajh B</w:t>
      </w:r>
      <w:r w:rsidR="00F06693">
        <w:rPr>
          <w:rFonts w:cs="Arial"/>
          <w:noProof/>
          <w:szCs w:val="24"/>
        </w:rPr>
        <w:t>.</w:t>
      </w:r>
      <w:r w:rsidRPr="001A7575">
        <w:rPr>
          <w:rFonts w:cs="Arial"/>
          <w:noProof/>
          <w:szCs w:val="24"/>
        </w:rPr>
        <w:t>, Yin</w:t>
      </w:r>
      <w:r w:rsidR="00F06693">
        <w:rPr>
          <w:rFonts w:cs="Arial"/>
          <w:noProof/>
          <w:szCs w:val="24"/>
        </w:rPr>
        <w:t xml:space="preserve"> C.</w:t>
      </w:r>
      <w:r w:rsidRPr="001A7575">
        <w:rPr>
          <w:rFonts w:cs="Arial"/>
          <w:noProof/>
          <w:szCs w:val="24"/>
        </w:rPr>
        <w:t>, Samec</w:t>
      </w:r>
      <w:r w:rsidR="00F06693">
        <w:rPr>
          <w:rFonts w:cs="Arial"/>
          <w:noProof/>
          <w:szCs w:val="24"/>
        </w:rPr>
        <w:t xml:space="preserve"> N.</w:t>
      </w:r>
      <w:r w:rsidRPr="001A7575">
        <w:rPr>
          <w:rFonts w:cs="Arial"/>
          <w:noProof/>
          <w:szCs w:val="24"/>
        </w:rPr>
        <w:t>,</w:t>
      </w:r>
      <w:r w:rsidR="00F06693">
        <w:rPr>
          <w:rFonts w:cs="Arial"/>
          <w:noProof/>
          <w:szCs w:val="24"/>
        </w:rPr>
        <w:t xml:space="preserve"> </w:t>
      </w:r>
      <w:r w:rsidRPr="001A7575">
        <w:rPr>
          <w:rFonts w:cs="Arial"/>
          <w:noProof/>
          <w:szCs w:val="24"/>
        </w:rPr>
        <w:t>Hriberšek</w:t>
      </w:r>
      <w:r w:rsidR="00F06693">
        <w:rPr>
          <w:rFonts w:cs="Arial"/>
          <w:noProof/>
          <w:szCs w:val="24"/>
        </w:rPr>
        <w:t xml:space="preserve"> M., </w:t>
      </w:r>
      <w:r w:rsidRPr="001A7575">
        <w:rPr>
          <w:rFonts w:cs="Arial"/>
          <w:noProof/>
          <w:szCs w:val="24"/>
        </w:rPr>
        <w:t>Kokalj</w:t>
      </w:r>
      <w:r w:rsidR="00F06693">
        <w:rPr>
          <w:rFonts w:cs="Arial"/>
          <w:noProof/>
          <w:szCs w:val="24"/>
        </w:rPr>
        <w:t xml:space="preserve"> F.</w:t>
      </w:r>
      <w:r w:rsidRPr="001A7575">
        <w:rPr>
          <w:rFonts w:cs="Arial"/>
          <w:noProof/>
          <w:szCs w:val="24"/>
        </w:rPr>
        <w:t>,</w:t>
      </w:r>
      <w:r w:rsidR="00F06693">
        <w:rPr>
          <w:rFonts w:cs="Arial"/>
          <w:noProof/>
          <w:szCs w:val="24"/>
        </w:rPr>
        <w:t xml:space="preserve"> </w:t>
      </w:r>
      <w:r w:rsidRPr="001A7575">
        <w:rPr>
          <w:rFonts w:cs="Arial"/>
          <w:noProof/>
          <w:szCs w:val="24"/>
        </w:rPr>
        <w:t>Zadravec</w:t>
      </w:r>
      <w:r w:rsidR="00F06693">
        <w:rPr>
          <w:rFonts w:cs="Arial"/>
          <w:noProof/>
          <w:szCs w:val="24"/>
        </w:rPr>
        <w:t>, M</w:t>
      </w:r>
      <w:r w:rsidRPr="001A7575">
        <w:rPr>
          <w:rFonts w:cs="Arial"/>
          <w:noProof/>
          <w:szCs w:val="24"/>
        </w:rPr>
        <w:t>.</w:t>
      </w:r>
      <w:r w:rsidR="00F06693">
        <w:rPr>
          <w:rFonts w:cs="Arial"/>
          <w:noProof/>
          <w:szCs w:val="24"/>
        </w:rPr>
        <w:t>,</w:t>
      </w:r>
      <w:r w:rsidRPr="001A7575">
        <w:rPr>
          <w:rFonts w:cs="Arial"/>
          <w:noProof/>
          <w:szCs w:val="24"/>
        </w:rPr>
        <w:t xml:space="preserve"> 2018</w:t>
      </w:r>
      <w:r w:rsidR="00F06693">
        <w:rPr>
          <w:rFonts w:cs="Arial"/>
          <w:noProof/>
          <w:szCs w:val="24"/>
        </w:rPr>
        <w:t>,</w:t>
      </w:r>
      <w:r w:rsidRPr="001A7575">
        <w:rPr>
          <w:rFonts w:cs="Arial"/>
          <w:noProof/>
          <w:szCs w:val="24"/>
        </w:rPr>
        <w:t xml:space="preserve"> Advanced CFD Modelling of Air and Recycled Flue Gas Staging in a Waste Wood-Fired Grate Boiler for Higher Combustion Efficiency and Greater Environmental Benefits</w:t>
      </w:r>
      <w:r w:rsidR="00966096">
        <w:rPr>
          <w:rFonts w:cs="Arial"/>
          <w:noProof/>
          <w:szCs w:val="24"/>
        </w:rPr>
        <w:t>,</w:t>
      </w:r>
      <w:r w:rsidRPr="001A7575">
        <w:rPr>
          <w:rFonts w:cs="Arial"/>
          <w:noProof/>
          <w:szCs w:val="24"/>
        </w:rPr>
        <w:t xml:space="preserve"> </w:t>
      </w:r>
      <w:r w:rsidRPr="00D54C46">
        <w:rPr>
          <w:rFonts w:cs="Arial"/>
          <w:noProof/>
          <w:szCs w:val="24"/>
        </w:rPr>
        <w:t>Journal of Environmental Management</w:t>
      </w:r>
      <w:r w:rsidR="00966096">
        <w:rPr>
          <w:rFonts w:cs="Arial"/>
          <w:noProof/>
          <w:szCs w:val="24"/>
        </w:rPr>
        <w:t>,</w:t>
      </w:r>
      <w:r w:rsidRPr="00966096">
        <w:rPr>
          <w:rFonts w:cs="Arial"/>
          <w:noProof/>
          <w:szCs w:val="24"/>
        </w:rPr>
        <w:t xml:space="preserve"> </w:t>
      </w:r>
      <w:r w:rsidRPr="001A7575">
        <w:rPr>
          <w:rFonts w:cs="Arial"/>
          <w:noProof/>
          <w:szCs w:val="24"/>
        </w:rPr>
        <w:t>218</w:t>
      </w:r>
      <w:r w:rsidR="00966096">
        <w:rPr>
          <w:rFonts w:cs="Arial"/>
          <w:noProof/>
          <w:szCs w:val="24"/>
        </w:rPr>
        <w:t>,</w:t>
      </w:r>
      <w:r w:rsidR="00966096" w:rsidRPr="001A7575">
        <w:rPr>
          <w:rFonts w:cs="Arial"/>
          <w:noProof/>
          <w:szCs w:val="24"/>
        </w:rPr>
        <w:t xml:space="preserve"> </w:t>
      </w:r>
      <w:r w:rsidRPr="001A7575">
        <w:rPr>
          <w:rFonts w:cs="Arial"/>
          <w:noProof/>
          <w:szCs w:val="24"/>
        </w:rPr>
        <w:t>200–208.</w:t>
      </w:r>
    </w:p>
    <w:p w14:paraId="2F7F3ADC" w14:textId="5D0470F1" w:rsidR="001A7575" w:rsidRPr="001A7575" w:rsidRDefault="001A7575" w:rsidP="001A7575">
      <w:pPr>
        <w:widowControl w:val="0"/>
        <w:autoSpaceDE w:val="0"/>
        <w:autoSpaceDN w:val="0"/>
        <w:adjustRightInd w:val="0"/>
        <w:spacing w:line="240" w:lineRule="auto"/>
        <w:ind w:left="480" w:hanging="480"/>
        <w:rPr>
          <w:rFonts w:cs="Arial"/>
          <w:noProof/>
        </w:rPr>
      </w:pPr>
      <w:r w:rsidRPr="001A7575">
        <w:rPr>
          <w:rFonts w:cs="Arial"/>
          <w:noProof/>
          <w:szCs w:val="24"/>
        </w:rPr>
        <w:t>Schulte S</w:t>
      </w:r>
      <w:r w:rsidR="006B4212">
        <w:rPr>
          <w:rFonts w:cs="Arial"/>
          <w:noProof/>
          <w:szCs w:val="24"/>
        </w:rPr>
        <w:t>.</w:t>
      </w:r>
      <w:r w:rsidRPr="001A7575">
        <w:rPr>
          <w:rFonts w:cs="Arial"/>
          <w:noProof/>
          <w:szCs w:val="24"/>
        </w:rPr>
        <w:t>, Heinzle</w:t>
      </w:r>
      <w:r w:rsidR="006B4212">
        <w:rPr>
          <w:rFonts w:cs="Arial"/>
          <w:noProof/>
          <w:szCs w:val="24"/>
        </w:rPr>
        <w:t xml:space="preserve"> J.</w:t>
      </w:r>
      <w:r w:rsidRPr="001A7575">
        <w:rPr>
          <w:rFonts w:cs="Arial"/>
          <w:noProof/>
          <w:szCs w:val="24"/>
        </w:rPr>
        <w:t>, Groß</w:t>
      </w:r>
      <w:r w:rsidR="006B4212">
        <w:rPr>
          <w:rFonts w:cs="Arial"/>
          <w:noProof/>
          <w:szCs w:val="24"/>
        </w:rPr>
        <w:t xml:space="preserve"> B.,</w:t>
      </w:r>
      <w:r w:rsidRPr="001A7575">
        <w:rPr>
          <w:rFonts w:cs="Arial"/>
          <w:noProof/>
          <w:szCs w:val="24"/>
        </w:rPr>
        <w:t xml:space="preserve"> 2020</w:t>
      </w:r>
      <w:r w:rsidR="006B4212">
        <w:rPr>
          <w:rFonts w:cs="Arial"/>
          <w:noProof/>
          <w:szCs w:val="24"/>
        </w:rPr>
        <w:t>,</w:t>
      </w:r>
      <w:r w:rsidRPr="001A7575">
        <w:rPr>
          <w:rFonts w:cs="Arial"/>
          <w:noProof/>
          <w:szCs w:val="24"/>
        </w:rPr>
        <w:t xml:space="preserve"> Reduction of Particulate Matter Emissions from a Pellet Boiler Using Primary Measures</w:t>
      </w:r>
      <w:r w:rsidR="006B4212">
        <w:rPr>
          <w:rFonts w:cs="Arial"/>
          <w:noProof/>
          <w:szCs w:val="24"/>
        </w:rPr>
        <w:t>,</w:t>
      </w:r>
      <w:r w:rsidRPr="001A7575">
        <w:rPr>
          <w:rFonts w:cs="Arial"/>
          <w:noProof/>
          <w:szCs w:val="24"/>
        </w:rPr>
        <w:t xml:space="preserve"> </w:t>
      </w:r>
      <w:r w:rsidRPr="00D54C46">
        <w:rPr>
          <w:rFonts w:cs="Arial"/>
          <w:noProof/>
          <w:szCs w:val="24"/>
        </w:rPr>
        <w:t>Chemical Engineering &amp; Technology</w:t>
      </w:r>
      <w:r w:rsidR="006B4212">
        <w:rPr>
          <w:rFonts w:cs="Arial"/>
          <w:noProof/>
          <w:szCs w:val="24"/>
        </w:rPr>
        <w:t>,</w:t>
      </w:r>
      <w:r w:rsidRPr="006B4212">
        <w:rPr>
          <w:rFonts w:cs="Arial"/>
          <w:noProof/>
          <w:szCs w:val="24"/>
        </w:rPr>
        <w:t xml:space="preserve"> </w:t>
      </w:r>
      <w:r w:rsidRPr="001A7575">
        <w:rPr>
          <w:rFonts w:cs="Arial"/>
          <w:noProof/>
          <w:szCs w:val="24"/>
        </w:rPr>
        <w:t>43</w:t>
      </w:r>
      <w:r w:rsidR="006B4212">
        <w:rPr>
          <w:rFonts w:cs="Arial"/>
          <w:noProof/>
          <w:szCs w:val="24"/>
        </w:rPr>
        <w:t>,</w:t>
      </w:r>
      <w:r w:rsidRPr="001A7575">
        <w:rPr>
          <w:rFonts w:cs="Arial"/>
          <w:noProof/>
          <w:szCs w:val="24"/>
        </w:rPr>
        <w:t xml:space="preserve"> 1506–13.</w:t>
      </w:r>
    </w:p>
    <w:p w14:paraId="33A53F83" w14:textId="330219EC" w:rsidR="004225AF" w:rsidRDefault="004225AF" w:rsidP="00453E24">
      <w:pPr>
        <w:pStyle w:val="CETBodytext"/>
        <w:rPr>
          <w:lang w:val="en-GB"/>
        </w:rPr>
      </w:pPr>
      <w:r>
        <w:rPr>
          <w:lang w:val="en-GB"/>
        </w:rPr>
        <w:fldChar w:fldCharType="end"/>
      </w:r>
    </w:p>
    <w:sectPr w:rsidR="004225AF"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46ED25" w14:textId="77777777" w:rsidR="008646CC" w:rsidRDefault="008646CC" w:rsidP="004F5E36">
      <w:r>
        <w:separator/>
      </w:r>
    </w:p>
  </w:endnote>
  <w:endnote w:type="continuationSeparator" w:id="0">
    <w:p w14:paraId="466DE45C" w14:textId="77777777" w:rsidR="008646CC" w:rsidRDefault="008646CC"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D0BCEE" w14:textId="77777777" w:rsidR="008646CC" w:rsidRDefault="008646CC" w:rsidP="004F5E36">
      <w:r>
        <w:separator/>
      </w:r>
    </w:p>
  </w:footnote>
  <w:footnote w:type="continuationSeparator" w:id="0">
    <w:p w14:paraId="721947F3" w14:textId="77777777" w:rsidR="008646CC" w:rsidRDefault="008646CC"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05AF401B"/>
    <w:multiLevelType w:val="hybridMultilevel"/>
    <w:tmpl w:val="D1CAE60A"/>
    <w:lvl w:ilvl="0" w:tplc="B0FAF970">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2883B79"/>
    <w:multiLevelType w:val="hybridMultilevel"/>
    <w:tmpl w:val="AD46018C"/>
    <w:lvl w:ilvl="0" w:tplc="C3646A26">
      <w:start w:val="1"/>
      <w:numFmt w:val="lowerLetter"/>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3"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3101DE5"/>
    <w:multiLevelType w:val="hybridMultilevel"/>
    <w:tmpl w:val="94285210"/>
    <w:lvl w:ilvl="0" w:tplc="73282840">
      <w:start w:val="1"/>
      <w:numFmt w:val="lowerLetter"/>
      <w:lvlText w:val="%1)"/>
      <w:lvlJc w:val="left"/>
      <w:pPr>
        <w:ind w:left="717" w:hanging="360"/>
      </w:pPr>
      <w:rPr>
        <w:rFonts w:hint="default"/>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15"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1"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74C57294"/>
    <w:multiLevelType w:val="hybridMultilevel"/>
    <w:tmpl w:val="7A267896"/>
    <w:lvl w:ilvl="0" w:tplc="B8D2CE4A">
      <w:start w:val="1"/>
      <w:numFmt w:val="low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5" w15:restartNumberingAfterBreak="0">
    <w:nsid w:val="7AAC6D27"/>
    <w:multiLevelType w:val="hybridMultilevel"/>
    <w:tmpl w:val="2CFE8AEA"/>
    <w:lvl w:ilvl="0" w:tplc="0FFEC3CE">
      <w:start w:val="1"/>
      <w:numFmt w:val="lowerLetter"/>
      <w:lvlText w:val="%1)"/>
      <w:lvlJc w:val="left"/>
      <w:pPr>
        <w:ind w:left="717" w:hanging="360"/>
      </w:pPr>
      <w:rPr>
        <w:rFonts w:hint="default"/>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26" w15:restartNumberingAfterBreak="0">
    <w:nsid w:val="7E5134C2"/>
    <w:multiLevelType w:val="hybridMultilevel"/>
    <w:tmpl w:val="45C273B8"/>
    <w:lvl w:ilvl="0" w:tplc="E9C26D16">
      <w:start w:val="1"/>
      <w:numFmt w:val="lowerLetter"/>
      <w:lvlText w:val="(%1)"/>
      <w:lvlJc w:val="left"/>
      <w:pPr>
        <w:ind w:left="720" w:hanging="360"/>
      </w:pPr>
      <w:rPr>
        <w:rFonts w:hint="default"/>
        <w:i w:val="0"/>
        <w:iCs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1"/>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20"/>
  </w:num>
  <w:num w:numId="13">
    <w:abstractNumId w:val="15"/>
  </w:num>
  <w:num w:numId="14">
    <w:abstractNumId w:val="21"/>
  </w:num>
  <w:num w:numId="15">
    <w:abstractNumId w:val="23"/>
  </w:num>
  <w:num w:numId="16">
    <w:abstractNumId w:val="22"/>
  </w:num>
  <w:num w:numId="17">
    <w:abstractNumId w:val="13"/>
  </w:num>
  <w:num w:numId="18">
    <w:abstractNumId w:val="15"/>
    <w:lvlOverride w:ilvl="0">
      <w:startOverride w:val="1"/>
    </w:lvlOverride>
  </w:num>
  <w:num w:numId="19">
    <w:abstractNumId w:val="19"/>
  </w:num>
  <w:num w:numId="20">
    <w:abstractNumId w:val="18"/>
  </w:num>
  <w:num w:numId="21">
    <w:abstractNumId w:val="17"/>
  </w:num>
  <w:num w:numId="22">
    <w:abstractNumId w:val="16"/>
  </w:num>
  <w:num w:numId="23">
    <w:abstractNumId w:val="10"/>
  </w:num>
  <w:num w:numId="24">
    <w:abstractNumId w:val="24"/>
  </w:num>
  <w:num w:numId="25">
    <w:abstractNumId w:val="12"/>
  </w:num>
  <w:num w:numId="26">
    <w:abstractNumId w:val="26"/>
  </w:num>
  <w:num w:numId="27">
    <w:abstractNumId w:val="14"/>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kwNKgFAGpv5ZwtAAAA"/>
  </w:docVars>
  <w:rsids>
    <w:rsidRoot w:val="000E414A"/>
    <w:rsid w:val="000027C0"/>
    <w:rsid w:val="00004B99"/>
    <w:rsid w:val="000052FB"/>
    <w:rsid w:val="00006786"/>
    <w:rsid w:val="00007327"/>
    <w:rsid w:val="000117CB"/>
    <w:rsid w:val="000173EB"/>
    <w:rsid w:val="00017443"/>
    <w:rsid w:val="00023147"/>
    <w:rsid w:val="00023295"/>
    <w:rsid w:val="000235C0"/>
    <w:rsid w:val="000250B5"/>
    <w:rsid w:val="0003148D"/>
    <w:rsid w:val="00031EEC"/>
    <w:rsid w:val="00032D84"/>
    <w:rsid w:val="00033848"/>
    <w:rsid w:val="000508AC"/>
    <w:rsid w:val="00051566"/>
    <w:rsid w:val="000524E9"/>
    <w:rsid w:val="00062A9A"/>
    <w:rsid w:val="00065058"/>
    <w:rsid w:val="00074B45"/>
    <w:rsid w:val="00080617"/>
    <w:rsid w:val="000808A4"/>
    <w:rsid w:val="00081C71"/>
    <w:rsid w:val="00086C39"/>
    <w:rsid w:val="00094A88"/>
    <w:rsid w:val="00094D93"/>
    <w:rsid w:val="00097A48"/>
    <w:rsid w:val="000A03B2"/>
    <w:rsid w:val="000A59A0"/>
    <w:rsid w:val="000A6F97"/>
    <w:rsid w:val="000B73A4"/>
    <w:rsid w:val="000B77D6"/>
    <w:rsid w:val="000C0B71"/>
    <w:rsid w:val="000C0BD1"/>
    <w:rsid w:val="000C0CC3"/>
    <w:rsid w:val="000C5493"/>
    <w:rsid w:val="000D0268"/>
    <w:rsid w:val="000D34BE"/>
    <w:rsid w:val="000D54C1"/>
    <w:rsid w:val="000D67FE"/>
    <w:rsid w:val="000E0975"/>
    <w:rsid w:val="000E102F"/>
    <w:rsid w:val="000E36F1"/>
    <w:rsid w:val="000E3A73"/>
    <w:rsid w:val="000E414A"/>
    <w:rsid w:val="000E467D"/>
    <w:rsid w:val="000E5E62"/>
    <w:rsid w:val="000E7038"/>
    <w:rsid w:val="000F093C"/>
    <w:rsid w:val="000F787B"/>
    <w:rsid w:val="00114990"/>
    <w:rsid w:val="00114D21"/>
    <w:rsid w:val="0012091F"/>
    <w:rsid w:val="00121CEC"/>
    <w:rsid w:val="00126BC2"/>
    <w:rsid w:val="001308B6"/>
    <w:rsid w:val="00130E5E"/>
    <w:rsid w:val="0013121F"/>
    <w:rsid w:val="00131407"/>
    <w:rsid w:val="00131FE6"/>
    <w:rsid w:val="0013263F"/>
    <w:rsid w:val="001331DF"/>
    <w:rsid w:val="00134DE4"/>
    <w:rsid w:val="00135A49"/>
    <w:rsid w:val="00137274"/>
    <w:rsid w:val="0014034D"/>
    <w:rsid w:val="00140937"/>
    <w:rsid w:val="001416DC"/>
    <w:rsid w:val="00142E4E"/>
    <w:rsid w:val="00144D16"/>
    <w:rsid w:val="00150E59"/>
    <w:rsid w:val="00152DE3"/>
    <w:rsid w:val="00154C70"/>
    <w:rsid w:val="00160D86"/>
    <w:rsid w:val="00164CF9"/>
    <w:rsid w:val="0016549E"/>
    <w:rsid w:val="001667A6"/>
    <w:rsid w:val="00176441"/>
    <w:rsid w:val="00181FC5"/>
    <w:rsid w:val="00184AD6"/>
    <w:rsid w:val="00184FCA"/>
    <w:rsid w:val="00185B87"/>
    <w:rsid w:val="00190556"/>
    <w:rsid w:val="0019458F"/>
    <w:rsid w:val="001A207B"/>
    <w:rsid w:val="001A4149"/>
    <w:rsid w:val="001A4AF7"/>
    <w:rsid w:val="001A7575"/>
    <w:rsid w:val="001B0349"/>
    <w:rsid w:val="001B1E93"/>
    <w:rsid w:val="001B331C"/>
    <w:rsid w:val="001B546E"/>
    <w:rsid w:val="001B568E"/>
    <w:rsid w:val="001B65C1"/>
    <w:rsid w:val="001B75CD"/>
    <w:rsid w:val="001C39D1"/>
    <w:rsid w:val="001C47F5"/>
    <w:rsid w:val="001C684B"/>
    <w:rsid w:val="001C6A83"/>
    <w:rsid w:val="001D04DD"/>
    <w:rsid w:val="001D0CFB"/>
    <w:rsid w:val="001D1F45"/>
    <w:rsid w:val="001D21AF"/>
    <w:rsid w:val="001D53FC"/>
    <w:rsid w:val="001E0360"/>
    <w:rsid w:val="001F42A5"/>
    <w:rsid w:val="001F4B7F"/>
    <w:rsid w:val="001F5D51"/>
    <w:rsid w:val="001F6F4B"/>
    <w:rsid w:val="001F7B9D"/>
    <w:rsid w:val="00201C93"/>
    <w:rsid w:val="002063B9"/>
    <w:rsid w:val="00221EA1"/>
    <w:rsid w:val="002224B4"/>
    <w:rsid w:val="00243BC8"/>
    <w:rsid w:val="002447EF"/>
    <w:rsid w:val="00251550"/>
    <w:rsid w:val="00251F9D"/>
    <w:rsid w:val="00255091"/>
    <w:rsid w:val="00262D5F"/>
    <w:rsid w:val="00263B05"/>
    <w:rsid w:val="0026452A"/>
    <w:rsid w:val="002706F3"/>
    <w:rsid w:val="0027221A"/>
    <w:rsid w:val="002747E5"/>
    <w:rsid w:val="00275B61"/>
    <w:rsid w:val="00280FAF"/>
    <w:rsid w:val="00281230"/>
    <w:rsid w:val="00282656"/>
    <w:rsid w:val="00291233"/>
    <w:rsid w:val="00296B83"/>
    <w:rsid w:val="002A57BF"/>
    <w:rsid w:val="002A5D1F"/>
    <w:rsid w:val="002B4015"/>
    <w:rsid w:val="002B48D7"/>
    <w:rsid w:val="002B6D02"/>
    <w:rsid w:val="002B6D49"/>
    <w:rsid w:val="002B78CE"/>
    <w:rsid w:val="002C25A0"/>
    <w:rsid w:val="002C2FB6"/>
    <w:rsid w:val="002C3C03"/>
    <w:rsid w:val="002C61E8"/>
    <w:rsid w:val="002C7DD1"/>
    <w:rsid w:val="002E2C36"/>
    <w:rsid w:val="002E4443"/>
    <w:rsid w:val="002E5FA7"/>
    <w:rsid w:val="002E6F55"/>
    <w:rsid w:val="002F3309"/>
    <w:rsid w:val="002F4900"/>
    <w:rsid w:val="002F71E7"/>
    <w:rsid w:val="00300372"/>
    <w:rsid w:val="003008CE"/>
    <w:rsid w:val="003009B7"/>
    <w:rsid w:val="00300E56"/>
    <w:rsid w:val="0030469C"/>
    <w:rsid w:val="003047A6"/>
    <w:rsid w:val="00313C6C"/>
    <w:rsid w:val="003142AF"/>
    <w:rsid w:val="00315CE5"/>
    <w:rsid w:val="00317DA8"/>
    <w:rsid w:val="00321CA6"/>
    <w:rsid w:val="00323763"/>
    <w:rsid w:val="00323F13"/>
    <w:rsid w:val="00327973"/>
    <w:rsid w:val="00327E29"/>
    <w:rsid w:val="0033008A"/>
    <w:rsid w:val="00334C09"/>
    <w:rsid w:val="00350AFA"/>
    <w:rsid w:val="00364938"/>
    <w:rsid w:val="003723D4"/>
    <w:rsid w:val="00374DC5"/>
    <w:rsid w:val="00381905"/>
    <w:rsid w:val="00384CC8"/>
    <w:rsid w:val="00385C7B"/>
    <w:rsid w:val="003871FD"/>
    <w:rsid w:val="00390EB3"/>
    <w:rsid w:val="003940AA"/>
    <w:rsid w:val="00394AF7"/>
    <w:rsid w:val="003A023C"/>
    <w:rsid w:val="003A1B64"/>
    <w:rsid w:val="003A1E30"/>
    <w:rsid w:val="003A2829"/>
    <w:rsid w:val="003A3969"/>
    <w:rsid w:val="003A7D1C"/>
    <w:rsid w:val="003B304B"/>
    <w:rsid w:val="003B3146"/>
    <w:rsid w:val="003B3775"/>
    <w:rsid w:val="003C4F1E"/>
    <w:rsid w:val="003C6A87"/>
    <w:rsid w:val="003C6DA1"/>
    <w:rsid w:val="003D1854"/>
    <w:rsid w:val="003D592C"/>
    <w:rsid w:val="003E547E"/>
    <w:rsid w:val="003E570E"/>
    <w:rsid w:val="003E5C0F"/>
    <w:rsid w:val="003F015E"/>
    <w:rsid w:val="003F30C7"/>
    <w:rsid w:val="003F4866"/>
    <w:rsid w:val="003F7195"/>
    <w:rsid w:val="004001E1"/>
    <w:rsid w:val="00400414"/>
    <w:rsid w:val="004057B6"/>
    <w:rsid w:val="00406A27"/>
    <w:rsid w:val="00411AA8"/>
    <w:rsid w:val="004134D0"/>
    <w:rsid w:val="0041446B"/>
    <w:rsid w:val="0042013F"/>
    <w:rsid w:val="00421F81"/>
    <w:rsid w:val="004225AF"/>
    <w:rsid w:val="00425B27"/>
    <w:rsid w:val="004260F7"/>
    <w:rsid w:val="004336B7"/>
    <w:rsid w:val="00434B69"/>
    <w:rsid w:val="004370DE"/>
    <w:rsid w:val="0044071E"/>
    <w:rsid w:val="00441BA5"/>
    <w:rsid w:val="0044329C"/>
    <w:rsid w:val="0044531C"/>
    <w:rsid w:val="00445609"/>
    <w:rsid w:val="00445CEC"/>
    <w:rsid w:val="00450F00"/>
    <w:rsid w:val="00451CF9"/>
    <w:rsid w:val="00453343"/>
    <w:rsid w:val="00453BBB"/>
    <w:rsid w:val="00453E24"/>
    <w:rsid w:val="0045667F"/>
    <w:rsid w:val="00457456"/>
    <w:rsid w:val="004577FE"/>
    <w:rsid w:val="00457B9C"/>
    <w:rsid w:val="00457C6A"/>
    <w:rsid w:val="00457F06"/>
    <w:rsid w:val="0046037C"/>
    <w:rsid w:val="0046164A"/>
    <w:rsid w:val="00462692"/>
    <w:rsid w:val="004628D2"/>
    <w:rsid w:val="00462DCD"/>
    <w:rsid w:val="004648AD"/>
    <w:rsid w:val="00467EEF"/>
    <w:rsid w:val="004703A9"/>
    <w:rsid w:val="004715DD"/>
    <w:rsid w:val="004758F0"/>
    <w:rsid w:val="004760DE"/>
    <w:rsid w:val="00476202"/>
    <w:rsid w:val="004763D7"/>
    <w:rsid w:val="00484557"/>
    <w:rsid w:val="004A004E"/>
    <w:rsid w:val="004A24CF"/>
    <w:rsid w:val="004A2C9A"/>
    <w:rsid w:val="004A6DF0"/>
    <w:rsid w:val="004A70CD"/>
    <w:rsid w:val="004B2C68"/>
    <w:rsid w:val="004B54F1"/>
    <w:rsid w:val="004B70C5"/>
    <w:rsid w:val="004C2691"/>
    <w:rsid w:val="004C2892"/>
    <w:rsid w:val="004C3D1D"/>
    <w:rsid w:val="004C4242"/>
    <w:rsid w:val="004C7913"/>
    <w:rsid w:val="004D48B5"/>
    <w:rsid w:val="004D4CEA"/>
    <w:rsid w:val="004E0527"/>
    <w:rsid w:val="004E134A"/>
    <w:rsid w:val="004E2F81"/>
    <w:rsid w:val="004E3A5B"/>
    <w:rsid w:val="004E4DD6"/>
    <w:rsid w:val="004E5C3D"/>
    <w:rsid w:val="004F17FE"/>
    <w:rsid w:val="004F1CB1"/>
    <w:rsid w:val="004F5E36"/>
    <w:rsid w:val="004F612E"/>
    <w:rsid w:val="004F6F0F"/>
    <w:rsid w:val="0050059E"/>
    <w:rsid w:val="00505056"/>
    <w:rsid w:val="005059E6"/>
    <w:rsid w:val="00507B47"/>
    <w:rsid w:val="00507BEF"/>
    <w:rsid w:val="00507CC9"/>
    <w:rsid w:val="00510E53"/>
    <w:rsid w:val="005119A5"/>
    <w:rsid w:val="00515726"/>
    <w:rsid w:val="00515A52"/>
    <w:rsid w:val="00522760"/>
    <w:rsid w:val="00526C15"/>
    <w:rsid w:val="005278B7"/>
    <w:rsid w:val="00531EA8"/>
    <w:rsid w:val="00532016"/>
    <w:rsid w:val="005346C8"/>
    <w:rsid w:val="00534E23"/>
    <w:rsid w:val="00536861"/>
    <w:rsid w:val="00543E7D"/>
    <w:rsid w:val="0054418A"/>
    <w:rsid w:val="00547A68"/>
    <w:rsid w:val="005531C9"/>
    <w:rsid w:val="00561148"/>
    <w:rsid w:val="00570B53"/>
    <w:rsid w:val="00570C43"/>
    <w:rsid w:val="00573088"/>
    <w:rsid w:val="00577153"/>
    <w:rsid w:val="005813D1"/>
    <w:rsid w:val="00581B22"/>
    <w:rsid w:val="005837AE"/>
    <w:rsid w:val="005840E9"/>
    <w:rsid w:val="00596646"/>
    <w:rsid w:val="005A134C"/>
    <w:rsid w:val="005A199A"/>
    <w:rsid w:val="005A2E54"/>
    <w:rsid w:val="005A37CD"/>
    <w:rsid w:val="005A4C4A"/>
    <w:rsid w:val="005B2110"/>
    <w:rsid w:val="005B5362"/>
    <w:rsid w:val="005B61E6"/>
    <w:rsid w:val="005C1C0F"/>
    <w:rsid w:val="005C60D6"/>
    <w:rsid w:val="005C62BA"/>
    <w:rsid w:val="005C77E1"/>
    <w:rsid w:val="005D5D94"/>
    <w:rsid w:val="005D668A"/>
    <w:rsid w:val="005D6A2F"/>
    <w:rsid w:val="005E1A82"/>
    <w:rsid w:val="005E1B90"/>
    <w:rsid w:val="005E24B2"/>
    <w:rsid w:val="005E377F"/>
    <w:rsid w:val="005E3D14"/>
    <w:rsid w:val="005E5071"/>
    <w:rsid w:val="005E5487"/>
    <w:rsid w:val="005E794C"/>
    <w:rsid w:val="005F0476"/>
    <w:rsid w:val="005F0A28"/>
    <w:rsid w:val="005F0E5E"/>
    <w:rsid w:val="005F4494"/>
    <w:rsid w:val="005F4D0A"/>
    <w:rsid w:val="005F691E"/>
    <w:rsid w:val="00600535"/>
    <w:rsid w:val="0060133C"/>
    <w:rsid w:val="00602039"/>
    <w:rsid w:val="00603754"/>
    <w:rsid w:val="00610CD6"/>
    <w:rsid w:val="00613759"/>
    <w:rsid w:val="00620DEE"/>
    <w:rsid w:val="00621F92"/>
    <w:rsid w:val="00621FD7"/>
    <w:rsid w:val="0062280A"/>
    <w:rsid w:val="00625639"/>
    <w:rsid w:val="006305D7"/>
    <w:rsid w:val="00631B33"/>
    <w:rsid w:val="006351EB"/>
    <w:rsid w:val="006400C4"/>
    <w:rsid w:val="0064184D"/>
    <w:rsid w:val="006422CC"/>
    <w:rsid w:val="00643F12"/>
    <w:rsid w:val="00650073"/>
    <w:rsid w:val="006500C5"/>
    <w:rsid w:val="006520AE"/>
    <w:rsid w:val="00654115"/>
    <w:rsid w:val="006544AB"/>
    <w:rsid w:val="00657DD0"/>
    <w:rsid w:val="006604EF"/>
    <w:rsid w:val="00660E3E"/>
    <w:rsid w:val="00662ACE"/>
    <w:rsid w:val="00662E74"/>
    <w:rsid w:val="00664334"/>
    <w:rsid w:val="00671B9B"/>
    <w:rsid w:val="00673BAC"/>
    <w:rsid w:val="00677461"/>
    <w:rsid w:val="00680C23"/>
    <w:rsid w:val="006873EE"/>
    <w:rsid w:val="0068747A"/>
    <w:rsid w:val="0069054F"/>
    <w:rsid w:val="00693766"/>
    <w:rsid w:val="006A3281"/>
    <w:rsid w:val="006A3874"/>
    <w:rsid w:val="006B4212"/>
    <w:rsid w:val="006B4888"/>
    <w:rsid w:val="006B57F3"/>
    <w:rsid w:val="006C2E45"/>
    <w:rsid w:val="006C359C"/>
    <w:rsid w:val="006C5579"/>
    <w:rsid w:val="006D0FB6"/>
    <w:rsid w:val="006D6E8B"/>
    <w:rsid w:val="006E450C"/>
    <w:rsid w:val="006E737D"/>
    <w:rsid w:val="006F1DAA"/>
    <w:rsid w:val="006F787D"/>
    <w:rsid w:val="00702281"/>
    <w:rsid w:val="00702C85"/>
    <w:rsid w:val="00703420"/>
    <w:rsid w:val="00703AA3"/>
    <w:rsid w:val="00704CD6"/>
    <w:rsid w:val="00712412"/>
    <w:rsid w:val="00713019"/>
    <w:rsid w:val="007132E8"/>
    <w:rsid w:val="00713973"/>
    <w:rsid w:val="00714E0B"/>
    <w:rsid w:val="00714F38"/>
    <w:rsid w:val="00720A24"/>
    <w:rsid w:val="007211F1"/>
    <w:rsid w:val="00723102"/>
    <w:rsid w:val="007246D5"/>
    <w:rsid w:val="00725228"/>
    <w:rsid w:val="00726F19"/>
    <w:rsid w:val="00732386"/>
    <w:rsid w:val="0073514D"/>
    <w:rsid w:val="00742362"/>
    <w:rsid w:val="007447F3"/>
    <w:rsid w:val="00744F9B"/>
    <w:rsid w:val="007459B9"/>
    <w:rsid w:val="007513ED"/>
    <w:rsid w:val="00754592"/>
    <w:rsid w:val="0075499F"/>
    <w:rsid w:val="00755881"/>
    <w:rsid w:val="00755D45"/>
    <w:rsid w:val="0076025C"/>
    <w:rsid w:val="007623BD"/>
    <w:rsid w:val="007661C8"/>
    <w:rsid w:val="00770366"/>
    <w:rsid w:val="0077098D"/>
    <w:rsid w:val="00770C0B"/>
    <w:rsid w:val="00773645"/>
    <w:rsid w:val="00773C1D"/>
    <w:rsid w:val="00775088"/>
    <w:rsid w:val="00777B86"/>
    <w:rsid w:val="007931FA"/>
    <w:rsid w:val="00797628"/>
    <w:rsid w:val="00797897"/>
    <w:rsid w:val="007A2651"/>
    <w:rsid w:val="007A4861"/>
    <w:rsid w:val="007A607C"/>
    <w:rsid w:val="007A7BBA"/>
    <w:rsid w:val="007B0C50"/>
    <w:rsid w:val="007B14B9"/>
    <w:rsid w:val="007B14F5"/>
    <w:rsid w:val="007B1E76"/>
    <w:rsid w:val="007B48F9"/>
    <w:rsid w:val="007B6070"/>
    <w:rsid w:val="007C0DCB"/>
    <w:rsid w:val="007C17E9"/>
    <w:rsid w:val="007C1A43"/>
    <w:rsid w:val="007C4C12"/>
    <w:rsid w:val="007E1F9C"/>
    <w:rsid w:val="007E5F6E"/>
    <w:rsid w:val="007E69BC"/>
    <w:rsid w:val="0080013E"/>
    <w:rsid w:val="0080316D"/>
    <w:rsid w:val="00806D40"/>
    <w:rsid w:val="00813288"/>
    <w:rsid w:val="00813FD7"/>
    <w:rsid w:val="00814F79"/>
    <w:rsid w:val="00815074"/>
    <w:rsid w:val="0081534B"/>
    <w:rsid w:val="008168FC"/>
    <w:rsid w:val="008228EC"/>
    <w:rsid w:val="00823719"/>
    <w:rsid w:val="00830996"/>
    <w:rsid w:val="00831DE8"/>
    <w:rsid w:val="00834238"/>
    <w:rsid w:val="008345F1"/>
    <w:rsid w:val="00837E41"/>
    <w:rsid w:val="00841A2C"/>
    <w:rsid w:val="0085151D"/>
    <w:rsid w:val="00852C76"/>
    <w:rsid w:val="00860AC6"/>
    <w:rsid w:val="008634A8"/>
    <w:rsid w:val="008646CC"/>
    <w:rsid w:val="00865B07"/>
    <w:rsid w:val="008667EA"/>
    <w:rsid w:val="00867241"/>
    <w:rsid w:val="00874F7F"/>
    <w:rsid w:val="0087637F"/>
    <w:rsid w:val="00877C3F"/>
    <w:rsid w:val="00880BC9"/>
    <w:rsid w:val="008852E5"/>
    <w:rsid w:val="00885331"/>
    <w:rsid w:val="00892AD5"/>
    <w:rsid w:val="00892DDB"/>
    <w:rsid w:val="00893180"/>
    <w:rsid w:val="008937B5"/>
    <w:rsid w:val="0089795D"/>
    <w:rsid w:val="008A08B2"/>
    <w:rsid w:val="008A1512"/>
    <w:rsid w:val="008A3A54"/>
    <w:rsid w:val="008A3D02"/>
    <w:rsid w:val="008B651E"/>
    <w:rsid w:val="008B7DCD"/>
    <w:rsid w:val="008C0260"/>
    <w:rsid w:val="008C60B0"/>
    <w:rsid w:val="008C6E79"/>
    <w:rsid w:val="008C7CFD"/>
    <w:rsid w:val="008D32B9"/>
    <w:rsid w:val="008D433B"/>
    <w:rsid w:val="008D45A4"/>
    <w:rsid w:val="008D4F9A"/>
    <w:rsid w:val="008E224E"/>
    <w:rsid w:val="008E566E"/>
    <w:rsid w:val="008E6EA8"/>
    <w:rsid w:val="0090161A"/>
    <w:rsid w:val="00901EB6"/>
    <w:rsid w:val="00903D33"/>
    <w:rsid w:val="00903EF9"/>
    <w:rsid w:val="00904C62"/>
    <w:rsid w:val="0091295B"/>
    <w:rsid w:val="009146BF"/>
    <w:rsid w:val="0091606B"/>
    <w:rsid w:val="00920A5D"/>
    <w:rsid w:val="00922BA8"/>
    <w:rsid w:val="00924DAC"/>
    <w:rsid w:val="00927058"/>
    <w:rsid w:val="00927267"/>
    <w:rsid w:val="00933040"/>
    <w:rsid w:val="00936251"/>
    <w:rsid w:val="00936F9F"/>
    <w:rsid w:val="00937267"/>
    <w:rsid w:val="00941EDA"/>
    <w:rsid w:val="00942750"/>
    <w:rsid w:val="009450CE"/>
    <w:rsid w:val="00947179"/>
    <w:rsid w:val="009507DC"/>
    <w:rsid w:val="009515F6"/>
    <w:rsid w:val="0095164B"/>
    <w:rsid w:val="00954090"/>
    <w:rsid w:val="00955C1A"/>
    <w:rsid w:val="009573E7"/>
    <w:rsid w:val="00963E05"/>
    <w:rsid w:val="00964A45"/>
    <w:rsid w:val="0096509F"/>
    <w:rsid w:val="00966096"/>
    <w:rsid w:val="00967843"/>
    <w:rsid w:val="00967D54"/>
    <w:rsid w:val="00971028"/>
    <w:rsid w:val="009716DC"/>
    <w:rsid w:val="009720D9"/>
    <w:rsid w:val="00977835"/>
    <w:rsid w:val="0098080B"/>
    <w:rsid w:val="00981D47"/>
    <w:rsid w:val="00984F05"/>
    <w:rsid w:val="00987E53"/>
    <w:rsid w:val="00992094"/>
    <w:rsid w:val="00993B84"/>
    <w:rsid w:val="00995FCD"/>
    <w:rsid w:val="00996483"/>
    <w:rsid w:val="00996F5A"/>
    <w:rsid w:val="009A2C12"/>
    <w:rsid w:val="009A3215"/>
    <w:rsid w:val="009A66B8"/>
    <w:rsid w:val="009B041A"/>
    <w:rsid w:val="009B0A8C"/>
    <w:rsid w:val="009B4BDB"/>
    <w:rsid w:val="009B4E3B"/>
    <w:rsid w:val="009C127E"/>
    <w:rsid w:val="009C1F4E"/>
    <w:rsid w:val="009C37C3"/>
    <w:rsid w:val="009C5D90"/>
    <w:rsid w:val="009C753B"/>
    <w:rsid w:val="009C7C86"/>
    <w:rsid w:val="009D2FF7"/>
    <w:rsid w:val="009D3239"/>
    <w:rsid w:val="009D7535"/>
    <w:rsid w:val="009E1A69"/>
    <w:rsid w:val="009E364A"/>
    <w:rsid w:val="009E7884"/>
    <w:rsid w:val="009E788A"/>
    <w:rsid w:val="009F0E08"/>
    <w:rsid w:val="009F4354"/>
    <w:rsid w:val="009F4E58"/>
    <w:rsid w:val="00A12A06"/>
    <w:rsid w:val="00A144D3"/>
    <w:rsid w:val="00A15E2E"/>
    <w:rsid w:val="00A1763D"/>
    <w:rsid w:val="00A17CEC"/>
    <w:rsid w:val="00A26106"/>
    <w:rsid w:val="00A27EF0"/>
    <w:rsid w:val="00A302AD"/>
    <w:rsid w:val="00A30E7F"/>
    <w:rsid w:val="00A346B3"/>
    <w:rsid w:val="00A37EA0"/>
    <w:rsid w:val="00A414C9"/>
    <w:rsid w:val="00A42361"/>
    <w:rsid w:val="00A454C9"/>
    <w:rsid w:val="00A4640A"/>
    <w:rsid w:val="00A4730C"/>
    <w:rsid w:val="00A504A4"/>
    <w:rsid w:val="00A50B20"/>
    <w:rsid w:val="00A51390"/>
    <w:rsid w:val="00A54103"/>
    <w:rsid w:val="00A546C5"/>
    <w:rsid w:val="00A574C4"/>
    <w:rsid w:val="00A60D13"/>
    <w:rsid w:val="00A6137D"/>
    <w:rsid w:val="00A6174F"/>
    <w:rsid w:val="00A65364"/>
    <w:rsid w:val="00A66393"/>
    <w:rsid w:val="00A66A4E"/>
    <w:rsid w:val="00A70FC4"/>
    <w:rsid w:val="00A7231E"/>
    <w:rsid w:val="00A72745"/>
    <w:rsid w:val="00A73D29"/>
    <w:rsid w:val="00A73FE7"/>
    <w:rsid w:val="00A76EFC"/>
    <w:rsid w:val="00A81982"/>
    <w:rsid w:val="00A842A3"/>
    <w:rsid w:val="00A91010"/>
    <w:rsid w:val="00A93C92"/>
    <w:rsid w:val="00A97615"/>
    <w:rsid w:val="00A97F29"/>
    <w:rsid w:val="00AA3307"/>
    <w:rsid w:val="00AA702E"/>
    <w:rsid w:val="00AB0964"/>
    <w:rsid w:val="00AB3B24"/>
    <w:rsid w:val="00AB452A"/>
    <w:rsid w:val="00AB4BBA"/>
    <w:rsid w:val="00AB5011"/>
    <w:rsid w:val="00AB6E4D"/>
    <w:rsid w:val="00AC04BB"/>
    <w:rsid w:val="00AC4642"/>
    <w:rsid w:val="00AC4C67"/>
    <w:rsid w:val="00AC7368"/>
    <w:rsid w:val="00AD09AF"/>
    <w:rsid w:val="00AD1514"/>
    <w:rsid w:val="00AD16B9"/>
    <w:rsid w:val="00AD335A"/>
    <w:rsid w:val="00AD4042"/>
    <w:rsid w:val="00AD7187"/>
    <w:rsid w:val="00AE11CB"/>
    <w:rsid w:val="00AE377D"/>
    <w:rsid w:val="00AE3B72"/>
    <w:rsid w:val="00AF0EBA"/>
    <w:rsid w:val="00AF252C"/>
    <w:rsid w:val="00AF26F0"/>
    <w:rsid w:val="00AF3077"/>
    <w:rsid w:val="00B02C8A"/>
    <w:rsid w:val="00B060C4"/>
    <w:rsid w:val="00B12A9E"/>
    <w:rsid w:val="00B1449A"/>
    <w:rsid w:val="00B173A8"/>
    <w:rsid w:val="00B17FBD"/>
    <w:rsid w:val="00B225F5"/>
    <w:rsid w:val="00B27A31"/>
    <w:rsid w:val="00B315A6"/>
    <w:rsid w:val="00B31813"/>
    <w:rsid w:val="00B329EE"/>
    <w:rsid w:val="00B33365"/>
    <w:rsid w:val="00B36DA0"/>
    <w:rsid w:val="00B44ABD"/>
    <w:rsid w:val="00B51FF7"/>
    <w:rsid w:val="00B52ACE"/>
    <w:rsid w:val="00B56C8D"/>
    <w:rsid w:val="00B57B36"/>
    <w:rsid w:val="00B57E6F"/>
    <w:rsid w:val="00B6013D"/>
    <w:rsid w:val="00B611C8"/>
    <w:rsid w:val="00B61223"/>
    <w:rsid w:val="00B61FED"/>
    <w:rsid w:val="00B6202C"/>
    <w:rsid w:val="00B63295"/>
    <w:rsid w:val="00B670B5"/>
    <w:rsid w:val="00B67F1B"/>
    <w:rsid w:val="00B72896"/>
    <w:rsid w:val="00B73243"/>
    <w:rsid w:val="00B76903"/>
    <w:rsid w:val="00B822C8"/>
    <w:rsid w:val="00B8686D"/>
    <w:rsid w:val="00B92918"/>
    <w:rsid w:val="00B93F69"/>
    <w:rsid w:val="00B96FDE"/>
    <w:rsid w:val="00B97235"/>
    <w:rsid w:val="00BA1388"/>
    <w:rsid w:val="00BA1807"/>
    <w:rsid w:val="00BB1DDC"/>
    <w:rsid w:val="00BB2364"/>
    <w:rsid w:val="00BB358C"/>
    <w:rsid w:val="00BB56AA"/>
    <w:rsid w:val="00BC30C9"/>
    <w:rsid w:val="00BD077D"/>
    <w:rsid w:val="00BD19AD"/>
    <w:rsid w:val="00BD1F23"/>
    <w:rsid w:val="00BD6211"/>
    <w:rsid w:val="00BE1E2F"/>
    <w:rsid w:val="00BE3E58"/>
    <w:rsid w:val="00BE495E"/>
    <w:rsid w:val="00BE701E"/>
    <w:rsid w:val="00BF195C"/>
    <w:rsid w:val="00BF4A34"/>
    <w:rsid w:val="00BF550B"/>
    <w:rsid w:val="00BF6C8D"/>
    <w:rsid w:val="00BF6CD6"/>
    <w:rsid w:val="00C01616"/>
    <w:rsid w:val="00C0162B"/>
    <w:rsid w:val="00C040CC"/>
    <w:rsid w:val="00C068ED"/>
    <w:rsid w:val="00C11F34"/>
    <w:rsid w:val="00C157FD"/>
    <w:rsid w:val="00C22394"/>
    <w:rsid w:val="00C22E0C"/>
    <w:rsid w:val="00C245C5"/>
    <w:rsid w:val="00C25404"/>
    <w:rsid w:val="00C31C67"/>
    <w:rsid w:val="00C345B1"/>
    <w:rsid w:val="00C40142"/>
    <w:rsid w:val="00C40485"/>
    <w:rsid w:val="00C455DC"/>
    <w:rsid w:val="00C46C6E"/>
    <w:rsid w:val="00C51F05"/>
    <w:rsid w:val="00C52C3C"/>
    <w:rsid w:val="00C55F75"/>
    <w:rsid w:val="00C5662B"/>
    <w:rsid w:val="00C56E78"/>
    <w:rsid w:val="00C57182"/>
    <w:rsid w:val="00C57863"/>
    <w:rsid w:val="00C60634"/>
    <w:rsid w:val="00C61FCF"/>
    <w:rsid w:val="00C621EF"/>
    <w:rsid w:val="00C655FD"/>
    <w:rsid w:val="00C70A71"/>
    <w:rsid w:val="00C72FF2"/>
    <w:rsid w:val="00C74C65"/>
    <w:rsid w:val="00C75407"/>
    <w:rsid w:val="00C76E3A"/>
    <w:rsid w:val="00C822B1"/>
    <w:rsid w:val="00C82772"/>
    <w:rsid w:val="00C846F8"/>
    <w:rsid w:val="00C870A8"/>
    <w:rsid w:val="00C90CC0"/>
    <w:rsid w:val="00C94434"/>
    <w:rsid w:val="00C975A3"/>
    <w:rsid w:val="00CA0D75"/>
    <w:rsid w:val="00CA1C95"/>
    <w:rsid w:val="00CA567E"/>
    <w:rsid w:val="00CA5A9C"/>
    <w:rsid w:val="00CA5CFD"/>
    <w:rsid w:val="00CA7B2E"/>
    <w:rsid w:val="00CB472B"/>
    <w:rsid w:val="00CB6909"/>
    <w:rsid w:val="00CC4C20"/>
    <w:rsid w:val="00CD2595"/>
    <w:rsid w:val="00CD3517"/>
    <w:rsid w:val="00CD5FE2"/>
    <w:rsid w:val="00CD6399"/>
    <w:rsid w:val="00CE07A8"/>
    <w:rsid w:val="00CE7784"/>
    <w:rsid w:val="00CE7C68"/>
    <w:rsid w:val="00CF0F72"/>
    <w:rsid w:val="00CF23C4"/>
    <w:rsid w:val="00CF6002"/>
    <w:rsid w:val="00CF605E"/>
    <w:rsid w:val="00CF796A"/>
    <w:rsid w:val="00D02B4C"/>
    <w:rsid w:val="00D040C1"/>
    <w:rsid w:val="00D040C4"/>
    <w:rsid w:val="00D13F45"/>
    <w:rsid w:val="00D14DB2"/>
    <w:rsid w:val="00D1523F"/>
    <w:rsid w:val="00D16B8A"/>
    <w:rsid w:val="00D1792A"/>
    <w:rsid w:val="00D237C0"/>
    <w:rsid w:val="00D37AC7"/>
    <w:rsid w:val="00D404CB"/>
    <w:rsid w:val="00D43C2B"/>
    <w:rsid w:val="00D441E4"/>
    <w:rsid w:val="00D46B7E"/>
    <w:rsid w:val="00D510E8"/>
    <w:rsid w:val="00D54C46"/>
    <w:rsid w:val="00D551F9"/>
    <w:rsid w:val="00D57C84"/>
    <w:rsid w:val="00D6057D"/>
    <w:rsid w:val="00D63FA9"/>
    <w:rsid w:val="00D67A5D"/>
    <w:rsid w:val="00D71640"/>
    <w:rsid w:val="00D77698"/>
    <w:rsid w:val="00D836C5"/>
    <w:rsid w:val="00D84576"/>
    <w:rsid w:val="00D84DCE"/>
    <w:rsid w:val="00D9206E"/>
    <w:rsid w:val="00D930B7"/>
    <w:rsid w:val="00D969AC"/>
    <w:rsid w:val="00D9744B"/>
    <w:rsid w:val="00DA1399"/>
    <w:rsid w:val="00DA24C6"/>
    <w:rsid w:val="00DA4D7B"/>
    <w:rsid w:val="00DB107B"/>
    <w:rsid w:val="00DB2E86"/>
    <w:rsid w:val="00DB5D93"/>
    <w:rsid w:val="00DC5253"/>
    <w:rsid w:val="00DC6F7E"/>
    <w:rsid w:val="00DC73AE"/>
    <w:rsid w:val="00DD15A2"/>
    <w:rsid w:val="00DD5A76"/>
    <w:rsid w:val="00DD6D7D"/>
    <w:rsid w:val="00DE264A"/>
    <w:rsid w:val="00DF5072"/>
    <w:rsid w:val="00DF6971"/>
    <w:rsid w:val="00DF7F16"/>
    <w:rsid w:val="00E02D18"/>
    <w:rsid w:val="00E0325B"/>
    <w:rsid w:val="00E041E7"/>
    <w:rsid w:val="00E05543"/>
    <w:rsid w:val="00E0767C"/>
    <w:rsid w:val="00E07712"/>
    <w:rsid w:val="00E07F56"/>
    <w:rsid w:val="00E13FA4"/>
    <w:rsid w:val="00E1608C"/>
    <w:rsid w:val="00E20B0F"/>
    <w:rsid w:val="00E20BE3"/>
    <w:rsid w:val="00E23CA1"/>
    <w:rsid w:val="00E33037"/>
    <w:rsid w:val="00E409A8"/>
    <w:rsid w:val="00E50C12"/>
    <w:rsid w:val="00E517B9"/>
    <w:rsid w:val="00E51B4D"/>
    <w:rsid w:val="00E53AE7"/>
    <w:rsid w:val="00E57D51"/>
    <w:rsid w:val="00E65B91"/>
    <w:rsid w:val="00E7209D"/>
    <w:rsid w:val="00E72EAD"/>
    <w:rsid w:val="00E7453C"/>
    <w:rsid w:val="00E77223"/>
    <w:rsid w:val="00E805AB"/>
    <w:rsid w:val="00E8075A"/>
    <w:rsid w:val="00E8210C"/>
    <w:rsid w:val="00E8528B"/>
    <w:rsid w:val="00E85B94"/>
    <w:rsid w:val="00E869B0"/>
    <w:rsid w:val="00E9066C"/>
    <w:rsid w:val="00E909CC"/>
    <w:rsid w:val="00E92704"/>
    <w:rsid w:val="00E963C8"/>
    <w:rsid w:val="00E978D0"/>
    <w:rsid w:val="00EA1203"/>
    <w:rsid w:val="00EA44ED"/>
    <w:rsid w:val="00EA4613"/>
    <w:rsid w:val="00EA7F91"/>
    <w:rsid w:val="00EB132F"/>
    <w:rsid w:val="00EB1523"/>
    <w:rsid w:val="00EB49B8"/>
    <w:rsid w:val="00EC0E49"/>
    <w:rsid w:val="00EC101F"/>
    <w:rsid w:val="00EC1848"/>
    <w:rsid w:val="00EC1D9F"/>
    <w:rsid w:val="00EC4F1A"/>
    <w:rsid w:val="00ED098A"/>
    <w:rsid w:val="00ED4F01"/>
    <w:rsid w:val="00ED693B"/>
    <w:rsid w:val="00ED6F96"/>
    <w:rsid w:val="00EE0131"/>
    <w:rsid w:val="00EE17B0"/>
    <w:rsid w:val="00EE1EAF"/>
    <w:rsid w:val="00EE3CB6"/>
    <w:rsid w:val="00EE4204"/>
    <w:rsid w:val="00EE4951"/>
    <w:rsid w:val="00EE5902"/>
    <w:rsid w:val="00EF06D9"/>
    <w:rsid w:val="00EF1E93"/>
    <w:rsid w:val="00EF2DF5"/>
    <w:rsid w:val="00F06525"/>
    <w:rsid w:val="00F06693"/>
    <w:rsid w:val="00F067BB"/>
    <w:rsid w:val="00F069F5"/>
    <w:rsid w:val="00F24017"/>
    <w:rsid w:val="00F2409D"/>
    <w:rsid w:val="00F262E9"/>
    <w:rsid w:val="00F30C64"/>
    <w:rsid w:val="00F32BA2"/>
    <w:rsid w:val="00F32CDB"/>
    <w:rsid w:val="00F41497"/>
    <w:rsid w:val="00F47D2E"/>
    <w:rsid w:val="00F47D66"/>
    <w:rsid w:val="00F50EAD"/>
    <w:rsid w:val="00F565FE"/>
    <w:rsid w:val="00F57A6E"/>
    <w:rsid w:val="00F61B85"/>
    <w:rsid w:val="00F61BFC"/>
    <w:rsid w:val="00F63A70"/>
    <w:rsid w:val="00F64A94"/>
    <w:rsid w:val="00F66F10"/>
    <w:rsid w:val="00F707D5"/>
    <w:rsid w:val="00F7099D"/>
    <w:rsid w:val="00F70EF6"/>
    <w:rsid w:val="00F71840"/>
    <w:rsid w:val="00F73587"/>
    <w:rsid w:val="00F7534E"/>
    <w:rsid w:val="00F76E57"/>
    <w:rsid w:val="00F82F47"/>
    <w:rsid w:val="00F85736"/>
    <w:rsid w:val="00F90938"/>
    <w:rsid w:val="00F918DA"/>
    <w:rsid w:val="00FA1802"/>
    <w:rsid w:val="00FA206D"/>
    <w:rsid w:val="00FA21D0"/>
    <w:rsid w:val="00FA3A03"/>
    <w:rsid w:val="00FA5F5F"/>
    <w:rsid w:val="00FA7EF3"/>
    <w:rsid w:val="00FB0B9D"/>
    <w:rsid w:val="00FB3512"/>
    <w:rsid w:val="00FB730C"/>
    <w:rsid w:val="00FB7FD8"/>
    <w:rsid w:val="00FC2695"/>
    <w:rsid w:val="00FC3E03"/>
    <w:rsid w:val="00FC3FC1"/>
    <w:rsid w:val="00FD3092"/>
    <w:rsid w:val="00FD507E"/>
    <w:rsid w:val="00FE333F"/>
    <w:rsid w:val="00FE3B0A"/>
    <w:rsid w:val="00FE4449"/>
    <w:rsid w:val="00FE4B43"/>
    <w:rsid w:val="00FF10C0"/>
    <w:rsid w:val="00FF1697"/>
    <w:rsid w:val="00FF2E46"/>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styleId="Testosegnaposto">
    <w:name w:val="Placeholder Text"/>
    <w:basedOn w:val="Carpredefinitoparagrafo"/>
    <w:uiPriority w:val="99"/>
    <w:semiHidden/>
    <w:rsid w:val="004F17FE"/>
    <w:rPr>
      <w:color w:val="808080"/>
    </w:rPr>
  </w:style>
  <w:style w:type="paragraph" w:styleId="Revisione">
    <w:name w:val="Revision"/>
    <w:hidden/>
    <w:uiPriority w:val="99"/>
    <w:semiHidden/>
    <w:rsid w:val="000A59A0"/>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279136">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047054">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3062175">
      <w:bodyDiv w:val="1"/>
      <w:marLeft w:val="0"/>
      <w:marRight w:val="0"/>
      <w:marTop w:val="0"/>
      <w:marBottom w:val="0"/>
      <w:divBdr>
        <w:top w:val="none" w:sz="0" w:space="0" w:color="auto"/>
        <w:left w:val="none" w:sz="0" w:space="0" w:color="auto"/>
        <w:bottom w:val="none" w:sz="0" w:space="0" w:color="auto"/>
        <w:right w:val="none" w:sz="0" w:space="0" w:color="auto"/>
      </w:divBdr>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299390">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517382194">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BFCDC1-3ECC-44A5-9E3A-AC34809CD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2777</Words>
  <Characters>15830</Characters>
  <Application>Microsoft Office Word</Application>
  <DocSecurity>0</DocSecurity>
  <Lines>131</Lines>
  <Paragraphs>37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18570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raffaella</dc:creator>
  <cp:lastModifiedBy>Federica Barontini</cp:lastModifiedBy>
  <cp:revision>2</cp:revision>
  <cp:lastPrinted>2015-05-12T18:31:00Z</cp:lastPrinted>
  <dcterms:created xsi:type="dcterms:W3CDTF">2022-04-05T13:35:00Z</dcterms:created>
  <dcterms:modified xsi:type="dcterms:W3CDTF">2022-04-05T13:35:00Z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Mendeley Document_1">
    <vt:lpwstr>True</vt:lpwstr>
  </property>
  <property fmtid="{D5CDD505-2E9C-101B-9397-08002B2CF9AE}" pid="5" name="Mendeley Unique User Id_1">
    <vt:lpwstr>5f8a2471-8fb0-3436-a7e8-f20ceb281831</vt:lpwstr>
  </property>
  <property fmtid="{D5CDD505-2E9C-101B-9397-08002B2CF9AE}" pid="6" name="Mendeley Recent Style Id 0_1">
    <vt:lpwstr>http://www.zotero.org/styles/american-political-science-association</vt:lpwstr>
  </property>
  <property fmtid="{D5CDD505-2E9C-101B-9397-08002B2CF9AE}" pid="7" name="Mendeley Recent Style Name 0_1">
    <vt:lpwstr>American Political Science Association</vt:lpwstr>
  </property>
  <property fmtid="{D5CDD505-2E9C-101B-9397-08002B2CF9AE}" pid="8" name="Mendeley Recent Style Id 1_1">
    <vt:lpwstr>http://www.zotero.org/styles/american-sociological-association</vt:lpwstr>
  </property>
  <property fmtid="{D5CDD505-2E9C-101B-9397-08002B2CF9AE}" pid="9" name="Mendeley Recent Style Name 1_1">
    <vt:lpwstr>American Sociological Association 6th edition</vt:lpwstr>
  </property>
  <property fmtid="{D5CDD505-2E9C-101B-9397-08002B2CF9AE}" pid="10" name="Mendeley Recent Style Id 2_1">
    <vt:lpwstr>http://www.zotero.org/styles/applied-energy</vt:lpwstr>
  </property>
  <property fmtid="{D5CDD505-2E9C-101B-9397-08002B2CF9AE}" pid="11" name="Mendeley Recent Style Name 2_1">
    <vt:lpwstr>Applied Energy</vt:lpwstr>
  </property>
  <property fmtid="{D5CDD505-2E9C-101B-9397-08002B2CF9AE}" pid="12" name="Mendeley Recent Style Id 3_1">
    <vt:lpwstr>http://www.zotero.org/styles/chicago-author-date</vt:lpwstr>
  </property>
  <property fmtid="{D5CDD505-2E9C-101B-9397-08002B2CF9AE}" pid="13" name="Mendeley Recent Style Name 3_1">
    <vt:lpwstr>Chicago Manual of Style 17th edition (author-date)</vt:lpwstr>
  </property>
  <property fmtid="{D5CDD505-2E9C-101B-9397-08002B2CF9AE}" pid="14" name="Mendeley Recent Style Id 4_1">
    <vt:lpwstr>http://www.zotero.org/styles/harvard-cite-them-right</vt:lpwstr>
  </property>
  <property fmtid="{D5CDD505-2E9C-101B-9397-08002B2CF9AE}" pid="15" name="Mendeley Recent Style Name 4_1">
    <vt:lpwstr>Cite Them Right 10th edition - Harvard</vt:lpwstr>
  </property>
  <property fmtid="{D5CDD505-2E9C-101B-9397-08002B2CF9AE}" pid="16" name="Mendeley Recent Style Id 5_1">
    <vt:lpwstr>http://www.zotero.org/styles/elsevier-vancouver</vt:lpwstr>
  </property>
  <property fmtid="{D5CDD505-2E9C-101B-9397-08002B2CF9AE}" pid="17" name="Mendeley Recent Style Name 5_1">
    <vt:lpwstr>Elsevier - Vancouver</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http://csl.mendeley.com/styles/enter-unique-style-id-here/ATI2021style</vt:lpwstr>
  </property>
  <property fmtid="{D5CDD505-2E9C-101B-9397-08002B2CF9AE}" pid="25" name="Mendeley Recent Style Name 9_1">
    <vt:lpwstr>No Title</vt:lpwstr>
  </property>
  <property fmtid="{D5CDD505-2E9C-101B-9397-08002B2CF9AE}" pid="26" name="Mendeley Citation Style_1">
    <vt:lpwstr>http://www.zotero.org/styles/chicago-author-date</vt:lpwstr>
  </property>
</Properties>
</file>