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fi-FI" w:eastAsia="fi-FI"/>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fi-FI" w:eastAsia="fi-FI"/>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3E11C0CB" w:rsidR="00E978D0" w:rsidRPr="00B57B36" w:rsidRDefault="00E56CD4" w:rsidP="00E978D0">
      <w:pPr>
        <w:pStyle w:val="CETTitle"/>
      </w:pPr>
      <w:r w:rsidRPr="00E56CD4">
        <w:t>Development of a bubbling circulating fluidized-bed reactor for biomass and waste gasification</w:t>
      </w:r>
    </w:p>
    <w:p w14:paraId="0488FED2" w14:textId="5D0DF3AC" w:rsidR="00B57E6F" w:rsidRPr="00C274B4" w:rsidRDefault="00E56CD4" w:rsidP="00B57E6F">
      <w:pPr>
        <w:pStyle w:val="CETAuthors"/>
        <w:rPr>
          <w:lang w:val="fi-FI"/>
        </w:rPr>
      </w:pPr>
      <w:r w:rsidRPr="00C274B4">
        <w:rPr>
          <w:lang w:val="fi-FI"/>
        </w:rPr>
        <w:t xml:space="preserve">Esa Kurkela, </w:t>
      </w:r>
      <w:r w:rsidR="005F445C" w:rsidRPr="00C274B4">
        <w:rPr>
          <w:lang w:val="fi-FI"/>
        </w:rPr>
        <w:t xml:space="preserve">Minna Kurkela &amp; </w:t>
      </w:r>
      <w:r w:rsidRPr="00C274B4">
        <w:rPr>
          <w:lang w:val="fi-FI"/>
        </w:rPr>
        <w:t>Sanna Tuomi</w:t>
      </w:r>
      <w:r w:rsidR="00B57E6F" w:rsidRPr="00C274B4">
        <w:rPr>
          <w:lang w:val="fi-FI"/>
        </w:rPr>
        <w:t xml:space="preserve"> </w:t>
      </w:r>
    </w:p>
    <w:p w14:paraId="6B2D21B3" w14:textId="2D716B30" w:rsidR="00B57E6F" w:rsidRPr="00B57B36" w:rsidRDefault="00E56CD4" w:rsidP="00B57E6F">
      <w:pPr>
        <w:pStyle w:val="CETAddress"/>
      </w:pPr>
      <w:r w:rsidRPr="00E56CD4">
        <w:t>VTT Technical Research Centre of Finland Ltd, P.O. Box 1000, FI-02044 VTT, Finland</w:t>
      </w:r>
      <w:r w:rsidR="00B57E6F" w:rsidRPr="00B57B36">
        <w:t xml:space="preserve"> </w:t>
      </w:r>
    </w:p>
    <w:p w14:paraId="73F1267A" w14:textId="33AB7F7A" w:rsidR="00B57E6F" w:rsidRPr="00B57B36" w:rsidRDefault="00E56CD4" w:rsidP="00B57E6F">
      <w:pPr>
        <w:pStyle w:val="CETemail"/>
      </w:pPr>
      <w:r>
        <w:t>esa</w:t>
      </w:r>
      <w:r w:rsidR="00B57E6F" w:rsidRPr="00B57B36">
        <w:t>.</w:t>
      </w:r>
      <w:r>
        <w:t>kurkela</w:t>
      </w:r>
      <w:r w:rsidR="00B57E6F" w:rsidRPr="00B57B36">
        <w:t>@</w:t>
      </w:r>
      <w:r>
        <w:t>vtt.fi</w:t>
      </w:r>
      <w:r w:rsidR="00B57E6F" w:rsidRPr="00B57B36">
        <w:t xml:space="preserve"> </w:t>
      </w:r>
    </w:p>
    <w:p w14:paraId="0325CF97" w14:textId="443BA5E3" w:rsidR="00E56CD4" w:rsidRPr="008E001D" w:rsidRDefault="00E56CD4" w:rsidP="00E56CD4">
      <w:pPr>
        <w:pStyle w:val="CETBodytext"/>
      </w:pPr>
      <w:r w:rsidRPr="008E001D">
        <w:t>The Bubbling Circulating Fluidi</w:t>
      </w:r>
      <w:r w:rsidR="00F30DF5">
        <w:t>z</w:t>
      </w:r>
      <w:r w:rsidRPr="008E001D">
        <w:t>ed-Bed (BCFB) gasifier described in this paper is based on a combination of the two fluidized-bed reactor types: a bubbling and a circulating fluidized-bed. The BCFB gasifier was originally developed in the early 2000s and designed for air-blown gasification of waste-derived feedstocks that have very high volatile matter content resulting in high tar concentration in the raw product gas. In an ongoing EU project FlexSNG, the BCFB gasification technology is now adapted for the co-production of biochar and synthesis-quality gas, using steam and oxygen as fluidizing gases.</w:t>
      </w:r>
      <w:r w:rsidR="006359E7">
        <w:t xml:space="preserve"> </w:t>
      </w:r>
      <w:r w:rsidRPr="008E001D">
        <w:t xml:space="preserve">In this paper, the pilot-scale development of the BCFB gasifier in air-blown operation with wood residues and a waste-derived feedstock is firstly presented. Then, the use of this gasifier design for </w:t>
      </w:r>
      <w:r w:rsidR="004C21D0">
        <w:t xml:space="preserve">the </w:t>
      </w:r>
      <w:r w:rsidRPr="008E001D">
        <w:t xml:space="preserve">co-production of biochar and synthesis gas is described and the results from preliminary process simulations are presented. </w:t>
      </w:r>
      <w:r w:rsidR="00F216C2">
        <w:t>Estimated process performances are shown for two operation modes. In th</w:t>
      </w:r>
      <w:r w:rsidR="007E37DE">
        <w:t>e</w:t>
      </w:r>
      <w:r w:rsidR="00F216C2">
        <w:t xml:space="preserve"> maximized synthesi</w:t>
      </w:r>
      <w:r w:rsidR="007E37DE">
        <w:t>s</w:t>
      </w:r>
      <w:r w:rsidR="00F216C2">
        <w:t xml:space="preserve"> gas mode, the gasifier is operated at </w:t>
      </w:r>
      <w:r w:rsidR="00F216C2" w:rsidRPr="00F216C2">
        <w:t>900 °C resulting in a similar performance to a conventional CFB gasifier</w:t>
      </w:r>
      <w:r w:rsidR="00F216C2">
        <w:t xml:space="preserve">. </w:t>
      </w:r>
      <w:r w:rsidRPr="008E001D">
        <w:t xml:space="preserve">In co-production operation mode, the bottom section of the BCFB gasifier acts as the carbonization zone producing good-quality biochar, which is recovered from the bottom of the gasifier. </w:t>
      </w:r>
    </w:p>
    <w:p w14:paraId="476B2F2E" w14:textId="3FD6465D" w:rsidR="00600535" w:rsidRPr="008E001D" w:rsidRDefault="00600535" w:rsidP="00600535">
      <w:pPr>
        <w:pStyle w:val="CETHeading1"/>
      </w:pPr>
      <w:r w:rsidRPr="008E001D">
        <w:t>Introduction</w:t>
      </w:r>
    </w:p>
    <w:p w14:paraId="1A563108" w14:textId="62C15C87" w:rsidR="00881802" w:rsidRDefault="004C21D0" w:rsidP="00881802">
      <w:pPr>
        <w:pStyle w:val="CETBodytext"/>
      </w:pPr>
      <w:r>
        <w:t>A f</w:t>
      </w:r>
      <w:r w:rsidR="008E001D" w:rsidRPr="008E001D">
        <w:t xml:space="preserve">luidized-bed reactor is one of the leading reactor types applied for biomass and waste gasification. </w:t>
      </w:r>
      <w:r w:rsidR="008E001D">
        <w:t>I</w:t>
      </w:r>
      <w:r w:rsidR="008E001D" w:rsidRPr="008E001D">
        <w:t xml:space="preserve">t is especially suitable for inhomogeneous </w:t>
      </w:r>
      <w:r w:rsidR="008E001D">
        <w:t xml:space="preserve">feedstocks that have high volatile matter content and high char reactivity. The massive bed stabilizes the pyrolysis, gasification and combustion reactions and helps to maintain good mixing of the reacting feedstock particles and gasification agents. </w:t>
      </w:r>
      <w:r w:rsidR="000D347D">
        <w:t xml:space="preserve">Often the temperature distribution throughout the gasifier is also rather uniform, which is not the case </w:t>
      </w:r>
      <w:r w:rsidR="00AC2647">
        <w:t>i</w:t>
      </w:r>
      <w:r w:rsidR="000D347D">
        <w:t>n fixed-bed or entrained flow gasifiers. The two basic types of the fluidized-bed gasifier and the third modified version used in the test</w:t>
      </w:r>
      <w:r w:rsidR="006219C7">
        <w:t>s</w:t>
      </w:r>
      <w:r w:rsidR="000D347D">
        <w:t xml:space="preserve"> of this paper are illustrated in Figure 1. </w:t>
      </w:r>
      <w:r w:rsidR="006219C7">
        <w:t>The circulating fluidized-bed (CFB) is nowadays commonly used in air-blown biomass and waste gasification applications</w:t>
      </w:r>
      <w:r w:rsidR="00CD018D">
        <w:t xml:space="preserve"> </w:t>
      </w:r>
      <w:r w:rsidR="008C51A4">
        <w:t>(</w:t>
      </w:r>
      <w:r w:rsidR="008C51A4" w:rsidRPr="008C51A4">
        <w:t>Isaksson, 2015</w:t>
      </w:r>
      <w:r w:rsidR="008C51A4">
        <w:t>)</w:t>
      </w:r>
      <w:r w:rsidR="006219C7">
        <w:t xml:space="preserve">, while the bubbling fluidized-bed (BFB) was commercialized already in </w:t>
      </w:r>
      <w:r>
        <w:t xml:space="preserve">the </w:t>
      </w:r>
      <w:r w:rsidR="006219C7">
        <w:t>1920s for coal gasification</w:t>
      </w:r>
      <w:r w:rsidR="002E2CB8">
        <w:t xml:space="preserve"> and has </w:t>
      </w:r>
      <w:r w:rsidR="00CD018D">
        <w:t>later</w:t>
      </w:r>
      <w:r w:rsidR="002E2CB8">
        <w:t xml:space="preserve"> been used also for biomass gasification</w:t>
      </w:r>
      <w:r w:rsidR="00CD018D">
        <w:t xml:space="preserve"> (Hofbauer, 2019)</w:t>
      </w:r>
      <w:r w:rsidR="006219C7">
        <w:t>.</w:t>
      </w:r>
      <w:r w:rsidR="00B64041">
        <w:t xml:space="preserve"> In the CFB design of Figure 1</w:t>
      </w:r>
      <w:r w:rsidR="00CD018D">
        <w:t>,</w:t>
      </w:r>
      <w:r w:rsidR="00B64041">
        <w:t xml:space="preserve"> a high-volatile-matter feedstock, such as biomass or waste, is pyroly</w:t>
      </w:r>
      <w:r w:rsidR="00CD018D">
        <w:t>z</w:t>
      </w:r>
      <w:r w:rsidR="00B64041">
        <w:t>ed in the upper part of the gasifier and the charcoal is recycled back to the bottom of the gasifier together with the recycling bed material, sand and/or dolomite. This principle leads to high carbon conversion as the oxygen of the fluidization gas is reacting primarily with the charcoal instead of burning gases and tars rel</w:t>
      </w:r>
      <w:r w:rsidR="00AC2647">
        <w:t>eas</w:t>
      </w:r>
      <w:r w:rsidR="00B64041">
        <w:t xml:space="preserve">ed from the volatile matter. High fluidizing velocities together with the presence of bed particles throughout the reactor help in avoiding ash-related problems such as bed sintering and deposit formation in the upper part of the reactor. </w:t>
      </w:r>
      <w:r w:rsidR="00AA6A3A">
        <w:t>In the BFB design</w:t>
      </w:r>
      <w:r w:rsidR="00050688">
        <w:t>,</w:t>
      </w:r>
      <w:r w:rsidR="00AA6A3A">
        <w:t xml:space="preserve"> the feedstock is fed into the massive bubbling bed where the pyrolysis and secondary tar decomposition reactions also take place. In this process</w:t>
      </w:r>
      <w:r w:rsidR="00CD018D">
        <w:t>,</w:t>
      </w:r>
      <w:r w:rsidR="00AA6A3A">
        <w:t xml:space="preserve"> the </w:t>
      </w:r>
      <w:r w:rsidR="00CD018D">
        <w:t>released</w:t>
      </w:r>
      <w:r w:rsidR="00AA6A3A">
        <w:t xml:space="preserve"> volatile matter </w:t>
      </w:r>
      <w:r w:rsidR="00CD018D">
        <w:t xml:space="preserve">may also </w:t>
      </w:r>
      <w:r w:rsidR="00AA6A3A">
        <w:t>react with oxygen, which usually leads to lower tar contents than in CFB gasifiers. However, the carbon conversion is more dependent on steam and CO</w:t>
      </w:r>
      <w:r w:rsidR="00AA6A3A" w:rsidRPr="00AA6A3A">
        <w:rPr>
          <w:vertAlign w:val="subscript"/>
        </w:rPr>
        <w:t>2</w:t>
      </w:r>
      <w:r w:rsidR="00AA6A3A">
        <w:t xml:space="preserve"> gasification reactions which are know</w:t>
      </w:r>
      <w:r>
        <w:t>n</w:t>
      </w:r>
      <w:r w:rsidR="00AA6A3A">
        <w:t xml:space="preserve"> to be significantly slower than combustion reactions. Consequently, the carbon conversion usually is lower in the BFB gasifiers</w:t>
      </w:r>
      <w:r>
        <w:t>,</w:t>
      </w:r>
      <w:r w:rsidR="00AA6A3A">
        <w:t xml:space="preserve"> and recycling the cyclone fines is rather inefficient. </w:t>
      </w:r>
      <w:r w:rsidR="00CD018D">
        <w:t>In addition, the r</w:t>
      </w:r>
      <w:r w:rsidR="00AA6A3A">
        <w:t xml:space="preserve">ecycling line </w:t>
      </w:r>
      <w:r>
        <w:t>tends</w:t>
      </w:r>
      <w:r w:rsidR="00AA6A3A">
        <w:t xml:space="preserve"> to </w:t>
      </w:r>
      <w:r w:rsidR="00050688">
        <w:t>get</w:t>
      </w:r>
      <w:r w:rsidR="00AA6A3A">
        <w:t xml:space="preserve"> blocked as the biomass-derived charcoal has a very low bulk density </w:t>
      </w:r>
      <w:r w:rsidR="000032DF">
        <w:t>and small particle size</w:t>
      </w:r>
      <w:r>
        <w:t>,</w:t>
      </w:r>
      <w:r w:rsidR="000032DF">
        <w:t xml:space="preserve"> </w:t>
      </w:r>
      <w:r w:rsidR="00AA6A3A">
        <w:t>an</w:t>
      </w:r>
      <w:r w:rsidR="000032DF">
        <w:t xml:space="preserve">d the recycling mass flow is </w:t>
      </w:r>
      <w:r w:rsidR="00CD018D">
        <w:t>rather small (Koljonen et al, 1993)</w:t>
      </w:r>
      <w:r w:rsidR="000032DF">
        <w:t xml:space="preserve">. BFB </w:t>
      </w:r>
      <w:r w:rsidR="000032DF">
        <w:lastRenderedPageBreak/>
        <w:t>gasifiers are also more sensitive to feedstock particle size distribution</w:t>
      </w:r>
      <w:r>
        <w:t xml:space="preserve"> than CFBs</w:t>
      </w:r>
      <w:r w:rsidR="000032DF">
        <w:t>. Fines escape from the dense bed and are pyroly</w:t>
      </w:r>
      <w:r>
        <w:t>z</w:t>
      </w:r>
      <w:r w:rsidR="000032DF">
        <w:t>ed in the practically empty freeboard, while in the CFB</w:t>
      </w:r>
      <w:r w:rsidR="00CD018D">
        <w:t>,</w:t>
      </w:r>
      <w:r w:rsidR="000032DF">
        <w:t xml:space="preserve"> the recycling bed particles offer catalyzing surfaces for tar decomposition also in the upper part of the reactor.  </w:t>
      </w:r>
    </w:p>
    <w:p w14:paraId="70B581FE" w14:textId="249FD9B2" w:rsidR="002141DE" w:rsidRPr="002047AF" w:rsidRDefault="00F80057" w:rsidP="000775AC">
      <w:pPr>
        <w:pStyle w:val="CETCaption"/>
        <w:jc w:val="left"/>
        <w:rPr>
          <w:i w:val="0"/>
          <w:iCs/>
        </w:rPr>
      </w:pPr>
      <w:r>
        <w:rPr>
          <w:noProof/>
          <w:lang w:val="fi-FI" w:eastAsia="fi-FI"/>
        </w:rPr>
        <w:drawing>
          <wp:inline distT="0" distB="0" distL="0" distR="0" wp14:anchorId="38B43316" wp14:editId="12469D2F">
            <wp:extent cx="3680946" cy="2347355"/>
            <wp:effectExtent l="19050" t="19050" r="1524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4125" cy="2355759"/>
                    </a:xfrm>
                    <a:prstGeom prst="rect">
                      <a:avLst/>
                    </a:prstGeom>
                    <a:noFill/>
                    <a:ln w="6350">
                      <a:solidFill>
                        <a:schemeClr val="bg1">
                          <a:lumMod val="65000"/>
                        </a:schemeClr>
                      </a:solidFill>
                    </a:ln>
                  </pic:spPr>
                </pic:pic>
              </a:graphicData>
            </a:graphic>
          </wp:inline>
        </w:drawing>
      </w:r>
      <w:r w:rsidR="00085FFC" w:rsidRPr="00085FFC">
        <w:t xml:space="preserve"> </w:t>
      </w:r>
      <w:r w:rsidR="002047AF">
        <w:rPr>
          <w:noProof/>
          <w:lang w:val="fi-FI" w:eastAsia="fi-FI"/>
        </w:rPr>
        <w:drawing>
          <wp:inline distT="0" distB="0" distL="0" distR="0" wp14:anchorId="2CB1F5B6" wp14:editId="00903DE9">
            <wp:extent cx="1581150" cy="2356450"/>
            <wp:effectExtent l="19050" t="19050" r="1905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4153" cy="2375829"/>
                    </a:xfrm>
                    <a:prstGeom prst="rect">
                      <a:avLst/>
                    </a:prstGeom>
                    <a:noFill/>
                    <a:ln w="6350">
                      <a:solidFill>
                        <a:schemeClr val="bg1">
                          <a:lumMod val="65000"/>
                        </a:schemeClr>
                      </a:solidFill>
                    </a:ln>
                  </pic:spPr>
                </pic:pic>
              </a:graphicData>
            </a:graphic>
          </wp:inline>
        </w:drawing>
      </w:r>
    </w:p>
    <w:p w14:paraId="42D9292D" w14:textId="11354CC6" w:rsidR="00433E8F" w:rsidRDefault="00433E8F" w:rsidP="00433E8F">
      <w:pPr>
        <w:pStyle w:val="CETCaption"/>
      </w:pPr>
      <w:r w:rsidRPr="001A4D3B">
        <w:t>Figure 1</w:t>
      </w:r>
      <w:r w:rsidR="000775AC">
        <w:t>:</w:t>
      </w:r>
      <w:r w:rsidR="00085FFC" w:rsidRPr="00085FFC">
        <w:t xml:space="preserve"> </w:t>
      </w:r>
      <w:r w:rsidR="002141DE">
        <w:t>Basic fluidized-bed gasifier types</w:t>
      </w:r>
      <w:r w:rsidR="00085FFC">
        <w:t xml:space="preserve"> and a photograph of the BCFB pilot gasifier.</w:t>
      </w:r>
    </w:p>
    <w:p w14:paraId="4C43EC16" w14:textId="117A187F" w:rsidR="002E2CB8" w:rsidRPr="008E001D" w:rsidRDefault="002E2CB8" w:rsidP="002E2CB8">
      <w:pPr>
        <w:pStyle w:val="CETBodytext"/>
      </w:pPr>
      <w:r w:rsidRPr="008E001D">
        <w:t xml:space="preserve">The BCFB gasifier </w:t>
      </w:r>
      <w:r w:rsidR="000032DF">
        <w:t xml:space="preserve">applied in this study </w:t>
      </w:r>
      <w:r w:rsidRPr="008E001D">
        <w:t>is essentially a combination of a bubbling fluidized-bed (BFB) bottom and a circulating fluidized</w:t>
      </w:r>
      <w:r w:rsidR="00F27711">
        <w:t>-</w:t>
      </w:r>
      <w:r w:rsidRPr="008E001D">
        <w:t>bed (CFB) top thus coupling the benefits of both reactor technologies. In this process, the feeding of gasification agents (air or a mixture of steam and oxygen) is divided into primary and secondary feeds. A mixture of coarse and finer bed material, sand and dolomite, is used to achieve a stable bubbling bed at the bottom of the reactor and a circulating fluidized</w:t>
      </w:r>
      <w:r w:rsidR="00F27711">
        <w:t xml:space="preserve"> </w:t>
      </w:r>
      <w:r w:rsidRPr="008E001D">
        <w:t xml:space="preserve">bed above the dense bed. The upper part of the reactor operates in circulating fluidized-bed mode with the purpose of partially decomposing tars before subsequent clean-up steps and thus preventing tar-related issues downstream the gasifier, e.g. tar deposition, filter blinding, or catalyst coking. This is achieved by introducing a catalytically active bed material (e.g. </w:t>
      </w:r>
      <w:r w:rsidR="00AC2647">
        <w:t xml:space="preserve">limestone or </w:t>
      </w:r>
      <w:r w:rsidRPr="008E001D">
        <w:t xml:space="preserve">dolomite) in the top section and elevating the temperature to 850-900 °C through secondary air or steam and oxygen injection. The presence of fine particles provides the required active surfaces for tar decomposition reactions. </w:t>
      </w:r>
    </w:p>
    <w:p w14:paraId="2BC9F191" w14:textId="77777777" w:rsidR="00881802" w:rsidRDefault="00881802" w:rsidP="00453E24">
      <w:pPr>
        <w:pStyle w:val="CETHeading1"/>
      </w:pPr>
      <w:r>
        <w:t xml:space="preserve">Experimental </w:t>
      </w:r>
    </w:p>
    <w:p w14:paraId="5741900F" w14:textId="01382EFC" w:rsidR="00453E24" w:rsidRDefault="00881802" w:rsidP="00881802">
      <w:pPr>
        <w:pStyle w:val="CETheadingx"/>
      </w:pPr>
      <w:r>
        <w:t>BCFB pilot plant</w:t>
      </w:r>
    </w:p>
    <w:p w14:paraId="3824B40E" w14:textId="7A23CE4B" w:rsidR="00085035" w:rsidRDefault="004F373D" w:rsidP="00503012">
      <w:pPr>
        <w:pStyle w:val="CETBodytext"/>
      </w:pPr>
      <w:r w:rsidRPr="004F373D">
        <w:t xml:space="preserve">The gasification tests were carried out with </w:t>
      </w:r>
      <w:r>
        <w:t xml:space="preserve">the </w:t>
      </w:r>
      <w:r w:rsidRPr="004F373D">
        <w:t>atmospheric pressure Bubbling Fluidi</w:t>
      </w:r>
      <w:r>
        <w:t>z</w:t>
      </w:r>
      <w:r w:rsidRPr="004F373D">
        <w:t>ed-Bed (BFB) gasification pilot plant facility</w:t>
      </w:r>
      <w:r>
        <w:t xml:space="preserve">, which had a maximum feedstock capacity corresponding to </w:t>
      </w:r>
      <w:r w:rsidR="00050688">
        <w:t>1</w:t>
      </w:r>
      <w:r>
        <w:t xml:space="preserve"> MW</w:t>
      </w:r>
      <w:r w:rsidRPr="004F373D">
        <w:t>.</w:t>
      </w:r>
      <w:r w:rsidR="00050688">
        <w:t xml:space="preserve"> The gasification reactor was constructed according to the BCFB </w:t>
      </w:r>
      <w:r w:rsidR="00A9161D">
        <w:t xml:space="preserve">configuration </w:t>
      </w:r>
      <w:r w:rsidR="00050688">
        <w:t xml:space="preserve">presented in Figure 1. </w:t>
      </w:r>
      <w:r w:rsidRPr="004F373D">
        <w:t xml:space="preserve"> </w:t>
      </w:r>
      <w:r>
        <w:t>Air and a small amount of steam w</w:t>
      </w:r>
      <w:r w:rsidR="003F274C">
        <w:t>ere</w:t>
      </w:r>
      <w:r>
        <w:t xml:space="preserve"> used as the primary fluidization gas. In addition, secondary air was introduced to the upper part of the reactor through </w:t>
      </w:r>
      <w:r w:rsidRPr="004F373D">
        <w:t xml:space="preserve">12 nozzles, which </w:t>
      </w:r>
      <w:r w:rsidR="00050688">
        <w:t>were</w:t>
      </w:r>
      <w:r w:rsidR="003F274C">
        <w:t xml:space="preserve"> </w:t>
      </w:r>
      <w:r>
        <w:t>located at three</w:t>
      </w:r>
      <w:r w:rsidRPr="004F373D">
        <w:t xml:space="preserve"> </w:t>
      </w:r>
      <w:r>
        <w:t>vertical l</w:t>
      </w:r>
      <w:r w:rsidRPr="004F373D">
        <w:t>evels</w:t>
      </w:r>
      <w:r>
        <w:t xml:space="preserve">, </w:t>
      </w:r>
      <w:r w:rsidRPr="004F373D">
        <w:t>3.0</w:t>
      </w:r>
      <w:r>
        <w:t>,</w:t>
      </w:r>
      <w:r w:rsidRPr="004F373D">
        <w:t xml:space="preserve"> 3.6</w:t>
      </w:r>
      <w:r w:rsidR="003F274C">
        <w:t>,</w:t>
      </w:r>
      <w:r w:rsidRPr="004F373D">
        <w:t xml:space="preserve"> and 4.2 m</w:t>
      </w:r>
      <w:r>
        <w:t>eters</w:t>
      </w:r>
      <w:r w:rsidRPr="004F373D">
        <w:t xml:space="preserve"> above the primary air distributor</w:t>
      </w:r>
      <w:r>
        <w:t xml:space="preserve">. The diameter and height of the lower dense bed section were 450 mm and </w:t>
      </w:r>
      <w:r w:rsidR="008311E0">
        <w:t>2</w:t>
      </w:r>
      <w:r>
        <w:t>200 mm respectively. T</w:t>
      </w:r>
      <w:r w:rsidR="007563DD">
        <w:t>he t</w:t>
      </w:r>
      <w:r>
        <w:t xml:space="preserve">otal effective gasifier height (from the air distributor to the gas outlet pipe) was </w:t>
      </w:r>
      <w:r w:rsidR="008311E0">
        <w:t>7.3</w:t>
      </w:r>
      <w:r>
        <w:t xml:space="preserve"> m</w:t>
      </w:r>
      <w:r w:rsidR="008311E0">
        <w:t xml:space="preserve"> and the diameter in the upper part was 650 mm.</w:t>
      </w:r>
      <w:r>
        <w:t xml:space="preserve"> </w:t>
      </w:r>
      <w:r w:rsidR="00503012">
        <w:t xml:space="preserve">The center of the fuel feeding port </w:t>
      </w:r>
      <w:r w:rsidR="007563DD">
        <w:t xml:space="preserve">was </w:t>
      </w:r>
      <w:r w:rsidR="00503012">
        <w:t xml:space="preserve">located </w:t>
      </w:r>
      <w:r w:rsidR="008311E0">
        <w:t>490</w:t>
      </w:r>
      <w:r w:rsidR="00503012">
        <w:t xml:space="preserve"> mm and the recycling line </w:t>
      </w:r>
      <w:r w:rsidR="008311E0">
        <w:t>690 mm</w:t>
      </w:r>
      <w:r w:rsidR="00503012">
        <w:t xml:space="preserve"> above the distributor plate. The amount of bed material in the gasifier was controlled based on the pressure measurements so that the level of the dense bed was kept ca. 10 cm above the connection for the recycling pipe. After the recycling cyclone</w:t>
      </w:r>
      <w:r w:rsidR="007563DD">
        <w:t>,</w:t>
      </w:r>
      <w:r w:rsidR="00503012">
        <w:t xml:space="preserve"> the product gas was led through two heat exchangers, in which the gas was cooled to the target filtration temperature. The first gas cooler was equipped with vertical cooling tubes and the raw gas flew from top to bottom. Pressurized water at 1</w:t>
      </w:r>
      <w:r w:rsidR="00AC2647">
        <w:t>4</w:t>
      </w:r>
      <w:r w:rsidR="00503012">
        <w:t xml:space="preserve">0-160 </w:t>
      </w:r>
      <w:r w:rsidR="00503012">
        <w:rPr>
          <w:rFonts w:cs="Arial"/>
        </w:rPr>
        <w:t>°</w:t>
      </w:r>
      <w:r w:rsidR="00503012">
        <w:t>C was used as a cooling medi</w:t>
      </w:r>
      <w:r w:rsidR="007563DD">
        <w:t>um</w:t>
      </w:r>
      <w:r w:rsidR="00503012">
        <w:t xml:space="preserve">. The secondary gas cooler was equipped with five horizontal cooling tube blocks. Steam with </w:t>
      </w:r>
      <w:r w:rsidR="007563DD">
        <w:t xml:space="preserve">an </w:t>
      </w:r>
      <w:r w:rsidR="00503012">
        <w:t xml:space="preserve">inlet temperature of 170 </w:t>
      </w:r>
      <w:r w:rsidR="00503012">
        <w:rPr>
          <w:rFonts w:cs="Arial"/>
        </w:rPr>
        <w:t>°</w:t>
      </w:r>
      <w:r w:rsidR="00503012">
        <w:t xml:space="preserve">C was used as a cooling media. The cooled product gas was filtered with a bag filter unit including </w:t>
      </w:r>
      <w:r w:rsidR="00503012" w:rsidRPr="00503012">
        <w:t>36 bags of FB900 supplied by 3M company</w:t>
      </w:r>
      <w:r w:rsidR="00085035">
        <w:t>. In the test</w:t>
      </w:r>
      <w:r w:rsidR="007563DD">
        <w:t>s</w:t>
      </w:r>
      <w:r w:rsidR="00085035">
        <w:t xml:space="preserve"> of this paper, t</w:t>
      </w:r>
      <w:r w:rsidR="00503012">
        <w:t xml:space="preserve">he </w:t>
      </w:r>
      <w:r w:rsidR="00085035">
        <w:t xml:space="preserve">filter was operated </w:t>
      </w:r>
      <w:r w:rsidR="00503012">
        <w:t xml:space="preserve">at </w:t>
      </w:r>
      <w:r w:rsidR="00503012" w:rsidRPr="00126481">
        <w:t>3</w:t>
      </w:r>
      <w:r w:rsidR="00126481" w:rsidRPr="00126481">
        <w:t>50</w:t>
      </w:r>
      <w:r w:rsidR="00503012" w:rsidRPr="00126481">
        <w:t>-</w:t>
      </w:r>
      <w:r w:rsidR="00126481" w:rsidRPr="00126481">
        <w:t>400</w:t>
      </w:r>
      <w:r w:rsidR="00503012">
        <w:t xml:space="preserve"> </w:t>
      </w:r>
      <w:r w:rsidR="00085035">
        <w:rPr>
          <w:rFonts w:cs="Arial"/>
        </w:rPr>
        <w:t>°</w:t>
      </w:r>
      <w:r w:rsidR="00503012">
        <w:t>C.</w:t>
      </w:r>
    </w:p>
    <w:p w14:paraId="4D24910D" w14:textId="70C16105" w:rsidR="00881802" w:rsidRDefault="00881802" w:rsidP="00881802">
      <w:pPr>
        <w:pStyle w:val="CETheadingx"/>
      </w:pPr>
      <w:r>
        <w:t>Gasifier feedstocks</w:t>
      </w:r>
    </w:p>
    <w:p w14:paraId="3701815B" w14:textId="19182265" w:rsidR="00405F1E" w:rsidRDefault="00085035" w:rsidP="00D27002">
      <w:pPr>
        <w:pStyle w:val="CETBodytext"/>
      </w:pPr>
      <w:r w:rsidRPr="00085035">
        <w:t xml:space="preserve">The first test week </w:t>
      </w:r>
      <w:r w:rsidR="00C34B8D">
        <w:t xml:space="preserve">of this paper </w:t>
      </w:r>
      <w:r w:rsidRPr="00085035">
        <w:t xml:space="preserve">was realized with rather clean </w:t>
      </w:r>
      <w:r w:rsidR="002C122E">
        <w:t>waste</w:t>
      </w:r>
      <w:r w:rsidRPr="00085035">
        <w:t xml:space="preserve"> wood and the </w:t>
      </w:r>
      <w:r>
        <w:t xml:space="preserve">second </w:t>
      </w:r>
      <w:r w:rsidRPr="00085035">
        <w:t xml:space="preserve">week with two </w:t>
      </w:r>
      <w:r w:rsidR="003C4290">
        <w:t>s</w:t>
      </w:r>
      <w:r w:rsidRPr="00085035">
        <w:t xml:space="preserve">olid </w:t>
      </w:r>
      <w:r w:rsidR="003C4290">
        <w:t>r</w:t>
      </w:r>
      <w:r w:rsidRPr="00085035">
        <w:t xml:space="preserve">ecovered </w:t>
      </w:r>
      <w:r w:rsidR="003C4290">
        <w:t>f</w:t>
      </w:r>
      <w:r w:rsidRPr="00085035">
        <w:t xml:space="preserve">uel (SRF) qualities.  </w:t>
      </w:r>
      <w:r w:rsidR="00405F1E" w:rsidRPr="009423CC">
        <w:t>Table 1 below presents the averaged results for the analy</w:t>
      </w:r>
      <w:r w:rsidR="00405F1E">
        <w:t>s</w:t>
      </w:r>
      <w:r w:rsidR="00405F1E" w:rsidRPr="009423CC">
        <w:t>es of the feedstocks used in the test campaigns. SRF</w:t>
      </w:r>
      <w:r w:rsidR="00C34B8D">
        <w:t>2</w:t>
      </w:r>
      <w:r w:rsidR="00405F1E" w:rsidRPr="009423CC">
        <w:t xml:space="preserve"> w</w:t>
      </w:r>
      <w:r w:rsidR="00E52024">
        <w:t>as</w:t>
      </w:r>
      <w:r w:rsidR="00405F1E" w:rsidRPr="009423CC">
        <w:t xml:space="preserve"> in the form of pellets</w:t>
      </w:r>
      <w:r w:rsidR="00E52024">
        <w:t xml:space="preserve"> and</w:t>
      </w:r>
      <w:r w:rsidR="00405F1E" w:rsidRPr="009423CC">
        <w:t xml:space="preserve"> </w:t>
      </w:r>
      <w:r w:rsidR="00E52024">
        <w:t xml:space="preserve">it </w:t>
      </w:r>
      <w:r w:rsidR="00405F1E" w:rsidRPr="009423CC">
        <w:t xml:space="preserve">had </w:t>
      </w:r>
      <w:r w:rsidR="003C4290">
        <w:t xml:space="preserve">low moisture and high </w:t>
      </w:r>
      <w:r w:rsidR="00405F1E" w:rsidRPr="009423CC">
        <w:t xml:space="preserve">plastic content </w:t>
      </w:r>
      <w:r w:rsidR="00405F1E" w:rsidRPr="009423CC">
        <w:lastRenderedPageBreak/>
        <w:t>and a very high volatile matter content. SRF</w:t>
      </w:r>
      <w:r w:rsidR="00C34B8D">
        <w:t>1</w:t>
      </w:r>
      <w:r w:rsidR="00405F1E" w:rsidRPr="009423CC">
        <w:t xml:space="preserve"> </w:t>
      </w:r>
      <w:r w:rsidR="00405F1E">
        <w:t xml:space="preserve">originated from municipal </w:t>
      </w:r>
      <w:r w:rsidR="003C4290">
        <w:t xml:space="preserve">solid </w:t>
      </w:r>
      <w:r w:rsidR="00405F1E">
        <w:t xml:space="preserve">waste </w:t>
      </w:r>
      <w:r w:rsidR="003C4290">
        <w:t xml:space="preserve">(MSW) </w:t>
      </w:r>
      <w:r w:rsidR="00E52024">
        <w:t>and it was not pelletized but had been just crushed to below 20 mm sieve. SRF</w:t>
      </w:r>
      <w:r w:rsidR="00AC2647">
        <w:t>1</w:t>
      </w:r>
      <w:r w:rsidR="00E52024">
        <w:t xml:space="preserve"> had </w:t>
      </w:r>
      <w:r w:rsidR="00405F1E">
        <w:t xml:space="preserve">higher </w:t>
      </w:r>
      <w:r w:rsidR="00E52024">
        <w:t xml:space="preserve">moisture and </w:t>
      </w:r>
      <w:r w:rsidR="00405F1E">
        <w:t>ash content</w:t>
      </w:r>
      <w:r w:rsidR="00E52024">
        <w:t>s</w:t>
      </w:r>
      <w:r w:rsidR="00405F1E">
        <w:t xml:space="preserve"> and </w:t>
      </w:r>
      <w:r w:rsidR="003C4290">
        <w:t xml:space="preserve">a </w:t>
      </w:r>
      <w:r w:rsidR="00405F1E">
        <w:t>low</w:t>
      </w:r>
      <w:r w:rsidR="00E52024">
        <w:t>e</w:t>
      </w:r>
      <w:r w:rsidR="00405F1E">
        <w:t>r heating value than SRF</w:t>
      </w:r>
      <w:r w:rsidR="00AC2647">
        <w:t>2</w:t>
      </w:r>
      <w:r w:rsidR="00405F1E">
        <w:t xml:space="preserve">. </w:t>
      </w:r>
      <w:r w:rsidR="002C122E">
        <w:t xml:space="preserve">Waste </w:t>
      </w:r>
      <w:r w:rsidR="00405F1E" w:rsidRPr="009423CC">
        <w:t xml:space="preserve">wood chips were crushed below 10 mm sieve before use. </w:t>
      </w:r>
      <w:r w:rsidR="00DE21B2">
        <w:t xml:space="preserve">Mixtures of silica sand with a wide particle size distribution of 0.1-0.8 mm and limestone Parfil P3 </w:t>
      </w:r>
      <w:r w:rsidR="00295CB7">
        <w:t xml:space="preserve">(of 0.1-0.9 mm) </w:t>
      </w:r>
      <w:r w:rsidR="00DE21B2">
        <w:t>were used as the bed material.</w:t>
      </w:r>
    </w:p>
    <w:p w14:paraId="2966B074" w14:textId="77777777" w:rsidR="00D27002" w:rsidRDefault="00D27002" w:rsidP="00D27002">
      <w:pPr>
        <w:pStyle w:val="CETBodytext"/>
      </w:pPr>
    </w:p>
    <w:p w14:paraId="7B5A1BF4" w14:textId="5819CC84" w:rsidR="00EF4957" w:rsidRPr="005F5799" w:rsidRDefault="00EF4957" w:rsidP="00D27002">
      <w:pPr>
        <w:pStyle w:val="CETTabletitle"/>
        <w:spacing w:before="0" w:after="0" w:line="264" w:lineRule="auto"/>
      </w:pPr>
      <w:bookmarkStart w:id="0" w:name="OLE_LINK1"/>
      <w:r w:rsidRPr="005F5799">
        <w:t xml:space="preserve">Table 1: </w:t>
      </w:r>
      <w:r w:rsidRPr="00126481">
        <w:t>Feedstock analyses as used in the gasification campaigns.</w:t>
      </w:r>
      <w:r w:rsidRPr="005F5799">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709"/>
        <w:gridCol w:w="992"/>
        <w:gridCol w:w="709"/>
        <w:gridCol w:w="613"/>
        <w:gridCol w:w="733"/>
        <w:gridCol w:w="732"/>
        <w:gridCol w:w="732"/>
        <w:gridCol w:w="733"/>
        <w:gridCol w:w="567"/>
        <w:gridCol w:w="849"/>
      </w:tblGrid>
      <w:tr w:rsidR="00EF4957" w:rsidRPr="005F5799" w14:paraId="5C50CD87" w14:textId="77777777" w:rsidTr="00FE50C6">
        <w:tc>
          <w:tcPr>
            <w:tcW w:w="1418" w:type="dxa"/>
            <w:tcBorders>
              <w:top w:val="single" w:sz="12" w:space="0" w:color="008000"/>
              <w:bottom w:val="single" w:sz="6" w:space="0" w:color="008000"/>
            </w:tcBorders>
            <w:shd w:val="clear" w:color="auto" w:fill="FFFFFF"/>
          </w:tcPr>
          <w:p w14:paraId="4AEF5414" w14:textId="77777777" w:rsidR="00EF4957" w:rsidRPr="005F5799" w:rsidRDefault="00EF4957" w:rsidP="00D27002">
            <w:pPr>
              <w:pStyle w:val="CETBodytext"/>
              <w:rPr>
                <w:rFonts w:cs="Arial"/>
                <w:sz w:val="16"/>
                <w:szCs w:val="16"/>
                <w:lang w:val="en-GB"/>
              </w:rPr>
            </w:pPr>
          </w:p>
        </w:tc>
        <w:tc>
          <w:tcPr>
            <w:tcW w:w="709" w:type="dxa"/>
            <w:tcBorders>
              <w:top w:val="single" w:sz="12" w:space="0" w:color="008000"/>
              <w:bottom w:val="single" w:sz="6" w:space="0" w:color="008000"/>
            </w:tcBorders>
            <w:shd w:val="clear" w:color="auto" w:fill="FFFFFF"/>
          </w:tcPr>
          <w:p w14:paraId="5A796798" w14:textId="77777777" w:rsidR="00EF4957" w:rsidRPr="005F5799" w:rsidRDefault="00EF4957" w:rsidP="00D27002">
            <w:pPr>
              <w:pStyle w:val="CETBodytext"/>
              <w:rPr>
                <w:rFonts w:cs="Arial"/>
                <w:sz w:val="16"/>
                <w:szCs w:val="16"/>
                <w:lang w:val="en-GB"/>
              </w:rPr>
            </w:pPr>
            <w:r w:rsidRPr="005F5799">
              <w:rPr>
                <w:rFonts w:cs="Arial"/>
                <w:sz w:val="16"/>
                <w:szCs w:val="16"/>
                <w:lang w:val="en-GB"/>
              </w:rPr>
              <w:t>Moisture</w:t>
            </w:r>
          </w:p>
          <w:p w14:paraId="7E88145F" w14:textId="77777777" w:rsidR="00EF4957" w:rsidRPr="005F5799" w:rsidRDefault="00EF4957" w:rsidP="00D27002">
            <w:pPr>
              <w:pStyle w:val="CETBodytext"/>
              <w:rPr>
                <w:rFonts w:cs="Arial"/>
                <w:sz w:val="16"/>
                <w:szCs w:val="16"/>
                <w:lang w:val="en-GB"/>
              </w:rPr>
            </w:pPr>
            <w:r>
              <w:rPr>
                <w:rFonts w:cs="Arial"/>
                <w:sz w:val="16"/>
                <w:szCs w:val="16"/>
                <w:lang w:val="en-GB"/>
              </w:rPr>
              <w:t>w</w:t>
            </w:r>
            <w:r w:rsidRPr="005F5799">
              <w:rPr>
                <w:rFonts w:cs="Arial"/>
                <w:sz w:val="16"/>
                <w:szCs w:val="16"/>
                <w:lang w:val="en-GB"/>
              </w:rPr>
              <w:t>t%</w:t>
            </w:r>
            <w:r>
              <w:rPr>
                <w:rFonts w:cs="Arial"/>
                <w:sz w:val="16"/>
                <w:szCs w:val="16"/>
                <w:lang w:val="en-GB"/>
              </w:rPr>
              <w:t xml:space="preserve">  </w:t>
            </w:r>
          </w:p>
        </w:tc>
        <w:tc>
          <w:tcPr>
            <w:tcW w:w="992" w:type="dxa"/>
            <w:tcBorders>
              <w:top w:val="single" w:sz="12" w:space="0" w:color="008000"/>
              <w:bottom w:val="single" w:sz="6" w:space="0" w:color="008000"/>
            </w:tcBorders>
            <w:shd w:val="clear" w:color="auto" w:fill="FFFFFF"/>
          </w:tcPr>
          <w:p w14:paraId="45827EC4" w14:textId="77777777" w:rsidR="00EF4957" w:rsidRDefault="00EF4957" w:rsidP="00D27002">
            <w:pPr>
              <w:pStyle w:val="CETBodytext"/>
              <w:rPr>
                <w:rFonts w:cs="Arial"/>
                <w:sz w:val="16"/>
                <w:szCs w:val="16"/>
                <w:lang w:val="en-GB"/>
              </w:rPr>
            </w:pPr>
            <w:r w:rsidRPr="005F5799">
              <w:rPr>
                <w:rFonts w:cs="Arial"/>
                <w:sz w:val="16"/>
                <w:szCs w:val="16"/>
                <w:lang w:val="en-GB"/>
              </w:rPr>
              <w:t>Volatiles</w:t>
            </w:r>
          </w:p>
          <w:p w14:paraId="3A460197" w14:textId="77777777" w:rsidR="00EF4957" w:rsidRPr="005F5799" w:rsidRDefault="00EF4957" w:rsidP="00D27002">
            <w:pPr>
              <w:pStyle w:val="CETBodytext"/>
              <w:rPr>
                <w:rFonts w:cs="Arial"/>
                <w:sz w:val="16"/>
                <w:szCs w:val="16"/>
                <w:lang w:val="en-GB"/>
              </w:rPr>
            </w:pPr>
            <w:r>
              <w:rPr>
                <w:rFonts w:cs="Arial"/>
                <w:sz w:val="16"/>
                <w:szCs w:val="16"/>
                <w:lang w:val="en-GB"/>
              </w:rPr>
              <w:t>wt% d.b.</w:t>
            </w:r>
          </w:p>
        </w:tc>
        <w:tc>
          <w:tcPr>
            <w:tcW w:w="709" w:type="dxa"/>
            <w:tcBorders>
              <w:top w:val="single" w:sz="12" w:space="0" w:color="008000"/>
              <w:bottom w:val="single" w:sz="6" w:space="0" w:color="008000"/>
            </w:tcBorders>
            <w:shd w:val="clear" w:color="auto" w:fill="FFFFFF"/>
          </w:tcPr>
          <w:p w14:paraId="2AB7D646" w14:textId="77777777" w:rsidR="00EF4957" w:rsidRPr="005F5799" w:rsidRDefault="00EF4957" w:rsidP="00D27002">
            <w:pPr>
              <w:pStyle w:val="CETBodytext"/>
              <w:rPr>
                <w:rFonts w:cs="Arial"/>
                <w:sz w:val="16"/>
                <w:szCs w:val="16"/>
                <w:lang w:val="en-GB"/>
              </w:rPr>
            </w:pPr>
          </w:p>
          <w:p w14:paraId="69A3FBCA" w14:textId="77777777" w:rsidR="00EF4957" w:rsidRPr="005F5799" w:rsidRDefault="00EF4957" w:rsidP="00D27002">
            <w:pPr>
              <w:pStyle w:val="CETBodytext"/>
              <w:rPr>
                <w:rFonts w:cs="Arial"/>
                <w:sz w:val="16"/>
                <w:szCs w:val="16"/>
                <w:lang w:val="en-GB"/>
              </w:rPr>
            </w:pPr>
            <w:r w:rsidRPr="005F5799">
              <w:rPr>
                <w:rFonts w:cs="Arial"/>
                <w:sz w:val="16"/>
                <w:szCs w:val="16"/>
                <w:lang w:val="en-GB"/>
              </w:rPr>
              <w:t>C</w:t>
            </w:r>
          </w:p>
        </w:tc>
        <w:tc>
          <w:tcPr>
            <w:tcW w:w="613" w:type="dxa"/>
            <w:tcBorders>
              <w:top w:val="single" w:sz="12" w:space="0" w:color="008000"/>
              <w:bottom w:val="single" w:sz="6" w:space="0" w:color="008000"/>
            </w:tcBorders>
            <w:shd w:val="clear" w:color="auto" w:fill="FFFFFF"/>
          </w:tcPr>
          <w:p w14:paraId="52FF75B5" w14:textId="77777777" w:rsidR="00EF4957" w:rsidRPr="005F5799" w:rsidRDefault="00EF4957" w:rsidP="00D27002">
            <w:pPr>
              <w:pStyle w:val="CETBodytext"/>
              <w:jc w:val="left"/>
              <w:rPr>
                <w:rFonts w:cs="Arial"/>
                <w:sz w:val="16"/>
                <w:szCs w:val="16"/>
                <w:lang w:val="en-GB"/>
              </w:rPr>
            </w:pPr>
            <w:r w:rsidRPr="005F5799">
              <w:rPr>
                <w:rFonts w:cs="Arial"/>
                <w:sz w:val="16"/>
                <w:szCs w:val="16"/>
                <w:lang w:val="en-GB"/>
              </w:rPr>
              <w:t xml:space="preserve">  </w:t>
            </w:r>
          </w:p>
          <w:p w14:paraId="2D538E3A" w14:textId="77777777" w:rsidR="00EF4957" w:rsidRPr="005F5799" w:rsidRDefault="00EF4957" w:rsidP="00D27002">
            <w:pPr>
              <w:pStyle w:val="CETBodytext"/>
              <w:rPr>
                <w:rFonts w:cs="Arial"/>
                <w:sz w:val="16"/>
                <w:szCs w:val="16"/>
                <w:lang w:val="en-GB"/>
              </w:rPr>
            </w:pPr>
            <w:r w:rsidRPr="005F5799">
              <w:rPr>
                <w:rFonts w:cs="Arial"/>
                <w:sz w:val="16"/>
                <w:szCs w:val="16"/>
                <w:lang w:val="en-GB"/>
              </w:rPr>
              <w:t>H</w:t>
            </w:r>
          </w:p>
        </w:tc>
        <w:tc>
          <w:tcPr>
            <w:tcW w:w="733" w:type="dxa"/>
            <w:tcBorders>
              <w:top w:val="single" w:sz="12" w:space="0" w:color="008000"/>
              <w:bottom w:val="single" w:sz="6" w:space="0" w:color="008000"/>
            </w:tcBorders>
            <w:shd w:val="clear" w:color="auto" w:fill="FFFFFF"/>
          </w:tcPr>
          <w:p w14:paraId="79840901" w14:textId="77777777" w:rsidR="00EF4957" w:rsidRPr="005F5799" w:rsidRDefault="00EF4957" w:rsidP="00D27002">
            <w:pPr>
              <w:pStyle w:val="CETBodytext"/>
              <w:rPr>
                <w:rFonts w:cs="Arial"/>
                <w:sz w:val="16"/>
                <w:szCs w:val="16"/>
                <w:lang w:val="en-GB"/>
              </w:rPr>
            </w:pPr>
          </w:p>
          <w:p w14:paraId="595A6592" w14:textId="77777777" w:rsidR="00EF4957" w:rsidRPr="005F5799" w:rsidRDefault="00EF4957" w:rsidP="00D27002">
            <w:pPr>
              <w:pStyle w:val="CETBodytext"/>
              <w:rPr>
                <w:rFonts w:cs="Arial"/>
                <w:sz w:val="16"/>
                <w:szCs w:val="16"/>
                <w:lang w:val="en-GB"/>
              </w:rPr>
            </w:pPr>
            <w:r w:rsidRPr="005F5799">
              <w:rPr>
                <w:rFonts w:cs="Arial"/>
                <w:sz w:val="16"/>
                <w:szCs w:val="16"/>
                <w:lang w:val="en-GB"/>
              </w:rPr>
              <w:t>N</w:t>
            </w:r>
          </w:p>
        </w:tc>
        <w:tc>
          <w:tcPr>
            <w:tcW w:w="732" w:type="dxa"/>
            <w:tcBorders>
              <w:top w:val="single" w:sz="12" w:space="0" w:color="008000"/>
              <w:bottom w:val="single" w:sz="6" w:space="0" w:color="008000"/>
            </w:tcBorders>
            <w:shd w:val="clear" w:color="auto" w:fill="FFFFFF"/>
          </w:tcPr>
          <w:p w14:paraId="7BF775C4" w14:textId="77777777" w:rsidR="00EF4957" w:rsidRPr="005F5799" w:rsidRDefault="00EF4957" w:rsidP="00D27002">
            <w:pPr>
              <w:pStyle w:val="CETBodytext"/>
              <w:jc w:val="left"/>
              <w:rPr>
                <w:rFonts w:cs="Arial"/>
                <w:sz w:val="16"/>
                <w:szCs w:val="16"/>
                <w:lang w:val="en-GB"/>
              </w:rPr>
            </w:pPr>
            <w:r>
              <w:rPr>
                <w:rFonts w:cs="Arial"/>
                <w:sz w:val="16"/>
                <w:szCs w:val="16"/>
                <w:lang w:val="en-GB"/>
              </w:rPr>
              <w:t>w</w:t>
            </w:r>
            <w:r w:rsidRPr="005F5799">
              <w:rPr>
                <w:rFonts w:cs="Arial"/>
                <w:sz w:val="16"/>
                <w:szCs w:val="16"/>
                <w:lang w:val="en-GB"/>
              </w:rPr>
              <w:t>t% d.b.</w:t>
            </w:r>
          </w:p>
          <w:p w14:paraId="5F6DD756" w14:textId="77777777" w:rsidR="00EF4957" w:rsidRPr="005F5799" w:rsidRDefault="00EF4957" w:rsidP="00D27002">
            <w:pPr>
              <w:pStyle w:val="CETBodytext"/>
              <w:rPr>
                <w:rFonts w:cs="Arial"/>
                <w:sz w:val="16"/>
                <w:szCs w:val="16"/>
                <w:lang w:val="en-GB"/>
              </w:rPr>
            </w:pPr>
            <w:r w:rsidRPr="005F5799">
              <w:rPr>
                <w:rFonts w:cs="Arial"/>
                <w:sz w:val="16"/>
                <w:szCs w:val="16"/>
                <w:lang w:val="en-GB"/>
              </w:rPr>
              <w:t>Cl</w:t>
            </w:r>
          </w:p>
        </w:tc>
        <w:tc>
          <w:tcPr>
            <w:tcW w:w="732" w:type="dxa"/>
            <w:tcBorders>
              <w:top w:val="single" w:sz="12" w:space="0" w:color="008000"/>
              <w:bottom w:val="single" w:sz="6" w:space="0" w:color="008000"/>
            </w:tcBorders>
            <w:shd w:val="clear" w:color="auto" w:fill="FFFFFF"/>
          </w:tcPr>
          <w:p w14:paraId="13EAF741" w14:textId="77777777" w:rsidR="00EF4957" w:rsidRPr="005F5799" w:rsidRDefault="00EF4957" w:rsidP="00D27002">
            <w:pPr>
              <w:pStyle w:val="CETBodytext"/>
              <w:ind w:right="-1"/>
              <w:rPr>
                <w:rFonts w:cs="Arial"/>
                <w:sz w:val="16"/>
                <w:szCs w:val="16"/>
                <w:lang w:val="en-GB"/>
              </w:rPr>
            </w:pPr>
            <w:r>
              <w:rPr>
                <w:rFonts w:cs="Arial"/>
                <w:noProof/>
                <w:sz w:val="16"/>
                <w:szCs w:val="16"/>
                <w:lang w:val="fi-FI" w:eastAsia="fi-FI"/>
              </w:rPr>
              <mc:AlternateContent>
                <mc:Choice Requires="wps">
                  <w:drawing>
                    <wp:anchor distT="0" distB="0" distL="114300" distR="114300" simplePos="0" relativeHeight="251661312" behindDoc="0" locked="0" layoutInCell="1" allowOverlap="1" wp14:anchorId="00E57F37" wp14:editId="7F4E02C5">
                      <wp:simplePos x="0" y="0"/>
                      <wp:positionH relativeFrom="column">
                        <wp:posOffset>-1887432</wp:posOffset>
                      </wp:positionH>
                      <wp:positionV relativeFrom="paragraph">
                        <wp:posOffset>116840</wp:posOffset>
                      </wp:positionV>
                      <wp:extent cx="3022600" cy="5080"/>
                      <wp:effectExtent l="0" t="0" r="25400" b="33020"/>
                      <wp:wrapNone/>
                      <wp:docPr id="2" name="Straight Connector 2"/>
                      <wp:cNvGraphicFramePr/>
                      <a:graphic xmlns:a="http://schemas.openxmlformats.org/drawingml/2006/main">
                        <a:graphicData uri="http://schemas.microsoft.com/office/word/2010/wordprocessingShape">
                          <wps:wsp>
                            <wps:cNvCnPr/>
                            <wps:spPr>
                              <a:xfrm flipV="1">
                                <a:off x="0" y="0"/>
                                <a:ext cx="3022600" cy="5080"/>
                              </a:xfrm>
                              <a:prstGeom prst="line">
                                <a:avLst/>
                              </a:prstGeom>
                              <a:ln w="31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C2B203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9.2pt" to="89.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" strokecolor="green" strokeweight=".25pt"/>
                  </w:pict>
                </mc:Fallback>
              </mc:AlternateContent>
            </w:r>
          </w:p>
          <w:p w14:paraId="381C3981" w14:textId="77777777" w:rsidR="00EF4957" w:rsidRPr="005F5799" w:rsidRDefault="00EF4957" w:rsidP="00D27002">
            <w:pPr>
              <w:pStyle w:val="CETBodytext"/>
              <w:ind w:right="-1"/>
              <w:rPr>
                <w:rFonts w:cs="Arial"/>
                <w:sz w:val="16"/>
                <w:szCs w:val="16"/>
                <w:lang w:val="en-GB"/>
              </w:rPr>
            </w:pPr>
            <w:r w:rsidRPr="005F5799">
              <w:rPr>
                <w:rFonts w:cs="Arial"/>
                <w:sz w:val="16"/>
                <w:szCs w:val="16"/>
                <w:lang w:val="en-GB"/>
              </w:rPr>
              <w:t>S</w:t>
            </w:r>
          </w:p>
        </w:tc>
        <w:tc>
          <w:tcPr>
            <w:tcW w:w="733" w:type="dxa"/>
            <w:tcBorders>
              <w:top w:val="single" w:sz="12" w:space="0" w:color="008000"/>
              <w:bottom w:val="single" w:sz="6" w:space="0" w:color="008000"/>
            </w:tcBorders>
            <w:shd w:val="clear" w:color="auto" w:fill="FFFFFF"/>
          </w:tcPr>
          <w:p w14:paraId="2DD6C8E1" w14:textId="77777777" w:rsidR="00EF4957" w:rsidRPr="005F5799" w:rsidRDefault="00EF4957" w:rsidP="00D27002">
            <w:pPr>
              <w:pStyle w:val="CETBodytext"/>
              <w:ind w:right="-1"/>
              <w:rPr>
                <w:rFonts w:cs="Arial"/>
                <w:sz w:val="16"/>
                <w:szCs w:val="16"/>
                <w:lang w:val="en-GB"/>
              </w:rPr>
            </w:pPr>
          </w:p>
          <w:p w14:paraId="23E5305D" w14:textId="77777777" w:rsidR="00EF4957" w:rsidRPr="005F5799" w:rsidRDefault="00EF4957" w:rsidP="00D27002">
            <w:pPr>
              <w:pStyle w:val="CETBodytext"/>
              <w:ind w:right="-1"/>
              <w:rPr>
                <w:rFonts w:cs="Arial"/>
                <w:sz w:val="16"/>
                <w:szCs w:val="16"/>
                <w:lang w:val="en-GB"/>
              </w:rPr>
            </w:pPr>
            <w:r w:rsidRPr="005F5799">
              <w:rPr>
                <w:rFonts w:cs="Arial"/>
                <w:sz w:val="16"/>
                <w:szCs w:val="16"/>
                <w:lang w:val="en-GB"/>
              </w:rPr>
              <w:t>O</w:t>
            </w:r>
          </w:p>
        </w:tc>
        <w:tc>
          <w:tcPr>
            <w:tcW w:w="567" w:type="dxa"/>
            <w:tcBorders>
              <w:top w:val="single" w:sz="12" w:space="0" w:color="008000"/>
              <w:bottom w:val="single" w:sz="6" w:space="0" w:color="008000"/>
            </w:tcBorders>
            <w:shd w:val="clear" w:color="auto" w:fill="FFFFFF"/>
          </w:tcPr>
          <w:p w14:paraId="2A7D2459" w14:textId="77777777" w:rsidR="00EF4957" w:rsidRPr="005F5799" w:rsidRDefault="00EF4957" w:rsidP="00D27002">
            <w:pPr>
              <w:pStyle w:val="CETBodytext"/>
              <w:ind w:right="-1"/>
              <w:rPr>
                <w:rFonts w:cs="Arial"/>
                <w:sz w:val="16"/>
                <w:szCs w:val="16"/>
                <w:lang w:val="en-GB"/>
              </w:rPr>
            </w:pPr>
          </w:p>
          <w:p w14:paraId="1DE82587" w14:textId="77777777" w:rsidR="00EF4957" w:rsidRPr="005F5799" w:rsidRDefault="00EF4957" w:rsidP="00D27002">
            <w:pPr>
              <w:pStyle w:val="CETBodytext"/>
              <w:ind w:right="-1"/>
              <w:rPr>
                <w:rFonts w:cs="Arial"/>
                <w:sz w:val="16"/>
                <w:szCs w:val="16"/>
                <w:lang w:val="en-GB"/>
              </w:rPr>
            </w:pPr>
            <w:r w:rsidRPr="005F5799">
              <w:rPr>
                <w:rFonts w:cs="Arial"/>
                <w:sz w:val="16"/>
                <w:szCs w:val="16"/>
                <w:lang w:val="en-GB"/>
              </w:rPr>
              <w:t>Ash</w:t>
            </w:r>
          </w:p>
        </w:tc>
        <w:tc>
          <w:tcPr>
            <w:tcW w:w="849" w:type="dxa"/>
            <w:tcBorders>
              <w:top w:val="single" w:sz="12" w:space="0" w:color="008000"/>
              <w:bottom w:val="single" w:sz="6" w:space="0" w:color="008000"/>
            </w:tcBorders>
            <w:shd w:val="clear" w:color="auto" w:fill="FFFFFF"/>
          </w:tcPr>
          <w:p w14:paraId="6DF4728C" w14:textId="77777777" w:rsidR="00EF4957" w:rsidRPr="005F5799" w:rsidRDefault="00EF4957" w:rsidP="00D27002">
            <w:pPr>
              <w:pStyle w:val="CETBodytext"/>
              <w:ind w:right="-1"/>
              <w:rPr>
                <w:rFonts w:cs="Arial"/>
                <w:sz w:val="16"/>
                <w:szCs w:val="16"/>
                <w:lang w:val="en-GB"/>
              </w:rPr>
            </w:pPr>
            <w:r w:rsidRPr="005F5799">
              <w:rPr>
                <w:rFonts w:cs="Arial"/>
                <w:sz w:val="16"/>
                <w:szCs w:val="16"/>
                <w:lang w:val="en-GB"/>
              </w:rPr>
              <w:t xml:space="preserve">LHV </w:t>
            </w:r>
          </w:p>
          <w:p w14:paraId="55DB6223" w14:textId="77777777" w:rsidR="00EF4957" w:rsidRPr="005F5799" w:rsidRDefault="00EF4957" w:rsidP="00D27002">
            <w:pPr>
              <w:pStyle w:val="CETBodytext"/>
              <w:ind w:right="-1"/>
              <w:rPr>
                <w:rFonts w:cs="Arial"/>
                <w:sz w:val="16"/>
                <w:szCs w:val="16"/>
                <w:lang w:val="en-GB"/>
              </w:rPr>
            </w:pPr>
            <w:r w:rsidRPr="005F5799">
              <w:rPr>
                <w:rFonts w:cs="Arial"/>
                <w:sz w:val="16"/>
                <w:szCs w:val="16"/>
                <w:lang w:val="en-GB"/>
              </w:rPr>
              <w:t>MJ/kg d.b</w:t>
            </w:r>
          </w:p>
        </w:tc>
      </w:tr>
      <w:tr w:rsidR="00EF4957" w:rsidRPr="00DD28AD" w14:paraId="39A6103D" w14:textId="77777777" w:rsidTr="00FE50C6">
        <w:tc>
          <w:tcPr>
            <w:tcW w:w="1418" w:type="dxa"/>
            <w:tcBorders>
              <w:top w:val="single" w:sz="6" w:space="0" w:color="008000"/>
            </w:tcBorders>
            <w:shd w:val="clear" w:color="auto" w:fill="FFFFFF"/>
          </w:tcPr>
          <w:p w14:paraId="22E994B4" w14:textId="77777777" w:rsidR="00EF4957" w:rsidRDefault="00EF4957" w:rsidP="000C75F6">
            <w:pPr>
              <w:pStyle w:val="CETBodytext"/>
              <w:spacing w:line="240" w:lineRule="auto"/>
              <w:jc w:val="left"/>
              <w:rPr>
                <w:rFonts w:cs="Arial"/>
                <w:sz w:val="16"/>
                <w:szCs w:val="16"/>
                <w:lang w:val="en-GB"/>
              </w:rPr>
            </w:pPr>
            <w:r w:rsidRPr="00DD28AD">
              <w:rPr>
                <w:rFonts w:cs="Arial"/>
                <w:sz w:val="16"/>
                <w:szCs w:val="16"/>
                <w:lang w:val="en-GB"/>
              </w:rPr>
              <w:t xml:space="preserve">Wood </w:t>
            </w:r>
            <w:r>
              <w:rPr>
                <w:rFonts w:cs="Arial"/>
                <w:sz w:val="16"/>
                <w:szCs w:val="16"/>
                <w:lang w:val="en-GB"/>
              </w:rPr>
              <w:t>waste</w:t>
            </w:r>
          </w:p>
          <w:p w14:paraId="75FA7D00" w14:textId="77777777" w:rsidR="00EF4957" w:rsidRPr="00DD28AD" w:rsidRDefault="00EF4957" w:rsidP="000C75F6">
            <w:pPr>
              <w:pStyle w:val="CETBodytext"/>
              <w:spacing w:line="240" w:lineRule="auto"/>
              <w:jc w:val="left"/>
              <w:rPr>
                <w:rFonts w:cs="Arial"/>
                <w:sz w:val="16"/>
                <w:szCs w:val="16"/>
                <w:lang w:val="en-GB"/>
              </w:rPr>
            </w:pPr>
            <w:r w:rsidRPr="00DD28AD">
              <w:rPr>
                <w:rFonts w:cs="Arial"/>
                <w:sz w:val="16"/>
                <w:szCs w:val="16"/>
                <w:lang w:val="en-GB"/>
              </w:rPr>
              <w:t>SRF1</w:t>
            </w:r>
            <w:r>
              <w:rPr>
                <w:rFonts w:cs="Arial"/>
                <w:sz w:val="16"/>
                <w:szCs w:val="16"/>
                <w:lang w:val="en-GB"/>
              </w:rPr>
              <w:t xml:space="preserve"> </w:t>
            </w:r>
          </w:p>
          <w:p w14:paraId="259A715F" w14:textId="77777777" w:rsidR="00EF4957" w:rsidRPr="00DD28AD" w:rsidRDefault="00EF4957" w:rsidP="000C75F6">
            <w:pPr>
              <w:pStyle w:val="CETBodytext"/>
              <w:spacing w:line="240" w:lineRule="auto"/>
              <w:jc w:val="left"/>
              <w:rPr>
                <w:rFonts w:cs="Arial"/>
                <w:sz w:val="16"/>
                <w:szCs w:val="16"/>
                <w:lang w:val="en-GB"/>
              </w:rPr>
            </w:pPr>
            <w:r w:rsidRPr="00DD28AD">
              <w:rPr>
                <w:rFonts w:cs="Arial"/>
                <w:sz w:val="16"/>
                <w:szCs w:val="16"/>
                <w:lang w:val="en-GB"/>
              </w:rPr>
              <w:t>SRF</w:t>
            </w:r>
            <w:r>
              <w:rPr>
                <w:rFonts w:cs="Arial"/>
                <w:sz w:val="16"/>
                <w:szCs w:val="16"/>
                <w:lang w:val="en-GB"/>
              </w:rPr>
              <w:t xml:space="preserve">2 </w:t>
            </w:r>
          </w:p>
        </w:tc>
        <w:tc>
          <w:tcPr>
            <w:tcW w:w="709" w:type="dxa"/>
            <w:tcBorders>
              <w:top w:val="single" w:sz="6" w:space="0" w:color="008000"/>
            </w:tcBorders>
            <w:shd w:val="clear" w:color="auto" w:fill="FFFFFF"/>
          </w:tcPr>
          <w:p w14:paraId="30FC1378" w14:textId="77777777" w:rsidR="00EF4957" w:rsidRPr="00DD28AD" w:rsidRDefault="00EF4957" w:rsidP="000C75F6">
            <w:pPr>
              <w:pStyle w:val="CETBodytext"/>
              <w:spacing w:line="240" w:lineRule="auto"/>
              <w:jc w:val="left"/>
              <w:rPr>
                <w:rFonts w:cs="Arial"/>
                <w:bCs/>
                <w:kern w:val="24"/>
                <w:sz w:val="16"/>
                <w:szCs w:val="16"/>
                <w:lang w:val="en-GB"/>
              </w:rPr>
            </w:pPr>
            <w:r w:rsidRPr="00DD28AD">
              <w:rPr>
                <w:rFonts w:cs="Arial"/>
                <w:bCs/>
                <w:kern w:val="24"/>
                <w:sz w:val="16"/>
                <w:szCs w:val="16"/>
                <w:lang w:val="en-GB"/>
              </w:rPr>
              <w:t>25.2</w:t>
            </w:r>
          </w:p>
          <w:p w14:paraId="5183A0C9" w14:textId="77777777" w:rsidR="00EF4957"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18.7</w:t>
            </w:r>
          </w:p>
          <w:p w14:paraId="41BC0FB8" w14:textId="77777777" w:rsidR="00EF4957" w:rsidRPr="00DD28AD"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1.9</w:t>
            </w:r>
          </w:p>
        </w:tc>
        <w:tc>
          <w:tcPr>
            <w:tcW w:w="992" w:type="dxa"/>
            <w:tcBorders>
              <w:top w:val="single" w:sz="6" w:space="0" w:color="008000"/>
            </w:tcBorders>
            <w:shd w:val="clear" w:color="auto" w:fill="FFFFFF"/>
          </w:tcPr>
          <w:p w14:paraId="66B3D15F" w14:textId="77777777" w:rsidR="00EF4957" w:rsidRDefault="00EF4957" w:rsidP="000C75F6">
            <w:pPr>
              <w:pStyle w:val="CETBodytext"/>
              <w:spacing w:line="240" w:lineRule="auto"/>
              <w:jc w:val="left"/>
              <w:rPr>
                <w:rFonts w:cs="Arial"/>
                <w:sz w:val="16"/>
                <w:szCs w:val="16"/>
                <w:lang w:val="en-GB"/>
              </w:rPr>
            </w:pPr>
            <w:r>
              <w:rPr>
                <w:rFonts w:cs="Arial"/>
                <w:sz w:val="16"/>
                <w:szCs w:val="16"/>
                <w:lang w:val="en-GB"/>
              </w:rPr>
              <w:t>80.7</w:t>
            </w:r>
          </w:p>
          <w:p w14:paraId="1B7406F3" w14:textId="77777777" w:rsidR="00EF4957" w:rsidRDefault="00EF4957" w:rsidP="000C75F6">
            <w:pPr>
              <w:pStyle w:val="CETBodytext"/>
              <w:spacing w:line="240" w:lineRule="auto"/>
              <w:jc w:val="left"/>
              <w:rPr>
                <w:rFonts w:cs="Arial"/>
                <w:sz w:val="16"/>
                <w:szCs w:val="16"/>
                <w:lang w:val="en-GB"/>
              </w:rPr>
            </w:pPr>
            <w:r>
              <w:rPr>
                <w:rFonts w:cs="Arial"/>
                <w:sz w:val="16"/>
                <w:szCs w:val="16"/>
                <w:lang w:val="en-GB"/>
              </w:rPr>
              <w:t>74.6</w:t>
            </w:r>
          </w:p>
          <w:p w14:paraId="4D3B5F29" w14:textId="77777777" w:rsidR="00EF4957" w:rsidRPr="00DD28AD" w:rsidRDefault="00EF4957" w:rsidP="000C75F6">
            <w:pPr>
              <w:pStyle w:val="CETBodytext"/>
              <w:spacing w:line="240" w:lineRule="auto"/>
              <w:jc w:val="left"/>
              <w:rPr>
                <w:rFonts w:cs="Arial"/>
                <w:sz w:val="16"/>
                <w:szCs w:val="16"/>
                <w:lang w:val="en-GB"/>
              </w:rPr>
            </w:pPr>
            <w:r>
              <w:rPr>
                <w:rFonts w:cs="Arial"/>
                <w:sz w:val="16"/>
                <w:szCs w:val="16"/>
                <w:lang w:val="en-GB"/>
              </w:rPr>
              <w:t>80.4</w:t>
            </w:r>
          </w:p>
        </w:tc>
        <w:tc>
          <w:tcPr>
            <w:tcW w:w="709" w:type="dxa"/>
            <w:tcBorders>
              <w:top w:val="single" w:sz="6" w:space="0" w:color="008000"/>
            </w:tcBorders>
            <w:shd w:val="clear" w:color="auto" w:fill="FFFFFF"/>
          </w:tcPr>
          <w:p w14:paraId="79BE7B49" w14:textId="77777777" w:rsidR="00EF4957" w:rsidRPr="00DD28AD" w:rsidRDefault="00EF4957" w:rsidP="000C75F6">
            <w:pPr>
              <w:pStyle w:val="CETBodytext"/>
              <w:spacing w:line="240" w:lineRule="auto"/>
              <w:jc w:val="left"/>
              <w:rPr>
                <w:rFonts w:cs="Arial"/>
                <w:bCs/>
                <w:kern w:val="24"/>
                <w:sz w:val="16"/>
                <w:szCs w:val="16"/>
                <w:lang w:val="en-GB"/>
              </w:rPr>
            </w:pPr>
            <w:r w:rsidRPr="00DD28AD">
              <w:rPr>
                <w:rFonts w:cs="Arial"/>
                <w:bCs/>
                <w:kern w:val="24"/>
                <w:sz w:val="16"/>
                <w:szCs w:val="16"/>
                <w:lang w:val="en-GB"/>
              </w:rPr>
              <w:t>49.9</w:t>
            </w:r>
          </w:p>
          <w:p w14:paraId="1B8CA618" w14:textId="77777777" w:rsidR="00EF4957"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51.3</w:t>
            </w:r>
          </w:p>
          <w:p w14:paraId="7DCCA2E2" w14:textId="77777777" w:rsidR="00EF4957" w:rsidRPr="00DD28AD"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53.9</w:t>
            </w:r>
          </w:p>
        </w:tc>
        <w:tc>
          <w:tcPr>
            <w:tcW w:w="613" w:type="dxa"/>
            <w:tcBorders>
              <w:top w:val="single" w:sz="6" w:space="0" w:color="008000"/>
            </w:tcBorders>
            <w:shd w:val="clear" w:color="auto" w:fill="FFFFFF"/>
          </w:tcPr>
          <w:p w14:paraId="2E91B2D6" w14:textId="77777777" w:rsidR="00EF4957" w:rsidRPr="00DD28AD" w:rsidRDefault="00EF4957" w:rsidP="000C75F6">
            <w:pPr>
              <w:pStyle w:val="CETBodytext"/>
              <w:spacing w:line="240" w:lineRule="auto"/>
              <w:jc w:val="left"/>
              <w:rPr>
                <w:rFonts w:cs="Arial"/>
                <w:bCs/>
                <w:kern w:val="24"/>
                <w:sz w:val="16"/>
                <w:szCs w:val="16"/>
                <w:lang w:val="en-GB"/>
              </w:rPr>
            </w:pPr>
            <w:r w:rsidRPr="00DD28AD">
              <w:rPr>
                <w:rFonts w:cs="Arial"/>
                <w:bCs/>
                <w:kern w:val="24"/>
                <w:sz w:val="16"/>
                <w:szCs w:val="16"/>
                <w:lang w:val="en-GB"/>
              </w:rPr>
              <w:t>6.1</w:t>
            </w:r>
          </w:p>
          <w:p w14:paraId="2686839A" w14:textId="77777777" w:rsidR="00EF4957"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7.2</w:t>
            </w:r>
          </w:p>
          <w:p w14:paraId="117365D8" w14:textId="77777777" w:rsidR="00EF4957" w:rsidRPr="00DD28AD"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7.8</w:t>
            </w:r>
          </w:p>
        </w:tc>
        <w:tc>
          <w:tcPr>
            <w:tcW w:w="733" w:type="dxa"/>
            <w:tcBorders>
              <w:top w:val="single" w:sz="6" w:space="0" w:color="008000"/>
            </w:tcBorders>
            <w:shd w:val="clear" w:color="auto" w:fill="FFFFFF"/>
          </w:tcPr>
          <w:p w14:paraId="1316BA1B" w14:textId="77777777" w:rsidR="00EF4957" w:rsidRPr="00DD28AD" w:rsidRDefault="00EF4957" w:rsidP="000C75F6">
            <w:pPr>
              <w:pStyle w:val="CETBodytext"/>
              <w:spacing w:line="240" w:lineRule="auto"/>
              <w:jc w:val="left"/>
              <w:rPr>
                <w:rFonts w:cs="Arial"/>
                <w:bCs/>
                <w:kern w:val="24"/>
                <w:sz w:val="16"/>
                <w:szCs w:val="16"/>
                <w:lang w:val="en-GB"/>
              </w:rPr>
            </w:pPr>
            <w:r w:rsidRPr="00DD28AD">
              <w:rPr>
                <w:rFonts w:cs="Arial"/>
                <w:bCs/>
                <w:kern w:val="24"/>
                <w:sz w:val="16"/>
                <w:szCs w:val="16"/>
                <w:lang w:val="en-GB"/>
              </w:rPr>
              <w:t>0.4</w:t>
            </w:r>
          </w:p>
          <w:p w14:paraId="69EE5ED8" w14:textId="77777777" w:rsidR="00EF4957"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1.0</w:t>
            </w:r>
          </w:p>
          <w:p w14:paraId="78B977C8" w14:textId="77777777" w:rsidR="00EF4957" w:rsidRPr="00DD28AD" w:rsidRDefault="00EF4957" w:rsidP="000C75F6">
            <w:pPr>
              <w:pStyle w:val="CETBodytext"/>
              <w:spacing w:line="240" w:lineRule="auto"/>
              <w:jc w:val="left"/>
              <w:rPr>
                <w:rFonts w:cs="Arial"/>
                <w:bCs/>
                <w:kern w:val="24"/>
                <w:sz w:val="16"/>
                <w:szCs w:val="16"/>
                <w:lang w:val="en-GB"/>
              </w:rPr>
            </w:pPr>
            <w:r>
              <w:rPr>
                <w:rFonts w:cs="Arial"/>
                <w:bCs/>
                <w:kern w:val="24"/>
                <w:sz w:val="16"/>
                <w:szCs w:val="16"/>
                <w:lang w:val="en-GB"/>
              </w:rPr>
              <w:t>0.7</w:t>
            </w:r>
          </w:p>
        </w:tc>
        <w:tc>
          <w:tcPr>
            <w:tcW w:w="732" w:type="dxa"/>
            <w:tcBorders>
              <w:top w:val="single" w:sz="6" w:space="0" w:color="008000"/>
            </w:tcBorders>
            <w:shd w:val="clear" w:color="auto" w:fill="FFFFFF"/>
          </w:tcPr>
          <w:p w14:paraId="7E352266" w14:textId="77777777" w:rsidR="00EF4957" w:rsidRDefault="00EF4957" w:rsidP="000C75F6">
            <w:pPr>
              <w:pStyle w:val="CETBodytext"/>
              <w:spacing w:line="240" w:lineRule="auto"/>
              <w:jc w:val="left"/>
              <w:rPr>
                <w:rFonts w:cs="Arial"/>
                <w:sz w:val="16"/>
                <w:szCs w:val="16"/>
                <w:lang w:val="en-GB"/>
              </w:rPr>
            </w:pPr>
            <w:r>
              <w:rPr>
                <w:rFonts w:cs="Arial"/>
                <w:sz w:val="16"/>
                <w:szCs w:val="16"/>
                <w:lang w:val="en-GB"/>
              </w:rPr>
              <w:t>nd</w:t>
            </w:r>
          </w:p>
          <w:p w14:paraId="57758EE0" w14:textId="77777777" w:rsidR="00EF4957" w:rsidRDefault="00EF4957" w:rsidP="000C75F6">
            <w:pPr>
              <w:pStyle w:val="CETBodytext"/>
              <w:spacing w:line="240" w:lineRule="auto"/>
              <w:jc w:val="left"/>
              <w:rPr>
                <w:rFonts w:cs="Arial"/>
                <w:sz w:val="16"/>
                <w:szCs w:val="16"/>
                <w:lang w:val="en-GB"/>
              </w:rPr>
            </w:pPr>
            <w:r>
              <w:rPr>
                <w:rFonts w:cs="Arial"/>
                <w:sz w:val="16"/>
                <w:szCs w:val="16"/>
                <w:lang w:val="en-GB"/>
              </w:rPr>
              <w:t>0.84</w:t>
            </w:r>
          </w:p>
          <w:p w14:paraId="53F70FE6" w14:textId="77777777" w:rsidR="00EF4957" w:rsidRPr="00DD28AD" w:rsidRDefault="00EF4957" w:rsidP="000C75F6">
            <w:pPr>
              <w:pStyle w:val="CETBodytext"/>
              <w:spacing w:line="240" w:lineRule="auto"/>
              <w:jc w:val="left"/>
              <w:rPr>
                <w:rFonts w:cs="Arial"/>
                <w:sz w:val="16"/>
                <w:szCs w:val="16"/>
                <w:lang w:val="en-GB"/>
              </w:rPr>
            </w:pPr>
            <w:r>
              <w:rPr>
                <w:rFonts w:cs="Arial"/>
                <w:sz w:val="16"/>
                <w:szCs w:val="16"/>
                <w:lang w:val="en-GB"/>
              </w:rPr>
              <w:t>0.64</w:t>
            </w:r>
          </w:p>
        </w:tc>
        <w:tc>
          <w:tcPr>
            <w:tcW w:w="732" w:type="dxa"/>
            <w:tcBorders>
              <w:top w:val="single" w:sz="6" w:space="0" w:color="008000"/>
            </w:tcBorders>
            <w:shd w:val="clear" w:color="auto" w:fill="FFFFFF"/>
          </w:tcPr>
          <w:p w14:paraId="4829D34E"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0.01</w:t>
            </w:r>
          </w:p>
          <w:p w14:paraId="079C2EA2"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0.32</w:t>
            </w:r>
          </w:p>
          <w:p w14:paraId="0DB5A16C" w14:textId="77777777" w:rsidR="00EF4957" w:rsidRPr="00DD28AD"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0.14</w:t>
            </w:r>
          </w:p>
        </w:tc>
        <w:tc>
          <w:tcPr>
            <w:tcW w:w="733" w:type="dxa"/>
            <w:tcBorders>
              <w:top w:val="single" w:sz="6" w:space="0" w:color="008000"/>
            </w:tcBorders>
            <w:shd w:val="clear" w:color="auto" w:fill="FFFFFF"/>
          </w:tcPr>
          <w:p w14:paraId="0BFE51ED"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41.7</w:t>
            </w:r>
          </w:p>
          <w:p w14:paraId="3699B296" w14:textId="06F0D2D2"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2</w:t>
            </w:r>
            <w:r w:rsidR="00337B37">
              <w:rPr>
                <w:rFonts w:cs="Arial"/>
                <w:bCs/>
                <w:kern w:val="24"/>
                <w:sz w:val="16"/>
                <w:szCs w:val="16"/>
                <w:lang w:val="en-GB"/>
              </w:rPr>
              <w:t>4</w:t>
            </w:r>
            <w:r>
              <w:rPr>
                <w:rFonts w:cs="Arial"/>
                <w:bCs/>
                <w:kern w:val="24"/>
                <w:sz w:val="16"/>
                <w:szCs w:val="16"/>
                <w:lang w:val="en-GB"/>
              </w:rPr>
              <w:t>.</w:t>
            </w:r>
            <w:r w:rsidR="00337B37">
              <w:rPr>
                <w:rFonts w:cs="Arial"/>
                <w:bCs/>
                <w:kern w:val="24"/>
                <w:sz w:val="16"/>
                <w:szCs w:val="16"/>
                <w:lang w:val="en-GB"/>
              </w:rPr>
              <w:t>6</w:t>
            </w:r>
          </w:p>
          <w:p w14:paraId="4164F4E4" w14:textId="61923574" w:rsidR="00EF4957" w:rsidRPr="00DD28AD" w:rsidRDefault="00EF4957" w:rsidP="00337B37">
            <w:pPr>
              <w:pStyle w:val="CETBodytext"/>
              <w:spacing w:line="240" w:lineRule="auto"/>
              <w:ind w:right="-1"/>
              <w:jc w:val="left"/>
              <w:rPr>
                <w:rFonts w:cs="Arial"/>
                <w:bCs/>
                <w:kern w:val="24"/>
                <w:sz w:val="16"/>
                <w:szCs w:val="16"/>
                <w:lang w:val="en-GB"/>
              </w:rPr>
            </w:pPr>
            <w:r>
              <w:rPr>
                <w:rFonts w:cs="Arial"/>
                <w:bCs/>
                <w:kern w:val="24"/>
                <w:sz w:val="16"/>
                <w:szCs w:val="16"/>
                <w:lang w:val="en-GB"/>
              </w:rPr>
              <w:t>2</w:t>
            </w:r>
            <w:r w:rsidR="00337B37">
              <w:rPr>
                <w:rFonts w:cs="Arial"/>
                <w:bCs/>
                <w:kern w:val="24"/>
                <w:sz w:val="16"/>
                <w:szCs w:val="16"/>
                <w:lang w:val="en-GB"/>
              </w:rPr>
              <w:t>6</w:t>
            </w:r>
            <w:r>
              <w:rPr>
                <w:rFonts w:cs="Arial"/>
                <w:bCs/>
                <w:kern w:val="24"/>
                <w:sz w:val="16"/>
                <w:szCs w:val="16"/>
                <w:lang w:val="en-GB"/>
              </w:rPr>
              <w:t>.</w:t>
            </w:r>
            <w:r w:rsidR="00337B37">
              <w:rPr>
                <w:rFonts w:cs="Arial"/>
                <w:bCs/>
                <w:kern w:val="24"/>
                <w:sz w:val="16"/>
                <w:szCs w:val="16"/>
                <w:lang w:val="en-GB"/>
              </w:rPr>
              <w:t>7</w:t>
            </w:r>
          </w:p>
        </w:tc>
        <w:tc>
          <w:tcPr>
            <w:tcW w:w="567" w:type="dxa"/>
            <w:tcBorders>
              <w:top w:val="single" w:sz="6" w:space="0" w:color="008000"/>
            </w:tcBorders>
            <w:shd w:val="clear" w:color="auto" w:fill="FFFFFF"/>
          </w:tcPr>
          <w:p w14:paraId="5913A4D8"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2.0</w:t>
            </w:r>
          </w:p>
          <w:p w14:paraId="61A7E063"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14.7</w:t>
            </w:r>
          </w:p>
          <w:p w14:paraId="005821B7" w14:textId="77777777" w:rsidR="00EF4957" w:rsidRPr="00DD28AD"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10.1</w:t>
            </w:r>
          </w:p>
        </w:tc>
        <w:tc>
          <w:tcPr>
            <w:tcW w:w="849" w:type="dxa"/>
            <w:tcBorders>
              <w:top w:val="single" w:sz="6" w:space="0" w:color="008000"/>
            </w:tcBorders>
            <w:shd w:val="clear" w:color="auto" w:fill="FFFFFF"/>
          </w:tcPr>
          <w:p w14:paraId="50122499"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18.8</w:t>
            </w:r>
          </w:p>
          <w:p w14:paraId="6312E77C" w14:textId="77777777" w:rsidR="00EF4957"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21.3</w:t>
            </w:r>
          </w:p>
          <w:p w14:paraId="67476978" w14:textId="77777777" w:rsidR="00EF4957" w:rsidRPr="00DD28AD" w:rsidRDefault="00EF4957" w:rsidP="000C75F6">
            <w:pPr>
              <w:pStyle w:val="CETBodytext"/>
              <w:spacing w:line="240" w:lineRule="auto"/>
              <w:ind w:right="-1"/>
              <w:jc w:val="left"/>
              <w:rPr>
                <w:rFonts w:cs="Arial"/>
                <w:bCs/>
                <w:kern w:val="24"/>
                <w:sz w:val="16"/>
                <w:szCs w:val="16"/>
                <w:lang w:val="en-GB"/>
              </w:rPr>
            </w:pPr>
            <w:r>
              <w:rPr>
                <w:rFonts w:cs="Arial"/>
                <w:bCs/>
                <w:kern w:val="24"/>
                <w:sz w:val="16"/>
                <w:szCs w:val="16"/>
                <w:lang w:val="en-GB"/>
              </w:rPr>
              <w:t>22.6</w:t>
            </w:r>
          </w:p>
        </w:tc>
      </w:tr>
    </w:tbl>
    <w:bookmarkEnd w:id="0"/>
    <w:p w14:paraId="5F9D0E83" w14:textId="089E83EA" w:rsidR="00881802" w:rsidRDefault="00881802" w:rsidP="00881802">
      <w:pPr>
        <w:pStyle w:val="CETHeading1"/>
      </w:pPr>
      <w:r>
        <w:t>Results from air-blown gasification tests with wood and solid recovered fuel</w:t>
      </w:r>
    </w:p>
    <w:p w14:paraId="7C2B0064" w14:textId="14F800D2" w:rsidR="00453E24" w:rsidRDefault="00B54100" w:rsidP="00453E24">
      <w:pPr>
        <w:pStyle w:val="CETBodytext"/>
      </w:pPr>
      <w:r>
        <w:t>The results presented in this paper are from two one-week-long test runs during which the plant was operated continuously. Typically</w:t>
      </w:r>
      <w:r w:rsidR="00D27002">
        <w:t>,</w:t>
      </w:r>
      <w:r>
        <w:t xml:space="preserve"> a test week included a preheating period, 2-4 steady-state set point periods</w:t>
      </w:r>
      <w:r w:rsidR="002C122E">
        <w:t>,</w:t>
      </w:r>
      <w:r>
        <w:t xml:space="preserve"> and a shutdown and cooling period. Applied operation methods, analytical procedures</w:t>
      </w:r>
      <w:r w:rsidR="002C122E">
        <w:t>,</w:t>
      </w:r>
      <w:r>
        <w:t xml:space="preserve"> and the methods for calculating mass balances and performance indicators were similar as described in (Kurkela et al, 2021) and (Laatikainen-Luntama et al, 2015). </w:t>
      </w:r>
      <w:r w:rsidRPr="00B54100">
        <w:t xml:space="preserve">Measurements were carried out </w:t>
      </w:r>
      <w:r w:rsidR="002C122E">
        <w:t xml:space="preserve">in </w:t>
      </w:r>
      <w:r>
        <w:t xml:space="preserve">five </w:t>
      </w:r>
      <w:r w:rsidR="00DE21B2">
        <w:t>6</w:t>
      </w:r>
      <w:r w:rsidRPr="00B54100">
        <w:t>-</w:t>
      </w:r>
      <w:r w:rsidR="002C122E">
        <w:t>24</w:t>
      </w:r>
      <w:r w:rsidRPr="00B54100">
        <w:t>-hour-long periods (set</w:t>
      </w:r>
      <w:r w:rsidR="00DE21B2">
        <w:t xml:space="preserve"> </w:t>
      </w:r>
      <w:r w:rsidRPr="00B54100">
        <w:t>points), during which the mass flow rates of the input streams were kept as constant as possible. Elemental mass balances and performance indicators of the gasification process were calculated for the set</w:t>
      </w:r>
      <w:r w:rsidR="00DE21B2">
        <w:t xml:space="preserve"> </w:t>
      </w:r>
      <w:r w:rsidRPr="00B54100">
        <w:t>point periods based on average measuring results. The main operating conditions and calculated performances for selected steady-state set</w:t>
      </w:r>
      <w:r w:rsidR="00DE21B2">
        <w:t xml:space="preserve"> </w:t>
      </w:r>
      <w:r w:rsidRPr="00B54100">
        <w:t>points are summarized in Table 2.</w:t>
      </w:r>
    </w:p>
    <w:p w14:paraId="537D9AEA" w14:textId="6D677694" w:rsidR="00B54100" w:rsidRDefault="00B54100" w:rsidP="00B54100">
      <w:pPr>
        <w:pStyle w:val="CETTabletitle"/>
        <w:spacing w:before="120" w:line="264" w:lineRule="auto"/>
      </w:pPr>
      <w:r w:rsidRPr="001A4D3B">
        <w:t xml:space="preserve">Table 2: Main operating conditions of the gasifier </w:t>
      </w:r>
      <w:r>
        <w:t>at</w:t>
      </w:r>
      <w:r w:rsidRPr="001A4D3B">
        <w:t xml:space="preserve"> set points. </w:t>
      </w:r>
    </w:p>
    <w:tbl>
      <w:tblPr>
        <w:tblW w:w="836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64"/>
        <w:gridCol w:w="1100"/>
        <w:gridCol w:w="1100"/>
        <w:gridCol w:w="1100"/>
        <w:gridCol w:w="1100"/>
        <w:gridCol w:w="1100"/>
      </w:tblGrid>
      <w:tr w:rsidR="00A030A6" w14:paraId="7EE185C4" w14:textId="77777777" w:rsidTr="00382AA9">
        <w:tc>
          <w:tcPr>
            <w:tcW w:w="2864" w:type="dxa"/>
            <w:tcBorders>
              <w:top w:val="single" w:sz="12" w:space="0" w:color="008000"/>
              <w:left w:val="nil"/>
              <w:bottom w:val="single" w:sz="12" w:space="0" w:color="008000"/>
              <w:right w:val="nil"/>
            </w:tcBorders>
            <w:shd w:val="clear" w:color="auto" w:fill="FFFFFF" w:themeFill="background1"/>
            <w:hideMark/>
          </w:tcPr>
          <w:p w14:paraId="076E36C8" w14:textId="77777777" w:rsidR="00A030A6" w:rsidRPr="00BC3760" w:rsidRDefault="00A030A6" w:rsidP="000C75F6">
            <w:pPr>
              <w:pStyle w:val="CETBodytext"/>
              <w:spacing w:line="240" w:lineRule="auto"/>
              <w:rPr>
                <w:rFonts w:cs="Arial"/>
                <w:b/>
                <w:sz w:val="16"/>
                <w:szCs w:val="16"/>
                <w:lang w:val="en-GB"/>
              </w:rPr>
            </w:pPr>
            <w:r w:rsidRPr="00BC3760">
              <w:rPr>
                <w:rFonts w:cs="Arial"/>
                <w:b/>
                <w:sz w:val="16"/>
                <w:szCs w:val="16"/>
                <w:lang w:val="en-GB"/>
              </w:rPr>
              <w:t>Set point</w:t>
            </w:r>
          </w:p>
          <w:p w14:paraId="2A38409E" w14:textId="77777777" w:rsidR="00A030A6" w:rsidRPr="00BC3760" w:rsidRDefault="00A030A6" w:rsidP="000C75F6">
            <w:pPr>
              <w:pStyle w:val="CETBodytext"/>
              <w:spacing w:line="240" w:lineRule="auto"/>
              <w:rPr>
                <w:rFonts w:cs="Arial"/>
                <w:b/>
                <w:sz w:val="16"/>
                <w:szCs w:val="16"/>
                <w:lang w:val="en-GB"/>
              </w:rPr>
            </w:pPr>
            <w:r w:rsidRPr="00BC3760">
              <w:rPr>
                <w:rFonts w:cs="Arial"/>
                <w:b/>
                <w:sz w:val="16"/>
                <w:szCs w:val="16"/>
                <w:lang w:val="en-GB"/>
              </w:rPr>
              <w:t>Feedstock</w:t>
            </w:r>
          </w:p>
        </w:tc>
        <w:tc>
          <w:tcPr>
            <w:tcW w:w="1100" w:type="dxa"/>
            <w:tcBorders>
              <w:top w:val="single" w:sz="12" w:space="0" w:color="008000"/>
              <w:left w:val="nil"/>
              <w:bottom w:val="single" w:sz="12" w:space="0" w:color="008000"/>
              <w:right w:val="nil"/>
            </w:tcBorders>
            <w:shd w:val="clear" w:color="auto" w:fill="FFFFFF" w:themeFill="background1"/>
          </w:tcPr>
          <w:p w14:paraId="4B13BC73" w14:textId="77777777" w:rsidR="00A030A6" w:rsidRPr="00E95FDF" w:rsidRDefault="00A030A6" w:rsidP="000C75F6">
            <w:pPr>
              <w:pStyle w:val="CETBodytext"/>
              <w:spacing w:line="240" w:lineRule="auto"/>
              <w:jc w:val="center"/>
              <w:rPr>
                <w:rFonts w:cs="Arial"/>
                <w:b/>
                <w:bCs/>
                <w:color w:val="000000" w:themeColor="text1"/>
                <w:sz w:val="16"/>
                <w:szCs w:val="16"/>
                <w:lang w:val="en-GB"/>
              </w:rPr>
            </w:pPr>
            <w:r w:rsidRPr="00E95FDF">
              <w:rPr>
                <w:rFonts w:cs="Arial"/>
                <w:b/>
                <w:bCs/>
                <w:color w:val="000000" w:themeColor="text1"/>
                <w:sz w:val="16"/>
                <w:szCs w:val="16"/>
                <w:lang w:val="en-GB"/>
              </w:rPr>
              <w:t>A</w:t>
            </w:r>
          </w:p>
          <w:p w14:paraId="4F315374" w14:textId="77777777" w:rsidR="00A030A6" w:rsidRPr="00E95FDF" w:rsidRDefault="00A030A6" w:rsidP="000C75F6">
            <w:pPr>
              <w:pStyle w:val="CETBodytext"/>
              <w:spacing w:line="240" w:lineRule="auto"/>
              <w:jc w:val="center"/>
              <w:rPr>
                <w:rFonts w:cs="Arial"/>
                <w:b/>
                <w:bCs/>
                <w:sz w:val="16"/>
                <w:szCs w:val="16"/>
                <w:lang w:val="en-GB"/>
              </w:rPr>
            </w:pPr>
            <w:r w:rsidRPr="00E95FDF">
              <w:rPr>
                <w:rFonts w:cs="Arial"/>
                <w:b/>
                <w:bCs/>
                <w:color w:val="000000" w:themeColor="text1"/>
                <w:sz w:val="16"/>
                <w:szCs w:val="16"/>
                <w:lang w:val="en-GB"/>
              </w:rPr>
              <w:t>Wood waste</w:t>
            </w:r>
          </w:p>
        </w:tc>
        <w:tc>
          <w:tcPr>
            <w:tcW w:w="1100" w:type="dxa"/>
            <w:tcBorders>
              <w:top w:val="single" w:sz="12" w:space="0" w:color="008000"/>
              <w:left w:val="nil"/>
              <w:bottom w:val="single" w:sz="12" w:space="0" w:color="008000"/>
              <w:right w:val="nil"/>
            </w:tcBorders>
            <w:shd w:val="clear" w:color="auto" w:fill="FFFFFF" w:themeFill="background1"/>
          </w:tcPr>
          <w:p w14:paraId="325B7484" w14:textId="77777777" w:rsidR="00A030A6" w:rsidRPr="00E95FDF" w:rsidRDefault="00A030A6" w:rsidP="000C75F6">
            <w:pPr>
              <w:pStyle w:val="CETBodytext"/>
              <w:spacing w:line="240" w:lineRule="auto"/>
              <w:jc w:val="center"/>
              <w:rPr>
                <w:rFonts w:cs="Arial"/>
                <w:b/>
                <w:bCs/>
                <w:color w:val="000000" w:themeColor="text1"/>
                <w:sz w:val="16"/>
                <w:szCs w:val="16"/>
                <w:lang w:val="en-GB"/>
              </w:rPr>
            </w:pPr>
            <w:r w:rsidRPr="00E95FDF">
              <w:rPr>
                <w:rFonts w:cs="Arial"/>
                <w:b/>
                <w:bCs/>
                <w:color w:val="000000" w:themeColor="text1"/>
                <w:sz w:val="16"/>
                <w:szCs w:val="16"/>
                <w:lang w:val="en-GB"/>
              </w:rPr>
              <w:t>B</w:t>
            </w:r>
          </w:p>
          <w:p w14:paraId="7991AA97" w14:textId="77777777" w:rsidR="00A030A6" w:rsidRPr="00E95FDF" w:rsidRDefault="00A030A6" w:rsidP="000C75F6">
            <w:pPr>
              <w:pStyle w:val="CETBodytext"/>
              <w:spacing w:line="240" w:lineRule="auto"/>
              <w:jc w:val="center"/>
              <w:rPr>
                <w:rFonts w:cs="Arial"/>
                <w:b/>
                <w:bCs/>
                <w:sz w:val="16"/>
                <w:szCs w:val="16"/>
                <w:lang w:val="en-GB"/>
              </w:rPr>
            </w:pPr>
            <w:r w:rsidRPr="00E95FDF">
              <w:rPr>
                <w:rFonts w:cs="Arial"/>
                <w:b/>
                <w:bCs/>
                <w:color w:val="000000" w:themeColor="text1"/>
                <w:sz w:val="16"/>
                <w:szCs w:val="16"/>
                <w:lang w:val="en-GB"/>
              </w:rPr>
              <w:t>Wood waste</w:t>
            </w:r>
          </w:p>
        </w:tc>
        <w:tc>
          <w:tcPr>
            <w:tcW w:w="1100" w:type="dxa"/>
            <w:tcBorders>
              <w:top w:val="single" w:sz="12" w:space="0" w:color="008000"/>
              <w:left w:val="nil"/>
              <w:bottom w:val="single" w:sz="12" w:space="0" w:color="008000"/>
              <w:right w:val="nil"/>
            </w:tcBorders>
            <w:shd w:val="clear" w:color="auto" w:fill="FFFFFF" w:themeFill="background1"/>
          </w:tcPr>
          <w:p w14:paraId="644A5D5D" w14:textId="77777777" w:rsidR="00A030A6" w:rsidRPr="00E95FDF" w:rsidRDefault="00A030A6" w:rsidP="000C75F6">
            <w:pPr>
              <w:pStyle w:val="CETBodytext"/>
              <w:spacing w:line="240" w:lineRule="auto"/>
              <w:jc w:val="center"/>
              <w:rPr>
                <w:rFonts w:cs="Arial"/>
                <w:b/>
                <w:bCs/>
                <w:color w:val="000000" w:themeColor="text1"/>
                <w:sz w:val="16"/>
                <w:szCs w:val="16"/>
                <w:lang w:val="en-GB"/>
              </w:rPr>
            </w:pPr>
            <w:r w:rsidRPr="00E95FDF">
              <w:rPr>
                <w:rFonts w:cs="Arial"/>
                <w:b/>
                <w:bCs/>
                <w:color w:val="000000" w:themeColor="text1"/>
                <w:sz w:val="16"/>
                <w:szCs w:val="16"/>
                <w:lang w:val="en-GB"/>
              </w:rPr>
              <w:t>C</w:t>
            </w:r>
          </w:p>
          <w:p w14:paraId="13EC9207" w14:textId="77777777" w:rsidR="00A030A6" w:rsidRPr="00E95FDF" w:rsidRDefault="00A030A6" w:rsidP="000C75F6">
            <w:pPr>
              <w:pStyle w:val="CETBodytext"/>
              <w:spacing w:line="240" w:lineRule="auto"/>
              <w:jc w:val="center"/>
              <w:rPr>
                <w:rFonts w:cs="Arial"/>
                <w:b/>
                <w:bCs/>
                <w:sz w:val="16"/>
                <w:szCs w:val="16"/>
                <w:lang w:val="en-GB"/>
              </w:rPr>
            </w:pPr>
            <w:r w:rsidRPr="00E95FDF">
              <w:rPr>
                <w:rFonts w:cs="Arial"/>
                <w:b/>
                <w:bCs/>
                <w:color w:val="000000" w:themeColor="text1"/>
                <w:sz w:val="16"/>
                <w:szCs w:val="16"/>
                <w:lang w:val="en-GB"/>
              </w:rPr>
              <w:t>SRF1</w:t>
            </w:r>
          </w:p>
        </w:tc>
        <w:tc>
          <w:tcPr>
            <w:tcW w:w="1100" w:type="dxa"/>
            <w:tcBorders>
              <w:top w:val="single" w:sz="12" w:space="0" w:color="008000"/>
              <w:left w:val="nil"/>
              <w:bottom w:val="single" w:sz="12" w:space="0" w:color="008000"/>
              <w:right w:val="nil"/>
            </w:tcBorders>
            <w:shd w:val="clear" w:color="auto" w:fill="FFFFFF" w:themeFill="background1"/>
          </w:tcPr>
          <w:p w14:paraId="75AAD6D4" w14:textId="77777777" w:rsidR="00A030A6" w:rsidRPr="00E95FDF" w:rsidRDefault="00A030A6" w:rsidP="000C75F6">
            <w:pPr>
              <w:pStyle w:val="CETBodytext"/>
              <w:spacing w:line="240" w:lineRule="auto"/>
              <w:jc w:val="center"/>
              <w:rPr>
                <w:rFonts w:cs="Arial"/>
                <w:b/>
                <w:bCs/>
                <w:color w:val="000000" w:themeColor="text1"/>
                <w:sz w:val="16"/>
                <w:szCs w:val="16"/>
                <w:lang w:val="en-GB"/>
              </w:rPr>
            </w:pPr>
            <w:r w:rsidRPr="00E95FDF">
              <w:rPr>
                <w:rFonts w:cs="Arial"/>
                <w:b/>
                <w:bCs/>
                <w:color w:val="000000" w:themeColor="text1"/>
                <w:sz w:val="16"/>
                <w:szCs w:val="16"/>
                <w:lang w:val="en-GB"/>
              </w:rPr>
              <w:t>D</w:t>
            </w:r>
          </w:p>
          <w:p w14:paraId="36007D60" w14:textId="77777777" w:rsidR="00A030A6" w:rsidRPr="00E95FDF" w:rsidRDefault="00A030A6" w:rsidP="000C75F6">
            <w:pPr>
              <w:pStyle w:val="CETBodytext"/>
              <w:spacing w:line="240" w:lineRule="auto"/>
              <w:jc w:val="center"/>
              <w:rPr>
                <w:rFonts w:cs="Arial"/>
                <w:b/>
                <w:bCs/>
                <w:sz w:val="16"/>
                <w:szCs w:val="16"/>
                <w:lang w:val="en-GB"/>
              </w:rPr>
            </w:pPr>
            <w:r w:rsidRPr="00E95FDF">
              <w:rPr>
                <w:rFonts w:cs="Arial"/>
                <w:b/>
                <w:bCs/>
                <w:color w:val="000000" w:themeColor="text1"/>
                <w:sz w:val="16"/>
                <w:szCs w:val="16"/>
                <w:lang w:val="en-GB"/>
              </w:rPr>
              <w:t>SRF1</w:t>
            </w:r>
          </w:p>
        </w:tc>
        <w:tc>
          <w:tcPr>
            <w:tcW w:w="1100" w:type="dxa"/>
            <w:tcBorders>
              <w:top w:val="single" w:sz="12" w:space="0" w:color="008000"/>
              <w:left w:val="nil"/>
              <w:bottom w:val="single" w:sz="12" w:space="0" w:color="008000"/>
              <w:right w:val="nil"/>
            </w:tcBorders>
            <w:shd w:val="clear" w:color="auto" w:fill="FFFFFF" w:themeFill="background1"/>
          </w:tcPr>
          <w:p w14:paraId="4BD6972D" w14:textId="77777777" w:rsidR="00A030A6" w:rsidRPr="00E95FDF" w:rsidRDefault="00A030A6" w:rsidP="000C75F6">
            <w:pPr>
              <w:pStyle w:val="CETBodytext"/>
              <w:spacing w:line="240" w:lineRule="auto"/>
              <w:jc w:val="center"/>
              <w:rPr>
                <w:rFonts w:cs="Arial"/>
                <w:b/>
                <w:bCs/>
                <w:color w:val="000000" w:themeColor="text1"/>
                <w:sz w:val="16"/>
                <w:szCs w:val="16"/>
                <w:lang w:val="en-GB"/>
              </w:rPr>
            </w:pPr>
            <w:r w:rsidRPr="00E95FDF">
              <w:rPr>
                <w:rFonts w:cs="Arial"/>
                <w:b/>
                <w:bCs/>
                <w:color w:val="000000" w:themeColor="text1"/>
                <w:sz w:val="16"/>
                <w:szCs w:val="16"/>
                <w:lang w:val="en-GB"/>
              </w:rPr>
              <w:t>E</w:t>
            </w:r>
          </w:p>
          <w:p w14:paraId="0272883F" w14:textId="77777777" w:rsidR="00A030A6" w:rsidRPr="00E95FDF" w:rsidRDefault="00A030A6" w:rsidP="000C75F6">
            <w:pPr>
              <w:pStyle w:val="CETBodytext"/>
              <w:spacing w:line="240" w:lineRule="auto"/>
              <w:jc w:val="center"/>
              <w:rPr>
                <w:rFonts w:cs="Arial"/>
                <w:b/>
                <w:bCs/>
                <w:sz w:val="16"/>
                <w:szCs w:val="16"/>
                <w:lang w:val="en-GB"/>
              </w:rPr>
            </w:pPr>
            <w:r w:rsidRPr="00E95FDF">
              <w:rPr>
                <w:rFonts w:cs="Arial"/>
                <w:b/>
                <w:bCs/>
                <w:color w:val="000000" w:themeColor="text1"/>
                <w:sz w:val="16"/>
                <w:szCs w:val="16"/>
                <w:lang w:val="en-GB"/>
              </w:rPr>
              <w:t>SRF2</w:t>
            </w:r>
          </w:p>
        </w:tc>
      </w:tr>
      <w:tr w:rsidR="00A030A6" w14:paraId="2C2CDBE1" w14:textId="77777777" w:rsidTr="00382AA9">
        <w:tc>
          <w:tcPr>
            <w:tcW w:w="2864" w:type="dxa"/>
            <w:tcBorders>
              <w:top w:val="single" w:sz="12" w:space="0" w:color="008000"/>
              <w:left w:val="nil"/>
              <w:bottom w:val="nil"/>
              <w:right w:val="nil"/>
            </w:tcBorders>
            <w:shd w:val="clear" w:color="auto" w:fill="FFFFFF" w:themeFill="background1"/>
            <w:hideMark/>
          </w:tcPr>
          <w:p w14:paraId="2CD5A8D7"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Fuel moisture content</w:t>
            </w:r>
            <w:r>
              <w:rPr>
                <w:rFonts w:cs="Arial"/>
                <w:sz w:val="16"/>
                <w:szCs w:val="16"/>
                <w:lang w:val="en-GB"/>
              </w:rPr>
              <w:t xml:space="preserve"> (ar)</w:t>
            </w:r>
            <w:r w:rsidRPr="00BC3760">
              <w:rPr>
                <w:rFonts w:cs="Arial"/>
                <w:sz w:val="16"/>
                <w:szCs w:val="16"/>
                <w:lang w:val="en-GB"/>
              </w:rPr>
              <w:t>, %</w:t>
            </w:r>
          </w:p>
        </w:tc>
        <w:tc>
          <w:tcPr>
            <w:tcW w:w="1100" w:type="dxa"/>
            <w:tcBorders>
              <w:top w:val="single" w:sz="12" w:space="0" w:color="008000"/>
              <w:left w:val="nil"/>
              <w:bottom w:val="nil"/>
              <w:right w:val="nil"/>
            </w:tcBorders>
            <w:shd w:val="clear" w:color="auto" w:fill="FFFFFF" w:themeFill="background1"/>
          </w:tcPr>
          <w:p w14:paraId="1BBB1B98"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25.2</w:t>
            </w:r>
          </w:p>
        </w:tc>
        <w:tc>
          <w:tcPr>
            <w:tcW w:w="1100" w:type="dxa"/>
            <w:tcBorders>
              <w:top w:val="single" w:sz="12" w:space="0" w:color="008000"/>
              <w:left w:val="nil"/>
              <w:bottom w:val="nil"/>
              <w:right w:val="nil"/>
            </w:tcBorders>
            <w:shd w:val="clear" w:color="auto" w:fill="FFFFFF" w:themeFill="background1"/>
          </w:tcPr>
          <w:p w14:paraId="741E67BD"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25.2</w:t>
            </w:r>
          </w:p>
        </w:tc>
        <w:tc>
          <w:tcPr>
            <w:tcW w:w="1100" w:type="dxa"/>
            <w:tcBorders>
              <w:top w:val="single" w:sz="12" w:space="0" w:color="008000"/>
              <w:left w:val="nil"/>
              <w:bottom w:val="nil"/>
              <w:right w:val="nil"/>
            </w:tcBorders>
            <w:shd w:val="clear" w:color="auto" w:fill="FFFFFF" w:themeFill="background1"/>
          </w:tcPr>
          <w:p w14:paraId="4D7EAF7A"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18.7</w:t>
            </w:r>
          </w:p>
        </w:tc>
        <w:tc>
          <w:tcPr>
            <w:tcW w:w="1100" w:type="dxa"/>
            <w:tcBorders>
              <w:top w:val="single" w:sz="12" w:space="0" w:color="008000"/>
              <w:left w:val="nil"/>
              <w:bottom w:val="nil"/>
              <w:right w:val="nil"/>
            </w:tcBorders>
            <w:shd w:val="clear" w:color="auto" w:fill="FFFFFF" w:themeFill="background1"/>
          </w:tcPr>
          <w:p w14:paraId="101EB1DE"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18.7</w:t>
            </w:r>
          </w:p>
        </w:tc>
        <w:tc>
          <w:tcPr>
            <w:tcW w:w="1100" w:type="dxa"/>
            <w:tcBorders>
              <w:top w:val="single" w:sz="12" w:space="0" w:color="008000"/>
              <w:left w:val="nil"/>
              <w:bottom w:val="nil"/>
              <w:right w:val="nil"/>
            </w:tcBorders>
            <w:shd w:val="clear" w:color="auto" w:fill="FFFFFF" w:themeFill="background1"/>
          </w:tcPr>
          <w:p w14:paraId="049A3D43"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1.9</w:t>
            </w:r>
          </w:p>
        </w:tc>
      </w:tr>
      <w:tr w:rsidR="00A030A6" w14:paraId="55AF66AB" w14:textId="77777777" w:rsidTr="00382AA9">
        <w:tc>
          <w:tcPr>
            <w:tcW w:w="2864" w:type="dxa"/>
            <w:tcBorders>
              <w:top w:val="nil"/>
              <w:left w:val="nil"/>
              <w:bottom w:val="nil"/>
              <w:right w:val="nil"/>
            </w:tcBorders>
            <w:shd w:val="clear" w:color="auto" w:fill="FFFFFF" w:themeFill="background1"/>
            <w:hideMark/>
          </w:tcPr>
          <w:p w14:paraId="4FFC047B" w14:textId="77777777" w:rsidR="00A030A6" w:rsidRPr="00BC3760" w:rsidRDefault="00A030A6" w:rsidP="000C75F6">
            <w:pPr>
              <w:pStyle w:val="CETBodytext"/>
              <w:spacing w:line="240" w:lineRule="auto"/>
              <w:rPr>
                <w:rFonts w:cs="Arial"/>
                <w:sz w:val="16"/>
                <w:szCs w:val="16"/>
                <w:lang w:val="en-GB"/>
              </w:rPr>
            </w:pPr>
            <w:r w:rsidRPr="00BC3760">
              <w:rPr>
                <w:rFonts w:cs="Arial"/>
                <w:sz w:val="16"/>
                <w:szCs w:val="16"/>
                <w:lang w:val="en-GB"/>
              </w:rPr>
              <w:t>Fuel feed rate, g/s</w:t>
            </w:r>
          </w:p>
        </w:tc>
        <w:tc>
          <w:tcPr>
            <w:tcW w:w="1100" w:type="dxa"/>
            <w:tcBorders>
              <w:top w:val="nil"/>
              <w:left w:val="nil"/>
              <w:bottom w:val="nil"/>
              <w:right w:val="nil"/>
            </w:tcBorders>
            <w:shd w:val="clear" w:color="auto" w:fill="FFFFFF" w:themeFill="background1"/>
          </w:tcPr>
          <w:p w14:paraId="1244AFF0"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38</w:t>
            </w:r>
          </w:p>
        </w:tc>
        <w:tc>
          <w:tcPr>
            <w:tcW w:w="1100" w:type="dxa"/>
            <w:tcBorders>
              <w:top w:val="nil"/>
              <w:left w:val="nil"/>
              <w:bottom w:val="nil"/>
              <w:right w:val="nil"/>
            </w:tcBorders>
            <w:shd w:val="clear" w:color="auto" w:fill="FFFFFF" w:themeFill="background1"/>
          </w:tcPr>
          <w:p w14:paraId="701E4813"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34</w:t>
            </w:r>
          </w:p>
        </w:tc>
        <w:tc>
          <w:tcPr>
            <w:tcW w:w="1100" w:type="dxa"/>
            <w:tcBorders>
              <w:top w:val="nil"/>
              <w:left w:val="nil"/>
              <w:bottom w:val="nil"/>
              <w:right w:val="nil"/>
            </w:tcBorders>
            <w:shd w:val="clear" w:color="auto" w:fill="FFFFFF" w:themeFill="background1"/>
          </w:tcPr>
          <w:p w14:paraId="54C00274"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35</w:t>
            </w:r>
          </w:p>
        </w:tc>
        <w:tc>
          <w:tcPr>
            <w:tcW w:w="1100" w:type="dxa"/>
            <w:tcBorders>
              <w:top w:val="nil"/>
              <w:left w:val="nil"/>
              <w:bottom w:val="nil"/>
              <w:right w:val="nil"/>
            </w:tcBorders>
            <w:shd w:val="clear" w:color="auto" w:fill="FFFFFF" w:themeFill="background1"/>
          </w:tcPr>
          <w:p w14:paraId="652AF83A"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31</w:t>
            </w:r>
          </w:p>
        </w:tc>
        <w:tc>
          <w:tcPr>
            <w:tcW w:w="1100" w:type="dxa"/>
            <w:tcBorders>
              <w:top w:val="nil"/>
              <w:left w:val="nil"/>
              <w:bottom w:val="nil"/>
              <w:right w:val="nil"/>
            </w:tcBorders>
            <w:shd w:val="clear" w:color="auto" w:fill="FFFFFF" w:themeFill="background1"/>
          </w:tcPr>
          <w:p w14:paraId="3C81ABFA"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27</w:t>
            </w:r>
          </w:p>
        </w:tc>
      </w:tr>
      <w:tr w:rsidR="00A030A6" w14:paraId="3AC26DBD" w14:textId="77777777" w:rsidTr="00382AA9">
        <w:tc>
          <w:tcPr>
            <w:tcW w:w="2864" w:type="dxa"/>
            <w:tcBorders>
              <w:top w:val="nil"/>
              <w:left w:val="nil"/>
              <w:bottom w:val="single" w:sz="8" w:space="0" w:color="008000"/>
              <w:right w:val="nil"/>
            </w:tcBorders>
            <w:shd w:val="clear" w:color="auto" w:fill="FFFFFF" w:themeFill="background1"/>
            <w:hideMark/>
          </w:tcPr>
          <w:p w14:paraId="45028796" w14:textId="258D0341"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Bed additives</w:t>
            </w:r>
            <w:r w:rsidR="000D53A7">
              <w:rPr>
                <w:rFonts w:cs="Arial"/>
                <w:sz w:val="16"/>
                <w:szCs w:val="16"/>
                <w:vertAlign w:val="superscript"/>
                <w:lang w:val="en-GB"/>
              </w:rPr>
              <w:t>a</w:t>
            </w:r>
          </w:p>
          <w:p w14:paraId="0D185AB0"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Sand +limestone feed, g/s</w:t>
            </w:r>
          </w:p>
          <w:p w14:paraId="7A5BD991"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Primary air feed, g/s</w:t>
            </w:r>
          </w:p>
          <w:p w14:paraId="30B68264"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Secondary air feed, g/s</w:t>
            </w:r>
          </w:p>
          <w:p w14:paraId="64B513C3"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Steam feed, g/s</w:t>
            </w:r>
          </w:p>
          <w:p w14:paraId="11C40D17"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T bed, °C</w:t>
            </w:r>
          </w:p>
          <w:p w14:paraId="2936D864"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T freeboard, °C</w:t>
            </w:r>
          </w:p>
          <w:p w14:paraId="38182E2C"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Air ratio of gasification</w:t>
            </w:r>
          </w:p>
          <w:p w14:paraId="12B03085"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Bed pressure drop, mbar</w:t>
            </w:r>
          </w:p>
          <w:p w14:paraId="0C420C53" w14:textId="77777777" w:rsidR="00A030A6" w:rsidRDefault="00A030A6" w:rsidP="000C75F6">
            <w:pPr>
              <w:pStyle w:val="CETBodytext"/>
              <w:spacing w:line="240" w:lineRule="auto"/>
              <w:jc w:val="left"/>
              <w:rPr>
                <w:rFonts w:cs="Arial"/>
                <w:sz w:val="16"/>
                <w:szCs w:val="16"/>
                <w:lang w:val="en-GB"/>
              </w:rPr>
            </w:pPr>
            <w:r>
              <w:rPr>
                <w:rFonts w:cs="Arial"/>
                <w:sz w:val="16"/>
                <w:szCs w:val="16"/>
                <w:lang w:val="en-GB"/>
              </w:rPr>
              <w:t>Fluidization velocity, m/s</w:t>
            </w:r>
          </w:p>
          <w:p w14:paraId="5CDF93DB" w14:textId="30887E31" w:rsidR="00A030A6" w:rsidRPr="00CA7ED2" w:rsidRDefault="00CA7ED2" w:rsidP="00CA7ED2">
            <w:pPr>
              <w:pStyle w:val="CETBodytext"/>
              <w:spacing w:line="240" w:lineRule="auto"/>
              <w:jc w:val="left"/>
              <w:rPr>
                <w:rFonts w:cs="Arial"/>
                <w:sz w:val="16"/>
                <w:szCs w:val="16"/>
              </w:rPr>
            </w:pPr>
            <w:r>
              <w:rPr>
                <w:rFonts w:cs="Arial"/>
                <w:sz w:val="16"/>
                <w:szCs w:val="16"/>
                <w:lang w:val="en-GB"/>
              </w:rPr>
              <w:t>Wet g</w:t>
            </w:r>
            <w:r w:rsidR="00A030A6" w:rsidRPr="00BC3760">
              <w:rPr>
                <w:rFonts w:cs="Arial"/>
                <w:sz w:val="16"/>
                <w:szCs w:val="16"/>
                <w:lang w:val="en-GB"/>
              </w:rPr>
              <w:t>as flow rate, m</w:t>
            </w:r>
            <w:r w:rsidR="00A030A6" w:rsidRPr="00BC3760">
              <w:rPr>
                <w:rFonts w:cs="Arial"/>
                <w:sz w:val="16"/>
                <w:szCs w:val="16"/>
                <w:vertAlign w:val="superscript"/>
                <w:lang w:val="en-GB"/>
              </w:rPr>
              <w:t>3</w:t>
            </w:r>
            <w:r w:rsidR="00A030A6" w:rsidRPr="00BC3760">
              <w:rPr>
                <w:rFonts w:cs="Arial"/>
                <w:sz w:val="16"/>
                <w:szCs w:val="16"/>
                <w:lang w:val="en-GB"/>
              </w:rPr>
              <w:t>/h</w:t>
            </w:r>
            <w:r>
              <w:rPr>
                <w:rFonts w:cs="Arial"/>
                <w:sz w:val="16"/>
                <w:szCs w:val="16"/>
                <w:lang w:val="en-GB"/>
              </w:rPr>
              <w:t xml:space="preserve"> (STP</w:t>
            </w:r>
            <w:r w:rsidR="000D53A7">
              <w:rPr>
                <w:rFonts w:cs="Arial"/>
                <w:sz w:val="16"/>
                <w:szCs w:val="16"/>
                <w:vertAlign w:val="superscript"/>
                <w:lang w:val="en-GB"/>
              </w:rPr>
              <w:t>b</w:t>
            </w:r>
            <w:r>
              <w:rPr>
                <w:rFonts w:cs="Arial"/>
                <w:sz w:val="16"/>
                <w:szCs w:val="16"/>
                <w:lang w:val="en-GB"/>
              </w:rPr>
              <w:t>)</w:t>
            </w:r>
          </w:p>
        </w:tc>
        <w:tc>
          <w:tcPr>
            <w:tcW w:w="1100" w:type="dxa"/>
            <w:tcBorders>
              <w:top w:val="nil"/>
              <w:left w:val="nil"/>
              <w:bottom w:val="single" w:sz="8" w:space="0" w:color="008000"/>
              <w:right w:val="nil"/>
            </w:tcBorders>
            <w:shd w:val="clear" w:color="auto" w:fill="FFFFFF" w:themeFill="background1"/>
          </w:tcPr>
          <w:p w14:paraId="0838323F"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⅔S+⅓P3</w:t>
            </w:r>
          </w:p>
          <w:p w14:paraId="6EEC4DC3"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3.4</w:t>
            </w:r>
          </w:p>
          <w:p w14:paraId="7A70187D"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56</w:t>
            </w:r>
          </w:p>
          <w:p w14:paraId="39686DEB"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3.4</w:t>
            </w:r>
          </w:p>
          <w:p w14:paraId="764DA99C"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4.1</w:t>
            </w:r>
          </w:p>
          <w:p w14:paraId="1C70AC53"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892</w:t>
            </w:r>
          </w:p>
          <w:p w14:paraId="298FC04C"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908</w:t>
            </w:r>
          </w:p>
          <w:p w14:paraId="0AD0FCC7" w14:textId="77777777" w:rsidR="00A030A6" w:rsidRDefault="00A030A6" w:rsidP="000C75F6">
            <w:pPr>
              <w:pStyle w:val="CETBodytext"/>
              <w:spacing w:line="240" w:lineRule="auto"/>
              <w:jc w:val="center"/>
              <w:rPr>
                <w:rFonts w:cs="Arial"/>
                <w:sz w:val="16"/>
                <w:szCs w:val="16"/>
                <w:lang w:val="en-GB"/>
              </w:rPr>
            </w:pPr>
            <w:r w:rsidRPr="00BC3760">
              <w:rPr>
                <w:rFonts w:cs="Arial"/>
                <w:sz w:val="16"/>
                <w:szCs w:val="16"/>
                <w:lang w:val="en-GB"/>
              </w:rPr>
              <w:t>0.36</w:t>
            </w:r>
          </w:p>
          <w:p w14:paraId="0E7E179E"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47</w:t>
            </w:r>
          </w:p>
          <w:p w14:paraId="165CBA27"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1.2</w:t>
            </w:r>
          </w:p>
          <w:p w14:paraId="7E5E3505"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335</w:t>
            </w:r>
          </w:p>
        </w:tc>
        <w:tc>
          <w:tcPr>
            <w:tcW w:w="1100" w:type="dxa"/>
            <w:tcBorders>
              <w:top w:val="nil"/>
              <w:left w:val="nil"/>
              <w:bottom w:val="single" w:sz="8" w:space="0" w:color="008000"/>
              <w:right w:val="nil"/>
            </w:tcBorders>
            <w:shd w:val="clear" w:color="auto" w:fill="FFFFFF" w:themeFill="background1"/>
          </w:tcPr>
          <w:p w14:paraId="7F24EC43"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⅓S+⅔P3</w:t>
            </w:r>
          </w:p>
          <w:p w14:paraId="4688B276"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2.7</w:t>
            </w:r>
          </w:p>
          <w:p w14:paraId="053336E8"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56</w:t>
            </w:r>
          </w:p>
          <w:p w14:paraId="18CE1430"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3.1</w:t>
            </w:r>
          </w:p>
          <w:p w14:paraId="34E927DE" w14:textId="77777777" w:rsidR="00A030A6" w:rsidRPr="009D5E31"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4.3</w:t>
            </w:r>
          </w:p>
          <w:p w14:paraId="6FAB2C7D"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893</w:t>
            </w:r>
          </w:p>
          <w:p w14:paraId="14D6A422"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887</w:t>
            </w:r>
          </w:p>
          <w:p w14:paraId="09637569" w14:textId="77777777" w:rsidR="00A030A6" w:rsidRDefault="00A030A6" w:rsidP="000C75F6">
            <w:pPr>
              <w:pStyle w:val="CETBodytext"/>
              <w:spacing w:line="240" w:lineRule="auto"/>
              <w:jc w:val="center"/>
              <w:rPr>
                <w:rFonts w:cs="Arial"/>
                <w:sz w:val="16"/>
                <w:szCs w:val="16"/>
                <w:lang w:val="en-GB"/>
              </w:rPr>
            </w:pPr>
            <w:r w:rsidRPr="00BC3760">
              <w:rPr>
                <w:rFonts w:cs="Arial"/>
                <w:sz w:val="16"/>
                <w:szCs w:val="16"/>
                <w:lang w:val="en-GB"/>
              </w:rPr>
              <w:t>0.37</w:t>
            </w:r>
          </w:p>
          <w:p w14:paraId="479BF471"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49</w:t>
            </w:r>
          </w:p>
          <w:p w14:paraId="44FD6ED7"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1.2</w:t>
            </w:r>
          </w:p>
          <w:p w14:paraId="4991F523"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324</w:t>
            </w:r>
          </w:p>
        </w:tc>
        <w:tc>
          <w:tcPr>
            <w:tcW w:w="1100" w:type="dxa"/>
            <w:tcBorders>
              <w:top w:val="nil"/>
              <w:left w:val="nil"/>
              <w:bottom w:val="single" w:sz="8" w:space="0" w:color="008000"/>
              <w:right w:val="nil"/>
            </w:tcBorders>
            <w:shd w:val="clear" w:color="auto" w:fill="FFFFFF" w:themeFill="background1"/>
          </w:tcPr>
          <w:p w14:paraId="7F76210B"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½S+½P3</w:t>
            </w:r>
          </w:p>
          <w:p w14:paraId="71DEA153"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3.7</w:t>
            </w:r>
          </w:p>
          <w:p w14:paraId="04DFD096"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57.1</w:t>
            </w:r>
          </w:p>
          <w:p w14:paraId="1951BF78"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6.8</w:t>
            </w:r>
          </w:p>
          <w:p w14:paraId="702B222D" w14:textId="77777777" w:rsidR="00A030A6" w:rsidRPr="00BC3760" w:rsidRDefault="00A030A6" w:rsidP="000C75F6">
            <w:pPr>
              <w:pStyle w:val="CETBodytext"/>
              <w:spacing w:line="240" w:lineRule="auto"/>
              <w:jc w:val="center"/>
              <w:rPr>
                <w:rFonts w:cs="Arial"/>
                <w:color w:val="FF0000"/>
                <w:sz w:val="16"/>
                <w:szCs w:val="16"/>
                <w:lang w:val="en-GB"/>
              </w:rPr>
            </w:pPr>
            <w:r w:rsidRPr="00BC3760">
              <w:rPr>
                <w:rFonts w:cs="Arial"/>
                <w:color w:val="000000" w:themeColor="text1"/>
                <w:sz w:val="16"/>
                <w:szCs w:val="16"/>
                <w:lang w:val="en-GB"/>
              </w:rPr>
              <w:t>6.2</w:t>
            </w:r>
          </w:p>
          <w:p w14:paraId="41CB1268"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847</w:t>
            </w:r>
          </w:p>
          <w:p w14:paraId="268DF593"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855</w:t>
            </w:r>
          </w:p>
          <w:p w14:paraId="2F12E16B" w14:textId="77777777" w:rsidR="00A030A6" w:rsidRDefault="00A030A6" w:rsidP="000C75F6">
            <w:pPr>
              <w:pStyle w:val="CETBodytext"/>
              <w:spacing w:line="240" w:lineRule="auto"/>
              <w:jc w:val="center"/>
              <w:rPr>
                <w:rFonts w:cs="Arial"/>
                <w:sz w:val="16"/>
                <w:szCs w:val="16"/>
                <w:lang w:val="en-GB"/>
              </w:rPr>
            </w:pPr>
            <w:r w:rsidRPr="00BC3760">
              <w:rPr>
                <w:rFonts w:cs="Arial"/>
                <w:sz w:val="16"/>
                <w:szCs w:val="16"/>
                <w:lang w:val="en-GB"/>
              </w:rPr>
              <w:t>0.32</w:t>
            </w:r>
          </w:p>
          <w:p w14:paraId="025E979F"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48</w:t>
            </w:r>
          </w:p>
          <w:p w14:paraId="01EB68C3" w14:textId="28DAFF41" w:rsidR="00A030A6" w:rsidRDefault="00A030A6" w:rsidP="000C75F6">
            <w:pPr>
              <w:pStyle w:val="CETBodytext"/>
              <w:spacing w:line="240" w:lineRule="auto"/>
              <w:jc w:val="center"/>
              <w:rPr>
                <w:rFonts w:cs="Arial"/>
                <w:sz w:val="16"/>
                <w:szCs w:val="16"/>
                <w:lang w:val="en-GB"/>
              </w:rPr>
            </w:pPr>
            <w:r>
              <w:rPr>
                <w:rFonts w:cs="Arial"/>
                <w:sz w:val="16"/>
                <w:szCs w:val="16"/>
                <w:lang w:val="en-GB"/>
              </w:rPr>
              <w:t>1.</w:t>
            </w:r>
            <w:r w:rsidR="00337B37">
              <w:rPr>
                <w:rFonts w:cs="Arial"/>
                <w:sz w:val="16"/>
                <w:szCs w:val="16"/>
                <w:lang w:val="en-GB"/>
              </w:rPr>
              <w:t>3</w:t>
            </w:r>
          </w:p>
          <w:p w14:paraId="3F1EA495"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318</w:t>
            </w:r>
          </w:p>
        </w:tc>
        <w:tc>
          <w:tcPr>
            <w:tcW w:w="1100" w:type="dxa"/>
            <w:tcBorders>
              <w:top w:val="nil"/>
              <w:left w:val="nil"/>
              <w:bottom w:val="single" w:sz="8" w:space="0" w:color="008000"/>
              <w:right w:val="nil"/>
            </w:tcBorders>
            <w:shd w:val="clear" w:color="auto" w:fill="FFFFFF" w:themeFill="background1"/>
          </w:tcPr>
          <w:p w14:paraId="159CCB42"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½S+½P3</w:t>
            </w:r>
          </w:p>
          <w:p w14:paraId="3B2E5AB9"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4.3</w:t>
            </w:r>
          </w:p>
          <w:p w14:paraId="7C5B4A70"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57.2</w:t>
            </w:r>
          </w:p>
          <w:p w14:paraId="5543A5B8"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5.0</w:t>
            </w:r>
          </w:p>
          <w:p w14:paraId="1F396793"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5.3</w:t>
            </w:r>
          </w:p>
          <w:p w14:paraId="7847432C"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870</w:t>
            </w:r>
          </w:p>
          <w:p w14:paraId="60E8E7D8"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873</w:t>
            </w:r>
          </w:p>
          <w:p w14:paraId="621322DB" w14:textId="77777777" w:rsidR="00A030A6" w:rsidRDefault="00A030A6" w:rsidP="000C75F6">
            <w:pPr>
              <w:pStyle w:val="CETBodytext"/>
              <w:spacing w:line="240" w:lineRule="auto"/>
              <w:jc w:val="center"/>
              <w:rPr>
                <w:rFonts w:cs="Arial"/>
                <w:sz w:val="16"/>
                <w:szCs w:val="16"/>
                <w:lang w:val="en-GB"/>
              </w:rPr>
            </w:pPr>
            <w:r w:rsidRPr="00BC3760">
              <w:rPr>
                <w:rFonts w:cs="Arial"/>
                <w:sz w:val="16"/>
                <w:szCs w:val="16"/>
                <w:lang w:val="en-GB"/>
              </w:rPr>
              <w:t>0.33</w:t>
            </w:r>
          </w:p>
          <w:p w14:paraId="132D2026"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51</w:t>
            </w:r>
          </w:p>
          <w:p w14:paraId="45371D8F" w14:textId="6D8717DE" w:rsidR="00A030A6" w:rsidRDefault="00A030A6" w:rsidP="000C75F6">
            <w:pPr>
              <w:pStyle w:val="CETBodytext"/>
              <w:spacing w:line="240" w:lineRule="auto"/>
              <w:jc w:val="center"/>
              <w:rPr>
                <w:rFonts w:cs="Arial"/>
                <w:sz w:val="16"/>
                <w:szCs w:val="16"/>
                <w:lang w:val="en-GB"/>
              </w:rPr>
            </w:pPr>
            <w:r>
              <w:rPr>
                <w:rFonts w:cs="Arial"/>
                <w:sz w:val="16"/>
                <w:szCs w:val="16"/>
                <w:lang w:val="en-GB"/>
              </w:rPr>
              <w:t>1.</w:t>
            </w:r>
            <w:r w:rsidR="00337B37">
              <w:rPr>
                <w:rFonts w:cs="Arial"/>
                <w:sz w:val="16"/>
                <w:szCs w:val="16"/>
                <w:lang w:val="en-GB"/>
              </w:rPr>
              <w:t>3</w:t>
            </w:r>
          </w:p>
          <w:p w14:paraId="6E75C2ED"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302</w:t>
            </w:r>
          </w:p>
        </w:tc>
        <w:tc>
          <w:tcPr>
            <w:tcW w:w="1100" w:type="dxa"/>
            <w:tcBorders>
              <w:top w:val="nil"/>
              <w:left w:val="nil"/>
              <w:bottom w:val="single" w:sz="8" w:space="0" w:color="008000"/>
              <w:right w:val="nil"/>
            </w:tcBorders>
            <w:shd w:val="clear" w:color="auto" w:fill="FFFFFF" w:themeFill="background1"/>
          </w:tcPr>
          <w:p w14:paraId="36C3DEFB"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½S+½P3</w:t>
            </w:r>
          </w:p>
          <w:p w14:paraId="134E17C8"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3.3</w:t>
            </w:r>
          </w:p>
          <w:p w14:paraId="35F309E8"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55.0</w:t>
            </w:r>
          </w:p>
          <w:p w14:paraId="47CFD03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4.8</w:t>
            </w:r>
          </w:p>
          <w:p w14:paraId="0A748E87"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6.1</w:t>
            </w:r>
          </w:p>
          <w:p w14:paraId="348C86C5"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870</w:t>
            </w:r>
          </w:p>
          <w:p w14:paraId="0E1AF01D"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873</w:t>
            </w:r>
          </w:p>
          <w:p w14:paraId="3A7A3305" w14:textId="77777777" w:rsidR="00A030A6" w:rsidRDefault="00A030A6" w:rsidP="000C75F6">
            <w:pPr>
              <w:pStyle w:val="CETBodytext"/>
              <w:spacing w:line="240" w:lineRule="auto"/>
              <w:jc w:val="center"/>
              <w:rPr>
                <w:rFonts w:cs="Arial"/>
                <w:sz w:val="16"/>
                <w:szCs w:val="16"/>
                <w:lang w:val="en-GB"/>
              </w:rPr>
            </w:pPr>
            <w:r w:rsidRPr="00BC3760">
              <w:rPr>
                <w:rFonts w:cs="Arial"/>
                <w:sz w:val="16"/>
                <w:szCs w:val="16"/>
                <w:lang w:val="en-GB"/>
              </w:rPr>
              <w:t>0.29</w:t>
            </w:r>
          </w:p>
          <w:p w14:paraId="7D042047"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51</w:t>
            </w:r>
          </w:p>
          <w:p w14:paraId="22573F5A" w14:textId="72AB833A" w:rsidR="00A030A6" w:rsidRDefault="00A030A6" w:rsidP="000C75F6">
            <w:pPr>
              <w:pStyle w:val="CETBodytext"/>
              <w:spacing w:line="240" w:lineRule="auto"/>
              <w:jc w:val="center"/>
              <w:rPr>
                <w:rFonts w:cs="Arial"/>
                <w:sz w:val="16"/>
                <w:szCs w:val="16"/>
                <w:lang w:val="en-GB"/>
              </w:rPr>
            </w:pPr>
            <w:r>
              <w:rPr>
                <w:rFonts w:cs="Arial"/>
                <w:sz w:val="16"/>
                <w:szCs w:val="16"/>
                <w:lang w:val="en-GB"/>
              </w:rPr>
              <w:t>1.2</w:t>
            </w:r>
          </w:p>
          <w:p w14:paraId="08262768"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285</w:t>
            </w:r>
          </w:p>
        </w:tc>
      </w:tr>
      <w:tr w:rsidR="00A030A6" w14:paraId="3EDCE5DE" w14:textId="77777777" w:rsidTr="00382AA9">
        <w:tc>
          <w:tcPr>
            <w:tcW w:w="2864" w:type="dxa"/>
            <w:tcBorders>
              <w:top w:val="nil"/>
              <w:left w:val="nil"/>
              <w:bottom w:val="single" w:sz="8" w:space="0" w:color="008000"/>
              <w:right w:val="nil"/>
            </w:tcBorders>
            <w:shd w:val="clear" w:color="auto" w:fill="FFFFFF" w:themeFill="background1"/>
            <w:hideMark/>
          </w:tcPr>
          <w:p w14:paraId="4FF8C4E6" w14:textId="77777777" w:rsidR="00A030A6" w:rsidRPr="000C1678" w:rsidRDefault="00A030A6" w:rsidP="000C75F6">
            <w:pPr>
              <w:pStyle w:val="CETBodytext"/>
              <w:spacing w:line="240" w:lineRule="auto"/>
              <w:jc w:val="left"/>
              <w:rPr>
                <w:rFonts w:cs="Arial"/>
                <w:sz w:val="16"/>
                <w:szCs w:val="16"/>
                <w:lang w:val="en-GB"/>
              </w:rPr>
            </w:pPr>
            <w:r w:rsidRPr="000C1678">
              <w:rPr>
                <w:rFonts w:cs="Arial"/>
                <w:sz w:val="16"/>
                <w:szCs w:val="16"/>
                <w:lang w:val="en-GB"/>
              </w:rPr>
              <w:t>Dry gas composition, vol%</w:t>
            </w:r>
          </w:p>
          <w:p w14:paraId="15A69236"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CO</w:t>
            </w:r>
          </w:p>
          <w:p w14:paraId="3243CF40"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CO</w:t>
            </w:r>
            <w:r w:rsidRPr="00BC3760">
              <w:rPr>
                <w:rFonts w:cs="Arial"/>
                <w:sz w:val="16"/>
                <w:szCs w:val="16"/>
                <w:vertAlign w:val="subscript"/>
                <w:lang w:val="en-GB"/>
              </w:rPr>
              <w:t>2</w:t>
            </w:r>
          </w:p>
          <w:p w14:paraId="6E72957A"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H</w:t>
            </w:r>
            <w:r w:rsidRPr="00BC3760">
              <w:rPr>
                <w:rFonts w:cs="Arial"/>
                <w:sz w:val="16"/>
                <w:szCs w:val="16"/>
                <w:vertAlign w:val="subscript"/>
                <w:lang w:val="en-GB"/>
              </w:rPr>
              <w:t>2</w:t>
            </w:r>
          </w:p>
          <w:p w14:paraId="3CDD513F"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N</w:t>
            </w:r>
            <w:r w:rsidRPr="00BC3760">
              <w:rPr>
                <w:rFonts w:cs="Arial"/>
                <w:sz w:val="16"/>
                <w:szCs w:val="16"/>
                <w:vertAlign w:val="subscript"/>
                <w:lang w:val="en-GB"/>
              </w:rPr>
              <w:t>2</w:t>
            </w:r>
            <w:r w:rsidRPr="00BC3760">
              <w:rPr>
                <w:rFonts w:cs="Arial"/>
                <w:sz w:val="16"/>
                <w:szCs w:val="16"/>
                <w:lang w:val="en-GB"/>
              </w:rPr>
              <w:t xml:space="preserve"> (as difference)</w:t>
            </w:r>
          </w:p>
          <w:p w14:paraId="1182B555"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CH</w:t>
            </w:r>
            <w:r w:rsidRPr="00BC3760">
              <w:rPr>
                <w:rFonts w:cs="Arial"/>
                <w:sz w:val="16"/>
                <w:szCs w:val="16"/>
                <w:vertAlign w:val="subscript"/>
                <w:lang w:val="en-GB"/>
              </w:rPr>
              <w:t>4</w:t>
            </w:r>
          </w:p>
          <w:p w14:paraId="5E733061" w14:textId="77777777" w:rsidR="00A030A6" w:rsidRPr="00BC3760" w:rsidRDefault="00A030A6" w:rsidP="000C75F6">
            <w:pPr>
              <w:pStyle w:val="CETBodytext"/>
              <w:spacing w:line="240" w:lineRule="auto"/>
              <w:jc w:val="left"/>
              <w:rPr>
                <w:rFonts w:cs="Arial"/>
                <w:sz w:val="16"/>
                <w:szCs w:val="16"/>
                <w:vertAlign w:val="subscript"/>
                <w:lang w:val="en-GB"/>
              </w:rPr>
            </w:pPr>
            <w:r w:rsidRPr="00BC3760">
              <w:rPr>
                <w:rFonts w:cs="Arial"/>
                <w:sz w:val="16"/>
                <w:szCs w:val="16"/>
                <w:lang w:val="en-GB"/>
              </w:rPr>
              <w:t xml:space="preserve">   C</w:t>
            </w:r>
            <w:r w:rsidRPr="00BC3760">
              <w:rPr>
                <w:rFonts w:cs="Arial"/>
                <w:sz w:val="16"/>
                <w:szCs w:val="16"/>
                <w:vertAlign w:val="subscript"/>
                <w:lang w:val="en-GB"/>
              </w:rPr>
              <w:t>2</w:t>
            </w:r>
            <w:r w:rsidRPr="00BC3760">
              <w:rPr>
                <w:rFonts w:cs="Arial"/>
                <w:sz w:val="16"/>
                <w:szCs w:val="16"/>
                <w:lang w:val="en-GB"/>
              </w:rPr>
              <w:t>H</w:t>
            </w:r>
            <w:r w:rsidRPr="00BC3760">
              <w:rPr>
                <w:rFonts w:cs="Arial"/>
                <w:sz w:val="16"/>
                <w:szCs w:val="16"/>
                <w:vertAlign w:val="subscript"/>
                <w:lang w:val="en-GB"/>
              </w:rPr>
              <w:t>y</w:t>
            </w:r>
          </w:p>
          <w:p w14:paraId="0413E36A"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C</w:t>
            </w:r>
            <w:r w:rsidRPr="00BC3760">
              <w:rPr>
                <w:rFonts w:cs="Arial"/>
                <w:sz w:val="16"/>
                <w:szCs w:val="16"/>
                <w:vertAlign w:val="subscript"/>
                <w:lang w:val="en-GB"/>
              </w:rPr>
              <w:t>3</w:t>
            </w:r>
            <w:r w:rsidRPr="00BC3760">
              <w:rPr>
                <w:rFonts w:cs="Arial"/>
                <w:sz w:val="16"/>
                <w:szCs w:val="16"/>
                <w:lang w:val="en-GB"/>
              </w:rPr>
              <w:t>-C</w:t>
            </w:r>
            <w:r w:rsidRPr="00BC3760">
              <w:rPr>
                <w:rFonts w:cs="Arial"/>
                <w:sz w:val="16"/>
                <w:szCs w:val="16"/>
                <w:vertAlign w:val="subscript"/>
                <w:lang w:val="en-GB"/>
              </w:rPr>
              <w:t>5</w:t>
            </w:r>
            <w:r w:rsidRPr="00BC3760">
              <w:rPr>
                <w:rFonts w:cs="Arial"/>
                <w:sz w:val="16"/>
                <w:szCs w:val="16"/>
                <w:lang w:val="en-GB"/>
              </w:rPr>
              <w:t>Hy</w:t>
            </w:r>
          </w:p>
          <w:p w14:paraId="0A081BBF"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 xml:space="preserve">   NH</w:t>
            </w:r>
            <w:r w:rsidRPr="00BC3760">
              <w:rPr>
                <w:rFonts w:cs="Arial"/>
                <w:sz w:val="16"/>
                <w:szCs w:val="16"/>
                <w:vertAlign w:val="subscript"/>
                <w:lang w:val="en-GB"/>
              </w:rPr>
              <w:t>3</w:t>
            </w:r>
          </w:p>
          <w:p w14:paraId="741D37BD"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H</w:t>
            </w:r>
            <w:r w:rsidRPr="00BC3760">
              <w:rPr>
                <w:rFonts w:cs="Arial"/>
                <w:sz w:val="16"/>
                <w:szCs w:val="16"/>
                <w:vertAlign w:val="subscript"/>
                <w:lang w:val="en-GB"/>
              </w:rPr>
              <w:t>2</w:t>
            </w:r>
            <w:r w:rsidRPr="00BC3760">
              <w:rPr>
                <w:rFonts w:cs="Arial"/>
                <w:sz w:val="16"/>
                <w:szCs w:val="16"/>
                <w:lang w:val="en-GB"/>
              </w:rPr>
              <w:t>O in wet gas, vol%</w:t>
            </w:r>
          </w:p>
        </w:tc>
        <w:tc>
          <w:tcPr>
            <w:tcW w:w="1100" w:type="dxa"/>
            <w:tcBorders>
              <w:top w:val="single" w:sz="8" w:space="0" w:color="008000"/>
              <w:left w:val="nil"/>
              <w:bottom w:val="single" w:sz="8" w:space="0" w:color="008000"/>
              <w:right w:val="nil"/>
            </w:tcBorders>
            <w:shd w:val="clear" w:color="auto" w:fill="FFFFFF" w:themeFill="background1"/>
          </w:tcPr>
          <w:p w14:paraId="1FF04732" w14:textId="77777777" w:rsidR="00A030A6" w:rsidRPr="00BC3760" w:rsidRDefault="00A030A6" w:rsidP="000C75F6">
            <w:pPr>
              <w:pStyle w:val="CETBodytext"/>
              <w:spacing w:line="240" w:lineRule="auto"/>
              <w:jc w:val="center"/>
              <w:rPr>
                <w:rFonts w:cs="Arial"/>
                <w:kern w:val="24"/>
                <w:sz w:val="16"/>
                <w:szCs w:val="16"/>
                <w:lang w:val="en-GB"/>
              </w:rPr>
            </w:pPr>
          </w:p>
          <w:p w14:paraId="5FE8149D"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10.5</w:t>
            </w:r>
          </w:p>
          <w:p w14:paraId="656BC7D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17.3</w:t>
            </w:r>
          </w:p>
          <w:p w14:paraId="72DF5AA6"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11.3</w:t>
            </w:r>
          </w:p>
          <w:p w14:paraId="7DA58BAF"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56.6</w:t>
            </w:r>
          </w:p>
          <w:p w14:paraId="52ECC2AB"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3.3</w:t>
            </w:r>
          </w:p>
          <w:p w14:paraId="5FF4EAF8"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0.82</w:t>
            </w:r>
          </w:p>
          <w:p w14:paraId="51E7058F"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w:t>
            </w:r>
          </w:p>
          <w:p w14:paraId="26CD1425"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0.16</w:t>
            </w:r>
          </w:p>
          <w:p w14:paraId="248A9713"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22.8</w:t>
            </w:r>
          </w:p>
        </w:tc>
        <w:tc>
          <w:tcPr>
            <w:tcW w:w="1100" w:type="dxa"/>
            <w:tcBorders>
              <w:top w:val="single" w:sz="8" w:space="0" w:color="008000"/>
              <w:left w:val="nil"/>
              <w:bottom w:val="single" w:sz="8" w:space="0" w:color="008000"/>
              <w:right w:val="nil"/>
            </w:tcBorders>
            <w:shd w:val="clear" w:color="auto" w:fill="FFFFFF" w:themeFill="background1"/>
          </w:tcPr>
          <w:p w14:paraId="73D28040"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p>
          <w:p w14:paraId="6D8F1AF9"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10.4</w:t>
            </w:r>
          </w:p>
          <w:p w14:paraId="260AA8E3"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17.7</w:t>
            </w:r>
          </w:p>
          <w:p w14:paraId="01FDCBA2"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12.4</w:t>
            </w:r>
          </w:p>
          <w:p w14:paraId="0079BE0D"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55.7</w:t>
            </w:r>
          </w:p>
          <w:p w14:paraId="597CB50B"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3.2</w:t>
            </w:r>
          </w:p>
          <w:p w14:paraId="203A39F0"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0.66</w:t>
            </w:r>
          </w:p>
          <w:p w14:paraId="74CD75D7"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w:t>
            </w:r>
          </w:p>
          <w:p w14:paraId="092EA827" w14:textId="6B6A41A6" w:rsidR="00A030A6" w:rsidRPr="00BC3760" w:rsidRDefault="005F0ED2" w:rsidP="000C75F6">
            <w:pPr>
              <w:pStyle w:val="CETBodytext"/>
              <w:spacing w:line="240" w:lineRule="auto"/>
              <w:jc w:val="center"/>
              <w:rPr>
                <w:rFonts w:cs="Arial"/>
                <w:bCs/>
                <w:color w:val="000000" w:themeColor="text1"/>
                <w:kern w:val="24"/>
                <w:sz w:val="16"/>
                <w:szCs w:val="16"/>
                <w:lang w:val="en-GB"/>
              </w:rPr>
            </w:pPr>
            <w:r>
              <w:rPr>
                <w:rFonts w:cs="Arial"/>
                <w:bCs/>
                <w:color w:val="000000" w:themeColor="text1"/>
                <w:kern w:val="24"/>
                <w:sz w:val="16"/>
                <w:szCs w:val="16"/>
                <w:lang w:val="en-GB"/>
              </w:rPr>
              <w:t>nm</w:t>
            </w:r>
          </w:p>
          <w:p w14:paraId="5DF59B23" w14:textId="77777777" w:rsidR="00A030A6" w:rsidRPr="00BC3760" w:rsidRDefault="00A030A6" w:rsidP="000C75F6">
            <w:pPr>
              <w:pStyle w:val="CETBodytext"/>
              <w:spacing w:line="240" w:lineRule="auto"/>
              <w:jc w:val="center"/>
              <w:rPr>
                <w:rFonts w:cs="Arial"/>
                <w:bCs/>
                <w:color w:val="000000" w:themeColor="text1"/>
                <w:kern w:val="24"/>
                <w:sz w:val="16"/>
                <w:szCs w:val="16"/>
                <w:lang w:val="en-GB"/>
              </w:rPr>
            </w:pPr>
            <w:r w:rsidRPr="00BC3760">
              <w:rPr>
                <w:rFonts w:cs="Arial"/>
                <w:bCs/>
                <w:color w:val="000000" w:themeColor="text1"/>
                <w:kern w:val="24"/>
                <w:sz w:val="16"/>
                <w:szCs w:val="16"/>
                <w:lang w:val="en-GB"/>
              </w:rPr>
              <w:t>20.4</w:t>
            </w:r>
          </w:p>
        </w:tc>
        <w:tc>
          <w:tcPr>
            <w:tcW w:w="1100" w:type="dxa"/>
            <w:tcBorders>
              <w:top w:val="single" w:sz="8" w:space="0" w:color="008000"/>
              <w:left w:val="nil"/>
              <w:bottom w:val="single" w:sz="8" w:space="0" w:color="008000"/>
              <w:right w:val="nil"/>
            </w:tcBorders>
            <w:shd w:val="clear" w:color="auto" w:fill="FFFFFF" w:themeFill="background1"/>
          </w:tcPr>
          <w:p w14:paraId="324D65AF" w14:textId="77777777" w:rsidR="00A030A6" w:rsidRPr="00BC3760" w:rsidRDefault="00A030A6" w:rsidP="000C75F6">
            <w:pPr>
              <w:pStyle w:val="CETBodytext"/>
              <w:spacing w:line="240" w:lineRule="auto"/>
              <w:jc w:val="center"/>
              <w:rPr>
                <w:rFonts w:cs="Arial"/>
                <w:color w:val="000000" w:themeColor="text1"/>
                <w:sz w:val="16"/>
                <w:szCs w:val="16"/>
                <w:lang w:val="en-GB"/>
              </w:rPr>
            </w:pPr>
          </w:p>
          <w:p w14:paraId="5E42A77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5.0</w:t>
            </w:r>
          </w:p>
          <w:p w14:paraId="3E205A1A"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17.8</w:t>
            </w:r>
          </w:p>
          <w:p w14:paraId="7A2D5C4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7.0</w:t>
            </w:r>
          </w:p>
          <w:p w14:paraId="393AF367"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62.3</w:t>
            </w:r>
          </w:p>
          <w:p w14:paraId="259892F5"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4.6</w:t>
            </w:r>
          </w:p>
          <w:p w14:paraId="694A80FE"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2.8</w:t>
            </w:r>
          </w:p>
          <w:p w14:paraId="6A436EC1"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0.05</w:t>
            </w:r>
          </w:p>
          <w:p w14:paraId="37FCE431"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0.51</w:t>
            </w:r>
          </w:p>
          <w:p w14:paraId="7BCAEBDC"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23.7</w:t>
            </w:r>
          </w:p>
        </w:tc>
        <w:tc>
          <w:tcPr>
            <w:tcW w:w="1100" w:type="dxa"/>
            <w:tcBorders>
              <w:top w:val="single" w:sz="8" w:space="0" w:color="008000"/>
              <w:left w:val="nil"/>
              <w:bottom w:val="single" w:sz="8" w:space="0" w:color="008000"/>
              <w:right w:val="nil"/>
            </w:tcBorders>
            <w:shd w:val="clear" w:color="auto" w:fill="FFFFFF" w:themeFill="background1"/>
          </w:tcPr>
          <w:p w14:paraId="32C762BD" w14:textId="77777777" w:rsidR="00A030A6" w:rsidRPr="00BC3760" w:rsidRDefault="00A030A6" w:rsidP="000C75F6">
            <w:pPr>
              <w:pStyle w:val="CETBodytext"/>
              <w:spacing w:line="240" w:lineRule="auto"/>
              <w:jc w:val="center"/>
              <w:rPr>
                <w:rFonts w:cs="Arial"/>
                <w:color w:val="000000" w:themeColor="text1"/>
                <w:sz w:val="16"/>
                <w:szCs w:val="16"/>
                <w:lang w:val="en-GB"/>
              </w:rPr>
            </w:pPr>
          </w:p>
          <w:p w14:paraId="2623C467"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5.5</w:t>
            </w:r>
          </w:p>
          <w:p w14:paraId="453271CB"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17.3</w:t>
            </w:r>
          </w:p>
          <w:p w14:paraId="3B445270"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7.7</w:t>
            </w:r>
          </w:p>
          <w:p w14:paraId="471B566C"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62.2</w:t>
            </w:r>
          </w:p>
          <w:p w14:paraId="7ECF4ED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4.5</w:t>
            </w:r>
          </w:p>
          <w:p w14:paraId="7211681F"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2.3</w:t>
            </w:r>
          </w:p>
          <w:p w14:paraId="20D46693"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0.03</w:t>
            </w:r>
          </w:p>
          <w:p w14:paraId="0F6FCBE1"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0.51</w:t>
            </w:r>
          </w:p>
          <w:p w14:paraId="4EED2C3D"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21.7</w:t>
            </w:r>
          </w:p>
        </w:tc>
        <w:tc>
          <w:tcPr>
            <w:tcW w:w="1100" w:type="dxa"/>
            <w:tcBorders>
              <w:top w:val="single" w:sz="8" w:space="0" w:color="008000"/>
              <w:left w:val="nil"/>
              <w:bottom w:val="single" w:sz="8" w:space="0" w:color="008000"/>
              <w:right w:val="nil"/>
            </w:tcBorders>
            <w:shd w:val="clear" w:color="auto" w:fill="FFFFFF" w:themeFill="background1"/>
          </w:tcPr>
          <w:p w14:paraId="7BC6EE28" w14:textId="77777777" w:rsidR="00A030A6" w:rsidRPr="00BC3760" w:rsidRDefault="00A030A6" w:rsidP="000C75F6">
            <w:pPr>
              <w:pStyle w:val="CETBodytext"/>
              <w:spacing w:line="240" w:lineRule="auto"/>
              <w:jc w:val="center"/>
              <w:rPr>
                <w:rFonts w:cs="Arial"/>
                <w:color w:val="000000" w:themeColor="text1"/>
                <w:sz w:val="16"/>
                <w:szCs w:val="16"/>
                <w:lang w:val="en-GB"/>
              </w:rPr>
            </w:pPr>
          </w:p>
          <w:p w14:paraId="19AB781C"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7.4</w:t>
            </w:r>
          </w:p>
          <w:p w14:paraId="622B7C26"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16.3</w:t>
            </w:r>
          </w:p>
          <w:p w14:paraId="39469D90"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9.0</w:t>
            </w:r>
          </w:p>
          <w:p w14:paraId="65177C65"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59.3</w:t>
            </w:r>
          </w:p>
          <w:p w14:paraId="510C1BC9"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5.0</w:t>
            </w:r>
          </w:p>
          <w:p w14:paraId="5892D9D7"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2.6</w:t>
            </w:r>
          </w:p>
          <w:p w14:paraId="14BBF58F"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0.04</w:t>
            </w:r>
          </w:p>
          <w:p w14:paraId="09C82A5F" w14:textId="77777777" w:rsidR="00A030A6" w:rsidRPr="00BC3760" w:rsidRDefault="00A030A6" w:rsidP="000C75F6">
            <w:pPr>
              <w:pStyle w:val="CETBodytext"/>
              <w:spacing w:line="240" w:lineRule="auto"/>
              <w:jc w:val="center"/>
              <w:rPr>
                <w:rFonts w:cs="Arial"/>
                <w:color w:val="000000" w:themeColor="text1"/>
                <w:sz w:val="16"/>
                <w:szCs w:val="16"/>
                <w:lang w:val="en-GB"/>
              </w:rPr>
            </w:pPr>
            <w:r w:rsidRPr="00BC3760">
              <w:rPr>
                <w:rFonts w:cs="Arial"/>
                <w:color w:val="000000" w:themeColor="text1"/>
                <w:sz w:val="16"/>
                <w:szCs w:val="16"/>
                <w:lang w:val="en-GB"/>
              </w:rPr>
              <w:t>0.38</w:t>
            </w:r>
          </w:p>
          <w:p w14:paraId="5F0E338F" w14:textId="77777777" w:rsidR="00A030A6" w:rsidRPr="00BC3760" w:rsidRDefault="00A030A6" w:rsidP="000C75F6">
            <w:pPr>
              <w:pStyle w:val="CETBodytext"/>
              <w:spacing w:line="240" w:lineRule="auto"/>
              <w:jc w:val="center"/>
              <w:rPr>
                <w:rFonts w:cs="Arial"/>
                <w:sz w:val="16"/>
                <w:szCs w:val="16"/>
                <w:lang w:val="en-GB"/>
              </w:rPr>
            </w:pPr>
            <w:r w:rsidRPr="00BC3760">
              <w:rPr>
                <w:rFonts w:cs="Arial"/>
                <w:color w:val="000000" w:themeColor="text1"/>
                <w:sz w:val="16"/>
                <w:szCs w:val="16"/>
                <w:lang w:val="en-GB"/>
              </w:rPr>
              <w:t>16.4</w:t>
            </w:r>
          </w:p>
        </w:tc>
      </w:tr>
      <w:tr w:rsidR="00A030A6" w14:paraId="2202D00E" w14:textId="77777777" w:rsidTr="00382AA9">
        <w:tc>
          <w:tcPr>
            <w:tcW w:w="2864" w:type="dxa"/>
            <w:tcBorders>
              <w:top w:val="nil"/>
              <w:left w:val="nil"/>
              <w:bottom w:val="single" w:sz="8" w:space="0" w:color="008000"/>
              <w:right w:val="nil"/>
            </w:tcBorders>
            <w:shd w:val="clear" w:color="auto" w:fill="FFFFFF" w:themeFill="background1"/>
            <w:hideMark/>
          </w:tcPr>
          <w:p w14:paraId="3B6B4539" w14:textId="2C85AA77" w:rsidR="00A030A6" w:rsidRPr="00CA7ED2" w:rsidRDefault="00A030A6" w:rsidP="00CA7ED2">
            <w:pPr>
              <w:pStyle w:val="CETBodytext"/>
              <w:spacing w:line="240" w:lineRule="auto"/>
              <w:jc w:val="left"/>
              <w:rPr>
                <w:rFonts w:cs="Arial"/>
                <w:sz w:val="16"/>
                <w:szCs w:val="16"/>
                <w:vertAlign w:val="subscript"/>
                <w:lang w:val="en-GB"/>
              </w:rPr>
            </w:pPr>
            <w:r w:rsidRPr="00BC3760">
              <w:rPr>
                <w:rFonts w:cs="Arial"/>
                <w:sz w:val="16"/>
                <w:szCs w:val="16"/>
                <w:lang w:val="en-GB"/>
              </w:rPr>
              <w:t>Tars + benzene, g/m</w:t>
            </w:r>
            <w:r w:rsidRPr="00BC3760">
              <w:rPr>
                <w:rFonts w:cs="Arial"/>
                <w:sz w:val="16"/>
                <w:szCs w:val="16"/>
                <w:vertAlign w:val="superscript"/>
                <w:lang w:val="en-GB"/>
              </w:rPr>
              <w:t>3</w:t>
            </w:r>
            <w:r w:rsidR="00CA7ED2">
              <w:rPr>
                <w:rFonts w:cs="Arial"/>
                <w:sz w:val="16"/>
                <w:szCs w:val="16"/>
                <w:vertAlign w:val="subscript"/>
                <w:lang w:val="en-GB"/>
              </w:rPr>
              <w:t>STP</w:t>
            </w:r>
          </w:p>
        </w:tc>
        <w:tc>
          <w:tcPr>
            <w:tcW w:w="1100" w:type="dxa"/>
            <w:tcBorders>
              <w:top w:val="single" w:sz="8" w:space="0" w:color="008000"/>
              <w:left w:val="nil"/>
              <w:bottom w:val="single" w:sz="8" w:space="0" w:color="008000"/>
              <w:right w:val="nil"/>
            </w:tcBorders>
            <w:shd w:val="clear" w:color="auto" w:fill="FFFFFF" w:themeFill="background1"/>
          </w:tcPr>
          <w:p w14:paraId="1D4B71CD"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9.7</w:t>
            </w:r>
          </w:p>
        </w:tc>
        <w:tc>
          <w:tcPr>
            <w:tcW w:w="1100" w:type="dxa"/>
            <w:tcBorders>
              <w:top w:val="single" w:sz="8" w:space="0" w:color="008000"/>
              <w:left w:val="nil"/>
              <w:bottom w:val="single" w:sz="8" w:space="0" w:color="008000"/>
              <w:right w:val="nil"/>
            </w:tcBorders>
            <w:shd w:val="clear" w:color="auto" w:fill="FFFFFF" w:themeFill="background1"/>
          </w:tcPr>
          <w:p w14:paraId="725993FF" w14:textId="77777777" w:rsidR="00A030A6" w:rsidRPr="00BC3760" w:rsidRDefault="00A030A6" w:rsidP="000C75F6">
            <w:pPr>
              <w:pStyle w:val="CETBodytext"/>
              <w:spacing w:line="240" w:lineRule="auto"/>
              <w:jc w:val="center"/>
              <w:rPr>
                <w:rFonts w:cs="Arial"/>
                <w:kern w:val="24"/>
                <w:sz w:val="16"/>
                <w:szCs w:val="16"/>
                <w:lang w:val="en-GB"/>
              </w:rPr>
            </w:pPr>
            <w:r w:rsidRPr="00BC3760">
              <w:rPr>
                <w:rFonts w:cs="Arial"/>
                <w:kern w:val="24"/>
                <w:sz w:val="16"/>
                <w:szCs w:val="16"/>
                <w:lang w:val="en-GB"/>
              </w:rPr>
              <w:t>7.3</w:t>
            </w:r>
          </w:p>
        </w:tc>
        <w:tc>
          <w:tcPr>
            <w:tcW w:w="1100" w:type="dxa"/>
            <w:tcBorders>
              <w:top w:val="single" w:sz="8" w:space="0" w:color="008000"/>
              <w:left w:val="nil"/>
              <w:bottom w:val="single" w:sz="8" w:space="0" w:color="008000"/>
              <w:right w:val="nil"/>
            </w:tcBorders>
            <w:shd w:val="clear" w:color="auto" w:fill="FFFFFF" w:themeFill="background1"/>
          </w:tcPr>
          <w:p w14:paraId="718F8543" w14:textId="77777777" w:rsidR="00A030A6" w:rsidRPr="00BC3760" w:rsidRDefault="00A030A6" w:rsidP="000C75F6">
            <w:pPr>
              <w:pStyle w:val="CETBodytext"/>
              <w:spacing w:line="240" w:lineRule="auto"/>
              <w:jc w:val="center"/>
              <w:rPr>
                <w:rFonts w:cs="Arial"/>
                <w:kern w:val="24"/>
                <w:sz w:val="16"/>
                <w:szCs w:val="16"/>
                <w:lang w:val="en-GB"/>
              </w:rPr>
            </w:pPr>
            <w:r w:rsidRPr="00BC3760">
              <w:rPr>
                <w:rFonts w:cs="Arial"/>
                <w:kern w:val="24"/>
                <w:sz w:val="16"/>
                <w:szCs w:val="16"/>
                <w:lang w:val="en-GB"/>
              </w:rPr>
              <w:t>30.6</w:t>
            </w:r>
          </w:p>
        </w:tc>
        <w:tc>
          <w:tcPr>
            <w:tcW w:w="1100" w:type="dxa"/>
            <w:tcBorders>
              <w:top w:val="single" w:sz="8" w:space="0" w:color="008000"/>
              <w:left w:val="nil"/>
              <w:bottom w:val="single" w:sz="8" w:space="0" w:color="008000"/>
              <w:right w:val="nil"/>
            </w:tcBorders>
            <w:shd w:val="clear" w:color="auto" w:fill="FFFFFF" w:themeFill="background1"/>
          </w:tcPr>
          <w:p w14:paraId="29F83D46" w14:textId="77777777" w:rsidR="00A030A6" w:rsidRPr="00BC3760" w:rsidRDefault="00A030A6" w:rsidP="000C75F6">
            <w:pPr>
              <w:pStyle w:val="CETBodytext"/>
              <w:spacing w:line="240" w:lineRule="auto"/>
              <w:jc w:val="center"/>
              <w:rPr>
                <w:rFonts w:cs="Arial"/>
                <w:kern w:val="24"/>
                <w:sz w:val="16"/>
                <w:szCs w:val="16"/>
                <w:lang w:val="en-GB"/>
              </w:rPr>
            </w:pPr>
            <w:r w:rsidRPr="00BC3760">
              <w:rPr>
                <w:rFonts w:cs="Arial"/>
                <w:kern w:val="24"/>
                <w:sz w:val="16"/>
                <w:szCs w:val="16"/>
                <w:lang w:val="en-GB"/>
              </w:rPr>
              <w:t>32.3</w:t>
            </w:r>
          </w:p>
        </w:tc>
        <w:tc>
          <w:tcPr>
            <w:tcW w:w="1100" w:type="dxa"/>
            <w:tcBorders>
              <w:top w:val="single" w:sz="8" w:space="0" w:color="008000"/>
              <w:left w:val="nil"/>
              <w:bottom w:val="single" w:sz="8" w:space="0" w:color="008000"/>
              <w:right w:val="nil"/>
            </w:tcBorders>
            <w:shd w:val="clear" w:color="auto" w:fill="FFFFFF" w:themeFill="background1"/>
          </w:tcPr>
          <w:p w14:paraId="3353697E" w14:textId="77777777" w:rsidR="00A030A6" w:rsidRPr="00BC3760" w:rsidRDefault="00A030A6" w:rsidP="000C75F6">
            <w:pPr>
              <w:pStyle w:val="CETBodytext"/>
              <w:spacing w:line="240" w:lineRule="auto"/>
              <w:jc w:val="center"/>
              <w:rPr>
                <w:rFonts w:cs="Arial"/>
                <w:sz w:val="16"/>
                <w:szCs w:val="16"/>
                <w:lang w:val="en-GB"/>
              </w:rPr>
            </w:pPr>
            <w:r w:rsidRPr="00BC3760">
              <w:rPr>
                <w:rFonts w:cs="Arial"/>
                <w:sz w:val="16"/>
                <w:szCs w:val="16"/>
                <w:lang w:val="en-GB"/>
              </w:rPr>
              <w:t>31.9</w:t>
            </w:r>
          </w:p>
        </w:tc>
      </w:tr>
      <w:tr w:rsidR="00A030A6" w14:paraId="60A34D8A" w14:textId="77777777" w:rsidTr="00382AA9">
        <w:tc>
          <w:tcPr>
            <w:tcW w:w="2864" w:type="dxa"/>
            <w:tcBorders>
              <w:top w:val="nil"/>
              <w:left w:val="nil"/>
              <w:bottom w:val="single" w:sz="8" w:space="0" w:color="008000"/>
              <w:right w:val="nil"/>
            </w:tcBorders>
            <w:shd w:val="clear" w:color="auto" w:fill="FFFFFF" w:themeFill="background1"/>
            <w:hideMark/>
          </w:tcPr>
          <w:p w14:paraId="60F47549"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Filter temperature, °C</w:t>
            </w:r>
          </w:p>
          <w:p w14:paraId="1D44674F" w14:textId="74D60354" w:rsidR="00A030A6" w:rsidRPr="00CA7ED2" w:rsidRDefault="00A030A6" w:rsidP="000C75F6">
            <w:pPr>
              <w:pStyle w:val="CETBodytext"/>
              <w:spacing w:line="240" w:lineRule="auto"/>
              <w:jc w:val="left"/>
              <w:rPr>
                <w:rFonts w:cs="Arial"/>
                <w:sz w:val="16"/>
                <w:szCs w:val="16"/>
                <w:vertAlign w:val="subscript"/>
                <w:lang w:val="en-GB"/>
              </w:rPr>
            </w:pPr>
            <w:r w:rsidRPr="00BC3760">
              <w:rPr>
                <w:rFonts w:cs="Arial"/>
                <w:sz w:val="16"/>
                <w:szCs w:val="16"/>
                <w:lang w:val="en-GB"/>
              </w:rPr>
              <w:t>Dust content in filter inlet, g/m</w:t>
            </w:r>
            <w:r w:rsidRPr="00BC3760">
              <w:rPr>
                <w:rFonts w:cs="Arial"/>
                <w:sz w:val="16"/>
                <w:szCs w:val="16"/>
                <w:vertAlign w:val="superscript"/>
                <w:lang w:val="en-GB"/>
              </w:rPr>
              <w:t>3</w:t>
            </w:r>
            <w:r w:rsidR="00CA7ED2">
              <w:rPr>
                <w:rFonts w:cs="Arial"/>
                <w:sz w:val="16"/>
                <w:szCs w:val="16"/>
                <w:vertAlign w:val="subscript"/>
                <w:lang w:val="en-GB"/>
              </w:rPr>
              <w:t>STP</w:t>
            </w:r>
          </w:p>
          <w:p w14:paraId="643C09DA"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Filter pressure drop, mbar</w:t>
            </w:r>
          </w:p>
          <w:p w14:paraId="6E52ED53"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Filter face velocity, cm/s</w:t>
            </w:r>
          </w:p>
        </w:tc>
        <w:tc>
          <w:tcPr>
            <w:tcW w:w="1100" w:type="dxa"/>
            <w:tcBorders>
              <w:top w:val="single" w:sz="8" w:space="0" w:color="008000"/>
              <w:left w:val="nil"/>
              <w:bottom w:val="single" w:sz="8" w:space="0" w:color="008000"/>
              <w:right w:val="nil"/>
            </w:tcBorders>
            <w:shd w:val="clear" w:color="auto" w:fill="FFFFFF" w:themeFill="background1"/>
          </w:tcPr>
          <w:p w14:paraId="7E677007"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372</w:t>
            </w:r>
          </w:p>
          <w:p w14:paraId="6141A584" w14:textId="669CE7AA" w:rsidR="00A030A6" w:rsidRDefault="00EA47E4" w:rsidP="000C75F6">
            <w:pPr>
              <w:pStyle w:val="CETBodytext"/>
              <w:spacing w:line="240" w:lineRule="auto"/>
              <w:jc w:val="center"/>
              <w:rPr>
                <w:rFonts w:cs="Arial"/>
                <w:sz w:val="16"/>
                <w:szCs w:val="16"/>
                <w:lang w:val="en-GB"/>
              </w:rPr>
            </w:pPr>
            <w:r>
              <w:rPr>
                <w:rFonts w:cs="Arial"/>
                <w:sz w:val="16"/>
                <w:szCs w:val="16"/>
                <w:lang w:val="en-GB"/>
              </w:rPr>
              <w:t>8.4</w:t>
            </w:r>
          </w:p>
          <w:p w14:paraId="47AD4ADE"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13.1</w:t>
            </w:r>
          </w:p>
          <w:p w14:paraId="2E77A53A" w14:textId="629B3817" w:rsidR="00A030A6" w:rsidRPr="00BC3760" w:rsidRDefault="00126481" w:rsidP="00126481">
            <w:pPr>
              <w:pStyle w:val="CETBodytext"/>
              <w:spacing w:line="240" w:lineRule="auto"/>
              <w:jc w:val="center"/>
              <w:rPr>
                <w:rFonts w:cs="Arial"/>
                <w:sz w:val="16"/>
                <w:szCs w:val="16"/>
                <w:lang w:val="en-GB"/>
              </w:rPr>
            </w:pPr>
            <w:r>
              <w:rPr>
                <w:rFonts w:cs="Arial"/>
                <w:sz w:val="16"/>
                <w:szCs w:val="16"/>
                <w:lang w:val="en-GB"/>
              </w:rPr>
              <w:t>0</w:t>
            </w:r>
            <w:r w:rsidR="006F25E0">
              <w:rPr>
                <w:rFonts w:cs="Arial"/>
                <w:sz w:val="16"/>
                <w:szCs w:val="16"/>
                <w:lang w:val="en-GB"/>
              </w:rPr>
              <w:t>.</w:t>
            </w:r>
            <w:r>
              <w:rPr>
                <w:rFonts w:cs="Arial"/>
                <w:sz w:val="16"/>
                <w:szCs w:val="16"/>
                <w:lang w:val="en-GB"/>
              </w:rPr>
              <w:t>91</w:t>
            </w:r>
          </w:p>
        </w:tc>
        <w:tc>
          <w:tcPr>
            <w:tcW w:w="1100" w:type="dxa"/>
            <w:tcBorders>
              <w:top w:val="single" w:sz="8" w:space="0" w:color="008000"/>
              <w:left w:val="nil"/>
              <w:bottom w:val="single" w:sz="8" w:space="0" w:color="008000"/>
              <w:right w:val="nil"/>
            </w:tcBorders>
            <w:shd w:val="clear" w:color="auto" w:fill="FFFFFF" w:themeFill="background1"/>
          </w:tcPr>
          <w:p w14:paraId="3F0A679B"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373</w:t>
            </w:r>
          </w:p>
          <w:p w14:paraId="0D356E5E" w14:textId="5722A3D9" w:rsidR="00A030A6" w:rsidRDefault="00EA47E4" w:rsidP="000C75F6">
            <w:pPr>
              <w:pStyle w:val="CETBodytext"/>
              <w:spacing w:line="240" w:lineRule="auto"/>
              <w:jc w:val="center"/>
              <w:rPr>
                <w:rFonts w:cs="Arial"/>
                <w:kern w:val="24"/>
                <w:sz w:val="16"/>
                <w:szCs w:val="16"/>
                <w:lang w:val="en-GB"/>
              </w:rPr>
            </w:pPr>
            <w:r>
              <w:rPr>
                <w:rFonts w:cs="Arial"/>
                <w:kern w:val="24"/>
                <w:sz w:val="16"/>
                <w:szCs w:val="16"/>
                <w:lang w:val="en-GB"/>
              </w:rPr>
              <w:t>6.2</w:t>
            </w:r>
          </w:p>
          <w:p w14:paraId="60CC1DF3"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12.5</w:t>
            </w:r>
          </w:p>
          <w:p w14:paraId="55D7C372" w14:textId="2908B21F" w:rsidR="00A030A6" w:rsidRPr="00BC3760" w:rsidRDefault="00126481" w:rsidP="00126481">
            <w:pPr>
              <w:pStyle w:val="CETBodytext"/>
              <w:spacing w:line="240" w:lineRule="auto"/>
              <w:jc w:val="center"/>
              <w:rPr>
                <w:rFonts w:cs="Arial"/>
                <w:kern w:val="24"/>
                <w:sz w:val="16"/>
                <w:szCs w:val="16"/>
                <w:lang w:val="en-GB"/>
              </w:rPr>
            </w:pPr>
            <w:r>
              <w:rPr>
                <w:rFonts w:cs="Arial"/>
                <w:kern w:val="24"/>
                <w:sz w:val="16"/>
                <w:szCs w:val="16"/>
                <w:lang w:val="en-GB"/>
              </w:rPr>
              <w:t>0</w:t>
            </w:r>
            <w:r w:rsidR="006F25E0">
              <w:rPr>
                <w:rFonts w:cs="Arial"/>
                <w:kern w:val="24"/>
                <w:sz w:val="16"/>
                <w:szCs w:val="16"/>
                <w:lang w:val="en-GB"/>
              </w:rPr>
              <w:t>.</w:t>
            </w:r>
            <w:r>
              <w:rPr>
                <w:rFonts w:cs="Arial"/>
                <w:kern w:val="24"/>
                <w:sz w:val="16"/>
                <w:szCs w:val="16"/>
                <w:lang w:val="en-GB"/>
              </w:rPr>
              <w:t>88</w:t>
            </w:r>
          </w:p>
        </w:tc>
        <w:tc>
          <w:tcPr>
            <w:tcW w:w="1100" w:type="dxa"/>
            <w:tcBorders>
              <w:top w:val="single" w:sz="8" w:space="0" w:color="008000"/>
              <w:left w:val="nil"/>
              <w:bottom w:val="single" w:sz="8" w:space="0" w:color="008000"/>
              <w:right w:val="nil"/>
            </w:tcBorders>
            <w:shd w:val="clear" w:color="auto" w:fill="FFFFFF" w:themeFill="background1"/>
          </w:tcPr>
          <w:p w14:paraId="5171C833"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359</w:t>
            </w:r>
          </w:p>
          <w:p w14:paraId="151A39ED"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40.8</w:t>
            </w:r>
          </w:p>
          <w:p w14:paraId="2A2CF411"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13.8</w:t>
            </w:r>
          </w:p>
          <w:p w14:paraId="199C0825" w14:textId="5BE722D8" w:rsidR="00A030A6" w:rsidRPr="00BC3760" w:rsidRDefault="00A030A6" w:rsidP="00126481">
            <w:pPr>
              <w:pStyle w:val="CETBodytext"/>
              <w:spacing w:line="240" w:lineRule="auto"/>
              <w:jc w:val="center"/>
              <w:rPr>
                <w:rFonts w:cs="Arial"/>
                <w:kern w:val="24"/>
                <w:sz w:val="16"/>
                <w:szCs w:val="16"/>
                <w:lang w:val="en-GB"/>
              </w:rPr>
            </w:pPr>
            <w:r>
              <w:rPr>
                <w:rFonts w:cs="Arial"/>
                <w:kern w:val="24"/>
                <w:sz w:val="16"/>
                <w:szCs w:val="16"/>
                <w:lang w:val="en-GB"/>
              </w:rPr>
              <w:t>0.8</w:t>
            </w:r>
            <w:r w:rsidR="00126481">
              <w:rPr>
                <w:rFonts w:cs="Arial"/>
                <w:kern w:val="24"/>
                <w:sz w:val="16"/>
                <w:szCs w:val="16"/>
                <w:lang w:val="en-GB"/>
              </w:rPr>
              <w:t>4</w:t>
            </w:r>
          </w:p>
        </w:tc>
        <w:tc>
          <w:tcPr>
            <w:tcW w:w="1100" w:type="dxa"/>
            <w:tcBorders>
              <w:top w:val="single" w:sz="8" w:space="0" w:color="008000"/>
              <w:left w:val="nil"/>
              <w:bottom w:val="single" w:sz="8" w:space="0" w:color="008000"/>
              <w:right w:val="nil"/>
            </w:tcBorders>
            <w:shd w:val="clear" w:color="auto" w:fill="FFFFFF" w:themeFill="background1"/>
          </w:tcPr>
          <w:p w14:paraId="11F1305C"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376</w:t>
            </w:r>
          </w:p>
          <w:p w14:paraId="6CD906BF"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43.0</w:t>
            </w:r>
          </w:p>
          <w:p w14:paraId="5CE4B89C"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14.0</w:t>
            </w:r>
          </w:p>
          <w:p w14:paraId="4D8B0FD0" w14:textId="65E32F88" w:rsidR="00A030A6" w:rsidRPr="00BC3760" w:rsidRDefault="00A030A6" w:rsidP="00126481">
            <w:pPr>
              <w:pStyle w:val="CETBodytext"/>
              <w:spacing w:line="240" w:lineRule="auto"/>
              <w:jc w:val="center"/>
              <w:rPr>
                <w:rFonts w:cs="Arial"/>
                <w:kern w:val="24"/>
                <w:sz w:val="16"/>
                <w:szCs w:val="16"/>
                <w:lang w:val="en-GB"/>
              </w:rPr>
            </w:pPr>
            <w:r>
              <w:rPr>
                <w:rFonts w:cs="Arial"/>
                <w:kern w:val="24"/>
                <w:sz w:val="16"/>
                <w:szCs w:val="16"/>
                <w:lang w:val="en-GB"/>
              </w:rPr>
              <w:t>0.8</w:t>
            </w:r>
            <w:r w:rsidR="00126481">
              <w:rPr>
                <w:rFonts w:cs="Arial"/>
                <w:kern w:val="24"/>
                <w:sz w:val="16"/>
                <w:szCs w:val="16"/>
                <w:lang w:val="en-GB"/>
              </w:rPr>
              <w:t>2</w:t>
            </w:r>
          </w:p>
        </w:tc>
        <w:tc>
          <w:tcPr>
            <w:tcW w:w="1100" w:type="dxa"/>
            <w:tcBorders>
              <w:top w:val="single" w:sz="8" w:space="0" w:color="008000"/>
              <w:left w:val="nil"/>
              <w:bottom w:val="single" w:sz="8" w:space="0" w:color="008000"/>
              <w:right w:val="nil"/>
            </w:tcBorders>
            <w:shd w:val="clear" w:color="auto" w:fill="FFFFFF" w:themeFill="background1"/>
          </w:tcPr>
          <w:p w14:paraId="6AEA81EA"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392</w:t>
            </w:r>
          </w:p>
          <w:p w14:paraId="4186E8AA"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25.3</w:t>
            </w:r>
          </w:p>
          <w:p w14:paraId="6F98A8EE"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14.0</w:t>
            </w:r>
          </w:p>
          <w:p w14:paraId="4E95B73C" w14:textId="6523AF4A" w:rsidR="00A030A6" w:rsidRPr="00BC3760" w:rsidRDefault="00A030A6" w:rsidP="00126481">
            <w:pPr>
              <w:pStyle w:val="CETBodytext"/>
              <w:spacing w:line="240" w:lineRule="auto"/>
              <w:jc w:val="center"/>
              <w:rPr>
                <w:rFonts w:cs="Arial"/>
                <w:sz w:val="16"/>
                <w:szCs w:val="16"/>
                <w:lang w:val="en-GB"/>
              </w:rPr>
            </w:pPr>
            <w:r>
              <w:rPr>
                <w:rFonts w:cs="Arial"/>
                <w:sz w:val="16"/>
                <w:szCs w:val="16"/>
                <w:lang w:val="en-GB"/>
              </w:rPr>
              <w:t>0.7</w:t>
            </w:r>
            <w:r w:rsidR="00126481">
              <w:rPr>
                <w:rFonts w:cs="Arial"/>
                <w:sz w:val="16"/>
                <w:szCs w:val="16"/>
                <w:lang w:val="en-GB"/>
              </w:rPr>
              <w:t>9</w:t>
            </w:r>
          </w:p>
        </w:tc>
      </w:tr>
      <w:tr w:rsidR="00A030A6" w14:paraId="0422BF7A" w14:textId="77777777" w:rsidTr="00382AA9">
        <w:tc>
          <w:tcPr>
            <w:tcW w:w="2864" w:type="dxa"/>
            <w:tcBorders>
              <w:top w:val="nil"/>
              <w:left w:val="nil"/>
              <w:bottom w:val="single" w:sz="8" w:space="0" w:color="008000"/>
              <w:right w:val="nil"/>
            </w:tcBorders>
            <w:shd w:val="clear" w:color="auto" w:fill="FFFFFF" w:themeFill="background1"/>
            <w:hideMark/>
          </w:tcPr>
          <w:p w14:paraId="73E291AE" w14:textId="77777777" w:rsidR="00A030A6" w:rsidRDefault="00A030A6" w:rsidP="000C75F6">
            <w:pPr>
              <w:pStyle w:val="CETBodytext"/>
              <w:spacing w:line="240" w:lineRule="auto"/>
              <w:jc w:val="left"/>
              <w:rPr>
                <w:rFonts w:cs="Arial"/>
                <w:sz w:val="16"/>
                <w:szCs w:val="16"/>
                <w:lang w:val="en-GB"/>
              </w:rPr>
            </w:pPr>
            <w:r w:rsidRPr="00BC3760">
              <w:rPr>
                <w:rFonts w:cs="Arial"/>
                <w:sz w:val="16"/>
                <w:szCs w:val="16"/>
                <w:lang w:val="en-GB"/>
              </w:rPr>
              <w:t>C-conversion</w:t>
            </w:r>
            <w:r>
              <w:rPr>
                <w:rFonts w:cs="Arial"/>
                <w:sz w:val="16"/>
                <w:szCs w:val="16"/>
                <w:lang w:val="en-GB"/>
              </w:rPr>
              <w:t>, wt%</w:t>
            </w:r>
          </w:p>
          <w:p w14:paraId="55FBA54A"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to dry gas and tars</w:t>
            </w:r>
          </w:p>
        </w:tc>
        <w:tc>
          <w:tcPr>
            <w:tcW w:w="1100" w:type="dxa"/>
            <w:tcBorders>
              <w:top w:val="single" w:sz="8" w:space="0" w:color="008000"/>
              <w:left w:val="nil"/>
              <w:bottom w:val="single" w:sz="8" w:space="0" w:color="008000"/>
              <w:right w:val="nil"/>
            </w:tcBorders>
            <w:shd w:val="clear" w:color="auto" w:fill="FFFFFF" w:themeFill="background1"/>
          </w:tcPr>
          <w:p w14:paraId="3200E312" w14:textId="77777777" w:rsidR="00A030A6" w:rsidRDefault="00A030A6" w:rsidP="000C75F6">
            <w:pPr>
              <w:pStyle w:val="CETBodytext"/>
              <w:spacing w:line="240" w:lineRule="auto"/>
              <w:jc w:val="center"/>
              <w:rPr>
                <w:rFonts w:cs="Arial"/>
                <w:sz w:val="16"/>
                <w:szCs w:val="16"/>
                <w:lang w:val="en-GB"/>
              </w:rPr>
            </w:pPr>
          </w:p>
          <w:p w14:paraId="6714058D"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97.7</w:t>
            </w:r>
          </w:p>
        </w:tc>
        <w:tc>
          <w:tcPr>
            <w:tcW w:w="1100" w:type="dxa"/>
            <w:tcBorders>
              <w:top w:val="single" w:sz="8" w:space="0" w:color="008000"/>
              <w:left w:val="nil"/>
              <w:bottom w:val="single" w:sz="8" w:space="0" w:color="008000"/>
              <w:right w:val="nil"/>
            </w:tcBorders>
            <w:shd w:val="clear" w:color="auto" w:fill="FFFFFF" w:themeFill="background1"/>
          </w:tcPr>
          <w:p w14:paraId="0625CE2A" w14:textId="77777777" w:rsidR="00A030A6" w:rsidRDefault="00A030A6" w:rsidP="000C75F6">
            <w:pPr>
              <w:pStyle w:val="CETBodytext"/>
              <w:spacing w:line="240" w:lineRule="auto"/>
              <w:jc w:val="center"/>
              <w:rPr>
                <w:rFonts w:cs="Arial"/>
                <w:kern w:val="24"/>
                <w:sz w:val="16"/>
                <w:szCs w:val="16"/>
                <w:lang w:val="en-GB"/>
              </w:rPr>
            </w:pPr>
          </w:p>
          <w:p w14:paraId="7362CFDC"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98.1</w:t>
            </w:r>
          </w:p>
        </w:tc>
        <w:tc>
          <w:tcPr>
            <w:tcW w:w="1100" w:type="dxa"/>
            <w:tcBorders>
              <w:top w:val="single" w:sz="8" w:space="0" w:color="008000"/>
              <w:left w:val="nil"/>
              <w:bottom w:val="single" w:sz="8" w:space="0" w:color="008000"/>
              <w:right w:val="nil"/>
            </w:tcBorders>
            <w:shd w:val="clear" w:color="auto" w:fill="FFFFFF" w:themeFill="background1"/>
          </w:tcPr>
          <w:p w14:paraId="30CD2A60" w14:textId="77777777" w:rsidR="00A030A6" w:rsidRDefault="00A030A6" w:rsidP="000C75F6">
            <w:pPr>
              <w:pStyle w:val="CETBodytext"/>
              <w:spacing w:line="240" w:lineRule="auto"/>
              <w:jc w:val="center"/>
              <w:rPr>
                <w:rFonts w:cs="Arial"/>
                <w:kern w:val="24"/>
                <w:sz w:val="16"/>
                <w:szCs w:val="16"/>
                <w:lang w:val="en-GB"/>
              </w:rPr>
            </w:pPr>
          </w:p>
          <w:p w14:paraId="49DF7DAA"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99.3</w:t>
            </w:r>
          </w:p>
        </w:tc>
        <w:tc>
          <w:tcPr>
            <w:tcW w:w="1100" w:type="dxa"/>
            <w:tcBorders>
              <w:top w:val="single" w:sz="8" w:space="0" w:color="008000"/>
              <w:left w:val="nil"/>
              <w:bottom w:val="single" w:sz="8" w:space="0" w:color="008000"/>
              <w:right w:val="nil"/>
            </w:tcBorders>
            <w:shd w:val="clear" w:color="auto" w:fill="FFFFFF" w:themeFill="background1"/>
          </w:tcPr>
          <w:p w14:paraId="1DE4C5F7" w14:textId="77777777" w:rsidR="00A030A6" w:rsidRDefault="00A030A6" w:rsidP="000C75F6">
            <w:pPr>
              <w:pStyle w:val="CETBodytext"/>
              <w:spacing w:line="240" w:lineRule="auto"/>
              <w:jc w:val="center"/>
              <w:rPr>
                <w:rFonts w:cs="Arial"/>
                <w:kern w:val="24"/>
                <w:sz w:val="16"/>
                <w:szCs w:val="16"/>
                <w:lang w:val="en-GB"/>
              </w:rPr>
            </w:pPr>
          </w:p>
          <w:p w14:paraId="6C8B5B16"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99.4</w:t>
            </w:r>
          </w:p>
        </w:tc>
        <w:tc>
          <w:tcPr>
            <w:tcW w:w="1100" w:type="dxa"/>
            <w:tcBorders>
              <w:top w:val="single" w:sz="8" w:space="0" w:color="008000"/>
              <w:left w:val="nil"/>
              <w:bottom w:val="single" w:sz="8" w:space="0" w:color="008000"/>
              <w:right w:val="nil"/>
            </w:tcBorders>
            <w:shd w:val="clear" w:color="auto" w:fill="FFFFFF" w:themeFill="background1"/>
          </w:tcPr>
          <w:p w14:paraId="39324A56" w14:textId="77777777" w:rsidR="00A030A6" w:rsidRDefault="00A030A6" w:rsidP="000C75F6">
            <w:pPr>
              <w:pStyle w:val="CETBodytext"/>
              <w:spacing w:line="240" w:lineRule="auto"/>
              <w:jc w:val="center"/>
              <w:rPr>
                <w:rFonts w:cs="Arial"/>
                <w:sz w:val="16"/>
                <w:szCs w:val="16"/>
                <w:lang w:val="en-GB"/>
              </w:rPr>
            </w:pPr>
          </w:p>
          <w:p w14:paraId="595A9C15"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98.8</w:t>
            </w:r>
          </w:p>
        </w:tc>
      </w:tr>
      <w:tr w:rsidR="00A030A6" w14:paraId="2A9BD6BC" w14:textId="77777777" w:rsidTr="00382AA9">
        <w:tc>
          <w:tcPr>
            <w:tcW w:w="2864" w:type="dxa"/>
            <w:tcBorders>
              <w:top w:val="nil"/>
              <w:left w:val="nil"/>
              <w:bottom w:val="single" w:sz="8" w:space="0" w:color="008000"/>
              <w:right w:val="nil"/>
            </w:tcBorders>
            <w:shd w:val="clear" w:color="auto" w:fill="FFFFFF" w:themeFill="background1"/>
            <w:hideMark/>
          </w:tcPr>
          <w:p w14:paraId="441869BC"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Mass balance closures (out/in)</w:t>
            </w:r>
          </w:p>
          <w:p w14:paraId="779D36E6"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C-balance</w:t>
            </w:r>
          </w:p>
          <w:p w14:paraId="654FFB15"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O-balance</w:t>
            </w:r>
          </w:p>
          <w:p w14:paraId="48603343" w14:textId="77777777" w:rsidR="00A030A6" w:rsidRPr="00BC3760" w:rsidRDefault="00A030A6" w:rsidP="000C75F6">
            <w:pPr>
              <w:pStyle w:val="CETBodytext"/>
              <w:spacing w:line="240" w:lineRule="auto"/>
              <w:jc w:val="left"/>
              <w:rPr>
                <w:rFonts w:cs="Arial"/>
                <w:sz w:val="16"/>
                <w:szCs w:val="16"/>
                <w:lang w:val="en-GB"/>
              </w:rPr>
            </w:pPr>
            <w:r w:rsidRPr="00BC3760">
              <w:rPr>
                <w:rFonts w:cs="Arial"/>
                <w:sz w:val="16"/>
                <w:szCs w:val="16"/>
                <w:lang w:val="en-GB"/>
              </w:rPr>
              <w:t>Ash balance</w:t>
            </w:r>
          </w:p>
        </w:tc>
        <w:tc>
          <w:tcPr>
            <w:tcW w:w="1100" w:type="dxa"/>
            <w:tcBorders>
              <w:top w:val="single" w:sz="8" w:space="0" w:color="008000"/>
              <w:left w:val="nil"/>
              <w:bottom w:val="single" w:sz="8" w:space="0" w:color="008000"/>
              <w:right w:val="nil"/>
            </w:tcBorders>
            <w:shd w:val="clear" w:color="auto" w:fill="FFFFFF" w:themeFill="background1"/>
          </w:tcPr>
          <w:p w14:paraId="2D9B7AFD" w14:textId="77777777" w:rsidR="00A030A6" w:rsidRDefault="00A030A6" w:rsidP="000C75F6">
            <w:pPr>
              <w:pStyle w:val="CETBodytext"/>
              <w:spacing w:line="240" w:lineRule="auto"/>
              <w:jc w:val="center"/>
              <w:rPr>
                <w:rFonts w:cs="Arial"/>
                <w:sz w:val="16"/>
                <w:szCs w:val="16"/>
                <w:lang w:val="en-GB"/>
              </w:rPr>
            </w:pPr>
          </w:p>
          <w:p w14:paraId="40CA1A18"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1.00</w:t>
            </w:r>
          </w:p>
          <w:p w14:paraId="2457F0EC"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1.01</w:t>
            </w:r>
          </w:p>
          <w:p w14:paraId="5CC25E48"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0.78</w:t>
            </w:r>
          </w:p>
        </w:tc>
        <w:tc>
          <w:tcPr>
            <w:tcW w:w="1100" w:type="dxa"/>
            <w:tcBorders>
              <w:top w:val="single" w:sz="8" w:space="0" w:color="008000"/>
              <w:left w:val="nil"/>
              <w:bottom w:val="single" w:sz="8" w:space="0" w:color="008000"/>
              <w:right w:val="nil"/>
            </w:tcBorders>
            <w:shd w:val="clear" w:color="auto" w:fill="FFFFFF" w:themeFill="background1"/>
          </w:tcPr>
          <w:p w14:paraId="27A7D41D" w14:textId="77777777" w:rsidR="00A030A6" w:rsidRDefault="00A030A6" w:rsidP="000C75F6">
            <w:pPr>
              <w:pStyle w:val="CETBodytext"/>
              <w:spacing w:line="240" w:lineRule="auto"/>
              <w:jc w:val="center"/>
              <w:rPr>
                <w:rFonts w:cs="Arial"/>
                <w:kern w:val="24"/>
                <w:sz w:val="16"/>
                <w:szCs w:val="16"/>
                <w:lang w:val="en-GB"/>
              </w:rPr>
            </w:pPr>
          </w:p>
          <w:p w14:paraId="6C811BD9"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0.99</w:t>
            </w:r>
          </w:p>
          <w:p w14:paraId="30164054"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1.01</w:t>
            </w:r>
          </w:p>
          <w:p w14:paraId="60AEB0F4"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1.02</w:t>
            </w:r>
          </w:p>
        </w:tc>
        <w:tc>
          <w:tcPr>
            <w:tcW w:w="1100" w:type="dxa"/>
            <w:tcBorders>
              <w:top w:val="single" w:sz="8" w:space="0" w:color="008000"/>
              <w:left w:val="nil"/>
              <w:bottom w:val="single" w:sz="8" w:space="0" w:color="008000"/>
              <w:right w:val="nil"/>
            </w:tcBorders>
            <w:shd w:val="clear" w:color="auto" w:fill="FFFFFF" w:themeFill="background1"/>
          </w:tcPr>
          <w:p w14:paraId="28C763B3" w14:textId="77777777" w:rsidR="00A030A6" w:rsidRDefault="00A030A6" w:rsidP="000C75F6">
            <w:pPr>
              <w:pStyle w:val="CETBodytext"/>
              <w:spacing w:line="240" w:lineRule="auto"/>
              <w:jc w:val="center"/>
              <w:rPr>
                <w:rFonts w:cs="Arial"/>
                <w:kern w:val="24"/>
                <w:sz w:val="16"/>
                <w:szCs w:val="16"/>
                <w:lang w:val="en-GB"/>
              </w:rPr>
            </w:pPr>
          </w:p>
          <w:p w14:paraId="04488274"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1.00</w:t>
            </w:r>
          </w:p>
          <w:p w14:paraId="6CC146FF"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1.02</w:t>
            </w:r>
          </w:p>
          <w:p w14:paraId="4DCDA0F1"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1.04</w:t>
            </w:r>
          </w:p>
        </w:tc>
        <w:tc>
          <w:tcPr>
            <w:tcW w:w="1100" w:type="dxa"/>
            <w:tcBorders>
              <w:top w:val="single" w:sz="8" w:space="0" w:color="008000"/>
              <w:left w:val="nil"/>
              <w:bottom w:val="single" w:sz="8" w:space="0" w:color="008000"/>
              <w:right w:val="nil"/>
            </w:tcBorders>
            <w:shd w:val="clear" w:color="auto" w:fill="FFFFFF" w:themeFill="background1"/>
          </w:tcPr>
          <w:p w14:paraId="64A42493" w14:textId="77777777" w:rsidR="00A030A6" w:rsidRDefault="00A030A6" w:rsidP="000C75F6">
            <w:pPr>
              <w:pStyle w:val="CETBodytext"/>
              <w:spacing w:line="240" w:lineRule="auto"/>
              <w:jc w:val="center"/>
              <w:rPr>
                <w:rFonts w:cs="Arial"/>
                <w:kern w:val="24"/>
                <w:sz w:val="16"/>
                <w:szCs w:val="16"/>
                <w:lang w:val="en-GB"/>
              </w:rPr>
            </w:pPr>
          </w:p>
          <w:p w14:paraId="081C123E"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1.00</w:t>
            </w:r>
          </w:p>
          <w:p w14:paraId="37F48B26" w14:textId="77777777" w:rsidR="00A030A6"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1.03</w:t>
            </w:r>
          </w:p>
          <w:p w14:paraId="3B8AF43E" w14:textId="77777777" w:rsidR="00A030A6" w:rsidRPr="00BC3760" w:rsidRDefault="00A030A6" w:rsidP="000C75F6">
            <w:pPr>
              <w:pStyle w:val="CETBodytext"/>
              <w:spacing w:line="240" w:lineRule="auto"/>
              <w:jc w:val="center"/>
              <w:rPr>
                <w:rFonts w:cs="Arial"/>
                <w:kern w:val="24"/>
                <w:sz w:val="16"/>
                <w:szCs w:val="16"/>
                <w:lang w:val="en-GB"/>
              </w:rPr>
            </w:pPr>
            <w:r>
              <w:rPr>
                <w:rFonts w:cs="Arial"/>
                <w:kern w:val="24"/>
                <w:sz w:val="16"/>
                <w:szCs w:val="16"/>
                <w:lang w:val="en-GB"/>
              </w:rPr>
              <w:t>1.08</w:t>
            </w:r>
          </w:p>
        </w:tc>
        <w:tc>
          <w:tcPr>
            <w:tcW w:w="1100" w:type="dxa"/>
            <w:tcBorders>
              <w:top w:val="single" w:sz="8" w:space="0" w:color="008000"/>
              <w:left w:val="nil"/>
              <w:bottom w:val="single" w:sz="8" w:space="0" w:color="008000"/>
              <w:right w:val="nil"/>
            </w:tcBorders>
            <w:shd w:val="clear" w:color="auto" w:fill="FFFFFF" w:themeFill="background1"/>
          </w:tcPr>
          <w:p w14:paraId="5CC8B448" w14:textId="77777777" w:rsidR="00A030A6" w:rsidRDefault="00A030A6" w:rsidP="000C75F6">
            <w:pPr>
              <w:pStyle w:val="CETBodytext"/>
              <w:spacing w:line="240" w:lineRule="auto"/>
              <w:jc w:val="center"/>
              <w:rPr>
                <w:rFonts w:cs="Arial"/>
                <w:sz w:val="16"/>
                <w:szCs w:val="16"/>
                <w:lang w:val="en-GB"/>
              </w:rPr>
            </w:pPr>
          </w:p>
          <w:p w14:paraId="1AB90C1E"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0.99</w:t>
            </w:r>
          </w:p>
          <w:p w14:paraId="4812AC32" w14:textId="77777777" w:rsidR="00A030A6" w:rsidRDefault="00A030A6" w:rsidP="000C75F6">
            <w:pPr>
              <w:pStyle w:val="CETBodytext"/>
              <w:spacing w:line="240" w:lineRule="auto"/>
              <w:jc w:val="center"/>
              <w:rPr>
                <w:rFonts w:cs="Arial"/>
                <w:sz w:val="16"/>
                <w:szCs w:val="16"/>
                <w:lang w:val="en-GB"/>
              </w:rPr>
            </w:pPr>
            <w:r>
              <w:rPr>
                <w:rFonts w:cs="Arial"/>
                <w:sz w:val="16"/>
                <w:szCs w:val="16"/>
                <w:lang w:val="en-GB"/>
              </w:rPr>
              <w:t>1.03</w:t>
            </w:r>
          </w:p>
          <w:p w14:paraId="0F64D714" w14:textId="77777777" w:rsidR="00A030A6" w:rsidRPr="00BC3760" w:rsidRDefault="00A030A6" w:rsidP="000C75F6">
            <w:pPr>
              <w:pStyle w:val="CETBodytext"/>
              <w:spacing w:line="240" w:lineRule="auto"/>
              <w:jc w:val="center"/>
              <w:rPr>
                <w:rFonts w:cs="Arial"/>
                <w:sz w:val="16"/>
                <w:szCs w:val="16"/>
                <w:lang w:val="en-GB"/>
              </w:rPr>
            </w:pPr>
            <w:r>
              <w:rPr>
                <w:rFonts w:cs="Arial"/>
                <w:sz w:val="16"/>
                <w:szCs w:val="16"/>
                <w:lang w:val="en-GB"/>
              </w:rPr>
              <w:t>1.03</w:t>
            </w:r>
          </w:p>
        </w:tc>
      </w:tr>
    </w:tbl>
    <w:p w14:paraId="3789B42D" w14:textId="7C98E35B" w:rsidR="00A030A6" w:rsidRPr="00CA7ED2" w:rsidRDefault="000D53A7" w:rsidP="00A030A6">
      <w:pPr>
        <w:pStyle w:val="CETBodytext"/>
        <w:rPr>
          <w:sz w:val="16"/>
          <w:szCs w:val="16"/>
          <w:lang w:val="en-GB"/>
        </w:rPr>
      </w:pPr>
      <w:r>
        <w:rPr>
          <w:sz w:val="16"/>
          <w:szCs w:val="16"/>
          <w:vertAlign w:val="superscript"/>
          <w:lang w:val="en-GB"/>
        </w:rPr>
        <w:t>a</w:t>
      </w:r>
      <w:r w:rsidR="00A030A6" w:rsidRPr="003462DC">
        <w:rPr>
          <w:sz w:val="16"/>
          <w:szCs w:val="16"/>
          <w:lang w:val="en-GB"/>
        </w:rPr>
        <w:t xml:space="preserve"> S + P3</w:t>
      </w:r>
      <w:r>
        <w:rPr>
          <w:sz w:val="16"/>
          <w:szCs w:val="16"/>
          <w:lang w:val="en-GB"/>
        </w:rPr>
        <w:t>:</w:t>
      </w:r>
      <w:r w:rsidR="00A030A6" w:rsidRPr="003462DC">
        <w:rPr>
          <w:sz w:val="16"/>
          <w:szCs w:val="16"/>
          <w:lang w:val="en-GB"/>
        </w:rPr>
        <w:t xml:space="preserve"> The mixture of sand and Parfil3 limestone</w:t>
      </w:r>
      <w:r w:rsidR="00CA7ED2">
        <w:rPr>
          <w:sz w:val="16"/>
          <w:szCs w:val="16"/>
          <w:lang w:val="en-GB"/>
        </w:rPr>
        <w:t xml:space="preserve">, </w:t>
      </w:r>
      <w:r>
        <w:rPr>
          <w:sz w:val="16"/>
          <w:szCs w:val="16"/>
          <w:vertAlign w:val="superscript"/>
          <w:lang w:val="en-GB"/>
        </w:rPr>
        <w:t>b</w:t>
      </w:r>
      <w:r w:rsidR="00CA7ED2">
        <w:rPr>
          <w:sz w:val="16"/>
          <w:szCs w:val="16"/>
          <w:lang w:val="en-GB"/>
        </w:rPr>
        <w:t xml:space="preserve"> STP</w:t>
      </w:r>
      <w:r>
        <w:rPr>
          <w:sz w:val="16"/>
          <w:szCs w:val="16"/>
          <w:lang w:val="en-GB"/>
        </w:rPr>
        <w:t>:</w:t>
      </w:r>
      <w:r w:rsidR="00CA7ED2">
        <w:rPr>
          <w:sz w:val="16"/>
          <w:szCs w:val="16"/>
          <w:lang w:val="en-GB"/>
        </w:rPr>
        <w:t xml:space="preserve"> at </w:t>
      </w:r>
      <w:r w:rsidR="00CA7ED2" w:rsidRPr="00CA7ED2">
        <w:rPr>
          <w:sz w:val="16"/>
          <w:szCs w:val="16"/>
        </w:rPr>
        <w:t xml:space="preserve">273.15 K and 101,325 </w:t>
      </w:r>
      <w:r w:rsidR="00CA7ED2">
        <w:rPr>
          <w:sz w:val="16"/>
          <w:szCs w:val="16"/>
        </w:rPr>
        <w:t>k</w:t>
      </w:r>
      <w:r w:rsidR="00CA7ED2" w:rsidRPr="00CA7ED2">
        <w:rPr>
          <w:sz w:val="16"/>
          <w:szCs w:val="16"/>
        </w:rPr>
        <w:t>Pa</w:t>
      </w:r>
      <w:r>
        <w:rPr>
          <w:sz w:val="16"/>
          <w:szCs w:val="16"/>
        </w:rPr>
        <w:t xml:space="preserve">, </w:t>
      </w:r>
      <w:r w:rsidRPr="003462DC">
        <w:rPr>
          <w:sz w:val="16"/>
          <w:szCs w:val="16"/>
          <w:lang w:val="en-GB"/>
        </w:rPr>
        <w:t>nm: not measured</w:t>
      </w:r>
    </w:p>
    <w:p w14:paraId="5FC09173" w14:textId="7F40B686" w:rsidR="00C34B8D" w:rsidRDefault="00C34B8D" w:rsidP="00A030A6">
      <w:pPr>
        <w:pStyle w:val="CETBodytext"/>
        <w:rPr>
          <w:sz w:val="16"/>
          <w:szCs w:val="16"/>
          <w:lang w:val="en-GB"/>
        </w:rPr>
      </w:pPr>
    </w:p>
    <w:p w14:paraId="70A73893" w14:textId="3F29C2D5" w:rsidR="00C34B8D" w:rsidRPr="007E37DE" w:rsidRDefault="00C34B8D" w:rsidP="007E37DE">
      <w:pPr>
        <w:pStyle w:val="CETBodytext"/>
      </w:pPr>
      <w:r w:rsidRPr="007E37DE">
        <w:t xml:space="preserve">In the gasification of SRF, the tar contents </w:t>
      </w:r>
      <w:r w:rsidR="00DE21B2" w:rsidRPr="007E37DE">
        <w:t>wer</w:t>
      </w:r>
      <w:r w:rsidRPr="007E37DE">
        <w:t xml:space="preserve">e more than three times higher than in wood gasification. </w:t>
      </w:r>
      <w:r w:rsidR="00DE21B2" w:rsidRPr="007E37DE">
        <w:t>B</w:t>
      </w:r>
      <w:r w:rsidRPr="007E37DE">
        <w:t>ed material calcium is no</w:t>
      </w:r>
      <w:r w:rsidR="003F454B" w:rsidRPr="007E37DE">
        <w:t>t</w:t>
      </w:r>
      <w:r w:rsidRPr="007E37DE">
        <w:t xml:space="preserve"> active</w:t>
      </w:r>
      <w:r w:rsidR="003F454B" w:rsidRPr="007E37DE">
        <w:t>ly catalyzing tar decomposition reactions</w:t>
      </w:r>
      <w:r w:rsidRPr="007E37DE">
        <w:t xml:space="preserve"> </w:t>
      </w:r>
      <w:r w:rsidR="003F454B" w:rsidRPr="007E37DE">
        <w:t xml:space="preserve">evidently due to higher chlorine and sulfur </w:t>
      </w:r>
      <w:r w:rsidR="003F454B" w:rsidRPr="007E37DE">
        <w:lastRenderedPageBreak/>
        <w:t xml:space="preserve">contents, which </w:t>
      </w:r>
      <w:r w:rsidR="00337B37">
        <w:t xml:space="preserve">may </w:t>
      </w:r>
      <w:r w:rsidR="00AC2647">
        <w:t xml:space="preserve">react with </w:t>
      </w:r>
      <w:r w:rsidR="003F454B" w:rsidRPr="007E37DE">
        <w:t>the CaO particles</w:t>
      </w:r>
      <w:r w:rsidR="00AC2647">
        <w:t xml:space="preserve"> and make them inactive.</w:t>
      </w:r>
      <w:r w:rsidR="003F454B" w:rsidRPr="007E37DE">
        <w:t xml:space="preserve"> In wood gasification, tar decomposition is effectively catalyzed by bed material calcium. The lowest tar contents were measured in set point B, where </w:t>
      </w:r>
      <w:r w:rsidR="000E47B0">
        <w:t xml:space="preserve">the share of limestone in the bed material was higher </w:t>
      </w:r>
      <w:r w:rsidR="003F454B" w:rsidRPr="007E37DE">
        <w:t>than in set point A. The tar results obtained at this B</w:t>
      </w:r>
      <w:r w:rsidR="00AC2647">
        <w:t>C</w:t>
      </w:r>
      <w:r w:rsidR="003F454B" w:rsidRPr="007E37DE">
        <w:t xml:space="preserve">FB gasifier are in </w:t>
      </w:r>
      <w:r w:rsidR="000E47B0">
        <w:t>a</w:t>
      </w:r>
      <w:r w:rsidR="003F454B" w:rsidRPr="007E37DE">
        <w:t xml:space="preserve"> good agreement with those reported for the ordinary CFB </w:t>
      </w:r>
      <w:r w:rsidR="00DE21B2" w:rsidRPr="007E37DE">
        <w:t xml:space="preserve">gasifier (Kurkela et al, 2021). </w:t>
      </w:r>
      <w:r w:rsidR="00930E82" w:rsidRPr="007E37DE">
        <w:t>In wood gasification</w:t>
      </w:r>
      <w:r w:rsidR="007E37DE">
        <w:t>,</w:t>
      </w:r>
      <w:r w:rsidR="00930E82" w:rsidRPr="007E37DE">
        <w:t xml:space="preserve"> 86 % of </w:t>
      </w:r>
      <w:r w:rsidR="00DE21B2" w:rsidRPr="007E37DE">
        <w:t>the feedstock nitrogen was converted to ammonia</w:t>
      </w:r>
      <w:r w:rsidR="00930E82" w:rsidRPr="007E37DE">
        <w:t xml:space="preserve"> and in the test with SRF</w:t>
      </w:r>
      <w:r w:rsidR="007E37DE">
        <w:t>,</w:t>
      </w:r>
      <w:r w:rsidR="00930E82" w:rsidRPr="007E37DE">
        <w:t xml:space="preserve"> the conversion was in the range of 65-70 %. These results are also similar to those determined for CFB gasification (Kurkela et al, 2021).</w:t>
      </w:r>
    </w:p>
    <w:p w14:paraId="4DA5AC6A" w14:textId="393ACE05" w:rsidR="00930E82" w:rsidRPr="007E37DE" w:rsidRDefault="00930E82" w:rsidP="007E37DE">
      <w:pPr>
        <w:pStyle w:val="CETBodytext"/>
      </w:pPr>
      <w:r w:rsidRPr="007E37DE">
        <w:t xml:space="preserve">The operation of the bag filter unit was stable and the pressure drop remained at </w:t>
      </w:r>
      <w:r w:rsidR="007E37DE">
        <w:t xml:space="preserve">a </w:t>
      </w:r>
      <w:r w:rsidRPr="007E37DE">
        <w:t xml:space="preserve">constant level after </w:t>
      </w:r>
      <w:r w:rsidR="007E37DE">
        <w:t xml:space="preserve">the </w:t>
      </w:r>
      <w:r w:rsidRPr="007E37DE">
        <w:t xml:space="preserve">initial increase as illustrated in Figure 3. </w:t>
      </w:r>
      <w:r w:rsidR="00063984" w:rsidRPr="007E37DE">
        <w:t xml:space="preserve">The 36 filter bags were located in six rows and each of them was equipped with </w:t>
      </w:r>
      <w:r w:rsidR="007E37DE">
        <w:t xml:space="preserve">a </w:t>
      </w:r>
      <w:r w:rsidR="00063984" w:rsidRPr="007E37DE">
        <w:t>nitrogen pulse cleaning tube. In the SRF test run, the interval between p</w:t>
      </w:r>
      <w:r w:rsidR="008C2807" w:rsidRPr="007E37DE">
        <w:t>u</w:t>
      </w:r>
      <w:r w:rsidR="00063984" w:rsidRPr="007E37DE">
        <w:t>lsing of individual filter clu</w:t>
      </w:r>
      <w:r w:rsidR="008C2807" w:rsidRPr="007E37DE">
        <w:t>s</w:t>
      </w:r>
      <w:r w:rsidR="00063984" w:rsidRPr="007E37DE">
        <w:t xml:space="preserve">ters was 12 min, the pulse valve opening time </w:t>
      </w:r>
      <w:r w:rsidR="007E37DE">
        <w:t xml:space="preserve">was </w:t>
      </w:r>
      <w:r w:rsidR="00063984" w:rsidRPr="007E37DE">
        <w:t>0.25 s</w:t>
      </w:r>
      <w:r w:rsidR="007E37DE">
        <w:t>,</w:t>
      </w:r>
      <w:r w:rsidR="00063984" w:rsidRPr="007E37DE">
        <w:t xml:space="preserve"> and the pulsing pressure </w:t>
      </w:r>
      <w:r w:rsidR="007E37DE">
        <w:t xml:space="preserve">was </w:t>
      </w:r>
      <w:r w:rsidR="00063984" w:rsidRPr="007E37DE">
        <w:t>3</w:t>
      </w:r>
      <w:r w:rsidR="008D0C3E">
        <w:t>.5</w:t>
      </w:r>
      <w:r w:rsidR="00063984" w:rsidRPr="007E37DE">
        <w:t xml:space="preserve"> bar. </w:t>
      </w:r>
      <w:r w:rsidRPr="007E37DE">
        <w:t>Th</w:t>
      </w:r>
      <w:r w:rsidR="00063984" w:rsidRPr="007E37DE">
        <w:t>is</w:t>
      </w:r>
      <w:r w:rsidRPr="007E37DE">
        <w:t xml:space="preserve"> test run was started by a sh</w:t>
      </w:r>
      <w:r w:rsidR="00573E72" w:rsidRPr="007E37DE">
        <w:t>o</w:t>
      </w:r>
      <w:r w:rsidRPr="007E37DE">
        <w:t xml:space="preserve">rt period of wood gasification and </w:t>
      </w:r>
      <w:r w:rsidR="00573E72" w:rsidRPr="007E37DE">
        <w:t xml:space="preserve">the pressure drop started to increase immediately when the feedstock was changed to SRF. </w:t>
      </w:r>
      <w:r w:rsidR="008C2807" w:rsidRPr="007E37DE">
        <w:t>A</w:t>
      </w:r>
      <w:r w:rsidRPr="007E37DE">
        <w:t xml:space="preserve"> rather thick dust cake was formed around the fil</w:t>
      </w:r>
      <w:r w:rsidR="00AC2647">
        <w:t>t</w:t>
      </w:r>
      <w:r w:rsidRPr="007E37DE">
        <w:t xml:space="preserve">er bags </w:t>
      </w:r>
      <w:r w:rsidR="008C2807" w:rsidRPr="007E37DE">
        <w:t xml:space="preserve">and this residual cake could not be removed by pulse cleaning. This is illustrated in </w:t>
      </w:r>
      <w:r w:rsidR="00006F76" w:rsidRPr="007E37DE">
        <w:t xml:space="preserve">the </w:t>
      </w:r>
      <w:r w:rsidR="008C2807" w:rsidRPr="007E37DE">
        <w:t>photograph of the used fil</w:t>
      </w:r>
      <w:r w:rsidR="00006F76" w:rsidRPr="007E37DE">
        <w:t>t</w:t>
      </w:r>
      <w:r w:rsidR="008C2807" w:rsidRPr="007E37DE">
        <w:t>er element</w:t>
      </w:r>
      <w:r w:rsidR="00AC2647">
        <w:t>s</w:t>
      </w:r>
      <w:r w:rsidR="008C2807" w:rsidRPr="007E37DE">
        <w:t xml:space="preserve"> </w:t>
      </w:r>
      <w:r w:rsidR="00006F76" w:rsidRPr="007E37DE">
        <w:t xml:space="preserve">taken </w:t>
      </w:r>
      <w:r w:rsidR="008C2807" w:rsidRPr="007E37DE">
        <w:t xml:space="preserve">after the test run. </w:t>
      </w:r>
      <w:r w:rsidR="002D61D8" w:rsidRPr="007E37DE">
        <w:t xml:space="preserve">This is a typical challenge of SRF gasification where the contents of heavy tars are high and part of these tars are captured by the filter cake. The high dust content, however, seemed to protect the filter from </w:t>
      </w:r>
      <w:r w:rsidR="00D86CB4" w:rsidRPr="007E37DE">
        <w:t xml:space="preserve">severe </w:t>
      </w:r>
      <w:r w:rsidR="002D61D8" w:rsidRPr="007E37DE">
        <w:t>tar blinding</w:t>
      </w:r>
      <w:r w:rsidR="00D86CB4" w:rsidRPr="007E37DE">
        <w:t xml:space="preserve"> and thus enabled stable operation. </w:t>
      </w:r>
      <w:r w:rsidR="002D61D8" w:rsidRPr="007E37DE">
        <w:t xml:space="preserve"> </w:t>
      </w:r>
    </w:p>
    <w:p w14:paraId="1E86F5FC" w14:textId="7D5CBA09" w:rsidR="00BC151F" w:rsidRDefault="00BC151F" w:rsidP="00174FBC">
      <w:pPr>
        <w:pStyle w:val="CETCaption"/>
      </w:pPr>
      <w:r>
        <w:rPr>
          <w:noProof/>
          <w:lang w:val="fi-FI" w:eastAsia="fi-FI"/>
        </w:rPr>
        <w:drawing>
          <wp:inline distT="0" distB="0" distL="0" distR="0" wp14:anchorId="63AA2465" wp14:editId="4ABD3C76">
            <wp:extent cx="3970836"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2097" b="2938"/>
                    <a:stretch/>
                  </pic:blipFill>
                  <pic:spPr bwMode="auto">
                    <a:xfrm>
                      <a:off x="0" y="0"/>
                      <a:ext cx="4020452" cy="2083107"/>
                    </a:xfrm>
                    <a:prstGeom prst="rect">
                      <a:avLst/>
                    </a:prstGeom>
                    <a:noFill/>
                    <a:ln>
                      <a:noFill/>
                    </a:ln>
                    <a:extLst>
                      <a:ext uri="{53640926-AAD7-44D8-BBD7-CCE9431645EC}">
                        <a14:shadowObscured xmlns:a14="http://schemas.microsoft.com/office/drawing/2010/main"/>
                      </a:ext>
                    </a:extLst>
                  </pic:spPr>
                </pic:pic>
              </a:graphicData>
            </a:graphic>
          </wp:inline>
        </w:drawing>
      </w:r>
    </w:p>
    <w:p w14:paraId="6D86092F" w14:textId="47689D8A" w:rsidR="000B0B5E" w:rsidRDefault="00433E8F" w:rsidP="00433E8F">
      <w:pPr>
        <w:pStyle w:val="CETCaption"/>
        <w:spacing w:before="0" w:after="0"/>
        <w:ind w:left="4451" w:hanging="4451"/>
        <w:jc w:val="left"/>
      </w:pPr>
      <w:r w:rsidRPr="001A4D3B">
        <w:t>Figure 2: Concentration of tars at selected set</w:t>
      </w:r>
      <w:r w:rsidR="00FE648A">
        <w:t xml:space="preserve"> </w:t>
      </w:r>
      <w:r w:rsidRPr="001A4D3B">
        <w:t xml:space="preserve">points.     </w:t>
      </w:r>
    </w:p>
    <w:p w14:paraId="74366895" w14:textId="668E805D" w:rsidR="000B0B5E" w:rsidRDefault="00C274B4" w:rsidP="00174FBC">
      <w:pPr>
        <w:pStyle w:val="CETCaption"/>
      </w:pPr>
      <w:r>
        <w:rPr>
          <w:noProof/>
          <w:lang w:val="fi-FI" w:eastAsia="fi-FI"/>
        </w:rPr>
        <w:drawing>
          <wp:inline distT="0" distB="0" distL="0" distR="0" wp14:anchorId="64632232" wp14:editId="768AC6FD">
            <wp:extent cx="3869628" cy="1681060"/>
            <wp:effectExtent l="19050" t="19050" r="1714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984386" cy="17309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B74D7">
        <w:rPr>
          <w:noProof/>
          <w:lang w:val="fi-FI" w:eastAsia="fi-FI"/>
        </w:rPr>
        <w:drawing>
          <wp:inline distT="0" distB="0" distL="0" distR="0" wp14:anchorId="5075C581" wp14:editId="17CFAF50">
            <wp:extent cx="1495851" cy="1671472"/>
            <wp:effectExtent l="19050" t="19050" r="2857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35637" cy="1715929"/>
                    </a:xfrm>
                    <a:prstGeom prst="rect">
                      <a:avLst/>
                    </a:prstGeom>
                    <a:noFill/>
                    <a:ln>
                      <a:solidFill>
                        <a:schemeClr val="tx1"/>
                      </a:solidFill>
                    </a:ln>
                  </pic:spPr>
                </pic:pic>
              </a:graphicData>
            </a:graphic>
          </wp:inline>
        </w:drawing>
      </w:r>
    </w:p>
    <w:p w14:paraId="1AF0EA46" w14:textId="76640056" w:rsidR="00433E8F" w:rsidRPr="001A4D3B" w:rsidRDefault="00433E8F" w:rsidP="00433E8F">
      <w:pPr>
        <w:pStyle w:val="CETCaption"/>
        <w:spacing w:before="0" w:after="0"/>
        <w:ind w:left="4451" w:hanging="4451"/>
        <w:jc w:val="left"/>
      </w:pPr>
      <w:r w:rsidRPr="001A4D3B">
        <w:t xml:space="preserve">Figure 3: </w:t>
      </w:r>
      <w:r w:rsidR="00322344" w:rsidRPr="005F5799">
        <w:t>Pressure drop across the filter</w:t>
      </w:r>
      <w:r w:rsidR="00006F76">
        <w:t xml:space="preserve"> in the test run with SRF and a photograph of filter</w:t>
      </w:r>
      <w:r w:rsidR="00BB74D7">
        <w:t>s after the test</w:t>
      </w:r>
      <w:r w:rsidR="00322344">
        <w:t>.</w:t>
      </w:r>
      <w:r w:rsidR="00006F76">
        <w:tab/>
      </w:r>
    </w:p>
    <w:p w14:paraId="000C61ED" w14:textId="2E369A71" w:rsidR="00331EBD" w:rsidRDefault="00331EBD" w:rsidP="00331EBD">
      <w:pPr>
        <w:pStyle w:val="CETHeading1"/>
      </w:pPr>
      <w:r>
        <w:t>Estimated performance of co-producing biochar and synthesis gas</w:t>
      </w:r>
    </w:p>
    <w:p w14:paraId="2D9EE8F6" w14:textId="27956874" w:rsidR="000C41E2" w:rsidRDefault="00557A25" w:rsidP="00DD2972">
      <w:pPr>
        <w:pStyle w:val="CETBodytext"/>
      </w:pPr>
      <w:r>
        <w:t xml:space="preserve">Both </w:t>
      </w:r>
      <w:r w:rsidR="00DD2972">
        <w:t xml:space="preserve">BFB and CFB gasifiers can also be operated as steam-oxygen blown synthesis gas production </w:t>
      </w:r>
      <w:r w:rsidR="00DD4972">
        <w:t>units</w:t>
      </w:r>
      <w:r w:rsidR="00DD2972">
        <w:t>. In this chapter</w:t>
      </w:r>
      <w:r w:rsidR="004D7A12">
        <w:t>,</w:t>
      </w:r>
      <w:r w:rsidR="00DD2972">
        <w:t xml:space="preserve"> </w:t>
      </w:r>
      <w:r w:rsidR="00DD4972">
        <w:t xml:space="preserve">the plant performances in </w:t>
      </w:r>
      <w:r w:rsidR="00DD2972">
        <w:t xml:space="preserve">an ordinary BTL (Biomass-to-Liquids) </w:t>
      </w:r>
      <w:r w:rsidR="00DD4972">
        <w:t xml:space="preserve">mode and </w:t>
      </w:r>
      <w:r w:rsidR="00DD2972">
        <w:t xml:space="preserve">co-production </w:t>
      </w:r>
      <w:r w:rsidR="00DD4972">
        <w:t>mode are evaluated. In co-production</w:t>
      </w:r>
      <w:r w:rsidR="003D3488">
        <w:t>,</w:t>
      </w:r>
      <w:r w:rsidR="00DD4972">
        <w:t xml:space="preserve"> biochar is produced in addition to the </w:t>
      </w:r>
      <w:r w:rsidR="00DD2972">
        <w:t xml:space="preserve">Fischer-Tropsch </w:t>
      </w:r>
      <w:r>
        <w:t xml:space="preserve">(FT) </w:t>
      </w:r>
      <w:r w:rsidR="00DD2972">
        <w:t xml:space="preserve">hydrocarbons. </w:t>
      </w:r>
      <w:r w:rsidR="009A77B6" w:rsidRPr="009A77B6">
        <w:t xml:space="preserve">The two intermediate bioenergy carriers, </w:t>
      </w:r>
      <w:r w:rsidR="009A77B6">
        <w:t>FT-hydrocarbons</w:t>
      </w:r>
      <w:r w:rsidR="009A77B6" w:rsidRPr="009A77B6">
        <w:t xml:space="preserve"> and biochar, produced at the plant can be used widely in the energy system in transport and energy production and industries</w:t>
      </w:r>
      <w:r w:rsidR="00AC2647">
        <w:t>.</w:t>
      </w:r>
      <w:r w:rsidR="009A77B6">
        <w:t xml:space="preserve"> </w:t>
      </w:r>
      <w:r w:rsidR="008B7976" w:rsidRPr="008B7976">
        <w:tab/>
        <w:t xml:space="preserve">Biochar is a solid and easily storable bioenergy carrier that can be used to displace fossil feedstock in energy production (e.g. dispatchable thermal generation, co-firing, district heating) and industry (e.g. cement, iron and steel making). </w:t>
      </w:r>
      <w:r w:rsidR="008B7976">
        <w:t>Pelletized b</w:t>
      </w:r>
      <w:r w:rsidR="008B7976" w:rsidRPr="008B7976">
        <w:t xml:space="preserve">iochar has </w:t>
      </w:r>
      <w:r w:rsidR="008B7976" w:rsidRPr="008B7976">
        <w:lastRenderedPageBreak/>
        <w:t>about 5-6 times higher energy density than wood chips and 1.5 times higher than wood pellets. In addition to energy use or substitution of coal in industrial operations, biochar can be used in e.g. agriculture for soil amendment, wastewater treatment</w:t>
      </w:r>
      <w:r w:rsidR="00BF24A6">
        <w:t>,</w:t>
      </w:r>
      <w:r w:rsidR="008B7976" w:rsidRPr="008B7976">
        <w:t xml:space="preserve"> and various material applications, such as activated carbon. Biochar also has potential in carbon sequestration enabling the production of renewable </w:t>
      </w:r>
      <w:r w:rsidR="00AC2647">
        <w:t xml:space="preserve">transport fuels </w:t>
      </w:r>
      <w:r w:rsidR="008B7976" w:rsidRPr="008B7976">
        <w:t>with negative CO</w:t>
      </w:r>
      <w:r w:rsidR="008B7976" w:rsidRPr="008B7976">
        <w:rPr>
          <w:vertAlign w:val="subscript"/>
        </w:rPr>
        <w:t>2</w:t>
      </w:r>
      <w:r w:rsidR="008B7976" w:rsidRPr="008B7976">
        <w:t xml:space="preserve"> emissions.</w:t>
      </w:r>
    </w:p>
    <w:p w14:paraId="4B59977C" w14:textId="17BC140C" w:rsidR="00DD2972" w:rsidRDefault="00DD2972" w:rsidP="00DD2972">
      <w:pPr>
        <w:pStyle w:val="CETBodytext"/>
      </w:pPr>
      <w:r>
        <w:t xml:space="preserve">The production concept illustrated in Figure </w:t>
      </w:r>
      <w:r w:rsidR="00174FBC">
        <w:t>4</w:t>
      </w:r>
      <w:r>
        <w:t xml:space="preserve"> is similar to the </w:t>
      </w:r>
      <w:r w:rsidR="00F91F13">
        <w:t xml:space="preserve">one used in </w:t>
      </w:r>
      <w:r>
        <w:t>previous studies described in (McKeough and Kurkela, 2007) and (Hannula, 2015)</w:t>
      </w:r>
      <w:r w:rsidR="004D7A12">
        <w:t xml:space="preserve">. An excel-based simulation model was used to estimate the mass and energy balances </w:t>
      </w:r>
      <w:r w:rsidR="00DD4972">
        <w:t xml:space="preserve">for the plant operated in BTL alone and co-production. </w:t>
      </w:r>
      <w:r w:rsidR="004D7A12">
        <w:t>In the BTL case, gasifi</w:t>
      </w:r>
      <w:r w:rsidR="00DD4972">
        <w:t xml:space="preserve">cation is carried out </w:t>
      </w:r>
      <w:r w:rsidR="004D7A12">
        <w:t xml:space="preserve">at 900 </w:t>
      </w:r>
      <w:r w:rsidR="004D7A12">
        <w:rPr>
          <w:rFonts w:cs="Arial"/>
        </w:rPr>
        <w:t>°</w:t>
      </w:r>
      <w:r w:rsidR="004D7A12">
        <w:t>C and with a high carbon conversion efficiency of 98.5 %. In the co-operation mode, the gasifi</w:t>
      </w:r>
      <w:r w:rsidR="00DD4972">
        <w:t>er</w:t>
      </w:r>
      <w:r w:rsidR="004D7A12">
        <w:t xml:space="preserve"> </w:t>
      </w:r>
      <w:r w:rsidR="00DD4972">
        <w:t>operates</w:t>
      </w:r>
      <w:r w:rsidR="004D7A12">
        <w:t xml:space="preserve"> at 820 </w:t>
      </w:r>
      <w:r w:rsidR="004D7A12" w:rsidRPr="004D7A12">
        <w:t>°C</w:t>
      </w:r>
      <w:r w:rsidR="004D7A12">
        <w:t xml:space="preserve"> and 20 % of biomass carbon </w:t>
      </w:r>
      <w:r w:rsidR="00DD4972">
        <w:t>is</w:t>
      </w:r>
      <w:r w:rsidR="004D7A12">
        <w:t xml:space="preserve"> assumed to </w:t>
      </w:r>
      <w:r w:rsidR="00DD4972">
        <w:t>be recovered as biochar from the</w:t>
      </w:r>
      <w:r w:rsidR="004D7A12">
        <w:t xml:space="preserve"> bottom and fly ash streams</w:t>
      </w:r>
      <w:r w:rsidR="00DD4972">
        <w:t>.</w:t>
      </w:r>
      <w:r w:rsidR="004D7A12">
        <w:t xml:space="preserve"> In both cases, the raw gas </w:t>
      </w:r>
      <w:r w:rsidR="00DD4972">
        <w:t>is</w:t>
      </w:r>
      <w:r w:rsidR="004D7A12">
        <w:t xml:space="preserve"> cooled to 600 </w:t>
      </w:r>
      <w:r w:rsidR="004D7A12" w:rsidRPr="004D7A12">
        <w:t>°C</w:t>
      </w:r>
      <w:r w:rsidR="004D7A12">
        <w:t>, filtered</w:t>
      </w:r>
      <w:r w:rsidR="00BF24A6">
        <w:t>,</w:t>
      </w:r>
      <w:r w:rsidR="004D7A12">
        <w:t xml:space="preserve"> and led to the catalytic reformer similarly as in the studies de</w:t>
      </w:r>
      <w:r w:rsidR="00557A25">
        <w:t>s</w:t>
      </w:r>
      <w:r w:rsidR="004D7A12">
        <w:t>cribed in (</w:t>
      </w:r>
      <w:r w:rsidR="00557A25" w:rsidRPr="00557A25">
        <w:t>Hannula, 2015</w:t>
      </w:r>
      <w:r w:rsidR="00557A25">
        <w:t xml:space="preserve">). </w:t>
      </w:r>
      <w:r w:rsidR="00BF24A6">
        <w:t>The r</w:t>
      </w:r>
      <w:r w:rsidR="00557A25">
        <w:t xml:space="preserve">eformer </w:t>
      </w:r>
      <w:r w:rsidR="00DD4972">
        <w:t>is</w:t>
      </w:r>
      <w:r w:rsidR="00557A25">
        <w:t xml:space="preserve"> operated with an outlet temperature of </w:t>
      </w:r>
      <w:r w:rsidR="00557A25" w:rsidRPr="00557A25">
        <w:t>900 °C</w:t>
      </w:r>
      <w:r w:rsidR="00557A25">
        <w:t xml:space="preserve"> and the conversion efficiencies for methane, C</w:t>
      </w:r>
      <w:r w:rsidR="00557A25" w:rsidRPr="00DD4972">
        <w:rPr>
          <w:vertAlign w:val="subscript"/>
        </w:rPr>
        <w:t>2</w:t>
      </w:r>
      <w:r w:rsidR="00557A25">
        <w:t>-</w:t>
      </w:r>
      <w:r w:rsidR="00DD4972">
        <w:t>h</w:t>
      </w:r>
      <w:r w:rsidR="00557A25">
        <w:t xml:space="preserve">ydrocarbon gases and tars </w:t>
      </w:r>
      <w:r w:rsidR="00DD4972">
        <w:t>are</w:t>
      </w:r>
      <w:r w:rsidR="00557A25">
        <w:t xml:space="preserve"> 70%, 100%</w:t>
      </w:r>
      <w:r w:rsidR="00BF24A6">
        <w:t>,</w:t>
      </w:r>
      <w:r w:rsidR="00557A25">
        <w:t xml:space="preserve"> and 99</w:t>
      </w:r>
      <w:r w:rsidR="00FD2013">
        <w:t>.</w:t>
      </w:r>
      <w:r w:rsidR="00557A25">
        <w:t>5 %</w:t>
      </w:r>
      <w:r w:rsidR="00F91F13">
        <w:t>, respectively</w:t>
      </w:r>
      <w:r w:rsidR="00557A25">
        <w:t xml:space="preserve">. The final gas cleaning and FT-processes </w:t>
      </w:r>
      <w:r w:rsidR="00F23EAA">
        <w:t>are</w:t>
      </w:r>
      <w:r w:rsidR="00557A25">
        <w:t xml:space="preserve"> calculated using the models described in </w:t>
      </w:r>
      <w:r w:rsidR="00F23EAA">
        <w:t>(</w:t>
      </w:r>
      <w:r w:rsidR="00557A25">
        <w:t>McKe</w:t>
      </w:r>
      <w:r w:rsidR="00557A25" w:rsidRPr="00557A25">
        <w:t>ough and Kurkela, 2007)</w:t>
      </w:r>
      <w:r w:rsidR="00557A25">
        <w:t xml:space="preserve">. A short recycle loop for the FT tail gas </w:t>
      </w:r>
      <w:r w:rsidR="00F23EAA">
        <w:t>is</w:t>
      </w:r>
      <w:r w:rsidR="00557A25">
        <w:t xml:space="preserve"> </w:t>
      </w:r>
      <w:r w:rsidR="00DF10B9">
        <w:t>applied. T</w:t>
      </w:r>
      <w:r w:rsidR="00557A25">
        <w:t xml:space="preserve">he CO-conversion and C5+ selectivity of the FT process </w:t>
      </w:r>
      <w:r w:rsidR="00F23EAA">
        <w:t>are</w:t>
      </w:r>
      <w:r w:rsidR="00557A25">
        <w:t xml:space="preserve"> 85% and 91 %, respectively. </w:t>
      </w:r>
      <w:r w:rsidR="00E843C7">
        <w:t xml:space="preserve">In both </w:t>
      </w:r>
      <w:r w:rsidR="00F91F13">
        <w:t xml:space="preserve">studied </w:t>
      </w:r>
      <w:r w:rsidR="00E843C7">
        <w:t xml:space="preserve">cases, biomass is assumed to arrive </w:t>
      </w:r>
      <w:r w:rsidR="00DF10B9">
        <w:t>in</w:t>
      </w:r>
      <w:r w:rsidR="00E843C7">
        <w:t xml:space="preserve"> the plant at 50 % moisture content and it is dried in a belt-dryer to </w:t>
      </w:r>
      <w:r w:rsidR="00FD2013">
        <w:t xml:space="preserve">the </w:t>
      </w:r>
      <w:r w:rsidR="00E843C7">
        <w:t xml:space="preserve">final moisture of 15 %. </w:t>
      </w:r>
      <w:r w:rsidR="00DF10B9">
        <w:t>The e</w:t>
      </w:r>
      <w:r w:rsidR="00E843C7">
        <w:t>nergy efficiency of the dryer is assumed to be 55 % and hot water and steam a</w:t>
      </w:r>
      <w:r w:rsidR="00F23EAA">
        <w:t>r</w:t>
      </w:r>
      <w:r w:rsidR="00E843C7">
        <w:t xml:space="preserve">e used to provide heat for drying. Elemental and proximate analysis and lower heating value of dry matter are </w:t>
      </w:r>
      <w:r w:rsidR="00F23EAA">
        <w:t xml:space="preserve">from </w:t>
      </w:r>
      <w:r w:rsidR="00E843C7">
        <w:t>Table 1.</w:t>
      </w:r>
    </w:p>
    <w:p w14:paraId="3367FAAB" w14:textId="5EC436BC" w:rsidR="002D77E3" w:rsidRDefault="002D77E3" w:rsidP="00DD2972">
      <w:pPr>
        <w:pStyle w:val="CETBodytext"/>
      </w:pPr>
    </w:p>
    <w:p w14:paraId="2874A363" w14:textId="74B3082A" w:rsidR="002919FF" w:rsidRDefault="002919FF" w:rsidP="00DD2972">
      <w:pPr>
        <w:pStyle w:val="CETBodytext"/>
      </w:pPr>
      <w:r>
        <w:rPr>
          <w:noProof/>
          <w:lang w:val="fi-FI" w:eastAsia="fi-FI"/>
        </w:rPr>
        <w:drawing>
          <wp:inline distT="0" distB="0" distL="0" distR="0" wp14:anchorId="5D31FDB5" wp14:editId="768314C8">
            <wp:extent cx="5166470" cy="25196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08425" cy="2540068"/>
                    </a:xfrm>
                    <a:prstGeom prst="rect">
                      <a:avLst/>
                    </a:prstGeom>
                    <a:noFill/>
                  </pic:spPr>
                </pic:pic>
              </a:graphicData>
            </a:graphic>
          </wp:inline>
        </w:drawing>
      </w:r>
    </w:p>
    <w:p w14:paraId="105CE9E0" w14:textId="0FA031B7" w:rsidR="00AC4CB3" w:rsidRDefault="00AC4CB3" w:rsidP="002D77E3">
      <w:pPr>
        <w:pStyle w:val="CETBodytext"/>
        <w:spacing w:before="120" w:after="120"/>
      </w:pPr>
      <w:r w:rsidRPr="00BD077D">
        <w:rPr>
          <w:rStyle w:val="CETCaptionCarattere"/>
        </w:rPr>
        <w:t xml:space="preserve">Figure </w:t>
      </w:r>
      <w:r w:rsidR="00174FBC">
        <w:rPr>
          <w:rStyle w:val="CETCaptionCarattere"/>
        </w:rPr>
        <w:t>4</w:t>
      </w:r>
      <w:r w:rsidRPr="00BD077D">
        <w:rPr>
          <w:rStyle w:val="CETCaptionCarattere"/>
        </w:rPr>
        <w:t xml:space="preserve">: </w:t>
      </w:r>
      <w:r>
        <w:rPr>
          <w:rStyle w:val="CETCaptionCarattere"/>
        </w:rPr>
        <w:t>Schematic of the studied biomass-to-liquids plant configurations</w:t>
      </w:r>
    </w:p>
    <w:p w14:paraId="0E2784AD" w14:textId="2DFFE28B" w:rsidR="00557A25" w:rsidRDefault="00557A25" w:rsidP="00331EBD">
      <w:pPr>
        <w:pStyle w:val="CETBodytext"/>
      </w:pPr>
      <w:r>
        <w:t xml:space="preserve">The results presented in Figure </w:t>
      </w:r>
      <w:r w:rsidR="00174FBC">
        <w:t>5</w:t>
      </w:r>
      <w:r w:rsidR="00E843C7">
        <w:t xml:space="preserve"> are scaled for a 100 MW biomass input so that it is easy to compare the energy conversion efficiencies to different products. In reality, however, this type of process concept requires at least </w:t>
      </w:r>
      <w:r w:rsidR="00DF10B9">
        <w:t xml:space="preserve">a </w:t>
      </w:r>
      <w:r w:rsidR="007C3404">
        <w:t>15</w:t>
      </w:r>
      <w:r w:rsidR="00E843C7">
        <w:t xml:space="preserve">0-300 MW scale to reach positive economics (Hannula, 2015). </w:t>
      </w:r>
      <w:r w:rsidR="00F15CDB">
        <w:t>In the first case, 48.2 % of biomass energy is converted to FT liquids. In addition, the net production of heat and electricity correspond</w:t>
      </w:r>
      <w:r w:rsidR="00DF10B9">
        <w:t>s</w:t>
      </w:r>
      <w:r w:rsidR="00F15CDB">
        <w:t xml:space="preserve"> to 21.9</w:t>
      </w:r>
      <w:r w:rsidR="00DF10B9">
        <w:t xml:space="preserve"> %</w:t>
      </w:r>
      <w:r w:rsidR="00F15CDB">
        <w:t xml:space="preserve"> and 4.6 %</w:t>
      </w:r>
      <w:r w:rsidR="00010669">
        <w:t xml:space="preserve">, respectively. Total energy conversion efficiency to usable products is 74.6 %. </w:t>
      </w:r>
      <w:r w:rsidR="00684B01">
        <w:t>In this basic process, 30.3 % of biomass carbon is converted into the final FT products, while the rest is released to the atmosphere as CO</w:t>
      </w:r>
      <w:r w:rsidR="00684B01" w:rsidRPr="00684B01">
        <w:rPr>
          <w:vertAlign w:val="subscript"/>
        </w:rPr>
        <w:t>2</w:t>
      </w:r>
      <w:r w:rsidR="00684B01">
        <w:t xml:space="preserve">. In the second case, the total energy conversion efficiency is almost </w:t>
      </w:r>
      <w:r w:rsidR="00DF10B9">
        <w:t xml:space="preserve">the </w:t>
      </w:r>
      <w:r w:rsidR="00684B01">
        <w:t>same as in the first case, but now roughly 20 % of biomass energy is retained in the biochar. Consequently, the efficiencies to heat, power and FT-products are lower. Even in this case, the plant is self-sufficient for electricity. The carbon efficiency to FT-products and biochar is 45.1 %</w:t>
      </w:r>
      <w:r w:rsidR="008B7976">
        <w:t>,</w:t>
      </w:r>
      <w:r w:rsidR="00684B01">
        <w:t xml:space="preserve"> which is higher than </w:t>
      </w:r>
      <w:r w:rsidR="008B7976">
        <w:t xml:space="preserve">achieved </w:t>
      </w:r>
      <w:r w:rsidR="00684B01">
        <w:t xml:space="preserve">in the basic BTL case.  </w:t>
      </w:r>
    </w:p>
    <w:p w14:paraId="40238083" w14:textId="7C97F5D4" w:rsidR="00D86CB4" w:rsidRPr="00CF66AD" w:rsidRDefault="00D86CB4" w:rsidP="00D86CB4">
      <w:pPr>
        <w:pStyle w:val="CETBodytext"/>
        <w:rPr>
          <w:rStyle w:val="CETCaptionCarattere"/>
          <w:i w:val="0"/>
          <w:lang w:val="en-US"/>
        </w:rPr>
      </w:pPr>
      <w:r>
        <w:rPr>
          <w:rStyle w:val="CETCaptionCarattere"/>
          <w:i w:val="0"/>
          <w:lang w:val="en-US"/>
        </w:rPr>
        <w:t>The BCFB gasifier design offers several p</w:t>
      </w:r>
      <w:r w:rsidR="006E78BC">
        <w:rPr>
          <w:rStyle w:val="CETCaptionCarattere"/>
          <w:i w:val="0"/>
          <w:lang w:val="en-US"/>
        </w:rPr>
        <w:t>otential</w:t>
      </w:r>
      <w:r>
        <w:rPr>
          <w:rStyle w:val="CETCaptionCarattere"/>
          <w:i w:val="0"/>
          <w:lang w:val="en-US"/>
        </w:rPr>
        <w:t xml:space="preserve"> advantages in realizing a flexible process, which can be operated both with a maximized syngas yield as well as in co-production of syngas and biochar. In the maximized syngas production mode, the gasifier is operated with uniform temperature distribution and </w:t>
      </w:r>
      <w:r w:rsidR="007C3404">
        <w:rPr>
          <w:rStyle w:val="CETCaptionCarattere"/>
          <w:i w:val="0"/>
          <w:lang w:val="en-US"/>
        </w:rPr>
        <w:t xml:space="preserve">higher </w:t>
      </w:r>
      <w:r>
        <w:rPr>
          <w:rStyle w:val="CETCaptionCarattere"/>
          <w:i w:val="0"/>
          <w:lang w:val="en-US"/>
        </w:rPr>
        <w:t xml:space="preserve">oxygen-to-fuel ratio resulting in ca. 900 </w:t>
      </w:r>
      <w:r>
        <w:rPr>
          <w:rStyle w:val="CETCaptionCarattere"/>
          <w:rFonts w:cs="Arial"/>
          <w:i w:val="0"/>
          <w:lang w:val="en-US"/>
        </w:rPr>
        <w:t>°</w:t>
      </w:r>
      <w:r>
        <w:rPr>
          <w:rStyle w:val="CETCaptionCarattere"/>
          <w:i w:val="0"/>
          <w:lang w:val="en-US"/>
        </w:rPr>
        <w:t xml:space="preserve">C and almost complete carbon conversion. In the co-operation mode, the primary oxygen feed is decreased and bed temperature is reduced to 750-800 </w:t>
      </w:r>
      <w:r w:rsidRPr="00237808">
        <w:rPr>
          <w:rStyle w:val="CETCaptionCarattere"/>
          <w:i w:val="0"/>
          <w:lang w:val="en-US"/>
        </w:rPr>
        <w:t>°C</w:t>
      </w:r>
      <w:r>
        <w:rPr>
          <w:rStyle w:val="CETCaptionCarattere"/>
          <w:i w:val="0"/>
          <w:lang w:val="en-US"/>
        </w:rPr>
        <w:t xml:space="preserve">. Secondary oxygen can be fed to the upper part of the gasifier if necessary for reducing the tar content before the filter and catalytic reformer. In an ordinary CFB gasifier, the unconverted charcoal is elutriating from the bed and in the course of recycling is attrited into very fine particles, which finally pass through the recycling cyclone and are captured as </w:t>
      </w:r>
      <w:r>
        <w:rPr>
          <w:rStyle w:val="CETCaptionCarattere"/>
          <w:i w:val="0"/>
          <w:lang w:val="en-US"/>
        </w:rPr>
        <w:lastRenderedPageBreak/>
        <w:t xml:space="preserve">filter fines. In principle, the BFB gasifier offers possibilities to recover a larger part of the biochar directly from the bed. This bed charcoal has a larger particle size and may be of better quality than the biochar collected by the hot filter. </w:t>
      </w:r>
    </w:p>
    <w:p w14:paraId="07783C54" w14:textId="02E521C7" w:rsidR="007B2C81" w:rsidRDefault="007B2C81" w:rsidP="00331EBD">
      <w:pPr>
        <w:pStyle w:val="CETBodytext"/>
      </w:pPr>
    </w:p>
    <w:p w14:paraId="2B4D7C67" w14:textId="037B274E" w:rsidR="007B2C81" w:rsidRDefault="00A544C6" w:rsidP="00FA4E38">
      <w:pPr>
        <w:pStyle w:val="CETBodytext"/>
        <w:jc w:val="left"/>
      </w:pPr>
      <w:bookmarkStart w:id="1" w:name="_GoBack"/>
      <w:r>
        <w:rPr>
          <w:noProof/>
          <w:lang w:val="fi-FI" w:eastAsia="fi-FI"/>
        </w:rPr>
        <w:drawing>
          <wp:inline distT="0" distB="0" distL="0" distR="0" wp14:anchorId="1CE5D4F2" wp14:editId="71053867">
            <wp:extent cx="4821681" cy="1892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10478" cy="1927218"/>
                    </a:xfrm>
                    <a:prstGeom prst="rect">
                      <a:avLst/>
                    </a:prstGeom>
                    <a:noFill/>
                  </pic:spPr>
                </pic:pic>
              </a:graphicData>
            </a:graphic>
          </wp:inline>
        </w:drawing>
      </w:r>
      <w:bookmarkEnd w:id="1"/>
    </w:p>
    <w:p w14:paraId="34C2009E" w14:textId="0417B5DD" w:rsidR="00AC4CB3" w:rsidRDefault="00AC4CB3" w:rsidP="008E42B1">
      <w:pPr>
        <w:pStyle w:val="CETBodytext"/>
        <w:spacing w:before="120" w:after="120"/>
        <w:rPr>
          <w:rStyle w:val="CETCaptionCarattere"/>
        </w:rPr>
      </w:pPr>
      <w:r w:rsidRPr="00BD077D">
        <w:rPr>
          <w:rStyle w:val="CETCaptionCarattere"/>
        </w:rPr>
        <w:t xml:space="preserve">Figure </w:t>
      </w:r>
      <w:r w:rsidR="00174FBC">
        <w:rPr>
          <w:rStyle w:val="CETCaptionCarattere"/>
        </w:rPr>
        <w:t>5</w:t>
      </w:r>
      <w:r w:rsidRPr="00BD077D">
        <w:rPr>
          <w:rStyle w:val="CETCaptionCarattere"/>
        </w:rPr>
        <w:t xml:space="preserve">: </w:t>
      </w:r>
      <w:r>
        <w:rPr>
          <w:rStyle w:val="CETCaptionCarattere"/>
        </w:rPr>
        <w:t>Energy and carbon mass flows and conversion efficiencies for the two studied operation modes</w:t>
      </w:r>
    </w:p>
    <w:p w14:paraId="76118B01" w14:textId="590800B2" w:rsidR="00331EBD" w:rsidRDefault="00331EBD" w:rsidP="00331EBD">
      <w:pPr>
        <w:pStyle w:val="CETHeading1"/>
      </w:pPr>
      <w:r>
        <w:t>Conclusions and further R&amp;D</w:t>
      </w:r>
    </w:p>
    <w:p w14:paraId="230F8CB9" w14:textId="2C33BF06" w:rsidR="00B95455" w:rsidRDefault="00B95455" w:rsidP="00B95455">
      <w:pPr>
        <w:pStyle w:val="CETBodytext"/>
      </w:pPr>
      <w:r>
        <w:t xml:space="preserve">A modified version of the bubbling fluidized-bed gasifier was developed and tested at </w:t>
      </w:r>
      <w:r w:rsidR="00DF10B9">
        <w:t xml:space="preserve">a </w:t>
      </w:r>
      <w:r w:rsidR="007C3404">
        <w:t>1</w:t>
      </w:r>
      <w:r>
        <w:t xml:space="preserve"> MW pilot plant. This gasifier could be smoothly operated with wood wastes as well as with low-quality MSW-based feedstock. </w:t>
      </w:r>
      <w:r w:rsidR="00DF10B9">
        <w:t>A s</w:t>
      </w:r>
      <w:r>
        <w:t xml:space="preserve">econdary circulating bed could be created to increase the particle density in the upper part of the gasifier. This contributed to </w:t>
      </w:r>
      <w:r w:rsidR="00DF10B9">
        <w:t xml:space="preserve">improved </w:t>
      </w:r>
      <w:r>
        <w:t xml:space="preserve">tar decomposition by providing catalyzing surfaces and helped in maintaining a stable recycle flow from the cyclone separator back to the upper part of the bottom bed. This system also requires </w:t>
      </w:r>
      <w:r w:rsidR="00DF10B9">
        <w:t xml:space="preserve">a </w:t>
      </w:r>
      <w:r>
        <w:t xml:space="preserve">significantly lower pressure drop for the recycle loop compared to the ordinary design where the recycle line is connected to the bottom of the dense bed. </w:t>
      </w:r>
      <w:r w:rsidR="00614FEA">
        <w:t xml:space="preserve">This gasifier design also is considered to have a great potential in realizing a flexible synthesis gas production plant, which can be operated with a target for complete carbon conversion as well as with a target of producing biochar as </w:t>
      </w:r>
      <w:r w:rsidR="00DF10B9">
        <w:t xml:space="preserve">a </w:t>
      </w:r>
      <w:r w:rsidR="00614FEA">
        <w:t xml:space="preserve">valuable by-product. </w:t>
      </w:r>
    </w:p>
    <w:p w14:paraId="68BB4953" w14:textId="38B59EB3" w:rsidR="00614FEA" w:rsidRDefault="00614FEA" w:rsidP="00B95455">
      <w:pPr>
        <w:pStyle w:val="CETBodytext"/>
      </w:pPr>
      <w:r>
        <w:t>This flexible production concept is presently developed in an EU-Can</w:t>
      </w:r>
      <w:r w:rsidR="00E15D2E">
        <w:t>a</w:t>
      </w:r>
      <w:r>
        <w:t>da collaboration project “FlexSNG”. In this project, the targeted product</w:t>
      </w:r>
      <w:r w:rsidR="00DF10B9">
        <w:t>s</w:t>
      </w:r>
      <w:r>
        <w:t xml:space="preserve"> are synthetic natural gas </w:t>
      </w:r>
      <w:r w:rsidR="00DF10B9">
        <w:t xml:space="preserve">(SNG) and </w:t>
      </w:r>
      <w:r>
        <w:t xml:space="preserve">biochar. One of the </w:t>
      </w:r>
      <w:r w:rsidR="00DF10B9">
        <w:t xml:space="preserve">general </w:t>
      </w:r>
      <w:r>
        <w:t xml:space="preserve">advantages of </w:t>
      </w:r>
      <w:r w:rsidR="00DF10B9">
        <w:t xml:space="preserve">the </w:t>
      </w:r>
      <w:r>
        <w:t xml:space="preserve">gasification-based biomass conversion route is the variety of potential final products, as the syngas is suitable </w:t>
      </w:r>
      <w:r w:rsidR="00DF10B9">
        <w:t>for</w:t>
      </w:r>
      <w:r>
        <w:t xml:space="preserve"> various alternative synthesis processes. </w:t>
      </w:r>
    </w:p>
    <w:p w14:paraId="089DE56C" w14:textId="37862FD1" w:rsidR="00CA0B64" w:rsidRPr="00133FD8" w:rsidRDefault="00CA0B64" w:rsidP="00DB4D00">
      <w:pPr>
        <w:pStyle w:val="CETReference"/>
      </w:pPr>
      <w:r w:rsidRPr="005F5799">
        <w:t>Acknowledgments</w:t>
      </w:r>
    </w:p>
    <w:p w14:paraId="2C77235F" w14:textId="7268FD98" w:rsidR="00CA0B64" w:rsidRDefault="00CA0B64" w:rsidP="00CA0B64">
      <w:pPr>
        <w:pStyle w:val="CETBodytext"/>
        <w:rPr>
          <w:lang w:val="en-GB"/>
        </w:rPr>
      </w:pPr>
      <w:r>
        <w:rPr>
          <w:lang w:val="en-GB"/>
        </w:rPr>
        <w:t xml:space="preserve">The process evaluation work and the preparation of this paper have been made within the </w:t>
      </w:r>
      <w:r w:rsidRPr="005F5799">
        <w:rPr>
          <w:lang w:val="en-GB"/>
        </w:rPr>
        <w:t>Flex</w:t>
      </w:r>
      <w:r>
        <w:rPr>
          <w:lang w:val="en-GB"/>
        </w:rPr>
        <w:t>SNG</w:t>
      </w:r>
      <w:r w:rsidRPr="005F5799">
        <w:rPr>
          <w:lang w:val="en-GB"/>
        </w:rPr>
        <w:t xml:space="preserve"> project</w:t>
      </w:r>
      <w:r>
        <w:rPr>
          <w:lang w:val="en-GB"/>
        </w:rPr>
        <w:t xml:space="preserve">, which </w:t>
      </w:r>
      <w:r w:rsidRPr="005F5799">
        <w:rPr>
          <w:lang w:val="en-GB"/>
        </w:rPr>
        <w:t xml:space="preserve">has received funding from the European Union’s Horizon 2020 </w:t>
      </w:r>
      <w:r>
        <w:rPr>
          <w:lang w:val="en-GB"/>
        </w:rPr>
        <w:t>R</w:t>
      </w:r>
      <w:r w:rsidRPr="005F5799">
        <w:rPr>
          <w:lang w:val="en-GB"/>
        </w:rPr>
        <w:t xml:space="preserve">esearch and </w:t>
      </w:r>
      <w:r>
        <w:rPr>
          <w:lang w:val="en-GB"/>
        </w:rPr>
        <w:t>I</w:t>
      </w:r>
      <w:r w:rsidRPr="005F5799">
        <w:rPr>
          <w:lang w:val="en-GB"/>
        </w:rPr>
        <w:t xml:space="preserve">nnovation Programme under Grant Agreement No </w:t>
      </w:r>
      <w:r w:rsidR="006F459D">
        <w:rPr>
          <w:lang w:val="en-GB"/>
        </w:rPr>
        <w:t>101022432</w:t>
      </w:r>
      <w:r w:rsidR="0093093D">
        <w:rPr>
          <w:lang w:val="en-GB"/>
        </w:rPr>
        <w:t xml:space="preserve"> </w:t>
      </w:r>
      <w:r w:rsidR="0093093D" w:rsidRPr="00D1449A">
        <w:rPr>
          <w:rFonts w:cs="Dubai" w:hint="cs"/>
          <w:sz w:val="17"/>
          <w:szCs w:val="17"/>
        </w:rPr>
        <w:t xml:space="preserve">and the Government of Canada’s New Frontiers in Research Fund (NFRF) and </w:t>
      </w:r>
      <w:r w:rsidR="0093093D" w:rsidRPr="00D1449A">
        <w:rPr>
          <w:rFonts w:cs="Dubai" w:hint="cs"/>
          <w:sz w:val="17"/>
          <w:szCs w:val="17"/>
          <w:lang w:val="en-CA"/>
        </w:rPr>
        <w:t>the Fonds de recherche du Québec (FRQ)</w:t>
      </w:r>
      <w:r w:rsidRPr="005F5799">
        <w:rPr>
          <w:lang w:val="en-GB"/>
        </w:rPr>
        <w:t xml:space="preserve">. </w:t>
      </w:r>
      <w:r w:rsidR="00A441E7">
        <w:rPr>
          <w:lang w:val="en-GB"/>
        </w:rPr>
        <w:t xml:space="preserve">Pilot tests were realized in previous VTT projects. </w:t>
      </w:r>
    </w:p>
    <w:p w14:paraId="4F1327F8" w14:textId="77777777" w:rsidR="00600535" w:rsidRPr="00B57B36" w:rsidRDefault="00600535" w:rsidP="00600535">
      <w:pPr>
        <w:pStyle w:val="CETReference"/>
      </w:pPr>
      <w:r w:rsidRPr="00B57B36">
        <w:t>References</w:t>
      </w:r>
    </w:p>
    <w:p w14:paraId="2AF76048" w14:textId="60E2F20B" w:rsidR="00822E22" w:rsidRDefault="00822E22" w:rsidP="00E65B91">
      <w:pPr>
        <w:pStyle w:val="CETReferencetext"/>
      </w:pPr>
      <w:r w:rsidRPr="00822E22">
        <w:t>Hannula, I. (2015). Synthetic fuels and light olefins from biomass residues, carbon dioxide and electricity: Performance and cost analysis: Dissertation. VTT Technical Research Centre of Finland.</w:t>
      </w:r>
    </w:p>
    <w:p w14:paraId="3B2B4087" w14:textId="48AB25F6" w:rsidR="00016C62" w:rsidRDefault="00016C62" w:rsidP="00016C62">
      <w:pPr>
        <w:pStyle w:val="CETReferencetext"/>
      </w:pPr>
      <w:r>
        <w:t xml:space="preserve">Hofbauer H., 2019, Large Scale Biomass Gasification for Electricity and Fuels, In: Kaltschmitt M., (Ed.), Energy from Organic Materials, Encyclopedia of Sustainability Science and Tech., Springer, New York. </w:t>
      </w:r>
    </w:p>
    <w:p w14:paraId="20DC5757" w14:textId="77777777" w:rsidR="008C51A4" w:rsidRDefault="008C51A4" w:rsidP="008C51A4">
      <w:pPr>
        <w:pStyle w:val="CETReferencetext"/>
      </w:pPr>
      <w:r w:rsidRPr="008C51A4">
        <w:t>Isaksson J., 2015, Commercial CFB gasification of waste and biofuels - Operational experiences in large scale, presentation at the Gasification Tech. Conf., October 11–14, 2015, Colorado Springs, USA.</w:t>
      </w:r>
    </w:p>
    <w:p w14:paraId="7F99F118" w14:textId="77777777" w:rsidR="008C51A4" w:rsidRDefault="008C51A4" w:rsidP="008C51A4">
      <w:pPr>
        <w:pStyle w:val="CETReferencetext"/>
      </w:pPr>
      <w:r w:rsidRPr="006359BC">
        <w:t>Koljonen J., Kurkela E., Wilén, C.</w:t>
      </w:r>
      <w:r>
        <w:t>,</w:t>
      </w:r>
      <w:r w:rsidRPr="006359BC">
        <w:t xml:space="preserve"> 1993</w:t>
      </w:r>
      <w:r>
        <w:t>,</w:t>
      </w:r>
      <w:r w:rsidRPr="006359BC">
        <w:t xml:space="preserve"> Peat-based HTW-plant at Oulu</w:t>
      </w:r>
      <w:r>
        <w:t>,</w:t>
      </w:r>
      <w:r w:rsidRPr="006359BC">
        <w:t xml:space="preserve"> Bioresource Technology, 46, 95</w:t>
      </w:r>
      <w:r>
        <w:t xml:space="preserve"> </w:t>
      </w:r>
      <w:r w:rsidRPr="006359BC">
        <w:t>– 102.</w:t>
      </w:r>
    </w:p>
    <w:p w14:paraId="6490F712" w14:textId="28DDE1DA" w:rsidR="006359BC" w:rsidRDefault="006359BC" w:rsidP="00E65B91">
      <w:pPr>
        <w:pStyle w:val="CETReferencetext"/>
      </w:pPr>
      <w:r w:rsidRPr="006359BC">
        <w:t>Kurkela E., Kurkela M., Nieminen, M.,</w:t>
      </w:r>
      <w:r>
        <w:t xml:space="preserve"> </w:t>
      </w:r>
      <w:r w:rsidRPr="006359BC">
        <w:t>Laatikainen-Luntama J.</w:t>
      </w:r>
      <w:r>
        <w:t xml:space="preserve">, </w:t>
      </w:r>
      <w:r w:rsidRPr="006359BC">
        <w:t>2021</w:t>
      </w:r>
      <w:r>
        <w:t>,</w:t>
      </w:r>
      <w:r w:rsidRPr="006359BC">
        <w:t xml:space="preserve"> Circulating fluidized bed gasification of solid recovered fuels - Results from gasification and gas filtration tests. Chemical Enginee</w:t>
      </w:r>
      <w:r>
        <w:t>ring Transactions, 86, 19-24.</w:t>
      </w:r>
    </w:p>
    <w:p w14:paraId="351CF036" w14:textId="77777777" w:rsidR="00974365" w:rsidRDefault="00165638" w:rsidP="00F15779">
      <w:pPr>
        <w:pStyle w:val="CETReferencetext"/>
      </w:pPr>
      <w:r w:rsidRPr="00165638">
        <w:t>Laatikainen-Luntama J., Kurkela E., 2015, Air-blown CFB gasification of forest residues, demolition wood and crushed wheat straw pellets, In: Bankiewicz D., Mäkinen M., Yrjas P. (Ed.), Proceedings of the 22nd International Conference on Fluidized Bed Conversion, 14-17 June 2015, Turku, Finland, 476–486.</w:t>
      </w:r>
    </w:p>
    <w:p w14:paraId="2D026EEA" w14:textId="75B74131" w:rsidR="00F80057" w:rsidRPr="000D56D6" w:rsidRDefault="00DD0BD1" w:rsidP="00F80057">
      <w:pPr>
        <w:pStyle w:val="CETReferencetext"/>
      </w:pPr>
      <w:r w:rsidRPr="00DD0BD1">
        <w:t>McKeough, P., Kurkela, E.</w:t>
      </w:r>
      <w:r>
        <w:t xml:space="preserve">, </w:t>
      </w:r>
      <w:r w:rsidRPr="00DD0BD1">
        <w:t>2007</w:t>
      </w:r>
      <w:r>
        <w:t>,</w:t>
      </w:r>
      <w:r w:rsidRPr="00DD0BD1">
        <w:t xml:space="preserve"> Detailed comparison of efficiencies and costs of producing FT liquids, methanol, SNG and hydrogen from biomass</w:t>
      </w:r>
      <w:r>
        <w:t xml:space="preserve">, </w:t>
      </w:r>
      <w:r w:rsidRPr="00DD0BD1">
        <w:t>15th European Biomass Conference, Berlin, Germany.</w:t>
      </w:r>
    </w:p>
    <w:sectPr w:rsidR="00F80057" w:rsidRPr="000D56D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3EE17" w14:textId="77777777" w:rsidR="002F5010" w:rsidRDefault="002F5010" w:rsidP="004F5E36">
      <w:r>
        <w:separator/>
      </w:r>
    </w:p>
  </w:endnote>
  <w:endnote w:type="continuationSeparator" w:id="0">
    <w:p w14:paraId="666BFD9F" w14:textId="77777777" w:rsidR="002F5010" w:rsidRDefault="002F50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Dubai">
    <w:charset w:val="00"/>
    <w:family w:val="swiss"/>
    <w:pitch w:val="variable"/>
    <w:sig w:usb0="8000206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85B37" w14:textId="77777777" w:rsidR="002F5010" w:rsidRDefault="002F5010" w:rsidP="004F5E36">
      <w:r>
        <w:separator/>
      </w:r>
    </w:p>
  </w:footnote>
  <w:footnote w:type="continuationSeparator" w:id="0">
    <w:p w14:paraId="4370C1EB" w14:textId="77777777" w:rsidR="002F5010" w:rsidRDefault="002F501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Mq8FAPRH4tEtAAAA"/>
  </w:docVars>
  <w:rsids>
    <w:rsidRoot w:val="000E414A"/>
    <w:rsid w:val="000027C0"/>
    <w:rsid w:val="000032DF"/>
    <w:rsid w:val="000052FB"/>
    <w:rsid w:val="00006F76"/>
    <w:rsid w:val="00010669"/>
    <w:rsid w:val="000117CB"/>
    <w:rsid w:val="00016C62"/>
    <w:rsid w:val="0003148D"/>
    <w:rsid w:val="00031EEC"/>
    <w:rsid w:val="00050688"/>
    <w:rsid w:val="00050E5D"/>
    <w:rsid w:val="00051566"/>
    <w:rsid w:val="00062A9A"/>
    <w:rsid w:val="00063984"/>
    <w:rsid w:val="00065058"/>
    <w:rsid w:val="000775AC"/>
    <w:rsid w:val="0008017A"/>
    <w:rsid w:val="00085035"/>
    <w:rsid w:val="00085FFC"/>
    <w:rsid w:val="00086C39"/>
    <w:rsid w:val="00096D19"/>
    <w:rsid w:val="00096DE6"/>
    <w:rsid w:val="000A03B2"/>
    <w:rsid w:val="000B0B5E"/>
    <w:rsid w:val="000B3C3A"/>
    <w:rsid w:val="000C38C0"/>
    <w:rsid w:val="000C41E2"/>
    <w:rsid w:val="000D0268"/>
    <w:rsid w:val="000D347D"/>
    <w:rsid w:val="000D34BE"/>
    <w:rsid w:val="000D53A7"/>
    <w:rsid w:val="000E09B8"/>
    <w:rsid w:val="000E102F"/>
    <w:rsid w:val="000E36F1"/>
    <w:rsid w:val="000E3A73"/>
    <w:rsid w:val="000E414A"/>
    <w:rsid w:val="000E47B0"/>
    <w:rsid w:val="000F093C"/>
    <w:rsid w:val="000F787B"/>
    <w:rsid w:val="0012091F"/>
    <w:rsid w:val="00126481"/>
    <w:rsid w:val="00126BC2"/>
    <w:rsid w:val="001308B6"/>
    <w:rsid w:val="0013121F"/>
    <w:rsid w:val="00131FE6"/>
    <w:rsid w:val="0013263F"/>
    <w:rsid w:val="001331DF"/>
    <w:rsid w:val="00134DE4"/>
    <w:rsid w:val="0014034D"/>
    <w:rsid w:val="00144D16"/>
    <w:rsid w:val="00146635"/>
    <w:rsid w:val="00150E59"/>
    <w:rsid w:val="00152DE3"/>
    <w:rsid w:val="00154447"/>
    <w:rsid w:val="00162B88"/>
    <w:rsid w:val="00164CF9"/>
    <w:rsid w:val="00165638"/>
    <w:rsid w:val="001667A6"/>
    <w:rsid w:val="00174FBC"/>
    <w:rsid w:val="00182689"/>
    <w:rsid w:val="00184AD6"/>
    <w:rsid w:val="001A4AF7"/>
    <w:rsid w:val="001A72F3"/>
    <w:rsid w:val="001B0349"/>
    <w:rsid w:val="001B1E93"/>
    <w:rsid w:val="001B65C1"/>
    <w:rsid w:val="001C44CA"/>
    <w:rsid w:val="001C684B"/>
    <w:rsid w:val="001D0CFB"/>
    <w:rsid w:val="001D21AF"/>
    <w:rsid w:val="001D53FC"/>
    <w:rsid w:val="001F42A5"/>
    <w:rsid w:val="001F7B9D"/>
    <w:rsid w:val="001F7BDA"/>
    <w:rsid w:val="00201C93"/>
    <w:rsid w:val="002047AF"/>
    <w:rsid w:val="002141DE"/>
    <w:rsid w:val="002224B4"/>
    <w:rsid w:val="00237808"/>
    <w:rsid w:val="0024094B"/>
    <w:rsid w:val="002447EF"/>
    <w:rsid w:val="00251550"/>
    <w:rsid w:val="00263B05"/>
    <w:rsid w:val="0027221A"/>
    <w:rsid w:val="00275B61"/>
    <w:rsid w:val="00280FAF"/>
    <w:rsid w:val="00282656"/>
    <w:rsid w:val="002919FF"/>
    <w:rsid w:val="002958A5"/>
    <w:rsid w:val="00295CB7"/>
    <w:rsid w:val="00296B83"/>
    <w:rsid w:val="002B4015"/>
    <w:rsid w:val="002B78CE"/>
    <w:rsid w:val="002C122E"/>
    <w:rsid w:val="002C15EA"/>
    <w:rsid w:val="002C2FB6"/>
    <w:rsid w:val="002D61D8"/>
    <w:rsid w:val="002D77E3"/>
    <w:rsid w:val="002E2CB8"/>
    <w:rsid w:val="002E5FA7"/>
    <w:rsid w:val="002F23A7"/>
    <w:rsid w:val="002F3309"/>
    <w:rsid w:val="002F5010"/>
    <w:rsid w:val="003008CE"/>
    <w:rsid w:val="003009B7"/>
    <w:rsid w:val="00300E56"/>
    <w:rsid w:val="0030469C"/>
    <w:rsid w:val="003068BF"/>
    <w:rsid w:val="003115A9"/>
    <w:rsid w:val="00321CA6"/>
    <w:rsid w:val="00322344"/>
    <w:rsid w:val="00323763"/>
    <w:rsid w:val="00331EBD"/>
    <w:rsid w:val="00334C09"/>
    <w:rsid w:val="00337B37"/>
    <w:rsid w:val="00345976"/>
    <w:rsid w:val="00360C1F"/>
    <w:rsid w:val="003723D4"/>
    <w:rsid w:val="00381905"/>
    <w:rsid w:val="00382AA9"/>
    <w:rsid w:val="00384CC8"/>
    <w:rsid w:val="003871FD"/>
    <w:rsid w:val="003A1E30"/>
    <w:rsid w:val="003A2829"/>
    <w:rsid w:val="003A7D1C"/>
    <w:rsid w:val="003B304B"/>
    <w:rsid w:val="003B3146"/>
    <w:rsid w:val="003C4290"/>
    <w:rsid w:val="003D3488"/>
    <w:rsid w:val="003F015E"/>
    <w:rsid w:val="003F274C"/>
    <w:rsid w:val="003F454B"/>
    <w:rsid w:val="00400414"/>
    <w:rsid w:val="00405F1E"/>
    <w:rsid w:val="0041446B"/>
    <w:rsid w:val="00433E8F"/>
    <w:rsid w:val="0044071E"/>
    <w:rsid w:val="0044329C"/>
    <w:rsid w:val="00453E24"/>
    <w:rsid w:val="00457456"/>
    <w:rsid w:val="004577FE"/>
    <w:rsid w:val="00457B9C"/>
    <w:rsid w:val="0046164A"/>
    <w:rsid w:val="004628D2"/>
    <w:rsid w:val="00462DCD"/>
    <w:rsid w:val="004648AD"/>
    <w:rsid w:val="004703A9"/>
    <w:rsid w:val="004760DE"/>
    <w:rsid w:val="004763D7"/>
    <w:rsid w:val="004772BA"/>
    <w:rsid w:val="00477EB2"/>
    <w:rsid w:val="004A004E"/>
    <w:rsid w:val="004A24CF"/>
    <w:rsid w:val="004C21D0"/>
    <w:rsid w:val="004C3D1D"/>
    <w:rsid w:val="004C7913"/>
    <w:rsid w:val="004D7A12"/>
    <w:rsid w:val="004E4DD6"/>
    <w:rsid w:val="004F373D"/>
    <w:rsid w:val="004F5E36"/>
    <w:rsid w:val="005008AB"/>
    <w:rsid w:val="00503012"/>
    <w:rsid w:val="00507B47"/>
    <w:rsid w:val="00507BEF"/>
    <w:rsid w:val="00507CC9"/>
    <w:rsid w:val="005119A5"/>
    <w:rsid w:val="005278B7"/>
    <w:rsid w:val="00532016"/>
    <w:rsid w:val="005346C8"/>
    <w:rsid w:val="00543E7D"/>
    <w:rsid w:val="00547A68"/>
    <w:rsid w:val="005531C9"/>
    <w:rsid w:val="00557A25"/>
    <w:rsid w:val="00570C43"/>
    <w:rsid w:val="00573E72"/>
    <w:rsid w:val="005971FF"/>
    <w:rsid w:val="005A4E88"/>
    <w:rsid w:val="005A5D2F"/>
    <w:rsid w:val="005B2110"/>
    <w:rsid w:val="005B61E6"/>
    <w:rsid w:val="005C77E1"/>
    <w:rsid w:val="005D668A"/>
    <w:rsid w:val="005D6A2F"/>
    <w:rsid w:val="005E1A82"/>
    <w:rsid w:val="005E794C"/>
    <w:rsid w:val="005F0A28"/>
    <w:rsid w:val="005F0E5E"/>
    <w:rsid w:val="005F0ED2"/>
    <w:rsid w:val="005F445C"/>
    <w:rsid w:val="00600535"/>
    <w:rsid w:val="00610CD6"/>
    <w:rsid w:val="00614FEA"/>
    <w:rsid w:val="00620DEE"/>
    <w:rsid w:val="006219C7"/>
    <w:rsid w:val="00621F92"/>
    <w:rsid w:val="0062280A"/>
    <w:rsid w:val="00625639"/>
    <w:rsid w:val="00631B33"/>
    <w:rsid w:val="006359BC"/>
    <w:rsid w:val="006359E7"/>
    <w:rsid w:val="00636794"/>
    <w:rsid w:val="0064184D"/>
    <w:rsid w:val="00641CA9"/>
    <w:rsid w:val="006422CC"/>
    <w:rsid w:val="00643D68"/>
    <w:rsid w:val="00657B34"/>
    <w:rsid w:val="00660E3E"/>
    <w:rsid w:val="00662E74"/>
    <w:rsid w:val="00680C23"/>
    <w:rsid w:val="00682197"/>
    <w:rsid w:val="00684B01"/>
    <w:rsid w:val="00693766"/>
    <w:rsid w:val="006A3281"/>
    <w:rsid w:val="006B242C"/>
    <w:rsid w:val="006B4888"/>
    <w:rsid w:val="006C2E45"/>
    <w:rsid w:val="006C359C"/>
    <w:rsid w:val="006C35EA"/>
    <w:rsid w:val="006C5579"/>
    <w:rsid w:val="006D6E8B"/>
    <w:rsid w:val="006E737D"/>
    <w:rsid w:val="006E78BC"/>
    <w:rsid w:val="006F25E0"/>
    <w:rsid w:val="006F459D"/>
    <w:rsid w:val="0070217D"/>
    <w:rsid w:val="00705D81"/>
    <w:rsid w:val="00713973"/>
    <w:rsid w:val="00715136"/>
    <w:rsid w:val="00720A24"/>
    <w:rsid w:val="00732386"/>
    <w:rsid w:val="0073514D"/>
    <w:rsid w:val="007447F3"/>
    <w:rsid w:val="0075499F"/>
    <w:rsid w:val="007563DD"/>
    <w:rsid w:val="00762F21"/>
    <w:rsid w:val="007661C8"/>
    <w:rsid w:val="0077098D"/>
    <w:rsid w:val="007931FA"/>
    <w:rsid w:val="007A3C5D"/>
    <w:rsid w:val="007A4861"/>
    <w:rsid w:val="007A5F7A"/>
    <w:rsid w:val="007A7BBA"/>
    <w:rsid w:val="007B0C50"/>
    <w:rsid w:val="007B2C81"/>
    <w:rsid w:val="007B48F9"/>
    <w:rsid w:val="007B5BE7"/>
    <w:rsid w:val="007C1A43"/>
    <w:rsid w:val="007C3404"/>
    <w:rsid w:val="007C657C"/>
    <w:rsid w:val="007E37DE"/>
    <w:rsid w:val="007F7EA1"/>
    <w:rsid w:val="0080013E"/>
    <w:rsid w:val="00813288"/>
    <w:rsid w:val="008168FC"/>
    <w:rsid w:val="00822E22"/>
    <w:rsid w:val="00830996"/>
    <w:rsid w:val="008311E0"/>
    <w:rsid w:val="008345F1"/>
    <w:rsid w:val="00865B07"/>
    <w:rsid w:val="008665B1"/>
    <w:rsid w:val="008667EA"/>
    <w:rsid w:val="00870992"/>
    <w:rsid w:val="0087637F"/>
    <w:rsid w:val="00877F56"/>
    <w:rsid w:val="00881802"/>
    <w:rsid w:val="00892AD5"/>
    <w:rsid w:val="008A1512"/>
    <w:rsid w:val="008B7976"/>
    <w:rsid w:val="008C2807"/>
    <w:rsid w:val="008C51A4"/>
    <w:rsid w:val="008D0C3E"/>
    <w:rsid w:val="008D32B9"/>
    <w:rsid w:val="008D433B"/>
    <w:rsid w:val="008E001D"/>
    <w:rsid w:val="008E42B1"/>
    <w:rsid w:val="008E566E"/>
    <w:rsid w:val="0090161A"/>
    <w:rsid w:val="00901EB6"/>
    <w:rsid w:val="00904C62"/>
    <w:rsid w:val="00922BA8"/>
    <w:rsid w:val="00924DAC"/>
    <w:rsid w:val="00927058"/>
    <w:rsid w:val="0093093D"/>
    <w:rsid w:val="00930E82"/>
    <w:rsid w:val="00942750"/>
    <w:rsid w:val="009450CE"/>
    <w:rsid w:val="00947179"/>
    <w:rsid w:val="0095164B"/>
    <w:rsid w:val="00954090"/>
    <w:rsid w:val="009573E7"/>
    <w:rsid w:val="00963E05"/>
    <w:rsid w:val="00964A45"/>
    <w:rsid w:val="00967843"/>
    <w:rsid w:val="00967D54"/>
    <w:rsid w:val="00971028"/>
    <w:rsid w:val="00974365"/>
    <w:rsid w:val="00993B84"/>
    <w:rsid w:val="00996483"/>
    <w:rsid w:val="00996F5A"/>
    <w:rsid w:val="009A77B6"/>
    <w:rsid w:val="009B041A"/>
    <w:rsid w:val="009C37C3"/>
    <w:rsid w:val="009C7C86"/>
    <w:rsid w:val="009D2FF7"/>
    <w:rsid w:val="009E7884"/>
    <w:rsid w:val="009E788A"/>
    <w:rsid w:val="009F0E08"/>
    <w:rsid w:val="00A030A6"/>
    <w:rsid w:val="00A1763D"/>
    <w:rsid w:val="00A17CEC"/>
    <w:rsid w:val="00A27EF0"/>
    <w:rsid w:val="00A42361"/>
    <w:rsid w:val="00A441E7"/>
    <w:rsid w:val="00A50B20"/>
    <w:rsid w:val="00A51390"/>
    <w:rsid w:val="00A544C6"/>
    <w:rsid w:val="00A60D13"/>
    <w:rsid w:val="00A65D5D"/>
    <w:rsid w:val="00A72745"/>
    <w:rsid w:val="00A76EFC"/>
    <w:rsid w:val="00A9009B"/>
    <w:rsid w:val="00A91010"/>
    <w:rsid w:val="00A9161D"/>
    <w:rsid w:val="00A97F29"/>
    <w:rsid w:val="00AA6A3A"/>
    <w:rsid w:val="00AA702E"/>
    <w:rsid w:val="00AB0964"/>
    <w:rsid w:val="00AB5011"/>
    <w:rsid w:val="00AB7AE8"/>
    <w:rsid w:val="00AC2647"/>
    <w:rsid w:val="00AC485B"/>
    <w:rsid w:val="00AC4CB3"/>
    <w:rsid w:val="00AC7368"/>
    <w:rsid w:val="00AD16B9"/>
    <w:rsid w:val="00AE377D"/>
    <w:rsid w:val="00AF0EBA"/>
    <w:rsid w:val="00B02C8A"/>
    <w:rsid w:val="00B17FBD"/>
    <w:rsid w:val="00B315A6"/>
    <w:rsid w:val="00B31813"/>
    <w:rsid w:val="00B33365"/>
    <w:rsid w:val="00B54100"/>
    <w:rsid w:val="00B57B36"/>
    <w:rsid w:val="00B57E6F"/>
    <w:rsid w:val="00B64041"/>
    <w:rsid w:val="00B8686D"/>
    <w:rsid w:val="00B93F69"/>
    <w:rsid w:val="00B95455"/>
    <w:rsid w:val="00B96A5E"/>
    <w:rsid w:val="00BB1DDC"/>
    <w:rsid w:val="00BB74D7"/>
    <w:rsid w:val="00BC151F"/>
    <w:rsid w:val="00BC30C9"/>
    <w:rsid w:val="00BD077D"/>
    <w:rsid w:val="00BE3E58"/>
    <w:rsid w:val="00BF24A6"/>
    <w:rsid w:val="00C01616"/>
    <w:rsid w:val="00C0162B"/>
    <w:rsid w:val="00C068ED"/>
    <w:rsid w:val="00C22E0C"/>
    <w:rsid w:val="00C274B4"/>
    <w:rsid w:val="00C345B1"/>
    <w:rsid w:val="00C34B8D"/>
    <w:rsid w:val="00C40142"/>
    <w:rsid w:val="00C466BD"/>
    <w:rsid w:val="00C52C3C"/>
    <w:rsid w:val="00C57182"/>
    <w:rsid w:val="00C57863"/>
    <w:rsid w:val="00C655FD"/>
    <w:rsid w:val="00C75407"/>
    <w:rsid w:val="00C870A8"/>
    <w:rsid w:val="00C94434"/>
    <w:rsid w:val="00CA0B64"/>
    <w:rsid w:val="00CA0D75"/>
    <w:rsid w:val="00CA1C95"/>
    <w:rsid w:val="00CA5A9C"/>
    <w:rsid w:val="00CA7ED2"/>
    <w:rsid w:val="00CC4C20"/>
    <w:rsid w:val="00CC649F"/>
    <w:rsid w:val="00CD018D"/>
    <w:rsid w:val="00CD3517"/>
    <w:rsid w:val="00CD5FE2"/>
    <w:rsid w:val="00CE7C68"/>
    <w:rsid w:val="00CF66AD"/>
    <w:rsid w:val="00D02B4C"/>
    <w:rsid w:val="00D040C4"/>
    <w:rsid w:val="00D11D17"/>
    <w:rsid w:val="00D12CED"/>
    <w:rsid w:val="00D228D1"/>
    <w:rsid w:val="00D27002"/>
    <w:rsid w:val="00D46B7E"/>
    <w:rsid w:val="00D51B1A"/>
    <w:rsid w:val="00D57C84"/>
    <w:rsid w:val="00D6057D"/>
    <w:rsid w:val="00D71640"/>
    <w:rsid w:val="00D75ACB"/>
    <w:rsid w:val="00D836C5"/>
    <w:rsid w:val="00D84576"/>
    <w:rsid w:val="00D86CB4"/>
    <w:rsid w:val="00DA1399"/>
    <w:rsid w:val="00DA24C6"/>
    <w:rsid w:val="00DA4D7B"/>
    <w:rsid w:val="00DB4D00"/>
    <w:rsid w:val="00DD0BD1"/>
    <w:rsid w:val="00DD2972"/>
    <w:rsid w:val="00DD4972"/>
    <w:rsid w:val="00DE1502"/>
    <w:rsid w:val="00DE21B2"/>
    <w:rsid w:val="00DE264A"/>
    <w:rsid w:val="00DF10B9"/>
    <w:rsid w:val="00DF4028"/>
    <w:rsid w:val="00DF5072"/>
    <w:rsid w:val="00E02D18"/>
    <w:rsid w:val="00E041E7"/>
    <w:rsid w:val="00E15D2E"/>
    <w:rsid w:val="00E23CA1"/>
    <w:rsid w:val="00E33E1D"/>
    <w:rsid w:val="00E409A8"/>
    <w:rsid w:val="00E50C12"/>
    <w:rsid w:val="00E51ADD"/>
    <w:rsid w:val="00E52024"/>
    <w:rsid w:val="00E547FE"/>
    <w:rsid w:val="00E56CD4"/>
    <w:rsid w:val="00E65B91"/>
    <w:rsid w:val="00E7209D"/>
    <w:rsid w:val="00E72EAD"/>
    <w:rsid w:val="00E77223"/>
    <w:rsid w:val="00E843C7"/>
    <w:rsid w:val="00E8528B"/>
    <w:rsid w:val="00E85B94"/>
    <w:rsid w:val="00E95FDF"/>
    <w:rsid w:val="00E978D0"/>
    <w:rsid w:val="00EA4613"/>
    <w:rsid w:val="00EA47E4"/>
    <w:rsid w:val="00EA7F91"/>
    <w:rsid w:val="00EB1523"/>
    <w:rsid w:val="00EC0E49"/>
    <w:rsid w:val="00EC101F"/>
    <w:rsid w:val="00EC1D9F"/>
    <w:rsid w:val="00EE0131"/>
    <w:rsid w:val="00EE17B0"/>
    <w:rsid w:val="00EF0416"/>
    <w:rsid w:val="00EF06D9"/>
    <w:rsid w:val="00EF4957"/>
    <w:rsid w:val="00F042A8"/>
    <w:rsid w:val="00F15779"/>
    <w:rsid w:val="00F15CDB"/>
    <w:rsid w:val="00F216C2"/>
    <w:rsid w:val="00F23EAA"/>
    <w:rsid w:val="00F27711"/>
    <w:rsid w:val="00F30C64"/>
    <w:rsid w:val="00F30DF5"/>
    <w:rsid w:val="00F32BA2"/>
    <w:rsid w:val="00F32CDB"/>
    <w:rsid w:val="00F463BE"/>
    <w:rsid w:val="00F565FE"/>
    <w:rsid w:val="00F63A70"/>
    <w:rsid w:val="00F7534E"/>
    <w:rsid w:val="00F80057"/>
    <w:rsid w:val="00F91F13"/>
    <w:rsid w:val="00FA1802"/>
    <w:rsid w:val="00FA21D0"/>
    <w:rsid w:val="00FA4E38"/>
    <w:rsid w:val="00FA5F5F"/>
    <w:rsid w:val="00FB730C"/>
    <w:rsid w:val="00FC2695"/>
    <w:rsid w:val="00FC3E03"/>
    <w:rsid w:val="00FC3FC1"/>
    <w:rsid w:val="00FD0B82"/>
    <w:rsid w:val="00FD2013"/>
    <w:rsid w:val="00FE50C6"/>
    <w:rsid w:val="00FE648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B09FD240A18A40965E9D3F7ECC26B9" ma:contentTypeVersion="14" ma:contentTypeDescription="Create a new document." ma:contentTypeScope="" ma:versionID="705a7e81fdcd3eaae79b149d86aedac1">
  <xsd:schema xmlns:xsd="http://www.w3.org/2001/XMLSchema" xmlns:xs="http://www.w3.org/2001/XMLSchema" xmlns:p="http://schemas.microsoft.com/office/2006/metadata/properties" xmlns:ns3="66d3ed95-6f03-4549-9fea-a6c23b46ec04" xmlns:ns4="76bddbfe-c7f2-4d2a-ab9f-e7542d2d96c0" targetNamespace="http://schemas.microsoft.com/office/2006/metadata/properties" ma:root="true" ma:fieldsID="3791376734ed51809998378c4a226a53" ns3:_="" ns4:_="">
    <xsd:import namespace="66d3ed95-6f03-4549-9fea-a6c23b46ec04"/>
    <xsd:import namespace="76bddbfe-c7f2-4d2a-ab9f-e7542d2d96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3ed95-6f03-4549-9fea-a6c23b46e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ddbfe-c7f2-4d2a-ab9f-e7542d2d96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9F13-68F7-4B56-933B-8BFAC82B2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3ed95-6f03-4549-9fea-a6c23b46ec04"/>
    <ds:schemaRef ds:uri="76bddbfe-c7f2-4d2a-ab9f-e7542d2d9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EF373-6AAF-49F8-8464-91779320BC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F78906-AC61-409E-9A9C-263CC43D20A7}">
  <ds:schemaRefs>
    <ds:schemaRef ds:uri="http://schemas.microsoft.com/sharepoint/v3/contenttype/forms"/>
  </ds:schemaRefs>
</ds:datastoreItem>
</file>

<file path=customXml/itemProps4.xml><?xml version="1.0" encoding="utf-8"?>
<ds:datastoreItem xmlns:ds="http://schemas.openxmlformats.org/officeDocument/2006/customXml" ds:itemID="{02C18112-7DF6-4F1C-9BCF-7A88ABD5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2414</Words>
  <Characters>19560</Characters>
  <Application>Microsoft Office Word</Application>
  <DocSecurity>0</DocSecurity>
  <Lines>163</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Kurkela Esa</cp:lastModifiedBy>
  <cp:revision>3</cp:revision>
  <cp:lastPrinted>2022-01-15T18:06:00Z</cp:lastPrinted>
  <dcterms:created xsi:type="dcterms:W3CDTF">2022-03-24T14:29:00Z</dcterms:created>
  <dcterms:modified xsi:type="dcterms:W3CDTF">2022-03-24T15:16:00Z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0x01010050B09FD240A18A40965E9D3F7ECC26B9</vt:lpwstr>
  </property>
</Properties>
</file>