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8924EF"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8924EF" w:rsidRDefault="000A03B2" w:rsidP="00DE264A">
            <w:pPr>
              <w:tabs>
                <w:tab w:val="left" w:pos="-108"/>
              </w:tabs>
              <w:ind w:left="-108"/>
              <w:jc w:val="left"/>
              <w:rPr>
                <w:rFonts w:cs="Arial"/>
                <w:b/>
                <w:bCs/>
                <w:i/>
                <w:iCs/>
                <w:color w:val="000066"/>
                <w:sz w:val="12"/>
                <w:szCs w:val="12"/>
                <w:lang w:eastAsia="it-IT"/>
              </w:rPr>
            </w:pPr>
            <w:bookmarkStart w:id="0" w:name="_GoBack"/>
            <w:bookmarkEnd w:id="0"/>
            <w:r w:rsidRPr="008924EF">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8924EF">
              <w:rPr>
                <w:rFonts w:ascii="AdvP6960" w:hAnsi="AdvP6960" w:cs="AdvP6960"/>
                <w:color w:val="241F20"/>
                <w:szCs w:val="18"/>
                <w:lang w:eastAsia="it-IT"/>
              </w:rPr>
              <w:t xml:space="preserve"> </w:t>
            </w:r>
            <w:r w:rsidRPr="008924EF">
              <w:rPr>
                <w:rFonts w:cs="Arial"/>
                <w:b/>
                <w:bCs/>
                <w:i/>
                <w:iCs/>
                <w:color w:val="000066"/>
                <w:sz w:val="24"/>
                <w:szCs w:val="24"/>
                <w:lang w:eastAsia="it-IT"/>
              </w:rPr>
              <w:t>CHEMICAL ENGINEERING</w:t>
            </w:r>
            <w:r w:rsidRPr="008924EF">
              <w:rPr>
                <w:rFonts w:cs="Arial"/>
                <w:b/>
                <w:bCs/>
                <w:i/>
                <w:iCs/>
                <w:color w:val="0033FF"/>
                <w:sz w:val="24"/>
                <w:szCs w:val="24"/>
                <w:lang w:eastAsia="it-IT"/>
              </w:rPr>
              <w:t xml:space="preserve"> </w:t>
            </w:r>
            <w:r w:rsidRPr="008924EF">
              <w:rPr>
                <w:rFonts w:cs="Arial"/>
                <w:b/>
                <w:bCs/>
                <w:i/>
                <w:iCs/>
                <w:color w:val="666666"/>
                <w:sz w:val="24"/>
                <w:szCs w:val="24"/>
                <w:lang w:eastAsia="it-IT"/>
              </w:rPr>
              <w:t>TRANSACTIONS</w:t>
            </w:r>
            <w:r w:rsidRPr="008924EF">
              <w:rPr>
                <w:color w:val="333333"/>
                <w:sz w:val="24"/>
                <w:szCs w:val="24"/>
                <w:lang w:eastAsia="it-IT"/>
              </w:rPr>
              <w:t xml:space="preserve"> </w:t>
            </w:r>
            <w:r w:rsidRPr="008924EF">
              <w:rPr>
                <w:rFonts w:cs="Arial"/>
                <w:b/>
                <w:bCs/>
                <w:i/>
                <w:iCs/>
                <w:color w:val="000066"/>
                <w:sz w:val="27"/>
                <w:szCs w:val="27"/>
                <w:lang w:eastAsia="it-IT"/>
              </w:rPr>
              <w:br/>
            </w:r>
          </w:p>
          <w:p w14:paraId="4B780582" w14:textId="65D5BBBB" w:rsidR="000A03B2" w:rsidRPr="008924EF" w:rsidRDefault="00A76EFC" w:rsidP="001D21AF">
            <w:pPr>
              <w:tabs>
                <w:tab w:val="left" w:pos="-108"/>
              </w:tabs>
              <w:ind w:left="-108"/>
              <w:rPr>
                <w:rFonts w:cs="Arial"/>
                <w:b/>
                <w:bCs/>
                <w:i/>
                <w:iCs/>
                <w:color w:val="000066"/>
                <w:sz w:val="22"/>
                <w:szCs w:val="22"/>
                <w:lang w:eastAsia="it-IT"/>
              </w:rPr>
            </w:pPr>
            <w:r w:rsidRPr="008924EF">
              <w:rPr>
                <w:rFonts w:cs="Arial"/>
                <w:b/>
                <w:bCs/>
                <w:i/>
                <w:iCs/>
                <w:color w:val="000066"/>
                <w:sz w:val="22"/>
                <w:szCs w:val="22"/>
                <w:lang w:eastAsia="it-IT"/>
              </w:rPr>
              <w:t xml:space="preserve">VOL. </w:t>
            </w:r>
            <w:r w:rsidR="00D46B7E" w:rsidRPr="008924EF">
              <w:rPr>
                <w:rFonts w:cs="Arial"/>
                <w:b/>
                <w:bCs/>
                <w:i/>
                <w:iCs/>
                <w:color w:val="000066"/>
                <w:sz w:val="22"/>
                <w:szCs w:val="22"/>
                <w:lang w:eastAsia="it-IT"/>
              </w:rPr>
              <w:t>9</w:t>
            </w:r>
            <w:r w:rsidR="001D21AF" w:rsidRPr="008924EF">
              <w:rPr>
                <w:rFonts w:cs="Arial"/>
                <w:b/>
                <w:bCs/>
                <w:i/>
                <w:iCs/>
                <w:color w:val="000066"/>
                <w:sz w:val="22"/>
                <w:szCs w:val="22"/>
                <w:lang w:eastAsia="it-IT"/>
              </w:rPr>
              <w:t>2</w:t>
            </w:r>
            <w:r w:rsidR="007B48F9" w:rsidRPr="008924EF">
              <w:rPr>
                <w:rFonts w:cs="Arial"/>
                <w:b/>
                <w:bCs/>
                <w:i/>
                <w:iCs/>
                <w:color w:val="000066"/>
                <w:sz w:val="22"/>
                <w:szCs w:val="22"/>
                <w:lang w:eastAsia="it-IT"/>
              </w:rPr>
              <w:t>,</w:t>
            </w:r>
            <w:r w:rsidR="00FA5F5F" w:rsidRPr="008924EF">
              <w:rPr>
                <w:rFonts w:cs="Arial"/>
                <w:b/>
                <w:bCs/>
                <w:i/>
                <w:iCs/>
                <w:color w:val="000066"/>
                <w:sz w:val="22"/>
                <w:szCs w:val="22"/>
                <w:lang w:eastAsia="it-IT"/>
              </w:rPr>
              <w:t xml:space="preserve"> 20</w:t>
            </w:r>
            <w:r w:rsidR="00DF5072" w:rsidRPr="008924EF">
              <w:rPr>
                <w:rFonts w:cs="Arial"/>
                <w:b/>
                <w:bCs/>
                <w:i/>
                <w:iCs/>
                <w:color w:val="000066"/>
                <w:sz w:val="22"/>
                <w:szCs w:val="22"/>
                <w:lang w:eastAsia="it-IT"/>
              </w:rPr>
              <w:t>2</w:t>
            </w:r>
            <w:r w:rsidR="007B48F9" w:rsidRPr="008924EF">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8924EF" w:rsidRDefault="000A03B2" w:rsidP="00CD5FE2">
            <w:pPr>
              <w:spacing w:line="140" w:lineRule="atLeast"/>
              <w:jc w:val="right"/>
              <w:rPr>
                <w:rFonts w:cs="Arial"/>
                <w:sz w:val="14"/>
                <w:szCs w:val="14"/>
              </w:rPr>
            </w:pPr>
            <w:r w:rsidRPr="008924EF">
              <w:rPr>
                <w:rFonts w:cs="Arial"/>
                <w:sz w:val="14"/>
                <w:szCs w:val="14"/>
              </w:rPr>
              <w:t>A publication of</w:t>
            </w:r>
          </w:p>
          <w:p w14:paraId="599E5441" w14:textId="77777777" w:rsidR="000A03B2" w:rsidRPr="008924EF" w:rsidRDefault="000A03B2" w:rsidP="00CD5FE2">
            <w:pPr>
              <w:jc w:val="right"/>
            </w:pPr>
            <w:r w:rsidRPr="008924EF">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8924EF" w14:paraId="380FA3CD" w14:textId="77777777" w:rsidTr="00DE264A">
        <w:trPr>
          <w:trHeight w:val="567"/>
          <w:jc w:val="center"/>
        </w:trPr>
        <w:tc>
          <w:tcPr>
            <w:tcW w:w="6946" w:type="dxa"/>
            <w:vMerge/>
            <w:tcBorders>
              <w:right w:val="single" w:sz="4" w:space="0" w:color="auto"/>
            </w:tcBorders>
          </w:tcPr>
          <w:p w14:paraId="39E5E4C1" w14:textId="77777777" w:rsidR="000A03B2" w:rsidRPr="008924EF"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8924EF" w:rsidRDefault="000A03B2" w:rsidP="00CD5FE2">
            <w:pPr>
              <w:spacing w:line="140" w:lineRule="atLeast"/>
              <w:jc w:val="right"/>
              <w:rPr>
                <w:rFonts w:cs="Arial"/>
                <w:sz w:val="14"/>
                <w:szCs w:val="14"/>
              </w:rPr>
            </w:pPr>
            <w:r w:rsidRPr="008924EF">
              <w:rPr>
                <w:rFonts w:cs="Arial"/>
                <w:sz w:val="14"/>
                <w:szCs w:val="14"/>
              </w:rPr>
              <w:t>The Italian Association</w:t>
            </w:r>
          </w:p>
          <w:p w14:paraId="7522B1D2" w14:textId="77777777" w:rsidR="000A03B2" w:rsidRPr="008924EF" w:rsidRDefault="000A03B2" w:rsidP="00CD5FE2">
            <w:pPr>
              <w:spacing w:line="140" w:lineRule="atLeast"/>
              <w:jc w:val="right"/>
              <w:rPr>
                <w:rFonts w:cs="Arial"/>
                <w:sz w:val="14"/>
                <w:szCs w:val="14"/>
              </w:rPr>
            </w:pPr>
            <w:r w:rsidRPr="008924EF">
              <w:rPr>
                <w:rFonts w:cs="Arial"/>
                <w:sz w:val="14"/>
                <w:szCs w:val="14"/>
              </w:rPr>
              <w:t>of Chemical Engineering</w:t>
            </w:r>
          </w:p>
          <w:p w14:paraId="4F0CC5DE" w14:textId="47FDB2FC" w:rsidR="000A03B2" w:rsidRPr="008924EF" w:rsidRDefault="000D0268" w:rsidP="00CD5FE2">
            <w:pPr>
              <w:spacing w:line="140" w:lineRule="atLeast"/>
              <w:jc w:val="right"/>
              <w:rPr>
                <w:rFonts w:cs="Arial"/>
                <w:sz w:val="13"/>
                <w:szCs w:val="13"/>
              </w:rPr>
            </w:pPr>
            <w:r w:rsidRPr="008924EF">
              <w:rPr>
                <w:rFonts w:cs="Arial"/>
                <w:sz w:val="13"/>
                <w:szCs w:val="13"/>
              </w:rPr>
              <w:t>Online at www.cetjournal.it</w:t>
            </w:r>
          </w:p>
        </w:tc>
      </w:tr>
      <w:tr w:rsidR="000A03B2" w:rsidRPr="008924EF" w14:paraId="2D1B7169" w14:textId="77777777" w:rsidTr="00DE264A">
        <w:trPr>
          <w:trHeight w:val="68"/>
          <w:jc w:val="center"/>
        </w:trPr>
        <w:tc>
          <w:tcPr>
            <w:tcW w:w="8789" w:type="dxa"/>
            <w:gridSpan w:val="2"/>
          </w:tcPr>
          <w:p w14:paraId="4B0BB442" w14:textId="14967F0F" w:rsidR="00300E56" w:rsidRPr="00AB7238" w:rsidRDefault="00300E56" w:rsidP="00B57E6F">
            <w:pPr>
              <w:ind w:left="-107"/>
              <w:outlineLvl w:val="2"/>
              <w:rPr>
                <w:rFonts w:ascii="Tahoma" w:hAnsi="Tahoma" w:cs="Tahoma"/>
                <w:bCs/>
                <w:color w:val="000000"/>
                <w:sz w:val="14"/>
                <w:szCs w:val="14"/>
                <w:lang w:val="it-IT" w:eastAsia="it-IT"/>
              </w:rPr>
            </w:pPr>
            <w:r w:rsidRPr="00AB7238">
              <w:rPr>
                <w:rFonts w:ascii="Tahoma" w:hAnsi="Tahoma" w:cs="Tahoma"/>
                <w:iCs/>
                <w:color w:val="333333"/>
                <w:sz w:val="14"/>
                <w:szCs w:val="14"/>
                <w:lang w:val="it-IT" w:eastAsia="it-IT"/>
              </w:rPr>
              <w:t>Guest Editors:</w:t>
            </w:r>
            <w:r w:rsidR="001D21AF" w:rsidRPr="00AB7238">
              <w:rPr>
                <w:rFonts w:ascii="Tahoma" w:hAnsi="Tahoma" w:cs="Tahoma"/>
                <w:color w:val="000000"/>
                <w:sz w:val="14"/>
                <w:szCs w:val="14"/>
                <w:shd w:val="clear" w:color="auto" w:fill="FFFFFF"/>
                <w:lang w:val="it-IT"/>
              </w:rPr>
              <w:t xml:space="preserve"> Rubens Maciel Filho</w:t>
            </w:r>
            <w:r w:rsidR="00964A45" w:rsidRPr="00AB7238">
              <w:rPr>
                <w:rFonts w:ascii="Tahoma" w:hAnsi="Tahoma" w:cs="Tahoma"/>
                <w:color w:val="000000"/>
                <w:sz w:val="14"/>
                <w:szCs w:val="14"/>
                <w:shd w:val="clear" w:color="auto" w:fill="FFFFFF"/>
                <w:lang w:val="it-IT"/>
              </w:rPr>
              <w:t>, Eliseo Ranzi, Leonardo Tognotti</w:t>
            </w:r>
          </w:p>
          <w:p w14:paraId="1B0F1814" w14:textId="4A78A049" w:rsidR="000A03B2" w:rsidRPr="008924EF" w:rsidRDefault="00FA5F5F" w:rsidP="001D21AF">
            <w:pPr>
              <w:tabs>
                <w:tab w:val="left" w:pos="-108"/>
              </w:tabs>
              <w:spacing w:line="140" w:lineRule="atLeast"/>
              <w:ind w:left="-107"/>
              <w:jc w:val="left"/>
            </w:pPr>
            <w:r w:rsidRPr="008924EF">
              <w:rPr>
                <w:rFonts w:ascii="Tahoma" w:hAnsi="Tahoma" w:cs="Tahoma"/>
                <w:iCs/>
                <w:color w:val="333333"/>
                <w:sz w:val="14"/>
                <w:szCs w:val="14"/>
                <w:lang w:eastAsia="it-IT"/>
              </w:rPr>
              <w:t>Copyright © 20</w:t>
            </w:r>
            <w:r w:rsidR="00DF5072" w:rsidRPr="008924EF">
              <w:rPr>
                <w:rFonts w:ascii="Tahoma" w:hAnsi="Tahoma" w:cs="Tahoma"/>
                <w:iCs/>
                <w:color w:val="333333"/>
                <w:sz w:val="14"/>
                <w:szCs w:val="14"/>
                <w:lang w:eastAsia="it-IT"/>
              </w:rPr>
              <w:t>2</w:t>
            </w:r>
            <w:r w:rsidR="00E72EAD" w:rsidRPr="008924EF">
              <w:rPr>
                <w:rFonts w:ascii="Tahoma" w:hAnsi="Tahoma" w:cs="Tahoma"/>
                <w:iCs/>
                <w:color w:val="333333"/>
                <w:sz w:val="14"/>
                <w:szCs w:val="14"/>
                <w:lang w:eastAsia="it-IT"/>
              </w:rPr>
              <w:t>2</w:t>
            </w:r>
            <w:r w:rsidR="00904C62" w:rsidRPr="008924EF">
              <w:rPr>
                <w:rFonts w:ascii="Tahoma" w:hAnsi="Tahoma" w:cs="Tahoma"/>
                <w:iCs/>
                <w:color w:val="333333"/>
                <w:sz w:val="14"/>
                <w:szCs w:val="14"/>
                <w:lang w:eastAsia="it-IT"/>
              </w:rPr>
              <w:t>, AIDIC Servizi S.r.l.</w:t>
            </w:r>
            <w:r w:rsidR="00300E56" w:rsidRPr="008924EF">
              <w:rPr>
                <w:rFonts w:ascii="Tahoma" w:hAnsi="Tahoma" w:cs="Tahoma"/>
                <w:iCs/>
                <w:color w:val="333333"/>
                <w:sz w:val="14"/>
                <w:szCs w:val="14"/>
                <w:lang w:eastAsia="it-IT"/>
              </w:rPr>
              <w:br/>
            </w:r>
            <w:r w:rsidR="00300E56" w:rsidRPr="008924EF">
              <w:rPr>
                <w:rFonts w:ascii="Tahoma" w:hAnsi="Tahoma" w:cs="Tahoma"/>
                <w:b/>
                <w:iCs/>
                <w:color w:val="000000"/>
                <w:sz w:val="14"/>
                <w:szCs w:val="14"/>
                <w:lang w:eastAsia="it-IT"/>
              </w:rPr>
              <w:t>ISBN</w:t>
            </w:r>
            <w:r w:rsidR="00300E56" w:rsidRPr="008924EF">
              <w:rPr>
                <w:rFonts w:ascii="Tahoma" w:hAnsi="Tahoma" w:cs="Tahoma"/>
                <w:iCs/>
                <w:color w:val="000000"/>
                <w:sz w:val="14"/>
                <w:szCs w:val="14"/>
                <w:lang w:eastAsia="it-IT"/>
              </w:rPr>
              <w:t xml:space="preserve"> </w:t>
            </w:r>
            <w:r w:rsidR="008D32B9" w:rsidRPr="008924EF">
              <w:rPr>
                <w:rFonts w:ascii="Tahoma" w:hAnsi="Tahoma" w:cs="Tahoma"/>
                <w:sz w:val="14"/>
                <w:szCs w:val="14"/>
              </w:rPr>
              <w:t>978-88-95608</w:t>
            </w:r>
            <w:r w:rsidR="00D46B7E" w:rsidRPr="008924EF">
              <w:rPr>
                <w:rFonts w:ascii="Tahoma" w:hAnsi="Tahoma" w:cs="Tahoma"/>
                <w:sz w:val="14"/>
                <w:szCs w:val="14"/>
              </w:rPr>
              <w:t>-</w:t>
            </w:r>
            <w:r w:rsidR="001D21AF" w:rsidRPr="008924EF">
              <w:rPr>
                <w:rFonts w:ascii="Tahoma" w:hAnsi="Tahoma" w:cs="Tahoma"/>
                <w:sz w:val="14"/>
                <w:szCs w:val="14"/>
              </w:rPr>
              <w:t>90</w:t>
            </w:r>
            <w:r w:rsidR="00D46B7E" w:rsidRPr="008924EF">
              <w:rPr>
                <w:rFonts w:ascii="Tahoma" w:hAnsi="Tahoma" w:cs="Tahoma"/>
                <w:sz w:val="14"/>
                <w:szCs w:val="14"/>
              </w:rPr>
              <w:t>-</w:t>
            </w:r>
            <w:r w:rsidR="001D21AF" w:rsidRPr="008924EF">
              <w:rPr>
                <w:rFonts w:ascii="Tahoma" w:hAnsi="Tahoma" w:cs="Tahoma"/>
                <w:sz w:val="14"/>
                <w:szCs w:val="14"/>
              </w:rPr>
              <w:t>7</w:t>
            </w:r>
            <w:r w:rsidR="007B48F9" w:rsidRPr="008924EF">
              <w:rPr>
                <w:rFonts w:ascii="Tahoma" w:hAnsi="Tahoma" w:cs="Tahoma"/>
                <w:iCs/>
                <w:color w:val="333333"/>
                <w:sz w:val="14"/>
                <w:szCs w:val="14"/>
                <w:lang w:eastAsia="it-IT"/>
              </w:rPr>
              <w:t>;</w:t>
            </w:r>
            <w:r w:rsidR="00300E56" w:rsidRPr="008924EF">
              <w:rPr>
                <w:rFonts w:ascii="Tahoma" w:hAnsi="Tahoma" w:cs="Tahoma"/>
                <w:iCs/>
                <w:color w:val="333333"/>
                <w:sz w:val="14"/>
                <w:szCs w:val="14"/>
                <w:lang w:eastAsia="it-IT"/>
              </w:rPr>
              <w:t xml:space="preserve"> </w:t>
            </w:r>
            <w:r w:rsidR="00300E56" w:rsidRPr="008924EF">
              <w:rPr>
                <w:rFonts w:ascii="Tahoma" w:hAnsi="Tahoma" w:cs="Tahoma"/>
                <w:b/>
                <w:iCs/>
                <w:color w:val="333333"/>
                <w:sz w:val="14"/>
                <w:szCs w:val="14"/>
                <w:lang w:eastAsia="it-IT"/>
              </w:rPr>
              <w:t>ISSN</w:t>
            </w:r>
            <w:r w:rsidR="00300E56" w:rsidRPr="008924EF">
              <w:rPr>
                <w:rFonts w:ascii="Tahoma" w:hAnsi="Tahoma" w:cs="Tahoma"/>
                <w:iCs/>
                <w:color w:val="333333"/>
                <w:sz w:val="14"/>
                <w:szCs w:val="14"/>
                <w:lang w:eastAsia="it-IT"/>
              </w:rPr>
              <w:t xml:space="preserve"> 2283-9216</w:t>
            </w:r>
          </w:p>
        </w:tc>
      </w:tr>
    </w:tbl>
    <w:p w14:paraId="10DAA130" w14:textId="77777777" w:rsidR="000A03B2" w:rsidRPr="008924EF" w:rsidRDefault="000A03B2" w:rsidP="000A03B2">
      <w:pPr>
        <w:pStyle w:val="CETAuthors"/>
        <w:rPr>
          <w:noProof w:val="0"/>
        </w:rPr>
        <w:sectPr w:rsidR="000A03B2" w:rsidRPr="008924EF" w:rsidSect="00CD5FE2">
          <w:type w:val="continuous"/>
          <w:pgSz w:w="11906" w:h="16838" w:code="9"/>
          <w:pgMar w:top="1701" w:right="1418" w:bottom="1701" w:left="1701" w:header="1701" w:footer="0" w:gutter="0"/>
          <w:cols w:space="708"/>
          <w:titlePg/>
          <w:docGrid w:linePitch="360"/>
        </w:sectPr>
      </w:pPr>
    </w:p>
    <w:p w14:paraId="2E667253" w14:textId="7856831B" w:rsidR="00E978D0" w:rsidRPr="008924EF" w:rsidRDefault="005B6B06" w:rsidP="00E978D0">
      <w:pPr>
        <w:pStyle w:val="CETTitle"/>
      </w:pPr>
      <w:r w:rsidRPr="008924EF">
        <w:t>Mixing in Biogas Fermenters: Experimental Characterization of a Scale-Down Geometry</w:t>
      </w:r>
    </w:p>
    <w:p w14:paraId="0488FED2" w14:textId="754575CF" w:rsidR="00B57E6F" w:rsidRPr="00AB7238" w:rsidRDefault="005B6B06" w:rsidP="00B57E6F">
      <w:pPr>
        <w:pStyle w:val="CETAuthors"/>
        <w:rPr>
          <w:noProof w:val="0"/>
          <w:lang w:val="it-IT"/>
        </w:rPr>
      </w:pPr>
      <w:r w:rsidRPr="00AB7238">
        <w:rPr>
          <w:noProof w:val="0"/>
          <w:lang w:val="it-IT"/>
        </w:rPr>
        <w:t>Federico Alberini</w:t>
      </w:r>
      <w:r w:rsidR="00B57E6F" w:rsidRPr="00AB7238">
        <w:rPr>
          <w:noProof w:val="0"/>
          <w:lang w:val="it-IT"/>
        </w:rPr>
        <w:t xml:space="preserve">, </w:t>
      </w:r>
      <w:r w:rsidRPr="00AB7238">
        <w:rPr>
          <w:noProof w:val="0"/>
          <w:lang w:val="it-IT"/>
        </w:rPr>
        <w:t xml:space="preserve">Francesco Maluta, </w:t>
      </w:r>
      <w:r w:rsidR="0015322E" w:rsidRPr="00AB7238">
        <w:rPr>
          <w:noProof w:val="0"/>
          <w:lang w:val="it-IT"/>
        </w:rPr>
        <w:t xml:space="preserve">Alessandro Paglianti, </w:t>
      </w:r>
      <w:r w:rsidRPr="00AB7238">
        <w:rPr>
          <w:noProof w:val="0"/>
          <w:lang w:val="it-IT"/>
        </w:rPr>
        <w:t>Giuseppina Montante</w:t>
      </w:r>
      <w:r w:rsidR="0015322E" w:rsidRPr="00AB7238">
        <w:rPr>
          <w:noProof w:val="0"/>
          <w:lang w:val="it-IT"/>
        </w:rPr>
        <w:t>*</w:t>
      </w:r>
    </w:p>
    <w:p w14:paraId="6B2D21B3" w14:textId="6E99F1F8" w:rsidR="00B57E6F" w:rsidRPr="008B1678" w:rsidRDefault="005B6B06" w:rsidP="00B57E6F">
      <w:pPr>
        <w:pStyle w:val="CETAddress"/>
        <w:rPr>
          <w:noProof w:val="0"/>
          <w:lang w:val="it-IT"/>
        </w:rPr>
      </w:pPr>
      <w:r w:rsidRPr="008B1678">
        <w:rPr>
          <w:noProof w:val="0"/>
          <w:lang w:val="it-IT"/>
        </w:rPr>
        <w:t>Department of Industrial Chemistry “Toso Montanari”, Laboratory of Applied Fluid Dynamics and Mixing - Alma Mater Studiorum – Università di Bologna, via Terracini 34, 40131 Bologna, Italy</w:t>
      </w:r>
    </w:p>
    <w:p w14:paraId="73F1267A" w14:textId="71F80C26" w:rsidR="00B57E6F" w:rsidRPr="008924EF" w:rsidRDefault="003A575B" w:rsidP="00B57E6F">
      <w:pPr>
        <w:pStyle w:val="CETemail"/>
        <w:rPr>
          <w:noProof w:val="0"/>
        </w:rPr>
      </w:pPr>
      <w:r w:rsidRPr="008924EF">
        <w:rPr>
          <w:noProof w:val="0"/>
        </w:rPr>
        <w:t>giuseppina.montante</w:t>
      </w:r>
      <w:r w:rsidR="00B57E6F" w:rsidRPr="008924EF">
        <w:rPr>
          <w:noProof w:val="0"/>
        </w:rPr>
        <w:t>@</w:t>
      </w:r>
      <w:r w:rsidRPr="008924EF">
        <w:rPr>
          <w:noProof w:val="0"/>
        </w:rPr>
        <w:t>unibo.it</w:t>
      </w:r>
      <w:r w:rsidR="00B57E6F" w:rsidRPr="008924EF">
        <w:rPr>
          <w:noProof w:val="0"/>
        </w:rPr>
        <w:t xml:space="preserve"> </w:t>
      </w:r>
    </w:p>
    <w:p w14:paraId="32EA2E2D" w14:textId="647F4F42" w:rsidR="003653AA" w:rsidRPr="008924EF" w:rsidRDefault="003653AA" w:rsidP="003653AA">
      <w:pPr>
        <w:pStyle w:val="CETBodytext"/>
        <w:rPr>
          <w:lang w:val="en-GB"/>
        </w:rPr>
      </w:pPr>
      <w:r w:rsidRPr="008924EF">
        <w:rPr>
          <w:lang w:val="en-GB"/>
        </w:rPr>
        <w:t>In this work, the fluid dynamics features of a</w:t>
      </w:r>
      <w:r w:rsidR="007F5513" w:rsidRPr="008924EF">
        <w:rPr>
          <w:lang w:val="en-GB"/>
        </w:rPr>
        <w:t xml:space="preserve"> real industrial configuration of a </w:t>
      </w:r>
      <w:r w:rsidRPr="008924EF">
        <w:rPr>
          <w:lang w:val="en-GB"/>
        </w:rPr>
        <w:t>biogas fermenter, which consists in a cylindrical tank stirred with three top-entering shafts with multiple impellers</w:t>
      </w:r>
      <w:r w:rsidR="007F5513" w:rsidRPr="008924EF">
        <w:rPr>
          <w:lang w:val="en-GB"/>
        </w:rPr>
        <w:t>,</w:t>
      </w:r>
      <w:r w:rsidRPr="008924EF">
        <w:rPr>
          <w:lang w:val="en-GB"/>
        </w:rPr>
        <w:t xml:space="preserve"> </w:t>
      </w:r>
      <w:r w:rsidR="007F5513" w:rsidRPr="008924EF">
        <w:rPr>
          <w:lang w:val="en-GB"/>
        </w:rPr>
        <w:t>are</w:t>
      </w:r>
      <w:r w:rsidRPr="008924EF">
        <w:rPr>
          <w:lang w:val="en-GB"/>
        </w:rPr>
        <w:t xml:space="preserve"> investigated. </w:t>
      </w:r>
      <w:r w:rsidR="00DD69CF" w:rsidRPr="008924EF">
        <w:rPr>
          <w:lang w:val="en-GB"/>
        </w:rPr>
        <w:t>The analysis is based on the experimental characterization of a laboratory model digester of 0.49</w:t>
      </w:r>
      <w:r w:rsidR="007F5513" w:rsidRPr="008924EF">
        <w:rPr>
          <w:lang w:val="en-GB"/>
        </w:rPr>
        <w:t xml:space="preserve"> </w:t>
      </w:r>
      <w:r w:rsidR="00DD69CF" w:rsidRPr="00AB7238">
        <w:rPr>
          <w:lang w:val="en-GB"/>
        </w:rPr>
        <w:t xml:space="preserve">m in </w:t>
      </w:r>
      <w:r w:rsidR="007F5513" w:rsidRPr="00AB7238">
        <w:rPr>
          <w:lang w:val="en-GB"/>
        </w:rPr>
        <w:t>tank</w:t>
      </w:r>
      <w:r w:rsidR="007F5513" w:rsidRPr="008924EF">
        <w:rPr>
          <w:lang w:val="en-GB"/>
        </w:rPr>
        <w:t xml:space="preserve"> </w:t>
      </w:r>
      <w:r w:rsidR="00DD69CF" w:rsidRPr="008924EF">
        <w:rPr>
          <w:lang w:val="en-GB"/>
        </w:rPr>
        <w:t xml:space="preserve">diameter obtained from the scale-down based on the geometrical similarity criterion of a </w:t>
      </w:r>
      <w:r w:rsidRPr="008924EF">
        <w:rPr>
          <w:lang w:val="en-GB"/>
        </w:rPr>
        <w:t xml:space="preserve">full-scale </w:t>
      </w:r>
      <w:r w:rsidR="00DD69CF" w:rsidRPr="008924EF">
        <w:rPr>
          <w:lang w:val="en-GB"/>
        </w:rPr>
        <w:t>digester of diameter equal to 17</w:t>
      </w:r>
      <w:r w:rsidR="00FA79C5" w:rsidRPr="008924EF">
        <w:rPr>
          <w:lang w:val="en-GB"/>
        </w:rPr>
        <w:t xml:space="preserve"> </w:t>
      </w:r>
      <w:r w:rsidR="00DD69CF" w:rsidRPr="008924EF">
        <w:rPr>
          <w:lang w:val="en-GB"/>
        </w:rPr>
        <w:t>m</w:t>
      </w:r>
      <w:r w:rsidRPr="008924EF">
        <w:rPr>
          <w:lang w:val="en-GB"/>
        </w:rPr>
        <w:t xml:space="preserve">. The aim of the work is to </w:t>
      </w:r>
      <w:r w:rsidR="00DD69CF" w:rsidRPr="008924EF">
        <w:rPr>
          <w:lang w:val="en-GB"/>
        </w:rPr>
        <w:t>evaluate</w:t>
      </w:r>
      <w:r w:rsidRPr="008924EF">
        <w:rPr>
          <w:lang w:val="en-GB"/>
        </w:rPr>
        <w:t xml:space="preserve"> the appropriateness of the design for the requirements of the </w:t>
      </w:r>
      <w:r w:rsidR="00DD69CF" w:rsidRPr="008924EF">
        <w:rPr>
          <w:lang w:val="en-GB"/>
        </w:rPr>
        <w:t>biogas production process</w:t>
      </w:r>
      <w:r w:rsidRPr="008924EF">
        <w:rPr>
          <w:lang w:val="en-GB"/>
        </w:rPr>
        <w:t xml:space="preserve"> and to suggest possible improvements to the overall mixing operation. </w:t>
      </w:r>
    </w:p>
    <w:p w14:paraId="37A61FCE" w14:textId="36AF001A" w:rsidR="00DA24C6" w:rsidRPr="008924EF" w:rsidRDefault="003653AA" w:rsidP="003653AA">
      <w:pPr>
        <w:pStyle w:val="CETBodytext"/>
        <w:rPr>
          <w:lang w:val="en-GB"/>
        </w:rPr>
      </w:pPr>
      <w:r w:rsidRPr="008924EF">
        <w:rPr>
          <w:lang w:val="en-GB"/>
        </w:rPr>
        <w:t xml:space="preserve">The fluid dynamics investigation is carried out using either water or </w:t>
      </w:r>
      <w:r w:rsidR="00BA54EE" w:rsidRPr="008924EF">
        <w:rPr>
          <w:lang w:val="en-GB"/>
        </w:rPr>
        <w:t>an aqueous solution</w:t>
      </w:r>
      <w:r w:rsidRPr="008924EF">
        <w:rPr>
          <w:lang w:val="en-GB"/>
        </w:rPr>
        <w:t xml:space="preserve"> of </w:t>
      </w:r>
      <w:r w:rsidR="006672C6" w:rsidRPr="008924EF">
        <w:rPr>
          <w:lang w:val="en-GB"/>
        </w:rPr>
        <w:t>x</w:t>
      </w:r>
      <w:r w:rsidRPr="008924EF">
        <w:rPr>
          <w:lang w:val="en-GB"/>
        </w:rPr>
        <w:t xml:space="preserve">anthan </w:t>
      </w:r>
      <w:r w:rsidR="006672C6" w:rsidRPr="008924EF">
        <w:rPr>
          <w:lang w:val="en-GB"/>
        </w:rPr>
        <w:t>g</w:t>
      </w:r>
      <w:r w:rsidRPr="008924EF">
        <w:rPr>
          <w:lang w:val="en-GB"/>
        </w:rPr>
        <w:t xml:space="preserve">um, in order to assess the impact of the variation of the rheological properties at different impeller speeds and direction of rotation of the </w:t>
      </w:r>
      <w:r w:rsidR="00BA54EE" w:rsidRPr="008924EF">
        <w:rPr>
          <w:lang w:val="en-GB"/>
        </w:rPr>
        <w:t>impellers</w:t>
      </w:r>
      <w:r w:rsidRPr="008924EF">
        <w:rPr>
          <w:lang w:val="en-GB"/>
        </w:rPr>
        <w:t xml:space="preserve"> on the mixing features. </w:t>
      </w:r>
      <w:r w:rsidR="008614E4" w:rsidRPr="008924EF">
        <w:rPr>
          <w:lang w:val="en-GB"/>
        </w:rPr>
        <w:t>To this end,</w:t>
      </w:r>
      <w:r w:rsidR="006672C6" w:rsidRPr="008924EF">
        <w:rPr>
          <w:lang w:val="en-GB"/>
        </w:rPr>
        <w:t xml:space="preserve"> Particle Image Velocimetry</w:t>
      </w:r>
      <w:r w:rsidRPr="008924EF">
        <w:rPr>
          <w:lang w:val="en-GB"/>
        </w:rPr>
        <w:t xml:space="preserve"> </w:t>
      </w:r>
      <w:r w:rsidR="00FA79C5" w:rsidRPr="008924EF">
        <w:rPr>
          <w:lang w:val="en-GB"/>
        </w:rPr>
        <w:t xml:space="preserve">is </w:t>
      </w:r>
      <w:r w:rsidR="008614E4" w:rsidRPr="008924EF">
        <w:rPr>
          <w:lang w:val="en-GB"/>
        </w:rPr>
        <w:t>adopted</w:t>
      </w:r>
      <w:r w:rsidR="007B56B1" w:rsidRPr="008924EF">
        <w:rPr>
          <w:lang w:val="en-GB"/>
        </w:rPr>
        <w:t xml:space="preserve"> to obtain</w:t>
      </w:r>
      <w:r w:rsidRPr="008924EF">
        <w:rPr>
          <w:lang w:val="en-GB"/>
        </w:rPr>
        <w:t xml:space="preserve"> the velocity field</w:t>
      </w:r>
      <w:r w:rsidR="00C76E07" w:rsidRPr="008924EF">
        <w:rPr>
          <w:lang w:val="en-GB"/>
        </w:rPr>
        <w:t>s</w:t>
      </w:r>
      <w:r w:rsidRPr="008924EF">
        <w:rPr>
          <w:lang w:val="en-GB"/>
        </w:rPr>
        <w:t xml:space="preserve"> </w:t>
      </w:r>
      <w:r w:rsidR="00C76E07" w:rsidRPr="008924EF">
        <w:rPr>
          <w:lang w:val="en-GB"/>
        </w:rPr>
        <w:t xml:space="preserve">for the different </w:t>
      </w:r>
      <w:r w:rsidRPr="008924EF">
        <w:rPr>
          <w:lang w:val="en-GB"/>
        </w:rPr>
        <w:t>liquid pha</w:t>
      </w:r>
      <w:r w:rsidR="00C76E07" w:rsidRPr="008924EF">
        <w:rPr>
          <w:lang w:val="en-GB"/>
        </w:rPr>
        <w:t>s</w:t>
      </w:r>
      <w:r w:rsidRPr="008924EF">
        <w:rPr>
          <w:lang w:val="en-GB"/>
        </w:rPr>
        <w:t>e</w:t>
      </w:r>
      <w:r w:rsidR="00C76E07" w:rsidRPr="008924EF">
        <w:rPr>
          <w:lang w:val="en-GB"/>
        </w:rPr>
        <w:t>s</w:t>
      </w:r>
      <w:r w:rsidRPr="008924EF">
        <w:rPr>
          <w:lang w:val="en-GB"/>
        </w:rPr>
        <w:t>. The data analysis allows to identify possible critical fluid dynamics characteristics that may affect the fermentation, as for example the presence of stagnant zones, where sinking layers might be expected, thus explaining the failure of the biogas production often observed in the biogas production plant.</w:t>
      </w:r>
    </w:p>
    <w:p w14:paraId="476B2F2E" w14:textId="77777777" w:rsidR="00600535" w:rsidRPr="008924EF" w:rsidRDefault="00600535" w:rsidP="00600535">
      <w:pPr>
        <w:pStyle w:val="CETHeading1"/>
        <w:rPr>
          <w:lang w:val="en-GB"/>
        </w:rPr>
      </w:pPr>
      <w:r w:rsidRPr="008924EF">
        <w:rPr>
          <w:lang w:val="en-GB"/>
        </w:rPr>
        <w:t>Introduction</w:t>
      </w:r>
    </w:p>
    <w:p w14:paraId="1AED3853" w14:textId="2FB8956F" w:rsidR="00600535" w:rsidRPr="008924EF" w:rsidRDefault="00595BC2" w:rsidP="00595BC2">
      <w:pPr>
        <w:pStyle w:val="CETBodytext"/>
        <w:rPr>
          <w:lang w:val="en-GB"/>
        </w:rPr>
      </w:pPr>
      <w:r w:rsidRPr="008924EF">
        <w:rPr>
          <w:lang w:val="en-GB"/>
        </w:rPr>
        <w:t>The production of biogas from the fermentation of organics by anaerobic digestion is increasingly adopted in several countries. It already effectively contributes to the production of renewable energy and its development requires integration of different fields, going from biogas process to energy system modelling (Heike</w:t>
      </w:r>
      <w:r w:rsidR="00EC45F0" w:rsidRPr="008924EF">
        <w:rPr>
          <w:lang w:val="en-GB"/>
        </w:rPr>
        <w:t>r</w:t>
      </w:r>
      <w:r w:rsidRPr="008924EF">
        <w:rPr>
          <w:lang w:val="en-GB"/>
        </w:rPr>
        <w:t xml:space="preserve"> et al., 2021). </w:t>
      </w:r>
      <w:r w:rsidR="009718BC" w:rsidRPr="008924EF">
        <w:rPr>
          <w:lang w:val="en-GB"/>
        </w:rPr>
        <w:t>Among the c</w:t>
      </w:r>
      <w:r w:rsidRPr="008924EF">
        <w:rPr>
          <w:lang w:val="en-GB"/>
        </w:rPr>
        <w:t xml:space="preserve">hallenges in biogas process research, </w:t>
      </w:r>
      <w:r w:rsidR="009718BC" w:rsidRPr="008924EF">
        <w:rPr>
          <w:lang w:val="en-GB"/>
        </w:rPr>
        <w:t>the optimization</w:t>
      </w:r>
      <w:r w:rsidRPr="008924EF">
        <w:rPr>
          <w:lang w:val="en-GB"/>
        </w:rPr>
        <w:t xml:space="preserve"> of the mixing system</w:t>
      </w:r>
      <w:r w:rsidR="009718BC" w:rsidRPr="008924EF">
        <w:rPr>
          <w:lang w:val="en-GB"/>
        </w:rPr>
        <w:t xml:space="preserve"> and the reliability of scale-up </w:t>
      </w:r>
      <w:r w:rsidR="0061273D" w:rsidRPr="008924EF">
        <w:rPr>
          <w:lang w:val="en-GB"/>
        </w:rPr>
        <w:t xml:space="preserve">criteria </w:t>
      </w:r>
      <w:r w:rsidR="009718BC" w:rsidRPr="008924EF">
        <w:rPr>
          <w:lang w:val="en-GB"/>
        </w:rPr>
        <w:t xml:space="preserve">are </w:t>
      </w:r>
      <w:r w:rsidR="009025AB" w:rsidRPr="008924EF">
        <w:rPr>
          <w:lang w:val="en-GB"/>
        </w:rPr>
        <w:t>particularly important</w:t>
      </w:r>
      <w:r w:rsidR="009718BC" w:rsidRPr="008924EF">
        <w:rPr>
          <w:lang w:val="en-GB"/>
        </w:rPr>
        <w:t>, being t</w:t>
      </w:r>
      <w:r w:rsidRPr="008924EF">
        <w:rPr>
          <w:lang w:val="en-GB"/>
        </w:rPr>
        <w:t xml:space="preserve">he selection of the </w:t>
      </w:r>
      <w:r w:rsidR="0061273D" w:rsidRPr="008924EF">
        <w:rPr>
          <w:lang w:val="en-GB"/>
        </w:rPr>
        <w:t>agitation</w:t>
      </w:r>
      <w:r w:rsidRPr="008924EF">
        <w:rPr>
          <w:lang w:val="en-GB"/>
        </w:rPr>
        <w:t xml:space="preserve"> system and the </w:t>
      </w:r>
      <w:r w:rsidR="000954A5" w:rsidRPr="008924EF">
        <w:rPr>
          <w:lang w:val="en-GB"/>
        </w:rPr>
        <w:t>agitation rate</w:t>
      </w:r>
      <w:r w:rsidRPr="008924EF">
        <w:rPr>
          <w:lang w:val="en-GB"/>
        </w:rPr>
        <w:t xml:space="preserve"> critical to achieve high </w:t>
      </w:r>
      <w:r w:rsidR="000954A5" w:rsidRPr="008924EF">
        <w:rPr>
          <w:lang w:val="en-GB"/>
        </w:rPr>
        <w:t>production rate (Lebranchu et al., 2017)</w:t>
      </w:r>
      <w:r w:rsidRPr="008924EF">
        <w:rPr>
          <w:lang w:val="en-GB"/>
        </w:rPr>
        <w:t xml:space="preserve">. </w:t>
      </w:r>
      <w:r w:rsidR="009718BC" w:rsidRPr="008924EF">
        <w:rPr>
          <w:lang w:val="en-GB"/>
        </w:rPr>
        <w:t>T</w:t>
      </w:r>
      <w:r w:rsidRPr="008924EF">
        <w:rPr>
          <w:lang w:val="en-GB"/>
        </w:rPr>
        <w:t xml:space="preserve">he evolving rheology in the </w:t>
      </w:r>
      <w:r w:rsidR="009718BC" w:rsidRPr="008924EF">
        <w:rPr>
          <w:lang w:val="en-GB"/>
        </w:rPr>
        <w:t xml:space="preserve">fermenter and the sedimentation and flotation of the feedstock </w:t>
      </w:r>
      <w:r w:rsidR="009025AB" w:rsidRPr="008924EF">
        <w:rPr>
          <w:lang w:val="en-GB"/>
        </w:rPr>
        <w:t>pose</w:t>
      </w:r>
      <w:r w:rsidR="009718BC" w:rsidRPr="008924EF">
        <w:rPr>
          <w:lang w:val="en-GB"/>
        </w:rPr>
        <w:t xml:space="preserve"> additional issues that </w:t>
      </w:r>
      <w:r w:rsidR="009025AB" w:rsidRPr="008924EF">
        <w:rPr>
          <w:lang w:val="en-GB"/>
        </w:rPr>
        <w:t>must be tackled with appropriate</w:t>
      </w:r>
      <w:r w:rsidR="009718BC" w:rsidRPr="008924EF">
        <w:rPr>
          <w:lang w:val="en-GB"/>
        </w:rPr>
        <w:t xml:space="preserve"> mixing system design</w:t>
      </w:r>
      <w:r w:rsidR="00EC45F0" w:rsidRPr="008924EF">
        <w:rPr>
          <w:lang w:val="en-GB"/>
        </w:rPr>
        <w:t xml:space="preserve"> (Dapelo et al. 2015)</w:t>
      </w:r>
      <w:r w:rsidRPr="008924EF">
        <w:rPr>
          <w:lang w:val="en-GB"/>
        </w:rPr>
        <w:t>.</w:t>
      </w:r>
    </w:p>
    <w:p w14:paraId="68C5D92E" w14:textId="6AF954AC" w:rsidR="003A5985" w:rsidRPr="008924EF" w:rsidRDefault="00265364" w:rsidP="009718BC">
      <w:pPr>
        <w:pStyle w:val="CETBodytext"/>
        <w:rPr>
          <w:lang w:val="en-GB"/>
        </w:rPr>
      </w:pPr>
      <w:r w:rsidRPr="008924EF">
        <w:rPr>
          <w:lang w:val="en-GB"/>
        </w:rPr>
        <w:t>The optimization of the digester design</w:t>
      </w:r>
      <w:r w:rsidR="00C76E07" w:rsidRPr="008924EF">
        <w:rPr>
          <w:lang w:val="en-GB"/>
        </w:rPr>
        <w:t xml:space="preserve"> </w:t>
      </w:r>
      <w:r w:rsidRPr="008924EF">
        <w:rPr>
          <w:lang w:val="en-GB"/>
        </w:rPr>
        <w:t xml:space="preserve">and of the operating conditions is expected to improve </w:t>
      </w:r>
      <w:r w:rsidR="003A5985" w:rsidRPr="008924EF">
        <w:rPr>
          <w:lang w:val="en-GB"/>
        </w:rPr>
        <w:t xml:space="preserve">the overall performance and </w:t>
      </w:r>
      <w:r w:rsidRPr="008924EF">
        <w:rPr>
          <w:lang w:val="en-GB"/>
        </w:rPr>
        <w:t>to reduce</w:t>
      </w:r>
      <w:r w:rsidR="003A5985" w:rsidRPr="008924EF">
        <w:rPr>
          <w:lang w:val="en-GB"/>
        </w:rPr>
        <w:t xml:space="preserve"> </w:t>
      </w:r>
      <w:r w:rsidRPr="008924EF">
        <w:rPr>
          <w:lang w:val="en-GB"/>
        </w:rPr>
        <w:t>the</w:t>
      </w:r>
      <w:r w:rsidR="003A5985" w:rsidRPr="008924EF">
        <w:rPr>
          <w:lang w:val="en-GB"/>
        </w:rPr>
        <w:t xml:space="preserve"> energy requirements of </w:t>
      </w:r>
      <w:r w:rsidRPr="008924EF">
        <w:rPr>
          <w:lang w:val="en-GB"/>
        </w:rPr>
        <w:t>biogas production</w:t>
      </w:r>
      <w:r w:rsidR="003A5985" w:rsidRPr="008924EF">
        <w:rPr>
          <w:lang w:val="en-GB"/>
        </w:rPr>
        <w:t xml:space="preserve">, </w:t>
      </w:r>
      <w:r w:rsidRPr="008924EF">
        <w:rPr>
          <w:lang w:val="en-GB"/>
        </w:rPr>
        <w:t>being</w:t>
      </w:r>
      <w:r w:rsidR="003A5985" w:rsidRPr="008924EF">
        <w:rPr>
          <w:lang w:val="en-GB"/>
        </w:rPr>
        <w:t xml:space="preserve"> stirring responsible for up to 54% of the power consumption of current biogas plants (Kowalczyk et al., 2013). </w:t>
      </w:r>
      <w:r w:rsidR="00626F16" w:rsidRPr="008924EF">
        <w:rPr>
          <w:lang w:val="en-GB"/>
        </w:rPr>
        <w:t xml:space="preserve">Attainment of complete solid distribution (Kaparaju et al., 2008) and perfect mixing (Keshtkar et al., 2003) are often assumed for continuously stirred digesters, while strong variations always occur particularly at industrial scale. </w:t>
      </w:r>
      <w:r w:rsidR="003A5985" w:rsidRPr="008924EF">
        <w:rPr>
          <w:lang w:val="en-GB"/>
        </w:rPr>
        <w:t xml:space="preserve">The most common reactor types employed for wet fermentation are vertical stirred tanks provided with mechanical agitators (Weiland, 2010). Often, single or multiple stirrers </w:t>
      </w:r>
      <w:r w:rsidRPr="008924EF">
        <w:rPr>
          <w:lang w:val="en-GB"/>
        </w:rPr>
        <w:t>much smaller than the</w:t>
      </w:r>
      <w:r w:rsidR="003A5985" w:rsidRPr="008924EF">
        <w:rPr>
          <w:lang w:val="en-GB"/>
        </w:rPr>
        <w:t xml:space="preserve"> tank diameter are adopted for mixing unbaffled </w:t>
      </w:r>
      <w:r w:rsidRPr="008924EF">
        <w:rPr>
          <w:lang w:val="en-GB"/>
        </w:rPr>
        <w:t>tanks</w:t>
      </w:r>
      <w:r w:rsidR="003A5985" w:rsidRPr="008924EF">
        <w:rPr>
          <w:lang w:val="en-GB"/>
        </w:rPr>
        <w:t xml:space="preserve"> of low aspect ratio, that is an unconventional stirred tank configuration. </w:t>
      </w:r>
      <w:r w:rsidR="00A9192F" w:rsidRPr="00343E96">
        <w:rPr>
          <w:lang w:val="en-GB"/>
        </w:rPr>
        <w:t>Generally,</w:t>
      </w:r>
      <w:r w:rsidR="00C76E07" w:rsidRPr="00343E96">
        <w:rPr>
          <w:lang w:val="en-GB"/>
        </w:rPr>
        <w:t xml:space="preserve"> in the</w:t>
      </w:r>
      <w:r w:rsidR="00C76E07" w:rsidRPr="008924EF">
        <w:rPr>
          <w:lang w:val="en-GB"/>
        </w:rPr>
        <w:t xml:space="preserve"> literature</w:t>
      </w:r>
      <w:r w:rsidR="00511F5E" w:rsidRPr="008924EF">
        <w:rPr>
          <w:lang w:val="en-GB"/>
        </w:rPr>
        <w:t>,</w:t>
      </w:r>
      <w:r w:rsidR="0061273D" w:rsidRPr="008924EF">
        <w:rPr>
          <w:lang w:val="en-GB"/>
        </w:rPr>
        <w:t xml:space="preserve"> the local hydrodynamic characteristics of the digesters </w:t>
      </w:r>
      <w:r w:rsidR="00511F5E" w:rsidRPr="008924EF">
        <w:rPr>
          <w:lang w:val="en-GB"/>
        </w:rPr>
        <w:t xml:space="preserve">are </w:t>
      </w:r>
      <w:r w:rsidR="00626F16" w:rsidRPr="008924EF">
        <w:rPr>
          <w:lang w:val="en-GB"/>
        </w:rPr>
        <w:t>scarcely</w:t>
      </w:r>
      <w:r w:rsidR="0061273D" w:rsidRPr="008924EF">
        <w:rPr>
          <w:lang w:val="en-GB"/>
        </w:rPr>
        <w:t xml:space="preserve"> investigated </w:t>
      </w:r>
      <w:r w:rsidR="003C7B41" w:rsidRPr="008924EF">
        <w:rPr>
          <w:lang w:val="en-GB"/>
        </w:rPr>
        <w:t>by experimental methods</w:t>
      </w:r>
      <w:r w:rsidR="00E40BC6" w:rsidRPr="008924EF">
        <w:rPr>
          <w:lang w:val="en-GB"/>
        </w:rPr>
        <w:t xml:space="preserve"> (Montante and Paglianti, 2015)</w:t>
      </w:r>
      <w:r w:rsidR="00511F5E" w:rsidRPr="008924EF">
        <w:rPr>
          <w:lang w:val="en-GB"/>
        </w:rPr>
        <w:t>. Moreover,</w:t>
      </w:r>
      <w:r w:rsidR="0061273D" w:rsidRPr="008924EF">
        <w:rPr>
          <w:lang w:val="en-GB"/>
        </w:rPr>
        <w:t xml:space="preserve"> the knowledge on the fluid mixing o</w:t>
      </w:r>
      <w:r w:rsidR="008B1678">
        <w:rPr>
          <w:lang w:val="en-GB"/>
        </w:rPr>
        <w:t>f</w:t>
      </w:r>
      <w:r w:rsidR="0061273D" w:rsidRPr="008924EF">
        <w:rPr>
          <w:lang w:val="en-GB"/>
        </w:rPr>
        <w:t xml:space="preserve"> unconventional reactor geometries </w:t>
      </w:r>
      <w:r w:rsidR="00511F5E" w:rsidRPr="008924EF">
        <w:rPr>
          <w:lang w:val="en-GB"/>
        </w:rPr>
        <w:t xml:space="preserve">is </w:t>
      </w:r>
      <w:r w:rsidR="0061273D" w:rsidRPr="008924EF">
        <w:rPr>
          <w:lang w:val="en-GB"/>
        </w:rPr>
        <w:t>relatively scarce</w:t>
      </w:r>
      <w:r w:rsidR="00511F5E" w:rsidRPr="008924EF">
        <w:rPr>
          <w:lang w:val="en-GB"/>
        </w:rPr>
        <w:t xml:space="preserve">. Thus, </w:t>
      </w:r>
      <w:r w:rsidR="0061273D" w:rsidRPr="008924EF">
        <w:rPr>
          <w:lang w:val="en-GB"/>
        </w:rPr>
        <w:t>the hydro</w:t>
      </w:r>
      <w:r w:rsidR="00626F16" w:rsidRPr="008924EF">
        <w:rPr>
          <w:lang w:val="en-GB"/>
        </w:rPr>
        <w:t xml:space="preserve">dynamics characterization of </w:t>
      </w:r>
      <w:r w:rsidR="00511F5E" w:rsidRPr="008924EF">
        <w:rPr>
          <w:lang w:val="en-GB"/>
        </w:rPr>
        <w:t>a real</w:t>
      </w:r>
      <w:r w:rsidR="0061273D" w:rsidRPr="008924EF">
        <w:rPr>
          <w:lang w:val="en-GB"/>
        </w:rPr>
        <w:t xml:space="preserve"> digester de</w:t>
      </w:r>
      <w:r w:rsidR="00C76E07" w:rsidRPr="008924EF">
        <w:rPr>
          <w:lang w:val="en-GB"/>
        </w:rPr>
        <w:t>s</w:t>
      </w:r>
      <w:r w:rsidR="0061273D" w:rsidRPr="008924EF">
        <w:rPr>
          <w:lang w:val="en-GB"/>
        </w:rPr>
        <w:t xml:space="preserve">ign </w:t>
      </w:r>
      <w:r w:rsidR="00511F5E" w:rsidRPr="008924EF">
        <w:rPr>
          <w:lang w:val="en-GB"/>
        </w:rPr>
        <w:t>is</w:t>
      </w:r>
      <w:r w:rsidR="0061273D" w:rsidRPr="008924EF">
        <w:rPr>
          <w:lang w:val="en-GB"/>
        </w:rPr>
        <w:t xml:space="preserve"> expected to contribute </w:t>
      </w:r>
      <w:r w:rsidR="0019652D" w:rsidRPr="008924EF">
        <w:rPr>
          <w:lang w:val="en-GB"/>
        </w:rPr>
        <w:t>to</w:t>
      </w:r>
      <w:r w:rsidR="009718BC" w:rsidRPr="008924EF">
        <w:rPr>
          <w:lang w:val="en-GB"/>
        </w:rPr>
        <w:t xml:space="preserve"> identifying reliable design rules and scale up criteria.</w:t>
      </w:r>
    </w:p>
    <w:p w14:paraId="5741900F" w14:textId="5306E001" w:rsidR="00453E24" w:rsidRPr="008924EF" w:rsidRDefault="006A1314" w:rsidP="00453E24">
      <w:pPr>
        <w:pStyle w:val="CETHeading1"/>
        <w:rPr>
          <w:lang w:val="en-GB"/>
        </w:rPr>
      </w:pPr>
      <w:r w:rsidRPr="008924EF">
        <w:rPr>
          <w:lang w:val="en-GB"/>
        </w:rPr>
        <w:lastRenderedPageBreak/>
        <w:t>Experimental</w:t>
      </w:r>
    </w:p>
    <w:p w14:paraId="68F0A5B6" w14:textId="7ECA40D4" w:rsidR="00E34054" w:rsidRPr="008924EF" w:rsidRDefault="00E34054" w:rsidP="00F976E0">
      <w:pPr>
        <w:pStyle w:val="CETBodytext"/>
        <w:shd w:val="clear" w:color="auto" w:fill="FFFFFF" w:themeFill="background1"/>
        <w:rPr>
          <w:lang w:val="en-GB"/>
        </w:rPr>
      </w:pPr>
      <w:r w:rsidRPr="008924EF">
        <w:rPr>
          <w:lang w:val="en-GB"/>
        </w:rPr>
        <w:t xml:space="preserve">The investigation was carried out in </w:t>
      </w:r>
      <w:r w:rsidR="002855C7" w:rsidRPr="008924EF">
        <w:rPr>
          <w:lang w:val="en-GB"/>
        </w:rPr>
        <w:t xml:space="preserve">a </w:t>
      </w:r>
      <w:r w:rsidRPr="008924EF">
        <w:rPr>
          <w:lang w:val="en-GB"/>
        </w:rPr>
        <w:t xml:space="preserve">Perspex stirred tank </w:t>
      </w:r>
      <w:r w:rsidR="002B426B" w:rsidRPr="008924EF">
        <w:rPr>
          <w:lang w:val="en-GB"/>
        </w:rPr>
        <w:t xml:space="preserve">shown in Figure 1a </w:t>
      </w:r>
      <w:r w:rsidRPr="008924EF">
        <w:rPr>
          <w:lang w:val="en-GB"/>
        </w:rPr>
        <w:t>of total volume equal to 47</w:t>
      </w:r>
      <w:r w:rsidR="00511F5E" w:rsidRPr="008924EF">
        <w:rPr>
          <w:lang w:val="en-GB"/>
        </w:rPr>
        <w:t xml:space="preserve"> </w:t>
      </w:r>
      <w:r w:rsidRPr="008924EF">
        <w:rPr>
          <w:lang w:val="en-GB"/>
        </w:rPr>
        <w:t xml:space="preserve">L, obtained from the scale down of an industrial digester of total </w:t>
      </w:r>
      <w:r w:rsidR="00480E11" w:rsidRPr="008924EF">
        <w:rPr>
          <w:lang w:val="en-GB"/>
        </w:rPr>
        <w:t xml:space="preserve">filled </w:t>
      </w:r>
      <w:r w:rsidRPr="008924EF">
        <w:rPr>
          <w:lang w:val="en-GB"/>
        </w:rPr>
        <w:t xml:space="preserve">volume equal to </w:t>
      </w:r>
      <w:r w:rsidR="00480E11" w:rsidRPr="008924EF">
        <w:rPr>
          <w:lang w:val="en-GB"/>
        </w:rPr>
        <w:t>about 1500</w:t>
      </w:r>
      <w:r w:rsidRPr="008924EF">
        <w:rPr>
          <w:lang w:val="en-GB"/>
        </w:rPr>
        <w:t>m</w:t>
      </w:r>
      <w:r w:rsidRPr="008924EF">
        <w:rPr>
          <w:vertAlign w:val="superscript"/>
          <w:lang w:val="en-GB"/>
        </w:rPr>
        <w:t>3</w:t>
      </w:r>
      <w:r w:rsidRPr="008924EF">
        <w:rPr>
          <w:lang w:val="en-GB"/>
        </w:rPr>
        <w:t xml:space="preserve"> by applying the criterion of geometrical similarity. The flat</w:t>
      </w:r>
      <w:r w:rsidR="00C92CAB" w:rsidRPr="008924EF">
        <w:rPr>
          <w:lang w:val="en-GB"/>
        </w:rPr>
        <w:t>-</w:t>
      </w:r>
      <w:r w:rsidRPr="008924EF">
        <w:rPr>
          <w:lang w:val="en-GB"/>
        </w:rPr>
        <w:t xml:space="preserve">bottomed cylindrical vessel, of diameter T equal to 49 cm and height, H, equal to T/2, was </w:t>
      </w:r>
      <w:r w:rsidR="00003FBA" w:rsidRPr="008924EF">
        <w:rPr>
          <w:lang w:val="en-GB"/>
        </w:rPr>
        <w:t>closed</w:t>
      </w:r>
      <w:r w:rsidRPr="008924EF">
        <w:rPr>
          <w:lang w:val="en-GB"/>
        </w:rPr>
        <w:t xml:space="preserve"> with a lid on top. The scaled-down liquid level, H</w:t>
      </w:r>
      <w:r w:rsidRPr="008924EF">
        <w:rPr>
          <w:vertAlign w:val="subscript"/>
          <w:lang w:val="en-GB"/>
        </w:rPr>
        <w:t>L</w:t>
      </w:r>
      <w:r w:rsidRPr="008924EF">
        <w:rPr>
          <w:lang w:val="en-GB"/>
        </w:rPr>
        <w:t xml:space="preserve">, was </w:t>
      </w:r>
      <w:r w:rsidR="00003FBA" w:rsidRPr="008924EF">
        <w:rPr>
          <w:lang w:val="en-GB"/>
        </w:rPr>
        <w:t xml:space="preserve">always </w:t>
      </w:r>
      <w:r w:rsidRPr="008924EF">
        <w:rPr>
          <w:lang w:val="en-GB"/>
        </w:rPr>
        <w:t>maintained at 0.</w:t>
      </w:r>
      <w:r w:rsidR="00B76079" w:rsidRPr="008924EF">
        <w:rPr>
          <w:lang w:val="en-GB"/>
        </w:rPr>
        <w:t>38T</w:t>
      </w:r>
      <w:r w:rsidRPr="008924EF">
        <w:rPr>
          <w:lang w:val="en-GB"/>
        </w:rPr>
        <w:t xml:space="preserve">. Agitation was provided with multiple </w:t>
      </w:r>
      <w:r w:rsidR="008E7113" w:rsidRPr="008924EF">
        <w:rPr>
          <w:lang w:val="en-GB"/>
        </w:rPr>
        <w:t>blades</w:t>
      </w:r>
      <w:r w:rsidRPr="008924EF">
        <w:rPr>
          <w:lang w:val="en-GB"/>
        </w:rPr>
        <w:t xml:space="preserve"> </w:t>
      </w:r>
      <w:r w:rsidR="002B426B" w:rsidRPr="008924EF">
        <w:rPr>
          <w:lang w:val="en-GB"/>
        </w:rPr>
        <w:t xml:space="preserve">(Figure 1b) </w:t>
      </w:r>
      <w:r w:rsidRPr="008924EF">
        <w:rPr>
          <w:lang w:val="en-GB"/>
        </w:rPr>
        <w:t>fixed to three top-entering shafts</w:t>
      </w:r>
      <w:r w:rsidR="00D42D01" w:rsidRPr="008924EF">
        <w:rPr>
          <w:lang w:val="en-GB"/>
        </w:rPr>
        <w:t xml:space="preserve"> set symmetrically respect to the vessel axis at a </w:t>
      </w:r>
      <w:r w:rsidR="005E4226" w:rsidRPr="008924EF">
        <w:rPr>
          <w:lang w:val="en-GB"/>
        </w:rPr>
        <w:t xml:space="preserve">radial </w:t>
      </w:r>
      <w:r w:rsidR="00D42D01" w:rsidRPr="008924EF">
        <w:rPr>
          <w:lang w:val="en-GB"/>
        </w:rPr>
        <w:t xml:space="preserve">distance of 170 </w:t>
      </w:r>
      <w:r w:rsidR="00D42D01" w:rsidRPr="00343E96">
        <w:rPr>
          <w:lang w:val="en-GB"/>
        </w:rPr>
        <w:t xml:space="preserve">mm from the </w:t>
      </w:r>
      <w:r w:rsidR="00343E96" w:rsidRPr="00343E96">
        <w:rPr>
          <w:lang w:val="en-GB"/>
        </w:rPr>
        <w:t>centre</w:t>
      </w:r>
      <w:r w:rsidRPr="00343E96">
        <w:rPr>
          <w:lang w:val="en-GB"/>
        </w:rPr>
        <w:t xml:space="preserve">. </w:t>
      </w:r>
      <w:r w:rsidR="008E7113" w:rsidRPr="00343E96">
        <w:rPr>
          <w:lang w:val="en-GB"/>
        </w:rPr>
        <w:t>The</w:t>
      </w:r>
      <w:r w:rsidR="00003FBA" w:rsidRPr="008924EF">
        <w:rPr>
          <w:lang w:val="en-GB"/>
        </w:rPr>
        <w:t xml:space="preserve"> </w:t>
      </w:r>
      <w:r w:rsidRPr="008924EF">
        <w:rPr>
          <w:lang w:val="en-GB"/>
        </w:rPr>
        <w:t xml:space="preserve">blades </w:t>
      </w:r>
      <w:r w:rsidR="008E7113" w:rsidRPr="008924EF">
        <w:rPr>
          <w:lang w:val="en-GB"/>
        </w:rPr>
        <w:t>had</w:t>
      </w:r>
      <w:r w:rsidRPr="008924EF">
        <w:rPr>
          <w:lang w:val="en-GB"/>
        </w:rPr>
        <w:t xml:space="preserve"> total length equal to 0.</w:t>
      </w:r>
      <w:r w:rsidRPr="00F976E0">
        <w:rPr>
          <w:lang w:val="en-GB"/>
        </w:rPr>
        <w:t>04T</w:t>
      </w:r>
      <w:r w:rsidR="00C379AE" w:rsidRPr="00F976E0">
        <w:rPr>
          <w:lang w:val="en-GB"/>
        </w:rPr>
        <w:t>. The three shafts are equipped with 6 blades each, thus resulting in 18 blades, that in the full scale fermenter were often used intermittently.</w:t>
      </w:r>
      <w:r w:rsidR="008E7113" w:rsidRPr="00F976E0">
        <w:rPr>
          <w:lang w:val="en-GB"/>
        </w:rPr>
        <w:t xml:space="preserve"> </w:t>
      </w:r>
      <w:r w:rsidR="00C379AE" w:rsidRPr="00F976E0">
        <w:rPr>
          <w:lang w:val="en-GB"/>
        </w:rPr>
        <w:t xml:space="preserve">When the shafts rotated clockwise the </w:t>
      </w:r>
      <w:r w:rsidR="008E7113" w:rsidRPr="00F976E0">
        <w:rPr>
          <w:lang w:val="en-GB"/>
        </w:rPr>
        <w:t>inclination</w:t>
      </w:r>
      <w:r w:rsidRPr="00F976E0">
        <w:rPr>
          <w:lang w:val="en-GB"/>
        </w:rPr>
        <w:t xml:space="preserve"> </w:t>
      </w:r>
      <w:r w:rsidR="00C379AE" w:rsidRPr="00F976E0">
        <w:rPr>
          <w:lang w:val="en-GB"/>
        </w:rPr>
        <w:t xml:space="preserve">of the three lowest </w:t>
      </w:r>
      <w:r w:rsidR="00F976E0" w:rsidRPr="00F976E0">
        <w:rPr>
          <w:lang w:val="en-GB"/>
        </w:rPr>
        <w:t xml:space="preserve">blades </w:t>
      </w:r>
      <w:r w:rsidR="00A267D1" w:rsidRPr="00F976E0">
        <w:rPr>
          <w:lang w:val="en-GB"/>
        </w:rPr>
        <w:t>provide</w:t>
      </w:r>
      <w:r w:rsidR="008E7113" w:rsidRPr="00F976E0">
        <w:rPr>
          <w:lang w:val="en-GB"/>
        </w:rPr>
        <w:t>d</w:t>
      </w:r>
      <w:r w:rsidR="00A267D1" w:rsidRPr="00F976E0">
        <w:rPr>
          <w:lang w:val="en-GB"/>
        </w:rPr>
        <w:t xml:space="preserve"> up-pumping agitation</w:t>
      </w:r>
      <w:r w:rsidR="00F976E0" w:rsidRPr="00F976E0">
        <w:rPr>
          <w:lang w:val="en-GB"/>
        </w:rPr>
        <w:t>,</w:t>
      </w:r>
      <w:r w:rsidR="008E7113" w:rsidRPr="00F976E0">
        <w:rPr>
          <w:lang w:val="en-GB"/>
        </w:rPr>
        <w:t xml:space="preserve"> </w:t>
      </w:r>
      <w:r w:rsidR="00C379AE" w:rsidRPr="00F976E0">
        <w:rPr>
          <w:lang w:val="en-GB"/>
        </w:rPr>
        <w:t>while the three highest provided down-pumping agitation, and vice versa when the shaft rotated anticlockwise</w:t>
      </w:r>
      <w:r w:rsidR="00A267D1" w:rsidRPr="00F976E0">
        <w:rPr>
          <w:lang w:val="en-GB"/>
        </w:rPr>
        <w:t>.</w:t>
      </w:r>
      <w:r w:rsidRPr="008924EF">
        <w:rPr>
          <w:lang w:val="en-GB"/>
        </w:rPr>
        <w:t xml:space="preserve"> </w:t>
      </w:r>
    </w:p>
    <w:p w14:paraId="09406386" w14:textId="4480C3BC" w:rsidR="00453E24" w:rsidRPr="008924EF" w:rsidRDefault="00003FBA" w:rsidP="00003FBA">
      <w:pPr>
        <w:pStyle w:val="CETBodytext"/>
        <w:rPr>
          <w:lang w:val="en-GB"/>
        </w:rPr>
      </w:pPr>
      <w:r w:rsidRPr="008924EF">
        <w:rPr>
          <w:lang w:val="en-GB"/>
        </w:rPr>
        <w:t xml:space="preserve">The experiments were carried out </w:t>
      </w:r>
      <w:r w:rsidR="00037D2F" w:rsidRPr="008924EF">
        <w:rPr>
          <w:lang w:val="en-GB"/>
        </w:rPr>
        <w:t>at</w:t>
      </w:r>
      <w:r w:rsidR="00026B6F" w:rsidRPr="008924EF">
        <w:rPr>
          <w:lang w:val="en-GB"/>
        </w:rPr>
        <w:t xml:space="preserve"> the </w:t>
      </w:r>
      <w:r w:rsidR="00E34054" w:rsidRPr="008924EF">
        <w:rPr>
          <w:lang w:val="en-GB"/>
        </w:rPr>
        <w:t>impeller rotational speed, N</w:t>
      </w:r>
      <w:r w:rsidR="00037D2F" w:rsidRPr="008924EF">
        <w:rPr>
          <w:lang w:val="en-GB"/>
        </w:rPr>
        <w:t xml:space="preserve">, of 133rpm, that corresponds to the impeller speed of 12.5rpm adopted in the industrial condition applying the constant power consumption scale-down </w:t>
      </w:r>
      <w:r w:rsidR="00386ABA" w:rsidRPr="008924EF">
        <w:rPr>
          <w:lang w:val="en-GB"/>
        </w:rPr>
        <w:t>criterion</w:t>
      </w:r>
      <w:r w:rsidR="00037D2F" w:rsidRPr="008924EF">
        <w:rPr>
          <w:lang w:val="en-GB"/>
        </w:rPr>
        <w:t>, that result</w:t>
      </w:r>
      <w:r w:rsidR="00FA4423" w:rsidRPr="008924EF">
        <w:rPr>
          <w:lang w:val="en-GB"/>
        </w:rPr>
        <w:t>s</w:t>
      </w:r>
      <w:r w:rsidR="00037D2F" w:rsidRPr="008924EF">
        <w:rPr>
          <w:lang w:val="en-GB"/>
        </w:rPr>
        <w:t xml:space="preserve"> in maintaining constant N</w:t>
      </w:r>
      <w:r w:rsidR="00037D2F" w:rsidRPr="008924EF">
        <w:rPr>
          <w:vertAlign w:val="superscript"/>
          <w:lang w:val="en-GB"/>
        </w:rPr>
        <w:t>3</w:t>
      </w:r>
      <w:r w:rsidR="00037D2F" w:rsidRPr="008924EF">
        <w:rPr>
          <w:lang w:val="en-GB"/>
        </w:rPr>
        <w:t>D</w:t>
      </w:r>
      <w:r w:rsidR="00037D2F" w:rsidRPr="008924EF">
        <w:rPr>
          <w:vertAlign w:val="superscript"/>
          <w:lang w:val="en-GB"/>
        </w:rPr>
        <w:t>2</w:t>
      </w:r>
      <w:r w:rsidR="00037D2F" w:rsidRPr="008924EF">
        <w:rPr>
          <w:lang w:val="en-GB"/>
        </w:rPr>
        <w:t xml:space="preserve"> at the different scales. </w:t>
      </w:r>
      <w:r w:rsidR="001C32B9" w:rsidRPr="00F976E0">
        <w:rPr>
          <w:lang w:val="en-GB"/>
        </w:rPr>
        <w:t>Also,</w:t>
      </w:r>
      <w:r w:rsidR="00FA4423" w:rsidRPr="00F976E0">
        <w:rPr>
          <w:lang w:val="en-GB"/>
        </w:rPr>
        <w:t xml:space="preserve"> a 50</w:t>
      </w:r>
      <w:r w:rsidR="00FA4423" w:rsidRPr="008924EF">
        <w:rPr>
          <w:lang w:val="en-GB"/>
        </w:rPr>
        <w:t>% lower value (67rpm) and a 63% higher value (217rpm) with respect to the constant specific power consumption impeller speed were considered</w:t>
      </w:r>
      <w:r w:rsidR="00CB4987" w:rsidRPr="008924EF">
        <w:rPr>
          <w:lang w:val="en-GB"/>
        </w:rPr>
        <w:t>.</w:t>
      </w:r>
      <w:r w:rsidR="00FA4423" w:rsidRPr="008924EF">
        <w:rPr>
          <w:lang w:val="en-GB"/>
        </w:rPr>
        <w:t xml:space="preserve"> </w:t>
      </w:r>
      <w:r w:rsidR="00037D2F" w:rsidRPr="008924EF">
        <w:rPr>
          <w:lang w:val="en-GB"/>
        </w:rPr>
        <w:t xml:space="preserve">The constant Reynolds number </w:t>
      </w:r>
      <w:r w:rsidR="00FA4423" w:rsidRPr="008924EF">
        <w:rPr>
          <w:lang w:val="en-GB"/>
        </w:rPr>
        <w:t>(constant ND</w:t>
      </w:r>
      <w:r w:rsidR="00FA4423" w:rsidRPr="008924EF">
        <w:rPr>
          <w:vertAlign w:val="superscript"/>
          <w:lang w:val="en-GB"/>
        </w:rPr>
        <w:t>2</w:t>
      </w:r>
      <w:r w:rsidR="00FA4423" w:rsidRPr="008924EF">
        <w:rPr>
          <w:lang w:val="en-GB"/>
        </w:rPr>
        <w:t xml:space="preserve">) </w:t>
      </w:r>
      <w:r w:rsidR="00037D2F" w:rsidRPr="008924EF">
        <w:rPr>
          <w:lang w:val="en-GB"/>
        </w:rPr>
        <w:t xml:space="preserve">and the constant tip speed criteria </w:t>
      </w:r>
      <w:r w:rsidR="00FA4423" w:rsidRPr="008924EF">
        <w:rPr>
          <w:lang w:val="en-GB"/>
        </w:rPr>
        <w:t>(constant ND), corresponding to 15170rpm and 435rpm, respectively</w:t>
      </w:r>
      <w:r w:rsidR="00C718E1" w:rsidRPr="008924EF">
        <w:rPr>
          <w:lang w:val="en-GB"/>
        </w:rPr>
        <w:t>,</w:t>
      </w:r>
      <w:r w:rsidR="00FA4423" w:rsidRPr="008924EF">
        <w:rPr>
          <w:lang w:val="en-GB"/>
        </w:rPr>
        <w:t xml:space="preserve"> </w:t>
      </w:r>
      <w:r w:rsidR="00037D2F" w:rsidRPr="008924EF">
        <w:rPr>
          <w:lang w:val="en-GB"/>
        </w:rPr>
        <w:t xml:space="preserve">were instead </w:t>
      </w:r>
      <w:r w:rsidR="00FA4423" w:rsidRPr="008924EF">
        <w:rPr>
          <w:lang w:val="en-GB"/>
        </w:rPr>
        <w:t>discarded</w:t>
      </w:r>
      <w:r w:rsidR="00EA44D9" w:rsidRPr="008924EF">
        <w:rPr>
          <w:lang w:val="en-GB"/>
        </w:rPr>
        <w:t>.</w:t>
      </w:r>
      <w:r w:rsidR="00FA4423" w:rsidRPr="008924EF">
        <w:rPr>
          <w:lang w:val="en-GB"/>
        </w:rPr>
        <w:t xml:space="preserve"> </w:t>
      </w:r>
      <w:r w:rsidR="00A8553C" w:rsidRPr="008924EF">
        <w:rPr>
          <w:lang w:val="en-GB"/>
        </w:rPr>
        <w:t>Demineralized</w:t>
      </w:r>
      <w:r w:rsidR="00E34054" w:rsidRPr="008924EF">
        <w:rPr>
          <w:lang w:val="en-GB"/>
        </w:rPr>
        <w:t xml:space="preserve"> water </w:t>
      </w:r>
      <w:r w:rsidRPr="008924EF">
        <w:rPr>
          <w:lang w:val="en-GB"/>
        </w:rPr>
        <w:t xml:space="preserve">and </w:t>
      </w:r>
      <w:r w:rsidR="00203B5D" w:rsidRPr="008924EF">
        <w:rPr>
          <w:lang w:val="en-GB"/>
        </w:rPr>
        <w:t xml:space="preserve">an </w:t>
      </w:r>
      <w:r w:rsidR="00A8553C" w:rsidRPr="008924EF">
        <w:rPr>
          <w:lang w:val="en-GB"/>
        </w:rPr>
        <w:t>aqueous</w:t>
      </w:r>
      <w:r w:rsidRPr="008924EF">
        <w:rPr>
          <w:lang w:val="en-GB"/>
        </w:rPr>
        <w:t xml:space="preserve"> solution of </w:t>
      </w:r>
      <w:r w:rsidR="00203B5D" w:rsidRPr="008924EF">
        <w:rPr>
          <w:lang w:val="en-GB"/>
        </w:rPr>
        <w:t>x</w:t>
      </w:r>
      <w:r w:rsidR="00FA4423" w:rsidRPr="008924EF">
        <w:rPr>
          <w:lang w:val="en-GB"/>
        </w:rPr>
        <w:t>anthan</w:t>
      </w:r>
      <w:r w:rsidRPr="008924EF">
        <w:rPr>
          <w:lang w:val="en-GB"/>
        </w:rPr>
        <w:t xml:space="preserve"> </w:t>
      </w:r>
      <w:r w:rsidR="00203B5D" w:rsidRPr="008924EF">
        <w:rPr>
          <w:lang w:val="en-GB"/>
        </w:rPr>
        <w:t>g</w:t>
      </w:r>
      <w:r w:rsidRPr="008924EF">
        <w:rPr>
          <w:lang w:val="en-GB"/>
        </w:rPr>
        <w:t xml:space="preserve">um </w:t>
      </w:r>
      <w:r w:rsidR="00FA4423" w:rsidRPr="008924EF">
        <w:rPr>
          <w:lang w:val="en-GB"/>
        </w:rPr>
        <w:t>(X</w:t>
      </w:r>
      <w:r w:rsidR="00203B5D" w:rsidRPr="008924EF">
        <w:rPr>
          <w:lang w:val="en-GB"/>
        </w:rPr>
        <w:t>a</w:t>
      </w:r>
      <w:r w:rsidR="00FA4423" w:rsidRPr="008924EF">
        <w:rPr>
          <w:lang w:val="en-GB"/>
        </w:rPr>
        <w:t xml:space="preserve">) </w:t>
      </w:r>
      <w:r w:rsidRPr="008924EF">
        <w:rPr>
          <w:lang w:val="en-GB"/>
        </w:rPr>
        <w:t xml:space="preserve">with a concentration of 1g per </w:t>
      </w:r>
      <w:r w:rsidR="00FA4423" w:rsidRPr="008924EF">
        <w:rPr>
          <w:lang w:val="en-GB"/>
        </w:rPr>
        <w:t>kg</w:t>
      </w:r>
      <w:r w:rsidR="00A8553C" w:rsidRPr="008924EF">
        <w:rPr>
          <w:lang w:val="en-GB"/>
        </w:rPr>
        <w:t xml:space="preserve"> of water were adopted. </w:t>
      </w:r>
    </w:p>
    <w:p w14:paraId="7B4CB149" w14:textId="00DEDBB7" w:rsidR="00C718E1" w:rsidRPr="008924EF" w:rsidRDefault="00C718E1" w:rsidP="00003FBA">
      <w:pPr>
        <w:pStyle w:val="CETBodytext"/>
        <w:rPr>
          <w:lang w:val="en-GB"/>
        </w:rPr>
      </w:pPr>
    </w:p>
    <w:p w14:paraId="7430CF6B" w14:textId="77777777" w:rsidR="0055481F" w:rsidRPr="008924EF" w:rsidRDefault="0066154E" w:rsidP="0055481F">
      <w:pPr>
        <w:pStyle w:val="CETBodytext"/>
        <w:jc w:val="center"/>
        <w:rPr>
          <w:rStyle w:val="CETCaptionCarattere"/>
        </w:rPr>
      </w:pPr>
      <w:r w:rsidRPr="008924EF">
        <w:rPr>
          <w:noProof/>
          <w:lang w:val="it-IT" w:eastAsia="it-IT"/>
        </w:rPr>
        <w:drawing>
          <wp:inline distT="0" distB="0" distL="0" distR="0" wp14:anchorId="657ADBBA" wp14:editId="34F7C957">
            <wp:extent cx="3535200" cy="1371600"/>
            <wp:effectExtent l="0" t="0" r="825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200" cy="1371600"/>
                    </a:xfrm>
                    <a:prstGeom prst="rect">
                      <a:avLst/>
                    </a:prstGeom>
                    <a:noFill/>
                  </pic:spPr>
                </pic:pic>
              </a:graphicData>
            </a:graphic>
          </wp:inline>
        </w:drawing>
      </w:r>
    </w:p>
    <w:p w14:paraId="679A6EDC" w14:textId="264FC5AA" w:rsidR="00203B5D" w:rsidRPr="008924EF" w:rsidRDefault="00203B5D" w:rsidP="005E4226">
      <w:pPr>
        <w:pStyle w:val="CETCaption"/>
      </w:pPr>
      <w:r w:rsidRPr="008924EF">
        <w:rPr>
          <w:rStyle w:val="CETCaptionCarattere"/>
          <w:i/>
        </w:rPr>
        <w:t xml:space="preserve">Figure 1: </w:t>
      </w:r>
      <w:r w:rsidR="00663F58" w:rsidRPr="008924EF">
        <w:t>(a) Scale down biogas fermenter used for the PIV experiments, highlighted the horizontal plane (green) and the vertical plane (</w:t>
      </w:r>
      <w:r w:rsidR="005E4226" w:rsidRPr="008924EF">
        <w:t>red</w:t>
      </w:r>
      <w:r w:rsidR="00663F58" w:rsidRPr="008924EF">
        <w:t>); (b) side and front view of the impellers.</w:t>
      </w:r>
    </w:p>
    <w:p w14:paraId="0636B784" w14:textId="0C59B957" w:rsidR="00453E24" w:rsidRPr="008924EF" w:rsidRDefault="000D1334" w:rsidP="00327219">
      <w:pPr>
        <w:pStyle w:val="CETheadingx"/>
        <w:rPr>
          <w:lang w:val="en-GB"/>
        </w:rPr>
      </w:pPr>
      <w:r w:rsidRPr="008924EF">
        <w:rPr>
          <w:lang w:val="en-GB"/>
        </w:rPr>
        <w:t xml:space="preserve">The </w:t>
      </w:r>
      <w:r w:rsidR="006A1314" w:rsidRPr="008924EF">
        <w:rPr>
          <w:lang w:val="en-GB"/>
        </w:rPr>
        <w:t xml:space="preserve">Particle Image Velocimetry </w:t>
      </w:r>
      <w:r w:rsidRPr="008924EF">
        <w:rPr>
          <w:lang w:val="en-GB"/>
        </w:rPr>
        <w:t>measurement</w:t>
      </w:r>
    </w:p>
    <w:p w14:paraId="19F7CB98" w14:textId="503E4520" w:rsidR="00EA28EA" w:rsidRPr="008924EF" w:rsidRDefault="00EA28EA" w:rsidP="00EA28EA">
      <w:pPr>
        <w:pStyle w:val="CETBodytext"/>
        <w:rPr>
          <w:lang w:val="en-GB"/>
        </w:rPr>
      </w:pPr>
      <w:r w:rsidRPr="008924EF">
        <w:rPr>
          <w:lang w:val="en-GB"/>
        </w:rPr>
        <w:t xml:space="preserve">The liquid velocity field was determined </w:t>
      </w:r>
      <w:r w:rsidR="007F75CD" w:rsidRPr="008924EF">
        <w:rPr>
          <w:lang w:val="en-GB"/>
        </w:rPr>
        <w:t xml:space="preserve">in different vertical and horizontal sections of the vessel </w:t>
      </w:r>
      <w:r w:rsidRPr="008924EF">
        <w:rPr>
          <w:lang w:val="en-GB"/>
        </w:rPr>
        <w:t xml:space="preserve">using </w:t>
      </w:r>
      <w:r w:rsidR="002B026C" w:rsidRPr="008924EF">
        <w:rPr>
          <w:lang w:val="en-GB"/>
        </w:rPr>
        <w:t>the</w:t>
      </w:r>
      <w:r w:rsidR="007F75CD" w:rsidRPr="008924EF">
        <w:rPr>
          <w:lang w:val="en-GB"/>
        </w:rPr>
        <w:t xml:space="preserve"> </w:t>
      </w:r>
      <w:r w:rsidR="002B026C" w:rsidRPr="008924EF">
        <w:rPr>
          <w:lang w:val="en-GB"/>
        </w:rPr>
        <w:t xml:space="preserve">Particle Image </w:t>
      </w:r>
      <w:r w:rsidR="00AB7F70" w:rsidRPr="008924EF">
        <w:rPr>
          <w:lang w:val="en-GB"/>
        </w:rPr>
        <w:t>V</w:t>
      </w:r>
      <w:r w:rsidR="002B026C" w:rsidRPr="008924EF">
        <w:rPr>
          <w:lang w:val="en-GB"/>
        </w:rPr>
        <w:t>elocimetry (PIV)</w:t>
      </w:r>
      <w:r w:rsidRPr="008924EF">
        <w:rPr>
          <w:lang w:val="en-GB"/>
        </w:rPr>
        <w:t xml:space="preserve">. </w:t>
      </w:r>
      <w:r w:rsidR="002442B7" w:rsidRPr="008924EF">
        <w:rPr>
          <w:lang w:val="en-GB"/>
        </w:rPr>
        <w:t xml:space="preserve">The flow was seeded with silver-coated hollow glass particles of mean diameter equal to 10 </w:t>
      </w:r>
      <w:r w:rsidR="002442B7" w:rsidRPr="008924EF">
        <w:rPr>
          <w:rFonts w:ascii="Symbol" w:hAnsi="Symbol"/>
          <w:lang w:val="en-GB"/>
        </w:rPr>
        <w:t></w:t>
      </w:r>
      <w:r w:rsidR="002442B7" w:rsidRPr="008924EF">
        <w:rPr>
          <w:lang w:val="en-GB"/>
        </w:rPr>
        <w:t xml:space="preserve">m and was illuminated with a light sheet approximately </w:t>
      </w:r>
      <w:r w:rsidR="00D42D01" w:rsidRPr="008924EF">
        <w:rPr>
          <w:lang w:val="en-GB"/>
        </w:rPr>
        <w:t>2</w:t>
      </w:r>
      <w:r w:rsidR="002442B7" w:rsidRPr="008924EF">
        <w:rPr>
          <w:lang w:val="en-GB"/>
        </w:rPr>
        <w:t xml:space="preserve"> mm thick</w:t>
      </w:r>
      <w:r w:rsidRPr="008924EF">
        <w:rPr>
          <w:lang w:val="en-GB"/>
        </w:rPr>
        <w:t>. The light source was a pulsed Nd:YAG laser (light wavelength equal to 532 nm, frequency equal to 15 Hz, energy of 65 mJ</w:t>
      </w:r>
      <w:r w:rsidR="002442B7" w:rsidRPr="008924EF">
        <w:rPr>
          <w:lang w:val="en-GB"/>
        </w:rPr>
        <w:t>/pulse</w:t>
      </w:r>
      <w:r w:rsidRPr="008924EF">
        <w:rPr>
          <w:lang w:val="en-GB"/>
        </w:rPr>
        <w:t xml:space="preserve">) provided with a cylindrical lens for the light sheet generation. The image acquisition was performed by a digital </w:t>
      </w:r>
      <w:r w:rsidR="00090B32" w:rsidRPr="008924EF">
        <w:rPr>
          <w:lang w:val="en-GB"/>
        </w:rPr>
        <w:t xml:space="preserve">HiSenseMKII </w:t>
      </w:r>
      <w:r w:rsidRPr="008924EF">
        <w:rPr>
          <w:lang w:val="en-GB"/>
        </w:rPr>
        <w:t>camera (1344×1024 pixels CCD) placed perpendicular to the laser sheet and provided with a</w:t>
      </w:r>
      <w:r w:rsidR="00090B32" w:rsidRPr="008924EF">
        <w:rPr>
          <w:lang w:val="en-GB"/>
        </w:rPr>
        <w:t>n</w:t>
      </w:r>
      <w:r w:rsidRPr="008924EF">
        <w:rPr>
          <w:lang w:val="en-GB"/>
        </w:rPr>
        <w:t xml:space="preserve"> optical filter </w:t>
      </w:r>
      <w:r w:rsidR="00090B32" w:rsidRPr="008924EF">
        <w:rPr>
          <w:lang w:val="en-GB"/>
        </w:rPr>
        <w:t xml:space="preserve">to </w:t>
      </w:r>
      <w:r w:rsidRPr="008924EF">
        <w:rPr>
          <w:lang w:val="en-GB"/>
        </w:rPr>
        <w:t>cut</w:t>
      </w:r>
      <w:r w:rsidR="00090B32" w:rsidRPr="008924EF">
        <w:rPr>
          <w:lang w:val="en-GB"/>
        </w:rPr>
        <w:t xml:space="preserve"> the ambient light</w:t>
      </w:r>
      <w:r w:rsidRPr="008924EF">
        <w:rPr>
          <w:lang w:val="en-GB"/>
        </w:rPr>
        <w:t xml:space="preserve">. </w:t>
      </w:r>
      <w:r w:rsidR="0036174C" w:rsidRPr="008924EF">
        <w:rPr>
          <w:lang w:val="en-GB"/>
        </w:rPr>
        <w:t>The laser light refractive effects at the curved vessel surface were minimized, since the vessel was placed in a Perspex square cross-section tank filled with the working liquid</w:t>
      </w:r>
      <w:r w:rsidR="00F8188E" w:rsidRPr="00F8188E">
        <w:rPr>
          <w:lang w:val="en-GB"/>
        </w:rPr>
        <w:t xml:space="preserve"> </w:t>
      </w:r>
      <w:r w:rsidR="00F8188E">
        <w:rPr>
          <w:lang w:val="en-GB"/>
        </w:rPr>
        <w:t>similarly to previous investigations of bioreactors for different applications (Montante et al., 2013)</w:t>
      </w:r>
      <w:r w:rsidR="0036174C" w:rsidRPr="008924EF">
        <w:rPr>
          <w:lang w:val="en-GB"/>
        </w:rPr>
        <w:t xml:space="preserve">. </w:t>
      </w:r>
      <w:r w:rsidRPr="008924EF">
        <w:rPr>
          <w:lang w:val="en-GB"/>
        </w:rPr>
        <w:t xml:space="preserve">The laser control, the laser/camera </w:t>
      </w:r>
      <w:r w:rsidR="003B6D84" w:rsidRPr="008924EF">
        <w:rPr>
          <w:lang w:val="en-GB"/>
        </w:rPr>
        <w:t>synchronization</w:t>
      </w:r>
      <w:r w:rsidRPr="008924EF">
        <w:rPr>
          <w:lang w:val="en-GB"/>
        </w:rPr>
        <w:t xml:space="preserve"> and the data acquisition and processing were handled by a Dantec Dynamics system.</w:t>
      </w:r>
      <w:r w:rsidR="00C718E1" w:rsidRPr="008924EF">
        <w:rPr>
          <w:lang w:val="en-GB"/>
        </w:rPr>
        <w:t xml:space="preserve"> </w:t>
      </w:r>
    </w:p>
    <w:p w14:paraId="428CD73C" w14:textId="59FB7670" w:rsidR="003B6D84" w:rsidRPr="008924EF" w:rsidRDefault="003B6D84" w:rsidP="00EA28EA">
      <w:pPr>
        <w:pStyle w:val="CETBodytext"/>
        <w:rPr>
          <w:lang w:val="en-GB"/>
        </w:rPr>
      </w:pPr>
      <w:r w:rsidRPr="008924EF">
        <w:rPr>
          <w:lang w:val="en-GB"/>
        </w:rPr>
        <w:t>To guarantee a sufficient spatial resolution, the measurement area</w:t>
      </w:r>
      <w:r w:rsidR="00194E91" w:rsidRPr="008924EF">
        <w:rPr>
          <w:lang w:val="en-GB"/>
        </w:rPr>
        <w:t>s</w:t>
      </w:r>
      <w:r w:rsidRPr="008924EF">
        <w:rPr>
          <w:lang w:val="en-GB"/>
        </w:rPr>
        <w:t xml:space="preserve"> </w:t>
      </w:r>
      <w:r w:rsidR="00987793" w:rsidRPr="008924EF">
        <w:rPr>
          <w:lang w:val="en-GB"/>
        </w:rPr>
        <w:t>were</w:t>
      </w:r>
      <w:r w:rsidRPr="008924EF">
        <w:rPr>
          <w:lang w:val="en-GB"/>
        </w:rPr>
        <w:t xml:space="preserve"> limited</w:t>
      </w:r>
      <w:r w:rsidR="00194E91" w:rsidRPr="008924EF">
        <w:rPr>
          <w:lang w:val="en-GB"/>
        </w:rPr>
        <w:t xml:space="preserve"> to sections of the measurement planes</w:t>
      </w:r>
      <w:r w:rsidR="00D40252" w:rsidRPr="008924EF">
        <w:rPr>
          <w:lang w:val="en-GB"/>
        </w:rPr>
        <w:t xml:space="preserve">, as </w:t>
      </w:r>
      <w:r w:rsidR="0036174C" w:rsidRPr="008924EF">
        <w:rPr>
          <w:lang w:val="en-GB"/>
        </w:rPr>
        <w:t xml:space="preserve">shown in Figure 1. </w:t>
      </w:r>
      <w:r w:rsidR="00DC6270" w:rsidRPr="008924EF">
        <w:rPr>
          <w:lang w:val="en-GB"/>
        </w:rPr>
        <w:t xml:space="preserve">The </w:t>
      </w:r>
      <w:r w:rsidR="0036174C" w:rsidRPr="008924EF">
        <w:rPr>
          <w:lang w:val="en-GB"/>
        </w:rPr>
        <w:t>mean axial, radial, and tangential</w:t>
      </w:r>
      <w:r w:rsidR="00D40252" w:rsidRPr="008924EF">
        <w:rPr>
          <w:lang w:val="en-GB"/>
        </w:rPr>
        <w:t xml:space="preserve"> velocity components</w:t>
      </w:r>
      <w:r w:rsidR="0036174C" w:rsidRPr="008924EF">
        <w:rPr>
          <w:lang w:val="en-GB"/>
        </w:rPr>
        <w:t xml:space="preserve">, </w:t>
      </w:r>
      <w:r w:rsidR="00D40252" w:rsidRPr="008924EF">
        <w:rPr>
          <w:lang w:val="en-GB"/>
        </w:rPr>
        <w:t xml:space="preserve">U, V and </w:t>
      </w:r>
      <w:r w:rsidR="0036174C" w:rsidRPr="008924EF">
        <w:rPr>
          <w:lang w:val="en-GB"/>
        </w:rPr>
        <w:t xml:space="preserve">W, are positive </w:t>
      </w:r>
      <w:r w:rsidR="00DC6270" w:rsidRPr="008924EF">
        <w:rPr>
          <w:lang w:val="en-GB"/>
        </w:rPr>
        <w:t xml:space="preserve">if directed toward the vessel wall, upwards and in the </w:t>
      </w:r>
      <w:r w:rsidR="00893537" w:rsidRPr="008924EF">
        <w:rPr>
          <w:lang w:val="en-GB"/>
        </w:rPr>
        <w:t>same</w:t>
      </w:r>
      <w:r w:rsidR="00DC6270" w:rsidRPr="008924EF">
        <w:rPr>
          <w:lang w:val="en-GB"/>
        </w:rPr>
        <w:t xml:space="preserve"> direction</w:t>
      </w:r>
      <w:r w:rsidR="00893537" w:rsidRPr="008924EF">
        <w:rPr>
          <w:lang w:val="en-GB"/>
        </w:rPr>
        <w:t xml:space="preserve"> of the impeller rotation, respectively</w:t>
      </w:r>
      <w:r w:rsidR="00DC6270" w:rsidRPr="008924EF">
        <w:rPr>
          <w:lang w:val="en-GB"/>
        </w:rPr>
        <w:t>.</w:t>
      </w:r>
      <w:r w:rsidR="000619A0">
        <w:rPr>
          <w:lang w:val="en-GB"/>
        </w:rPr>
        <w:t xml:space="preserve"> </w:t>
      </w:r>
      <w:r w:rsidR="00090B32" w:rsidRPr="008924EF">
        <w:rPr>
          <w:lang w:val="en-GB"/>
        </w:rPr>
        <w:t>The</w:t>
      </w:r>
      <w:r w:rsidR="00EA28EA" w:rsidRPr="008924EF">
        <w:rPr>
          <w:lang w:val="en-GB"/>
        </w:rPr>
        <w:t xml:space="preserve"> selection of the measurement parameters was performed </w:t>
      </w:r>
      <w:r w:rsidR="00090B32" w:rsidRPr="008924EF">
        <w:rPr>
          <w:lang w:val="en-GB"/>
        </w:rPr>
        <w:t>with</w:t>
      </w:r>
      <w:r w:rsidR="00EA28EA" w:rsidRPr="008924EF">
        <w:rPr>
          <w:lang w:val="en-GB"/>
        </w:rPr>
        <w:t xml:space="preserve"> the usually adopted criteria for the </w:t>
      </w:r>
      <w:r w:rsidR="006D1E70" w:rsidRPr="008924EF">
        <w:rPr>
          <w:lang w:val="en-GB"/>
        </w:rPr>
        <w:t xml:space="preserve">PIV </w:t>
      </w:r>
      <w:r w:rsidR="00EA28EA" w:rsidRPr="008924EF">
        <w:rPr>
          <w:lang w:val="en-GB"/>
        </w:rPr>
        <w:t>experimental error minimization (</w:t>
      </w:r>
      <w:r w:rsidR="0076046F" w:rsidRPr="008924EF">
        <w:rPr>
          <w:lang w:val="en-GB"/>
        </w:rPr>
        <w:t>Montante and Paglianti, 2014</w:t>
      </w:r>
      <w:r w:rsidR="00EA28EA" w:rsidRPr="008924EF">
        <w:rPr>
          <w:lang w:val="en-GB"/>
        </w:rPr>
        <w:t xml:space="preserve">). The time interval between two laser pulses was varied in the range </w:t>
      </w:r>
      <w:r w:rsidRPr="008924EF">
        <w:rPr>
          <w:lang w:val="en-GB"/>
        </w:rPr>
        <w:t>800</w:t>
      </w:r>
      <w:r w:rsidR="00EA28EA" w:rsidRPr="008924EF">
        <w:rPr>
          <w:lang w:val="en-GB"/>
        </w:rPr>
        <w:t>-</w:t>
      </w:r>
      <w:r w:rsidRPr="008924EF">
        <w:rPr>
          <w:lang w:val="en-GB"/>
        </w:rPr>
        <w:t>38</w:t>
      </w:r>
      <w:r w:rsidR="00EA28EA" w:rsidRPr="008924EF">
        <w:rPr>
          <w:lang w:val="en-GB"/>
        </w:rPr>
        <w:t xml:space="preserve">00 </w:t>
      </w:r>
      <w:r w:rsidR="00EA28EA" w:rsidRPr="008924EF">
        <w:rPr>
          <w:rFonts w:ascii="Symbol" w:hAnsi="Symbol"/>
          <w:lang w:val="en-GB"/>
        </w:rPr>
        <w:t></w:t>
      </w:r>
      <w:r w:rsidR="00EA28EA" w:rsidRPr="008924EF">
        <w:rPr>
          <w:lang w:val="en-GB"/>
        </w:rPr>
        <w:t>s, depending on the impeller speed</w:t>
      </w:r>
      <w:r w:rsidRPr="008924EF">
        <w:rPr>
          <w:lang w:val="en-GB"/>
        </w:rPr>
        <w:t xml:space="preserve"> and the fluid</w:t>
      </w:r>
      <w:r w:rsidR="00EA28EA" w:rsidRPr="008924EF">
        <w:rPr>
          <w:lang w:val="en-GB"/>
        </w:rPr>
        <w:t>, in order to maintain the particle displacement below 25</w:t>
      </w:r>
      <w:r w:rsidR="00EA28EA" w:rsidRPr="00F976E0">
        <w:rPr>
          <w:lang w:val="en-GB"/>
        </w:rPr>
        <w:t xml:space="preserve">% </w:t>
      </w:r>
      <w:r w:rsidR="001C32B9" w:rsidRPr="00F976E0">
        <w:rPr>
          <w:lang w:val="en-GB"/>
        </w:rPr>
        <w:t xml:space="preserve">of </w:t>
      </w:r>
      <w:r w:rsidR="00EA28EA" w:rsidRPr="00F976E0">
        <w:rPr>
          <w:lang w:val="en-GB"/>
        </w:rPr>
        <w:t>the length</w:t>
      </w:r>
      <w:r w:rsidR="00EA28EA" w:rsidRPr="008924EF">
        <w:rPr>
          <w:lang w:val="en-GB"/>
        </w:rPr>
        <w:t xml:space="preserve"> of the interrogation area size. The velocity vectors were calculated by applying a cross-correlation algorithm to each image pair on a rectangular grid with 50% overlap between adjacent cells and an interrogation area of 32×32 pixel. The resulting vector resolution was of about 2.</w:t>
      </w:r>
      <w:r w:rsidR="005E062C" w:rsidRPr="008924EF">
        <w:rPr>
          <w:lang w:val="en-GB"/>
        </w:rPr>
        <w:t>3</w:t>
      </w:r>
      <w:r w:rsidR="00EA28EA" w:rsidRPr="008924EF">
        <w:rPr>
          <w:lang w:val="en-GB"/>
        </w:rPr>
        <w:t xml:space="preserve">mm </w:t>
      </w:r>
      <w:r w:rsidR="005E062C" w:rsidRPr="008924EF">
        <w:rPr>
          <w:lang w:val="en-GB"/>
        </w:rPr>
        <w:t>in the horizontal plane and 1.7mm in the vertical plane</w:t>
      </w:r>
      <w:r w:rsidR="00EA28EA" w:rsidRPr="008924EF">
        <w:rPr>
          <w:lang w:val="en-GB"/>
        </w:rPr>
        <w:t>.</w:t>
      </w:r>
      <w:r w:rsidR="005E062C" w:rsidRPr="008924EF">
        <w:rPr>
          <w:lang w:val="en-GB"/>
        </w:rPr>
        <w:t xml:space="preserve"> </w:t>
      </w:r>
      <w:r w:rsidR="00EA28EA" w:rsidRPr="008924EF">
        <w:rPr>
          <w:lang w:val="en-GB"/>
        </w:rPr>
        <w:t>The instantaneous vectors were submitted to a validation procedure based on the evaluation of the peak heights in the correlation plane and of velocity magnitude. The vectors that did not satisfy the selected validation cri</w:t>
      </w:r>
      <w:r w:rsidR="00B31942" w:rsidRPr="008924EF">
        <w:rPr>
          <w:lang w:val="en-GB"/>
        </w:rPr>
        <w:t xml:space="preserve">teria were discarded. </w:t>
      </w:r>
      <w:r w:rsidR="002D1B49" w:rsidRPr="008924EF">
        <w:rPr>
          <w:lang w:val="en-GB"/>
        </w:rPr>
        <w:t xml:space="preserve">The number of image </w:t>
      </w:r>
      <w:r w:rsidR="002D1B49" w:rsidRPr="008924EF">
        <w:rPr>
          <w:lang w:val="en-GB"/>
        </w:rPr>
        <w:lastRenderedPageBreak/>
        <w:t>pairs collected in each run was equal to 1000 and a</w:t>
      </w:r>
      <w:r w:rsidR="00B31942" w:rsidRPr="008924EF">
        <w:rPr>
          <w:lang w:val="en-GB"/>
        </w:rPr>
        <w:t>t least 5</w:t>
      </w:r>
      <w:r w:rsidR="00EA28EA" w:rsidRPr="008924EF">
        <w:rPr>
          <w:lang w:val="en-GB"/>
        </w:rPr>
        <w:t>00 image pairs were required to obtain statistical convergence on mean velocities.</w:t>
      </w:r>
    </w:p>
    <w:p w14:paraId="3BCD726E" w14:textId="15DD09D4" w:rsidR="00CB4987" w:rsidRPr="008924EF" w:rsidRDefault="00CB4987" w:rsidP="00327219">
      <w:pPr>
        <w:pStyle w:val="CETheadingx"/>
        <w:rPr>
          <w:lang w:val="en-GB"/>
        </w:rPr>
      </w:pPr>
      <w:r w:rsidRPr="008924EF">
        <w:rPr>
          <w:lang w:val="en-GB"/>
        </w:rPr>
        <w:t xml:space="preserve"> Rheological</w:t>
      </w:r>
      <w:r w:rsidR="00E86CB8" w:rsidRPr="008924EF">
        <w:rPr>
          <w:lang w:val="en-GB"/>
        </w:rPr>
        <w:t xml:space="preserve"> and flow regime</w:t>
      </w:r>
      <w:r w:rsidRPr="008924EF">
        <w:rPr>
          <w:lang w:val="en-GB"/>
        </w:rPr>
        <w:t xml:space="preserve"> characterization</w:t>
      </w:r>
      <w:r w:rsidR="00E86CB8" w:rsidRPr="008924EF">
        <w:rPr>
          <w:lang w:val="en-GB"/>
        </w:rPr>
        <w:t xml:space="preserve"> </w:t>
      </w:r>
    </w:p>
    <w:p w14:paraId="37B8A690" w14:textId="690EB56C" w:rsidR="00A20B43" w:rsidRPr="008924EF" w:rsidRDefault="00E86CB8" w:rsidP="00585286">
      <w:pPr>
        <w:pStyle w:val="CETBodytext"/>
        <w:rPr>
          <w:lang w:val="en-GB"/>
        </w:rPr>
      </w:pPr>
      <w:r w:rsidRPr="008924EF">
        <w:rPr>
          <w:lang w:val="en-GB"/>
        </w:rPr>
        <w:t>The rheological measurements ha</w:t>
      </w:r>
      <w:r w:rsidR="00FB1F3F" w:rsidRPr="008924EF">
        <w:rPr>
          <w:lang w:val="en-GB"/>
        </w:rPr>
        <w:t>ve</w:t>
      </w:r>
      <w:r w:rsidRPr="008924EF">
        <w:rPr>
          <w:lang w:val="en-GB"/>
        </w:rPr>
        <w:t xml:space="preserve"> been carried out using a Anton Paar Physica MCR301 rotational </w:t>
      </w:r>
      <w:r w:rsidR="00A20B43" w:rsidRPr="008924EF">
        <w:rPr>
          <w:lang w:val="en-GB"/>
        </w:rPr>
        <w:t>rheometer.</w:t>
      </w:r>
      <w:r w:rsidR="00FB1F3F" w:rsidRPr="008924EF">
        <w:rPr>
          <w:lang w:val="en-GB"/>
        </w:rPr>
        <w:t xml:space="preserve"> </w:t>
      </w:r>
      <w:r w:rsidR="00A20B43" w:rsidRPr="008924EF">
        <w:rPr>
          <w:lang w:val="en-GB"/>
        </w:rPr>
        <w:t xml:space="preserve">The geometry used for the flow curve characterization is </w:t>
      </w:r>
      <w:r w:rsidR="001A35E6" w:rsidRPr="008924EF">
        <w:rPr>
          <w:lang w:val="en-GB"/>
        </w:rPr>
        <w:t>stainless steel hollow bob B-DG26 and cup C-DG26/SS for measurement according to DIN 54453.</w:t>
      </w:r>
      <w:r w:rsidR="00A20B43" w:rsidRPr="008924EF">
        <w:rPr>
          <w:lang w:val="en-GB"/>
        </w:rPr>
        <w:t xml:space="preserve"> The range of shear rate for the flow ramp has been selected between 0.1- 500 s</w:t>
      </w:r>
      <w:r w:rsidR="00A20B43" w:rsidRPr="008924EF">
        <w:rPr>
          <w:vertAlign w:val="superscript"/>
          <w:lang w:val="en-GB"/>
        </w:rPr>
        <w:t>-1</w:t>
      </w:r>
      <w:r w:rsidR="00FB1F3F" w:rsidRPr="008924EF">
        <w:rPr>
          <w:lang w:val="en-GB"/>
        </w:rPr>
        <w:t xml:space="preserve"> </w:t>
      </w:r>
      <w:r w:rsidR="00A20B43" w:rsidRPr="008924EF">
        <w:rPr>
          <w:lang w:val="en-GB"/>
        </w:rPr>
        <w:t xml:space="preserve">to ensure </w:t>
      </w:r>
      <w:r w:rsidR="00FB1F3F" w:rsidRPr="008924EF">
        <w:rPr>
          <w:lang w:val="en-GB"/>
        </w:rPr>
        <w:t>investigation of</w:t>
      </w:r>
      <w:r w:rsidR="00BC348C" w:rsidRPr="008924EF">
        <w:rPr>
          <w:lang w:val="en-GB"/>
        </w:rPr>
        <w:t xml:space="preserve"> the full range</w:t>
      </w:r>
      <w:r w:rsidR="00A20B43" w:rsidRPr="008924EF">
        <w:rPr>
          <w:lang w:val="en-GB"/>
        </w:rPr>
        <w:t xml:space="preserve"> of i</w:t>
      </w:r>
      <w:r w:rsidR="00BC348C" w:rsidRPr="008924EF">
        <w:rPr>
          <w:lang w:val="en-GB"/>
        </w:rPr>
        <w:t xml:space="preserve">nterest for the stirred vessel </w:t>
      </w:r>
      <w:r w:rsidR="00A20B43" w:rsidRPr="008924EF">
        <w:rPr>
          <w:lang w:val="en-GB"/>
        </w:rPr>
        <w:t>at selected configurations.</w:t>
      </w:r>
      <w:r w:rsidR="001A35E6" w:rsidRPr="008924EF">
        <w:rPr>
          <w:lang w:val="en-GB"/>
        </w:rPr>
        <w:t xml:space="preserve"> </w:t>
      </w:r>
      <w:r w:rsidR="00FB1F3F" w:rsidRPr="008924EF">
        <w:rPr>
          <w:lang w:val="en-GB"/>
        </w:rPr>
        <w:t xml:space="preserve">Measurement </w:t>
      </w:r>
      <w:r w:rsidR="00C545A5" w:rsidRPr="008924EF">
        <w:rPr>
          <w:lang w:val="en-GB"/>
        </w:rPr>
        <w:t xml:space="preserve">showed </w:t>
      </w:r>
      <w:r w:rsidR="001A35E6" w:rsidRPr="008924EF">
        <w:rPr>
          <w:lang w:val="en-GB"/>
        </w:rPr>
        <w:t xml:space="preserve">that effects of temperature </w:t>
      </w:r>
      <w:r w:rsidR="00C545A5" w:rsidRPr="008924EF">
        <w:rPr>
          <w:lang w:val="en-GB"/>
        </w:rPr>
        <w:t xml:space="preserve">differences in the range 20-30°C </w:t>
      </w:r>
      <w:r w:rsidR="001A35E6" w:rsidRPr="008924EF">
        <w:rPr>
          <w:lang w:val="en-GB"/>
        </w:rPr>
        <w:t>were minimal</w:t>
      </w:r>
      <w:r w:rsidR="00FB1F3F" w:rsidRPr="008924EF">
        <w:rPr>
          <w:lang w:val="en-GB"/>
        </w:rPr>
        <w:t xml:space="preserve"> at the shear rates of interest, </w:t>
      </w:r>
      <w:r w:rsidR="00C545A5" w:rsidRPr="008924EF">
        <w:rPr>
          <w:lang w:val="en-GB"/>
        </w:rPr>
        <w:t xml:space="preserve">as shown in Figure 2, where the </w:t>
      </w:r>
      <w:r w:rsidR="001A35E6" w:rsidRPr="008924EF">
        <w:rPr>
          <w:lang w:val="en-GB"/>
        </w:rPr>
        <w:t xml:space="preserve">red lines correspond to the shear of interest for the three selected </w:t>
      </w:r>
      <w:r w:rsidR="00FB1F3F" w:rsidRPr="008924EF">
        <w:rPr>
          <w:lang w:val="en-GB"/>
        </w:rPr>
        <w:t>impeller</w:t>
      </w:r>
      <w:r w:rsidR="00C545A5" w:rsidRPr="008924EF">
        <w:rPr>
          <w:lang w:val="en-GB"/>
        </w:rPr>
        <w:t xml:space="preserve"> speeds</w:t>
      </w:r>
      <w:r w:rsidR="001A35E6" w:rsidRPr="008924EF">
        <w:rPr>
          <w:lang w:val="en-GB"/>
        </w:rPr>
        <w:t>.</w:t>
      </w:r>
    </w:p>
    <w:p w14:paraId="49C7CFDA" w14:textId="074D5A2A" w:rsidR="001A35E6" w:rsidRPr="008924EF" w:rsidRDefault="00C2139A" w:rsidP="00C2139A">
      <w:pPr>
        <w:pStyle w:val="CETBodytext"/>
        <w:jc w:val="center"/>
        <w:rPr>
          <w:lang w:val="en-GB"/>
        </w:rPr>
      </w:pPr>
      <w:r w:rsidRPr="008924EF">
        <w:rPr>
          <w:noProof/>
          <w:lang w:val="it-IT" w:eastAsia="it-IT"/>
        </w:rPr>
        <w:drawing>
          <wp:inline distT="0" distB="0" distL="0" distR="0" wp14:anchorId="2E18B12C" wp14:editId="6CDFD6E6">
            <wp:extent cx="4327556" cy="19933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lum bright="-43000" contrast="-33000"/>
                      <a:extLst>
                        <a:ext uri="{28A0092B-C50C-407E-A947-70E740481C1C}">
                          <a14:useLocalDpi xmlns:a14="http://schemas.microsoft.com/office/drawing/2010/main" val="0"/>
                        </a:ext>
                      </a:extLst>
                    </a:blip>
                    <a:srcRect l="649" r="2971"/>
                    <a:stretch/>
                  </pic:blipFill>
                  <pic:spPr bwMode="auto">
                    <a:xfrm>
                      <a:off x="0" y="0"/>
                      <a:ext cx="4340847" cy="1999509"/>
                    </a:xfrm>
                    <a:prstGeom prst="rect">
                      <a:avLst/>
                    </a:prstGeom>
                    <a:noFill/>
                    <a:ln>
                      <a:noFill/>
                    </a:ln>
                    <a:extLst>
                      <a:ext uri="{53640926-AAD7-44D8-BBD7-CCE9431645EC}">
                        <a14:shadowObscured xmlns:a14="http://schemas.microsoft.com/office/drawing/2010/main"/>
                      </a:ext>
                    </a:extLst>
                  </pic:spPr>
                </pic:pic>
              </a:graphicData>
            </a:graphic>
          </wp:inline>
        </w:drawing>
      </w:r>
      <w:r w:rsidRPr="008924EF">
        <w:rPr>
          <w:lang w:val="en-GB"/>
        </w:rPr>
        <w:t xml:space="preserve"> </w:t>
      </w:r>
    </w:p>
    <w:p w14:paraId="1E0A4E83" w14:textId="586FAB1F" w:rsidR="001A35E6" w:rsidRPr="008924EF" w:rsidRDefault="001A35E6" w:rsidP="00BC348C">
      <w:pPr>
        <w:pStyle w:val="CETCaption"/>
      </w:pPr>
      <w:r w:rsidRPr="008924EF">
        <w:t>Figure 2: Flow curve</w:t>
      </w:r>
      <w:r w:rsidR="00C2139A" w:rsidRPr="008924EF">
        <w:t xml:space="preserve"> (A) and viscosity vs shear rate (B)</w:t>
      </w:r>
      <w:r w:rsidRPr="008924EF">
        <w:t xml:space="preserve"> at three different temperatures for the water-Xanthan gum solution 1 gr L</w:t>
      </w:r>
      <w:r w:rsidRPr="008924EF">
        <w:rPr>
          <w:vertAlign w:val="superscript"/>
        </w:rPr>
        <w:t>-1</w:t>
      </w:r>
      <w:r w:rsidR="007B3458" w:rsidRPr="008924EF">
        <w:t>.</w:t>
      </w:r>
    </w:p>
    <w:p w14:paraId="114C0478" w14:textId="379582DF" w:rsidR="00585286" w:rsidRPr="008924EF" w:rsidRDefault="006D7D47" w:rsidP="00F67307">
      <w:pPr>
        <w:pStyle w:val="CETEquation"/>
      </w:pPr>
      <w:r w:rsidRPr="008924EF">
        <w:t>T</w:t>
      </w:r>
      <w:r w:rsidR="00585286" w:rsidRPr="008924EF">
        <w:t xml:space="preserve">he apparent viscosity, </w:t>
      </w:r>
      <w:r w:rsidR="00585286" w:rsidRPr="008924EF">
        <w:rPr>
          <w:rFonts w:cs="Arial"/>
        </w:rPr>
        <w:t>µ</w:t>
      </w:r>
      <w:r w:rsidR="00585286" w:rsidRPr="008924EF">
        <w:rPr>
          <w:vertAlign w:val="subscript"/>
        </w:rPr>
        <w:t>a</w:t>
      </w:r>
      <w:r w:rsidR="00585286" w:rsidRPr="008924EF">
        <w:t xml:space="preserve">, </w:t>
      </w:r>
      <w:r w:rsidRPr="008924EF">
        <w:t xml:space="preserve">was </w:t>
      </w:r>
      <w:r w:rsidR="00585286" w:rsidRPr="008924EF">
        <w:t xml:space="preserve">estimated adopting the Metzner-Otto method as: </w:t>
      </w:r>
    </w:p>
    <w:p w14:paraId="4456D6A5" w14:textId="32D1D810" w:rsidR="00585286" w:rsidRPr="008924EF" w:rsidRDefault="00DB341B" w:rsidP="00FB1F3F">
      <w:pPr>
        <w:pStyle w:val="CETEquation"/>
        <w:tabs>
          <w:tab w:val="clear" w:pos="7100"/>
          <w:tab w:val="right" w:pos="8647"/>
        </w:tabs>
      </w:pPr>
      <m:oMath>
        <m:sSub>
          <m:sSubPr>
            <m:ctrlPr>
              <w:rPr>
                <w:rFonts w:ascii="Cambria Math" w:hAnsi="Cambria Math"/>
              </w:rPr>
            </m:ctrlPr>
          </m:sSubPr>
          <m:e>
            <m:r>
              <w:rPr>
                <w:rFonts w:ascii="Cambria Math" w:hAnsi="Cambria Math"/>
              </w:rPr>
              <m:t>μ</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m:t>
            </m:r>
          </m:sub>
        </m:sSub>
        <m:sSup>
          <m:sSupPr>
            <m:ctrlPr>
              <w:rPr>
                <w:rFonts w:ascii="Cambria Math" w:hAnsi="Cambria Math"/>
              </w:rPr>
            </m:ctrlPr>
          </m:sSupPr>
          <m:e>
            <m:acc>
              <m:accPr>
                <m:chr m:val="̇"/>
                <m:ctrlPr>
                  <w:rPr>
                    <w:rFonts w:ascii="Cambria Math" w:hAnsi="Cambria Math"/>
                  </w:rPr>
                </m:ctrlPr>
              </m:accPr>
              <m:e>
                <m:r>
                  <w:rPr>
                    <w:rFonts w:ascii="Cambria Math" w:hAnsi="Cambria Math"/>
                  </w:rPr>
                  <m:t>γ</m:t>
                </m:r>
              </m:e>
            </m:acc>
          </m:e>
          <m:sup>
            <m:r>
              <w:rPr>
                <w:rFonts w:ascii="Cambria Math" w:hAnsi="Cambria Math"/>
              </w:rPr>
              <m:t>n</m:t>
            </m:r>
            <m:r>
              <m:rPr>
                <m:sty m:val="p"/>
              </m:rPr>
              <w:rPr>
                <w:rFonts w:ascii="Cambria Math" w:hAnsi="Cambria Math"/>
              </w:rPr>
              <m:t>-1</m:t>
            </m:r>
          </m:sup>
        </m:sSup>
      </m:oMath>
      <w:r w:rsidR="00585286" w:rsidRPr="008924EF">
        <w:t xml:space="preserve">                                                             </w:t>
      </w:r>
      <w:r w:rsidR="00FB1F3F" w:rsidRPr="008924EF">
        <w:tab/>
      </w:r>
      <w:r w:rsidR="00585286" w:rsidRPr="008924EF">
        <w:t>(1)</w:t>
      </w:r>
    </w:p>
    <w:p w14:paraId="0F9A18A7" w14:textId="39BC83C6" w:rsidR="00585286" w:rsidRPr="008924EF" w:rsidRDefault="00DB341B" w:rsidP="00B40CDC">
      <w:pPr>
        <w:pStyle w:val="CETEquation"/>
        <w:tabs>
          <w:tab w:val="clear" w:pos="7100"/>
          <w:tab w:val="right" w:pos="8647"/>
        </w:tabs>
        <w:spacing w:after="0"/>
      </w:pPr>
      <m:oMath>
        <m:acc>
          <m:accPr>
            <m:chr m:val="̇"/>
            <m:ctrlPr>
              <w:rPr>
                <w:rFonts w:ascii="Cambria Math" w:hAnsi="Cambria Math"/>
              </w:rPr>
            </m:ctrlPr>
          </m:accPr>
          <m:e>
            <m:r>
              <w:rPr>
                <w:rFonts w:ascii="Cambria Math" w:hAnsi="Cambria Math"/>
              </w:rPr>
              <m:t>γ</m:t>
            </m:r>
          </m:e>
        </m:acc>
        <m:r>
          <w:rPr>
            <w:rFonts w:ascii="Cambria Math" w:hAnsi="Cambria Math"/>
          </w:rPr>
          <m:t>=KN</m:t>
        </m:r>
      </m:oMath>
      <w:r w:rsidR="00585286" w:rsidRPr="008924EF">
        <w:t xml:space="preserve">                                                                    </w:t>
      </w:r>
      <w:r w:rsidR="00FB1F3F" w:rsidRPr="008924EF">
        <w:tab/>
      </w:r>
      <w:r w:rsidR="00585286" w:rsidRPr="008924EF">
        <w:t>(2)</w:t>
      </w:r>
    </w:p>
    <w:p w14:paraId="2C01C5F0" w14:textId="77777777" w:rsidR="00585286" w:rsidRPr="008924EF" w:rsidRDefault="00585286" w:rsidP="00B40CDC">
      <w:pPr>
        <w:pStyle w:val="CETBodytext"/>
        <w:rPr>
          <w:lang w:val="en-GB"/>
        </w:rPr>
      </w:pPr>
    </w:p>
    <w:p w14:paraId="5B135B22" w14:textId="14ABB638" w:rsidR="00585286" w:rsidRPr="008924EF" w:rsidRDefault="00585286" w:rsidP="00B40CDC">
      <w:pPr>
        <w:pStyle w:val="CETBodytext"/>
        <w:rPr>
          <w:lang w:val="en-GB"/>
        </w:rPr>
      </w:pPr>
      <w:r w:rsidRPr="008924EF">
        <w:rPr>
          <w:lang w:val="en-GB"/>
        </w:rPr>
        <w:t>where k</w:t>
      </w:r>
      <w:r w:rsidRPr="008924EF">
        <w:rPr>
          <w:vertAlign w:val="subscript"/>
          <w:lang w:val="en-GB"/>
        </w:rPr>
        <w:t>s</w:t>
      </w:r>
      <w:r w:rsidRPr="008924EF">
        <w:rPr>
          <w:lang w:val="en-GB"/>
        </w:rPr>
        <w:t xml:space="preserve"> is the consistency index, </w:t>
      </w:r>
      <m:oMath>
        <m:acc>
          <m:accPr>
            <m:chr m:val="̇"/>
            <m:ctrlPr>
              <w:rPr>
                <w:rFonts w:ascii="Cambria Math" w:hAnsi="Cambria Math"/>
                <w:i/>
                <w:lang w:val="en-GB"/>
              </w:rPr>
            </m:ctrlPr>
          </m:accPr>
          <m:e>
            <m:r>
              <w:rPr>
                <w:rFonts w:ascii="Cambria Math" w:hAnsi="Cambria Math"/>
                <w:lang w:val="en-GB"/>
              </w:rPr>
              <m:t>γ</m:t>
            </m:r>
          </m:e>
        </m:acc>
        <m:r>
          <w:rPr>
            <w:rFonts w:ascii="Cambria Math" w:hAnsi="Cambria Math"/>
            <w:lang w:val="en-GB"/>
          </w:rPr>
          <m:t xml:space="preserve"> </m:t>
        </m:r>
      </m:oMath>
      <w:r w:rsidRPr="008924EF">
        <w:rPr>
          <w:lang w:val="en-GB"/>
        </w:rPr>
        <w:t xml:space="preserve">the shear rate and n the flow behavior index. These indexes are into the range of typical </w:t>
      </w:r>
      <w:r w:rsidR="009675E8" w:rsidRPr="008924EF">
        <w:rPr>
          <w:lang w:val="en-GB"/>
        </w:rPr>
        <w:t>digester</w:t>
      </w:r>
      <w:r w:rsidRPr="008924EF">
        <w:rPr>
          <w:lang w:val="en-GB"/>
        </w:rPr>
        <w:t xml:space="preserve"> fluids (Annas et al., 2019) and similar solutions were adopted also recently by Kolano </w:t>
      </w:r>
      <w:r w:rsidR="00EC0963" w:rsidRPr="008924EF">
        <w:rPr>
          <w:lang w:val="en-GB"/>
        </w:rPr>
        <w:t>et al.</w:t>
      </w:r>
      <w:r w:rsidRPr="008924EF">
        <w:rPr>
          <w:lang w:val="en-GB"/>
        </w:rPr>
        <w:t xml:space="preserve"> (2021) in the investigation </w:t>
      </w:r>
      <w:r w:rsidR="009675E8" w:rsidRPr="008924EF">
        <w:rPr>
          <w:lang w:val="en-GB"/>
        </w:rPr>
        <w:t>o</w:t>
      </w:r>
      <w:r w:rsidR="008924EF" w:rsidRPr="008924EF">
        <w:rPr>
          <w:lang w:val="en-GB"/>
        </w:rPr>
        <w:t>f</w:t>
      </w:r>
      <w:r w:rsidR="009675E8" w:rsidRPr="008924EF">
        <w:rPr>
          <w:lang w:val="en-GB"/>
        </w:rPr>
        <w:t xml:space="preserve"> </w:t>
      </w:r>
      <w:r w:rsidRPr="008924EF">
        <w:rPr>
          <w:lang w:val="en-GB"/>
        </w:rPr>
        <w:t xml:space="preserve">a pilot biogas fermenter equipped with side-entering impellers. For the constant K, the value of 11 was adopted, as recommended for high speed impellers. The resulting values of </w:t>
      </w:r>
      <w:r w:rsidR="00E11C69" w:rsidRPr="008924EF">
        <w:rPr>
          <w:rFonts w:cs="Arial"/>
          <w:lang w:val="en-GB"/>
        </w:rPr>
        <w:t>µ</w:t>
      </w:r>
      <w:r w:rsidRPr="008924EF">
        <w:rPr>
          <w:vertAlign w:val="subscript"/>
          <w:lang w:val="en-GB"/>
        </w:rPr>
        <w:t>a</w:t>
      </w:r>
      <w:r w:rsidRPr="008924EF">
        <w:rPr>
          <w:lang w:val="en-GB"/>
        </w:rPr>
        <w:t xml:space="preserve"> were 0.05, 0.03, 0.025 Pa·s for N equal to 67</w:t>
      </w:r>
      <w:r w:rsidR="00EB1D61" w:rsidRPr="008924EF">
        <w:rPr>
          <w:lang w:val="en-GB"/>
        </w:rPr>
        <w:t xml:space="preserve"> (1.11 rps)</w:t>
      </w:r>
      <w:r w:rsidRPr="008924EF">
        <w:rPr>
          <w:lang w:val="en-GB"/>
        </w:rPr>
        <w:t>, 133</w:t>
      </w:r>
      <w:r w:rsidR="00EB1D61" w:rsidRPr="008924EF">
        <w:rPr>
          <w:lang w:val="en-GB"/>
        </w:rPr>
        <w:t xml:space="preserve"> (2.2 rps)</w:t>
      </w:r>
      <w:r w:rsidRPr="008924EF">
        <w:rPr>
          <w:lang w:val="en-GB"/>
        </w:rPr>
        <w:t xml:space="preserve"> and 217</w:t>
      </w:r>
      <w:r w:rsidR="00EB1D61" w:rsidRPr="008924EF">
        <w:rPr>
          <w:lang w:val="en-GB"/>
        </w:rPr>
        <w:t xml:space="preserve"> (3.6rps) </w:t>
      </w:r>
      <w:r w:rsidRPr="008924EF">
        <w:rPr>
          <w:lang w:val="en-GB"/>
        </w:rPr>
        <w:t>rpm, respectively. Therefore, in the investigated conditions, the rotational Reynolds number, that is defined as:</w:t>
      </w:r>
    </w:p>
    <w:p w14:paraId="4C56A16E" w14:textId="2F78293C" w:rsidR="00585286" w:rsidRPr="008924EF" w:rsidRDefault="00585286" w:rsidP="00F67307">
      <w:pPr>
        <w:pStyle w:val="CETEquation"/>
      </w:pPr>
      <m:oMath>
        <m:r>
          <w:rPr>
            <w:rFonts w:ascii="Cambria Math" w:hAnsi="Cambria Math"/>
          </w:rPr>
          <m:t>Re</m:t>
        </m:r>
        <m:r>
          <m:rPr>
            <m:sty m:val="p"/>
          </m:rPr>
          <w:rPr>
            <w:rFonts w:ascii="Cambria Math" w:hAnsi="Cambria Math"/>
          </w:rPr>
          <m:t>=</m:t>
        </m:r>
        <m:f>
          <m:fPr>
            <m:ctrlPr>
              <w:rPr>
                <w:rFonts w:ascii="Cambria Math" w:hAnsi="Cambria Math"/>
              </w:rPr>
            </m:ctrlPr>
          </m:fPr>
          <m:num>
            <m:r>
              <m:rPr>
                <m:sty m:val="p"/>
              </m:rPr>
              <w:rPr>
                <w:rFonts w:ascii="Cambria Math" w:hAnsi="Cambria Math"/>
              </w:rPr>
              <m:t>ρN</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num>
          <m:den>
            <m:r>
              <w:rPr>
                <w:rFonts w:ascii="Cambria Math" w:hAnsi="Cambria Math"/>
              </w:rPr>
              <m:t>μ</m:t>
            </m:r>
          </m:den>
        </m:f>
      </m:oMath>
      <w:r w:rsidRPr="008924EF">
        <w:t xml:space="preserve">                                                          </w:t>
      </w:r>
      <w:r w:rsidR="00D42D01" w:rsidRPr="008924EF">
        <w:tab/>
      </w:r>
      <w:r w:rsidR="00D42D01" w:rsidRPr="008924EF">
        <w:tab/>
      </w:r>
      <w:r w:rsidR="00D42D01" w:rsidRPr="008924EF">
        <w:tab/>
      </w:r>
      <w:r w:rsidRPr="008924EF">
        <w:t>(</w:t>
      </w:r>
      <w:r w:rsidR="00196835" w:rsidRPr="008924EF">
        <w:t>3</w:t>
      </w:r>
      <w:r w:rsidRPr="008924EF">
        <w:t>)</w:t>
      </w:r>
    </w:p>
    <w:p w14:paraId="522AC177" w14:textId="5587C278" w:rsidR="00585286" w:rsidRPr="008924EF" w:rsidRDefault="00585286" w:rsidP="00585286">
      <w:pPr>
        <w:pStyle w:val="CETBodytext"/>
        <w:rPr>
          <w:lang w:val="en-GB"/>
        </w:rPr>
      </w:pPr>
      <w:r w:rsidRPr="008924EF">
        <w:rPr>
          <w:lang w:val="en-GB"/>
        </w:rPr>
        <w:t>ranges from 6.4×10</w:t>
      </w:r>
      <w:r w:rsidRPr="008924EF">
        <w:rPr>
          <w:vertAlign w:val="superscript"/>
          <w:lang w:val="en-GB"/>
        </w:rPr>
        <w:t>4</w:t>
      </w:r>
      <w:r w:rsidRPr="008924EF">
        <w:rPr>
          <w:lang w:val="en-GB"/>
        </w:rPr>
        <w:t xml:space="preserve"> to 2.1×10</w:t>
      </w:r>
      <w:r w:rsidRPr="008924EF">
        <w:rPr>
          <w:vertAlign w:val="superscript"/>
          <w:lang w:val="en-GB"/>
        </w:rPr>
        <w:t>5</w:t>
      </w:r>
      <w:r w:rsidRPr="008924EF">
        <w:rPr>
          <w:lang w:val="en-GB"/>
        </w:rPr>
        <w:t xml:space="preserve"> in water and from 1.3×10</w:t>
      </w:r>
      <w:r w:rsidRPr="008924EF">
        <w:rPr>
          <w:vertAlign w:val="superscript"/>
          <w:lang w:val="en-GB"/>
        </w:rPr>
        <w:t>3</w:t>
      </w:r>
      <w:r w:rsidRPr="008924EF">
        <w:rPr>
          <w:lang w:val="en-GB"/>
        </w:rPr>
        <w:t xml:space="preserve"> to 8.3×10</w:t>
      </w:r>
      <w:r w:rsidRPr="008924EF">
        <w:rPr>
          <w:vertAlign w:val="superscript"/>
          <w:lang w:val="en-GB"/>
        </w:rPr>
        <w:t>3</w:t>
      </w:r>
      <w:r w:rsidR="00EB1D61" w:rsidRPr="008924EF">
        <w:rPr>
          <w:vertAlign w:val="superscript"/>
          <w:lang w:val="en-GB"/>
        </w:rPr>
        <w:t xml:space="preserve"> </w:t>
      </w:r>
      <w:r w:rsidRPr="008924EF">
        <w:rPr>
          <w:lang w:val="en-GB"/>
        </w:rPr>
        <w:t xml:space="preserve">in the Xa solution. </w:t>
      </w:r>
    </w:p>
    <w:p w14:paraId="677EBFF0" w14:textId="018B18DA" w:rsidR="00600535" w:rsidRPr="008924EF" w:rsidRDefault="0055481F" w:rsidP="00600535">
      <w:pPr>
        <w:pStyle w:val="CETHeading1"/>
        <w:tabs>
          <w:tab w:val="clear" w:pos="360"/>
          <w:tab w:val="right" w:pos="7100"/>
        </w:tabs>
        <w:jc w:val="both"/>
        <w:rPr>
          <w:lang w:val="en-GB"/>
        </w:rPr>
      </w:pPr>
      <w:r w:rsidRPr="008924EF">
        <w:rPr>
          <w:lang w:val="en-GB"/>
        </w:rPr>
        <w:t>R</w:t>
      </w:r>
      <w:r w:rsidR="00AF7481" w:rsidRPr="008924EF">
        <w:rPr>
          <w:lang w:val="en-GB"/>
        </w:rPr>
        <w:t>esults</w:t>
      </w:r>
    </w:p>
    <w:p w14:paraId="73159099" w14:textId="69BE8BA3" w:rsidR="003F74B9" w:rsidRPr="008924EF" w:rsidRDefault="003F74B9" w:rsidP="00C4040B">
      <w:pPr>
        <w:pStyle w:val="CETBodytext"/>
        <w:rPr>
          <w:lang w:val="en-GB"/>
        </w:rPr>
      </w:pPr>
      <w:r w:rsidRPr="008924EF">
        <w:rPr>
          <w:lang w:val="en-GB"/>
        </w:rPr>
        <w:t>In the following</w:t>
      </w:r>
      <w:r w:rsidR="00AC359A" w:rsidRPr="008924EF">
        <w:rPr>
          <w:lang w:val="en-GB"/>
        </w:rPr>
        <w:t>,</w:t>
      </w:r>
      <w:r w:rsidRPr="008924EF">
        <w:rPr>
          <w:lang w:val="en-GB"/>
        </w:rPr>
        <w:t xml:space="preserve"> the results obtained with the two fluids at </w:t>
      </w:r>
      <w:r w:rsidR="005E062C" w:rsidRPr="008924EF">
        <w:rPr>
          <w:lang w:val="en-GB"/>
        </w:rPr>
        <w:t>different</w:t>
      </w:r>
      <w:r w:rsidRPr="008924EF">
        <w:rPr>
          <w:lang w:val="en-GB"/>
        </w:rPr>
        <w:t xml:space="preserve"> impeller speeds </w:t>
      </w:r>
      <w:r w:rsidR="008B1678">
        <w:rPr>
          <w:lang w:val="en-GB"/>
        </w:rPr>
        <w:t>are</w:t>
      </w:r>
      <w:r w:rsidRPr="008924EF">
        <w:rPr>
          <w:lang w:val="en-GB"/>
        </w:rPr>
        <w:t xml:space="preserve"> compared and discussed. In addition to the conventional clockwise rotation, agitation was also performed </w:t>
      </w:r>
      <w:r w:rsidR="00AC359A" w:rsidRPr="008924EF">
        <w:rPr>
          <w:lang w:val="en-GB"/>
        </w:rPr>
        <w:t>with</w:t>
      </w:r>
      <w:r w:rsidRPr="008924EF">
        <w:rPr>
          <w:lang w:val="en-GB"/>
        </w:rPr>
        <w:t xml:space="preserve"> anticlockwise rotation, thus changing the agitation mode provided by the inclined blades. The corresponding variations of the liquid flow patterns are of special interest, in order to evaluate the possible improvement of the </w:t>
      </w:r>
      <w:r w:rsidR="00E03AEE" w:rsidRPr="008924EF">
        <w:rPr>
          <w:lang w:val="en-GB"/>
        </w:rPr>
        <w:t>solid</w:t>
      </w:r>
      <w:r w:rsidRPr="008924EF">
        <w:rPr>
          <w:lang w:val="en-GB"/>
        </w:rPr>
        <w:t xml:space="preserve"> suspension </w:t>
      </w:r>
      <w:r w:rsidR="000A37F6" w:rsidRPr="008924EF">
        <w:rPr>
          <w:lang w:val="en-GB"/>
        </w:rPr>
        <w:t xml:space="preserve">characteristics, being this a critical aspect during the industrial operation. A preliminary visual </w:t>
      </w:r>
      <w:r w:rsidR="00D77D2F" w:rsidRPr="008924EF">
        <w:rPr>
          <w:lang w:val="en-GB"/>
        </w:rPr>
        <w:t>estimation</w:t>
      </w:r>
      <w:r w:rsidR="000A37F6" w:rsidRPr="008924EF">
        <w:rPr>
          <w:lang w:val="en-GB"/>
        </w:rPr>
        <w:t xml:space="preserve"> of</w:t>
      </w:r>
      <w:r w:rsidR="00667DBA" w:rsidRPr="008924EF">
        <w:rPr>
          <w:lang w:val="en-GB"/>
        </w:rPr>
        <w:t xml:space="preserve"> </w:t>
      </w:r>
      <w:r w:rsidR="005E062C" w:rsidRPr="008924EF">
        <w:rPr>
          <w:lang w:val="en-GB"/>
        </w:rPr>
        <w:t xml:space="preserve">the </w:t>
      </w:r>
      <w:r w:rsidR="00667DBA" w:rsidRPr="008924EF">
        <w:rPr>
          <w:lang w:val="en-GB"/>
        </w:rPr>
        <w:t xml:space="preserve">appropriateness of the impeller rotational speed scale-down </w:t>
      </w:r>
      <w:r w:rsidR="00AD1116" w:rsidRPr="008924EF">
        <w:rPr>
          <w:lang w:val="en-GB"/>
        </w:rPr>
        <w:t>criterion</w:t>
      </w:r>
      <w:r w:rsidR="00667DBA" w:rsidRPr="008924EF">
        <w:rPr>
          <w:lang w:val="en-GB"/>
        </w:rPr>
        <w:t xml:space="preserve"> and on</w:t>
      </w:r>
      <w:r w:rsidR="000A37F6" w:rsidRPr="008924EF">
        <w:rPr>
          <w:lang w:val="en-GB"/>
        </w:rPr>
        <w:t xml:space="preserve"> the difference obtained with c</w:t>
      </w:r>
      <w:r w:rsidR="00F976E0">
        <w:rPr>
          <w:lang w:val="en-GB"/>
        </w:rPr>
        <w:t>lockwise</w:t>
      </w:r>
      <w:r w:rsidR="000A37F6" w:rsidRPr="008924EF">
        <w:rPr>
          <w:lang w:val="en-GB"/>
        </w:rPr>
        <w:t xml:space="preserve"> and </w:t>
      </w:r>
      <w:r w:rsidR="00F976E0">
        <w:rPr>
          <w:lang w:val="en-GB"/>
        </w:rPr>
        <w:t>anticlockwise rotation</w:t>
      </w:r>
      <w:r w:rsidR="000A37F6" w:rsidRPr="008924EF">
        <w:rPr>
          <w:lang w:val="en-GB"/>
        </w:rPr>
        <w:t xml:space="preserve"> mode </w:t>
      </w:r>
      <w:r w:rsidR="00D77D2F" w:rsidRPr="008924EF">
        <w:rPr>
          <w:lang w:val="en-GB"/>
        </w:rPr>
        <w:t xml:space="preserve">is possible observing the pictures of the vessel shown in Figure </w:t>
      </w:r>
      <w:r w:rsidR="008B1678">
        <w:rPr>
          <w:lang w:val="en-GB"/>
        </w:rPr>
        <w:t>3</w:t>
      </w:r>
      <w:r w:rsidR="007B3396" w:rsidRPr="008924EF">
        <w:rPr>
          <w:lang w:val="en-GB"/>
        </w:rPr>
        <w:t>a-b</w:t>
      </w:r>
      <w:r w:rsidR="008D0CE0" w:rsidRPr="008924EF">
        <w:rPr>
          <w:lang w:val="en-GB"/>
        </w:rPr>
        <w:t>, where the biomass distribution at N=133rpm</w:t>
      </w:r>
      <w:r w:rsidR="001802A0" w:rsidRPr="008924EF">
        <w:rPr>
          <w:lang w:val="en-GB"/>
        </w:rPr>
        <w:t xml:space="preserve"> (same specific power of the industrial scale)</w:t>
      </w:r>
      <w:r w:rsidR="008D0CE0" w:rsidRPr="008924EF">
        <w:rPr>
          <w:lang w:val="en-GB"/>
        </w:rPr>
        <w:t xml:space="preserve"> close to the wall </w:t>
      </w:r>
      <w:r w:rsidR="005E062C" w:rsidRPr="008924EF">
        <w:rPr>
          <w:lang w:val="en-GB"/>
        </w:rPr>
        <w:t>can</w:t>
      </w:r>
      <w:r w:rsidR="008D0CE0" w:rsidRPr="008924EF">
        <w:rPr>
          <w:lang w:val="en-GB"/>
        </w:rPr>
        <w:t xml:space="preserve"> be observed</w:t>
      </w:r>
      <w:r w:rsidR="00E06A9C" w:rsidRPr="008924EF">
        <w:rPr>
          <w:lang w:val="en-GB"/>
        </w:rPr>
        <w:t xml:space="preserve"> in the two cases</w:t>
      </w:r>
      <w:r w:rsidR="00432F5E" w:rsidRPr="008924EF">
        <w:rPr>
          <w:lang w:val="en-GB"/>
        </w:rPr>
        <w:t>.</w:t>
      </w:r>
      <w:r w:rsidR="008D0CE0" w:rsidRPr="008924EF">
        <w:rPr>
          <w:lang w:val="en-GB"/>
        </w:rPr>
        <w:t xml:space="preserve"> </w:t>
      </w:r>
      <w:r w:rsidR="00626F16" w:rsidRPr="008924EF">
        <w:rPr>
          <w:lang w:val="en-GB"/>
        </w:rPr>
        <w:t xml:space="preserve">In order to reproduce the industrial conditions, the </w:t>
      </w:r>
      <w:r w:rsidR="009C448B" w:rsidRPr="008924EF">
        <w:rPr>
          <w:lang w:val="en-GB"/>
        </w:rPr>
        <w:t>feedstock</w:t>
      </w:r>
      <w:r w:rsidR="00626F16" w:rsidRPr="008924EF">
        <w:rPr>
          <w:lang w:val="en-GB"/>
        </w:rPr>
        <w:t xml:space="preserve"> was added to the liquid from the corresponding top position of the feeding. </w:t>
      </w:r>
      <w:r w:rsidR="00C4040B" w:rsidRPr="008924EF">
        <w:rPr>
          <w:lang w:val="en-GB"/>
        </w:rPr>
        <w:t xml:space="preserve">The presence of the solid deposition confirms that the specific power consumption is the best among the available scale-down criteria for reproducing the industrial digester functioning, while at N=435 rpm (constant tip speed, not shown for brevity), complete suspension was </w:t>
      </w:r>
      <w:r w:rsidR="00C4040B" w:rsidRPr="008924EF">
        <w:rPr>
          <w:lang w:val="en-GB"/>
        </w:rPr>
        <w:lastRenderedPageBreak/>
        <w:t>observed, that does not reproduce the industrial condition where significant solid deposition was detected at the impeller speed of 12.5rpm (133rpm in the constant specific power consumption scale down version).</w:t>
      </w:r>
    </w:p>
    <w:p w14:paraId="03BACA6B" w14:textId="44B3F8B2" w:rsidR="008B242D" w:rsidRPr="008924EF" w:rsidRDefault="00532701" w:rsidP="008B242D">
      <w:pPr>
        <w:tabs>
          <w:tab w:val="left" w:pos="3165"/>
        </w:tabs>
        <w:spacing w:line="360" w:lineRule="auto"/>
      </w:pPr>
      <w:r w:rsidRPr="008924EF">
        <w:rPr>
          <w:noProof/>
          <w:lang w:val="it-IT" w:eastAsia="it-IT"/>
        </w:rPr>
        <mc:AlternateContent>
          <mc:Choice Requires="wps">
            <w:drawing>
              <wp:anchor distT="45720" distB="45720" distL="114300" distR="114300" simplePos="0" relativeHeight="251664384" behindDoc="0" locked="0" layoutInCell="1" allowOverlap="1" wp14:anchorId="79C23D2A" wp14:editId="0AF215DA">
                <wp:simplePos x="0" y="0"/>
                <wp:positionH relativeFrom="column">
                  <wp:posOffset>497372</wp:posOffset>
                </wp:positionH>
                <wp:positionV relativeFrom="paragraph">
                  <wp:posOffset>21235</wp:posOffset>
                </wp:positionV>
                <wp:extent cx="362139" cy="23539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39" cy="235390"/>
                        </a:xfrm>
                        <a:prstGeom prst="rect">
                          <a:avLst/>
                        </a:prstGeom>
                        <a:solidFill>
                          <a:srgbClr val="FFFFFF"/>
                        </a:solidFill>
                        <a:ln w="9525">
                          <a:noFill/>
                          <a:miter lim="800000"/>
                          <a:headEnd/>
                          <a:tailEnd/>
                        </a:ln>
                      </wps:spPr>
                      <wps:txbx>
                        <w:txbxContent>
                          <w:p w14:paraId="392E286B" w14:textId="474CC07D" w:rsidR="00FB487D" w:rsidRPr="00FB487D" w:rsidRDefault="00FB487D">
                            <w:pPr>
                              <w:rPr>
                                <w:lang w:val="it-IT"/>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9C23D2A" id="_x0000_t202" coordsize="21600,21600" o:spt="202" path="m,l,21600r21600,l21600,xe">
                <v:stroke joinstyle="miter"/>
                <v:path gradientshapeok="t" o:connecttype="rect"/>
              </v:shapetype>
              <v:shape id="Casella di testo 2" o:spid="_x0000_s1026" type="#_x0000_t202" style="position:absolute;left:0;text-align:left;margin-left:39.15pt;margin-top:1.65pt;width:28.5pt;height:18.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" stroked="f">
                <v:textbox>
                  <w:txbxContent>
                    <w:p w14:paraId="392E286B" w14:textId="474CC07D" w:rsidR="00FB487D" w:rsidRPr="00FB487D" w:rsidRDefault="00FB487D">
                      <w:pPr>
                        <w:rPr>
                          <w:lang w:val="it-IT"/>
                        </w:rPr>
                      </w:pPr>
                      <w:r>
                        <w:t>(a)</w:t>
                      </w:r>
                    </w:p>
                  </w:txbxContent>
                </v:textbox>
              </v:shape>
            </w:pict>
          </mc:Fallback>
        </mc:AlternateContent>
      </w:r>
      <w:r w:rsidR="00FB487D" w:rsidRPr="008924EF">
        <w:rPr>
          <w:noProof/>
          <w:lang w:val="it-IT" w:eastAsia="it-IT"/>
        </w:rPr>
        <mc:AlternateContent>
          <mc:Choice Requires="wps">
            <w:drawing>
              <wp:anchor distT="45720" distB="45720" distL="114300" distR="114300" simplePos="0" relativeHeight="251666432" behindDoc="0" locked="0" layoutInCell="1" allowOverlap="1" wp14:anchorId="62B1B9A0" wp14:editId="3B5C6591">
                <wp:simplePos x="0" y="0"/>
                <wp:positionH relativeFrom="column">
                  <wp:posOffset>2826664</wp:posOffset>
                </wp:positionH>
                <wp:positionV relativeFrom="paragraph">
                  <wp:posOffset>21458</wp:posOffset>
                </wp:positionV>
                <wp:extent cx="362139" cy="235390"/>
                <wp:effectExtent l="0" t="0" r="0" b="0"/>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39" cy="235390"/>
                        </a:xfrm>
                        <a:prstGeom prst="rect">
                          <a:avLst/>
                        </a:prstGeom>
                        <a:solidFill>
                          <a:srgbClr val="FFFFFF"/>
                        </a:solidFill>
                        <a:ln w="9525">
                          <a:noFill/>
                          <a:miter lim="800000"/>
                          <a:headEnd/>
                          <a:tailEnd/>
                        </a:ln>
                      </wps:spPr>
                      <wps:txbx>
                        <w:txbxContent>
                          <w:p w14:paraId="30D602F3" w14:textId="0979D06D" w:rsidR="00FB487D" w:rsidRPr="00FB487D" w:rsidRDefault="00FB487D" w:rsidP="00FB487D">
                            <w:pPr>
                              <w:rPr>
                                <w:lang w:val="it-IT"/>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B1B9A0" id="_x0000_s1027" type="#_x0000_t202" style="position:absolute;left:0;text-align:left;margin-left:222.55pt;margin-top:1.7pt;width:28.5pt;height:18.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" stroked="f">
                <v:textbox>
                  <w:txbxContent>
                    <w:p w14:paraId="30D602F3" w14:textId="0979D06D" w:rsidR="00FB487D" w:rsidRPr="00FB487D" w:rsidRDefault="00FB487D" w:rsidP="00FB487D">
                      <w:pPr>
                        <w:rPr>
                          <w:lang w:val="it-IT"/>
                        </w:rPr>
                      </w:pPr>
                      <w:r>
                        <w:t>(b)</w:t>
                      </w:r>
                    </w:p>
                  </w:txbxContent>
                </v:textbox>
              </v:shape>
            </w:pict>
          </mc:Fallback>
        </mc:AlternateContent>
      </w:r>
      <w:r w:rsidRPr="008924EF">
        <w:t xml:space="preserve">               </w:t>
      </w:r>
      <w:r w:rsidR="008B242D" w:rsidRPr="008924EF">
        <w:rPr>
          <w:noProof/>
          <w:lang w:val="it-IT" w:eastAsia="it-IT"/>
        </w:rPr>
        <w:drawing>
          <wp:inline distT="0" distB="0" distL="0" distR="0" wp14:anchorId="2FF42BC3" wp14:editId="0EC7D4D0">
            <wp:extent cx="1977406" cy="1400321"/>
            <wp:effectExtent l="0" t="0" r="3810" b="9525"/>
            <wp:docPr id="9" name="Immagine 3" descr="IMG_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35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91" t="31369" b="20335"/>
                    <a:stretch/>
                  </pic:blipFill>
                  <pic:spPr bwMode="auto">
                    <a:xfrm>
                      <a:off x="0" y="0"/>
                      <a:ext cx="1981196" cy="1403005"/>
                    </a:xfrm>
                    <a:prstGeom prst="rect">
                      <a:avLst/>
                    </a:prstGeom>
                    <a:noFill/>
                    <a:ln>
                      <a:noFill/>
                    </a:ln>
                    <a:extLst>
                      <a:ext uri="{53640926-AAD7-44D8-BBD7-CCE9431645EC}">
                        <a14:shadowObscured xmlns:a14="http://schemas.microsoft.com/office/drawing/2010/main"/>
                      </a:ext>
                    </a:extLst>
                  </pic:spPr>
                </pic:pic>
              </a:graphicData>
            </a:graphic>
          </wp:inline>
        </w:drawing>
      </w:r>
      <w:r w:rsidR="008B242D" w:rsidRPr="008924EF">
        <w:t xml:space="preserve">           </w:t>
      </w:r>
      <w:r w:rsidR="008B242D" w:rsidRPr="008924EF">
        <w:rPr>
          <w:noProof/>
          <w:lang w:val="it-IT" w:eastAsia="it-IT"/>
        </w:rPr>
        <w:drawing>
          <wp:inline distT="0" distB="0" distL="0" distR="0" wp14:anchorId="35442E53" wp14:editId="17A27CCC">
            <wp:extent cx="2432245" cy="1413981"/>
            <wp:effectExtent l="0" t="0" r="6350" b="0"/>
            <wp:docPr id="4" name="Immagine 4" descr="IMG_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34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38" t="18299" r="8107" b="22659"/>
                    <a:stretch/>
                  </pic:blipFill>
                  <pic:spPr bwMode="auto">
                    <a:xfrm>
                      <a:off x="0" y="0"/>
                      <a:ext cx="2433820" cy="1414897"/>
                    </a:xfrm>
                    <a:prstGeom prst="rect">
                      <a:avLst/>
                    </a:prstGeom>
                    <a:noFill/>
                    <a:ln>
                      <a:noFill/>
                    </a:ln>
                    <a:extLst>
                      <a:ext uri="{53640926-AAD7-44D8-BBD7-CCE9431645EC}">
                        <a14:shadowObscured xmlns:a14="http://schemas.microsoft.com/office/drawing/2010/main"/>
                      </a:ext>
                    </a:extLst>
                  </pic:spPr>
                </pic:pic>
              </a:graphicData>
            </a:graphic>
          </wp:inline>
        </w:drawing>
      </w:r>
    </w:p>
    <w:p w14:paraId="7749EED4" w14:textId="607D54B9" w:rsidR="00D77D2F" w:rsidRPr="008924EF" w:rsidRDefault="00D77D2F" w:rsidP="00D77D2F">
      <w:pPr>
        <w:pStyle w:val="CETCaption"/>
      </w:pPr>
      <w:r w:rsidRPr="008924EF">
        <w:rPr>
          <w:rStyle w:val="CETCaptionCarattere"/>
          <w:i/>
        </w:rPr>
        <w:t xml:space="preserve">Figure </w:t>
      </w:r>
      <w:r w:rsidR="00E86CB8" w:rsidRPr="008924EF">
        <w:rPr>
          <w:rStyle w:val="CETCaptionCarattere"/>
          <w:i/>
        </w:rPr>
        <w:t>3</w:t>
      </w:r>
      <w:r w:rsidRPr="008924EF">
        <w:rPr>
          <w:rStyle w:val="CETCaptionCarattere"/>
          <w:i/>
        </w:rPr>
        <w:t xml:space="preserve">: </w:t>
      </w:r>
      <w:r w:rsidR="00E03AEE" w:rsidRPr="008924EF">
        <w:rPr>
          <w:rStyle w:val="CETCaptionCarattere"/>
          <w:i/>
        </w:rPr>
        <w:t xml:space="preserve">Visual observation of the </w:t>
      </w:r>
      <w:r w:rsidR="00B17599" w:rsidRPr="008924EF">
        <w:rPr>
          <w:rStyle w:val="CETCaptionCarattere"/>
          <w:i/>
        </w:rPr>
        <w:t>feedstock</w:t>
      </w:r>
      <w:r w:rsidR="00E03AEE" w:rsidRPr="008924EF">
        <w:rPr>
          <w:rStyle w:val="CETCaptionCarattere"/>
          <w:i/>
        </w:rPr>
        <w:t xml:space="preserve"> distribution at </w:t>
      </w:r>
      <w:r w:rsidR="008B242D" w:rsidRPr="008924EF">
        <w:rPr>
          <w:rStyle w:val="CETCaptionCarattere"/>
          <w:i/>
        </w:rPr>
        <w:t>N=133rpm, (a) clockwise</w:t>
      </w:r>
      <w:r w:rsidR="00AF34E9" w:rsidRPr="008924EF">
        <w:rPr>
          <w:rStyle w:val="CETCaptionCarattere"/>
          <w:i/>
        </w:rPr>
        <w:t xml:space="preserve"> impeller rotation</w:t>
      </w:r>
      <w:r w:rsidR="008B242D" w:rsidRPr="008924EF">
        <w:rPr>
          <w:rStyle w:val="CETCaptionCarattere"/>
          <w:i/>
        </w:rPr>
        <w:t>; (b) anticlockwise</w:t>
      </w:r>
      <w:r w:rsidR="00AF34E9" w:rsidRPr="008924EF">
        <w:rPr>
          <w:rStyle w:val="CETCaptionCarattere"/>
          <w:i/>
        </w:rPr>
        <w:t xml:space="preserve"> impeller rotation</w:t>
      </w:r>
      <w:r w:rsidR="008B242D" w:rsidRPr="008924EF">
        <w:rPr>
          <w:rStyle w:val="CETCaptionCarattere"/>
          <w:i/>
        </w:rPr>
        <w:t xml:space="preserve">. </w:t>
      </w:r>
    </w:p>
    <w:p w14:paraId="762286A7" w14:textId="7B708981" w:rsidR="00E03AEE" w:rsidRPr="008924EF" w:rsidRDefault="00E03AEE" w:rsidP="00E03AEE">
      <w:pPr>
        <w:pStyle w:val="CETBodytext"/>
        <w:rPr>
          <w:lang w:val="en-GB"/>
        </w:rPr>
      </w:pPr>
      <w:r w:rsidRPr="008924EF">
        <w:rPr>
          <w:lang w:val="en-GB"/>
        </w:rPr>
        <w:t xml:space="preserve">In addition, the impeller rotation direction affects the solid distribution characteristics, as highlighted in Figure </w:t>
      </w:r>
      <w:r w:rsidR="008B1678">
        <w:rPr>
          <w:lang w:val="en-GB"/>
        </w:rPr>
        <w:t>3</w:t>
      </w:r>
      <w:r w:rsidR="00744F04" w:rsidRPr="008924EF">
        <w:rPr>
          <w:lang w:val="en-GB"/>
        </w:rPr>
        <w:t>a-b</w:t>
      </w:r>
      <w:r w:rsidRPr="008924EF">
        <w:rPr>
          <w:lang w:val="en-GB"/>
        </w:rPr>
        <w:t xml:space="preserve"> from the different position of the solids on the vessel bottom.</w:t>
      </w:r>
      <w:r w:rsidR="000C5998" w:rsidRPr="008924EF">
        <w:rPr>
          <w:lang w:val="en-GB"/>
        </w:rPr>
        <w:t xml:space="preserve"> </w:t>
      </w:r>
      <w:r w:rsidR="00C67479" w:rsidRPr="008924EF">
        <w:rPr>
          <w:lang w:val="en-GB"/>
        </w:rPr>
        <w:t xml:space="preserve">It is worth noticing that failure of the industrial digester was </w:t>
      </w:r>
      <w:r w:rsidR="00424932" w:rsidRPr="008924EF">
        <w:rPr>
          <w:lang w:val="en-GB"/>
        </w:rPr>
        <w:t xml:space="preserve">often </w:t>
      </w:r>
      <w:r w:rsidR="00C67479" w:rsidRPr="008924EF">
        <w:rPr>
          <w:lang w:val="en-GB"/>
        </w:rPr>
        <w:t>caused by the presence of a pile under the feeding nozzle, therefore the movement of the settled solid may be crucial for process operation.</w:t>
      </w:r>
    </w:p>
    <w:p w14:paraId="13C181B7" w14:textId="77777777" w:rsidR="00356A0B" w:rsidRPr="008924EF" w:rsidRDefault="00356A0B" w:rsidP="00E03AEE">
      <w:pPr>
        <w:pStyle w:val="CETBodytext"/>
        <w:rPr>
          <w:lang w:val="en-GB"/>
        </w:rPr>
      </w:pPr>
    </w:p>
    <w:p w14:paraId="1F96CA21" w14:textId="4CEFFBE3" w:rsidR="00600535" w:rsidRPr="008924EF" w:rsidRDefault="00F424A5" w:rsidP="00327219">
      <w:pPr>
        <w:pStyle w:val="CETheadingx"/>
        <w:rPr>
          <w:lang w:val="en-GB"/>
        </w:rPr>
      </w:pPr>
      <w:r w:rsidRPr="008924EF">
        <w:rPr>
          <w:lang w:val="en-GB"/>
        </w:rPr>
        <w:t xml:space="preserve"> </w:t>
      </w:r>
      <w:r w:rsidR="00101386" w:rsidRPr="008924EF">
        <w:rPr>
          <w:lang w:val="en-GB"/>
        </w:rPr>
        <w:t xml:space="preserve">The </w:t>
      </w:r>
      <w:r w:rsidR="00502359" w:rsidRPr="008924EF">
        <w:rPr>
          <w:lang w:val="en-GB"/>
        </w:rPr>
        <w:t>liquid flow pattern</w:t>
      </w:r>
    </w:p>
    <w:p w14:paraId="10CA49D0" w14:textId="1085ECC8" w:rsidR="00EC18D5" w:rsidRPr="008924EF" w:rsidRDefault="001802A0" w:rsidP="00600535">
      <w:pPr>
        <w:pStyle w:val="CETBodytext"/>
        <w:rPr>
          <w:lang w:val="en-GB"/>
        </w:rPr>
      </w:pPr>
      <w:r w:rsidRPr="008924EF">
        <w:rPr>
          <w:lang w:val="en-GB"/>
        </w:rPr>
        <w:t xml:space="preserve">To </w:t>
      </w:r>
      <w:r w:rsidR="00C1720D" w:rsidRPr="008924EF">
        <w:rPr>
          <w:lang w:val="en-GB"/>
        </w:rPr>
        <w:t xml:space="preserve">verify how the different </w:t>
      </w:r>
      <w:r w:rsidR="008B1678" w:rsidRPr="008924EF">
        <w:rPr>
          <w:lang w:val="en-GB"/>
        </w:rPr>
        <w:t xml:space="preserve">rotation directions </w:t>
      </w:r>
      <w:r w:rsidR="008B1678">
        <w:rPr>
          <w:lang w:val="en-GB"/>
        </w:rPr>
        <w:t xml:space="preserve">affect the </w:t>
      </w:r>
      <w:r w:rsidR="00C1720D" w:rsidRPr="008924EF">
        <w:rPr>
          <w:lang w:val="en-GB"/>
        </w:rPr>
        <w:t xml:space="preserve">hydrodynamics </w:t>
      </w:r>
      <w:r w:rsidR="008B1678">
        <w:rPr>
          <w:lang w:val="en-GB"/>
        </w:rPr>
        <w:t>of</w:t>
      </w:r>
      <w:r w:rsidR="00E666A8" w:rsidRPr="008924EF">
        <w:rPr>
          <w:lang w:val="en-GB"/>
        </w:rPr>
        <w:t xml:space="preserve"> the system</w:t>
      </w:r>
      <w:r w:rsidRPr="008924EF">
        <w:rPr>
          <w:lang w:val="en-GB"/>
        </w:rPr>
        <w:t>, t</w:t>
      </w:r>
      <w:r w:rsidR="00F22446" w:rsidRPr="008924EF">
        <w:rPr>
          <w:lang w:val="en-GB"/>
        </w:rPr>
        <w:t>he mean velocity field</w:t>
      </w:r>
      <w:r w:rsidR="006A78B7" w:rsidRPr="008924EF">
        <w:rPr>
          <w:lang w:val="en-GB"/>
        </w:rPr>
        <w:t>s</w:t>
      </w:r>
      <w:r w:rsidR="00F22446" w:rsidRPr="008924EF">
        <w:rPr>
          <w:lang w:val="en-GB"/>
        </w:rPr>
        <w:t xml:space="preserve"> </w:t>
      </w:r>
      <w:r w:rsidR="008B1678">
        <w:rPr>
          <w:lang w:val="en-GB"/>
        </w:rPr>
        <w:t>were collected</w:t>
      </w:r>
      <w:r w:rsidR="00F22446" w:rsidRPr="008924EF">
        <w:rPr>
          <w:lang w:val="en-GB"/>
        </w:rPr>
        <w:t xml:space="preserve"> </w:t>
      </w:r>
      <w:r w:rsidR="00336016" w:rsidRPr="008924EF">
        <w:rPr>
          <w:lang w:val="en-GB"/>
        </w:rPr>
        <w:t>at the same impeller speed</w:t>
      </w:r>
      <w:r w:rsidR="00C1720D" w:rsidRPr="008924EF">
        <w:rPr>
          <w:lang w:val="en-GB"/>
        </w:rPr>
        <w:t xml:space="preserve"> for the two </w:t>
      </w:r>
      <w:r w:rsidR="00E666A8" w:rsidRPr="008924EF">
        <w:rPr>
          <w:lang w:val="en-GB"/>
        </w:rPr>
        <w:t>directions</w:t>
      </w:r>
      <w:r w:rsidR="00C1720D" w:rsidRPr="008924EF">
        <w:rPr>
          <w:lang w:val="en-GB"/>
        </w:rPr>
        <w:t>. As a reference</w:t>
      </w:r>
      <w:r w:rsidR="00EC18D5" w:rsidRPr="008924EF">
        <w:rPr>
          <w:lang w:val="en-GB"/>
        </w:rPr>
        <w:t>,</w:t>
      </w:r>
      <w:r w:rsidR="00F22446" w:rsidRPr="008924EF">
        <w:rPr>
          <w:lang w:val="en-GB"/>
        </w:rPr>
        <w:t xml:space="preserve"> </w:t>
      </w:r>
      <w:r w:rsidR="00E666A8" w:rsidRPr="008924EF">
        <w:rPr>
          <w:lang w:val="en-GB"/>
        </w:rPr>
        <w:t>the axial velocity colour map</w:t>
      </w:r>
      <w:r w:rsidR="00BF2CD8" w:rsidRPr="008924EF">
        <w:rPr>
          <w:lang w:val="en-GB"/>
        </w:rPr>
        <w:t>s</w:t>
      </w:r>
      <w:r w:rsidR="00E666A8" w:rsidRPr="008924EF">
        <w:rPr>
          <w:lang w:val="en-GB"/>
        </w:rPr>
        <w:t xml:space="preserve"> on </w:t>
      </w:r>
      <w:r w:rsidR="00F22446" w:rsidRPr="008924EF">
        <w:rPr>
          <w:lang w:val="en-GB"/>
        </w:rPr>
        <w:t xml:space="preserve">a vertical </w:t>
      </w:r>
      <w:r w:rsidR="00EC18D5" w:rsidRPr="008924EF">
        <w:rPr>
          <w:lang w:val="en-GB"/>
        </w:rPr>
        <w:t xml:space="preserve">section </w:t>
      </w:r>
      <w:r w:rsidR="00F22446" w:rsidRPr="008924EF">
        <w:rPr>
          <w:lang w:val="en-GB"/>
        </w:rPr>
        <w:t>of the vessel close to one of the shafts</w:t>
      </w:r>
      <w:r w:rsidR="00E666A8" w:rsidRPr="008924EF">
        <w:rPr>
          <w:lang w:val="en-GB"/>
        </w:rPr>
        <w:t xml:space="preserve"> (</w:t>
      </w:r>
      <w:r w:rsidR="00EC18D5" w:rsidRPr="008924EF">
        <w:rPr>
          <w:lang w:val="en-GB"/>
        </w:rPr>
        <w:t xml:space="preserve">as highlighted in Figure 1) </w:t>
      </w:r>
      <w:r w:rsidR="00E666A8" w:rsidRPr="008924EF">
        <w:rPr>
          <w:lang w:val="en-GB"/>
        </w:rPr>
        <w:t>are</w:t>
      </w:r>
      <w:r w:rsidR="00EC18D5" w:rsidRPr="008924EF">
        <w:rPr>
          <w:lang w:val="en-GB"/>
        </w:rPr>
        <w:t xml:space="preserve"> presented</w:t>
      </w:r>
      <w:r w:rsidR="00F22446" w:rsidRPr="008924EF">
        <w:rPr>
          <w:lang w:val="en-GB"/>
        </w:rPr>
        <w:t xml:space="preserve"> </w:t>
      </w:r>
      <w:r w:rsidR="00336016" w:rsidRPr="008924EF">
        <w:rPr>
          <w:lang w:val="en-GB"/>
        </w:rPr>
        <w:t xml:space="preserve">in Figure 4. </w:t>
      </w:r>
      <w:r w:rsidR="00435826" w:rsidRPr="008924EF">
        <w:rPr>
          <w:lang w:val="en-GB"/>
        </w:rPr>
        <w:t>The axial velocity is selected since it is the main responsible for the solid suspension from the tank bottom.</w:t>
      </w:r>
    </w:p>
    <w:p w14:paraId="0F84880E" w14:textId="0C91B3EA" w:rsidR="00102FE8" w:rsidRPr="008924EF" w:rsidRDefault="00C32459" w:rsidP="00600535">
      <w:pPr>
        <w:pStyle w:val="CETBodytext"/>
        <w:rPr>
          <w:lang w:val="en-GB"/>
        </w:rPr>
      </w:pPr>
      <w:r w:rsidRPr="008924EF">
        <w:rPr>
          <w:noProof/>
          <w:lang w:val="it-IT" w:eastAsia="it-IT"/>
        </w:rPr>
        <mc:AlternateContent>
          <mc:Choice Requires="wps">
            <w:drawing>
              <wp:anchor distT="45720" distB="45720" distL="114300" distR="114300" simplePos="0" relativeHeight="251672576" behindDoc="0" locked="0" layoutInCell="1" allowOverlap="1" wp14:anchorId="625CEEB9" wp14:editId="13E08E1F">
                <wp:simplePos x="0" y="0"/>
                <wp:positionH relativeFrom="column">
                  <wp:posOffset>4968910</wp:posOffset>
                </wp:positionH>
                <wp:positionV relativeFrom="paragraph">
                  <wp:posOffset>73151</wp:posOffset>
                </wp:positionV>
                <wp:extent cx="362139" cy="235390"/>
                <wp:effectExtent l="0" t="0" r="0" b="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39" cy="235390"/>
                        </a:xfrm>
                        <a:prstGeom prst="rect">
                          <a:avLst/>
                        </a:prstGeom>
                        <a:solidFill>
                          <a:srgbClr val="FFFFFF"/>
                        </a:solidFill>
                        <a:ln w="9525">
                          <a:noFill/>
                          <a:miter lim="800000"/>
                          <a:headEnd/>
                          <a:tailEnd/>
                        </a:ln>
                      </wps:spPr>
                      <wps:txbx>
                        <w:txbxContent>
                          <w:p w14:paraId="365FBF1A" w14:textId="10FB5041" w:rsidR="00C32459" w:rsidRPr="00FB487D" w:rsidRDefault="00C32459" w:rsidP="00C32459">
                            <w:pPr>
                              <w:rPr>
                                <w:lang w:val="it-IT"/>
                              </w:rPr>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5CEEB9" id="_x0000_s1028" type="#_x0000_t202" style="position:absolute;left:0;text-align:left;margin-left:391.25pt;margin-top:5.75pt;width:28.5pt;height:18.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" stroked="f">
                <v:textbox>
                  <w:txbxContent>
                    <w:p w14:paraId="365FBF1A" w14:textId="10FB5041" w:rsidR="00C32459" w:rsidRPr="00FB487D" w:rsidRDefault="00C32459" w:rsidP="00C32459">
                      <w:pPr>
                        <w:rPr>
                          <w:lang w:val="it-IT"/>
                        </w:rPr>
                      </w:pPr>
                      <w:r>
                        <w:t>(c)</w:t>
                      </w:r>
                    </w:p>
                  </w:txbxContent>
                </v:textbox>
              </v:shape>
            </w:pict>
          </mc:Fallback>
        </mc:AlternateContent>
      </w:r>
      <w:r w:rsidRPr="008924EF">
        <w:rPr>
          <w:noProof/>
          <w:lang w:val="it-IT" w:eastAsia="it-IT"/>
        </w:rPr>
        <mc:AlternateContent>
          <mc:Choice Requires="wps">
            <w:drawing>
              <wp:anchor distT="45720" distB="45720" distL="114300" distR="114300" simplePos="0" relativeHeight="251670528" behindDoc="0" locked="0" layoutInCell="1" allowOverlap="1" wp14:anchorId="0FCBEF97" wp14:editId="1CE97D65">
                <wp:simplePos x="0" y="0"/>
                <wp:positionH relativeFrom="column">
                  <wp:posOffset>3185328</wp:posOffset>
                </wp:positionH>
                <wp:positionV relativeFrom="paragraph">
                  <wp:posOffset>53054</wp:posOffset>
                </wp:positionV>
                <wp:extent cx="362139" cy="235390"/>
                <wp:effectExtent l="0" t="0" r="0" b="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39" cy="235390"/>
                        </a:xfrm>
                        <a:prstGeom prst="rect">
                          <a:avLst/>
                        </a:prstGeom>
                        <a:solidFill>
                          <a:srgbClr val="FFFFFF"/>
                        </a:solidFill>
                        <a:ln w="9525">
                          <a:noFill/>
                          <a:miter lim="800000"/>
                          <a:headEnd/>
                          <a:tailEnd/>
                        </a:ln>
                      </wps:spPr>
                      <wps:txbx>
                        <w:txbxContent>
                          <w:p w14:paraId="41F932DF" w14:textId="43BFF67C" w:rsidR="00C32459" w:rsidRPr="00FB487D" w:rsidRDefault="00C32459" w:rsidP="00C32459">
                            <w:pPr>
                              <w:rPr>
                                <w:lang w:val="it-IT"/>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CBEF97" id="_x0000_s1029" type="#_x0000_t202" style="position:absolute;left:0;text-align:left;margin-left:250.8pt;margin-top:4.2pt;width:28.5pt;height:18.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" stroked="f">
                <v:textbox>
                  <w:txbxContent>
                    <w:p w14:paraId="41F932DF" w14:textId="43BFF67C" w:rsidR="00C32459" w:rsidRPr="00FB487D" w:rsidRDefault="00C32459" w:rsidP="00C32459">
                      <w:pPr>
                        <w:rPr>
                          <w:lang w:val="it-IT"/>
                        </w:rPr>
                      </w:pPr>
                      <w:r>
                        <w:t>(b)</w:t>
                      </w:r>
                    </w:p>
                  </w:txbxContent>
                </v:textbox>
              </v:shape>
            </w:pict>
          </mc:Fallback>
        </mc:AlternateContent>
      </w:r>
      <w:r w:rsidRPr="008924EF">
        <w:rPr>
          <w:noProof/>
          <w:lang w:val="it-IT" w:eastAsia="it-IT"/>
        </w:rPr>
        <mc:AlternateContent>
          <mc:Choice Requires="wps">
            <w:drawing>
              <wp:anchor distT="45720" distB="45720" distL="114300" distR="114300" simplePos="0" relativeHeight="251668480" behindDoc="0" locked="0" layoutInCell="1" allowOverlap="1" wp14:anchorId="306A127E" wp14:editId="299ABDDD">
                <wp:simplePos x="0" y="0"/>
                <wp:positionH relativeFrom="column">
                  <wp:posOffset>1391697</wp:posOffset>
                </wp:positionH>
                <wp:positionV relativeFrom="paragraph">
                  <wp:posOffset>63102</wp:posOffset>
                </wp:positionV>
                <wp:extent cx="362139" cy="235390"/>
                <wp:effectExtent l="0" t="0" r="0" b="0"/>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39" cy="235390"/>
                        </a:xfrm>
                        <a:prstGeom prst="rect">
                          <a:avLst/>
                        </a:prstGeom>
                        <a:solidFill>
                          <a:srgbClr val="FFFFFF"/>
                        </a:solidFill>
                        <a:ln w="9525">
                          <a:noFill/>
                          <a:miter lim="800000"/>
                          <a:headEnd/>
                          <a:tailEnd/>
                        </a:ln>
                      </wps:spPr>
                      <wps:txbx>
                        <w:txbxContent>
                          <w:p w14:paraId="07B9CBBF" w14:textId="77777777" w:rsidR="00C32459" w:rsidRPr="00FB487D" w:rsidRDefault="00C32459" w:rsidP="00C32459">
                            <w:pPr>
                              <w:rPr>
                                <w:lang w:val="it-IT"/>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6A127E" id="_x0000_s1030" type="#_x0000_t202" style="position:absolute;left:0;text-align:left;margin-left:109.6pt;margin-top:4.95pt;width:28.5pt;height:18.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" stroked="f">
                <v:textbox>
                  <w:txbxContent>
                    <w:p w14:paraId="07B9CBBF" w14:textId="77777777" w:rsidR="00C32459" w:rsidRPr="00FB487D" w:rsidRDefault="00C32459" w:rsidP="00C32459">
                      <w:pPr>
                        <w:rPr>
                          <w:lang w:val="it-IT"/>
                        </w:rPr>
                      </w:pPr>
                      <w:r>
                        <w:t>(a)</w:t>
                      </w:r>
                    </w:p>
                  </w:txbxContent>
                </v:textbox>
              </v:shape>
            </w:pict>
          </mc:Fallback>
        </mc:AlternateContent>
      </w:r>
      <w:r w:rsidR="00102FE8" w:rsidRPr="008924EF">
        <w:rPr>
          <w:noProof/>
          <w:lang w:val="it-IT" w:eastAsia="it-IT"/>
        </w:rPr>
        <w:drawing>
          <wp:inline distT="0" distB="0" distL="0" distR="0" wp14:anchorId="57EDB84C" wp14:editId="586B9069">
            <wp:extent cx="1778400" cy="1512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4812" t="16080" r="11506" b="3859"/>
                    <a:stretch/>
                  </pic:blipFill>
                  <pic:spPr bwMode="auto">
                    <a:xfrm>
                      <a:off x="0" y="0"/>
                      <a:ext cx="1778400" cy="1512000"/>
                    </a:xfrm>
                    <a:prstGeom prst="rect">
                      <a:avLst/>
                    </a:prstGeom>
                    <a:noFill/>
                    <a:ln>
                      <a:noFill/>
                    </a:ln>
                    <a:extLst>
                      <a:ext uri="{53640926-AAD7-44D8-BBD7-CCE9431645EC}">
                        <a14:shadowObscured xmlns:a14="http://schemas.microsoft.com/office/drawing/2010/main"/>
                      </a:ext>
                    </a:extLst>
                  </pic:spPr>
                </pic:pic>
              </a:graphicData>
            </a:graphic>
          </wp:inline>
        </w:drawing>
      </w:r>
      <w:r w:rsidR="00102FE8" w:rsidRPr="008924EF">
        <w:rPr>
          <w:noProof/>
          <w:lang w:val="it-IT" w:eastAsia="it-IT"/>
        </w:rPr>
        <w:drawing>
          <wp:inline distT="0" distB="0" distL="0" distR="0" wp14:anchorId="51A8B74E" wp14:editId="473BB3BF">
            <wp:extent cx="1792800" cy="1512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4511" t="16418" r="11429" b="3690"/>
                    <a:stretch/>
                  </pic:blipFill>
                  <pic:spPr bwMode="auto">
                    <a:xfrm>
                      <a:off x="0" y="0"/>
                      <a:ext cx="1792800" cy="1512000"/>
                    </a:xfrm>
                    <a:prstGeom prst="rect">
                      <a:avLst/>
                    </a:prstGeom>
                    <a:noFill/>
                    <a:ln>
                      <a:noFill/>
                    </a:ln>
                    <a:extLst>
                      <a:ext uri="{53640926-AAD7-44D8-BBD7-CCE9431645EC}">
                        <a14:shadowObscured xmlns:a14="http://schemas.microsoft.com/office/drawing/2010/main"/>
                      </a:ext>
                    </a:extLst>
                  </pic:spPr>
                </pic:pic>
              </a:graphicData>
            </a:graphic>
          </wp:inline>
        </w:drawing>
      </w:r>
      <w:r w:rsidR="00102FE8" w:rsidRPr="008924EF">
        <w:rPr>
          <w:noProof/>
          <w:lang w:val="it-IT" w:eastAsia="it-IT"/>
        </w:rPr>
        <w:drawing>
          <wp:inline distT="0" distB="0" distL="0" distR="0" wp14:anchorId="27A45322" wp14:editId="1C1AB26D">
            <wp:extent cx="2001600" cy="1512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522" t="16430" r="1784" b="3933"/>
                    <a:stretch/>
                  </pic:blipFill>
                  <pic:spPr bwMode="auto">
                    <a:xfrm>
                      <a:off x="0" y="0"/>
                      <a:ext cx="20016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6278EADD" w14:textId="0796B532" w:rsidR="00972347" w:rsidRPr="008924EF" w:rsidRDefault="00972347" w:rsidP="00C26AF2">
      <w:pPr>
        <w:pStyle w:val="CETCaption"/>
      </w:pPr>
      <w:r w:rsidRPr="008924EF">
        <w:rPr>
          <w:rStyle w:val="CETCaptionCarattere"/>
          <w:i/>
        </w:rPr>
        <w:t xml:space="preserve">Figure 4: </w:t>
      </w:r>
      <w:r w:rsidR="00A611BF" w:rsidRPr="008924EF">
        <w:rPr>
          <w:rStyle w:val="CETCaptionCarattere"/>
          <w:i/>
        </w:rPr>
        <w:t>Mean axial velocity</w:t>
      </w:r>
      <w:r w:rsidRPr="008924EF">
        <w:rPr>
          <w:rStyle w:val="CETCaptionCarattere"/>
          <w:i/>
        </w:rPr>
        <w:t xml:space="preserve"> on a vertical section at N=133rpm. (a) water, clockwise</w:t>
      </w:r>
      <w:r w:rsidR="00A611BF" w:rsidRPr="008924EF">
        <w:rPr>
          <w:rStyle w:val="CETCaptionCarattere"/>
          <w:i/>
        </w:rPr>
        <w:t xml:space="preserve"> impeller rotation</w:t>
      </w:r>
      <w:r w:rsidRPr="008924EF">
        <w:rPr>
          <w:rStyle w:val="CETCaptionCarattere"/>
          <w:i/>
        </w:rPr>
        <w:t>, (</w:t>
      </w:r>
      <w:r w:rsidR="00EC18D5" w:rsidRPr="008924EF">
        <w:rPr>
          <w:rStyle w:val="CETCaptionCarattere"/>
          <w:i/>
        </w:rPr>
        <w:t>b</w:t>
      </w:r>
      <w:r w:rsidRPr="008924EF">
        <w:rPr>
          <w:rStyle w:val="CETCaptionCarattere"/>
          <w:i/>
        </w:rPr>
        <w:t>) water, anticlockwise</w:t>
      </w:r>
      <w:r w:rsidR="00A611BF" w:rsidRPr="008924EF">
        <w:rPr>
          <w:rStyle w:val="CETCaptionCarattere"/>
          <w:i/>
        </w:rPr>
        <w:t xml:space="preserve"> impeller rotation</w:t>
      </w:r>
      <w:r w:rsidR="00C32459" w:rsidRPr="008924EF">
        <w:rPr>
          <w:rStyle w:val="CETCaptionCarattere"/>
          <w:i/>
        </w:rPr>
        <w:t>, (c)</w:t>
      </w:r>
      <w:r w:rsidR="00C32459" w:rsidRPr="008924EF">
        <w:t xml:space="preserve"> </w:t>
      </w:r>
      <w:r w:rsidR="00C32459" w:rsidRPr="008924EF">
        <w:rPr>
          <w:rStyle w:val="CETCaptionCarattere"/>
          <w:i/>
        </w:rPr>
        <w:t>Xa solution, clockwise</w:t>
      </w:r>
      <w:r w:rsidR="00A611BF" w:rsidRPr="008924EF">
        <w:rPr>
          <w:rStyle w:val="CETCaptionCarattere"/>
          <w:i/>
        </w:rPr>
        <w:t xml:space="preserve"> </w:t>
      </w:r>
      <w:r w:rsidR="00A611BF" w:rsidRPr="008924EF">
        <w:t>impeller rotation</w:t>
      </w:r>
      <w:r w:rsidR="00A611BF" w:rsidRPr="008924EF">
        <w:rPr>
          <w:rStyle w:val="CETCaptionCarattere"/>
          <w:i/>
        </w:rPr>
        <w:t xml:space="preserve">. The </w:t>
      </w:r>
      <w:r w:rsidR="00BF2CD8" w:rsidRPr="008924EF">
        <w:rPr>
          <w:rStyle w:val="CETCaptionCarattere"/>
          <w:i/>
        </w:rPr>
        <w:t>colour</w:t>
      </w:r>
      <w:r w:rsidR="00A611BF" w:rsidRPr="008924EF">
        <w:rPr>
          <w:rStyle w:val="CETCaptionCarattere"/>
          <w:i/>
        </w:rPr>
        <w:t xml:space="preserve"> scale is</w:t>
      </w:r>
      <w:r w:rsidR="00532701" w:rsidRPr="008924EF">
        <w:rPr>
          <w:rStyle w:val="CETCaptionCarattere"/>
          <w:i/>
        </w:rPr>
        <w:t xml:space="preserve"> in m s</w:t>
      </w:r>
      <w:r w:rsidR="00532701" w:rsidRPr="008924EF">
        <w:rPr>
          <w:rStyle w:val="CETCaptionCarattere"/>
          <w:i/>
          <w:vertAlign w:val="superscript"/>
        </w:rPr>
        <w:t>-1</w:t>
      </w:r>
      <w:r w:rsidR="00C32459" w:rsidRPr="008924EF">
        <w:rPr>
          <w:rStyle w:val="CETCaptionCarattere"/>
          <w:i/>
        </w:rPr>
        <w:t>.</w:t>
      </w:r>
    </w:p>
    <w:p w14:paraId="3005441E" w14:textId="05DEEF80" w:rsidR="008F50A1" w:rsidRPr="008924EF" w:rsidRDefault="008F50A1" w:rsidP="008F50A1">
      <w:pPr>
        <w:pStyle w:val="CETBodytext"/>
        <w:rPr>
          <w:lang w:val="en-GB"/>
        </w:rPr>
      </w:pPr>
      <w:r w:rsidRPr="008924EF">
        <w:rPr>
          <w:lang w:val="en-GB"/>
        </w:rPr>
        <w:t xml:space="preserve">As </w:t>
      </w:r>
      <w:r w:rsidR="00DC78F5">
        <w:rPr>
          <w:lang w:val="en-GB"/>
        </w:rPr>
        <w:t xml:space="preserve">it </w:t>
      </w:r>
      <w:r w:rsidRPr="008924EF">
        <w:rPr>
          <w:lang w:val="en-GB"/>
        </w:rPr>
        <w:t xml:space="preserve">can be seen, the axial velocity magnitude exhibits a different </w:t>
      </w:r>
      <w:r w:rsidR="00DC78F5">
        <w:rPr>
          <w:lang w:val="en-GB"/>
        </w:rPr>
        <w:t>distribution</w:t>
      </w:r>
      <w:r w:rsidR="00DC78F5" w:rsidRPr="008924EF">
        <w:rPr>
          <w:lang w:val="en-GB"/>
        </w:rPr>
        <w:t xml:space="preserve"> </w:t>
      </w:r>
      <w:r w:rsidRPr="008924EF">
        <w:rPr>
          <w:lang w:val="en-GB"/>
        </w:rPr>
        <w:t xml:space="preserve">with the two different </w:t>
      </w:r>
      <w:r w:rsidR="00DC78F5">
        <w:rPr>
          <w:lang w:val="en-GB"/>
        </w:rPr>
        <w:t xml:space="preserve">rotation directions </w:t>
      </w:r>
      <w:r w:rsidR="00816799" w:rsidRPr="008924EF">
        <w:rPr>
          <w:lang w:val="en-GB"/>
        </w:rPr>
        <w:t>and with different fluids</w:t>
      </w:r>
      <w:r w:rsidR="008B1678">
        <w:rPr>
          <w:lang w:val="en-GB"/>
        </w:rPr>
        <w:t>.</w:t>
      </w:r>
      <w:r w:rsidR="00816799" w:rsidRPr="008924EF">
        <w:rPr>
          <w:lang w:val="en-GB"/>
        </w:rPr>
        <w:t xml:space="preserve"> </w:t>
      </w:r>
      <w:r w:rsidR="008B1678">
        <w:rPr>
          <w:lang w:val="en-GB"/>
        </w:rPr>
        <w:t>I</w:t>
      </w:r>
      <w:r w:rsidR="00816799" w:rsidRPr="008924EF">
        <w:rPr>
          <w:lang w:val="en-GB"/>
        </w:rPr>
        <w:t>n particular</w:t>
      </w:r>
      <w:r w:rsidR="00DC78F5">
        <w:rPr>
          <w:lang w:val="en-GB"/>
        </w:rPr>
        <w:t>,</w:t>
      </w:r>
      <w:r w:rsidR="00816799" w:rsidRPr="008924EF">
        <w:rPr>
          <w:lang w:val="en-GB"/>
        </w:rPr>
        <w:t xml:space="preserve"> higher upwards axial velocity magnitude is obtained in water in the case of </w:t>
      </w:r>
      <w:r w:rsidR="00F976E0">
        <w:rPr>
          <w:lang w:val="en-GB"/>
        </w:rPr>
        <w:t>anticlockwise rotation</w:t>
      </w:r>
      <w:r w:rsidR="00816799" w:rsidRPr="008924EF">
        <w:rPr>
          <w:lang w:val="en-GB"/>
        </w:rPr>
        <w:t xml:space="preserve"> </w:t>
      </w:r>
      <w:r w:rsidR="00F976E0">
        <w:rPr>
          <w:lang w:val="en-GB"/>
        </w:rPr>
        <w:t>(</w:t>
      </w:r>
      <w:r w:rsidR="00816799" w:rsidRPr="008924EF">
        <w:rPr>
          <w:lang w:val="en-GB"/>
        </w:rPr>
        <w:t xml:space="preserve">Figure 4b) with respect to the </w:t>
      </w:r>
      <w:r w:rsidR="00F976E0">
        <w:rPr>
          <w:lang w:val="en-GB"/>
        </w:rPr>
        <w:t>clockwise rotation (</w:t>
      </w:r>
      <w:r w:rsidR="00816799" w:rsidRPr="008924EF">
        <w:rPr>
          <w:lang w:val="en-GB"/>
        </w:rPr>
        <w:t>Figure 4a)</w:t>
      </w:r>
      <w:r w:rsidRPr="008924EF">
        <w:rPr>
          <w:lang w:val="en-GB"/>
        </w:rPr>
        <w:t xml:space="preserve">. </w:t>
      </w:r>
      <w:r w:rsidR="00816799" w:rsidRPr="008924EF">
        <w:rPr>
          <w:lang w:val="en-GB"/>
        </w:rPr>
        <w:t>Surprisingly, in the more viscous system</w:t>
      </w:r>
      <w:r w:rsidR="00D603F6" w:rsidRPr="008924EF">
        <w:rPr>
          <w:lang w:val="en-GB"/>
        </w:rPr>
        <w:t xml:space="preserve"> (Figure 4c)</w:t>
      </w:r>
      <w:r w:rsidR="00816799" w:rsidRPr="008924EF">
        <w:rPr>
          <w:lang w:val="en-GB"/>
        </w:rPr>
        <w:t xml:space="preserve">, higher absolute values of the axial velocity </w:t>
      </w:r>
      <w:r w:rsidR="00816799" w:rsidRPr="00F976E0">
        <w:rPr>
          <w:lang w:val="en-GB"/>
        </w:rPr>
        <w:t xml:space="preserve">magnitude </w:t>
      </w:r>
      <w:r w:rsidR="004957D0" w:rsidRPr="00F976E0">
        <w:rPr>
          <w:lang w:val="en-GB"/>
        </w:rPr>
        <w:t xml:space="preserve">are </w:t>
      </w:r>
      <w:r w:rsidR="00816799" w:rsidRPr="00F976E0">
        <w:rPr>
          <w:lang w:val="en-GB"/>
        </w:rPr>
        <w:t>observed</w:t>
      </w:r>
      <w:r w:rsidR="00816799" w:rsidRPr="008924EF">
        <w:rPr>
          <w:lang w:val="en-GB"/>
        </w:rPr>
        <w:t xml:space="preserve"> </w:t>
      </w:r>
      <w:r w:rsidR="00435826" w:rsidRPr="008924EF">
        <w:rPr>
          <w:lang w:val="en-GB"/>
        </w:rPr>
        <w:t>in the middle of the section, thus highlighting the complexity of the hydrodynamics probably due to the different impeller</w:t>
      </w:r>
      <w:r w:rsidR="00D603F6" w:rsidRPr="008924EF">
        <w:rPr>
          <w:lang w:val="en-GB"/>
        </w:rPr>
        <w:t>s</w:t>
      </w:r>
      <w:r w:rsidR="00435826" w:rsidRPr="008924EF">
        <w:rPr>
          <w:lang w:val="en-GB"/>
        </w:rPr>
        <w:t xml:space="preserve"> discharge flow interaction. Overall, the velocity field shows</w:t>
      </w:r>
      <w:r w:rsidRPr="008924EF">
        <w:rPr>
          <w:lang w:val="en-GB"/>
        </w:rPr>
        <w:t xml:space="preserve"> the importance of </w:t>
      </w:r>
      <w:r w:rsidR="00435826" w:rsidRPr="008924EF">
        <w:rPr>
          <w:lang w:val="en-GB"/>
        </w:rPr>
        <w:t>optimizing the</w:t>
      </w:r>
      <w:r w:rsidRPr="008924EF">
        <w:rPr>
          <w:lang w:val="en-GB"/>
        </w:rPr>
        <w:t xml:space="preserve"> configuration, given that the main task of the agitation system is the distribution of the biomass in the whole vessel volume, trying at the same time to avoid the sedimentation of the solids. </w:t>
      </w:r>
    </w:p>
    <w:p w14:paraId="6F0E6C7A" w14:textId="7CD97A43" w:rsidR="00502359" w:rsidRPr="008924EF" w:rsidRDefault="00F22446" w:rsidP="00600535">
      <w:pPr>
        <w:pStyle w:val="CETBodytext"/>
        <w:rPr>
          <w:lang w:val="en-GB"/>
        </w:rPr>
      </w:pPr>
      <w:r w:rsidRPr="008924EF">
        <w:rPr>
          <w:lang w:val="en-GB"/>
        </w:rPr>
        <w:t xml:space="preserve">The </w:t>
      </w:r>
      <w:r w:rsidR="00133749" w:rsidRPr="008924EF">
        <w:rPr>
          <w:lang w:val="en-GB"/>
        </w:rPr>
        <w:t>distribution</w:t>
      </w:r>
      <w:r w:rsidR="00532701" w:rsidRPr="008924EF">
        <w:rPr>
          <w:lang w:val="en-GB"/>
        </w:rPr>
        <w:t xml:space="preserve">s </w:t>
      </w:r>
      <w:r w:rsidR="00133749" w:rsidRPr="008924EF">
        <w:rPr>
          <w:lang w:val="en-GB"/>
        </w:rPr>
        <w:t xml:space="preserve">of </w:t>
      </w:r>
      <w:r w:rsidR="00B84CB1" w:rsidRPr="008924EF">
        <w:rPr>
          <w:lang w:val="en-GB"/>
        </w:rPr>
        <w:t xml:space="preserve">the </w:t>
      </w:r>
      <w:r w:rsidR="00133749" w:rsidRPr="008924EF">
        <w:rPr>
          <w:lang w:val="en-GB"/>
        </w:rPr>
        <w:t xml:space="preserve">radial and tangential </w:t>
      </w:r>
      <w:r w:rsidRPr="008924EF">
        <w:rPr>
          <w:lang w:val="en-GB"/>
        </w:rPr>
        <w:t>velocit</w:t>
      </w:r>
      <w:r w:rsidR="00133749" w:rsidRPr="008924EF">
        <w:rPr>
          <w:lang w:val="en-GB"/>
        </w:rPr>
        <w:t>ies</w:t>
      </w:r>
      <w:r w:rsidR="00B84CB1" w:rsidRPr="008924EF">
        <w:rPr>
          <w:lang w:val="en-GB"/>
        </w:rPr>
        <w:t xml:space="preserve"> divided by the impeller tip speed (V</w:t>
      </w:r>
      <w:r w:rsidR="00B84CB1" w:rsidRPr="008924EF">
        <w:rPr>
          <w:vertAlign w:val="subscript"/>
          <w:lang w:val="en-GB"/>
        </w:rPr>
        <w:t>tip</w:t>
      </w:r>
      <w:r w:rsidR="00B84CB1" w:rsidRPr="008924EF">
        <w:rPr>
          <w:lang w:val="en-GB"/>
        </w:rPr>
        <w:t>)</w:t>
      </w:r>
      <w:r w:rsidR="00133749" w:rsidRPr="008924EF">
        <w:rPr>
          <w:lang w:val="en-GB"/>
        </w:rPr>
        <w:t xml:space="preserve"> on </w:t>
      </w:r>
      <w:r w:rsidR="00BF2CD8" w:rsidRPr="008924EF">
        <w:rPr>
          <w:lang w:val="en-GB"/>
        </w:rPr>
        <w:t>the</w:t>
      </w:r>
      <w:r w:rsidR="00133749" w:rsidRPr="008924EF">
        <w:rPr>
          <w:lang w:val="en-GB"/>
        </w:rPr>
        <w:t xml:space="preserve"> horizontal </w:t>
      </w:r>
      <w:r w:rsidR="00BF2CD8" w:rsidRPr="008924EF">
        <w:rPr>
          <w:lang w:val="en-GB"/>
        </w:rPr>
        <w:t>section</w:t>
      </w:r>
      <w:r w:rsidRPr="008924EF">
        <w:rPr>
          <w:lang w:val="en-GB"/>
        </w:rPr>
        <w:t xml:space="preserve"> </w:t>
      </w:r>
      <w:r w:rsidR="00133749" w:rsidRPr="008924EF">
        <w:rPr>
          <w:lang w:val="en-GB"/>
        </w:rPr>
        <w:t xml:space="preserve">close to the tank bottom </w:t>
      </w:r>
      <w:r w:rsidRPr="008924EF">
        <w:rPr>
          <w:lang w:val="en-GB"/>
        </w:rPr>
        <w:t xml:space="preserve">show a bimodal spread of both </w:t>
      </w:r>
      <w:r w:rsidR="00133749" w:rsidRPr="008924EF">
        <w:rPr>
          <w:lang w:val="en-GB"/>
        </w:rPr>
        <w:t>the components</w:t>
      </w:r>
      <w:r w:rsidRPr="008924EF">
        <w:rPr>
          <w:lang w:val="en-GB"/>
        </w:rPr>
        <w:t xml:space="preserve"> for the three </w:t>
      </w:r>
      <w:r w:rsidR="00133749" w:rsidRPr="008924EF">
        <w:rPr>
          <w:lang w:val="en-GB"/>
        </w:rPr>
        <w:t>investigated impeller speeds</w:t>
      </w:r>
      <w:r w:rsidRPr="008924EF">
        <w:rPr>
          <w:lang w:val="en-GB"/>
        </w:rPr>
        <w:t xml:space="preserve">. Unsurprisingly for the middle and higher </w:t>
      </w:r>
      <w:r w:rsidR="00133749" w:rsidRPr="008924EF">
        <w:rPr>
          <w:lang w:val="en-GB"/>
        </w:rPr>
        <w:t>N value</w:t>
      </w:r>
      <w:r w:rsidR="00BF2CD8" w:rsidRPr="008924EF">
        <w:rPr>
          <w:lang w:val="en-GB"/>
        </w:rPr>
        <w:t>s</w:t>
      </w:r>
      <w:r w:rsidRPr="008924EF">
        <w:rPr>
          <w:lang w:val="en-GB"/>
        </w:rPr>
        <w:t>, the distributions match closely</w:t>
      </w:r>
      <w:r w:rsidR="00AE345C" w:rsidRPr="008924EF">
        <w:rPr>
          <w:lang w:val="en-GB"/>
        </w:rPr>
        <w:t xml:space="preserve"> (Figure 5b,c and Figure 6b,c)</w:t>
      </w:r>
      <w:r w:rsidRPr="008924EF">
        <w:rPr>
          <w:lang w:val="en-GB"/>
        </w:rPr>
        <w:t xml:space="preserve">. This is simply explained by the Re numbers for the two aforementioned runs which can be considered both within the turbulent regime. On the contrary for the lower </w:t>
      </w:r>
      <w:r w:rsidR="00133749" w:rsidRPr="008924EF">
        <w:rPr>
          <w:lang w:val="en-GB"/>
        </w:rPr>
        <w:t>N</w:t>
      </w:r>
      <w:r w:rsidRPr="008924EF">
        <w:rPr>
          <w:lang w:val="en-GB"/>
        </w:rPr>
        <w:t xml:space="preserve">, the </w:t>
      </w:r>
      <w:r w:rsidR="00AE345C" w:rsidRPr="008924EF">
        <w:rPr>
          <w:lang w:val="en-GB"/>
        </w:rPr>
        <w:t>rotational</w:t>
      </w:r>
      <w:r w:rsidR="00133749" w:rsidRPr="008924EF">
        <w:rPr>
          <w:lang w:val="en-GB"/>
        </w:rPr>
        <w:t xml:space="preserve"> Reynolds number </w:t>
      </w:r>
      <w:r w:rsidR="00AE345C" w:rsidRPr="008924EF">
        <w:rPr>
          <w:lang w:val="en-GB"/>
        </w:rPr>
        <w:t xml:space="preserve">(Figures 5a and 6a) </w:t>
      </w:r>
      <w:r w:rsidRPr="008924EF">
        <w:rPr>
          <w:lang w:val="en-GB"/>
        </w:rPr>
        <w:t xml:space="preserve">is typical </w:t>
      </w:r>
      <w:r w:rsidR="00322FC9" w:rsidRPr="008924EF">
        <w:rPr>
          <w:lang w:val="en-GB"/>
        </w:rPr>
        <w:t xml:space="preserve">of the </w:t>
      </w:r>
      <w:r w:rsidRPr="008924EF">
        <w:rPr>
          <w:lang w:val="en-GB"/>
        </w:rPr>
        <w:t>high transitional regime</w:t>
      </w:r>
      <w:r w:rsidR="00133749" w:rsidRPr="008924EF">
        <w:rPr>
          <w:lang w:val="en-GB"/>
        </w:rPr>
        <w:t xml:space="preserve">, thus explaining the </w:t>
      </w:r>
      <w:r w:rsidR="00A1287E">
        <w:rPr>
          <w:lang w:val="en-GB"/>
        </w:rPr>
        <w:t>larger differences</w:t>
      </w:r>
      <w:r w:rsidRPr="008924EF">
        <w:rPr>
          <w:lang w:val="en-GB"/>
        </w:rPr>
        <w:t xml:space="preserve"> compared to the other two.</w:t>
      </w:r>
    </w:p>
    <w:p w14:paraId="2E53C6DC" w14:textId="547E02F7" w:rsidR="00C4040B" w:rsidRPr="008924EF" w:rsidRDefault="00AE5C30" w:rsidP="0055481F">
      <w:pPr>
        <w:pStyle w:val="CETCaption"/>
        <w:spacing w:after="0"/>
        <w:jc w:val="left"/>
        <w:rPr>
          <w:rStyle w:val="CETCaptionCarattere"/>
          <w:i/>
        </w:rPr>
      </w:pPr>
      <w:r w:rsidRPr="008924EF">
        <w:rPr>
          <w:rStyle w:val="CETCaptionCarattere"/>
          <w:i/>
          <w:noProof/>
          <w:lang w:val="it-IT" w:eastAsia="it-IT"/>
        </w:rPr>
        <w:lastRenderedPageBreak/>
        <w:drawing>
          <wp:inline distT="0" distB="0" distL="0" distR="0" wp14:anchorId="44277CCF" wp14:editId="1CF08F74">
            <wp:extent cx="5414645" cy="153908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627" r="8325"/>
                    <a:stretch/>
                  </pic:blipFill>
                  <pic:spPr bwMode="auto">
                    <a:xfrm>
                      <a:off x="0" y="0"/>
                      <a:ext cx="5443636" cy="1547330"/>
                    </a:xfrm>
                    <a:prstGeom prst="rect">
                      <a:avLst/>
                    </a:prstGeom>
                    <a:noFill/>
                    <a:ln>
                      <a:noFill/>
                    </a:ln>
                    <a:extLst>
                      <a:ext uri="{53640926-AAD7-44D8-BBD7-CCE9431645EC}">
                        <a14:shadowObscured xmlns:a14="http://schemas.microsoft.com/office/drawing/2010/main"/>
                      </a:ext>
                    </a:extLst>
                  </pic:spPr>
                </pic:pic>
              </a:graphicData>
            </a:graphic>
          </wp:inline>
        </w:drawing>
      </w:r>
      <w:r w:rsidR="00600535" w:rsidRPr="008924EF">
        <w:rPr>
          <w:rStyle w:val="CETCaptionCarattere"/>
          <w:i/>
        </w:rPr>
        <w:t xml:space="preserve">Figure </w:t>
      </w:r>
      <w:r w:rsidR="00972347" w:rsidRPr="008924EF">
        <w:rPr>
          <w:rStyle w:val="CETCaptionCarattere"/>
          <w:i/>
        </w:rPr>
        <w:t>5</w:t>
      </w:r>
      <w:r w:rsidR="00600535" w:rsidRPr="008924EF">
        <w:rPr>
          <w:rStyle w:val="CETCaptionCarattere"/>
          <w:i/>
        </w:rPr>
        <w:t xml:space="preserve">: </w:t>
      </w:r>
      <w:r w:rsidR="00502359" w:rsidRPr="008924EF">
        <w:rPr>
          <w:rStyle w:val="CETCaptionCarattere"/>
          <w:i/>
        </w:rPr>
        <w:t>Dimensionless ra</w:t>
      </w:r>
      <w:r w:rsidR="005405ED">
        <w:rPr>
          <w:rStyle w:val="CETCaptionCarattere"/>
          <w:i/>
        </w:rPr>
        <w:t>dial velocity distribution on a</w:t>
      </w:r>
      <w:r w:rsidR="00502359" w:rsidRPr="008924EF">
        <w:rPr>
          <w:rStyle w:val="CETCaptionCarattere"/>
          <w:i/>
        </w:rPr>
        <w:t xml:space="preserve"> horizontal section close to the vessel bottom (z=1.5cm). Water: (a) N=67rpm; (b) N=133rpm, (c) N=217 rpm.</w:t>
      </w:r>
    </w:p>
    <w:p w14:paraId="0A839C25" w14:textId="40DBFDAD" w:rsidR="00502359" w:rsidRPr="008924EF" w:rsidRDefault="00502359" w:rsidP="0055481F">
      <w:pPr>
        <w:pStyle w:val="CETCaption"/>
        <w:spacing w:after="0"/>
        <w:jc w:val="left"/>
        <w:rPr>
          <w:rStyle w:val="CETCaptionCarattere"/>
          <w:i/>
        </w:rPr>
      </w:pPr>
      <w:r w:rsidRPr="008924EF">
        <w:rPr>
          <w:rStyle w:val="CETCaptionCarattere"/>
          <w:i/>
        </w:rPr>
        <w:t xml:space="preserve"> </w:t>
      </w:r>
      <w:r w:rsidR="00AE5C30" w:rsidRPr="008924EF">
        <w:rPr>
          <w:rStyle w:val="CETCaptionCarattere"/>
          <w:i/>
          <w:noProof/>
          <w:lang w:val="it-IT" w:eastAsia="it-IT"/>
        </w:rPr>
        <w:drawing>
          <wp:inline distT="0" distB="0" distL="0" distR="0" wp14:anchorId="49CAEA0A" wp14:editId="383B9A65">
            <wp:extent cx="5378842" cy="1530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6816" r="8324"/>
                    <a:stretch/>
                  </pic:blipFill>
                  <pic:spPr bwMode="auto">
                    <a:xfrm>
                      <a:off x="0" y="0"/>
                      <a:ext cx="5400629" cy="1536233"/>
                    </a:xfrm>
                    <a:prstGeom prst="rect">
                      <a:avLst/>
                    </a:prstGeom>
                    <a:noFill/>
                    <a:ln>
                      <a:noFill/>
                    </a:ln>
                    <a:extLst>
                      <a:ext uri="{53640926-AAD7-44D8-BBD7-CCE9431645EC}">
                        <a14:shadowObscured xmlns:a14="http://schemas.microsoft.com/office/drawing/2010/main"/>
                      </a:ext>
                    </a:extLst>
                  </pic:spPr>
                </pic:pic>
              </a:graphicData>
            </a:graphic>
          </wp:inline>
        </w:drawing>
      </w:r>
      <w:r w:rsidRPr="008924EF">
        <w:rPr>
          <w:rStyle w:val="CETCaptionCarattere"/>
          <w:i/>
        </w:rPr>
        <w:t xml:space="preserve">Figure </w:t>
      </w:r>
      <w:r w:rsidR="00972347" w:rsidRPr="008924EF">
        <w:rPr>
          <w:rStyle w:val="CETCaptionCarattere"/>
          <w:i/>
        </w:rPr>
        <w:t>6</w:t>
      </w:r>
      <w:r w:rsidRPr="008924EF">
        <w:rPr>
          <w:rStyle w:val="CETCaptionCarattere"/>
          <w:i/>
        </w:rPr>
        <w:t>: Dimensionless tangen</w:t>
      </w:r>
      <w:r w:rsidR="005405ED">
        <w:rPr>
          <w:rStyle w:val="CETCaptionCarattere"/>
          <w:i/>
        </w:rPr>
        <w:t>tial velocity distribution on a</w:t>
      </w:r>
      <w:r w:rsidRPr="008924EF">
        <w:rPr>
          <w:rStyle w:val="CETCaptionCarattere"/>
          <w:i/>
        </w:rPr>
        <w:t xml:space="preserve"> horizontal section close to the vessel bottom (z=1.5cm). Water: (a) N=67rpm; (b) N=133rpm, (c) N=217 rpm. </w:t>
      </w:r>
    </w:p>
    <w:p w14:paraId="5084874E" w14:textId="77777777" w:rsidR="00D603F6" w:rsidRPr="008924EF" w:rsidRDefault="00D603F6" w:rsidP="0055481F">
      <w:pPr>
        <w:pStyle w:val="CETBodytext"/>
        <w:jc w:val="left"/>
        <w:rPr>
          <w:lang w:val="en-GB"/>
        </w:rPr>
      </w:pPr>
    </w:p>
    <w:p w14:paraId="06F997B1" w14:textId="254E9BBB" w:rsidR="00D603F6" w:rsidRPr="008924EF" w:rsidRDefault="00D603F6" w:rsidP="00DC6A7C">
      <w:pPr>
        <w:pStyle w:val="CETBodytext"/>
        <w:rPr>
          <w:lang w:val="en-GB"/>
        </w:rPr>
      </w:pPr>
      <w:r w:rsidRPr="008924EF">
        <w:rPr>
          <w:lang w:val="en-GB"/>
        </w:rPr>
        <w:t xml:space="preserve">On the other hand, different trends are observed in Figures 7 and 8 where similar plots are observed for the water solution of Xa, for the same PIV measurements region of interest (ROI). The different rheological </w:t>
      </w:r>
      <w:r w:rsidR="008924EF" w:rsidRPr="008924EF">
        <w:rPr>
          <w:lang w:val="en-GB"/>
        </w:rPr>
        <w:t>behaviour</w:t>
      </w:r>
      <w:r w:rsidRPr="008924EF">
        <w:rPr>
          <w:lang w:val="en-GB"/>
        </w:rPr>
        <w:t xml:space="preserve"> of the fluid changes drastically the shape of the distributions. In this case, the distributions are mono-modal and generally the velocity intensity is within 5% of V</w:t>
      </w:r>
      <w:r w:rsidRPr="008B1678">
        <w:rPr>
          <w:vertAlign w:val="subscript"/>
          <w:lang w:val="en-GB"/>
        </w:rPr>
        <w:t>tip</w:t>
      </w:r>
      <w:r w:rsidRPr="008924EF">
        <w:rPr>
          <w:lang w:val="en-GB"/>
        </w:rPr>
        <w:t xml:space="preserve">, compared to the just water case, where the velocity in the ROI reached 15% and 20 % of the tip speed respectively for the radial and tangential velocity. </w:t>
      </w:r>
      <w:r w:rsidR="008B1678">
        <w:rPr>
          <w:lang w:val="en-GB"/>
        </w:rPr>
        <w:t>Concerning the relative</w:t>
      </w:r>
      <w:r w:rsidR="00C4040B" w:rsidRPr="008924EF">
        <w:rPr>
          <w:lang w:val="en-GB"/>
        </w:rPr>
        <w:t xml:space="preserve"> shape of the distributions</w:t>
      </w:r>
      <w:r w:rsidR="008B1678">
        <w:rPr>
          <w:lang w:val="en-GB"/>
        </w:rPr>
        <w:t>, i</w:t>
      </w:r>
      <w:r w:rsidR="00C4040B" w:rsidRPr="008924EF">
        <w:rPr>
          <w:lang w:val="en-GB"/>
        </w:rPr>
        <w:t xml:space="preserve">ncreasing the impeller speed, for both radial and tangential velocity, the distributions assume a different shape and the similar shape cannot be observed for the middle and higher values of N, as seen for the water case. This is explained by the rheological flow map shown in Figure 2. For the Xa solution used for this work, despite the tip speeds are comparable to the previous cases, the apparent viscosities at different N are few orders higher in magnitude compared to the viscosity of water. If the values of apparent viscosities are used to calculate the Re numbers for the three runs for the Xanthan gum fluid, it is observed that at higher N the value of Re </w:t>
      </w:r>
      <w:r w:rsidR="008B1678">
        <w:rPr>
          <w:lang w:val="en-GB"/>
        </w:rPr>
        <w:t>is less than</w:t>
      </w:r>
      <w:r w:rsidR="00C4040B" w:rsidRPr="0010312B">
        <w:rPr>
          <w:lang w:val="en-GB"/>
        </w:rPr>
        <w:t xml:space="preserve"> 10</w:t>
      </w:r>
      <w:r w:rsidR="00C4040B" w:rsidRPr="008B1678">
        <w:rPr>
          <w:vertAlign w:val="superscript"/>
          <w:lang w:val="en-GB"/>
        </w:rPr>
        <w:t>3</w:t>
      </w:r>
      <w:r w:rsidR="00C4040B" w:rsidRPr="0010312B">
        <w:rPr>
          <w:lang w:val="en-GB"/>
        </w:rPr>
        <w:t>. This suggests that the system, for the different operating conditions, is in low/middle transitional regime.</w:t>
      </w:r>
      <w:r w:rsidR="00DC6A7C" w:rsidRPr="0010312B">
        <w:rPr>
          <w:lang w:val="en-GB"/>
        </w:rPr>
        <w:t xml:space="preserve"> This finding is very relevant if contextualized for a real biological reactor, such as a </w:t>
      </w:r>
      <w:r w:rsidR="00915968" w:rsidRPr="0010312B">
        <w:rPr>
          <w:lang w:val="en-GB"/>
        </w:rPr>
        <w:t>digester</w:t>
      </w:r>
      <w:r w:rsidR="008B1678">
        <w:rPr>
          <w:lang w:val="en-GB"/>
        </w:rPr>
        <w:t>.</w:t>
      </w:r>
      <w:r w:rsidR="00DC6A7C" w:rsidRPr="0010312B">
        <w:rPr>
          <w:lang w:val="en-GB"/>
        </w:rPr>
        <w:t xml:space="preserve"> </w:t>
      </w:r>
      <w:r w:rsidR="008B1678">
        <w:rPr>
          <w:lang w:val="en-GB"/>
        </w:rPr>
        <w:t>S</w:t>
      </w:r>
      <w:r w:rsidR="00DC6A7C" w:rsidRPr="0010312B">
        <w:rPr>
          <w:lang w:val="en-GB"/>
        </w:rPr>
        <w:t xml:space="preserve">ince the fluid rheology is more likely to be closer to the Xa solution used </w:t>
      </w:r>
      <w:r w:rsidR="00023FFF">
        <w:rPr>
          <w:lang w:val="en-GB"/>
        </w:rPr>
        <w:t>in</w:t>
      </w:r>
      <w:r w:rsidR="00DC6A7C" w:rsidRPr="0010312B">
        <w:rPr>
          <w:lang w:val="en-GB"/>
        </w:rPr>
        <w:t xml:space="preserve"> this work, rather than </w:t>
      </w:r>
      <w:r w:rsidR="00023FFF">
        <w:rPr>
          <w:lang w:val="en-GB"/>
        </w:rPr>
        <w:t xml:space="preserve">that of </w:t>
      </w:r>
      <w:r w:rsidR="00DC6A7C" w:rsidRPr="0010312B">
        <w:rPr>
          <w:lang w:val="en-GB"/>
        </w:rPr>
        <w:t xml:space="preserve">water. This is important when initial considerations for </w:t>
      </w:r>
      <w:r w:rsidR="00915968" w:rsidRPr="0010312B">
        <w:rPr>
          <w:lang w:val="en-GB"/>
        </w:rPr>
        <w:t xml:space="preserve">digester </w:t>
      </w:r>
      <w:r w:rsidR="00DC6A7C" w:rsidRPr="0010312B">
        <w:rPr>
          <w:lang w:val="en-GB"/>
        </w:rPr>
        <w:t>design are made.</w:t>
      </w:r>
    </w:p>
    <w:p w14:paraId="18D3CD03" w14:textId="6A197F19" w:rsidR="00E72661" w:rsidRDefault="00E72661" w:rsidP="00DC6A7C">
      <w:pPr>
        <w:pStyle w:val="CETBodytext"/>
        <w:rPr>
          <w:lang w:val="en-GB"/>
        </w:rPr>
      </w:pPr>
    </w:p>
    <w:p w14:paraId="6F2DCA74" w14:textId="77777777" w:rsidR="00E12EDC" w:rsidRPr="008924EF" w:rsidRDefault="00E12EDC" w:rsidP="00DC6A7C">
      <w:pPr>
        <w:pStyle w:val="CETBodytext"/>
        <w:rPr>
          <w:lang w:val="en-GB"/>
        </w:rPr>
      </w:pPr>
    </w:p>
    <w:p w14:paraId="4B0E7053" w14:textId="513B260F" w:rsidR="0055481F" w:rsidRPr="008924EF" w:rsidRDefault="0055481F" w:rsidP="0055481F">
      <w:pPr>
        <w:pStyle w:val="CETBodytext"/>
        <w:jc w:val="left"/>
        <w:rPr>
          <w:rStyle w:val="CETCaptionCarattere"/>
        </w:rPr>
      </w:pPr>
      <w:r w:rsidRPr="008924EF">
        <w:rPr>
          <w:noProof/>
          <w:lang w:val="it-IT" w:eastAsia="it-IT"/>
        </w:rPr>
        <w:drawing>
          <wp:inline distT="0" distB="0" distL="0" distR="0" wp14:anchorId="759E1AC5" wp14:editId="5AA98354">
            <wp:extent cx="5578104" cy="1611517"/>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7789" r="8649"/>
                    <a:stretch/>
                  </pic:blipFill>
                  <pic:spPr bwMode="auto">
                    <a:xfrm>
                      <a:off x="0" y="0"/>
                      <a:ext cx="5587529" cy="1614240"/>
                    </a:xfrm>
                    <a:prstGeom prst="rect">
                      <a:avLst/>
                    </a:prstGeom>
                    <a:noFill/>
                    <a:ln>
                      <a:noFill/>
                    </a:ln>
                    <a:extLst>
                      <a:ext uri="{53640926-AAD7-44D8-BBD7-CCE9431645EC}">
                        <a14:shadowObscured xmlns:a14="http://schemas.microsoft.com/office/drawing/2010/main"/>
                      </a:ext>
                    </a:extLst>
                  </pic:spPr>
                </pic:pic>
              </a:graphicData>
            </a:graphic>
          </wp:inline>
        </w:drawing>
      </w:r>
      <w:r w:rsidR="00972347" w:rsidRPr="008924EF">
        <w:rPr>
          <w:rStyle w:val="CETCaptionCarattere"/>
        </w:rPr>
        <w:t>Figure 7: Dimensionless radial velocity distribution on a horizontal section close to the vessel bottom (z=1.5cm). X</w:t>
      </w:r>
      <w:r w:rsidR="00322FC9" w:rsidRPr="008924EF">
        <w:rPr>
          <w:rStyle w:val="CETCaptionCarattere"/>
        </w:rPr>
        <w:t>a</w:t>
      </w:r>
      <w:r w:rsidR="00972347" w:rsidRPr="008924EF">
        <w:rPr>
          <w:rStyle w:val="CETCaptionCarattere"/>
        </w:rPr>
        <w:t xml:space="preserve"> solution: (a) N=67rpm; (b) N=133rpm, (c) N=217 rpm. </w:t>
      </w:r>
    </w:p>
    <w:p w14:paraId="574E1F58" w14:textId="7A0530D6" w:rsidR="00972347" w:rsidRPr="008924EF" w:rsidRDefault="0055481F" w:rsidP="0055481F">
      <w:pPr>
        <w:pStyle w:val="CETCaption"/>
        <w:rPr>
          <w:rStyle w:val="CETCaptionCarattere"/>
          <w:i/>
        </w:rPr>
      </w:pPr>
      <w:r w:rsidRPr="008924EF">
        <w:rPr>
          <w:noProof/>
          <w:lang w:val="it-IT" w:eastAsia="it-IT"/>
        </w:rPr>
        <w:lastRenderedPageBreak/>
        <w:drawing>
          <wp:inline distT="0" distB="0" distL="0" distR="0" wp14:anchorId="7C004F62" wp14:editId="38036232">
            <wp:extent cx="5744634" cy="17925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7464" r="8325"/>
                    <a:stretch/>
                  </pic:blipFill>
                  <pic:spPr bwMode="auto">
                    <a:xfrm>
                      <a:off x="0" y="0"/>
                      <a:ext cx="5765773" cy="1799182"/>
                    </a:xfrm>
                    <a:prstGeom prst="rect">
                      <a:avLst/>
                    </a:prstGeom>
                    <a:noFill/>
                    <a:ln>
                      <a:noFill/>
                    </a:ln>
                    <a:extLst>
                      <a:ext uri="{53640926-AAD7-44D8-BBD7-CCE9431645EC}">
                        <a14:shadowObscured xmlns:a14="http://schemas.microsoft.com/office/drawing/2010/main"/>
                      </a:ext>
                    </a:extLst>
                  </pic:spPr>
                </pic:pic>
              </a:graphicData>
            </a:graphic>
          </wp:inline>
        </w:drawing>
      </w:r>
      <w:r w:rsidR="00972347" w:rsidRPr="008924EF">
        <w:rPr>
          <w:rStyle w:val="CETCaptionCarattere"/>
          <w:i/>
        </w:rPr>
        <w:t>Figure 8: Dimensionless tangential velocity distribution on a horizontal section close to the vessel bottom (z=1.5cm). X</w:t>
      </w:r>
      <w:r w:rsidR="00322FC9" w:rsidRPr="008924EF">
        <w:rPr>
          <w:rStyle w:val="CETCaptionCarattere"/>
          <w:i/>
        </w:rPr>
        <w:t>a</w:t>
      </w:r>
      <w:r w:rsidR="00972347" w:rsidRPr="008924EF">
        <w:rPr>
          <w:rStyle w:val="CETCaptionCarattere"/>
          <w:i/>
        </w:rPr>
        <w:t xml:space="preserve"> solution: (a) N=67rpm; (b) N=133rpm, (c) N=217 rpm. </w:t>
      </w:r>
    </w:p>
    <w:p w14:paraId="6DAAD92F" w14:textId="4D87D040" w:rsidR="00D603F6" w:rsidRPr="008924EF" w:rsidRDefault="00D603F6" w:rsidP="0055481F">
      <w:pPr>
        <w:pStyle w:val="CETCaption"/>
        <w:rPr>
          <w:i w:val="0"/>
        </w:rPr>
      </w:pPr>
      <w:r w:rsidRPr="008924EF">
        <w:rPr>
          <w:i w:val="0"/>
        </w:rPr>
        <w:t>Firstly, underestimating the apparent viscosity, the power consumed by the motor will be drastically underestimated. Secondly, the complexity of the flow field will be difficult to predict using standard design approaches</w:t>
      </w:r>
      <w:r w:rsidR="00760AF7">
        <w:rPr>
          <w:i w:val="0"/>
        </w:rPr>
        <w:t>,</w:t>
      </w:r>
      <w:r w:rsidRPr="008924EF">
        <w:rPr>
          <w:i w:val="0"/>
        </w:rPr>
        <w:t xml:space="preserve"> </w:t>
      </w:r>
      <w:r w:rsidR="00760AF7">
        <w:rPr>
          <w:i w:val="0"/>
        </w:rPr>
        <w:t>particularly</w:t>
      </w:r>
      <w:r w:rsidRPr="008924EF">
        <w:rPr>
          <w:i w:val="0"/>
        </w:rPr>
        <w:t xml:space="preserve"> in the transitional </w:t>
      </w:r>
      <w:r w:rsidR="00760AF7">
        <w:rPr>
          <w:i w:val="0"/>
        </w:rPr>
        <w:t>regime</w:t>
      </w:r>
      <w:r w:rsidRPr="008924EF">
        <w:rPr>
          <w:i w:val="0"/>
        </w:rPr>
        <w:t xml:space="preserve">. In fact, using </w:t>
      </w:r>
      <w:r w:rsidR="00C4040B" w:rsidRPr="008924EF">
        <w:rPr>
          <w:i w:val="0"/>
        </w:rPr>
        <w:t xml:space="preserve">a scale down </w:t>
      </w:r>
      <w:r w:rsidRPr="008924EF">
        <w:rPr>
          <w:i w:val="0"/>
        </w:rPr>
        <w:t>experimental system is the only way to provide valuable and reliable information about the dynamics of a such complex system.</w:t>
      </w:r>
      <w:r w:rsidR="00915968" w:rsidRPr="008924EF">
        <w:rPr>
          <w:i w:val="0"/>
        </w:rPr>
        <w:t xml:space="preserve"> </w:t>
      </w:r>
    </w:p>
    <w:p w14:paraId="68D26B83" w14:textId="77777777" w:rsidR="00600535" w:rsidRPr="008924EF" w:rsidRDefault="00600535" w:rsidP="00600535">
      <w:pPr>
        <w:pStyle w:val="CETHeading1"/>
        <w:rPr>
          <w:lang w:val="en-GB"/>
        </w:rPr>
      </w:pPr>
      <w:r w:rsidRPr="008924EF">
        <w:rPr>
          <w:lang w:val="en-GB"/>
        </w:rPr>
        <w:t>Conclusions</w:t>
      </w:r>
    </w:p>
    <w:p w14:paraId="33A923DA" w14:textId="3E3452BA" w:rsidR="008D1FD5" w:rsidRPr="008924EF" w:rsidRDefault="000D25B1" w:rsidP="000D25B1">
      <w:pPr>
        <w:pStyle w:val="CETBodytext"/>
        <w:rPr>
          <w:lang w:val="en-GB"/>
        </w:rPr>
      </w:pPr>
      <w:r w:rsidRPr="008924EF">
        <w:rPr>
          <w:lang w:val="en-GB"/>
        </w:rPr>
        <w:t>The verification of the scale-down criterion for the impeller speed and the evaluation of the effect of the operating mixing mode on the biomass suspension features suggests that for full scale design</w:t>
      </w:r>
      <w:r w:rsidR="006345D6" w:rsidRPr="008924EF">
        <w:rPr>
          <w:lang w:val="en-GB"/>
        </w:rPr>
        <w:t xml:space="preserve"> of biogas digester</w:t>
      </w:r>
      <w:r w:rsidRPr="008924EF">
        <w:rPr>
          <w:lang w:val="en-GB"/>
        </w:rPr>
        <w:t xml:space="preserve"> investigation of down-scale geometries can be particularly important for avoiding failure of the production plant </w:t>
      </w:r>
      <w:r w:rsidR="00837718" w:rsidRPr="008924EF">
        <w:rPr>
          <w:lang w:val="en-GB"/>
        </w:rPr>
        <w:t>particularly due to lack of</w:t>
      </w:r>
      <w:r w:rsidRPr="008924EF">
        <w:rPr>
          <w:lang w:val="en-GB"/>
        </w:rPr>
        <w:t xml:space="preserve"> </w:t>
      </w:r>
      <w:r w:rsidR="00837718" w:rsidRPr="008924EF">
        <w:rPr>
          <w:lang w:val="en-GB"/>
        </w:rPr>
        <w:t xml:space="preserve">distribution of the solid feedstock adopted in the process. </w:t>
      </w:r>
      <w:r w:rsidRPr="008924EF">
        <w:rPr>
          <w:lang w:val="en-GB"/>
        </w:rPr>
        <w:t>As a difference with the case of conventional stirred tanks operating in fully turbulent regime, for this reactor configuration, the shape of the discharge flow of the impellers and their interaction exhibit</w:t>
      </w:r>
      <w:r w:rsidR="00EE77A7">
        <w:rPr>
          <w:lang w:val="en-GB"/>
        </w:rPr>
        <w:t>s</w:t>
      </w:r>
      <w:r w:rsidRPr="008924EF">
        <w:rPr>
          <w:lang w:val="en-GB"/>
        </w:rPr>
        <w:t xml:space="preserve"> significant differences depending on the Reynolds number.</w:t>
      </w:r>
    </w:p>
    <w:p w14:paraId="4F1327F8" w14:textId="77777777" w:rsidR="00600535" w:rsidRPr="008924EF" w:rsidRDefault="00600535" w:rsidP="006345D6">
      <w:pPr>
        <w:pStyle w:val="CETReference"/>
      </w:pPr>
      <w:r w:rsidRPr="008924EF">
        <w:t>References</w:t>
      </w:r>
    </w:p>
    <w:p w14:paraId="61F405F8" w14:textId="77777777" w:rsidR="0017498E" w:rsidRPr="008924EF" w:rsidRDefault="0017498E" w:rsidP="005C0337">
      <w:pPr>
        <w:pStyle w:val="CETReferencetext"/>
        <w:rPr>
          <w:rFonts w:eastAsia="Arial"/>
        </w:rPr>
      </w:pPr>
      <w:bookmarkStart w:id="1" w:name="_Hlk93650341"/>
      <w:r w:rsidRPr="008924EF">
        <w:rPr>
          <w:rFonts w:eastAsia="Arial"/>
        </w:rPr>
        <w:t>Annas, S., Elfering, M., Volbert, N., Jantzen, H.-A., Scholz, J., Janoske, U., 2019, Influence of the Agitator Position on the Mixing Process in Biogas Plants Using Paddle Agitators, Chemie-Ingenieur-Technik, 91, 969-979.</w:t>
      </w:r>
    </w:p>
    <w:p w14:paraId="6995E2CB" w14:textId="77777777" w:rsidR="0017498E" w:rsidRPr="008924EF" w:rsidRDefault="0017498E" w:rsidP="005C0337">
      <w:pPr>
        <w:pStyle w:val="CETReferencetext"/>
      </w:pPr>
      <w:r w:rsidRPr="008924EF">
        <w:rPr>
          <w:rFonts w:eastAsia="Arial"/>
        </w:rPr>
        <w:t>Dapelo</w:t>
      </w:r>
      <w:bookmarkEnd w:id="1"/>
      <w:r w:rsidRPr="008924EF">
        <w:rPr>
          <w:rFonts w:eastAsia="Arial"/>
        </w:rPr>
        <w:t>, D., Alberini F., Bridgeman J., 2015, Euler-Lagrange CFD modelling of unconfined gas mixing in anaerobic digestion, Water Research,85: 497-511</w:t>
      </w:r>
    </w:p>
    <w:p w14:paraId="362A6E92" w14:textId="77777777" w:rsidR="0017498E" w:rsidRPr="008924EF" w:rsidRDefault="0017498E" w:rsidP="005C0337">
      <w:pPr>
        <w:pStyle w:val="CETReferencetext"/>
      </w:pPr>
      <w:r w:rsidRPr="008924EF">
        <w:t xml:space="preserve">Heiker, M., Kraume, M., Mertins, A., Wawer, T., Rosenberger, S., 2021, Biogas plants in renewable energy systems-a systematic review of modeling approaches of biogas production Applied Sciences, 11, art. no. 3361 </w:t>
      </w:r>
    </w:p>
    <w:p w14:paraId="14E0B54D" w14:textId="77777777" w:rsidR="0017498E" w:rsidRPr="008924EF" w:rsidRDefault="0017498E" w:rsidP="005C0337">
      <w:pPr>
        <w:pStyle w:val="CETReferencetext"/>
      </w:pPr>
      <w:r w:rsidRPr="008924EF">
        <w:t>Kaparaju, P., Buendia, I., Ellegaard, L., Angelidakia, I., 2008, Effects of mixing on methane production during thermophilic anaerobic digestion of manure: Lab-scale and pilot-scale studies, Bioresour. Technol. 99, 4919-4928.</w:t>
      </w:r>
    </w:p>
    <w:p w14:paraId="0B9811C9" w14:textId="77777777" w:rsidR="0017498E" w:rsidRPr="008924EF" w:rsidRDefault="0017498E" w:rsidP="005C0337">
      <w:pPr>
        <w:pStyle w:val="CETReferencetext"/>
      </w:pPr>
      <w:r w:rsidRPr="008924EF">
        <w:t>Keshtkar, A., Meyssami, B., Abolhamd, G., Ghaforian, H., Asadi, M.K., 2003, Mathematical modeling of non-ideal mixing continuous flow reactors for anaerobic digestion of cattle manure. Bioresour. Technol. 87, 113-124.</w:t>
      </w:r>
    </w:p>
    <w:p w14:paraId="63EEF215" w14:textId="77777777" w:rsidR="0017498E" w:rsidRPr="008924EF" w:rsidRDefault="0017498E" w:rsidP="005C0337">
      <w:pPr>
        <w:pStyle w:val="CETReferencetext"/>
      </w:pPr>
      <w:r w:rsidRPr="008924EF">
        <w:t xml:space="preserve">Kolano, M., Danke, J., Kraume, M., 2021, Using thrust to control the mixing process in stirred tanks with side-entering agitators and viscoelastic fluids, Biomass and Bioenergy, 152, art. no. 106180. </w:t>
      </w:r>
    </w:p>
    <w:p w14:paraId="60C9F3F5" w14:textId="77777777" w:rsidR="0017498E" w:rsidRPr="008924EF" w:rsidRDefault="0017498E" w:rsidP="005C0337">
      <w:pPr>
        <w:pStyle w:val="CETReferencetext"/>
      </w:pPr>
      <w:r w:rsidRPr="008924EF">
        <w:t>Kowalczyk, A., Harnisch, E., Schwede, S., Gerber, M., Span, R., 2013, Different mixing modes for biogas plants using energy crops. Appl. Ener., 112, 465-472.</w:t>
      </w:r>
    </w:p>
    <w:p w14:paraId="3EA0E029" w14:textId="77777777" w:rsidR="0017498E" w:rsidRPr="008924EF" w:rsidRDefault="0017498E" w:rsidP="005C0337">
      <w:pPr>
        <w:pStyle w:val="CETReferencetext"/>
      </w:pPr>
      <w:r w:rsidRPr="008924EF">
        <w:t xml:space="preserve">Lebranchu, A., Delaunay, S., Marchal, P., Blanchard, F., Pacaud, S., Fick, M., Olmos, E., 2017, Impact of shear stress and impeller design on the production of biogas in anaerobic digesters, Bioresource Technology, 245, 1139-1147. </w:t>
      </w:r>
    </w:p>
    <w:p w14:paraId="3CC45CC9" w14:textId="77777777" w:rsidR="0017498E" w:rsidRPr="008924EF" w:rsidRDefault="0017498E" w:rsidP="005C0337">
      <w:pPr>
        <w:pStyle w:val="CETReferencetext"/>
      </w:pPr>
      <w:r w:rsidRPr="008924EF">
        <w:t xml:space="preserve">Montante, G., Paglianti, A., 2014, Hydrodynamics of a model stirred anaerobic digester, Chemical Engineering Transactions, 38, 49-54. </w:t>
      </w:r>
    </w:p>
    <w:p w14:paraId="54286755" w14:textId="74F187A5" w:rsidR="0017498E" w:rsidRDefault="0017498E" w:rsidP="005C0337">
      <w:pPr>
        <w:pStyle w:val="CETReferencetext"/>
      </w:pPr>
      <w:r w:rsidRPr="008924EF">
        <w:t xml:space="preserve">Montante, G., Paglianti, A., 2015, Fluid dynamics characterization of a stirred model bio-methanation digester, Chemical Engineering Research and Design, 93, 38-47. </w:t>
      </w:r>
    </w:p>
    <w:p w14:paraId="70EDCBF6" w14:textId="209A1EC3" w:rsidR="000619A0" w:rsidRPr="008924EF" w:rsidRDefault="000619A0" w:rsidP="005C0337">
      <w:pPr>
        <w:pStyle w:val="CETReferencetext"/>
      </w:pPr>
      <w:r w:rsidRPr="000619A0">
        <w:t>Montante, G., Magelli, F., Paglianti, A.</w:t>
      </w:r>
      <w:r>
        <w:t>, 2013,</w:t>
      </w:r>
      <w:r w:rsidRPr="000619A0">
        <w:t xml:space="preserve"> Fluid-dynamics characteristics of a vortex-ingesting stirred tank for biohydrogen production Chemical Engineering Research and Design, 91, 2198-2208. </w:t>
      </w:r>
    </w:p>
    <w:sectPr w:rsidR="000619A0" w:rsidRPr="008924EF"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9F654" w16cex:dateUtc="2022-03-14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AA6132" w16cid:durableId="25D9F6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4720B" w14:textId="77777777" w:rsidR="00DB341B" w:rsidRDefault="00DB341B" w:rsidP="004F5E36">
      <w:r>
        <w:separator/>
      </w:r>
    </w:p>
  </w:endnote>
  <w:endnote w:type="continuationSeparator" w:id="0">
    <w:p w14:paraId="52D86943" w14:textId="77777777" w:rsidR="00DB341B" w:rsidRDefault="00DB341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38E7B" w14:textId="77777777" w:rsidR="00DB341B" w:rsidRDefault="00DB341B" w:rsidP="004F5E36">
      <w:r>
        <w:separator/>
      </w:r>
    </w:p>
  </w:footnote>
  <w:footnote w:type="continuationSeparator" w:id="0">
    <w:p w14:paraId="1685409A" w14:textId="77777777" w:rsidR="00DB341B" w:rsidRDefault="00DB341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3318A70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FBA"/>
    <w:rsid w:val="000052FB"/>
    <w:rsid w:val="000117CB"/>
    <w:rsid w:val="00014995"/>
    <w:rsid w:val="00023FFF"/>
    <w:rsid w:val="00026B6F"/>
    <w:rsid w:val="0003148D"/>
    <w:rsid w:val="00031EEC"/>
    <w:rsid w:val="00037D2F"/>
    <w:rsid w:val="00051566"/>
    <w:rsid w:val="000619A0"/>
    <w:rsid w:val="00062A9A"/>
    <w:rsid w:val="00065058"/>
    <w:rsid w:val="00086C39"/>
    <w:rsid w:val="00087214"/>
    <w:rsid w:val="00090B32"/>
    <w:rsid w:val="000954A5"/>
    <w:rsid w:val="000A03B2"/>
    <w:rsid w:val="000A37F6"/>
    <w:rsid w:val="000C5998"/>
    <w:rsid w:val="000C6B48"/>
    <w:rsid w:val="000D0268"/>
    <w:rsid w:val="000D1334"/>
    <w:rsid w:val="000D25B1"/>
    <w:rsid w:val="000D34BE"/>
    <w:rsid w:val="000E102F"/>
    <w:rsid w:val="000E153C"/>
    <w:rsid w:val="000E36F1"/>
    <w:rsid w:val="000E3834"/>
    <w:rsid w:val="000E3A73"/>
    <w:rsid w:val="000E414A"/>
    <w:rsid w:val="000F093C"/>
    <w:rsid w:val="000F787B"/>
    <w:rsid w:val="000F7A60"/>
    <w:rsid w:val="00101386"/>
    <w:rsid w:val="00102FE8"/>
    <w:rsid w:val="0010312B"/>
    <w:rsid w:val="00113A2A"/>
    <w:rsid w:val="0012091F"/>
    <w:rsid w:val="00126BC2"/>
    <w:rsid w:val="001308B6"/>
    <w:rsid w:val="0013121F"/>
    <w:rsid w:val="00131FE6"/>
    <w:rsid w:val="0013263F"/>
    <w:rsid w:val="001331DF"/>
    <w:rsid w:val="00133749"/>
    <w:rsid w:val="00134DE4"/>
    <w:rsid w:val="0014034D"/>
    <w:rsid w:val="001422AC"/>
    <w:rsid w:val="00144D16"/>
    <w:rsid w:val="00150E59"/>
    <w:rsid w:val="00152DE3"/>
    <w:rsid w:val="0015322E"/>
    <w:rsid w:val="00157F76"/>
    <w:rsid w:val="00161DA9"/>
    <w:rsid w:val="00164CF9"/>
    <w:rsid w:val="001667A6"/>
    <w:rsid w:val="0017498E"/>
    <w:rsid w:val="001802A0"/>
    <w:rsid w:val="00181255"/>
    <w:rsid w:val="00184AD6"/>
    <w:rsid w:val="00194E91"/>
    <w:rsid w:val="0019652D"/>
    <w:rsid w:val="00196835"/>
    <w:rsid w:val="001A35E6"/>
    <w:rsid w:val="001A4AF7"/>
    <w:rsid w:val="001B0349"/>
    <w:rsid w:val="001B1E93"/>
    <w:rsid w:val="001B65C1"/>
    <w:rsid w:val="001C32B9"/>
    <w:rsid w:val="001C684B"/>
    <w:rsid w:val="001D0CFB"/>
    <w:rsid w:val="001D21AF"/>
    <w:rsid w:val="001D53FC"/>
    <w:rsid w:val="001D6D3F"/>
    <w:rsid w:val="001F42A5"/>
    <w:rsid w:val="001F7B9D"/>
    <w:rsid w:val="00201C93"/>
    <w:rsid w:val="00203B5D"/>
    <w:rsid w:val="002224B4"/>
    <w:rsid w:val="002252B2"/>
    <w:rsid w:val="00233077"/>
    <w:rsid w:val="002442B7"/>
    <w:rsid w:val="002447EF"/>
    <w:rsid w:val="00251550"/>
    <w:rsid w:val="00263B05"/>
    <w:rsid w:val="00265364"/>
    <w:rsid w:val="00266071"/>
    <w:rsid w:val="0027221A"/>
    <w:rsid w:val="00275B61"/>
    <w:rsid w:val="00280FAF"/>
    <w:rsid w:val="00282656"/>
    <w:rsid w:val="002855C7"/>
    <w:rsid w:val="00296B83"/>
    <w:rsid w:val="0029764D"/>
    <w:rsid w:val="002A412B"/>
    <w:rsid w:val="002B026C"/>
    <w:rsid w:val="002B4015"/>
    <w:rsid w:val="002B426B"/>
    <w:rsid w:val="002B74D7"/>
    <w:rsid w:val="002B75C1"/>
    <w:rsid w:val="002B78CE"/>
    <w:rsid w:val="002C2FB6"/>
    <w:rsid w:val="002D1B49"/>
    <w:rsid w:val="002D71FE"/>
    <w:rsid w:val="002E5FA7"/>
    <w:rsid w:val="002F3309"/>
    <w:rsid w:val="003008CE"/>
    <w:rsid w:val="003009B7"/>
    <w:rsid w:val="00300E56"/>
    <w:rsid w:val="0030469C"/>
    <w:rsid w:val="00321CA6"/>
    <w:rsid w:val="00322FC9"/>
    <w:rsid w:val="00323763"/>
    <w:rsid w:val="00327219"/>
    <w:rsid w:val="00334C09"/>
    <w:rsid w:val="00336016"/>
    <w:rsid w:val="00343E96"/>
    <w:rsid w:val="00356A0B"/>
    <w:rsid w:val="0036174C"/>
    <w:rsid w:val="003653AA"/>
    <w:rsid w:val="00371C95"/>
    <w:rsid w:val="003723D4"/>
    <w:rsid w:val="00381905"/>
    <w:rsid w:val="00381FE6"/>
    <w:rsid w:val="00384CC8"/>
    <w:rsid w:val="00386ABA"/>
    <w:rsid w:val="003871FD"/>
    <w:rsid w:val="003A04C5"/>
    <w:rsid w:val="003A1E30"/>
    <w:rsid w:val="003A2829"/>
    <w:rsid w:val="003A575B"/>
    <w:rsid w:val="003A5985"/>
    <w:rsid w:val="003A7D1C"/>
    <w:rsid w:val="003B304B"/>
    <w:rsid w:val="003B3146"/>
    <w:rsid w:val="003B6D84"/>
    <w:rsid w:val="003C7B41"/>
    <w:rsid w:val="003F015E"/>
    <w:rsid w:val="003F74B9"/>
    <w:rsid w:val="00400414"/>
    <w:rsid w:val="00401851"/>
    <w:rsid w:val="00403F52"/>
    <w:rsid w:val="0041406F"/>
    <w:rsid w:val="0041446B"/>
    <w:rsid w:val="00424932"/>
    <w:rsid w:val="00427A90"/>
    <w:rsid w:val="00432F5E"/>
    <w:rsid w:val="00433F6A"/>
    <w:rsid w:val="00435826"/>
    <w:rsid w:val="0044071E"/>
    <w:rsid w:val="004407B0"/>
    <w:rsid w:val="00441576"/>
    <w:rsid w:val="0044329C"/>
    <w:rsid w:val="00453E24"/>
    <w:rsid w:val="00457456"/>
    <w:rsid w:val="004577FE"/>
    <w:rsid w:val="00457B9C"/>
    <w:rsid w:val="0046164A"/>
    <w:rsid w:val="004628D2"/>
    <w:rsid w:val="00462DCD"/>
    <w:rsid w:val="004648AD"/>
    <w:rsid w:val="004703A9"/>
    <w:rsid w:val="00471CA3"/>
    <w:rsid w:val="00473F62"/>
    <w:rsid w:val="004760DE"/>
    <w:rsid w:val="004763D7"/>
    <w:rsid w:val="00480E11"/>
    <w:rsid w:val="004957D0"/>
    <w:rsid w:val="004962B7"/>
    <w:rsid w:val="004A004E"/>
    <w:rsid w:val="004A24CF"/>
    <w:rsid w:val="004C3D1D"/>
    <w:rsid w:val="004C7913"/>
    <w:rsid w:val="004D1AAB"/>
    <w:rsid w:val="004E4DD6"/>
    <w:rsid w:val="004F5E36"/>
    <w:rsid w:val="00502359"/>
    <w:rsid w:val="00507B47"/>
    <w:rsid w:val="00507BEF"/>
    <w:rsid w:val="00507CC9"/>
    <w:rsid w:val="005119A5"/>
    <w:rsid w:val="00511F5E"/>
    <w:rsid w:val="00514774"/>
    <w:rsid w:val="00514989"/>
    <w:rsid w:val="005278B7"/>
    <w:rsid w:val="0053165F"/>
    <w:rsid w:val="00532016"/>
    <w:rsid w:val="00532701"/>
    <w:rsid w:val="005346C8"/>
    <w:rsid w:val="005361D0"/>
    <w:rsid w:val="005405ED"/>
    <w:rsid w:val="00543E7D"/>
    <w:rsid w:val="0054593C"/>
    <w:rsid w:val="0054715B"/>
    <w:rsid w:val="00547A68"/>
    <w:rsid w:val="005531C9"/>
    <w:rsid w:val="0055481F"/>
    <w:rsid w:val="00570C43"/>
    <w:rsid w:val="005712C5"/>
    <w:rsid w:val="0058017C"/>
    <w:rsid w:val="005831A8"/>
    <w:rsid w:val="00585286"/>
    <w:rsid w:val="00595BC2"/>
    <w:rsid w:val="005B2110"/>
    <w:rsid w:val="005B5A4C"/>
    <w:rsid w:val="005B61E6"/>
    <w:rsid w:val="005B629E"/>
    <w:rsid w:val="005B6B06"/>
    <w:rsid w:val="005C0337"/>
    <w:rsid w:val="005C77E1"/>
    <w:rsid w:val="005D668A"/>
    <w:rsid w:val="005D6A2F"/>
    <w:rsid w:val="005E062C"/>
    <w:rsid w:val="005E0B2D"/>
    <w:rsid w:val="005E0D5A"/>
    <w:rsid w:val="005E1A82"/>
    <w:rsid w:val="005E4226"/>
    <w:rsid w:val="005E794C"/>
    <w:rsid w:val="005F0A28"/>
    <w:rsid w:val="005F0E5E"/>
    <w:rsid w:val="00600535"/>
    <w:rsid w:val="00600F07"/>
    <w:rsid w:val="006102CC"/>
    <w:rsid w:val="00610CD6"/>
    <w:rsid w:val="0061273D"/>
    <w:rsid w:val="00620DEE"/>
    <w:rsid w:val="00621F92"/>
    <w:rsid w:val="0062280A"/>
    <w:rsid w:val="00625639"/>
    <w:rsid w:val="00626F16"/>
    <w:rsid w:val="00631B33"/>
    <w:rsid w:val="006345D6"/>
    <w:rsid w:val="0064184D"/>
    <w:rsid w:val="006422CC"/>
    <w:rsid w:val="00651A18"/>
    <w:rsid w:val="00660E3E"/>
    <w:rsid w:val="0066154E"/>
    <w:rsid w:val="00662E74"/>
    <w:rsid w:val="00663F58"/>
    <w:rsid w:val="006672C6"/>
    <w:rsid w:val="006679CF"/>
    <w:rsid w:val="00667DBA"/>
    <w:rsid w:val="00672CF7"/>
    <w:rsid w:val="00680C23"/>
    <w:rsid w:val="00687A2C"/>
    <w:rsid w:val="00693766"/>
    <w:rsid w:val="006A1314"/>
    <w:rsid w:val="006A3281"/>
    <w:rsid w:val="006A35BF"/>
    <w:rsid w:val="006A78B7"/>
    <w:rsid w:val="006B0FAD"/>
    <w:rsid w:val="006B3B5D"/>
    <w:rsid w:val="006B4888"/>
    <w:rsid w:val="006C2537"/>
    <w:rsid w:val="006C2E45"/>
    <w:rsid w:val="006C359C"/>
    <w:rsid w:val="006C5579"/>
    <w:rsid w:val="006D1E70"/>
    <w:rsid w:val="006D6E8B"/>
    <w:rsid w:val="006D7D47"/>
    <w:rsid w:val="006E3E51"/>
    <w:rsid w:val="006E737D"/>
    <w:rsid w:val="006F4C2B"/>
    <w:rsid w:val="00713973"/>
    <w:rsid w:val="00720A24"/>
    <w:rsid w:val="00732386"/>
    <w:rsid w:val="0073514D"/>
    <w:rsid w:val="007447F3"/>
    <w:rsid w:val="00744F04"/>
    <w:rsid w:val="0075499F"/>
    <w:rsid w:val="0076046F"/>
    <w:rsid w:val="00760AF7"/>
    <w:rsid w:val="00764578"/>
    <w:rsid w:val="007661C8"/>
    <w:rsid w:val="0077098D"/>
    <w:rsid w:val="00785C18"/>
    <w:rsid w:val="00785D76"/>
    <w:rsid w:val="007876BC"/>
    <w:rsid w:val="007931FA"/>
    <w:rsid w:val="007A4861"/>
    <w:rsid w:val="007A7BBA"/>
    <w:rsid w:val="007B0C50"/>
    <w:rsid w:val="007B3396"/>
    <w:rsid w:val="007B3458"/>
    <w:rsid w:val="007B48F9"/>
    <w:rsid w:val="007B56B1"/>
    <w:rsid w:val="007C1A43"/>
    <w:rsid w:val="007C44B5"/>
    <w:rsid w:val="007C5AF2"/>
    <w:rsid w:val="007F5513"/>
    <w:rsid w:val="007F75CD"/>
    <w:rsid w:val="0080013E"/>
    <w:rsid w:val="00813288"/>
    <w:rsid w:val="008159D6"/>
    <w:rsid w:val="00816799"/>
    <w:rsid w:val="008168FC"/>
    <w:rsid w:val="00830996"/>
    <w:rsid w:val="008345F1"/>
    <w:rsid w:val="00837718"/>
    <w:rsid w:val="008614E4"/>
    <w:rsid w:val="008656DD"/>
    <w:rsid w:val="00865B07"/>
    <w:rsid w:val="008667EA"/>
    <w:rsid w:val="008714B6"/>
    <w:rsid w:val="0087637F"/>
    <w:rsid w:val="0088103F"/>
    <w:rsid w:val="00882EF6"/>
    <w:rsid w:val="008924EF"/>
    <w:rsid w:val="00892AD5"/>
    <w:rsid w:val="00893537"/>
    <w:rsid w:val="008A1512"/>
    <w:rsid w:val="008B1678"/>
    <w:rsid w:val="008B242D"/>
    <w:rsid w:val="008B3393"/>
    <w:rsid w:val="008C37F6"/>
    <w:rsid w:val="008D0CE0"/>
    <w:rsid w:val="008D1FD5"/>
    <w:rsid w:val="008D32B9"/>
    <w:rsid w:val="008D433B"/>
    <w:rsid w:val="008E19E3"/>
    <w:rsid w:val="008E566E"/>
    <w:rsid w:val="008E7113"/>
    <w:rsid w:val="008E7A60"/>
    <w:rsid w:val="008F50A1"/>
    <w:rsid w:val="0090161A"/>
    <w:rsid w:val="00901EB6"/>
    <w:rsid w:val="009025AB"/>
    <w:rsid w:val="00904C62"/>
    <w:rsid w:val="00915968"/>
    <w:rsid w:val="00922BA8"/>
    <w:rsid w:val="00924DAC"/>
    <w:rsid w:val="00927058"/>
    <w:rsid w:val="00942750"/>
    <w:rsid w:val="009450CE"/>
    <w:rsid w:val="00947179"/>
    <w:rsid w:val="0095164B"/>
    <w:rsid w:val="00954090"/>
    <w:rsid w:val="009573E7"/>
    <w:rsid w:val="00963E05"/>
    <w:rsid w:val="00964A45"/>
    <w:rsid w:val="009675E8"/>
    <w:rsid w:val="00967843"/>
    <w:rsid w:val="00967D54"/>
    <w:rsid w:val="00971028"/>
    <w:rsid w:val="009718BC"/>
    <w:rsid w:val="00972347"/>
    <w:rsid w:val="00976ADB"/>
    <w:rsid w:val="00982CD6"/>
    <w:rsid w:val="00987793"/>
    <w:rsid w:val="00993B84"/>
    <w:rsid w:val="0099617A"/>
    <w:rsid w:val="00996483"/>
    <w:rsid w:val="00996A88"/>
    <w:rsid w:val="00996F5A"/>
    <w:rsid w:val="00997E25"/>
    <w:rsid w:val="009B041A"/>
    <w:rsid w:val="009C37C3"/>
    <w:rsid w:val="009C448B"/>
    <w:rsid w:val="009C7C86"/>
    <w:rsid w:val="009D2FF7"/>
    <w:rsid w:val="009E7884"/>
    <w:rsid w:val="009E788A"/>
    <w:rsid w:val="009F0E08"/>
    <w:rsid w:val="009F6580"/>
    <w:rsid w:val="00A1287E"/>
    <w:rsid w:val="00A1763D"/>
    <w:rsid w:val="00A17CEC"/>
    <w:rsid w:val="00A20B43"/>
    <w:rsid w:val="00A2104E"/>
    <w:rsid w:val="00A22B4A"/>
    <w:rsid w:val="00A267D1"/>
    <w:rsid w:val="00A27EF0"/>
    <w:rsid w:val="00A33316"/>
    <w:rsid w:val="00A42361"/>
    <w:rsid w:val="00A50B20"/>
    <w:rsid w:val="00A51390"/>
    <w:rsid w:val="00A60D13"/>
    <w:rsid w:val="00A611BF"/>
    <w:rsid w:val="00A72745"/>
    <w:rsid w:val="00A76D7F"/>
    <w:rsid w:val="00A76EFC"/>
    <w:rsid w:val="00A8553C"/>
    <w:rsid w:val="00A91010"/>
    <w:rsid w:val="00A9192F"/>
    <w:rsid w:val="00A97F29"/>
    <w:rsid w:val="00AA702E"/>
    <w:rsid w:val="00AB0964"/>
    <w:rsid w:val="00AB5011"/>
    <w:rsid w:val="00AB7238"/>
    <w:rsid w:val="00AB7F70"/>
    <w:rsid w:val="00AC2EAC"/>
    <w:rsid w:val="00AC359A"/>
    <w:rsid w:val="00AC7368"/>
    <w:rsid w:val="00AD1116"/>
    <w:rsid w:val="00AD16B9"/>
    <w:rsid w:val="00AE28B3"/>
    <w:rsid w:val="00AE345C"/>
    <w:rsid w:val="00AE377D"/>
    <w:rsid w:val="00AE5C30"/>
    <w:rsid w:val="00AF0EBA"/>
    <w:rsid w:val="00AF34E9"/>
    <w:rsid w:val="00AF7481"/>
    <w:rsid w:val="00B02C8A"/>
    <w:rsid w:val="00B17599"/>
    <w:rsid w:val="00B17FBD"/>
    <w:rsid w:val="00B22422"/>
    <w:rsid w:val="00B315A6"/>
    <w:rsid w:val="00B31813"/>
    <w:rsid w:val="00B31942"/>
    <w:rsid w:val="00B33365"/>
    <w:rsid w:val="00B40CDC"/>
    <w:rsid w:val="00B57B36"/>
    <w:rsid w:val="00B57E6F"/>
    <w:rsid w:val="00B76079"/>
    <w:rsid w:val="00B84CB1"/>
    <w:rsid w:val="00B8686D"/>
    <w:rsid w:val="00B91BC6"/>
    <w:rsid w:val="00B93F69"/>
    <w:rsid w:val="00BA30D2"/>
    <w:rsid w:val="00BA4235"/>
    <w:rsid w:val="00BA54EE"/>
    <w:rsid w:val="00BB1DDC"/>
    <w:rsid w:val="00BC30C9"/>
    <w:rsid w:val="00BC348C"/>
    <w:rsid w:val="00BD077D"/>
    <w:rsid w:val="00BE3E58"/>
    <w:rsid w:val="00BF2CD8"/>
    <w:rsid w:val="00C01616"/>
    <w:rsid w:val="00C0162B"/>
    <w:rsid w:val="00C068ED"/>
    <w:rsid w:val="00C1720D"/>
    <w:rsid w:val="00C2139A"/>
    <w:rsid w:val="00C22E0C"/>
    <w:rsid w:val="00C26AF2"/>
    <w:rsid w:val="00C32459"/>
    <w:rsid w:val="00C345B1"/>
    <w:rsid w:val="00C379AE"/>
    <w:rsid w:val="00C40142"/>
    <w:rsid w:val="00C4040B"/>
    <w:rsid w:val="00C52C3C"/>
    <w:rsid w:val="00C545A5"/>
    <w:rsid w:val="00C57182"/>
    <w:rsid w:val="00C57863"/>
    <w:rsid w:val="00C655FD"/>
    <w:rsid w:val="00C67479"/>
    <w:rsid w:val="00C718E1"/>
    <w:rsid w:val="00C75407"/>
    <w:rsid w:val="00C76E07"/>
    <w:rsid w:val="00C84CEB"/>
    <w:rsid w:val="00C870A8"/>
    <w:rsid w:val="00C92CAB"/>
    <w:rsid w:val="00C92D7A"/>
    <w:rsid w:val="00C94434"/>
    <w:rsid w:val="00C955E1"/>
    <w:rsid w:val="00CA0D75"/>
    <w:rsid w:val="00CA1C95"/>
    <w:rsid w:val="00CA5A9C"/>
    <w:rsid w:val="00CB4987"/>
    <w:rsid w:val="00CC4C20"/>
    <w:rsid w:val="00CD3517"/>
    <w:rsid w:val="00CD5FE2"/>
    <w:rsid w:val="00CE7C68"/>
    <w:rsid w:val="00CF15C0"/>
    <w:rsid w:val="00CF160B"/>
    <w:rsid w:val="00CF6EA7"/>
    <w:rsid w:val="00D02B4C"/>
    <w:rsid w:val="00D040C4"/>
    <w:rsid w:val="00D04D29"/>
    <w:rsid w:val="00D30442"/>
    <w:rsid w:val="00D32A44"/>
    <w:rsid w:val="00D3562F"/>
    <w:rsid w:val="00D40252"/>
    <w:rsid w:val="00D42D01"/>
    <w:rsid w:val="00D46B7E"/>
    <w:rsid w:val="00D57C84"/>
    <w:rsid w:val="00D603F6"/>
    <w:rsid w:val="00D6057D"/>
    <w:rsid w:val="00D64E85"/>
    <w:rsid w:val="00D71640"/>
    <w:rsid w:val="00D77D2F"/>
    <w:rsid w:val="00D820D2"/>
    <w:rsid w:val="00D836C5"/>
    <w:rsid w:val="00D84576"/>
    <w:rsid w:val="00DA1399"/>
    <w:rsid w:val="00DA24C6"/>
    <w:rsid w:val="00DA4D7B"/>
    <w:rsid w:val="00DB341B"/>
    <w:rsid w:val="00DC6270"/>
    <w:rsid w:val="00DC6A7C"/>
    <w:rsid w:val="00DC78F5"/>
    <w:rsid w:val="00DD33C0"/>
    <w:rsid w:val="00DD698A"/>
    <w:rsid w:val="00DD69CF"/>
    <w:rsid w:val="00DE264A"/>
    <w:rsid w:val="00DF5072"/>
    <w:rsid w:val="00E02737"/>
    <w:rsid w:val="00E02D18"/>
    <w:rsid w:val="00E03AEE"/>
    <w:rsid w:val="00E041E7"/>
    <w:rsid w:val="00E06A9C"/>
    <w:rsid w:val="00E10CD5"/>
    <w:rsid w:val="00E11C69"/>
    <w:rsid w:val="00E12EDC"/>
    <w:rsid w:val="00E223E0"/>
    <w:rsid w:val="00E23CA1"/>
    <w:rsid w:val="00E324CF"/>
    <w:rsid w:val="00E34054"/>
    <w:rsid w:val="00E409A8"/>
    <w:rsid w:val="00E40BC6"/>
    <w:rsid w:val="00E40D23"/>
    <w:rsid w:val="00E42D69"/>
    <w:rsid w:val="00E47C3B"/>
    <w:rsid w:val="00E50C12"/>
    <w:rsid w:val="00E65B91"/>
    <w:rsid w:val="00E666A8"/>
    <w:rsid w:val="00E7209D"/>
    <w:rsid w:val="00E72661"/>
    <w:rsid w:val="00E72EAD"/>
    <w:rsid w:val="00E7627F"/>
    <w:rsid w:val="00E77223"/>
    <w:rsid w:val="00E8528B"/>
    <w:rsid w:val="00E85B94"/>
    <w:rsid w:val="00E86CB8"/>
    <w:rsid w:val="00E905B3"/>
    <w:rsid w:val="00E978D0"/>
    <w:rsid w:val="00EA28EA"/>
    <w:rsid w:val="00EA44D9"/>
    <w:rsid w:val="00EA4613"/>
    <w:rsid w:val="00EA7F91"/>
    <w:rsid w:val="00EB1523"/>
    <w:rsid w:val="00EB1D61"/>
    <w:rsid w:val="00EC0963"/>
    <w:rsid w:val="00EC0E49"/>
    <w:rsid w:val="00EC101F"/>
    <w:rsid w:val="00EC18D5"/>
    <w:rsid w:val="00EC1D9F"/>
    <w:rsid w:val="00EC446E"/>
    <w:rsid w:val="00EC45F0"/>
    <w:rsid w:val="00EE0131"/>
    <w:rsid w:val="00EE17B0"/>
    <w:rsid w:val="00EE77A7"/>
    <w:rsid w:val="00EF06D9"/>
    <w:rsid w:val="00F010A6"/>
    <w:rsid w:val="00F105BE"/>
    <w:rsid w:val="00F22446"/>
    <w:rsid w:val="00F30C64"/>
    <w:rsid w:val="00F32BA2"/>
    <w:rsid w:val="00F32CDB"/>
    <w:rsid w:val="00F424A5"/>
    <w:rsid w:val="00F565FE"/>
    <w:rsid w:val="00F63A70"/>
    <w:rsid w:val="00F67307"/>
    <w:rsid w:val="00F7534E"/>
    <w:rsid w:val="00F8188E"/>
    <w:rsid w:val="00F976E0"/>
    <w:rsid w:val="00FA1802"/>
    <w:rsid w:val="00FA21D0"/>
    <w:rsid w:val="00FA4423"/>
    <w:rsid w:val="00FA5F5F"/>
    <w:rsid w:val="00FA79C5"/>
    <w:rsid w:val="00FB1F3F"/>
    <w:rsid w:val="00FB487D"/>
    <w:rsid w:val="00FB5B01"/>
    <w:rsid w:val="00FB730C"/>
    <w:rsid w:val="00FB7CEE"/>
    <w:rsid w:val="00FC2695"/>
    <w:rsid w:val="00FC3E03"/>
    <w:rsid w:val="00FC3FC1"/>
    <w:rsid w:val="00FC642F"/>
    <w:rsid w:val="00FE00C1"/>
    <w:rsid w:val="00FF3E7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327219"/>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327219"/>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AE28B3"/>
    <w:rPr>
      <w:color w:val="808080"/>
    </w:rPr>
  </w:style>
  <w:style w:type="paragraph" w:styleId="Revisione">
    <w:name w:val="Revision"/>
    <w:hidden/>
    <w:uiPriority w:val="99"/>
    <w:semiHidden/>
    <w:rsid w:val="00511F5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5848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B409F-EBC6-478B-97EE-F7F4AE70F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3089</Words>
  <Characters>17613</Characters>
  <Application>Microsoft Office Word</Application>
  <DocSecurity>0</DocSecurity>
  <Lines>146</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Giuseppina</cp:lastModifiedBy>
  <cp:revision>5</cp:revision>
  <cp:lastPrinted>2022-01-22T07:33:00Z</cp:lastPrinted>
  <dcterms:created xsi:type="dcterms:W3CDTF">2022-03-14T16:18:00Z</dcterms:created>
  <dcterms:modified xsi:type="dcterms:W3CDTF">2022-03-19T08:25:00Z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