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0" w:type="auto"/>
        <w:jc w:val="center"/>
        <w:tblBorders>
          <w:bottom w:val="single" w:sz="4" w:space="0" w:color="auto"/>
        </w:tblBorders>
        <w:tblLook w:val="01E0" w:firstRow="1" w:lastRow="1" w:firstColumn="1" w:lastColumn="1" w:noHBand="0" w:noVBand="0"/>
      </w:tblPr>
      <w:tblGrid>
        <w:gridCol w:w="6940"/>
        <w:gridCol w:w="1842"/>
      </w:tblGrid>
      <w:tr w:rsidR="000A03B2" w:rsidRPr="00B57B36" w14:paraId="2A131A54" w14:textId="77777777" w:rsidTr="00DE264A">
        <w:trPr>
          <w:trHeight w:val="852"/>
          <w:jc w:val="center"/>
        </w:trPr>
        <w:tc>
          <w:tcPr>
            <w:tcW w:w="6946" w:type="dxa"/>
            <w:vMerge w:val="restart"/>
            <w:tcBorders>
              <w:right w:val="single" w:sz="4" w:space="0" w:color="auto"/>
            </w:tcBorders>
          </w:tcPr>
          <w:p w14:paraId="38C3D2BA" w14:textId="77777777" w:rsidR="000A03B2" w:rsidRPr="00B57B36" w:rsidRDefault="000A03B2" w:rsidP="00DE264A">
            <w:pPr>
              <w:tabs>
                <w:tab w:val="left" w:pos="-108"/>
              </w:tabs>
              <w:ind w:left="-108"/>
              <w:jc w:val="left"/>
              <w:rPr>
                <w:rFonts w:cs="Arial"/>
                <w:b/>
                <w:bCs/>
                <w:i/>
                <w:iCs/>
                <w:color w:val="000066"/>
                <w:sz w:val="12"/>
                <w:szCs w:val="12"/>
                <w:lang w:eastAsia="it-IT"/>
              </w:rPr>
            </w:pPr>
            <w:r w:rsidRPr="00B57B36">
              <w:rPr>
                <w:rFonts w:ascii="AdvP6960" w:hAnsi="AdvP6960" w:cs="AdvP6960"/>
                <w:noProof/>
                <w:color w:val="241F20"/>
                <w:szCs w:val="18"/>
                <w:lang w:val="it-IT" w:eastAsia="it-IT"/>
              </w:rPr>
              <w:drawing>
                <wp:inline distT="0" distB="0" distL="0" distR="0" wp14:anchorId="02B7C3D3" wp14:editId="5EE03112">
                  <wp:extent cx="640080" cy="373380"/>
                  <wp:effectExtent l="0" t="0" r="7620" b="7620"/>
                  <wp:docPr id="5" name="Immagine 5" descr="cet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et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373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57B36">
              <w:rPr>
                <w:rFonts w:ascii="AdvP6960" w:hAnsi="AdvP6960" w:cs="AdvP6960"/>
                <w:color w:val="241F20"/>
                <w:szCs w:val="18"/>
                <w:lang w:eastAsia="it-IT"/>
              </w:rPr>
              <w:t xml:space="preserve"> </w:t>
            </w:r>
            <w:r w:rsidRPr="00B57B36">
              <w:rPr>
                <w:rFonts w:cs="Arial"/>
                <w:b/>
                <w:bCs/>
                <w:i/>
                <w:iCs/>
                <w:color w:val="000066"/>
                <w:sz w:val="24"/>
                <w:szCs w:val="24"/>
                <w:lang w:eastAsia="it-IT"/>
              </w:rPr>
              <w:t>CHEMICAL ENGINEERING</w:t>
            </w:r>
            <w:r w:rsidRPr="00B57B36">
              <w:rPr>
                <w:rFonts w:cs="Arial"/>
                <w:b/>
                <w:bCs/>
                <w:i/>
                <w:iCs/>
                <w:color w:val="0033FF"/>
                <w:sz w:val="24"/>
                <w:szCs w:val="24"/>
                <w:lang w:eastAsia="it-IT"/>
              </w:rPr>
              <w:t xml:space="preserve"> </w:t>
            </w:r>
            <w:r w:rsidRPr="00B57B36">
              <w:rPr>
                <w:rFonts w:cs="Arial"/>
                <w:b/>
                <w:bCs/>
                <w:i/>
                <w:iCs/>
                <w:color w:val="666666"/>
                <w:sz w:val="24"/>
                <w:szCs w:val="24"/>
                <w:lang w:eastAsia="it-IT"/>
              </w:rPr>
              <w:t>TRANSACTIONS</w:t>
            </w:r>
            <w:r w:rsidRPr="00B57B36">
              <w:rPr>
                <w:color w:val="333333"/>
                <w:sz w:val="24"/>
                <w:szCs w:val="24"/>
                <w:lang w:eastAsia="it-IT"/>
              </w:rPr>
              <w:t xml:space="preserve"> </w:t>
            </w:r>
            <w:r w:rsidRPr="00B57B36">
              <w:rPr>
                <w:rFonts w:cs="Arial"/>
                <w:b/>
                <w:bCs/>
                <w:i/>
                <w:iCs/>
                <w:color w:val="000066"/>
                <w:sz w:val="27"/>
                <w:szCs w:val="27"/>
                <w:lang w:eastAsia="it-IT"/>
              </w:rPr>
              <w:br/>
            </w:r>
          </w:p>
          <w:p w14:paraId="4B780582" w14:textId="65D5BBBB" w:rsidR="000A03B2" w:rsidRPr="00B57B36" w:rsidRDefault="00A76EFC" w:rsidP="001D21AF">
            <w:pPr>
              <w:tabs>
                <w:tab w:val="left" w:pos="-108"/>
              </w:tabs>
              <w:ind w:left="-108"/>
              <w:rPr>
                <w:rFonts w:cs="Arial"/>
                <w:b/>
                <w:bCs/>
                <w:i/>
                <w:iCs/>
                <w:color w:val="000066"/>
                <w:sz w:val="22"/>
                <w:szCs w:val="22"/>
                <w:lang w:eastAsia="it-IT"/>
              </w:rPr>
            </w:pPr>
            <w:r w:rsidRPr="00B57B36">
              <w:rPr>
                <w:rFonts w:cs="Arial"/>
                <w:b/>
                <w:bCs/>
                <w:i/>
                <w:iCs/>
                <w:color w:val="000066"/>
                <w:sz w:val="22"/>
                <w:szCs w:val="22"/>
                <w:lang w:eastAsia="it-IT"/>
              </w:rPr>
              <w:t xml:space="preserve">VOL. </w:t>
            </w:r>
            <w:r w:rsidR="00D46B7E">
              <w:rPr>
                <w:rFonts w:cs="Arial"/>
                <w:b/>
                <w:bCs/>
                <w:i/>
                <w:iCs/>
                <w:color w:val="000066"/>
                <w:sz w:val="22"/>
                <w:szCs w:val="22"/>
                <w:lang w:eastAsia="it-IT"/>
              </w:rPr>
              <w:t>9</w:t>
            </w:r>
            <w:r w:rsidR="001D21AF">
              <w:rPr>
                <w:rFonts w:cs="Arial"/>
                <w:b/>
                <w:bCs/>
                <w:i/>
                <w:iCs/>
                <w:color w:val="000066"/>
                <w:sz w:val="22"/>
                <w:szCs w:val="22"/>
                <w:lang w:eastAsia="it-IT"/>
              </w:rPr>
              <w:t>2</w:t>
            </w:r>
            <w:r w:rsidR="007B48F9">
              <w:rPr>
                <w:rFonts w:cs="Arial"/>
                <w:b/>
                <w:bCs/>
                <w:i/>
                <w:iCs/>
                <w:color w:val="000066"/>
                <w:sz w:val="22"/>
                <w:szCs w:val="22"/>
                <w:lang w:eastAsia="it-IT"/>
              </w:rPr>
              <w:t>,</w:t>
            </w:r>
            <w:r w:rsidR="00FA5F5F">
              <w:rPr>
                <w:rFonts w:cs="Arial"/>
                <w:b/>
                <w:bCs/>
                <w:i/>
                <w:iCs/>
                <w:color w:val="000066"/>
                <w:sz w:val="22"/>
                <w:szCs w:val="22"/>
                <w:lang w:eastAsia="it-IT"/>
              </w:rPr>
              <w:t xml:space="preserve"> 20</w:t>
            </w:r>
            <w:r w:rsidR="00DF5072">
              <w:rPr>
                <w:rFonts w:cs="Arial"/>
                <w:b/>
                <w:bCs/>
                <w:i/>
                <w:iCs/>
                <w:color w:val="000066"/>
                <w:sz w:val="22"/>
                <w:szCs w:val="22"/>
                <w:lang w:eastAsia="it-IT"/>
              </w:rPr>
              <w:t>2</w:t>
            </w:r>
            <w:r w:rsidR="007B48F9">
              <w:rPr>
                <w:rFonts w:cs="Arial"/>
                <w:b/>
                <w:bCs/>
                <w:i/>
                <w:iCs/>
                <w:color w:val="000066"/>
                <w:sz w:val="22"/>
                <w:szCs w:val="22"/>
                <w:lang w:eastAsia="it-IT"/>
              </w:rPr>
              <w:t>2</w:t>
            </w:r>
          </w:p>
        </w:tc>
        <w:tc>
          <w:tcPr>
            <w:tcW w:w="1843" w:type="dxa"/>
            <w:tcBorders>
              <w:left w:val="single" w:sz="4" w:space="0" w:color="auto"/>
              <w:bottom w:val="nil"/>
              <w:right w:val="single" w:sz="4" w:space="0" w:color="auto"/>
            </w:tcBorders>
          </w:tcPr>
          <w:p w14:paraId="56782132" w14:textId="77777777" w:rsidR="000A03B2" w:rsidRPr="00B57B36" w:rsidRDefault="000A03B2" w:rsidP="00CD5FE2">
            <w:pPr>
              <w:spacing w:line="140" w:lineRule="atLeast"/>
              <w:jc w:val="right"/>
              <w:rPr>
                <w:rFonts w:cs="Arial"/>
                <w:sz w:val="14"/>
                <w:szCs w:val="14"/>
              </w:rPr>
            </w:pPr>
            <w:r w:rsidRPr="00B57B36">
              <w:rPr>
                <w:rFonts w:cs="Arial"/>
                <w:sz w:val="14"/>
                <w:szCs w:val="14"/>
              </w:rPr>
              <w:t>A publication of</w:t>
            </w:r>
          </w:p>
          <w:p w14:paraId="599E5441" w14:textId="77777777" w:rsidR="000A03B2" w:rsidRPr="00B57B36" w:rsidRDefault="000A03B2" w:rsidP="00CD5FE2">
            <w:pPr>
              <w:jc w:val="right"/>
            </w:pPr>
            <w:r w:rsidRPr="00B57B36">
              <w:rPr>
                <w:noProof/>
                <w:lang w:val="it-IT" w:eastAsia="it-IT"/>
              </w:rPr>
              <w:drawing>
                <wp:inline distT="0" distB="0" distL="0" distR="0" wp14:anchorId="59C75AF4" wp14:editId="4FF92432">
                  <wp:extent cx="670560" cy="358140"/>
                  <wp:effectExtent l="0" t="0" r="0" b="3810"/>
                  <wp:docPr id="6" name="Immagine 6" descr="aidiclogo_grand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aidiclogo_grand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0560" cy="358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03B2" w:rsidRPr="00B57B36" w14:paraId="380FA3CD" w14:textId="77777777" w:rsidTr="00DE264A">
        <w:trPr>
          <w:trHeight w:val="567"/>
          <w:jc w:val="center"/>
        </w:trPr>
        <w:tc>
          <w:tcPr>
            <w:tcW w:w="6946" w:type="dxa"/>
            <w:vMerge/>
            <w:tcBorders>
              <w:right w:val="single" w:sz="4" w:space="0" w:color="auto"/>
            </w:tcBorders>
          </w:tcPr>
          <w:p w14:paraId="39E5E4C1" w14:textId="77777777" w:rsidR="000A03B2" w:rsidRPr="00B57B36" w:rsidRDefault="000A03B2" w:rsidP="00CD5FE2">
            <w:pPr>
              <w:tabs>
                <w:tab w:val="left" w:pos="-108"/>
              </w:tabs>
            </w:pPr>
          </w:p>
        </w:tc>
        <w:tc>
          <w:tcPr>
            <w:tcW w:w="1843" w:type="dxa"/>
            <w:tcBorders>
              <w:left w:val="single" w:sz="4" w:space="0" w:color="auto"/>
              <w:bottom w:val="nil"/>
              <w:right w:val="single" w:sz="4" w:space="0" w:color="auto"/>
            </w:tcBorders>
          </w:tcPr>
          <w:p w14:paraId="43858A98" w14:textId="77777777" w:rsidR="000A03B2" w:rsidRPr="00B57B36" w:rsidRDefault="000A03B2" w:rsidP="00CD5FE2">
            <w:pPr>
              <w:spacing w:line="140" w:lineRule="atLeast"/>
              <w:jc w:val="right"/>
              <w:rPr>
                <w:rFonts w:cs="Arial"/>
                <w:sz w:val="14"/>
                <w:szCs w:val="14"/>
              </w:rPr>
            </w:pPr>
            <w:r w:rsidRPr="00B57B36">
              <w:rPr>
                <w:rFonts w:cs="Arial"/>
                <w:sz w:val="14"/>
                <w:szCs w:val="14"/>
              </w:rPr>
              <w:t>The Italian Association</w:t>
            </w:r>
          </w:p>
          <w:p w14:paraId="7522B1D2" w14:textId="77777777" w:rsidR="000A03B2" w:rsidRPr="00B57B36" w:rsidRDefault="000A03B2" w:rsidP="00CD5FE2">
            <w:pPr>
              <w:spacing w:line="140" w:lineRule="atLeast"/>
              <w:jc w:val="right"/>
              <w:rPr>
                <w:rFonts w:cs="Arial"/>
                <w:sz w:val="14"/>
                <w:szCs w:val="14"/>
              </w:rPr>
            </w:pPr>
            <w:r w:rsidRPr="00B57B36">
              <w:rPr>
                <w:rFonts w:cs="Arial"/>
                <w:sz w:val="14"/>
                <w:szCs w:val="14"/>
              </w:rPr>
              <w:t>of Chemical Engineering</w:t>
            </w:r>
          </w:p>
          <w:p w14:paraId="4F0CC5DE" w14:textId="47FDB2FC" w:rsidR="000A03B2" w:rsidRPr="000D0268" w:rsidRDefault="000D0268" w:rsidP="00CD5FE2">
            <w:pPr>
              <w:spacing w:line="140" w:lineRule="atLeast"/>
              <w:jc w:val="right"/>
              <w:rPr>
                <w:rFonts w:cs="Arial"/>
                <w:sz w:val="13"/>
                <w:szCs w:val="13"/>
              </w:rPr>
            </w:pPr>
            <w:r w:rsidRPr="000D0268">
              <w:rPr>
                <w:rFonts w:cs="Arial"/>
                <w:sz w:val="13"/>
                <w:szCs w:val="13"/>
              </w:rPr>
              <w:t>Online at www.cetjournal.it</w:t>
            </w:r>
          </w:p>
        </w:tc>
      </w:tr>
      <w:tr w:rsidR="000A03B2" w:rsidRPr="00B57B36" w14:paraId="2D1B7169" w14:textId="77777777" w:rsidTr="00DE264A">
        <w:trPr>
          <w:trHeight w:val="68"/>
          <w:jc w:val="center"/>
        </w:trPr>
        <w:tc>
          <w:tcPr>
            <w:tcW w:w="8789" w:type="dxa"/>
            <w:gridSpan w:val="2"/>
          </w:tcPr>
          <w:p w14:paraId="4B0BB442" w14:textId="14967F0F" w:rsidR="00300E56" w:rsidRPr="0044071E" w:rsidRDefault="00300E56" w:rsidP="00B57E6F">
            <w:pPr>
              <w:ind w:left="-107"/>
              <w:outlineLvl w:val="2"/>
              <w:rPr>
                <w:rFonts w:ascii="Tahoma" w:hAnsi="Tahoma" w:cs="Tahoma"/>
                <w:bCs/>
                <w:color w:val="000000"/>
                <w:sz w:val="14"/>
                <w:szCs w:val="14"/>
                <w:lang w:val="it-IT" w:eastAsia="it-IT"/>
              </w:rPr>
            </w:pPr>
            <w:r w:rsidRPr="0044071E">
              <w:rPr>
                <w:rFonts w:ascii="Tahoma" w:hAnsi="Tahoma" w:cs="Tahoma"/>
                <w:iCs/>
                <w:color w:val="333333"/>
                <w:sz w:val="14"/>
                <w:szCs w:val="14"/>
                <w:lang w:val="it-IT" w:eastAsia="it-IT"/>
              </w:rPr>
              <w:t>Guest Editors:</w:t>
            </w:r>
            <w:r w:rsidR="001D21AF" w:rsidRPr="0044071E">
              <w:rPr>
                <w:rFonts w:ascii="Tahoma" w:hAnsi="Tahoma" w:cs="Tahoma"/>
                <w:color w:val="000000"/>
                <w:sz w:val="14"/>
                <w:szCs w:val="14"/>
                <w:shd w:val="clear" w:color="auto" w:fill="FFFFFF"/>
                <w:lang w:val="it-IT"/>
              </w:rPr>
              <w:t xml:space="preserve"> Rubens Maciel Filho</w:t>
            </w:r>
            <w:r w:rsidR="00964A45">
              <w:rPr>
                <w:rFonts w:ascii="Tahoma" w:hAnsi="Tahoma" w:cs="Tahoma"/>
                <w:color w:val="000000"/>
                <w:sz w:val="14"/>
                <w:szCs w:val="14"/>
                <w:shd w:val="clear" w:color="auto" w:fill="FFFFFF"/>
                <w:lang w:val="it-IT"/>
              </w:rPr>
              <w:t>,</w:t>
            </w:r>
            <w:r w:rsidR="00964A45" w:rsidRPr="0044071E">
              <w:rPr>
                <w:rFonts w:ascii="Tahoma" w:hAnsi="Tahoma" w:cs="Tahoma"/>
                <w:color w:val="000000"/>
                <w:sz w:val="14"/>
                <w:szCs w:val="14"/>
                <w:shd w:val="clear" w:color="auto" w:fill="FFFFFF"/>
                <w:lang w:val="it-IT"/>
              </w:rPr>
              <w:t xml:space="preserve"> Eliseo Ranzi</w:t>
            </w:r>
            <w:r w:rsidR="00964A45">
              <w:rPr>
                <w:rFonts w:ascii="Tahoma" w:hAnsi="Tahoma" w:cs="Tahoma"/>
                <w:color w:val="000000"/>
                <w:sz w:val="14"/>
                <w:szCs w:val="14"/>
                <w:shd w:val="clear" w:color="auto" w:fill="FFFFFF"/>
                <w:lang w:val="it-IT"/>
              </w:rPr>
              <w:t>, Leonardo Tognotti</w:t>
            </w:r>
          </w:p>
          <w:p w14:paraId="1B0F1814" w14:textId="4A78A049" w:rsidR="000A03B2" w:rsidRPr="00B57B36" w:rsidRDefault="00FA5F5F" w:rsidP="001D21AF">
            <w:pPr>
              <w:tabs>
                <w:tab w:val="left" w:pos="-108"/>
              </w:tabs>
              <w:spacing w:line="140" w:lineRule="atLeast"/>
              <w:ind w:left="-107"/>
              <w:jc w:val="left"/>
            </w:pPr>
            <w:r>
              <w:rPr>
                <w:rFonts w:ascii="Tahoma" w:hAnsi="Tahoma" w:cs="Tahoma"/>
                <w:iCs/>
                <w:color w:val="333333"/>
                <w:sz w:val="14"/>
                <w:szCs w:val="14"/>
                <w:lang w:eastAsia="it-IT"/>
              </w:rPr>
              <w:t>Copyright © 20</w:t>
            </w:r>
            <w:r w:rsidR="00DF5072">
              <w:rPr>
                <w:rFonts w:ascii="Tahoma" w:hAnsi="Tahoma" w:cs="Tahoma"/>
                <w:iCs/>
                <w:color w:val="333333"/>
                <w:sz w:val="14"/>
                <w:szCs w:val="14"/>
                <w:lang w:eastAsia="it-IT"/>
              </w:rPr>
              <w:t>2</w:t>
            </w:r>
            <w:r w:rsidR="00E72EAD">
              <w:rPr>
                <w:rFonts w:ascii="Tahoma" w:hAnsi="Tahoma" w:cs="Tahoma"/>
                <w:iCs/>
                <w:color w:val="333333"/>
                <w:sz w:val="14"/>
                <w:szCs w:val="14"/>
                <w:lang w:eastAsia="it-IT"/>
              </w:rPr>
              <w:t>2</w:t>
            </w:r>
            <w:r w:rsidR="00904C62" w:rsidRPr="00B57B36">
              <w:rPr>
                <w:rFonts w:ascii="Tahoma" w:hAnsi="Tahoma" w:cs="Tahoma"/>
                <w:iCs/>
                <w:color w:val="333333"/>
                <w:sz w:val="14"/>
                <w:szCs w:val="14"/>
                <w:lang w:eastAsia="it-IT"/>
              </w:rPr>
              <w:t xml:space="preserve">, AIDIC </w:t>
            </w:r>
            <w:proofErr w:type="spellStart"/>
            <w:r w:rsidR="00904C62" w:rsidRPr="00B57B36">
              <w:rPr>
                <w:rFonts w:ascii="Tahoma" w:hAnsi="Tahoma" w:cs="Tahoma"/>
                <w:iCs/>
                <w:color w:val="333333"/>
                <w:sz w:val="14"/>
                <w:szCs w:val="14"/>
                <w:lang w:eastAsia="it-IT"/>
              </w:rPr>
              <w:t>Servizi</w:t>
            </w:r>
            <w:proofErr w:type="spellEnd"/>
            <w:r w:rsidR="00904C62" w:rsidRPr="00B57B36">
              <w:rPr>
                <w:rFonts w:ascii="Tahoma" w:hAnsi="Tahoma" w:cs="Tahoma"/>
                <w:iCs/>
                <w:color w:val="333333"/>
                <w:sz w:val="14"/>
                <w:szCs w:val="14"/>
                <w:lang w:eastAsia="it-IT"/>
              </w:rPr>
              <w:t xml:space="preserve"> </w:t>
            </w:r>
            <w:proofErr w:type="spellStart"/>
            <w:r w:rsidR="00904C62" w:rsidRPr="00B57B36">
              <w:rPr>
                <w:rFonts w:ascii="Tahoma" w:hAnsi="Tahoma" w:cs="Tahoma"/>
                <w:iCs/>
                <w:color w:val="333333"/>
                <w:sz w:val="14"/>
                <w:szCs w:val="14"/>
                <w:lang w:eastAsia="it-IT"/>
              </w:rPr>
              <w:t>S.r.l</w:t>
            </w:r>
            <w:proofErr w:type="spellEnd"/>
            <w:r w:rsidR="00904C62" w:rsidRPr="00B57B36">
              <w:rPr>
                <w:rFonts w:ascii="Tahoma" w:hAnsi="Tahoma" w:cs="Tahoma"/>
                <w:iCs/>
                <w:color w:val="333333"/>
                <w:sz w:val="14"/>
                <w:szCs w:val="14"/>
                <w:lang w:eastAsia="it-IT"/>
              </w:rPr>
              <w:t>.</w:t>
            </w:r>
            <w:r w:rsidR="00300E56" w:rsidRPr="00B57B36">
              <w:rPr>
                <w:rFonts w:ascii="Tahoma" w:hAnsi="Tahoma" w:cs="Tahoma"/>
                <w:iCs/>
                <w:color w:val="333333"/>
                <w:sz w:val="14"/>
                <w:szCs w:val="14"/>
                <w:lang w:eastAsia="it-IT"/>
              </w:rPr>
              <w:br/>
            </w:r>
            <w:r w:rsidR="00300E56" w:rsidRPr="00B57B36">
              <w:rPr>
                <w:rFonts w:ascii="Tahoma" w:hAnsi="Tahoma" w:cs="Tahoma"/>
                <w:b/>
                <w:iCs/>
                <w:color w:val="000000"/>
                <w:sz w:val="14"/>
                <w:szCs w:val="14"/>
                <w:lang w:eastAsia="it-IT"/>
              </w:rPr>
              <w:t>ISBN</w:t>
            </w:r>
            <w:r w:rsidR="00300E56" w:rsidRPr="00B57B36">
              <w:rPr>
                <w:rFonts w:ascii="Tahoma" w:hAnsi="Tahoma" w:cs="Tahoma"/>
                <w:iCs/>
                <w:color w:val="000000"/>
                <w:sz w:val="14"/>
                <w:szCs w:val="14"/>
                <w:lang w:eastAsia="it-IT"/>
              </w:rPr>
              <w:t xml:space="preserve"> </w:t>
            </w:r>
            <w:r w:rsidR="008D32B9">
              <w:rPr>
                <w:rFonts w:ascii="Tahoma" w:hAnsi="Tahoma" w:cs="Tahoma"/>
                <w:sz w:val="14"/>
                <w:szCs w:val="14"/>
              </w:rPr>
              <w:t>978-88-</w:t>
            </w:r>
            <w:r w:rsidR="008D32B9" w:rsidRPr="00EF06D9">
              <w:rPr>
                <w:rFonts w:ascii="Tahoma" w:hAnsi="Tahoma" w:cs="Tahoma"/>
                <w:sz w:val="14"/>
                <w:szCs w:val="14"/>
              </w:rPr>
              <w:t>95608</w:t>
            </w:r>
            <w:r w:rsidR="00D46B7E">
              <w:rPr>
                <w:rFonts w:ascii="Tahoma" w:hAnsi="Tahoma" w:cs="Tahoma"/>
                <w:sz w:val="14"/>
                <w:szCs w:val="14"/>
              </w:rPr>
              <w:t>-</w:t>
            </w:r>
            <w:r w:rsidR="001D21AF">
              <w:rPr>
                <w:rFonts w:ascii="Tahoma" w:hAnsi="Tahoma" w:cs="Tahoma"/>
                <w:sz w:val="14"/>
                <w:szCs w:val="14"/>
              </w:rPr>
              <w:t>90</w:t>
            </w:r>
            <w:r w:rsidR="00D46B7E">
              <w:rPr>
                <w:rFonts w:ascii="Tahoma" w:hAnsi="Tahoma" w:cs="Tahoma"/>
                <w:sz w:val="14"/>
                <w:szCs w:val="14"/>
              </w:rPr>
              <w:t>-</w:t>
            </w:r>
            <w:r w:rsidR="001D21AF">
              <w:rPr>
                <w:rFonts w:ascii="Tahoma" w:hAnsi="Tahoma" w:cs="Tahoma"/>
                <w:sz w:val="14"/>
                <w:szCs w:val="14"/>
              </w:rPr>
              <w:t>7</w:t>
            </w:r>
            <w:r w:rsidR="007B48F9" w:rsidRPr="00EF06D9">
              <w:rPr>
                <w:rFonts w:ascii="Tahoma" w:hAnsi="Tahoma" w:cs="Tahoma"/>
                <w:iCs/>
                <w:color w:val="333333"/>
                <w:sz w:val="14"/>
                <w:szCs w:val="14"/>
                <w:lang w:eastAsia="it-IT"/>
              </w:rPr>
              <w:t>;</w:t>
            </w:r>
            <w:r w:rsidR="00300E56" w:rsidRPr="00B57B36">
              <w:rPr>
                <w:rFonts w:ascii="Tahoma" w:hAnsi="Tahoma" w:cs="Tahoma"/>
                <w:iCs/>
                <w:color w:val="333333"/>
                <w:sz w:val="14"/>
                <w:szCs w:val="14"/>
                <w:lang w:eastAsia="it-IT"/>
              </w:rPr>
              <w:t xml:space="preserve"> </w:t>
            </w:r>
            <w:r w:rsidR="00300E56" w:rsidRPr="00B57B36">
              <w:rPr>
                <w:rFonts w:ascii="Tahoma" w:hAnsi="Tahoma" w:cs="Tahoma"/>
                <w:b/>
                <w:iCs/>
                <w:color w:val="333333"/>
                <w:sz w:val="14"/>
                <w:szCs w:val="14"/>
                <w:lang w:eastAsia="it-IT"/>
              </w:rPr>
              <w:t>ISSN</w:t>
            </w:r>
            <w:r w:rsidR="00300E56" w:rsidRPr="00B57B36">
              <w:rPr>
                <w:rFonts w:ascii="Tahoma" w:hAnsi="Tahoma" w:cs="Tahoma"/>
                <w:iCs/>
                <w:color w:val="333333"/>
                <w:sz w:val="14"/>
                <w:szCs w:val="14"/>
                <w:lang w:eastAsia="it-IT"/>
              </w:rPr>
              <w:t xml:space="preserve"> 2283-9216</w:t>
            </w:r>
          </w:p>
        </w:tc>
      </w:tr>
    </w:tbl>
    <w:p w14:paraId="10DAA130" w14:textId="77777777" w:rsidR="000A03B2" w:rsidRPr="00B57B36" w:rsidRDefault="000A03B2" w:rsidP="000A03B2">
      <w:pPr>
        <w:pStyle w:val="CETAuthors"/>
        <w:sectPr w:rsidR="000A03B2" w:rsidRPr="00B57B36" w:rsidSect="00CD5FE2">
          <w:type w:val="continuous"/>
          <w:pgSz w:w="11906" w:h="16838" w:code="9"/>
          <w:pgMar w:top="1701" w:right="1418" w:bottom="1701" w:left="1701" w:header="1701" w:footer="0" w:gutter="0"/>
          <w:cols w:space="708"/>
          <w:titlePg/>
          <w:docGrid w:linePitch="360"/>
        </w:sectPr>
      </w:pPr>
    </w:p>
    <w:p w14:paraId="2E667253" w14:textId="1F706D68" w:rsidR="00E978D0" w:rsidRPr="00B57B36" w:rsidRDefault="00E06229" w:rsidP="00E978D0">
      <w:pPr>
        <w:pStyle w:val="CETTitle"/>
      </w:pPr>
      <w:r w:rsidRPr="00E06229">
        <w:t>Biomass in Li-O</w:t>
      </w:r>
      <w:r w:rsidRPr="00E06229">
        <w:rPr>
          <w:vertAlign w:val="subscript"/>
        </w:rPr>
        <w:t>2</w:t>
      </w:r>
      <w:r w:rsidRPr="00E06229">
        <w:t xml:space="preserve"> </w:t>
      </w:r>
      <w:r w:rsidR="006C4063">
        <w:t>B</w:t>
      </w:r>
      <w:r w:rsidRPr="00E06229">
        <w:t xml:space="preserve">atteries? Deep </w:t>
      </w:r>
      <w:r w:rsidR="006C4063">
        <w:t>D</w:t>
      </w:r>
      <w:r w:rsidRPr="00E06229">
        <w:t xml:space="preserve">ischarge </w:t>
      </w:r>
      <w:r w:rsidR="006C4063">
        <w:t>P</w:t>
      </w:r>
      <w:r w:rsidRPr="00E06229">
        <w:t>erformance of an O</w:t>
      </w:r>
      <w:r w:rsidRPr="00E06229">
        <w:rPr>
          <w:vertAlign w:val="subscript"/>
        </w:rPr>
        <w:t>2</w:t>
      </w:r>
      <w:r w:rsidRPr="00E06229">
        <w:t xml:space="preserve"> </w:t>
      </w:r>
      <w:r w:rsidR="006C4063">
        <w:t>E</w:t>
      </w:r>
      <w:r w:rsidRPr="00E06229">
        <w:t xml:space="preserve">lectrode </w:t>
      </w:r>
      <w:r w:rsidR="006C4063">
        <w:t>B</w:t>
      </w:r>
      <w:r w:rsidRPr="00E06229">
        <w:t xml:space="preserve">ased on </w:t>
      </w:r>
      <w:r w:rsidR="006C4063">
        <w:t>H</w:t>
      </w:r>
      <w:r w:rsidRPr="00E06229">
        <w:t>umins</w:t>
      </w:r>
    </w:p>
    <w:p w14:paraId="25DF7765" w14:textId="28CA67BE" w:rsidR="00E06229" w:rsidRPr="00BB64DF" w:rsidRDefault="00E06229" w:rsidP="00E06229">
      <w:pPr>
        <w:pStyle w:val="CETAuthors"/>
        <w:rPr>
          <w:lang w:val="pt-BR"/>
        </w:rPr>
      </w:pPr>
      <w:r w:rsidRPr="00BB64DF">
        <w:rPr>
          <w:lang w:val="pt-BR"/>
        </w:rPr>
        <w:t xml:space="preserve">Jean Felipe Leal Silva, Emília Savioli Lopes, </w:t>
      </w:r>
      <w:r w:rsidR="00221BE2" w:rsidRPr="00BB64DF">
        <w:rPr>
          <w:lang w:val="pt-BR"/>
        </w:rPr>
        <w:t xml:space="preserve">Chayene Gonçalves Anchieta, Maria Regina Wolf Maciel, </w:t>
      </w:r>
      <w:r w:rsidRPr="00BB64DF">
        <w:rPr>
          <w:lang w:val="pt-BR"/>
        </w:rPr>
        <w:t>Gustavo Doubek, Rubens Maciel Filho</w:t>
      </w:r>
    </w:p>
    <w:p w14:paraId="08F4204E" w14:textId="77777777" w:rsidR="00E06229" w:rsidRPr="00BB64DF" w:rsidRDefault="00E06229" w:rsidP="00E06229">
      <w:pPr>
        <w:pStyle w:val="CETAddress"/>
        <w:rPr>
          <w:lang w:val="pt-BR"/>
        </w:rPr>
      </w:pPr>
      <w:r w:rsidRPr="009B6427">
        <w:rPr>
          <w:lang w:val="en-US"/>
        </w:rPr>
        <w:t xml:space="preserve">Advanced Energy Storage Division – Center for Innovation on New Energies (AES/CINE), School of Chemical Engineering, University of Campinas (UNICAMP). </w:t>
      </w:r>
      <w:r w:rsidRPr="00BB64DF">
        <w:rPr>
          <w:lang w:val="pt-BR"/>
        </w:rPr>
        <w:t>Rua Michel Debrun, s/n, Campinas, SP, Brazil, ZIP code 13083-841.</w:t>
      </w:r>
    </w:p>
    <w:p w14:paraId="1888162C" w14:textId="77777777" w:rsidR="00E06229" w:rsidRPr="00BB64DF" w:rsidRDefault="00E06229" w:rsidP="00E06229">
      <w:pPr>
        <w:pStyle w:val="CETemail"/>
        <w:rPr>
          <w:lang w:val="pt-BR"/>
        </w:rPr>
      </w:pPr>
      <w:r w:rsidRPr="00BB64DF">
        <w:rPr>
          <w:lang w:val="pt-BR"/>
        </w:rPr>
        <w:t>jefelipe@outlook.com; jefelipe@feq.unicamp.br</w:t>
      </w:r>
    </w:p>
    <w:p w14:paraId="4A9E8316" w14:textId="468CB1DC" w:rsidR="00221BE2" w:rsidRDefault="00221BE2" w:rsidP="00600535">
      <w:pPr>
        <w:pStyle w:val="CETBodytext"/>
        <w:rPr>
          <w:lang w:val="en-GB"/>
        </w:rPr>
      </w:pPr>
      <w:r w:rsidRPr="00221BE2">
        <w:rPr>
          <w:lang w:val="en-GB"/>
        </w:rPr>
        <w:t>Humins are a by-product of the hydrolysis of carbohydrates in the production of levulinic acid. With the development of new large-scale processes to produce levulinic acid, the production of large amounts of this by-product will demand new applications beyond burning in biomass furnaces. Owing to its carbonaceous nature, many value-added applications have been considered. One of these applications is in the production of carbon-based electrodes for batteries. Such application has great potential because of the increasing need for the development of new cost-competitive energy storage technologies with enhanced specific energy. In this context, Li-O</w:t>
      </w:r>
      <w:r w:rsidRPr="00B0311F">
        <w:rPr>
          <w:vertAlign w:val="subscript"/>
          <w:lang w:val="en-GB"/>
        </w:rPr>
        <w:t>2</w:t>
      </w:r>
      <w:r w:rsidRPr="00221BE2">
        <w:rPr>
          <w:lang w:val="en-GB"/>
        </w:rPr>
        <w:t xml:space="preserve"> batteries are a technology with potential specific energy higher than current state-of-the-art lithium-ion batteries. This work reports the synthesis of a humins-based O</w:t>
      </w:r>
      <w:r w:rsidRPr="00B0311F">
        <w:rPr>
          <w:vertAlign w:val="subscript"/>
          <w:lang w:val="en-GB"/>
        </w:rPr>
        <w:t>2</w:t>
      </w:r>
      <w:r w:rsidRPr="00221BE2">
        <w:rPr>
          <w:lang w:val="en-GB"/>
        </w:rPr>
        <w:t xml:space="preserve"> electrode for a Li-O</w:t>
      </w:r>
      <w:r w:rsidRPr="00B0311F">
        <w:rPr>
          <w:vertAlign w:val="subscript"/>
          <w:lang w:val="en-GB"/>
        </w:rPr>
        <w:t>2</w:t>
      </w:r>
      <w:r w:rsidRPr="00221BE2">
        <w:rPr>
          <w:lang w:val="en-GB"/>
        </w:rPr>
        <w:t xml:space="preserve"> battery. Humins synthesized as a by-product of hydrolysis of sugars were purified via leaching, dried, and thermally treated under an inert atmosphere to enhance their electronic conductivity. The obtained product was then mixed with a binder and templated over a stainless-steel mesh to obtain the O</w:t>
      </w:r>
      <w:r w:rsidRPr="00B0311F">
        <w:rPr>
          <w:vertAlign w:val="subscript"/>
          <w:lang w:val="en-GB"/>
        </w:rPr>
        <w:t>2</w:t>
      </w:r>
      <w:r w:rsidRPr="00221BE2">
        <w:rPr>
          <w:lang w:val="en-GB"/>
        </w:rPr>
        <w:t xml:space="preserve"> electrode. Batteries were assembled with electrodes based on </w:t>
      </w:r>
      <w:r w:rsidR="001760D5">
        <w:rPr>
          <w:lang w:val="en-GB"/>
        </w:rPr>
        <w:t>humins from both sugarcane bagasse and molasses</w:t>
      </w:r>
      <w:r w:rsidRPr="00221BE2">
        <w:rPr>
          <w:lang w:val="en-GB"/>
        </w:rPr>
        <w:t xml:space="preserve">. Humins were </w:t>
      </w:r>
      <w:proofErr w:type="spellStart"/>
      <w:r w:rsidRPr="00221BE2">
        <w:rPr>
          <w:lang w:val="en-GB"/>
        </w:rPr>
        <w:t>analyzed</w:t>
      </w:r>
      <w:proofErr w:type="spellEnd"/>
      <w:r w:rsidRPr="00221BE2">
        <w:rPr>
          <w:lang w:val="en-GB"/>
        </w:rPr>
        <w:t xml:space="preserve"> via X-ray photoelectron spectroscopy and scanning electron microscopy before and after treatments, and the electrodes were </w:t>
      </w:r>
      <w:proofErr w:type="spellStart"/>
      <w:r w:rsidRPr="00221BE2">
        <w:rPr>
          <w:lang w:val="en-GB"/>
        </w:rPr>
        <w:t>analyzed</w:t>
      </w:r>
      <w:proofErr w:type="spellEnd"/>
      <w:r w:rsidRPr="00221BE2">
        <w:rPr>
          <w:lang w:val="en-GB"/>
        </w:rPr>
        <w:t xml:space="preserve"> before and after the discharge of the battery. Results of deep discharge demonstrate the potential for this material for the manufacturing of carbon-based electrodes for batteries.</w:t>
      </w:r>
    </w:p>
    <w:p w14:paraId="476B2F2E" w14:textId="77777777" w:rsidR="00600535" w:rsidRPr="00B57B36" w:rsidRDefault="00600535" w:rsidP="00600535">
      <w:pPr>
        <w:pStyle w:val="CETHeading1"/>
        <w:rPr>
          <w:lang w:val="en-GB"/>
        </w:rPr>
      </w:pPr>
      <w:r w:rsidRPr="00B57B36">
        <w:rPr>
          <w:lang w:val="en-GB"/>
        </w:rPr>
        <w:t>Introduction</w:t>
      </w:r>
    </w:p>
    <w:p w14:paraId="03C9A75C" w14:textId="0E16A20C" w:rsidR="00135A9F" w:rsidRDefault="00B54229" w:rsidP="00600535">
      <w:pPr>
        <w:pStyle w:val="CETBodytext"/>
        <w:rPr>
          <w:lang w:val="en-GB"/>
        </w:rPr>
      </w:pPr>
      <w:r>
        <w:rPr>
          <w:lang w:val="en-GB"/>
        </w:rPr>
        <w:t>The development of biorefineries for the use of biomass and renewable resources for the production and replacement of fossil-based products has been shown as an effective strategy for the reduction of emissions of greenhouse gases</w:t>
      </w:r>
      <w:r w:rsidR="008901C0">
        <w:rPr>
          <w:lang w:val="en-GB"/>
        </w:rPr>
        <w:t xml:space="preserve"> </w:t>
      </w:r>
      <w:r w:rsidR="008901C0" w:rsidRPr="008901C0">
        <w:rPr>
          <w:lang w:val="en-GB"/>
        </w:rPr>
        <w:t>(Hossain</w:t>
      </w:r>
      <w:r w:rsidR="008901C0">
        <w:rPr>
          <w:lang w:val="en-GB"/>
        </w:rPr>
        <w:t xml:space="preserve"> et al.</w:t>
      </w:r>
      <w:r w:rsidR="008901C0" w:rsidRPr="008901C0">
        <w:rPr>
          <w:lang w:val="en-GB"/>
        </w:rPr>
        <w:t>, 2017)</w:t>
      </w:r>
      <w:r>
        <w:rPr>
          <w:lang w:val="en-GB"/>
        </w:rPr>
        <w:t>. An important component of the biorefinery approach is to seek value</w:t>
      </w:r>
      <w:r w:rsidR="006E1978">
        <w:rPr>
          <w:lang w:val="en-GB"/>
        </w:rPr>
        <w:t>-</w:t>
      </w:r>
      <w:r>
        <w:rPr>
          <w:lang w:val="en-GB"/>
        </w:rPr>
        <w:t>added applications for all biomass</w:t>
      </w:r>
      <w:r w:rsidR="006E1978">
        <w:rPr>
          <w:lang w:val="en-GB"/>
        </w:rPr>
        <w:t xml:space="preserve"> fractions </w:t>
      </w:r>
      <w:r>
        <w:rPr>
          <w:lang w:val="en-GB"/>
        </w:rPr>
        <w:t xml:space="preserve">and </w:t>
      </w:r>
      <w:r w:rsidR="006E1978">
        <w:rPr>
          <w:lang w:val="en-GB"/>
        </w:rPr>
        <w:t xml:space="preserve">the </w:t>
      </w:r>
      <w:r w:rsidR="00A74E08">
        <w:rPr>
          <w:lang w:val="en-GB"/>
        </w:rPr>
        <w:t>by-products</w:t>
      </w:r>
      <w:r w:rsidR="006E1978">
        <w:rPr>
          <w:lang w:val="en-GB"/>
        </w:rPr>
        <w:t xml:space="preserve"> of their processing</w:t>
      </w:r>
      <w:r>
        <w:rPr>
          <w:lang w:val="en-GB"/>
        </w:rPr>
        <w:t>. One of the possible biorefiner</w:t>
      </w:r>
      <w:r w:rsidR="006E1978">
        <w:rPr>
          <w:lang w:val="en-GB"/>
        </w:rPr>
        <w:t>y</w:t>
      </w:r>
      <w:r>
        <w:rPr>
          <w:lang w:val="en-GB"/>
        </w:rPr>
        <w:t xml:space="preserve"> layouts </w:t>
      </w:r>
      <w:r w:rsidR="006E1978">
        <w:rPr>
          <w:lang w:val="en-GB"/>
        </w:rPr>
        <w:t>is</w:t>
      </w:r>
      <w:r w:rsidR="00B80A35">
        <w:rPr>
          <w:lang w:val="en-GB"/>
        </w:rPr>
        <w:t xml:space="preserve"> the thermochemical conversion </w:t>
      </w:r>
      <w:r w:rsidR="00A74E08">
        <w:rPr>
          <w:lang w:val="en-GB"/>
        </w:rPr>
        <w:t xml:space="preserve">of biomass </w:t>
      </w:r>
      <w:r w:rsidR="00B80A35">
        <w:rPr>
          <w:lang w:val="en-GB"/>
        </w:rPr>
        <w:t>which can be used to produce levulinic acid and furfural from cellulose and hemicelluloses</w:t>
      </w:r>
      <w:r w:rsidR="008901C0">
        <w:rPr>
          <w:lang w:val="en-GB"/>
        </w:rPr>
        <w:t xml:space="preserve"> </w:t>
      </w:r>
      <w:r w:rsidR="008901C0" w:rsidRPr="008901C0">
        <w:rPr>
          <w:lang w:val="en-GB"/>
        </w:rPr>
        <w:t>(</w:t>
      </w:r>
      <w:proofErr w:type="spellStart"/>
      <w:r w:rsidR="008901C0" w:rsidRPr="008901C0">
        <w:rPr>
          <w:lang w:val="en-GB"/>
        </w:rPr>
        <w:t>Tacchini</w:t>
      </w:r>
      <w:proofErr w:type="spellEnd"/>
      <w:r w:rsidR="008901C0" w:rsidRPr="008901C0">
        <w:rPr>
          <w:lang w:val="en-GB"/>
        </w:rPr>
        <w:t xml:space="preserve"> et al.</w:t>
      </w:r>
      <w:r w:rsidR="008901C0">
        <w:rPr>
          <w:lang w:val="en-GB"/>
        </w:rPr>
        <w:t>,</w:t>
      </w:r>
      <w:r w:rsidR="008901C0" w:rsidRPr="008901C0">
        <w:rPr>
          <w:lang w:val="en-GB"/>
        </w:rPr>
        <w:t xml:space="preserve"> 2020)</w:t>
      </w:r>
      <w:r w:rsidR="00A74E08">
        <w:rPr>
          <w:lang w:val="en-GB"/>
        </w:rPr>
        <w:t xml:space="preserve">. This process consists </w:t>
      </w:r>
      <w:proofErr w:type="gramStart"/>
      <w:r w:rsidR="00392709">
        <w:rPr>
          <w:lang w:val="en-GB"/>
        </w:rPr>
        <w:t>on</w:t>
      </w:r>
      <w:proofErr w:type="gramEnd"/>
      <w:r w:rsidR="00A74E08">
        <w:rPr>
          <w:lang w:val="en-GB"/>
        </w:rPr>
        <w:t xml:space="preserve"> the hydroly</w:t>
      </w:r>
      <w:r w:rsidR="00733865">
        <w:rPr>
          <w:lang w:val="en-GB"/>
        </w:rPr>
        <w:t>sis of polysaccharides and dehydration of sugars, and these conditions also lead to the production of humins, a by-product of condensation reactions of sugars and furans.</w:t>
      </w:r>
    </w:p>
    <w:p w14:paraId="39C533D4" w14:textId="2C57D9FD" w:rsidR="00733865" w:rsidRDefault="00733865" w:rsidP="00600535">
      <w:pPr>
        <w:pStyle w:val="CETBodytext"/>
        <w:rPr>
          <w:lang w:val="en-GB"/>
        </w:rPr>
      </w:pPr>
      <w:r>
        <w:rPr>
          <w:lang w:val="en-GB"/>
        </w:rPr>
        <w:t>Currently, the main potential application for humins is as a supplementary boiler fuel</w:t>
      </w:r>
      <w:r w:rsidR="00F97A90">
        <w:rPr>
          <w:lang w:val="en-GB"/>
        </w:rPr>
        <w:t xml:space="preserve"> </w:t>
      </w:r>
      <w:r w:rsidR="008901C0">
        <w:rPr>
          <w:lang w:val="en-GB"/>
        </w:rPr>
        <w:t>(Leal Silva et al., 2021a)</w:t>
      </w:r>
      <w:r>
        <w:rPr>
          <w:lang w:val="en-GB"/>
        </w:rPr>
        <w:t xml:space="preserve">. </w:t>
      </w:r>
      <w:r w:rsidR="00E0272E">
        <w:rPr>
          <w:lang w:val="en-GB"/>
        </w:rPr>
        <w:t>Nevertheless, other</w:t>
      </w:r>
      <w:r>
        <w:rPr>
          <w:lang w:val="en-GB"/>
        </w:rPr>
        <w:t xml:space="preserve"> applications as catalyst support </w:t>
      </w:r>
      <w:r w:rsidR="00E0272E">
        <w:rPr>
          <w:lang w:val="en-GB"/>
        </w:rPr>
        <w:t xml:space="preserve">have been already proposed because </w:t>
      </w:r>
      <w:r w:rsidR="007651E6">
        <w:rPr>
          <w:lang w:val="en-GB"/>
        </w:rPr>
        <w:t>of the low cost of this material and the possible properties of carbon-based materials. In this context, a potential application for this by-product is the production of electrodes for Li-O</w:t>
      </w:r>
      <w:r w:rsidR="007651E6" w:rsidRPr="007651E6">
        <w:rPr>
          <w:vertAlign w:val="subscript"/>
          <w:lang w:val="en-GB"/>
        </w:rPr>
        <w:t>2</w:t>
      </w:r>
      <w:r w:rsidR="007651E6">
        <w:rPr>
          <w:lang w:val="en-GB"/>
        </w:rPr>
        <w:t xml:space="preserve"> batteries</w:t>
      </w:r>
      <w:r w:rsidR="008901C0">
        <w:rPr>
          <w:lang w:val="en-GB"/>
        </w:rPr>
        <w:t xml:space="preserve"> </w:t>
      </w:r>
      <w:r w:rsidR="008901C0" w:rsidRPr="008901C0">
        <w:rPr>
          <w:lang w:val="en-GB"/>
        </w:rPr>
        <w:t>(Thakkar et al.</w:t>
      </w:r>
      <w:r w:rsidR="008901C0">
        <w:rPr>
          <w:lang w:val="en-GB"/>
        </w:rPr>
        <w:t>,</w:t>
      </w:r>
      <w:r w:rsidR="008901C0" w:rsidRPr="008901C0">
        <w:rPr>
          <w:lang w:val="en-GB"/>
        </w:rPr>
        <w:t xml:space="preserve"> 2021)</w:t>
      </w:r>
      <w:r w:rsidR="007651E6">
        <w:rPr>
          <w:lang w:val="en-GB"/>
        </w:rPr>
        <w:t>. Li-O</w:t>
      </w:r>
      <w:r w:rsidR="007651E6" w:rsidRPr="006E1978">
        <w:rPr>
          <w:vertAlign w:val="subscript"/>
          <w:lang w:val="en-GB"/>
        </w:rPr>
        <w:t>2</w:t>
      </w:r>
      <w:r w:rsidR="007651E6">
        <w:rPr>
          <w:lang w:val="en-GB"/>
        </w:rPr>
        <w:t xml:space="preserve"> batteries represent one of the next frontiers in the development of electrochemical energy storage devices because of </w:t>
      </w:r>
      <w:r w:rsidR="00392709">
        <w:rPr>
          <w:lang w:val="en-GB"/>
        </w:rPr>
        <w:t>their</w:t>
      </w:r>
      <w:r w:rsidR="007651E6">
        <w:rPr>
          <w:lang w:val="en-GB"/>
        </w:rPr>
        <w:t xml:space="preserve"> potentially high spe</w:t>
      </w:r>
      <w:r w:rsidR="00503B35">
        <w:rPr>
          <w:lang w:val="en-GB"/>
        </w:rPr>
        <w:t>cific energy</w:t>
      </w:r>
      <w:r w:rsidR="006E1978">
        <w:rPr>
          <w:lang w:val="en-GB"/>
        </w:rPr>
        <w:t xml:space="preserve"> </w:t>
      </w:r>
      <w:r w:rsidR="008901C0">
        <w:rPr>
          <w:lang w:val="en-GB"/>
        </w:rPr>
        <w:t>(Leal Silva et al., 2021b)</w:t>
      </w:r>
      <w:r w:rsidR="00503B35">
        <w:rPr>
          <w:lang w:val="en-GB"/>
        </w:rPr>
        <w:t xml:space="preserve">. In the development of this battery, </w:t>
      </w:r>
      <w:r w:rsidR="008A164E">
        <w:rPr>
          <w:lang w:val="en-GB"/>
        </w:rPr>
        <w:t xml:space="preserve">several materials have been being tested </w:t>
      </w:r>
      <w:r w:rsidR="00FA2FD3">
        <w:rPr>
          <w:lang w:val="en-GB"/>
        </w:rPr>
        <w:t>for the manufacture of the O</w:t>
      </w:r>
      <w:r w:rsidR="00FA2FD3" w:rsidRPr="00FA2FD3">
        <w:rPr>
          <w:vertAlign w:val="subscript"/>
          <w:lang w:val="en-GB"/>
        </w:rPr>
        <w:t>2</w:t>
      </w:r>
      <w:r w:rsidR="00FA2FD3">
        <w:rPr>
          <w:lang w:val="en-GB"/>
        </w:rPr>
        <w:t xml:space="preserve"> electrode. This part of the battery must present high surface area, porosity,</w:t>
      </w:r>
      <w:r w:rsidR="00476354">
        <w:rPr>
          <w:lang w:val="en-GB"/>
        </w:rPr>
        <w:t xml:space="preserve"> catalytic activity,</w:t>
      </w:r>
      <w:r w:rsidR="00FA2FD3">
        <w:rPr>
          <w:lang w:val="en-GB"/>
        </w:rPr>
        <w:t xml:space="preserve"> and conductivity to act as a suitable support for the deposition of discharge product</w:t>
      </w:r>
      <w:r w:rsidR="00FF20F3">
        <w:rPr>
          <w:lang w:val="en-GB"/>
        </w:rPr>
        <w:t xml:space="preserve">, which is </w:t>
      </w:r>
      <w:r w:rsidR="00FA2FD3">
        <w:rPr>
          <w:lang w:val="en-GB"/>
        </w:rPr>
        <w:t>Li</w:t>
      </w:r>
      <w:r w:rsidR="00FA2FD3" w:rsidRPr="00FA2FD3">
        <w:rPr>
          <w:vertAlign w:val="subscript"/>
          <w:lang w:val="en-GB"/>
        </w:rPr>
        <w:t>2</w:t>
      </w:r>
      <w:r w:rsidR="00FA2FD3">
        <w:rPr>
          <w:lang w:val="en-GB"/>
        </w:rPr>
        <w:t>O</w:t>
      </w:r>
      <w:r w:rsidR="00FA2FD3" w:rsidRPr="00FA2FD3">
        <w:rPr>
          <w:vertAlign w:val="subscript"/>
          <w:lang w:val="en-GB"/>
        </w:rPr>
        <w:t>2</w:t>
      </w:r>
      <w:r w:rsidR="008901C0" w:rsidRPr="008901C0">
        <w:rPr>
          <w:lang w:val="en-GB"/>
        </w:rPr>
        <w:t xml:space="preserve"> (Tan et al.</w:t>
      </w:r>
      <w:r w:rsidR="008901C0">
        <w:rPr>
          <w:lang w:val="en-GB"/>
        </w:rPr>
        <w:t>,</w:t>
      </w:r>
      <w:r w:rsidR="008901C0" w:rsidRPr="008901C0">
        <w:rPr>
          <w:lang w:val="en-GB"/>
        </w:rPr>
        <w:t xml:space="preserve"> 2017)</w:t>
      </w:r>
      <w:r w:rsidR="00FA2FD3">
        <w:rPr>
          <w:lang w:val="en-GB"/>
        </w:rPr>
        <w:t xml:space="preserve">. Among the possible candidates under </w:t>
      </w:r>
      <w:r w:rsidR="00476354">
        <w:rPr>
          <w:lang w:val="en-GB"/>
        </w:rPr>
        <w:t xml:space="preserve">consideration by the </w:t>
      </w:r>
      <w:r w:rsidR="00476354">
        <w:rPr>
          <w:lang w:val="en-GB"/>
        </w:rPr>
        <w:lastRenderedPageBreak/>
        <w:t>scientific community</w:t>
      </w:r>
      <w:r w:rsidR="00FA2FD3">
        <w:rPr>
          <w:lang w:val="en-GB"/>
        </w:rPr>
        <w:t>, carbon-based materials deserve special attention because of the possibility of fine</w:t>
      </w:r>
      <w:r w:rsidR="00392709">
        <w:rPr>
          <w:lang w:val="en-GB"/>
        </w:rPr>
        <w:t>-</w:t>
      </w:r>
      <w:r w:rsidR="00FA2FD3">
        <w:rPr>
          <w:lang w:val="en-GB"/>
        </w:rPr>
        <w:t xml:space="preserve">tuning many </w:t>
      </w:r>
      <w:r w:rsidR="00392709">
        <w:rPr>
          <w:lang w:val="en-GB"/>
        </w:rPr>
        <w:t xml:space="preserve">of </w:t>
      </w:r>
      <w:r w:rsidR="00FA2FD3">
        <w:rPr>
          <w:lang w:val="en-GB"/>
        </w:rPr>
        <w:t>their</w:t>
      </w:r>
      <w:r w:rsidR="00CB48A4">
        <w:rPr>
          <w:lang w:val="en-GB"/>
        </w:rPr>
        <w:t xml:space="preserve"> properties to make them suitable for this application.</w:t>
      </w:r>
    </w:p>
    <w:p w14:paraId="227CED5C" w14:textId="741E33B9" w:rsidR="00B80A35" w:rsidRDefault="00476354" w:rsidP="00600535">
      <w:pPr>
        <w:pStyle w:val="CETBodytext"/>
        <w:rPr>
          <w:lang w:val="en-GB"/>
        </w:rPr>
      </w:pPr>
      <w:r>
        <w:rPr>
          <w:lang w:val="en-GB"/>
        </w:rPr>
        <w:t xml:space="preserve">Based on this possible application of a biorefinery residue in the production of </w:t>
      </w:r>
      <w:r w:rsidR="00A054E9">
        <w:rPr>
          <w:lang w:val="en-GB"/>
        </w:rPr>
        <w:t xml:space="preserve">an </w:t>
      </w:r>
      <w:r>
        <w:rPr>
          <w:lang w:val="en-GB"/>
        </w:rPr>
        <w:t>electrochemical energy storage device, this work presents the synthesis and testing of a</w:t>
      </w:r>
      <w:r w:rsidR="00A054E9">
        <w:rPr>
          <w:lang w:val="en-GB"/>
        </w:rPr>
        <w:t>n experimental</w:t>
      </w:r>
      <w:r>
        <w:rPr>
          <w:lang w:val="en-GB"/>
        </w:rPr>
        <w:t xml:space="preserve"> O</w:t>
      </w:r>
      <w:r w:rsidRPr="00A054E9">
        <w:rPr>
          <w:vertAlign w:val="subscript"/>
          <w:lang w:val="en-GB"/>
        </w:rPr>
        <w:t>2</w:t>
      </w:r>
      <w:r>
        <w:rPr>
          <w:lang w:val="en-GB"/>
        </w:rPr>
        <w:t xml:space="preserve"> electrode for a Li-O</w:t>
      </w:r>
      <w:r w:rsidRPr="00476354">
        <w:rPr>
          <w:vertAlign w:val="subscript"/>
          <w:lang w:val="en-GB"/>
        </w:rPr>
        <w:t>2</w:t>
      </w:r>
      <w:r>
        <w:rPr>
          <w:lang w:val="en-GB"/>
        </w:rPr>
        <w:t xml:space="preserve"> battery based on humins from sugarcane bagasse and sugarcane molasses.</w:t>
      </w:r>
      <w:r w:rsidR="00A054E9">
        <w:rPr>
          <w:lang w:val="en-GB"/>
        </w:rPr>
        <w:t xml:space="preserve"> Humins were synthesized, </w:t>
      </w:r>
      <w:r w:rsidR="00E31119">
        <w:rPr>
          <w:lang w:val="en-GB"/>
        </w:rPr>
        <w:t>purified,</w:t>
      </w:r>
      <w:r w:rsidR="00A054E9">
        <w:rPr>
          <w:lang w:val="en-GB"/>
        </w:rPr>
        <w:t xml:space="preserve"> and thermally annealed. </w:t>
      </w:r>
      <w:r w:rsidR="00392709">
        <w:rPr>
          <w:lang w:val="en-GB"/>
        </w:rPr>
        <w:t>The c</w:t>
      </w:r>
      <w:r w:rsidR="00FB5BDB">
        <w:rPr>
          <w:lang w:val="en-GB"/>
        </w:rPr>
        <w:t>hemical c</w:t>
      </w:r>
      <w:r w:rsidR="00CB3AFC">
        <w:rPr>
          <w:lang w:val="en-GB"/>
        </w:rPr>
        <w:t xml:space="preserve">omposition and morphology of samples from each step were </w:t>
      </w:r>
      <w:proofErr w:type="spellStart"/>
      <w:r w:rsidR="00CB3AFC">
        <w:rPr>
          <w:lang w:val="en-GB"/>
        </w:rPr>
        <w:t>analyzed</w:t>
      </w:r>
      <w:proofErr w:type="spellEnd"/>
      <w:r w:rsidR="00CB3AFC">
        <w:rPr>
          <w:lang w:val="en-GB"/>
        </w:rPr>
        <w:t xml:space="preserve"> via several methods. Discharge tests of these electrodes demonstrate the potential of this material </w:t>
      </w:r>
      <w:r w:rsidR="00E31119">
        <w:rPr>
          <w:lang w:val="en-GB"/>
        </w:rPr>
        <w:t>in</w:t>
      </w:r>
      <w:r w:rsidR="00CB3AFC">
        <w:rPr>
          <w:lang w:val="en-GB"/>
        </w:rPr>
        <w:t xml:space="preserve"> the production of electrodes, </w:t>
      </w:r>
      <w:r w:rsidR="00FB5BDB">
        <w:rPr>
          <w:lang w:val="en-GB"/>
        </w:rPr>
        <w:t>thus showing</w:t>
      </w:r>
      <w:r w:rsidR="00CB3AFC">
        <w:rPr>
          <w:lang w:val="en-GB"/>
        </w:rPr>
        <w:t xml:space="preserve"> a </w:t>
      </w:r>
      <w:r w:rsidR="00FB5BDB">
        <w:rPr>
          <w:lang w:val="en-GB"/>
        </w:rPr>
        <w:t>new application</w:t>
      </w:r>
      <w:r w:rsidR="00CB3AFC">
        <w:rPr>
          <w:lang w:val="en-GB"/>
        </w:rPr>
        <w:t xml:space="preserve"> for humins produced during </w:t>
      </w:r>
      <w:r w:rsidR="00392709">
        <w:rPr>
          <w:lang w:val="en-GB"/>
        </w:rPr>
        <w:t xml:space="preserve">the </w:t>
      </w:r>
      <w:r w:rsidR="00CB3AFC">
        <w:rPr>
          <w:lang w:val="en-GB"/>
        </w:rPr>
        <w:t>synthesis of levulinic acid from biomass.</w:t>
      </w:r>
    </w:p>
    <w:p w14:paraId="2D180D43" w14:textId="77777777" w:rsidR="003020F1" w:rsidRPr="009B6427" w:rsidRDefault="003020F1" w:rsidP="003020F1">
      <w:pPr>
        <w:pStyle w:val="CETHeading1"/>
      </w:pPr>
      <w:r w:rsidRPr="009B6427">
        <w:t>Methodology</w:t>
      </w:r>
    </w:p>
    <w:p w14:paraId="13EE7724" w14:textId="08584C14" w:rsidR="003020F1" w:rsidRDefault="003020F1" w:rsidP="003020F1">
      <w:pPr>
        <w:pStyle w:val="CETheadingx"/>
      </w:pPr>
      <w:r>
        <w:t>Synthesis and purification of humins</w:t>
      </w:r>
    </w:p>
    <w:p w14:paraId="3E6EF5C2" w14:textId="45B30BE6" w:rsidR="004C37C2" w:rsidRPr="003020F1" w:rsidRDefault="00D4693F" w:rsidP="003020F1">
      <w:pPr>
        <w:pStyle w:val="CETBodytext"/>
      </w:pPr>
      <w:r>
        <w:t xml:space="preserve">Humins were synthesized from two sources. </w:t>
      </w:r>
      <w:r w:rsidRPr="00BB64DF">
        <w:rPr>
          <w:lang w:val="pt-BR"/>
        </w:rPr>
        <w:t xml:space="preserve">Sugarcane bagasse was obtained from Usina São João (Araras, São Paulo, Brazil), and sugarcane molasses was obtained from Usina Ester (Cosmópolis, São Paulo, Brazil). </w:t>
      </w:r>
      <w:r>
        <w:t xml:space="preserve">Samples were stored in the freezer without any treatment. Humins from sugarcane bagasse were synthesized by mixing </w:t>
      </w:r>
      <w:r w:rsidR="004C37C2">
        <w:t xml:space="preserve">sugarcane bagasse </w:t>
      </w:r>
      <w:r w:rsidR="001B0802">
        <w:t>with</w:t>
      </w:r>
      <w:r w:rsidR="004C37C2">
        <w:t xml:space="preserve"> </w:t>
      </w:r>
      <w:r w:rsidR="001B0802">
        <w:t xml:space="preserve">a </w:t>
      </w:r>
      <w:r w:rsidR="004C37C2">
        <w:t>1 w/v% H</w:t>
      </w:r>
      <w:r w:rsidR="004C37C2" w:rsidRPr="004C37C2">
        <w:rPr>
          <w:vertAlign w:val="subscript"/>
        </w:rPr>
        <w:t>2</w:t>
      </w:r>
      <w:r w:rsidR="004C37C2">
        <w:t>SO</w:t>
      </w:r>
      <w:r w:rsidR="004C37C2" w:rsidRPr="004C37C2">
        <w:rPr>
          <w:vertAlign w:val="subscript"/>
        </w:rPr>
        <w:t>4</w:t>
      </w:r>
      <w:r w:rsidR="004C37C2">
        <w:t xml:space="preserve"> </w:t>
      </w:r>
      <w:r w:rsidR="001B0802">
        <w:t xml:space="preserve">aqueous </w:t>
      </w:r>
      <w:r w:rsidR="004C37C2">
        <w:t>solution</w:t>
      </w:r>
      <w:r w:rsidR="001B0802">
        <w:t xml:space="preserve"> with 10% solids loading</w:t>
      </w:r>
      <w:r w:rsidR="004C37C2">
        <w:t>. The mixture was heated and kept at 1</w:t>
      </w:r>
      <w:r w:rsidR="001B0802">
        <w:t>70</w:t>
      </w:r>
      <w:r w:rsidR="004C37C2">
        <w:t xml:space="preserve"> °C for </w:t>
      </w:r>
      <w:r w:rsidR="001B0802">
        <w:t>75</w:t>
      </w:r>
      <w:r w:rsidR="004C37C2">
        <w:t xml:space="preserve"> min</w:t>
      </w:r>
      <w:r w:rsidR="008901C0">
        <w:t xml:space="preserve"> </w:t>
      </w:r>
      <w:r w:rsidR="008901C0" w:rsidRPr="008901C0">
        <w:t>(Lopes et al.</w:t>
      </w:r>
      <w:r w:rsidR="008901C0">
        <w:t>,</w:t>
      </w:r>
      <w:r w:rsidR="008901C0" w:rsidRPr="008901C0">
        <w:t xml:space="preserve"> 2020)</w:t>
      </w:r>
      <w:r w:rsidR="004C37C2">
        <w:t>. The resulting solid fraction (H-SCB) was recovered</w:t>
      </w:r>
      <w:r w:rsidR="00352D66">
        <w:t xml:space="preserve"> by filtration</w:t>
      </w:r>
      <w:r w:rsidR="004C37C2">
        <w:t xml:space="preserve"> for further treatment. Humins from molasses were synthesized by mixing </w:t>
      </w:r>
      <w:r w:rsidR="008329E6">
        <w:t>100 parts of 9 w/v% H</w:t>
      </w:r>
      <w:r w:rsidR="008329E6" w:rsidRPr="004C37C2">
        <w:rPr>
          <w:vertAlign w:val="subscript"/>
        </w:rPr>
        <w:t>2</w:t>
      </w:r>
      <w:r w:rsidR="008329E6">
        <w:t>SO</w:t>
      </w:r>
      <w:r w:rsidR="008329E6" w:rsidRPr="004C37C2">
        <w:rPr>
          <w:vertAlign w:val="subscript"/>
        </w:rPr>
        <w:t>4</w:t>
      </w:r>
      <w:r w:rsidR="008329E6">
        <w:t xml:space="preserve"> aqueous solution </w:t>
      </w:r>
      <w:r w:rsidR="00392709">
        <w:t>with</w:t>
      </w:r>
      <w:r w:rsidR="008329E6">
        <w:t xml:space="preserve"> 123 parts of sugarcane molasses</w:t>
      </w:r>
      <w:r w:rsidR="004C37C2">
        <w:t>, and the mixture was heated and kept at 1</w:t>
      </w:r>
      <w:r w:rsidR="008329E6">
        <w:t>60</w:t>
      </w:r>
      <w:r w:rsidR="004C37C2">
        <w:t xml:space="preserve"> °C for 80 min</w:t>
      </w:r>
      <w:r w:rsidR="008901C0">
        <w:t xml:space="preserve"> </w:t>
      </w:r>
      <w:r w:rsidR="008901C0" w:rsidRPr="008901C0">
        <w:t>(Lopes et al.</w:t>
      </w:r>
      <w:r w:rsidR="008901C0">
        <w:t>,</w:t>
      </w:r>
      <w:r w:rsidR="008901C0" w:rsidRPr="008901C0">
        <w:t xml:space="preserve"> 2021)</w:t>
      </w:r>
      <w:r w:rsidR="004C37C2">
        <w:t xml:space="preserve">. The resulting solid fraction (H-SCM) was recovered </w:t>
      </w:r>
      <w:r w:rsidR="00D93E05">
        <w:t xml:space="preserve">by filtration </w:t>
      </w:r>
      <w:r w:rsidR="004C37C2">
        <w:t>for further treatment.</w:t>
      </w:r>
      <w:r w:rsidR="00D93E05">
        <w:t xml:space="preserve"> </w:t>
      </w:r>
      <w:r w:rsidR="004C37C2">
        <w:t xml:space="preserve">Both solid </w:t>
      </w:r>
      <w:r w:rsidR="00ED023F">
        <w:t>fractions</w:t>
      </w:r>
      <w:r w:rsidR="004C37C2">
        <w:t xml:space="preserve"> were dried at 80 °C under vacuum</w:t>
      </w:r>
      <w:r w:rsidR="00E34F73">
        <w:t xml:space="preserve"> for 12 h</w:t>
      </w:r>
      <w:r w:rsidR="004C37C2">
        <w:t xml:space="preserve">. </w:t>
      </w:r>
      <w:r w:rsidR="00352D66">
        <w:t>Then, Soxhlet extraction</w:t>
      </w:r>
      <w:r w:rsidR="001A5359">
        <w:t xml:space="preserve"> with water was performed in 3 cycles of 8 h each, and </w:t>
      </w:r>
      <w:r w:rsidR="00E34F73">
        <w:t>the solids were dried at 80 °C under vacuum for 12 h.</w:t>
      </w:r>
    </w:p>
    <w:p w14:paraId="0EC17D43" w14:textId="61C36CDE" w:rsidR="003020F1" w:rsidRDefault="003020F1" w:rsidP="003020F1">
      <w:pPr>
        <w:pStyle w:val="CETheadingx"/>
      </w:pPr>
      <w:r>
        <w:t xml:space="preserve">Preparation of </w:t>
      </w:r>
      <w:r w:rsidR="001208CD">
        <w:t>electrodes</w:t>
      </w:r>
    </w:p>
    <w:p w14:paraId="21346C19" w14:textId="0DB7E4B8" w:rsidR="00CE60D1" w:rsidRDefault="00D12602" w:rsidP="00CE60D1">
      <w:pPr>
        <w:pStyle w:val="CETBodytext"/>
      </w:pPr>
      <w:r>
        <w:t xml:space="preserve">Purified humins </w:t>
      </w:r>
      <w:r w:rsidR="00A07F9D">
        <w:t xml:space="preserve">were ground </w:t>
      </w:r>
      <w:r w:rsidR="00FC36F8">
        <w:t>using</w:t>
      </w:r>
      <w:r w:rsidR="00A07F9D">
        <w:t xml:space="preserve"> an </w:t>
      </w:r>
      <w:r w:rsidR="00A07F9D" w:rsidRPr="00A07F9D">
        <w:t xml:space="preserve">agate mortar and pestle </w:t>
      </w:r>
      <w:r w:rsidR="00A07F9D">
        <w:t>and then</w:t>
      </w:r>
      <w:r>
        <w:t xml:space="preserve"> thermally annealed </w:t>
      </w:r>
      <w:r w:rsidR="00E31119">
        <w:t>o</w:t>
      </w:r>
      <w:r>
        <w:t xml:space="preserve">n a </w:t>
      </w:r>
      <w:r w:rsidR="00291679">
        <w:t xml:space="preserve">horizontal </w:t>
      </w:r>
      <w:r>
        <w:t>tube furnace (</w:t>
      </w:r>
      <w:r w:rsidR="00A07F9D">
        <w:t xml:space="preserve">LT3.3010, </w:t>
      </w:r>
      <w:r>
        <w:t>Jung</w:t>
      </w:r>
      <w:r w:rsidR="00A07F9D">
        <w:t>, Brazil</w:t>
      </w:r>
      <w:r>
        <w:t>)</w:t>
      </w:r>
      <w:r w:rsidR="00291679">
        <w:t xml:space="preserve"> under argon flow</w:t>
      </w:r>
      <w:r w:rsidR="00E31119">
        <w:t xml:space="preserve"> in a two-step process</w:t>
      </w:r>
      <w:r>
        <w:t xml:space="preserve">. In </w:t>
      </w:r>
      <w:r w:rsidR="00E31119">
        <w:t>the</w:t>
      </w:r>
      <w:r>
        <w:t xml:space="preserve"> first step, </w:t>
      </w:r>
      <w:r w:rsidR="00291679">
        <w:t>the sample</w:t>
      </w:r>
      <w:r w:rsidR="00FC36F8">
        <w:t>s</w:t>
      </w:r>
      <w:r w:rsidR="00291679">
        <w:t xml:space="preserve"> w</w:t>
      </w:r>
      <w:r w:rsidR="00FC36F8">
        <w:t>ere</w:t>
      </w:r>
      <w:r w:rsidR="00291679">
        <w:t xml:space="preserve"> heated to 375 °C (</w:t>
      </w:r>
      <w:r w:rsidR="00901C27">
        <w:t xml:space="preserve">heating </w:t>
      </w:r>
      <w:r w:rsidR="00291679">
        <w:t xml:space="preserve">rate of 5 °C </w:t>
      </w:r>
      <w:proofErr w:type="gramStart"/>
      <w:r w:rsidR="00291679">
        <w:t>min</w:t>
      </w:r>
      <w:r w:rsidR="00291679" w:rsidRPr="00291679">
        <w:rPr>
          <w:vertAlign w:val="superscript"/>
        </w:rPr>
        <w:t>-1</w:t>
      </w:r>
      <w:proofErr w:type="gramEnd"/>
      <w:r w:rsidR="00291679" w:rsidRPr="00291679">
        <w:t xml:space="preserve">) </w:t>
      </w:r>
      <w:r w:rsidR="00291679">
        <w:t xml:space="preserve">for 2 </w:t>
      </w:r>
      <w:r w:rsidR="00A07F9D">
        <w:t>h and left to cool. Then, the sample</w:t>
      </w:r>
      <w:r w:rsidR="00FC36F8">
        <w:t>s</w:t>
      </w:r>
      <w:r w:rsidR="00A07F9D">
        <w:t xml:space="preserve"> w</w:t>
      </w:r>
      <w:r w:rsidR="00FC36F8">
        <w:t>ere</w:t>
      </w:r>
      <w:r w:rsidR="00A07F9D">
        <w:t xml:space="preserve"> heated to 850 °C (</w:t>
      </w:r>
      <w:r w:rsidR="00901C27">
        <w:t xml:space="preserve">heating </w:t>
      </w:r>
      <w:r w:rsidR="00A07F9D">
        <w:t xml:space="preserve">rate of 5 °C </w:t>
      </w:r>
      <w:proofErr w:type="gramStart"/>
      <w:r w:rsidR="00A07F9D">
        <w:t>min</w:t>
      </w:r>
      <w:r w:rsidR="00A07F9D" w:rsidRPr="00291679">
        <w:rPr>
          <w:vertAlign w:val="superscript"/>
        </w:rPr>
        <w:t>-1</w:t>
      </w:r>
      <w:proofErr w:type="gramEnd"/>
      <w:r w:rsidR="00A07F9D" w:rsidRPr="00291679">
        <w:t xml:space="preserve">) </w:t>
      </w:r>
      <w:r w:rsidR="00A07F9D">
        <w:t>for 3 h and left to cool</w:t>
      </w:r>
      <w:r w:rsidR="008901C0">
        <w:t xml:space="preserve"> </w:t>
      </w:r>
      <w:r w:rsidR="008901C0" w:rsidRPr="008901C0">
        <w:t xml:space="preserve">(van </w:t>
      </w:r>
      <w:proofErr w:type="spellStart"/>
      <w:r w:rsidR="008901C0" w:rsidRPr="008901C0">
        <w:t>Zandvoort</w:t>
      </w:r>
      <w:proofErr w:type="spellEnd"/>
      <w:r w:rsidR="008901C0" w:rsidRPr="008901C0">
        <w:t xml:space="preserve"> et al.</w:t>
      </w:r>
      <w:r w:rsidR="008901C0">
        <w:t>,</w:t>
      </w:r>
      <w:r w:rsidR="008901C0" w:rsidRPr="008901C0">
        <w:t xml:space="preserve"> 2013)</w:t>
      </w:r>
      <w:r w:rsidR="00A07F9D">
        <w:t xml:space="preserve">. The resulting </w:t>
      </w:r>
      <w:r w:rsidR="00C72A55">
        <w:t xml:space="preserve">carbon </w:t>
      </w:r>
      <w:r w:rsidR="00A07F9D">
        <w:t xml:space="preserve">samples </w:t>
      </w:r>
      <w:r w:rsidR="004C3D70">
        <w:t>(</w:t>
      </w:r>
      <w:r w:rsidR="00134B44">
        <w:t>C</w:t>
      </w:r>
      <w:r w:rsidR="004C3D70">
        <w:t>-SCB</w:t>
      </w:r>
      <w:r w:rsidR="00134B44">
        <w:t xml:space="preserve"> </w:t>
      </w:r>
      <w:r w:rsidR="004C3D70">
        <w:t xml:space="preserve">or </w:t>
      </w:r>
      <w:r w:rsidR="00134B44">
        <w:t>C</w:t>
      </w:r>
      <w:r w:rsidR="004C3D70">
        <w:t xml:space="preserve">-SCM) </w:t>
      </w:r>
      <w:r w:rsidR="00A07F9D">
        <w:t xml:space="preserve">were </w:t>
      </w:r>
      <w:r w:rsidR="00232B3A">
        <w:t xml:space="preserve">ground </w:t>
      </w:r>
      <w:r w:rsidR="00FC36F8">
        <w:t>once again</w:t>
      </w:r>
      <w:r w:rsidR="00A07F9D">
        <w:t xml:space="preserve">. A slurry consisting of </w:t>
      </w:r>
      <w:r w:rsidR="00C72A55">
        <w:t>18</w:t>
      </w:r>
      <w:r w:rsidR="009F26EF">
        <w:t xml:space="preserve"> w</w:t>
      </w:r>
      <w:r w:rsidR="00C72A55">
        <w:t>% treated carbon</w:t>
      </w:r>
      <w:r w:rsidR="009F26EF">
        <w:t xml:space="preserve"> and</w:t>
      </w:r>
      <w:r w:rsidR="00C72A55">
        <w:t xml:space="preserve"> 2</w:t>
      </w:r>
      <w:r w:rsidR="009F26EF">
        <w:t xml:space="preserve"> w</w:t>
      </w:r>
      <w:r w:rsidR="00C72A55">
        <w:t xml:space="preserve">% </w:t>
      </w:r>
      <w:proofErr w:type="spellStart"/>
      <w:r w:rsidR="00C72A55">
        <w:t>Nafion</w:t>
      </w:r>
      <w:proofErr w:type="spellEnd"/>
      <w:r w:rsidR="00C72A55">
        <w:t xml:space="preserve"> (</w:t>
      </w:r>
      <w:r w:rsidR="00E36142" w:rsidRPr="00E36142">
        <w:t>solution</w:t>
      </w:r>
      <w:r w:rsidR="00E36142">
        <w:t xml:space="preserve">, </w:t>
      </w:r>
      <w:r w:rsidR="00E36142" w:rsidRPr="00E36142">
        <w:t>20</w:t>
      </w:r>
      <w:r w:rsidR="009F26EF">
        <w:t>.7</w:t>
      </w:r>
      <w:r w:rsidR="00E36142" w:rsidRPr="00E36142">
        <w:t xml:space="preserve"> w%</w:t>
      </w:r>
      <w:r w:rsidR="00710B88">
        <w:t xml:space="preserve"> </w:t>
      </w:r>
      <w:proofErr w:type="spellStart"/>
      <w:r w:rsidR="00710B88" w:rsidRPr="00E36142">
        <w:t>Nafion</w:t>
      </w:r>
      <w:proofErr w:type="spellEnd"/>
      <w:r w:rsidR="00710B88" w:rsidRPr="00E36142">
        <w:t xml:space="preserve">™ </w:t>
      </w:r>
      <w:proofErr w:type="spellStart"/>
      <w:r w:rsidR="00710B88" w:rsidRPr="00E36142">
        <w:t>perfluorinated</w:t>
      </w:r>
      <w:proofErr w:type="spellEnd"/>
      <w:r w:rsidR="00710B88" w:rsidRPr="00E36142">
        <w:t xml:space="preserve"> resin</w:t>
      </w:r>
      <w:r w:rsidR="00E36142" w:rsidRPr="00E36142">
        <w:t xml:space="preserve"> in </w:t>
      </w:r>
      <w:r w:rsidR="00710B88">
        <w:t>34:45 water:1-propanol</w:t>
      </w:r>
      <w:r w:rsidR="00E36142">
        <w:t>, Sigma-Aldrich)</w:t>
      </w:r>
      <w:r w:rsidR="002A4CE3">
        <w:t xml:space="preserve"> </w:t>
      </w:r>
      <w:r w:rsidR="00710B88">
        <w:t>in</w:t>
      </w:r>
      <w:r w:rsidR="002A4CE3">
        <w:t xml:space="preserve"> iso</w:t>
      </w:r>
      <w:r w:rsidR="00710B88">
        <w:t>propanol (&gt;98%, Sigma-Aldrich) was sonicated for 2 minutes in a tip sonicator (</w:t>
      </w:r>
      <w:r w:rsidR="00710B88" w:rsidRPr="00710B88">
        <w:t xml:space="preserve">Eco-sonics QR 550W, </w:t>
      </w:r>
      <w:proofErr w:type="spellStart"/>
      <w:r w:rsidR="00710B88" w:rsidRPr="00710B88">
        <w:t>Ultronique</w:t>
      </w:r>
      <w:proofErr w:type="spellEnd"/>
      <w:r w:rsidR="00710B88" w:rsidRPr="00710B88">
        <w:t>, Brazil</w:t>
      </w:r>
      <w:r w:rsidR="00710B88">
        <w:t>)</w:t>
      </w:r>
      <w:r w:rsidR="005A7AEE">
        <w:t xml:space="preserve">. The slurry was dropped into </w:t>
      </w:r>
      <w:r w:rsidR="00B149F2">
        <w:t xml:space="preserve">previously weighted </w:t>
      </w:r>
      <w:r w:rsidR="005A7AEE">
        <w:t xml:space="preserve">16 mm discs of </w:t>
      </w:r>
      <w:r w:rsidR="000A15B7">
        <w:t>stainless-steel</w:t>
      </w:r>
      <w:r w:rsidR="005A7AEE">
        <w:t xml:space="preserve"> wire mesh (wire </w:t>
      </w:r>
      <w:r w:rsidR="005A7AEE" w:rsidRPr="00EF2760">
        <w:t xml:space="preserve">diameter: </w:t>
      </w:r>
      <w:r w:rsidR="00EF2760" w:rsidRPr="00EF2760">
        <w:t>40</w:t>
      </w:r>
      <w:r w:rsidR="000A15B7" w:rsidRPr="00EF2760">
        <w:t xml:space="preserve"> </w:t>
      </w:r>
      <w:proofErr w:type="spellStart"/>
      <w:r w:rsidR="000A15B7" w:rsidRPr="00EF2760">
        <w:t>μm</w:t>
      </w:r>
      <w:proofErr w:type="spellEnd"/>
      <w:r w:rsidR="005A7AEE" w:rsidRPr="00EF2760">
        <w:t>, opening size:</w:t>
      </w:r>
      <w:r w:rsidR="000A15B7" w:rsidRPr="00EF2760">
        <w:t xml:space="preserve"> </w:t>
      </w:r>
      <w:r w:rsidR="00EF2760" w:rsidRPr="00EF2760">
        <w:t>50–55</w:t>
      </w:r>
      <w:r w:rsidR="005A7AEE" w:rsidRPr="00EF2760">
        <w:t xml:space="preserve"> </w:t>
      </w:r>
      <w:proofErr w:type="spellStart"/>
      <w:r w:rsidR="000A15B7" w:rsidRPr="00EF2760">
        <w:t>μm</w:t>
      </w:r>
      <w:proofErr w:type="spellEnd"/>
      <w:r w:rsidR="000A15B7" w:rsidRPr="00EF2760">
        <w:t>)</w:t>
      </w:r>
      <w:r w:rsidR="005A7AEE">
        <w:t xml:space="preserve"> </w:t>
      </w:r>
      <w:r w:rsidR="004C3D70">
        <w:t>over</w:t>
      </w:r>
      <w:r w:rsidR="000A15B7">
        <w:t xml:space="preserve"> a Petri dish</w:t>
      </w:r>
      <w:r w:rsidR="004C3D70">
        <w:t xml:space="preserve">, which was </w:t>
      </w:r>
      <w:r w:rsidR="000A15B7">
        <w:t>left to dry for 24 h in an oven</w:t>
      </w:r>
      <w:r w:rsidR="004C3D70">
        <w:t xml:space="preserve"> at 50 °C</w:t>
      </w:r>
      <w:r w:rsidR="000A15B7">
        <w:t>. The electrodes were peeled off</w:t>
      </w:r>
      <w:r w:rsidR="00B149F2">
        <w:t xml:space="preserve">, weighed, and </w:t>
      </w:r>
      <w:r w:rsidR="000A15B7">
        <w:t>stored in</w:t>
      </w:r>
      <w:r w:rsidR="00E31119">
        <w:t xml:space="preserve"> a</w:t>
      </w:r>
      <w:r w:rsidR="000A15B7">
        <w:t xml:space="preserve"> </w:t>
      </w:r>
      <w:r w:rsidR="000A15B7" w:rsidRPr="000A15B7">
        <w:t>desiccator</w:t>
      </w:r>
      <w:r w:rsidR="000A15B7">
        <w:t>.</w:t>
      </w:r>
    </w:p>
    <w:p w14:paraId="702C8923" w14:textId="21351DC3" w:rsidR="004C3D70" w:rsidRDefault="004C3D70" w:rsidP="00CE60D1">
      <w:pPr>
        <w:pStyle w:val="CETBodytext"/>
      </w:pPr>
      <w:r>
        <w:t xml:space="preserve">The batteries were assembled with a Li foil </w:t>
      </w:r>
      <w:r w:rsidRPr="009B6427">
        <w:t>(Tob Machine, 99.99%)</w:t>
      </w:r>
      <w:r>
        <w:t xml:space="preserve">, a glass microfiber membrane </w:t>
      </w:r>
      <w:r w:rsidRPr="009B6427">
        <w:t>(GF/A, Whatman)</w:t>
      </w:r>
      <w:r>
        <w:t>, and the O</w:t>
      </w:r>
      <w:r w:rsidRPr="004C3D70">
        <w:rPr>
          <w:vertAlign w:val="subscript"/>
        </w:rPr>
        <w:t>2</w:t>
      </w:r>
      <w:r>
        <w:t xml:space="preserve"> electrode (based on H-SCB or H-SCM) using a </w:t>
      </w:r>
      <w:r w:rsidRPr="009B6427">
        <w:t>solution of 0.1 mol L</w:t>
      </w:r>
      <w:r w:rsidRPr="009B6427">
        <w:rPr>
          <w:vertAlign w:val="superscript"/>
        </w:rPr>
        <w:t>-1</w:t>
      </w:r>
      <w:r w:rsidRPr="009B6427">
        <w:t xml:space="preserve"> lithium perchlorate (LiClO</w:t>
      </w:r>
      <w:r w:rsidRPr="009B6427">
        <w:rPr>
          <w:vertAlign w:val="subscript"/>
        </w:rPr>
        <w:t>4</w:t>
      </w:r>
      <w:r w:rsidRPr="009B6427">
        <w:t xml:space="preserve">, ≥99.99% trace metal basis, Sigma-Aldrich) in </w:t>
      </w:r>
      <w:proofErr w:type="spellStart"/>
      <w:r w:rsidRPr="009B6427">
        <w:t>dimethylsulfoxide</w:t>
      </w:r>
      <w:proofErr w:type="spellEnd"/>
      <w:r w:rsidRPr="009B6427">
        <w:t xml:space="preserve"> (DMSO, ≥99.9%, Sigma-Aldrich)</w:t>
      </w:r>
      <w:r>
        <w:t xml:space="preserve"> as the electrolyte</w:t>
      </w:r>
      <w:r w:rsidR="00FC36F8">
        <w:t xml:space="preserve"> whose water content was measured via </w:t>
      </w:r>
      <w:r w:rsidR="00FC36F8" w:rsidRPr="009B6427">
        <w:t xml:space="preserve">coulometric Karl Fischer titration (852 </w:t>
      </w:r>
      <w:proofErr w:type="spellStart"/>
      <w:r w:rsidR="00FC36F8" w:rsidRPr="009B6427">
        <w:t>Titrando</w:t>
      </w:r>
      <w:proofErr w:type="spellEnd"/>
      <w:r w:rsidR="00FC36F8" w:rsidRPr="009B6427">
        <w:t xml:space="preserve"> </w:t>
      </w:r>
      <w:proofErr w:type="spellStart"/>
      <w:r w:rsidR="00FC36F8" w:rsidRPr="009B6427">
        <w:t>Metrohm</w:t>
      </w:r>
      <w:proofErr w:type="spellEnd"/>
      <w:r w:rsidR="00FC36F8" w:rsidRPr="009B6427">
        <w:t xml:space="preserve"> AG, Switzerland)</w:t>
      </w:r>
      <w:r>
        <w:t>. Batteries were assembled inside a glovebox workstation (</w:t>
      </w:r>
      <w:r w:rsidRPr="009B6427">
        <w:t>H</w:t>
      </w:r>
      <w:r w:rsidRPr="009B6427">
        <w:rPr>
          <w:vertAlign w:val="subscript"/>
        </w:rPr>
        <w:t>2</w:t>
      </w:r>
      <w:r w:rsidRPr="009B6427">
        <w:t>O</w:t>
      </w:r>
      <w:r w:rsidR="00FC36F8">
        <w:t xml:space="preserve"> and </w:t>
      </w:r>
      <w:r w:rsidRPr="009B6427">
        <w:t>O</w:t>
      </w:r>
      <w:r w:rsidRPr="009B6427">
        <w:rPr>
          <w:vertAlign w:val="subscript"/>
        </w:rPr>
        <w:t>2</w:t>
      </w:r>
      <w:r w:rsidRPr="009B6427">
        <w:t xml:space="preserve">&lt;10 ppm, </w:t>
      </w:r>
      <w:proofErr w:type="spellStart"/>
      <w:r w:rsidR="00FC36F8" w:rsidRPr="009B6427">
        <w:t>Ar</w:t>
      </w:r>
      <w:proofErr w:type="spellEnd"/>
      <w:r w:rsidR="00FC36F8" w:rsidRPr="009B6427">
        <w:t xml:space="preserve"> atmosphere, </w:t>
      </w:r>
      <w:proofErr w:type="spellStart"/>
      <w:r w:rsidRPr="009B6427">
        <w:t>MBraun</w:t>
      </w:r>
      <w:proofErr w:type="spellEnd"/>
      <w:r w:rsidRPr="009B6427">
        <w:t xml:space="preserve"> MB10, M. BRAUN </w:t>
      </w:r>
      <w:proofErr w:type="spellStart"/>
      <w:r w:rsidRPr="009B6427">
        <w:t>Inertgas-Systeme</w:t>
      </w:r>
      <w:proofErr w:type="spellEnd"/>
      <w:r w:rsidRPr="009B6427">
        <w:t xml:space="preserve"> GmbH</w:t>
      </w:r>
      <w:r>
        <w:t>)</w:t>
      </w:r>
      <w:r w:rsidR="00FC36F8">
        <w:t xml:space="preserve"> and left to rest for 1 h before testing. After the assembling process, the batteries were filled with pure O</w:t>
      </w:r>
      <w:r w:rsidR="00FC36F8" w:rsidRPr="00FC36F8">
        <w:rPr>
          <w:vertAlign w:val="subscript"/>
        </w:rPr>
        <w:t>2</w:t>
      </w:r>
      <w:r w:rsidR="00FC36F8">
        <w:t xml:space="preserve"> at a pressure of 3 bar</w:t>
      </w:r>
      <w:r w:rsidR="00CE3C53">
        <w:t xml:space="preserve"> to initiate the deep discharge test</w:t>
      </w:r>
      <w:r w:rsidR="00FC36F8">
        <w:t>.</w:t>
      </w:r>
    </w:p>
    <w:p w14:paraId="2EC0B7A4" w14:textId="77777777" w:rsidR="004C3D70" w:rsidRDefault="004C3D70" w:rsidP="00CE60D1">
      <w:pPr>
        <w:pStyle w:val="CETBodytext"/>
      </w:pPr>
    </w:p>
    <w:p w14:paraId="17BCC010" w14:textId="210EB4B6" w:rsidR="003020F1" w:rsidRPr="009B6427" w:rsidRDefault="003020F1" w:rsidP="003020F1">
      <w:pPr>
        <w:pStyle w:val="CETheadingx"/>
      </w:pPr>
      <w:r w:rsidRPr="009B6427">
        <w:t xml:space="preserve">Deep discharge </w:t>
      </w:r>
      <w:r w:rsidR="00985A55">
        <w:t xml:space="preserve">test </w:t>
      </w:r>
      <w:r w:rsidRPr="009B6427">
        <w:t>and analysis</w:t>
      </w:r>
      <w:r w:rsidR="00985A55">
        <w:t xml:space="preserve"> of electrodes</w:t>
      </w:r>
    </w:p>
    <w:p w14:paraId="220D6CD8" w14:textId="2CAE52CD" w:rsidR="00CE3C53" w:rsidRDefault="00BF18B3" w:rsidP="003020F1">
      <w:pPr>
        <w:pStyle w:val="ListParagraph"/>
        <w:ind w:left="0"/>
        <w:rPr>
          <w:lang w:val="en-US"/>
        </w:rPr>
      </w:pPr>
      <w:r>
        <w:rPr>
          <w:lang w:val="en-US"/>
        </w:rPr>
        <w:t xml:space="preserve">After a resting period of 30 min, the battery was discharged at a current of </w:t>
      </w:r>
      <w:r w:rsidRPr="009B6427">
        <w:rPr>
          <w:lang w:val="en-US"/>
        </w:rPr>
        <w:t xml:space="preserve">50 </w:t>
      </w:r>
      <w:proofErr w:type="spellStart"/>
      <w:r w:rsidRPr="009B6427">
        <w:rPr>
          <w:lang w:val="en-US"/>
        </w:rPr>
        <w:t>μA</w:t>
      </w:r>
      <w:proofErr w:type="spellEnd"/>
      <w:r>
        <w:rPr>
          <w:lang w:val="en-US"/>
        </w:rPr>
        <w:t xml:space="preserve"> using an </w:t>
      </w:r>
      <w:proofErr w:type="spellStart"/>
      <w:r w:rsidRPr="009B6427">
        <w:rPr>
          <w:lang w:val="en-US"/>
        </w:rPr>
        <w:t>Arbin</w:t>
      </w:r>
      <w:proofErr w:type="spellEnd"/>
      <w:r w:rsidRPr="009B6427">
        <w:rPr>
          <w:lang w:val="en-US"/>
        </w:rPr>
        <w:t xml:space="preserve"> </w:t>
      </w:r>
      <w:proofErr w:type="spellStart"/>
      <w:r w:rsidRPr="009B6427">
        <w:rPr>
          <w:lang w:val="en-US"/>
        </w:rPr>
        <w:t>Potentiostat</w:t>
      </w:r>
      <w:proofErr w:type="spellEnd"/>
      <w:r w:rsidRPr="009B6427">
        <w:rPr>
          <w:lang w:val="en-US"/>
        </w:rPr>
        <w:t>/</w:t>
      </w:r>
      <w:proofErr w:type="spellStart"/>
      <w:r w:rsidRPr="009B6427">
        <w:rPr>
          <w:lang w:val="en-US"/>
        </w:rPr>
        <w:t>Galvanostat</w:t>
      </w:r>
      <w:proofErr w:type="spellEnd"/>
      <w:r w:rsidRPr="009B6427">
        <w:rPr>
          <w:lang w:val="en-US"/>
        </w:rPr>
        <w:t xml:space="preserve"> (LBT21084, </w:t>
      </w:r>
      <w:proofErr w:type="spellStart"/>
      <w:r w:rsidRPr="009B6427">
        <w:rPr>
          <w:lang w:val="en-US"/>
        </w:rPr>
        <w:t>Arbin</w:t>
      </w:r>
      <w:proofErr w:type="spellEnd"/>
      <w:r w:rsidRPr="009B6427">
        <w:rPr>
          <w:lang w:val="en-US"/>
        </w:rPr>
        <w:t xml:space="preserve"> Instruments LLC, USA)</w:t>
      </w:r>
      <w:r>
        <w:rPr>
          <w:lang w:val="en-US"/>
        </w:rPr>
        <w:t xml:space="preserve"> until </w:t>
      </w:r>
      <w:r w:rsidR="00392709">
        <w:rPr>
          <w:lang w:val="en-US"/>
        </w:rPr>
        <w:t xml:space="preserve">the </w:t>
      </w:r>
      <w:r>
        <w:rPr>
          <w:lang w:val="en-US"/>
        </w:rPr>
        <w:t>cut-off potential of 2.2 V</w:t>
      </w:r>
      <w:r w:rsidRPr="009B6427">
        <w:rPr>
          <w:lang w:val="en-US"/>
        </w:rPr>
        <w:t>.</w:t>
      </w:r>
      <w:r>
        <w:rPr>
          <w:lang w:val="en-US"/>
        </w:rPr>
        <w:t xml:space="preserve"> </w:t>
      </w:r>
      <w:r w:rsidR="00B149F2">
        <w:rPr>
          <w:lang w:val="en-US"/>
        </w:rPr>
        <w:t>Then, the cell was purged with N</w:t>
      </w:r>
      <w:r w:rsidR="00B149F2" w:rsidRPr="00B149F2">
        <w:rPr>
          <w:vertAlign w:val="subscript"/>
          <w:lang w:val="en-US"/>
        </w:rPr>
        <w:t>2</w:t>
      </w:r>
      <w:r w:rsidR="00B149F2">
        <w:rPr>
          <w:lang w:val="en-US"/>
        </w:rPr>
        <w:t xml:space="preserve"> and disassembled inside the glovebox workstation. The discharge capacity was normalized by the weight of treated carbon deposited onto the stainless-steel template.</w:t>
      </w:r>
      <w:r w:rsidR="006B12C7">
        <w:rPr>
          <w:lang w:val="en-US"/>
        </w:rPr>
        <w:t xml:space="preserve"> The morphology of the treated carbon samples of H-SCB and H-SCM and the electrodes after discharge were analyzed using scanning electrode microscopy </w:t>
      </w:r>
      <w:r w:rsidR="006B12C7" w:rsidRPr="009B6427">
        <w:rPr>
          <w:lang w:val="en-US"/>
        </w:rPr>
        <w:t>(SEM, Quattro S, Thermo Fischer Scientific Inc., US</w:t>
      </w:r>
      <w:r w:rsidR="006B12C7">
        <w:rPr>
          <w:lang w:val="en-US"/>
        </w:rPr>
        <w:t>A</w:t>
      </w:r>
      <w:r w:rsidR="006B12C7" w:rsidRPr="009B6427">
        <w:rPr>
          <w:lang w:val="en-US"/>
        </w:rPr>
        <w:t>)</w:t>
      </w:r>
      <w:r w:rsidR="006B12C7">
        <w:rPr>
          <w:lang w:val="en-US"/>
        </w:rPr>
        <w:t xml:space="preserve"> at a </w:t>
      </w:r>
      <w:r w:rsidR="00B0311F">
        <w:rPr>
          <w:lang w:val="en-US"/>
        </w:rPr>
        <w:t>beam energy</w:t>
      </w:r>
      <w:r w:rsidR="006B12C7">
        <w:rPr>
          <w:lang w:val="en-US"/>
        </w:rPr>
        <w:t xml:space="preserve"> of 10</w:t>
      </w:r>
      <w:r w:rsidR="00531BB7">
        <w:rPr>
          <w:lang w:val="en-US"/>
        </w:rPr>
        <w:t xml:space="preserve"> </w:t>
      </w:r>
      <w:r w:rsidR="006B12C7">
        <w:rPr>
          <w:lang w:val="en-US"/>
        </w:rPr>
        <w:t>kV</w:t>
      </w:r>
      <w:r w:rsidR="00B0311F">
        <w:rPr>
          <w:lang w:val="en-US"/>
        </w:rPr>
        <w:t>,</w:t>
      </w:r>
      <w:r w:rsidR="006B12C7">
        <w:rPr>
          <w:lang w:val="en-US"/>
        </w:rPr>
        <w:t xml:space="preserve"> and </w:t>
      </w:r>
      <w:r w:rsidR="00B0311F">
        <w:rPr>
          <w:lang w:val="en-US"/>
        </w:rPr>
        <w:t xml:space="preserve">a </w:t>
      </w:r>
      <w:r w:rsidR="006B12C7">
        <w:rPr>
          <w:lang w:val="en-US"/>
        </w:rPr>
        <w:t xml:space="preserve">working distance of 10 mm. </w:t>
      </w:r>
      <w:r w:rsidR="00392709">
        <w:rPr>
          <w:lang w:val="en-US"/>
        </w:rPr>
        <w:t>The c</w:t>
      </w:r>
      <w:r w:rsidR="006B12C7">
        <w:rPr>
          <w:lang w:val="en-US"/>
        </w:rPr>
        <w:t xml:space="preserve">hemical composition of the surface of </w:t>
      </w:r>
      <w:r w:rsidR="00B0311F">
        <w:rPr>
          <w:lang w:val="en-US"/>
        </w:rPr>
        <w:t>samples before and after treatment</w:t>
      </w:r>
      <w:r w:rsidR="006B12C7">
        <w:rPr>
          <w:lang w:val="en-US"/>
        </w:rPr>
        <w:t xml:space="preserve"> was analyzed using X-ray photoelectron emission spectroscopy (XPS</w:t>
      </w:r>
      <w:r w:rsidR="006B12C7" w:rsidRPr="009B6427">
        <w:rPr>
          <w:lang w:val="en-US"/>
        </w:rPr>
        <w:t xml:space="preserve">, </w:t>
      </w:r>
      <w:r w:rsidR="006B12C7">
        <w:rPr>
          <w:lang w:val="en-US"/>
        </w:rPr>
        <w:t>K-Alpha</w:t>
      </w:r>
      <w:r w:rsidR="006B12C7" w:rsidRPr="009B6427">
        <w:rPr>
          <w:lang w:val="en-US"/>
        </w:rPr>
        <w:t>, Thermo Fischer Scientific Inc., US</w:t>
      </w:r>
      <w:r w:rsidR="006B12C7">
        <w:rPr>
          <w:lang w:val="en-US"/>
        </w:rPr>
        <w:t>A</w:t>
      </w:r>
      <w:r w:rsidR="006B12C7" w:rsidRPr="009B6427">
        <w:rPr>
          <w:lang w:val="en-US"/>
        </w:rPr>
        <w:t>)</w:t>
      </w:r>
      <w:r w:rsidR="007D6F23">
        <w:rPr>
          <w:lang w:val="en-US"/>
        </w:rPr>
        <w:t xml:space="preserve"> and e</w:t>
      </w:r>
      <w:r w:rsidR="007D6F23" w:rsidRPr="007D6F23">
        <w:rPr>
          <w:lang w:val="en-US"/>
        </w:rPr>
        <w:t>nergy-dispersive X-ray spectroscopy</w:t>
      </w:r>
      <w:r w:rsidR="007D6F23">
        <w:rPr>
          <w:lang w:val="en-US"/>
        </w:rPr>
        <w:t xml:space="preserve"> (</w:t>
      </w:r>
      <w:proofErr w:type="spellStart"/>
      <w:r w:rsidR="007D6F23">
        <w:rPr>
          <w:lang w:val="en-US"/>
        </w:rPr>
        <w:t>UltraDry</w:t>
      </w:r>
      <w:proofErr w:type="spellEnd"/>
      <w:r w:rsidR="007D6F23">
        <w:rPr>
          <w:lang w:val="en-US"/>
        </w:rPr>
        <w:t xml:space="preserve">, </w:t>
      </w:r>
      <w:proofErr w:type="spellStart"/>
      <w:r w:rsidR="007D6F23" w:rsidRPr="009B6427">
        <w:rPr>
          <w:lang w:val="en-US"/>
        </w:rPr>
        <w:t>Thermo</w:t>
      </w:r>
      <w:proofErr w:type="spellEnd"/>
      <w:r w:rsidR="007D6F23" w:rsidRPr="009B6427">
        <w:rPr>
          <w:lang w:val="en-US"/>
        </w:rPr>
        <w:t xml:space="preserve"> Fischer Scientific Inc., US</w:t>
      </w:r>
      <w:r w:rsidR="007D6F23">
        <w:rPr>
          <w:lang w:val="en-US"/>
        </w:rPr>
        <w:t>A)</w:t>
      </w:r>
      <w:r w:rsidR="005F5B98">
        <w:rPr>
          <w:lang w:val="en-US"/>
        </w:rPr>
        <w:t>.</w:t>
      </w:r>
    </w:p>
    <w:p w14:paraId="5C3D82F0" w14:textId="77777777" w:rsidR="003020F1" w:rsidRPr="009B6427" w:rsidRDefault="003020F1" w:rsidP="003020F1">
      <w:pPr>
        <w:pStyle w:val="CETHeading1"/>
      </w:pPr>
      <w:r w:rsidRPr="009B6427">
        <w:lastRenderedPageBreak/>
        <w:t>Results and Discussion</w:t>
      </w:r>
    </w:p>
    <w:p w14:paraId="3ED508A1" w14:textId="20D7C38E" w:rsidR="003020F1" w:rsidRPr="009B6427" w:rsidRDefault="003020F1" w:rsidP="003020F1">
      <w:pPr>
        <w:pStyle w:val="CETheadingx"/>
      </w:pPr>
      <w:r>
        <w:t>Synthesized humins and carbon electrodes</w:t>
      </w:r>
    </w:p>
    <w:p w14:paraId="7F4B1244" w14:textId="27319764" w:rsidR="00DE08EC" w:rsidRDefault="00CE07CD" w:rsidP="00600535">
      <w:pPr>
        <w:pStyle w:val="CETBodytext"/>
        <w:rPr>
          <w:lang w:val="en-GB"/>
        </w:rPr>
      </w:pPr>
      <w:r>
        <w:rPr>
          <w:lang w:val="en-GB"/>
        </w:rPr>
        <w:t xml:space="preserve">Figure 1 shows </w:t>
      </w:r>
      <w:r w:rsidR="00134B44">
        <w:rPr>
          <w:lang w:val="en-GB"/>
        </w:rPr>
        <w:t xml:space="preserve">pictures of </w:t>
      </w:r>
      <w:r>
        <w:rPr>
          <w:lang w:val="en-GB"/>
        </w:rPr>
        <w:t>the humins samples after purification and after thermal annealing</w:t>
      </w:r>
      <w:r w:rsidR="00134B44">
        <w:rPr>
          <w:lang w:val="en-GB"/>
        </w:rPr>
        <w:t>, and Figure 2 shows SEM micrographs of the humins after purification, after thermal annealing, and after battery discharge</w:t>
      </w:r>
      <w:r>
        <w:rPr>
          <w:lang w:val="en-GB"/>
        </w:rPr>
        <w:t xml:space="preserve">. </w:t>
      </w:r>
      <w:r w:rsidR="00DE08EC">
        <w:rPr>
          <w:lang w:val="en-GB"/>
        </w:rPr>
        <w:t>According to these results, i</w:t>
      </w:r>
      <w:r w:rsidR="00385A4E">
        <w:rPr>
          <w:lang w:val="en-GB"/>
        </w:rPr>
        <w:t xml:space="preserve">t is possible to observe that the mild conditions used in </w:t>
      </w:r>
      <w:r w:rsidR="00392709">
        <w:rPr>
          <w:lang w:val="en-GB"/>
        </w:rPr>
        <w:t xml:space="preserve">the </w:t>
      </w:r>
      <w:r w:rsidR="00385A4E">
        <w:rPr>
          <w:lang w:val="en-GB"/>
        </w:rPr>
        <w:t xml:space="preserve">hydrolysis of sugarcane bagasse produced a sample consisting of unconverted biomass </w:t>
      </w:r>
      <w:r w:rsidR="00DE08EC">
        <w:rPr>
          <w:lang w:val="en-GB"/>
        </w:rPr>
        <w:t>covered</w:t>
      </w:r>
      <w:r w:rsidR="00385A4E">
        <w:rPr>
          <w:lang w:val="en-GB"/>
        </w:rPr>
        <w:t xml:space="preserve"> with humins. </w:t>
      </w:r>
      <w:r w:rsidR="00134B44">
        <w:rPr>
          <w:lang w:val="en-GB"/>
        </w:rPr>
        <w:t xml:space="preserve">Results </w:t>
      </w:r>
      <w:r w:rsidR="00385A4E">
        <w:rPr>
          <w:lang w:val="en-GB"/>
        </w:rPr>
        <w:t xml:space="preserve">from SEM </w:t>
      </w:r>
      <w:r w:rsidR="00134B44">
        <w:rPr>
          <w:lang w:val="en-GB"/>
        </w:rPr>
        <w:t xml:space="preserve">show that grinding the </w:t>
      </w:r>
      <w:r w:rsidR="00385A4E">
        <w:rPr>
          <w:lang w:val="en-GB"/>
        </w:rPr>
        <w:t>samples</w:t>
      </w:r>
      <w:r w:rsidR="00134B44">
        <w:rPr>
          <w:lang w:val="en-GB"/>
        </w:rPr>
        <w:t xml:space="preserve"> after purification produced</w:t>
      </w:r>
      <w:r w:rsidR="008E21AD">
        <w:rPr>
          <w:lang w:val="en-GB"/>
        </w:rPr>
        <w:t xml:space="preserve"> powders with </w:t>
      </w:r>
      <w:r w:rsidR="00392709">
        <w:rPr>
          <w:lang w:val="en-GB"/>
        </w:rPr>
        <w:t xml:space="preserve">an </w:t>
      </w:r>
      <w:r w:rsidR="008E21AD">
        <w:rPr>
          <w:lang w:val="en-GB"/>
        </w:rPr>
        <w:t xml:space="preserve">average </w:t>
      </w:r>
      <w:r w:rsidR="00392709">
        <w:rPr>
          <w:lang w:val="en-GB"/>
        </w:rPr>
        <w:t>particle size</w:t>
      </w:r>
      <w:r w:rsidR="008E21AD">
        <w:rPr>
          <w:lang w:val="en-GB"/>
        </w:rPr>
        <w:t xml:space="preserve"> of </w:t>
      </w:r>
      <w:r w:rsidR="00414443" w:rsidRPr="00414443">
        <w:rPr>
          <w:lang w:val="en-GB"/>
        </w:rPr>
        <w:t>3.9</w:t>
      </w:r>
      <w:r w:rsidR="00385A4E" w:rsidRPr="00414443">
        <w:rPr>
          <w:lang w:val="en-GB"/>
        </w:rPr>
        <w:t xml:space="preserve"> </w:t>
      </w:r>
      <w:r w:rsidR="008E21AD" w:rsidRPr="00414443">
        <w:rPr>
          <w:lang w:val="en-GB"/>
        </w:rPr>
        <w:t>±</w:t>
      </w:r>
      <w:r w:rsidR="00385A4E" w:rsidRPr="00414443">
        <w:rPr>
          <w:lang w:val="en-GB"/>
        </w:rPr>
        <w:t xml:space="preserve"> </w:t>
      </w:r>
      <w:r w:rsidR="00414443" w:rsidRPr="00414443">
        <w:rPr>
          <w:lang w:val="en-GB"/>
        </w:rPr>
        <w:t>2</w:t>
      </w:r>
      <w:r w:rsidR="00414443">
        <w:rPr>
          <w:lang w:val="en-GB"/>
        </w:rPr>
        <w:t>.8</w:t>
      </w:r>
      <w:r w:rsidR="008E21AD">
        <w:rPr>
          <w:lang w:val="en-GB"/>
        </w:rPr>
        <w:t xml:space="preserve"> </w:t>
      </w:r>
      <w:proofErr w:type="spellStart"/>
      <w:r w:rsidR="008E21AD" w:rsidRPr="008E21AD">
        <w:rPr>
          <w:lang w:val="en-GB"/>
        </w:rPr>
        <w:t>μm</w:t>
      </w:r>
      <w:proofErr w:type="spellEnd"/>
      <w:r w:rsidR="008E21AD">
        <w:rPr>
          <w:lang w:val="en-GB"/>
        </w:rPr>
        <w:t xml:space="preserve"> for H-SCB and </w:t>
      </w:r>
      <w:r w:rsidR="000D0ED9" w:rsidRPr="000D0ED9">
        <w:rPr>
          <w:lang w:val="en-GB"/>
        </w:rPr>
        <w:t>4.0</w:t>
      </w:r>
      <w:r w:rsidR="00385A4E" w:rsidRPr="000D0ED9">
        <w:rPr>
          <w:lang w:val="en-GB"/>
        </w:rPr>
        <w:t xml:space="preserve"> </w:t>
      </w:r>
      <w:r w:rsidR="008E21AD" w:rsidRPr="000D0ED9">
        <w:rPr>
          <w:lang w:val="en-GB"/>
        </w:rPr>
        <w:t>±</w:t>
      </w:r>
      <w:r w:rsidR="00385A4E" w:rsidRPr="000D0ED9">
        <w:rPr>
          <w:lang w:val="en-GB"/>
        </w:rPr>
        <w:t xml:space="preserve"> </w:t>
      </w:r>
      <w:r w:rsidR="000D0ED9">
        <w:rPr>
          <w:lang w:val="en-GB"/>
        </w:rPr>
        <w:t>1.3</w:t>
      </w:r>
      <w:r w:rsidR="008E21AD" w:rsidRPr="008E21AD">
        <w:rPr>
          <w:lang w:val="en-GB"/>
        </w:rPr>
        <w:t xml:space="preserve"> </w:t>
      </w:r>
      <w:proofErr w:type="spellStart"/>
      <w:r w:rsidR="008E21AD" w:rsidRPr="008E21AD">
        <w:rPr>
          <w:lang w:val="en-GB"/>
        </w:rPr>
        <w:t>μm</w:t>
      </w:r>
      <w:proofErr w:type="spellEnd"/>
      <w:r w:rsidR="008E21AD">
        <w:rPr>
          <w:lang w:val="en-GB"/>
        </w:rPr>
        <w:t xml:space="preserve"> for H-SCM. </w:t>
      </w:r>
      <w:r w:rsidR="00385A4E">
        <w:rPr>
          <w:lang w:val="en-GB"/>
        </w:rPr>
        <w:t xml:space="preserve">After thermal annealing and grinding, particle size was </w:t>
      </w:r>
      <w:r w:rsidR="008B5288" w:rsidRPr="008B5288">
        <w:rPr>
          <w:lang w:val="en-GB"/>
        </w:rPr>
        <w:t>3.7</w:t>
      </w:r>
      <w:r w:rsidR="00385A4E" w:rsidRPr="008B5288">
        <w:rPr>
          <w:lang w:val="en-GB"/>
        </w:rPr>
        <w:t xml:space="preserve"> ± </w:t>
      </w:r>
      <w:r w:rsidR="008B5288">
        <w:rPr>
          <w:lang w:val="en-GB"/>
        </w:rPr>
        <w:t>2.7</w:t>
      </w:r>
      <w:r w:rsidR="00385A4E">
        <w:rPr>
          <w:lang w:val="en-GB"/>
        </w:rPr>
        <w:t xml:space="preserve"> </w:t>
      </w:r>
      <w:proofErr w:type="spellStart"/>
      <w:r w:rsidR="00385A4E" w:rsidRPr="008E21AD">
        <w:rPr>
          <w:lang w:val="en-GB"/>
        </w:rPr>
        <w:t>μm</w:t>
      </w:r>
      <w:proofErr w:type="spellEnd"/>
      <w:r w:rsidR="00385A4E">
        <w:rPr>
          <w:lang w:val="en-GB"/>
        </w:rPr>
        <w:t xml:space="preserve"> for C-SCB and </w:t>
      </w:r>
      <w:r w:rsidR="00D744AE" w:rsidRPr="00D744AE">
        <w:rPr>
          <w:lang w:val="en-GB"/>
        </w:rPr>
        <w:t>3.9</w:t>
      </w:r>
      <w:r w:rsidR="00385A4E" w:rsidRPr="00D744AE">
        <w:rPr>
          <w:lang w:val="en-GB"/>
        </w:rPr>
        <w:t xml:space="preserve"> ± </w:t>
      </w:r>
      <w:r w:rsidR="00D744AE">
        <w:rPr>
          <w:lang w:val="en-GB"/>
        </w:rPr>
        <w:t>1.2</w:t>
      </w:r>
      <w:r w:rsidR="00385A4E" w:rsidRPr="008E21AD">
        <w:rPr>
          <w:lang w:val="en-GB"/>
        </w:rPr>
        <w:t xml:space="preserve"> </w:t>
      </w:r>
      <w:proofErr w:type="spellStart"/>
      <w:r w:rsidR="00385A4E" w:rsidRPr="008E21AD">
        <w:rPr>
          <w:lang w:val="en-GB"/>
        </w:rPr>
        <w:t>μm</w:t>
      </w:r>
      <w:proofErr w:type="spellEnd"/>
      <w:r w:rsidR="00385A4E">
        <w:rPr>
          <w:lang w:val="en-GB"/>
        </w:rPr>
        <w:t xml:space="preserve"> for C-SCM</w:t>
      </w:r>
      <w:r w:rsidR="00DE08EC">
        <w:rPr>
          <w:lang w:val="en-GB"/>
        </w:rPr>
        <w:t>.</w:t>
      </w:r>
      <w:r w:rsidR="00D744AE">
        <w:rPr>
          <w:lang w:val="en-GB"/>
        </w:rPr>
        <w:t xml:space="preserve"> Therefore, thermal annealing </w:t>
      </w:r>
      <w:r w:rsidR="0046754C">
        <w:rPr>
          <w:lang w:val="en-GB"/>
        </w:rPr>
        <w:t>did not</w:t>
      </w:r>
      <w:r w:rsidR="00D744AE">
        <w:rPr>
          <w:lang w:val="en-GB"/>
        </w:rPr>
        <w:t xml:space="preserve"> have any impact on</w:t>
      </w:r>
      <w:r w:rsidR="0046754C">
        <w:rPr>
          <w:lang w:val="en-GB"/>
        </w:rPr>
        <w:t xml:space="preserve"> particle size.</w:t>
      </w:r>
      <w:r w:rsidR="00B83EBA">
        <w:rPr>
          <w:lang w:val="en-GB"/>
        </w:rPr>
        <w:t xml:space="preserve"> In the case of </w:t>
      </w:r>
      <w:r w:rsidR="0001211D">
        <w:rPr>
          <w:lang w:val="en-GB"/>
        </w:rPr>
        <w:t>C-SCB</w:t>
      </w:r>
      <w:r w:rsidR="00B83EBA">
        <w:rPr>
          <w:lang w:val="en-GB"/>
        </w:rPr>
        <w:t xml:space="preserve">, the particle size distribution followed a Weibull distribution, with </w:t>
      </w:r>
      <w:r w:rsidR="0001211D">
        <w:rPr>
          <w:lang w:val="en-GB"/>
        </w:rPr>
        <w:t>66%</w:t>
      </w:r>
      <w:r w:rsidR="00B83EBA">
        <w:rPr>
          <w:lang w:val="en-GB"/>
        </w:rPr>
        <w:t xml:space="preserve"> </w:t>
      </w:r>
      <w:r w:rsidR="006C4063">
        <w:rPr>
          <w:lang w:val="en-GB"/>
        </w:rPr>
        <w:t xml:space="preserve">of them smaller than </w:t>
      </w:r>
      <w:r w:rsidR="0001211D">
        <w:rPr>
          <w:lang w:val="en-GB"/>
        </w:rPr>
        <w:t xml:space="preserve">average and some particles as large as ~50 </w:t>
      </w:r>
      <w:proofErr w:type="spellStart"/>
      <w:r w:rsidR="0001211D" w:rsidRPr="008E21AD">
        <w:rPr>
          <w:lang w:val="en-GB"/>
        </w:rPr>
        <w:t>μm</w:t>
      </w:r>
      <w:proofErr w:type="spellEnd"/>
      <w:r w:rsidR="0001211D">
        <w:rPr>
          <w:lang w:val="en-GB"/>
        </w:rPr>
        <w:t>. In the case of C-SCM, particle size distribution followed a normal distribution and generally presented a spherical shape</w:t>
      </w:r>
      <w:r w:rsidR="008952EE">
        <w:rPr>
          <w:lang w:val="en-GB"/>
        </w:rPr>
        <w:t xml:space="preserve"> of similar size</w:t>
      </w:r>
      <w:r w:rsidR="0001211D">
        <w:rPr>
          <w:lang w:val="en-GB"/>
        </w:rPr>
        <w:t xml:space="preserve">. </w:t>
      </w:r>
      <w:r w:rsidR="008952EE">
        <w:rPr>
          <w:lang w:val="en-GB"/>
        </w:rPr>
        <w:t>Many spheres were grouped into clusters of 23</w:t>
      </w:r>
      <w:r w:rsidR="008952EE" w:rsidRPr="008B5288">
        <w:rPr>
          <w:lang w:val="en-GB"/>
        </w:rPr>
        <w:t xml:space="preserve"> ± </w:t>
      </w:r>
      <w:r w:rsidR="008952EE">
        <w:rPr>
          <w:lang w:val="en-GB"/>
        </w:rPr>
        <w:t xml:space="preserve">11 </w:t>
      </w:r>
      <w:proofErr w:type="spellStart"/>
      <w:r w:rsidR="008952EE" w:rsidRPr="008E21AD">
        <w:rPr>
          <w:lang w:val="en-GB"/>
        </w:rPr>
        <w:t>μm</w:t>
      </w:r>
      <w:proofErr w:type="spellEnd"/>
      <w:r w:rsidR="008952EE">
        <w:rPr>
          <w:lang w:val="en-GB"/>
        </w:rPr>
        <w:t xml:space="preserve"> by sintering, which is a problem because it reduces the surface </w:t>
      </w:r>
      <w:r w:rsidR="006C4063">
        <w:rPr>
          <w:lang w:val="en-GB"/>
        </w:rPr>
        <w:t xml:space="preserve">area </w:t>
      </w:r>
      <w:r w:rsidR="008952EE">
        <w:rPr>
          <w:lang w:val="en-GB"/>
        </w:rPr>
        <w:t>of the material.</w:t>
      </w:r>
    </w:p>
    <w:p w14:paraId="0FBF0063" w14:textId="77777777" w:rsidR="00122A6A" w:rsidRDefault="00122A6A" w:rsidP="00600535">
      <w:pPr>
        <w:pStyle w:val="CETBodytext"/>
        <w:rPr>
          <w:lang w:val="en-GB"/>
        </w:rPr>
      </w:pPr>
    </w:p>
    <w:p w14:paraId="7F6DD5E4" w14:textId="330DFDA9" w:rsidR="00FA2787" w:rsidRDefault="0062741F" w:rsidP="00600535">
      <w:pPr>
        <w:pStyle w:val="CETBodytext"/>
        <w:rPr>
          <w:lang w:val="en-GB"/>
        </w:rPr>
      </w:pPr>
      <w:r>
        <w:rPr>
          <w:noProof/>
        </w:rPr>
        <w:drawing>
          <wp:inline distT="0" distB="0" distL="0" distR="0" wp14:anchorId="5746CAAB" wp14:editId="402A550F">
            <wp:extent cx="5486400" cy="1190625"/>
            <wp:effectExtent l="0" t="0" r="0" b="9525"/>
            <wp:docPr id="8" name="Picture 8" descr="Shape, arr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Shape, arrow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119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EC1FA7" w14:textId="5CAE4712" w:rsidR="00FA2787" w:rsidRPr="00BD077D" w:rsidRDefault="00FA2787" w:rsidP="00FA2787">
      <w:pPr>
        <w:pStyle w:val="CETCaption"/>
      </w:pPr>
      <w:r w:rsidRPr="00BD077D">
        <w:rPr>
          <w:rStyle w:val="CETCaptionCarattere"/>
          <w:i/>
        </w:rPr>
        <w:t xml:space="preserve">Figure 1: </w:t>
      </w:r>
      <w:r>
        <w:rPr>
          <w:rStyle w:val="CETCaptionCarattere"/>
          <w:i/>
        </w:rPr>
        <w:t>Humin</w:t>
      </w:r>
      <w:r w:rsidR="00060420">
        <w:rPr>
          <w:rStyle w:val="CETCaptionCarattere"/>
          <w:i/>
        </w:rPr>
        <w:t>s</w:t>
      </w:r>
      <w:r>
        <w:rPr>
          <w:rStyle w:val="CETCaptionCarattere"/>
          <w:i/>
        </w:rPr>
        <w:t xml:space="preserve"> samples </w:t>
      </w:r>
      <w:r w:rsidR="00CE07CD">
        <w:rPr>
          <w:rStyle w:val="CETCaptionCarattere"/>
          <w:i/>
        </w:rPr>
        <w:t>(a)</w:t>
      </w:r>
      <w:r w:rsidR="00467DA1">
        <w:rPr>
          <w:rStyle w:val="CETCaptionCarattere"/>
          <w:i/>
        </w:rPr>
        <w:t xml:space="preserve"> </w:t>
      </w:r>
      <w:r w:rsidR="00CE07CD">
        <w:rPr>
          <w:rStyle w:val="CETCaptionCarattere"/>
          <w:i/>
        </w:rPr>
        <w:t xml:space="preserve">after purification </w:t>
      </w:r>
      <w:r w:rsidR="00060420">
        <w:rPr>
          <w:rStyle w:val="CETCaptionCarattere"/>
          <w:i/>
        </w:rPr>
        <w:t xml:space="preserve">(left: H-SCB, right: H-SCM) </w:t>
      </w:r>
      <w:r w:rsidR="00CE07CD">
        <w:rPr>
          <w:rStyle w:val="CETCaptionCarattere"/>
          <w:i/>
        </w:rPr>
        <w:t>and</w:t>
      </w:r>
      <w:r w:rsidR="00467DA1">
        <w:rPr>
          <w:rStyle w:val="CETCaptionCarattere"/>
          <w:i/>
        </w:rPr>
        <w:t xml:space="preserve"> (</w:t>
      </w:r>
      <w:r w:rsidR="00CE07CD">
        <w:rPr>
          <w:rStyle w:val="CETCaptionCarattere"/>
          <w:i/>
        </w:rPr>
        <w:t>b</w:t>
      </w:r>
      <w:r w:rsidR="00467DA1">
        <w:rPr>
          <w:rStyle w:val="CETCaptionCarattere"/>
          <w:i/>
        </w:rPr>
        <w:t xml:space="preserve">) </w:t>
      </w:r>
      <w:r w:rsidR="00CE07CD">
        <w:rPr>
          <w:rStyle w:val="CETCaptionCarattere"/>
          <w:i/>
        </w:rPr>
        <w:t>after</w:t>
      </w:r>
      <w:r w:rsidR="00467DA1">
        <w:rPr>
          <w:rStyle w:val="CETCaptionCarattere"/>
          <w:i/>
        </w:rPr>
        <w:t xml:space="preserve"> thermal annealing</w:t>
      </w:r>
      <w:r w:rsidR="00CE07CD">
        <w:rPr>
          <w:rStyle w:val="CETCaptionCarattere"/>
          <w:i/>
        </w:rPr>
        <w:t xml:space="preserve"> (left: </w:t>
      </w:r>
      <w:r w:rsidR="00060420">
        <w:rPr>
          <w:rStyle w:val="CETCaptionCarattere"/>
          <w:i/>
        </w:rPr>
        <w:t>C</w:t>
      </w:r>
      <w:r w:rsidR="00CE07CD">
        <w:rPr>
          <w:rStyle w:val="CETCaptionCarattere"/>
          <w:i/>
        </w:rPr>
        <w:t xml:space="preserve">-SCB, right: </w:t>
      </w:r>
      <w:r w:rsidR="00060420">
        <w:rPr>
          <w:rStyle w:val="CETCaptionCarattere"/>
          <w:i/>
        </w:rPr>
        <w:t>C</w:t>
      </w:r>
      <w:r w:rsidR="00CE07CD">
        <w:rPr>
          <w:rStyle w:val="CETCaptionCarattere"/>
          <w:i/>
        </w:rPr>
        <w:t>-SCM)</w:t>
      </w:r>
      <w:r w:rsidR="00467DA1">
        <w:rPr>
          <w:rStyle w:val="CETCaptionCarattere"/>
          <w:i/>
        </w:rPr>
        <w:t>.</w:t>
      </w:r>
    </w:p>
    <w:p w14:paraId="71180589" w14:textId="62D28745" w:rsidR="00060420" w:rsidRPr="00504250" w:rsidRDefault="00504250" w:rsidP="00060420">
      <w:pPr>
        <w:pStyle w:val="CETBodytext"/>
        <w:rPr>
          <w:lang w:val="en-GB"/>
        </w:rPr>
      </w:pPr>
      <w:r>
        <w:rPr>
          <w:noProof/>
        </w:rPr>
        <w:drawing>
          <wp:inline distT="0" distB="0" distL="0" distR="0" wp14:anchorId="0D17B082" wp14:editId="128DBE84">
            <wp:extent cx="5486400" cy="2743200"/>
            <wp:effectExtent l="0" t="0" r="0" b="0"/>
            <wp:docPr id="1" name="Picture 1" descr="A picture containing text, people, crow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text, people, crow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995706" w14:textId="6472B25A" w:rsidR="00060420" w:rsidRPr="00BD077D" w:rsidRDefault="00060420" w:rsidP="00060420">
      <w:pPr>
        <w:pStyle w:val="CETCaption"/>
      </w:pPr>
      <w:r w:rsidRPr="00BD077D">
        <w:rPr>
          <w:rStyle w:val="CETCaptionCarattere"/>
          <w:i/>
        </w:rPr>
        <w:t xml:space="preserve">Figure </w:t>
      </w:r>
      <w:r>
        <w:rPr>
          <w:rStyle w:val="CETCaptionCarattere"/>
          <w:i/>
        </w:rPr>
        <w:t>2</w:t>
      </w:r>
      <w:r w:rsidRPr="00BD077D">
        <w:rPr>
          <w:rStyle w:val="CETCaptionCarattere"/>
          <w:i/>
        </w:rPr>
        <w:t xml:space="preserve">: </w:t>
      </w:r>
      <w:r>
        <w:rPr>
          <w:rStyle w:val="CETCaptionCarattere"/>
          <w:i/>
        </w:rPr>
        <w:t xml:space="preserve">SEM micrographs </w:t>
      </w:r>
      <w:r w:rsidR="00ED3F20">
        <w:rPr>
          <w:rStyle w:val="CETCaptionCarattere"/>
          <w:i/>
        </w:rPr>
        <w:t xml:space="preserve">of samples </w:t>
      </w:r>
      <w:r w:rsidR="00613C73">
        <w:rPr>
          <w:rStyle w:val="CETCaptionCarattere"/>
          <w:i/>
        </w:rPr>
        <w:t>a</w:t>
      </w:r>
      <w:r w:rsidR="00024490">
        <w:rPr>
          <w:rStyle w:val="CETCaptionCarattere"/>
          <w:i/>
        </w:rPr>
        <w:t>, b</w:t>
      </w:r>
      <w:r w:rsidR="00613C73">
        <w:rPr>
          <w:rStyle w:val="CETCaptionCarattere"/>
          <w:i/>
        </w:rPr>
        <w:t xml:space="preserve">) </w:t>
      </w:r>
      <w:r w:rsidR="00ED3F20">
        <w:rPr>
          <w:rStyle w:val="CETCaptionCarattere"/>
          <w:i/>
        </w:rPr>
        <w:t xml:space="preserve">H-SCB, </w:t>
      </w:r>
      <w:r w:rsidR="00024490">
        <w:rPr>
          <w:rStyle w:val="CETCaptionCarattere"/>
          <w:i/>
        </w:rPr>
        <w:t>c, d</w:t>
      </w:r>
      <w:r w:rsidR="00613C73">
        <w:rPr>
          <w:rStyle w:val="CETCaptionCarattere"/>
          <w:i/>
        </w:rPr>
        <w:t xml:space="preserve">) </w:t>
      </w:r>
      <w:r w:rsidR="00024490">
        <w:rPr>
          <w:rStyle w:val="CETCaptionCarattere"/>
          <w:i/>
        </w:rPr>
        <w:t>C</w:t>
      </w:r>
      <w:r w:rsidR="00ED3F20">
        <w:rPr>
          <w:rStyle w:val="CETCaptionCarattere"/>
          <w:i/>
        </w:rPr>
        <w:t>-SC</w:t>
      </w:r>
      <w:r w:rsidR="00024490">
        <w:rPr>
          <w:rStyle w:val="CETCaptionCarattere"/>
          <w:i/>
        </w:rPr>
        <w:t>B</w:t>
      </w:r>
      <w:r w:rsidR="00ED3F20">
        <w:rPr>
          <w:rStyle w:val="CETCaptionCarattere"/>
          <w:i/>
        </w:rPr>
        <w:t xml:space="preserve">, </w:t>
      </w:r>
      <w:r w:rsidR="00024490">
        <w:rPr>
          <w:rStyle w:val="CETCaptionCarattere"/>
          <w:i/>
        </w:rPr>
        <w:t>e, f</w:t>
      </w:r>
      <w:r w:rsidR="00613C73">
        <w:rPr>
          <w:rStyle w:val="CETCaptionCarattere"/>
          <w:i/>
        </w:rPr>
        <w:t xml:space="preserve">) </w:t>
      </w:r>
      <w:r w:rsidR="00024490">
        <w:rPr>
          <w:rStyle w:val="CETCaptionCarattere"/>
          <w:i/>
        </w:rPr>
        <w:t>H</w:t>
      </w:r>
      <w:r w:rsidR="00ED3F20">
        <w:rPr>
          <w:rStyle w:val="CETCaptionCarattere"/>
          <w:i/>
        </w:rPr>
        <w:t>-SC</w:t>
      </w:r>
      <w:r w:rsidR="00024490">
        <w:rPr>
          <w:rStyle w:val="CETCaptionCarattere"/>
          <w:i/>
        </w:rPr>
        <w:t>M</w:t>
      </w:r>
      <w:r w:rsidR="00ED3F20">
        <w:rPr>
          <w:rStyle w:val="CETCaptionCarattere"/>
          <w:i/>
        </w:rPr>
        <w:t xml:space="preserve">, and </w:t>
      </w:r>
      <w:r w:rsidR="00024490">
        <w:rPr>
          <w:rStyle w:val="CETCaptionCarattere"/>
          <w:i/>
        </w:rPr>
        <w:t>g, h</w:t>
      </w:r>
      <w:r w:rsidR="00613C73">
        <w:rPr>
          <w:rStyle w:val="CETCaptionCarattere"/>
          <w:i/>
        </w:rPr>
        <w:t xml:space="preserve">) </w:t>
      </w:r>
      <w:r w:rsidR="00ED3F20">
        <w:rPr>
          <w:rStyle w:val="CETCaptionCarattere"/>
          <w:i/>
        </w:rPr>
        <w:t>C-SCM in different magnifications</w:t>
      </w:r>
      <w:r w:rsidR="00613C73">
        <w:rPr>
          <w:rStyle w:val="CETCaptionCarattere"/>
          <w:i/>
        </w:rPr>
        <w:t xml:space="preserve"> using the </w:t>
      </w:r>
      <w:r w:rsidR="00613C73" w:rsidRPr="00613C73">
        <w:rPr>
          <w:rStyle w:val="CETCaptionCarattere"/>
          <w:i/>
        </w:rPr>
        <w:t>Everhart–Thornley detector</w:t>
      </w:r>
    </w:p>
    <w:p w14:paraId="1B539460" w14:textId="0AB8BF14" w:rsidR="007032F6" w:rsidRDefault="00DE08EC" w:rsidP="00DE08EC">
      <w:pPr>
        <w:pStyle w:val="CETBodytext"/>
      </w:pPr>
      <w:r>
        <w:rPr>
          <w:lang w:val="en-GB"/>
        </w:rPr>
        <w:t xml:space="preserve">SEM micrographs in Figure 2 were obtained using integration mode to avoid anomalies because of charging effects in samples with poor electronic conductivity. Micrographs at </w:t>
      </w:r>
      <w:r w:rsidR="00531BB7">
        <w:rPr>
          <w:lang w:val="en-GB"/>
        </w:rPr>
        <w:t xml:space="preserve">live and integration modes </w:t>
      </w:r>
      <w:r>
        <w:rPr>
          <w:lang w:val="en-GB"/>
        </w:rPr>
        <w:t xml:space="preserve">to compare the electronic conductivity of both materials before and after thermal annealing. According to these analyses, thermal annealing increased the electronic conductivity of both samples, which is a fundamental property </w:t>
      </w:r>
      <w:r w:rsidR="006C4063">
        <w:rPr>
          <w:lang w:val="en-GB"/>
        </w:rPr>
        <w:t>in</w:t>
      </w:r>
      <w:r>
        <w:rPr>
          <w:lang w:val="en-GB"/>
        </w:rPr>
        <w:t xml:space="preserve"> </w:t>
      </w:r>
      <w:r w:rsidR="00392709">
        <w:rPr>
          <w:lang w:val="en-GB"/>
        </w:rPr>
        <w:t xml:space="preserve">the </w:t>
      </w:r>
      <w:r>
        <w:rPr>
          <w:lang w:val="en-GB"/>
        </w:rPr>
        <w:t xml:space="preserve">development of carbon-based electrodes. This process step was more important for the electrode based on sugarcane bagasse because of the very low conductivity observed in this sample before thermal annealing. </w:t>
      </w:r>
      <w:r>
        <w:t xml:space="preserve">According to EDS results, thermal annealing increased the C/O </w:t>
      </w:r>
      <w:r w:rsidR="00531BB7">
        <w:t xml:space="preserve">atomic </w:t>
      </w:r>
      <w:r w:rsidRPr="00531BB7">
        <w:t xml:space="preserve">ratios from </w:t>
      </w:r>
      <w:r w:rsidR="00531BB7" w:rsidRPr="00531BB7">
        <w:t>2.06</w:t>
      </w:r>
      <w:r w:rsidRPr="00531BB7">
        <w:t xml:space="preserve"> to </w:t>
      </w:r>
      <w:r w:rsidR="00531BB7" w:rsidRPr="00531BB7">
        <w:t>20.4</w:t>
      </w:r>
      <w:r w:rsidRPr="00531BB7">
        <w:t xml:space="preserve"> in the samples based on sugarcane bagasse and from </w:t>
      </w:r>
      <w:r w:rsidR="00531BB7" w:rsidRPr="00531BB7">
        <w:t>1.69</w:t>
      </w:r>
      <w:r w:rsidRPr="00531BB7">
        <w:t xml:space="preserve"> to </w:t>
      </w:r>
      <w:r w:rsidR="00531BB7" w:rsidRPr="00531BB7">
        <w:t>24.9</w:t>
      </w:r>
      <w:r w:rsidRPr="00531BB7">
        <w:t xml:space="preserve"> in the sample based on sugarcane</w:t>
      </w:r>
      <w:r>
        <w:t xml:space="preserve"> molasses. This reduction </w:t>
      </w:r>
      <w:r>
        <w:lastRenderedPageBreak/>
        <w:t>in the oxygen content greatly increases the conductivity of carbon-based materials</w:t>
      </w:r>
      <w:r w:rsidR="00C370D5">
        <w:t xml:space="preserve"> </w:t>
      </w:r>
      <w:r w:rsidR="00C370D5" w:rsidRPr="00C370D5">
        <w:t>(Morimoto</w:t>
      </w:r>
      <w:r w:rsidR="00C370D5">
        <w:t xml:space="preserve"> et al.</w:t>
      </w:r>
      <w:r w:rsidR="00C370D5" w:rsidRPr="00C370D5">
        <w:t>, 2016)</w:t>
      </w:r>
      <w:r>
        <w:t xml:space="preserve">. </w:t>
      </w:r>
      <w:r w:rsidR="0046754C">
        <w:t xml:space="preserve">Moreover, the reduction in oxygen content of the </w:t>
      </w:r>
      <w:r w:rsidR="00B83EBA">
        <w:t>samples without</w:t>
      </w:r>
      <w:r w:rsidR="0046754C">
        <w:t xml:space="preserve"> </w:t>
      </w:r>
      <w:r w:rsidR="00B83EBA">
        <w:t xml:space="preserve">the reduction of particle size as discussed before might indicate a porosity increase after thermal annealing. </w:t>
      </w:r>
      <w:r>
        <w:t xml:space="preserve">Sulfur was observed to be a contaminant of the samples </w:t>
      </w:r>
      <w:r w:rsidR="00531BB7">
        <w:t>in trace amounts</w:t>
      </w:r>
      <w:r>
        <w:t xml:space="preserve"> because of the catalyst employed in hydrolysis (H</w:t>
      </w:r>
      <w:r w:rsidRPr="00DE08EC">
        <w:rPr>
          <w:vertAlign w:val="subscript"/>
        </w:rPr>
        <w:t>2</w:t>
      </w:r>
      <w:r>
        <w:t>SO</w:t>
      </w:r>
      <w:r w:rsidRPr="00DE08EC">
        <w:rPr>
          <w:vertAlign w:val="subscript"/>
        </w:rPr>
        <w:t>4</w:t>
      </w:r>
      <w:r>
        <w:t>).</w:t>
      </w:r>
      <w:r w:rsidR="001165D5">
        <w:t xml:space="preserve"> XPS analysis of S (not shown here) indicates a higher detection of this element </w:t>
      </w:r>
      <w:r w:rsidR="00A55378">
        <w:t>bound</w:t>
      </w:r>
      <w:r w:rsidR="001165D5">
        <w:t xml:space="preserve"> to C only in the thermal</w:t>
      </w:r>
      <w:r w:rsidR="00A55378">
        <w:t>ly</w:t>
      </w:r>
      <w:r w:rsidR="001165D5">
        <w:t xml:space="preserve"> </w:t>
      </w:r>
      <w:r w:rsidR="00456069">
        <w:t>treated</w:t>
      </w:r>
      <w:r w:rsidR="001165D5">
        <w:t xml:space="preserve"> samples</w:t>
      </w:r>
      <w:r w:rsidR="00A55378">
        <w:t xml:space="preserve"> in trace amounts.</w:t>
      </w:r>
    </w:p>
    <w:p w14:paraId="66158AAD" w14:textId="5C28D07A" w:rsidR="00DE08EC" w:rsidRDefault="00A55378" w:rsidP="00DE08EC">
      <w:pPr>
        <w:pStyle w:val="CETBodytext"/>
      </w:pPr>
      <w:r>
        <w:t xml:space="preserve">XPS spectra of carbon for all samples </w:t>
      </w:r>
      <w:r w:rsidR="006C4063">
        <w:t>are</w:t>
      </w:r>
      <w:r>
        <w:t xml:space="preserve"> shown in Figure 3 and indicate the predominance of C-C bonds in all samples. Peak integration also shows the reduction </w:t>
      </w:r>
      <w:r w:rsidR="00456069">
        <w:t xml:space="preserve">of O after thermal treatment of samples. Based on these results, it is possible to see that thermal annealing reduced </w:t>
      </w:r>
      <w:r w:rsidR="006C4063">
        <w:t xml:space="preserve">the </w:t>
      </w:r>
      <w:r w:rsidR="00456069">
        <w:t xml:space="preserve">functionalization of carbon. Moreover, </w:t>
      </w:r>
      <w:r w:rsidR="00CA7F53">
        <w:t xml:space="preserve">a </w:t>
      </w:r>
      <w:r w:rsidR="00CA7F53" w:rsidRPr="00CA7F53">
        <w:t>π–π*</w:t>
      </w:r>
      <w:r w:rsidR="00CA7F53">
        <w:t xml:space="preserve"> satellite peak is </w:t>
      </w:r>
      <w:r w:rsidR="007032F6">
        <w:t xml:space="preserve">observed </w:t>
      </w:r>
      <w:r w:rsidR="006C4063">
        <w:t>with</w:t>
      </w:r>
      <w:r w:rsidR="007032F6">
        <w:t xml:space="preserve"> a binding energy</w:t>
      </w:r>
      <w:r w:rsidR="006C4063">
        <w:t xml:space="preserve"> that is </w:t>
      </w:r>
      <w:r w:rsidR="007032F6">
        <w:t>6 eV higher than the main C-C peak, thus indicating the presence of extended delocalized electrons</w:t>
      </w:r>
      <w:r w:rsidR="00C370D5">
        <w:t xml:space="preserve"> </w:t>
      </w:r>
      <w:r w:rsidR="00C370D5" w:rsidRPr="00C370D5">
        <w:t>(Morgan</w:t>
      </w:r>
      <w:r w:rsidR="00C370D5">
        <w:t>,</w:t>
      </w:r>
      <w:r w:rsidR="00C370D5" w:rsidRPr="00C370D5">
        <w:t xml:space="preserve"> 2021)</w:t>
      </w:r>
      <w:r w:rsidR="007032F6">
        <w:t>. The</w:t>
      </w:r>
      <w:r w:rsidR="003D0438">
        <w:t xml:space="preserve"> presence of the</w:t>
      </w:r>
      <w:r w:rsidR="007032F6">
        <w:t>se delocalized electrons contribute</w:t>
      </w:r>
      <w:r w:rsidR="006C4063">
        <w:t>s</w:t>
      </w:r>
      <w:r w:rsidR="007032F6">
        <w:t xml:space="preserve"> to the theory that thermal treatment increases the conductivity of humins</w:t>
      </w:r>
      <w:r w:rsidR="003D0438">
        <w:t>-derived carbon</w:t>
      </w:r>
      <w:r w:rsidR="007032F6">
        <w:t>.</w:t>
      </w:r>
    </w:p>
    <w:p w14:paraId="6C0A03EE" w14:textId="5745A3FE" w:rsidR="00A55378" w:rsidRDefault="00A55378" w:rsidP="00DE08EC">
      <w:pPr>
        <w:pStyle w:val="CETBodytext"/>
      </w:pPr>
    </w:p>
    <w:p w14:paraId="25B11BB8" w14:textId="7E25B102" w:rsidR="00A55378" w:rsidRDefault="007173ED" w:rsidP="00DE08EC">
      <w:pPr>
        <w:pStyle w:val="CETBodytext"/>
      </w:pPr>
      <w:r>
        <w:rPr>
          <w:noProof/>
        </w:rPr>
        <w:drawing>
          <wp:inline distT="0" distB="0" distL="0" distR="0" wp14:anchorId="74682C09" wp14:editId="31114235">
            <wp:extent cx="5486400" cy="4572000"/>
            <wp:effectExtent l="0" t="0" r="0" b="0"/>
            <wp:docPr id="3" name="Picture 3" descr="Chart, diagram, histo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Chart, diagram, histo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662793" w14:textId="03C35AA4" w:rsidR="00A55378" w:rsidRDefault="00A55378" w:rsidP="00A55378">
      <w:pPr>
        <w:pStyle w:val="CETCaption"/>
        <w:rPr>
          <w:rStyle w:val="CETCaptionCarattere"/>
          <w:i/>
        </w:rPr>
      </w:pPr>
      <w:r w:rsidRPr="00BD077D">
        <w:rPr>
          <w:rStyle w:val="CETCaptionCarattere"/>
          <w:i/>
        </w:rPr>
        <w:t xml:space="preserve">Figure </w:t>
      </w:r>
      <w:r>
        <w:rPr>
          <w:rStyle w:val="CETCaptionCarattere"/>
          <w:i/>
        </w:rPr>
        <w:t>3</w:t>
      </w:r>
      <w:r w:rsidRPr="00BD077D">
        <w:rPr>
          <w:rStyle w:val="CETCaptionCarattere"/>
          <w:i/>
        </w:rPr>
        <w:t xml:space="preserve">: </w:t>
      </w:r>
      <w:r w:rsidR="00456069">
        <w:rPr>
          <w:rStyle w:val="CETCaptionCarattere"/>
          <w:i/>
        </w:rPr>
        <w:t>XPS C1s spectra of a) H-SCB, b) H-SCM, c) C-SCB, and d) C-SCM</w:t>
      </w:r>
    </w:p>
    <w:p w14:paraId="14B9620F" w14:textId="77777777" w:rsidR="00910AAE" w:rsidRPr="009B6427" w:rsidRDefault="00910AAE" w:rsidP="00910AAE">
      <w:pPr>
        <w:pStyle w:val="CETheadingx"/>
      </w:pPr>
      <w:r>
        <w:t>Deep discharge tests</w:t>
      </w:r>
    </w:p>
    <w:p w14:paraId="4856B6FE" w14:textId="6D429BA8" w:rsidR="0008665E" w:rsidRDefault="0008665E" w:rsidP="00600535">
      <w:pPr>
        <w:pStyle w:val="CETBodytext"/>
        <w:rPr>
          <w:lang w:val="en-GB"/>
        </w:rPr>
      </w:pPr>
      <w:r>
        <w:rPr>
          <w:lang w:val="en-GB"/>
        </w:rPr>
        <w:t xml:space="preserve">Figure </w:t>
      </w:r>
      <w:r w:rsidR="00A55378">
        <w:rPr>
          <w:lang w:val="en-GB"/>
        </w:rPr>
        <w:t>4</w:t>
      </w:r>
      <w:r>
        <w:rPr>
          <w:lang w:val="en-GB"/>
        </w:rPr>
        <w:t xml:space="preserve"> shows the deep discharge curves for electrodes </w:t>
      </w:r>
      <w:r w:rsidR="001E0BC9">
        <w:rPr>
          <w:lang w:val="en-GB"/>
        </w:rPr>
        <w:t xml:space="preserve">based on C-SCB and C-SCM. </w:t>
      </w:r>
      <w:r w:rsidR="00117419">
        <w:rPr>
          <w:lang w:val="en-GB"/>
        </w:rPr>
        <w:t xml:space="preserve">According to these results, </w:t>
      </w:r>
      <w:r w:rsidR="00623CCC">
        <w:rPr>
          <w:lang w:val="en-GB"/>
        </w:rPr>
        <w:t>the specific capacity of electrodes based on C-SCM is</w:t>
      </w:r>
      <w:r w:rsidR="006C4063">
        <w:rPr>
          <w:lang w:val="en-GB"/>
        </w:rPr>
        <w:t xml:space="preserve"> 51%</w:t>
      </w:r>
      <w:r w:rsidR="00623CCC">
        <w:rPr>
          <w:lang w:val="en-GB"/>
        </w:rPr>
        <w:t xml:space="preserve"> higher</w:t>
      </w:r>
      <w:r w:rsidR="006C4063">
        <w:rPr>
          <w:lang w:val="en-GB"/>
        </w:rPr>
        <w:t xml:space="preserve"> than electrodes based on H-SCB</w:t>
      </w:r>
      <w:r w:rsidR="00623CCC">
        <w:rPr>
          <w:lang w:val="en-GB"/>
        </w:rPr>
        <w:t xml:space="preserve">. </w:t>
      </w:r>
      <w:r w:rsidR="00117419">
        <w:rPr>
          <w:lang w:val="en-GB"/>
        </w:rPr>
        <w:t>I</w:t>
      </w:r>
      <w:r w:rsidR="002A164C">
        <w:rPr>
          <w:lang w:val="en-GB"/>
        </w:rPr>
        <w:t>n both cases</w:t>
      </w:r>
      <w:r w:rsidR="00117419">
        <w:rPr>
          <w:lang w:val="en-GB"/>
        </w:rPr>
        <w:t xml:space="preserve">, </w:t>
      </w:r>
      <w:r w:rsidR="002A164C">
        <w:rPr>
          <w:lang w:val="en-GB"/>
        </w:rPr>
        <w:t>t</w:t>
      </w:r>
      <w:r w:rsidR="00117419">
        <w:rPr>
          <w:lang w:val="en-GB"/>
        </w:rPr>
        <w:t>h</w:t>
      </w:r>
      <w:r w:rsidR="002A164C">
        <w:rPr>
          <w:lang w:val="en-GB"/>
        </w:rPr>
        <w:t>e</w:t>
      </w:r>
      <w:r w:rsidR="00117419">
        <w:rPr>
          <w:lang w:val="en-GB"/>
        </w:rPr>
        <w:t xml:space="preserve"> discharge occurred with a potential plateau mostly above 2.75 V, indicating a low discharge overpotential. However, as the discharge product covered the entire carbon surface (Figure 2), the potential of the cell dropped fast to the cut-off potential of 2.2 V because of the high resistivity of the discharge product (Li</w:t>
      </w:r>
      <w:r w:rsidR="00117419" w:rsidRPr="00117419">
        <w:rPr>
          <w:vertAlign w:val="subscript"/>
          <w:lang w:val="en-GB"/>
        </w:rPr>
        <w:t>2</w:t>
      </w:r>
      <w:r w:rsidR="00117419">
        <w:rPr>
          <w:lang w:val="en-GB"/>
        </w:rPr>
        <w:t>O</w:t>
      </w:r>
      <w:r w:rsidR="00117419" w:rsidRPr="00117419">
        <w:rPr>
          <w:vertAlign w:val="subscript"/>
          <w:lang w:val="en-GB"/>
        </w:rPr>
        <w:t>2</w:t>
      </w:r>
      <w:r w:rsidR="00117419">
        <w:rPr>
          <w:lang w:val="en-GB"/>
        </w:rPr>
        <w:t xml:space="preserve">). </w:t>
      </w:r>
      <w:r w:rsidR="002A164C">
        <w:rPr>
          <w:lang w:val="en-GB"/>
        </w:rPr>
        <w:t>This potential drop to the cut-off potential at the end of discharge occurs faster for the electrode based on C-SCM because of the higher uniformity in particle size, as shown in Figure 2.</w:t>
      </w:r>
    </w:p>
    <w:p w14:paraId="578CCEBE" w14:textId="6A5EA622" w:rsidR="00FA2787" w:rsidRDefault="00FA2787" w:rsidP="00600535">
      <w:pPr>
        <w:pStyle w:val="CETBodytext"/>
        <w:rPr>
          <w:lang w:val="en-GB"/>
        </w:rPr>
      </w:pPr>
    </w:p>
    <w:p w14:paraId="4C1858C4" w14:textId="2ED85CE4" w:rsidR="00FA2787" w:rsidRDefault="002B0DFE" w:rsidP="00600535">
      <w:pPr>
        <w:pStyle w:val="CETBodytext"/>
        <w:rPr>
          <w:lang w:val="en-GB"/>
        </w:rPr>
      </w:pPr>
      <w:r>
        <w:rPr>
          <w:noProof/>
        </w:rPr>
        <w:lastRenderedPageBreak/>
        <w:drawing>
          <wp:inline distT="0" distB="0" distL="0" distR="0" wp14:anchorId="466F5D02" wp14:editId="301849EA">
            <wp:extent cx="5486400" cy="1828800"/>
            <wp:effectExtent l="0" t="0" r="0" b="0"/>
            <wp:docPr id="2" name="Picture 2" descr="Chart, line chart, scatte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Chart, line chart, scatter ch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E7EFBF" w14:textId="6B160D75" w:rsidR="0008665E" w:rsidRDefault="0008665E" w:rsidP="0008665E">
      <w:pPr>
        <w:pStyle w:val="CETCaption"/>
        <w:rPr>
          <w:rStyle w:val="CETCaptionCarattere"/>
          <w:i/>
        </w:rPr>
      </w:pPr>
      <w:r w:rsidRPr="00BD077D">
        <w:rPr>
          <w:rStyle w:val="CETCaptionCarattere"/>
          <w:i/>
        </w:rPr>
        <w:t xml:space="preserve">Figure </w:t>
      </w:r>
      <w:r w:rsidR="00A55378">
        <w:rPr>
          <w:rStyle w:val="CETCaptionCarattere"/>
          <w:i/>
        </w:rPr>
        <w:t>4</w:t>
      </w:r>
      <w:r w:rsidRPr="00BD077D">
        <w:rPr>
          <w:rStyle w:val="CETCaptionCarattere"/>
          <w:i/>
        </w:rPr>
        <w:t xml:space="preserve">: </w:t>
      </w:r>
      <w:r>
        <w:rPr>
          <w:rStyle w:val="CETCaptionCarattere"/>
          <w:i/>
        </w:rPr>
        <w:t>Deep discharge curves for O</w:t>
      </w:r>
      <w:r w:rsidRPr="0008665E">
        <w:rPr>
          <w:rStyle w:val="CETCaptionCarattere"/>
          <w:i/>
          <w:vertAlign w:val="subscript"/>
        </w:rPr>
        <w:t>2</w:t>
      </w:r>
      <w:r>
        <w:rPr>
          <w:rStyle w:val="CETCaptionCarattere"/>
          <w:i/>
        </w:rPr>
        <w:t xml:space="preserve"> electrodes based on (a) C-SCB and (b) C-SCM</w:t>
      </w:r>
    </w:p>
    <w:p w14:paraId="68918ADE" w14:textId="78AEECC8" w:rsidR="00024490" w:rsidRDefault="002A164C" w:rsidP="002A164C">
      <w:pPr>
        <w:pStyle w:val="CETBodytext"/>
        <w:rPr>
          <w:rStyle w:val="CETCaptionCarattere"/>
          <w:i w:val="0"/>
        </w:rPr>
      </w:pPr>
      <w:r>
        <w:t xml:space="preserve">Figure </w:t>
      </w:r>
      <w:r w:rsidR="00A55378">
        <w:t>5</w:t>
      </w:r>
      <w:r>
        <w:t xml:space="preserve"> presents the morphology and distribution of the discharge product </w:t>
      </w:r>
      <w:r w:rsidR="0006480F">
        <w:t>in</w:t>
      </w:r>
      <w:r>
        <w:t xml:space="preserve"> both electrodes. It is possible to observe that the discharge product covered uniformly </w:t>
      </w:r>
      <w:r w:rsidR="0006480F">
        <w:t xml:space="preserve">both </w:t>
      </w:r>
      <w:r>
        <w:t>electrode</w:t>
      </w:r>
      <w:r w:rsidR="0006480F">
        <w:t xml:space="preserve">s. </w:t>
      </w:r>
      <w:r w:rsidR="006B1144">
        <w:rPr>
          <w:lang w:val="en-GB"/>
        </w:rPr>
        <w:t xml:space="preserve">According to </w:t>
      </w:r>
      <w:r w:rsidR="00392709">
        <w:rPr>
          <w:lang w:val="en-GB"/>
        </w:rPr>
        <w:t xml:space="preserve">the </w:t>
      </w:r>
      <w:r w:rsidR="006B1144">
        <w:rPr>
          <w:lang w:val="en-GB"/>
        </w:rPr>
        <w:t xml:space="preserve">results of Karl-Fischer titration, the electrolyte contained 97 ppm of water. The morphology of the discharge product observed in Figure </w:t>
      </w:r>
      <w:r w:rsidR="00A55378">
        <w:rPr>
          <w:lang w:val="en-GB"/>
        </w:rPr>
        <w:t>5</w:t>
      </w:r>
      <w:r w:rsidR="006B1144">
        <w:rPr>
          <w:lang w:val="en-GB"/>
        </w:rPr>
        <w:t xml:space="preserve">b and Figure </w:t>
      </w:r>
      <w:r w:rsidR="00A55378">
        <w:rPr>
          <w:lang w:val="en-GB"/>
        </w:rPr>
        <w:t>5</w:t>
      </w:r>
      <w:r w:rsidR="006B1144">
        <w:rPr>
          <w:lang w:val="en-GB"/>
        </w:rPr>
        <w:t xml:space="preserve">f is </w:t>
      </w:r>
      <w:proofErr w:type="gramStart"/>
      <w:r w:rsidR="006B1144">
        <w:rPr>
          <w:lang w:val="en-GB"/>
        </w:rPr>
        <w:t>similar to</w:t>
      </w:r>
      <w:proofErr w:type="gramEnd"/>
      <w:r w:rsidR="006B1144">
        <w:rPr>
          <w:lang w:val="en-GB"/>
        </w:rPr>
        <w:t xml:space="preserve"> results previously reported in the literature </w:t>
      </w:r>
      <w:r w:rsidR="00C370D5" w:rsidRPr="00C370D5">
        <w:rPr>
          <w:lang w:val="en-GB"/>
        </w:rPr>
        <w:t>(</w:t>
      </w:r>
      <w:proofErr w:type="spellStart"/>
      <w:r w:rsidR="00C370D5" w:rsidRPr="00C370D5">
        <w:rPr>
          <w:lang w:val="en-GB"/>
        </w:rPr>
        <w:t>Aetukuri</w:t>
      </w:r>
      <w:proofErr w:type="spellEnd"/>
      <w:r w:rsidR="00C370D5" w:rsidRPr="00C370D5">
        <w:rPr>
          <w:lang w:val="en-GB"/>
        </w:rPr>
        <w:t xml:space="preserve"> et al.</w:t>
      </w:r>
      <w:r w:rsidR="00C370D5">
        <w:rPr>
          <w:lang w:val="en-GB"/>
        </w:rPr>
        <w:t>,</w:t>
      </w:r>
      <w:r w:rsidR="00C370D5" w:rsidRPr="00C370D5">
        <w:rPr>
          <w:lang w:val="en-GB"/>
        </w:rPr>
        <w:t xml:space="preserve"> 2015)</w:t>
      </w:r>
      <w:r w:rsidR="006B1144">
        <w:rPr>
          <w:lang w:val="en-GB"/>
        </w:rPr>
        <w:t xml:space="preserve"> for an electrolyte with low water concentration over a carbon-based electrode. Based on this comparison, discharge tests with electrolyte</w:t>
      </w:r>
      <w:r w:rsidR="00392709">
        <w:rPr>
          <w:lang w:val="en-GB"/>
        </w:rPr>
        <w:t>s</w:t>
      </w:r>
      <w:r w:rsidR="006B1144">
        <w:rPr>
          <w:lang w:val="en-GB"/>
        </w:rPr>
        <w:t xml:space="preserve"> with more water might lead to increase</w:t>
      </w:r>
      <w:r w:rsidR="00392709">
        <w:rPr>
          <w:lang w:val="en-GB"/>
        </w:rPr>
        <w:t>d</w:t>
      </w:r>
      <w:r w:rsidR="006B1144">
        <w:rPr>
          <w:lang w:val="en-GB"/>
        </w:rPr>
        <w:t xml:space="preserve"> capacity. </w:t>
      </w:r>
    </w:p>
    <w:p w14:paraId="6ABD433A" w14:textId="12DE9684" w:rsidR="00ED3F20" w:rsidRDefault="00901C27" w:rsidP="0008665E">
      <w:pPr>
        <w:pStyle w:val="CETCaption"/>
        <w:rPr>
          <w:rStyle w:val="CETCaptionCarattere"/>
          <w:i/>
        </w:rPr>
      </w:pPr>
      <w:r>
        <w:rPr>
          <w:noProof/>
        </w:rPr>
        <w:drawing>
          <wp:inline distT="0" distB="0" distL="0" distR="0" wp14:anchorId="11F22290" wp14:editId="03DB65D7">
            <wp:extent cx="5534025" cy="2558415"/>
            <wp:effectExtent l="0" t="0" r="9525" b="0"/>
            <wp:docPr id="13" name="Picture 13" descr="A picture containing text, differ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picture containing text, differe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2558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B5D94C" w14:textId="0CC2E9A5" w:rsidR="00623CCC" w:rsidRDefault="00623CCC" w:rsidP="00623CCC">
      <w:pPr>
        <w:pStyle w:val="CETCaption"/>
        <w:rPr>
          <w:rStyle w:val="CETCaptionCarattere"/>
          <w:i/>
        </w:rPr>
      </w:pPr>
      <w:r w:rsidRPr="00BD077D">
        <w:rPr>
          <w:rStyle w:val="CETCaptionCarattere"/>
          <w:i/>
        </w:rPr>
        <w:t xml:space="preserve">Figure </w:t>
      </w:r>
      <w:r w:rsidR="00A55378">
        <w:rPr>
          <w:rStyle w:val="CETCaptionCarattere"/>
          <w:i/>
        </w:rPr>
        <w:t>5</w:t>
      </w:r>
      <w:r w:rsidRPr="00BD077D">
        <w:rPr>
          <w:rStyle w:val="CETCaptionCarattere"/>
          <w:i/>
        </w:rPr>
        <w:t xml:space="preserve">: </w:t>
      </w:r>
      <w:r>
        <w:rPr>
          <w:rStyle w:val="CETCaptionCarattere"/>
          <w:i/>
        </w:rPr>
        <w:t>SEM micrographs of electrodes a</w:t>
      </w:r>
      <w:r w:rsidR="006B0F16">
        <w:rPr>
          <w:rStyle w:val="CETCaptionCarattere"/>
          <w:i/>
        </w:rPr>
        <w:t>-d</w:t>
      </w:r>
      <w:r>
        <w:rPr>
          <w:rStyle w:val="CETCaptionCarattere"/>
          <w:i/>
        </w:rPr>
        <w:t xml:space="preserve">) C-SCB and </w:t>
      </w:r>
      <w:r w:rsidR="006B0F16">
        <w:rPr>
          <w:rStyle w:val="CETCaptionCarattere"/>
          <w:i/>
        </w:rPr>
        <w:t>e-h</w:t>
      </w:r>
      <w:r>
        <w:rPr>
          <w:rStyle w:val="CETCaptionCarattere"/>
          <w:i/>
        </w:rPr>
        <w:t xml:space="preserve">) C-SCM in different magnifications; images in the bottom show the same area using the </w:t>
      </w:r>
      <w:r w:rsidRPr="00613C73">
        <w:rPr>
          <w:rStyle w:val="CETCaptionCarattere"/>
          <w:i/>
        </w:rPr>
        <w:t xml:space="preserve">Everhart–Thornley </w:t>
      </w:r>
      <w:r>
        <w:rPr>
          <w:rStyle w:val="CETCaptionCarattere"/>
          <w:i/>
        </w:rPr>
        <w:t>(</w:t>
      </w:r>
      <w:r w:rsidR="006B0F16">
        <w:rPr>
          <w:rStyle w:val="CETCaptionCarattere"/>
          <w:i/>
        </w:rPr>
        <w:t xml:space="preserve">c and g, </w:t>
      </w:r>
      <w:r>
        <w:rPr>
          <w:rStyle w:val="CETCaptionCarattere"/>
          <w:i/>
        </w:rPr>
        <w:t>left) and backscatter (</w:t>
      </w:r>
      <w:r w:rsidR="006B0F16">
        <w:rPr>
          <w:rStyle w:val="CETCaptionCarattere"/>
          <w:i/>
        </w:rPr>
        <w:t xml:space="preserve">d and h, </w:t>
      </w:r>
      <w:r>
        <w:rPr>
          <w:rStyle w:val="CETCaptionCarattere"/>
          <w:i/>
        </w:rPr>
        <w:t>right) detectors</w:t>
      </w:r>
    </w:p>
    <w:p w14:paraId="2D7517F4" w14:textId="307558FB" w:rsidR="00ED3F20" w:rsidRPr="00BD077D" w:rsidRDefault="006B1144" w:rsidP="006B1144">
      <w:pPr>
        <w:pStyle w:val="CETBodytext"/>
      </w:pPr>
      <w:r>
        <w:t xml:space="preserve">In the case of the electrode based on C-SCB, the discharge product also covered large particles of unhydrolyzed biomass (Figure </w:t>
      </w:r>
      <w:r w:rsidR="00A55378">
        <w:t>5</w:t>
      </w:r>
      <w:r>
        <w:t>b). In the case of the electrode based on C-SCM, the spherical particles were evenly covered by the discharge product</w:t>
      </w:r>
      <w:r w:rsidR="00AF4E63">
        <w:t>, with the formation of crystal</w:t>
      </w:r>
      <w:r w:rsidR="00E4203B">
        <w:t>s</w:t>
      </w:r>
      <w:r w:rsidR="00AF4E63">
        <w:t xml:space="preserve"> that resemble </w:t>
      </w:r>
      <w:r w:rsidR="00E4203B">
        <w:t>the shape of a red blood cell</w:t>
      </w:r>
      <w:r>
        <w:t xml:space="preserve">. In the case of smaller agglomerates, more discharge product accumulated </w:t>
      </w:r>
      <w:r w:rsidR="00E4203B">
        <w:t>over</w:t>
      </w:r>
      <w:r>
        <w:t xml:space="preserve"> their surface. </w:t>
      </w:r>
      <w:r w:rsidR="00AF4E63">
        <w:t>Another interesting finding is that</w:t>
      </w:r>
      <w:r>
        <w:t xml:space="preserve"> the particle size of the Li</w:t>
      </w:r>
      <w:r w:rsidRPr="006B1144">
        <w:rPr>
          <w:vertAlign w:val="subscript"/>
        </w:rPr>
        <w:t>2</w:t>
      </w:r>
      <w:r>
        <w:t>O</w:t>
      </w:r>
      <w:r w:rsidRPr="006B1144">
        <w:rPr>
          <w:vertAlign w:val="subscript"/>
        </w:rPr>
        <w:t>2</w:t>
      </w:r>
      <w:r>
        <w:t xml:space="preserve"> particles forming </w:t>
      </w:r>
      <w:r w:rsidR="00AF4E63">
        <w:t xml:space="preserve">at the </w:t>
      </w:r>
      <w:r>
        <w:t>surface is small compared to the size of the humins-based carbon</w:t>
      </w:r>
      <w:r w:rsidR="00AF4E63">
        <w:t xml:space="preserve"> spheres</w:t>
      </w:r>
      <w:r>
        <w:t xml:space="preserve">. </w:t>
      </w:r>
      <w:r w:rsidR="00AF4E63">
        <w:t xml:space="preserve">The use of smaller spheres can increase the available surface area and improve </w:t>
      </w:r>
      <w:r w:rsidR="00392709">
        <w:t xml:space="preserve">the </w:t>
      </w:r>
      <w:r w:rsidR="00AF4E63">
        <w:t>specific capacity of the material. Therefore, humins obtained in different hydrolysis conditions, with different particle size</w:t>
      </w:r>
      <w:r w:rsidR="00392709">
        <w:t>s</w:t>
      </w:r>
      <w:r w:rsidR="00C370D5">
        <w:t xml:space="preserve"> </w:t>
      </w:r>
      <w:r w:rsidR="00C370D5" w:rsidRPr="00C370D5">
        <w:t xml:space="preserve">(van </w:t>
      </w:r>
      <w:proofErr w:type="spellStart"/>
      <w:r w:rsidR="00C370D5" w:rsidRPr="00C370D5">
        <w:t>Zandvoort</w:t>
      </w:r>
      <w:proofErr w:type="spellEnd"/>
      <w:r w:rsidR="00C370D5" w:rsidRPr="00C370D5">
        <w:t xml:space="preserve"> et al.</w:t>
      </w:r>
      <w:r w:rsidR="00C370D5">
        <w:t>,</w:t>
      </w:r>
      <w:r w:rsidR="00C370D5" w:rsidRPr="00C370D5">
        <w:t xml:space="preserve"> 2013)</w:t>
      </w:r>
      <w:r w:rsidR="00AF4E63">
        <w:t xml:space="preserve">, should be tested as well to determine the impact of particle size on the specific capacity of </w:t>
      </w:r>
      <w:r w:rsidR="00E4203B">
        <w:t xml:space="preserve">this electrode material. </w:t>
      </w:r>
      <w:r w:rsidR="00392709">
        <w:t>Ano</w:t>
      </w:r>
      <w:r w:rsidR="00E4203B">
        <w:t xml:space="preserve">ther point that </w:t>
      </w:r>
      <w:r w:rsidR="00901C27">
        <w:t>deserves</w:t>
      </w:r>
      <w:r w:rsidR="00E4203B">
        <w:t xml:space="preserve"> attention is the presence of </w:t>
      </w:r>
      <w:r w:rsidR="00901C27">
        <w:t>sulfur</w:t>
      </w:r>
      <w:r w:rsidR="00E4203B">
        <w:t xml:space="preserve">, shown in Figure </w:t>
      </w:r>
      <w:r w:rsidR="00A55378">
        <w:t>5</w:t>
      </w:r>
      <w:r w:rsidR="00E4203B">
        <w:t xml:space="preserve">d and Figure </w:t>
      </w:r>
      <w:r w:rsidR="00A55378">
        <w:t>5</w:t>
      </w:r>
      <w:r w:rsidR="00E4203B">
        <w:t>h, because the impact of trace amounts of this element should be considered as well in the study of the stability of this electrode material.</w:t>
      </w:r>
    </w:p>
    <w:p w14:paraId="1FE54221" w14:textId="77777777" w:rsidR="0008665E" w:rsidRDefault="0008665E" w:rsidP="00600535">
      <w:pPr>
        <w:pStyle w:val="CETBodytext"/>
        <w:rPr>
          <w:lang w:val="en-GB"/>
        </w:rPr>
      </w:pPr>
    </w:p>
    <w:p w14:paraId="5E3F7D7F" w14:textId="77777777" w:rsidR="003020F1" w:rsidRPr="009B6427" w:rsidRDefault="003020F1" w:rsidP="003020F1">
      <w:pPr>
        <w:pStyle w:val="CETHeading1"/>
      </w:pPr>
      <w:r w:rsidRPr="009B6427">
        <w:lastRenderedPageBreak/>
        <w:t>Conclusion</w:t>
      </w:r>
    </w:p>
    <w:p w14:paraId="44BE5E88" w14:textId="6FB14122" w:rsidR="003020F1" w:rsidRPr="009B6427" w:rsidRDefault="00EC0EB5" w:rsidP="003020F1">
      <w:pPr>
        <w:pStyle w:val="CETBodytext"/>
      </w:pPr>
      <w:r>
        <w:t>This work presented the first results of discharge tests of O</w:t>
      </w:r>
      <w:r w:rsidRPr="00EC0EB5">
        <w:rPr>
          <w:vertAlign w:val="subscript"/>
        </w:rPr>
        <w:t>2</w:t>
      </w:r>
      <w:r>
        <w:t xml:space="preserve"> electrodes for Li-O</w:t>
      </w:r>
      <w:r w:rsidRPr="00EC0EB5">
        <w:rPr>
          <w:vertAlign w:val="subscript"/>
        </w:rPr>
        <w:t>2</w:t>
      </w:r>
      <w:r>
        <w:t xml:space="preserve"> batteries based on sugarcane-derived humins, which is a by-product of the thermochemical conversion of bagasse or molasses to levulinic acid. </w:t>
      </w:r>
      <w:r w:rsidR="00B0311F">
        <w:t>Results</w:t>
      </w:r>
      <w:r>
        <w:t xml:space="preserve"> of specific capacity</w:t>
      </w:r>
      <w:r w:rsidR="00B0311F">
        <w:t xml:space="preserve"> demonstrate the potential of using this material for</w:t>
      </w:r>
      <w:r>
        <w:t xml:space="preserve"> the</w:t>
      </w:r>
      <w:r w:rsidR="00B0311F">
        <w:t xml:space="preserve"> manufacturing of O</w:t>
      </w:r>
      <w:r w:rsidR="00B0311F" w:rsidRPr="007D6F23">
        <w:rPr>
          <w:vertAlign w:val="subscript"/>
        </w:rPr>
        <w:t>2</w:t>
      </w:r>
      <w:r w:rsidR="00B0311F">
        <w:t xml:space="preserve"> electrodes</w:t>
      </w:r>
      <w:r w:rsidR="00E4203B">
        <w:t xml:space="preserve"> with </w:t>
      </w:r>
      <w:r w:rsidR="00A36525">
        <w:t>low discharge overpotential</w:t>
      </w:r>
      <w:r w:rsidR="00B0311F">
        <w:t xml:space="preserve">. Images </w:t>
      </w:r>
      <w:r w:rsidR="007D6F23">
        <w:t xml:space="preserve">of the </w:t>
      </w:r>
      <w:r w:rsidR="00B0311F">
        <w:t xml:space="preserve">discharge product </w:t>
      </w:r>
      <w:r>
        <w:t>indicate</w:t>
      </w:r>
      <w:r w:rsidR="00B0311F">
        <w:t xml:space="preserve"> that </w:t>
      </w:r>
      <w:r w:rsidR="007D6F23">
        <w:t>ad</w:t>
      </w:r>
      <w:r w:rsidR="00B0311F">
        <w:t xml:space="preserve">justing the electrolyte composition </w:t>
      </w:r>
      <w:r w:rsidR="00E4203B">
        <w:t xml:space="preserve">and particle size </w:t>
      </w:r>
      <w:r w:rsidR="00B0311F">
        <w:t>can lead to increased discharge capacity</w:t>
      </w:r>
      <w:r w:rsidR="007D6F23">
        <w:t xml:space="preserve">. </w:t>
      </w:r>
      <w:r w:rsidR="00070AF7">
        <w:t xml:space="preserve">Results also indicate high functionalization of this material. Additional analyses should be performed on these materials </w:t>
      </w:r>
      <w:r w:rsidR="00E4203B">
        <w:t>to</w:t>
      </w:r>
      <w:r w:rsidR="00070AF7">
        <w:t xml:space="preserve"> </w:t>
      </w:r>
      <w:r w:rsidR="004203DE">
        <w:t>assess</w:t>
      </w:r>
      <w:r w:rsidR="00070AF7">
        <w:t xml:space="preserve"> their stability in the potential window that is suitable for most electrolytes of Li-O</w:t>
      </w:r>
      <w:r w:rsidR="00070AF7" w:rsidRPr="00070AF7">
        <w:rPr>
          <w:vertAlign w:val="subscript"/>
        </w:rPr>
        <w:t>2</w:t>
      </w:r>
      <w:r w:rsidR="00070AF7">
        <w:t xml:space="preserve"> batteries</w:t>
      </w:r>
      <w:r w:rsidR="00A36525">
        <w:t>, and test</w:t>
      </w:r>
      <w:r w:rsidR="00392709">
        <w:t>s</w:t>
      </w:r>
      <w:r w:rsidR="00A36525">
        <w:t xml:space="preserve"> should also consider humins obtained in different reaction conditions with possible different particle size</w:t>
      </w:r>
      <w:r w:rsidR="00392709">
        <w:t>s</w:t>
      </w:r>
      <w:r w:rsidR="00070AF7">
        <w:t>.</w:t>
      </w:r>
    </w:p>
    <w:p w14:paraId="563D68BD" w14:textId="77777777" w:rsidR="003020F1" w:rsidRPr="009B6427" w:rsidRDefault="003020F1" w:rsidP="003020F1">
      <w:pPr>
        <w:pStyle w:val="CETAcknowledgementstitle"/>
        <w:rPr>
          <w:lang w:val="en-US"/>
        </w:rPr>
      </w:pPr>
      <w:r w:rsidRPr="009B6427">
        <w:rPr>
          <w:lang w:val="en-US"/>
        </w:rPr>
        <w:t>Acknowledgments</w:t>
      </w:r>
    </w:p>
    <w:p w14:paraId="0CE7F2A1" w14:textId="2F5A5BCA" w:rsidR="003020F1" w:rsidRPr="009B6427" w:rsidRDefault="003020F1" w:rsidP="003020F1">
      <w:pPr>
        <w:pStyle w:val="CETBodytext"/>
      </w:pPr>
      <w:r w:rsidRPr="009B6427">
        <w:t xml:space="preserve">The authors gratefully acknowledge the support from FAPESP (the Sao Paulo Research Foundation, Grant Numbers </w:t>
      </w:r>
      <w:r w:rsidR="0072677E">
        <w:t xml:space="preserve">2015/20630-4, 2016/10450-1, </w:t>
      </w:r>
      <w:r w:rsidRPr="009B6427">
        <w:t xml:space="preserve">2017/11958-1, </w:t>
      </w:r>
      <w:r w:rsidR="0072677E">
        <w:t xml:space="preserve">and </w:t>
      </w:r>
      <w:r w:rsidRPr="009B6427">
        <w:t xml:space="preserve">2018/16663-2), Shell, the strategic importance of the support given by ANP (Brazil’s National Oil, Natural Gas, and Biofuels Agency) through the R&amp;D levy regulation, </w:t>
      </w:r>
      <w:r w:rsidR="0072677E">
        <w:t xml:space="preserve">the </w:t>
      </w:r>
      <w:r w:rsidR="0072677E" w:rsidRPr="0072677E">
        <w:t>Brazilian National Council for Scientific and Technological Development</w:t>
      </w:r>
      <w:r w:rsidR="006C4063">
        <w:t xml:space="preserve"> </w:t>
      </w:r>
      <w:r w:rsidRPr="009B6427">
        <w:t xml:space="preserve">and </w:t>
      </w:r>
      <w:r w:rsidR="0072677E">
        <w:t>(</w:t>
      </w:r>
      <w:proofErr w:type="spellStart"/>
      <w:r w:rsidR="0072677E">
        <w:t>CNPq</w:t>
      </w:r>
      <w:proofErr w:type="spellEnd"/>
      <w:r w:rsidR="0072677E">
        <w:t xml:space="preserve">, Grant Number 150313/2020-9), and </w:t>
      </w:r>
      <w:r w:rsidRPr="009B6427">
        <w:t xml:space="preserve">the </w:t>
      </w:r>
      <w:proofErr w:type="spellStart"/>
      <w:r w:rsidRPr="009B6427">
        <w:t>Coordenação</w:t>
      </w:r>
      <w:proofErr w:type="spellEnd"/>
      <w:r w:rsidRPr="009B6427">
        <w:t xml:space="preserve"> de </w:t>
      </w:r>
      <w:proofErr w:type="spellStart"/>
      <w:r w:rsidRPr="009B6427">
        <w:t>Aperfeiçoamento</w:t>
      </w:r>
      <w:proofErr w:type="spellEnd"/>
      <w:r w:rsidRPr="009B6427">
        <w:t xml:space="preserve"> de </w:t>
      </w:r>
      <w:proofErr w:type="spellStart"/>
      <w:r w:rsidRPr="009B6427">
        <w:t>Pessoal</w:t>
      </w:r>
      <w:proofErr w:type="spellEnd"/>
      <w:r w:rsidRPr="009B6427">
        <w:t xml:space="preserve"> de </w:t>
      </w:r>
      <w:proofErr w:type="spellStart"/>
      <w:r w:rsidRPr="009B6427">
        <w:t>Nível</w:t>
      </w:r>
      <w:proofErr w:type="spellEnd"/>
      <w:r w:rsidRPr="009B6427">
        <w:t xml:space="preserve"> Superior - </w:t>
      </w:r>
      <w:proofErr w:type="spellStart"/>
      <w:r w:rsidRPr="009B6427">
        <w:t>Brasil</w:t>
      </w:r>
      <w:proofErr w:type="spellEnd"/>
      <w:r w:rsidRPr="009B6427">
        <w:t xml:space="preserve"> (CAPES) - Finance Code 001.</w:t>
      </w:r>
    </w:p>
    <w:p w14:paraId="3953C768" w14:textId="77777777" w:rsidR="003020F1" w:rsidRPr="009B6427" w:rsidRDefault="003020F1" w:rsidP="003020F1">
      <w:pPr>
        <w:pStyle w:val="CETReference"/>
        <w:rPr>
          <w:lang w:val="en-US"/>
        </w:rPr>
      </w:pPr>
      <w:r w:rsidRPr="009B6427">
        <w:rPr>
          <w:lang w:val="en-US"/>
        </w:rPr>
        <w:t>References</w:t>
      </w:r>
    </w:p>
    <w:p w14:paraId="41CBCA4F" w14:textId="5DCC899E" w:rsidR="0022210E" w:rsidRPr="0022210E" w:rsidRDefault="0022210E" w:rsidP="0022210E">
      <w:pPr>
        <w:pStyle w:val="CETReferencetext"/>
      </w:pPr>
      <w:proofErr w:type="spellStart"/>
      <w:r w:rsidRPr="0022210E">
        <w:t>Aetukuri</w:t>
      </w:r>
      <w:proofErr w:type="spellEnd"/>
      <w:r w:rsidRPr="0022210E">
        <w:t xml:space="preserve"> </w:t>
      </w:r>
      <w:r>
        <w:t>N.</w:t>
      </w:r>
      <w:r w:rsidRPr="0022210E">
        <w:t>B., McCloskey</w:t>
      </w:r>
      <w:r>
        <w:t xml:space="preserve"> B.D.</w:t>
      </w:r>
      <w:r w:rsidRPr="0022210E">
        <w:t>, García</w:t>
      </w:r>
      <w:r>
        <w:t xml:space="preserve"> J.M.</w:t>
      </w:r>
      <w:r w:rsidRPr="0022210E">
        <w:t>, Krupp</w:t>
      </w:r>
      <w:r>
        <w:t xml:space="preserve"> L.E.</w:t>
      </w:r>
      <w:r w:rsidRPr="0022210E">
        <w:t>, Viswanathan</w:t>
      </w:r>
      <w:r>
        <w:t xml:space="preserve"> V.</w:t>
      </w:r>
      <w:r w:rsidRPr="0022210E">
        <w:t xml:space="preserve">, </w:t>
      </w:r>
      <w:proofErr w:type="spellStart"/>
      <w:r w:rsidRPr="0022210E">
        <w:t>Luntz</w:t>
      </w:r>
      <w:proofErr w:type="spellEnd"/>
      <w:r>
        <w:t xml:space="preserve"> A.C.,</w:t>
      </w:r>
      <w:r w:rsidRPr="0022210E">
        <w:t xml:space="preserve"> 2015</w:t>
      </w:r>
      <w:r>
        <w:t>,</w:t>
      </w:r>
      <w:r w:rsidRPr="0022210E">
        <w:t xml:space="preserve"> Solvating Additives Drive Solution-Mediated Electrochemistry and Enhance Toroid Growth in Non-Aqueous Li–O</w:t>
      </w:r>
      <w:r w:rsidRPr="0022210E">
        <w:rPr>
          <w:vertAlign w:val="subscript"/>
        </w:rPr>
        <w:t>2</w:t>
      </w:r>
      <w:r w:rsidRPr="0022210E">
        <w:t xml:space="preserve"> Batteries</w:t>
      </w:r>
      <w:r>
        <w:t>,</w:t>
      </w:r>
      <w:r w:rsidRPr="0022210E">
        <w:t xml:space="preserve"> Nature Chemistry</w:t>
      </w:r>
      <w:r>
        <w:t>,</w:t>
      </w:r>
      <w:r w:rsidRPr="0022210E">
        <w:t xml:space="preserve"> 7(1):50–56.</w:t>
      </w:r>
    </w:p>
    <w:p w14:paraId="421D21E6" w14:textId="165A7FD8" w:rsidR="0022210E" w:rsidRPr="0022210E" w:rsidRDefault="0022210E" w:rsidP="0022210E">
      <w:pPr>
        <w:pStyle w:val="CETReferencetext"/>
      </w:pPr>
      <w:r w:rsidRPr="0022210E">
        <w:t>Hossain G.S., Liu</w:t>
      </w:r>
      <w:r>
        <w:t xml:space="preserve"> L.</w:t>
      </w:r>
      <w:r w:rsidRPr="0022210E">
        <w:t>, Du</w:t>
      </w:r>
      <w:r>
        <w:t xml:space="preserve"> G.C.,</w:t>
      </w:r>
      <w:r w:rsidRPr="0022210E">
        <w:t xml:space="preserve"> 2017</w:t>
      </w:r>
      <w:r>
        <w:t>,</w:t>
      </w:r>
      <w:r w:rsidRPr="0022210E">
        <w:t xml:space="preserve"> Industrial Bioprocesses and the Biorefinery Concept</w:t>
      </w:r>
      <w:r>
        <w:t>,</w:t>
      </w:r>
      <w:r w:rsidRPr="0022210E">
        <w:t xml:space="preserve"> Current Developments in Biotechnology and Bioengineering: Bioprocesses, Bioreactors and Controls</w:t>
      </w:r>
      <w:r>
        <w:t>,</w:t>
      </w:r>
      <w:r w:rsidRPr="0022210E">
        <w:t xml:space="preserve"> 3–27.</w:t>
      </w:r>
    </w:p>
    <w:p w14:paraId="72AA4F4A" w14:textId="287A75E8" w:rsidR="0022210E" w:rsidRPr="0022210E" w:rsidRDefault="0022210E" w:rsidP="0022210E">
      <w:pPr>
        <w:pStyle w:val="CETReferencetext"/>
      </w:pPr>
      <w:r w:rsidRPr="0022210E">
        <w:rPr>
          <w:lang w:val="en-US"/>
        </w:rPr>
        <w:t xml:space="preserve">Leal Silva J.F., </w:t>
      </w:r>
      <w:proofErr w:type="spellStart"/>
      <w:r w:rsidRPr="0022210E">
        <w:rPr>
          <w:lang w:val="en-US"/>
        </w:rPr>
        <w:t>Doubek</w:t>
      </w:r>
      <w:proofErr w:type="spellEnd"/>
      <w:r w:rsidRPr="0022210E">
        <w:rPr>
          <w:lang w:val="en-US"/>
        </w:rPr>
        <w:t xml:space="preserve"> G., Maciel Filho R., 2021</w:t>
      </w:r>
      <w:r w:rsidR="008901C0">
        <w:rPr>
          <w:lang w:val="en-US"/>
        </w:rPr>
        <w:t>b</w:t>
      </w:r>
      <w:r>
        <w:rPr>
          <w:lang w:val="en-US"/>
        </w:rPr>
        <w:t>,</w:t>
      </w:r>
      <w:r w:rsidRPr="0022210E">
        <w:rPr>
          <w:lang w:val="en-US"/>
        </w:rPr>
        <w:t xml:space="preserve"> </w:t>
      </w:r>
      <w:r w:rsidRPr="0022210E">
        <w:t>Impact of the Catalytic Activity of Carbon Nanotubes in the Performance of Li-O</w:t>
      </w:r>
      <w:r w:rsidRPr="0022210E">
        <w:rPr>
          <w:vertAlign w:val="subscript"/>
        </w:rPr>
        <w:t>2</w:t>
      </w:r>
      <w:r w:rsidRPr="0022210E">
        <w:t xml:space="preserve"> Batteries</w:t>
      </w:r>
      <w:r>
        <w:t>,</w:t>
      </w:r>
      <w:r w:rsidRPr="0022210E">
        <w:t xml:space="preserve"> Chemical Engineering Transactions</w:t>
      </w:r>
      <w:r>
        <w:t>,</w:t>
      </w:r>
      <w:r w:rsidRPr="0022210E">
        <w:t xml:space="preserve"> 86:499–504.</w:t>
      </w:r>
    </w:p>
    <w:p w14:paraId="0AB0C8D1" w14:textId="05F1959D" w:rsidR="0022210E" w:rsidRPr="0022210E" w:rsidRDefault="0022210E" w:rsidP="0022210E">
      <w:pPr>
        <w:pStyle w:val="CETReferencetext"/>
        <w:rPr>
          <w:lang w:val="en-US"/>
        </w:rPr>
      </w:pPr>
      <w:r w:rsidRPr="0022210E">
        <w:rPr>
          <w:lang w:val="en-US"/>
        </w:rPr>
        <w:t>Leal Silva J.F., Mariano A.P., Maciel Filho R., 2021</w:t>
      </w:r>
      <w:r w:rsidR="008901C0">
        <w:rPr>
          <w:lang w:val="en-US"/>
        </w:rPr>
        <w:t>a</w:t>
      </w:r>
      <w:r w:rsidRPr="0022210E">
        <w:rPr>
          <w:lang w:val="en-US"/>
        </w:rPr>
        <w:t xml:space="preserve">, </w:t>
      </w:r>
      <w:r w:rsidRPr="0022210E">
        <w:t xml:space="preserve">Less Severe Reaction Conditions to Produce Levulinic Acid with Reduced Humins Formation at the Expense of Lower Biomass Conversion: Is It Economically </w:t>
      </w:r>
      <w:proofErr w:type="gramStart"/>
      <w:r w:rsidRPr="0022210E">
        <w:t>Feasible?</w:t>
      </w:r>
      <w:r>
        <w:t>,</w:t>
      </w:r>
      <w:proofErr w:type="gramEnd"/>
      <w:r w:rsidRPr="0022210E">
        <w:t xml:space="preserve"> </w:t>
      </w:r>
      <w:r w:rsidRPr="0022210E">
        <w:rPr>
          <w:lang w:val="en-US"/>
        </w:rPr>
        <w:t>Fuel Communications, 9:100029.</w:t>
      </w:r>
    </w:p>
    <w:p w14:paraId="56E1926D" w14:textId="03391D2E" w:rsidR="001E4834" w:rsidRPr="001E4834" w:rsidRDefault="001E4834" w:rsidP="001E4834">
      <w:pPr>
        <w:pStyle w:val="CETReferencetext"/>
        <w:rPr>
          <w:lang w:val="en-US"/>
        </w:rPr>
      </w:pPr>
      <w:r w:rsidRPr="001E4834">
        <w:rPr>
          <w:lang w:val="en-US"/>
        </w:rPr>
        <w:t>Lopes E.S., Leal Silva J.F., Rivera E.C., Gomes A.P., Lopes M.S., Maciel Filho R., Tovar L.P., 2020, Challenges to Levulinic Acid and Humins Valuation in the Sugarcane Bagasse Biorefinery Concept</w:t>
      </w:r>
      <w:r>
        <w:rPr>
          <w:lang w:val="en-US"/>
        </w:rPr>
        <w:t>,</w:t>
      </w:r>
      <w:r w:rsidRPr="001E4834">
        <w:rPr>
          <w:lang w:val="en-US"/>
        </w:rPr>
        <w:t xml:space="preserve"> Bioenergy Research, 13:757–74.</w:t>
      </w:r>
    </w:p>
    <w:p w14:paraId="661FDE5D" w14:textId="1F9D5F5F" w:rsidR="0022210E" w:rsidRPr="0022210E" w:rsidRDefault="001E4834" w:rsidP="001E4834">
      <w:pPr>
        <w:pStyle w:val="CETReferencetext"/>
      </w:pPr>
      <w:r w:rsidRPr="001E4834">
        <w:rPr>
          <w:lang w:val="en-US"/>
        </w:rPr>
        <w:t xml:space="preserve">Lopes E.S., Leal Silva J.F., Nascimento L.A., </w:t>
      </w:r>
      <w:proofErr w:type="spellStart"/>
      <w:r w:rsidRPr="001E4834">
        <w:rPr>
          <w:lang w:val="en-US"/>
        </w:rPr>
        <w:t>Bohórquez</w:t>
      </w:r>
      <w:proofErr w:type="spellEnd"/>
      <w:r w:rsidRPr="001E4834">
        <w:rPr>
          <w:lang w:val="en-US"/>
        </w:rPr>
        <w:t xml:space="preserve"> J.F.C., Lopes M.S., Tovar L.P., Maciel Filho R., 2021, Feasibility of the Conversion of Sugarcane Molasses to Levulinic Acid: Reaction Optimization and Techno-Economic Analysis</w:t>
      </w:r>
      <w:r>
        <w:rPr>
          <w:lang w:val="en-US"/>
        </w:rPr>
        <w:t>,</w:t>
      </w:r>
      <w:r w:rsidRPr="001E4834">
        <w:rPr>
          <w:lang w:val="en-US"/>
        </w:rPr>
        <w:t xml:space="preserve"> Industrial and Engineering Chemistry Research</w:t>
      </w:r>
      <w:r>
        <w:rPr>
          <w:lang w:val="en-US"/>
        </w:rPr>
        <w:t>,</w:t>
      </w:r>
      <w:r w:rsidRPr="001E4834">
        <w:rPr>
          <w:lang w:val="en-US"/>
        </w:rPr>
        <w:t xml:space="preserve"> 60(43):15646–</w:t>
      </w:r>
      <w:proofErr w:type="gramStart"/>
      <w:r w:rsidRPr="001E4834">
        <w:rPr>
          <w:lang w:val="en-US"/>
        </w:rPr>
        <w:t>57.</w:t>
      </w:r>
      <w:r w:rsidR="0022210E" w:rsidRPr="0022210E">
        <w:t>Morgan</w:t>
      </w:r>
      <w:proofErr w:type="gramEnd"/>
      <w:r w:rsidR="0022210E" w:rsidRPr="0022210E">
        <w:t>, David J. 2021. “Comments on the XPS Analysis of Carbon Materials</w:t>
      </w:r>
      <w:r w:rsidR="002F5EBA">
        <w:t>,</w:t>
      </w:r>
      <w:r w:rsidR="0022210E" w:rsidRPr="0022210E">
        <w:t xml:space="preserve"> C 2021, Vol. 7, Page 51 7(3):51.</w:t>
      </w:r>
    </w:p>
    <w:p w14:paraId="6FA277CA" w14:textId="57E4E427" w:rsidR="0022210E" w:rsidRPr="00C370D5" w:rsidRDefault="0022210E" w:rsidP="0022210E">
      <w:pPr>
        <w:pStyle w:val="CETReferencetext"/>
        <w:rPr>
          <w:lang w:val="en-US"/>
        </w:rPr>
      </w:pPr>
      <w:r w:rsidRPr="0022210E">
        <w:t>Morimoto N</w:t>
      </w:r>
      <w:r w:rsidR="00C370D5">
        <w:t>.</w:t>
      </w:r>
      <w:r w:rsidRPr="0022210E">
        <w:t>, Kubo</w:t>
      </w:r>
      <w:r w:rsidR="00C370D5">
        <w:t xml:space="preserve"> T</w:t>
      </w:r>
      <w:r w:rsidRPr="0022210E">
        <w:t xml:space="preserve">, </w:t>
      </w:r>
      <w:proofErr w:type="spellStart"/>
      <w:r w:rsidRPr="0022210E">
        <w:t>Nishina</w:t>
      </w:r>
      <w:proofErr w:type="spellEnd"/>
      <w:r w:rsidR="00C370D5">
        <w:t xml:space="preserve"> Y</w:t>
      </w:r>
      <w:r w:rsidRPr="0022210E">
        <w:t>.</w:t>
      </w:r>
      <w:r w:rsidR="00C370D5">
        <w:t>,</w:t>
      </w:r>
      <w:r w:rsidRPr="0022210E">
        <w:t xml:space="preserve"> 2016</w:t>
      </w:r>
      <w:r w:rsidR="00C370D5">
        <w:t>,</w:t>
      </w:r>
      <w:r w:rsidRPr="0022210E">
        <w:t xml:space="preserve"> Tailoring the Oxygen Content of Graphite and Reduced Graphene Oxide for Specific Applications</w:t>
      </w:r>
      <w:r w:rsidR="00C370D5">
        <w:t>,</w:t>
      </w:r>
      <w:r w:rsidRPr="0022210E">
        <w:t xml:space="preserve"> </w:t>
      </w:r>
      <w:r w:rsidRPr="00C370D5">
        <w:rPr>
          <w:lang w:val="en-US"/>
        </w:rPr>
        <w:t>Scientific Reports</w:t>
      </w:r>
      <w:r w:rsidR="00C370D5">
        <w:rPr>
          <w:lang w:val="en-US"/>
        </w:rPr>
        <w:t>,</w:t>
      </w:r>
      <w:r w:rsidRPr="00C370D5">
        <w:rPr>
          <w:lang w:val="en-US"/>
        </w:rPr>
        <w:t xml:space="preserve"> 6(1):1–8.</w:t>
      </w:r>
    </w:p>
    <w:p w14:paraId="46DA70B3" w14:textId="3175529D" w:rsidR="0022210E" w:rsidRPr="0022210E" w:rsidRDefault="0022210E" w:rsidP="0022210E">
      <w:pPr>
        <w:pStyle w:val="CETReferencetext"/>
      </w:pPr>
      <w:proofErr w:type="spellStart"/>
      <w:r w:rsidRPr="00C370D5">
        <w:rPr>
          <w:lang w:val="en-US"/>
        </w:rPr>
        <w:t>Tacchini</w:t>
      </w:r>
      <w:proofErr w:type="spellEnd"/>
      <w:r w:rsidR="00C370D5" w:rsidRPr="00C370D5">
        <w:rPr>
          <w:lang w:val="en-US"/>
        </w:rPr>
        <w:t xml:space="preserve"> E.</w:t>
      </w:r>
      <w:r w:rsidRPr="00C370D5">
        <w:rPr>
          <w:lang w:val="en-US"/>
        </w:rPr>
        <w:t>, Moreno</w:t>
      </w:r>
      <w:r w:rsidR="00C370D5" w:rsidRPr="00C370D5">
        <w:rPr>
          <w:lang w:val="en-US"/>
        </w:rPr>
        <w:t xml:space="preserve"> V.C.</w:t>
      </w:r>
      <w:r w:rsidRPr="00C370D5">
        <w:rPr>
          <w:lang w:val="en-US"/>
        </w:rPr>
        <w:t xml:space="preserve">, </w:t>
      </w:r>
      <w:proofErr w:type="spellStart"/>
      <w:r w:rsidRPr="00C370D5">
        <w:rPr>
          <w:lang w:val="en-US"/>
        </w:rPr>
        <w:t>Tugnoli</w:t>
      </w:r>
      <w:proofErr w:type="spellEnd"/>
      <w:r w:rsidR="00C370D5" w:rsidRPr="00C370D5">
        <w:rPr>
          <w:lang w:val="en-US"/>
        </w:rPr>
        <w:t xml:space="preserve"> A.</w:t>
      </w:r>
      <w:r w:rsidRPr="00C370D5">
        <w:rPr>
          <w:lang w:val="en-US"/>
        </w:rPr>
        <w:t xml:space="preserve">, </w:t>
      </w:r>
      <w:proofErr w:type="spellStart"/>
      <w:r w:rsidRPr="00C370D5">
        <w:rPr>
          <w:lang w:val="en-US"/>
        </w:rPr>
        <w:t>Cozzani</w:t>
      </w:r>
      <w:proofErr w:type="spellEnd"/>
      <w:r w:rsidR="00C370D5" w:rsidRPr="00C370D5">
        <w:rPr>
          <w:lang w:val="en-US"/>
        </w:rPr>
        <w:t xml:space="preserve"> V</w:t>
      </w:r>
      <w:r w:rsidRPr="00C370D5">
        <w:rPr>
          <w:lang w:val="en-US"/>
        </w:rPr>
        <w:t>.</w:t>
      </w:r>
      <w:r w:rsidR="00C370D5" w:rsidRPr="00C370D5">
        <w:rPr>
          <w:lang w:val="en-US"/>
        </w:rPr>
        <w:t>,</w:t>
      </w:r>
      <w:r w:rsidRPr="00C370D5">
        <w:rPr>
          <w:lang w:val="en-US"/>
        </w:rPr>
        <w:t xml:space="preserve"> 2020</w:t>
      </w:r>
      <w:r w:rsidR="00C370D5" w:rsidRPr="00C370D5">
        <w:rPr>
          <w:lang w:val="en-US"/>
        </w:rPr>
        <w:t>,</w:t>
      </w:r>
      <w:r w:rsidRPr="00C370D5">
        <w:rPr>
          <w:lang w:val="en-US"/>
        </w:rPr>
        <w:t xml:space="preserve"> </w:t>
      </w:r>
      <w:r w:rsidRPr="0022210E">
        <w:t xml:space="preserve">Technical-Economic Analysis of Processes </w:t>
      </w:r>
      <w:proofErr w:type="gramStart"/>
      <w:r w:rsidRPr="0022210E">
        <w:t>for the Production of</w:t>
      </w:r>
      <w:proofErr w:type="gramEnd"/>
      <w:r w:rsidRPr="0022210E">
        <w:t xml:space="preserve"> Levulinic Acid</w:t>
      </w:r>
      <w:r w:rsidR="00C370D5">
        <w:t>,</w:t>
      </w:r>
      <w:r w:rsidRPr="0022210E">
        <w:t xml:space="preserve"> Chemical Engineering Transactions</w:t>
      </w:r>
      <w:r w:rsidR="00C370D5">
        <w:t>,</w:t>
      </w:r>
      <w:r w:rsidRPr="0022210E">
        <w:t xml:space="preserve"> 80:277–82.</w:t>
      </w:r>
    </w:p>
    <w:p w14:paraId="452267A8" w14:textId="0D0A6B51" w:rsidR="0022210E" w:rsidRPr="0022210E" w:rsidRDefault="0022210E" w:rsidP="0022210E">
      <w:pPr>
        <w:pStyle w:val="CETReferencetext"/>
      </w:pPr>
      <w:r w:rsidRPr="0022210E">
        <w:t>Tan</w:t>
      </w:r>
      <w:r w:rsidR="00C370D5">
        <w:t xml:space="preserve"> P.</w:t>
      </w:r>
      <w:r w:rsidRPr="0022210E">
        <w:t>, Jiang</w:t>
      </w:r>
      <w:r w:rsidR="00C370D5">
        <w:t xml:space="preserve"> </w:t>
      </w:r>
      <w:r w:rsidR="00C370D5" w:rsidRPr="0022210E">
        <w:t>H.R.</w:t>
      </w:r>
      <w:r w:rsidRPr="0022210E">
        <w:t>, Zhu</w:t>
      </w:r>
      <w:r w:rsidR="00C370D5" w:rsidRPr="00C370D5">
        <w:t xml:space="preserve"> </w:t>
      </w:r>
      <w:r w:rsidR="00C370D5" w:rsidRPr="0022210E">
        <w:t>X.B.</w:t>
      </w:r>
      <w:r w:rsidRPr="0022210E">
        <w:t>, An</w:t>
      </w:r>
      <w:r w:rsidR="00C370D5" w:rsidRPr="00C370D5">
        <w:t xml:space="preserve"> </w:t>
      </w:r>
      <w:r w:rsidR="00C370D5" w:rsidRPr="0022210E">
        <w:t>L.</w:t>
      </w:r>
      <w:r w:rsidRPr="0022210E">
        <w:t>, Jung</w:t>
      </w:r>
      <w:r w:rsidR="00C370D5" w:rsidRPr="00C370D5">
        <w:t xml:space="preserve"> </w:t>
      </w:r>
      <w:r w:rsidR="00C370D5" w:rsidRPr="0022210E">
        <w:t>C.Y.</w:t>
      </w:r>
      <w:r w:rsidRPr="0022210E">
        <w:t>, Wu</w:t>
      </w:r>
      <w:r w:rsidR="00C370D5" w:rsidRPr="00C370D5">
        <w:t xml:space="preserve"> </w:t>
      </w:r>
      <w:r w:rsidR="00C370D5" w:rsidRPr="0022210E">
        <w:t>M.C.</w:t>
      </w:r>
      <w:r w:rsidRPr="0022210E">
        <w:t>, Shi</w:t>
      </w:r>
      <w:r w:rsidR="00C370D5" w:rsidRPr="00C370D5">
        <w:t xml:space="preserve"> </w:t>
      </w:r>
      <w:r w:rsidR="00C370D5" w:rsidRPr="0022210E">
        <w:t>L.</w:t>
      </w:r>
      <w:r w:rsidRPr="0022210E">
        <w:t xml:space="preserve">, </w:t>
      </w:r>
      <w:proofErr w:type="spellStart"/>
      <w:r w:rsidRPr="0022210E">
        <w:t>Shyy</w:t>
      </w:r>
      <w:proofErr w:type="spellEnd"/>
      <w:r w:rsidR="00C370D5" w:rsidRPr="00C370D5">
        <w:t xml:space="preserve"> </w:t>
      </w:r>
      <w:r w:rsidR="00C370D5" w:rsidRPr="0022210E">
        <w:t>W.</w:t>
      </w:r>
      <w:r w:rsidRPr="0022210E">
        <w:t>, Zhao</w:t>
      </w:r>
      <w:r w:rsidR="00C370D5" w:rsidRPr="00C370D5">
        <w:t xml:space="preserve"> </w:t>
      </w:r>
      <w:r w:rsidR="00C370D5" w:rsidRPr="0022210E">
        <w:t>T.S.</w:t>
      </w:r>
      <w:r w:rsidR="00C370D5">
        <w:t>,</w:t>
      </w:r>
      <w:r w:rsidRPr="0022210E">
        <w:t xml:space="preserve"> 2017</w:t>
      </w:r>
      <w:r w:rsidR="00C370D5">
        <w:t>,</w:t>
      </w:r>
      <w:r w:rsidRPr="0022210E">
        <w:t xml:space="preserve"> Advances and Challenges in Lithium-Air Batteries</w:t>
      </w:r>
      <w:r w:rsidR="00C370D5">
        <w:t>,</w:t>
      </w:r>
      <w:r w:rsidRPr="0022210E">
        <w:t xml:space="preserve"> Applied Energy</w:t>
      </w:r>
      <w:r w:rsidR="00C370D5">
        <w:t>,</w:t>
      </w:r>
      <w:r w:rsidRPr="0022210E">
        <w:t xml:space="preserve"> 204:780–806.</w:t>
      </w:r>
    </w:p>
    <w:p w14:paraId="53EF6FB2" w14:textId="531A8E00" w:rsidR="0022210E" w:rsidRPr="0022210E" w:rsidRDefault="0022210E" w:rsidP="0022210E">
      <w:pPr>
        <w:pStyle w:val="CETReferencetext"/>
      </w:pPr>
      <w:r w:rsidRPr="0022210E">
        <w:t>Thakkar</w:t>
      </w:r>
      <w:r w:rsidR="00C370D5">
        <w:t xml:space="preserve"> A.</w:t>
      </w:r>
      <w:r w:rsidRPr="0022210E">
        <w:t>, Shell</w:t>
      </w:r>
      <w:r w:rsidR="00C370D5">
        <w:t xml:space="preserve"> K.M.</w:t>
      </w:r>
      <w:r w:rsidRPr="0022210E">
        <w:t xml:space="preserve">, </w:t>
      </w:r>
      <w:proofErr w:type="spellStart"/>
      <w:r w:rsidRPr="0022210E">
        <w:t>Bertosin</w:t>
      </w:r>
      <w:proofErr w:type="spellEnd"/>
      <w:r w:rsidR="00C370D5">
        <w:t xml:space="preserve"> M.</w:t>
      </w:r>
      <w:r w:rsidRPr="0022210E">
        <w:t xml:space="preserve">, </w:t>
      </w:r>
      <w:proofErr w:type="spellStart"/>
      <w:r w:rsidRPr="0022210E">
        <w:t>Rodene</w:t>
      </w:r>
      <w:proofErr w:type="spellEnd"/>
      <w:r w:rsidR="00C370D5">
        <w:t xml:space="preserve"> D.D.</w:t>
      </w:r>
      <w:r w:rsidRPr="0022210E">
        <w:t>, Amar</w:t>
      </w:r>
      <w:r w:rsidR="00C370D5">
        <w:t xml:space="preserve"> V.</w:t>
      </w:r>
      <w:r w:rsidRPr="0022210E">
        <w:t xml:space="preserve">, </w:t>
      </w:r>
      <w:proofErr w:type="spellStart"/>
      <w:r w:rsidRPr="0022210E">
        <w:t>Bertucco</w:t>
      </w:r>
      <w:proofErr w:type="spellEnd"/>
      <w:r w:rsidR="00C370D5">
        <w:t xml:space="preserve"> A.</w:t>
      </w:r>
      <w:r w:rsidRPr="0022210E">
        <w:t>, Gupta</w:t>
      </w:r>
      <w:r w:rsidR="00C370D5">
        <w:t xml:space="preserve"> R.B.</w:t>
      </w:r>
      <w:r w:rsidRPr="0022210E">
        <w:t>, Shende</w:t>
      </w:r>
      <w:r w:rsidR="00C370D5">
        <w:t xml:space="preserve"> R.</w:t>
      </w:r>
      <w:r w:rsidRPr="0022210E">
        <w:t>, Kumar</w:t>
      </w:r>
      <w:r w:rsidR="00C370D5">
        <w:t xml:space="preserve"> S</w:t>
      </w:r>
      <w:r w:rsidRPr="0022210E">
        <w:t>.</w:t>
      </w:r>
      <w:r w:rsidR="00C370D5">
        <w:t>,</w:t>
      </w:r>
      <w:r w:rsidRPr="0022210E">
        <w:t xml:space="preserve"> 2021</w:t>
      </w:r>
      <w:r w:rsidR="00C370D5">
        <w:t>,</w:t>
      </w:r>
      <w:r w:rsidRPr="0022210E">
        <w:t xml:space="preserve"> Production of Levulinic Acid and Biocarbon Electrode Material from Corn Stover through an Integrated Biorefinery Process</w:t>
      </w:r>
      <w:r w:rsidR="00C370D5">
        <w:t>,</w:t>
      </w:r>
      <w:r w:rsidRPr="0022210E">
        <w:t xml:space="preserve"> Fuel Processing Technology</w:t>
      </w:r>
      <w:r w:rsidR="00C370D5">
        <w:t>,</w:t>
      </w:r>
      <w:r w:rsidRPr="0022210E">
        <w:t xml:space="preserve"> 213:106644.</w:t>
      </w:r>
    </w:p>
    <w:p w14:paraId="239CED70" w14:textId="764A859A" w:rsidR="0022210E" w:rsidRPr="0022210E" w:rsidRDefault="0022210E" w:rsidP="0022210E">
      <w:pPr>
        <w:pStyle w:val="CETReferencetext"/>
      </w:pPr>
      <w:r w:rsidRPr="0022210E">
        <w:t xml:space="preserve">van </w:t>
      </w:r>
      <w:proofErr w:type="spellStart"/>
      <w:r w:rsidRPr="0022210E">
        <w:t>Zandvoort</w:t>
      </w:r>
      <w:proofErr w:type="spellEnd"/>
      <w:r w:rsidR="00C370D5">
        <w:t xml:space="preserve"> I.</w:t>
      </w:r>
      <w:r w:rsidRPr="0022210E">
        <w:t>, Wang</w:t>
      </w:r>
      <w:r w:rsidR="00C370D5">
        <w:t xml:space="preserve"> Y.</w:t>
      </w:r>
      <w:r w:rsidRPr="0022210E">
        <w:t xml:space="preserve">, </w:t>
      </w:r>
      <w:proofErr w:type="spellStart"/>
      <w:r w:rsidRPr="0022210E">
        <w:t>Rasrendra</w:t>
      </w:r>
      <w:proofErr w:type="spellEnd"/>
      <w:r w:rsidR="00C370D5">
        <w:t xml:space="preserve"> C.B.</w:t>
      </w:r>
      <w:r w:rsidRPr="0022210E">
        <w:t>, van Eck</w:t>
      </w:r>
      <w:r w:rsidR="00C370D5" w:rsidRPr="00C370D5">
        <w:t xml:space="preserve"> </w:t>
      </w:r>
      <w:r w:rsidR="00C370D5" w:rsidRPr="0022210E">
        <w:t>E</w:t>
      </w:r>
      <w:r w:rsidR="00C370D5">
        <w:t>.</w:t>
      </w:r>
      <w:r w:rsidR="00C370D5" w:rsidRPr="0022210E">
        <w:t>R.H.</w:t>
      </w:r>
      <w:r w:rsidRPr="0022210E">
        <w:t xml:space="preserve">, </w:t>
      </w:r>
      <w:proofErr w:type="spellStart"/>
      <w:r w:rsidRPr="0022210E">
        <w:t>Bruijnincx</w:t>
      </w:r>
      <w:proofErr w:type="spellEnd"/>
      <w:r w:rsidR="00C370D5" w:rsidRPr="00C370D5">
        <w:t xml:space="preserve"> </w:t>
      </w:r>
      <w:r w:rsidR="00C370D5" w:rsidRPr="0022210E">
        <w:t>P</w:t>
      </w:r>
      <w:r w:rsidR="00C370D5">
        <w:t>.</w:t>
      </w:r>
      <w:r w:rsidR="00C370D5" w:rsidRPr="0022210E">
        <w:t>C.A.</w:t>
      </w:r>
      <w:r w:rsidRPr="0022210E">
        <w:t xml:space="preserve">, </w:t>
      </w:r>
      <w:proofErr w:type="spellStart"/>
      <w:r w:rsidRPr="0022210E">
        <w:t>Heeres</w:t>
      </w:r>
      <w:proofErr w:type="spellEnd"/>
      <w:r w:rsidR="00C370D5" w:rsidRPr="00C370D5">
        <w:t xml:space="preserve"> </w:t>
      </w:r>
      <w:r w:rsidR="00C370D5" w:rsidRPr="0022210E">
        <w:t>H</w:t>
      </w:r>
      <w:r w:rsidR="00C370D5">
        <w:t>.</w:t>
      </w:r>
      <w:r w:rsidR="00C370D5" w:rsidRPr="0022210E">
        <w:t>J.</w:t>
      </w:r>
      <w:r w:rsidRPr="0022210E">
        <w:t xml:space="preserve">, </w:t>
      </w:r>
      <w:proofErr w:type="spellStart"/>
      <w:r w:rsidRPr="0022210E">
        <w:t>Weckhuysen</w:t>
      </w:r>
      <w:proofErr w:type="spellEnd"/>
      <w:r w:rsidR="00C370D5" w:rsidRPr="00C370D5">
        <w:t xml:space="preserve"> </w:t>
      </w:r>
      <w:r w:rsidR="00C370D5" w:rsidRPr="0022210E">
        <w:t>B</w:t>
      </w:r>
      <w:r w:rsidR="00C370D5">
        <w:t>.</w:t>
      </w:r>
      <w:r w:rsidR="00C370D5" w:rsidRPr="0022210E">
        <w:t>M.</w:t>
      </w:r>
      <w:r w:rsidR="00C370D5">
        <w:t>,</w:t>
      </w:r>
      <w:r w:rsidRPr="0022210E">
        <w:t xml:space="preserve"> 2013</w:t>
      </w:r>
      <w:r w:rsidR="00C370D5">
        <w:t>,</w:t>
      </w:r>
      <w:r w:rsidRPr="0022210E">
        <w:t xml:space="preserve"> Formation, Molecular Structure, and Morphology of Humins in Biomass Conversion: Influence of Feedstock and Processing Conditions</w:t>
      </w:r>
      <w:r w:rsidR="00C370D5">
        <w:t>,</w:t>
      </w:r>
      <w:r w:rsidRPr="0022210E">
        <w:t xml:space="preserve"> </w:t>
      </w:r>
      <w:proofErr w:type="spellStart"/>
      <w:r w:rsidRPr="0022210E">
        <w:t>ChemSusChem</w:t>
      </w:r>
      <w:proofErr w:type="spellEnd"/>
      <w:r w:rsidR="00C370D5">
        <w:t>,</w:t>
      </w:r>
      <w:r w:rsidRPr="0022210E">
        <w:t xml:space="preserve"> 6(9):1745–58.</w:t>
      </w:r>
    </w:p>
    <w:p w14:paraId="38CA8C60" w14:textId="77777777" w:rsidR="0022210E" w:rsidRDefault="0022210E" w:rsidP="00600535">
      <w:pPr>
        <w:pStyle w:val="CETBodytext"/>
        <w:rPr>
          <w:lang w:val="en-GB"/>
        </w:rPr>
      </w:pPr>
    </w:p>
    <w:sectPr w:rsidR="0022210E" w:rsidSect="00EF06D9">
      <w:type w:val="continuous"/>
      <w:pgSz w:w="11906" w:h="16838" w:code="9"/>
      <w:pgMar w:top="1701" w:right="1418" w:bottom="1701" w:left="1701" w:header="1701" w:footer="0" w:gutter="0"/>
      <w:cols w:space="708"/>
      <w:formProt w:val="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9A11264" w14:textId="77777777" w:rsidR="006E0E79" w:rsidRDefault="006E0E79" w:rsidP="004F5E36">
      <w:r>
        <w:separator/>
      </w:r>
    </w:p>
  </w:endnote>
  <w:endnote w:type="continuationSeparator" w:id="0">
    <w:p w14:paraId="750FEEBB" w14:textId="77777777" w:rsidR="006E0E79" w:rsidRDefault="006E0E79" w:rsidP="004F5E3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AdvP6960">
    <w:altName w:val="Cambria"/>
    <w:charset w:val="00"/>
    <w:family w:val="auto"/>
    <w:pitch w:val="default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358E715" w14:textId="77777777" w:rsidR="006E0E79" w:rsidRDefault="006E0E79" w:rsidP="004F5E36">
      <w:r>
        <w:separator/>
      </w:r>
    </w:p>
  </w:footnote>
  <w:footnote w:type="continuationSeparator" w:id="0">
    <w:p w14:paraId="4D26637F" w14:textId="77777777" w:rsidR="006E0E79" w:rsidRDefault="006E0E79" w:rsidP="004F5E3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558AF15E"/>
    <w:lvl w:ilvl="0">
      <w:start w:val="1"/>
      <w:numFmt w:val="decimal"/>
      <w:pStyle w:val="ListNumber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65EC884E"/>
    <w:lvl w:ilvl="0">
      <w:start w:val="1"/>
      <w:numFmt w:val="decimal"/>
      <w:pStyle w:val="ListNumber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408CBE96"/>
    <w:lvl w:ilvl="0">
      <w:start w:val="1"/>
      <w:numFmt w:val="decimal"/>
      <w:pStyle w:val="ListNumber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CFC0B388"/>
    <w:lvl w:ilvl="0">
      <w:start w:val="1"/>
      <w:numFmt w:val="decimal"/>
      <w:pStyle w:val="ListNumber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CA34EB48"/>
    <w:lvl w:ilvl="0">
      <w:start w:val="1"/>
      <w:numFmt w:val="bullet"/>
      <w:pStyle w:val="ListBullet5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485C6BD6"/>
    <w:lvl w:ilvl="0">
      <w:start w:val="1"/>
      <w:numFmt w:val="bullet"/>
      <w:pStyle w:val="ListBullet4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587A9968"/>
    <w:lvl w:ilvl="0">
      <w:start w:val="1"/>
      <w:numFmt w:val="bullet"/>
      <w:pStyle w:val="ListBullet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9ED27934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95F4206A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206ACE1A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2438217E"/>
    <w:multiLevelType w:val="multilevel"/>
    <w:tmpl w:val="F17228D6"/>
    <w:lvl w:ilvl="0">
      <w:start w:val="1"/>
      <w:numFmt w:val="decimal"/>
      <w:suff w:val="space"/>
      <w:lvlText w:val="Chapter %1"/>
      <w:lvlJc w:val="left"/>
      <w:pPr>
        <w:ind w:left="0" w:firstLine="0"/>
      </w:pPr>
      <w:rPr>
        <w:rFonts w:hint="default"/>
      </w:rPr>
    </w:lvl>
    <w:lvl w:ilvl="1">
      <w:start w:val="1"/>
      <w:numFmt w:val="decimal"/>
      <w:pStyle w:val="CETHeading1"/>
      <w:suff w:val="space"/>
      <w:lvlText w:val="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pStyle w:val="CETheadingx"/>
      <w:suff w:val="space"/>
      <w:lvlText w:val="%2.%3"/>
      <w:lvlJc w:val="left"/>
      <w:pPr>
        <w:ind w:left="0" w:firstLine="0"/>
      </w:pPr>
      <w:rPr>
        <w:rFonts w:hint="default"/>
      </w:rPr>
    </w:lvl>
    <w:lvl w:ilvl="3">
      <w:start w:val="1"/>
      <w:numFmt w:val="decimal"/>
      <w:pStyle w:val="TableSimple1"/>
      <w:suff w:val="space"/>
      <w:lvlText w:val="%2.%3.%4."/>
      <w:lvlJc w:val="left"/>
      <w:pPr>
        <w:ind w:left="0" w:firstLine="0"/>
      </w:pPr>
      <w:rPr>
        <w:rFonts w:hint="default"/>
      </w:rPr>
    </w:lvl>
    <w:lvl w:ilvl="4">
      <w:start w:val="1"/>
      <w:numFmt w:val="decimal"/>
      <w:suff w:val="space"/>
      <w:lvlText w:val="%1.%2.%3.%4.%5."/>
      <w:lvlJc w:val="left"/>
      <w:pPr>
        <w:ind w:left="0" w:firstLine="0"/>
      </w:pPr>
      <w:rPr>
        <w:rFonts w:hint="default"/>
      </w:rPr>
    </w:lvl>
    <w:lvl w:ilvl="5">
      <w:start w:val="1"/>
      <w:numFmt w:val="decimal"/>
      <w:suff w:val="space"/>
      <w:lvlText w:val="%1.%2.%3.%4.%5.%6."/>
      <w:lvlJc w:val="left"/>
      <w:pPr>
        <w:ind w:left="0" w:firstLine="0"/>
      </w:pPr>
      <w:rPr>
        <w:rFonts w:hint="default"/>
      </w:rPr>
    </w:lvl>
    <w:lvl w:ilvl="6">
      <w:start w:val="1"/>
      <w:numFmt w:val="decimal"/>
      <w:suff w:val="space"/>
      <w:lvlText w:val="%1.%2.%3.%4.%5.%6.%7."/>
      <w:lvlJc w:val="left"/>
      <w:pPr>
        <w:ind w:left="0" w:firstLine="0"/>
      </w:pPr>
      <w:rPr>
        <w:rFonts w:hint="default"/>
      </w:rPr>
    </w:lvl>
    <w:lvl w:ilvl="7">
      <w:start w:val="1"/>
      <w:numFmt w:val="decimal"/>
      <w:suff w:val="space"/>
      <w:lvlText w:val="%1.%2.%3.%4.%5.%6.%7.%8."/>
      <w:lvlJc w:val="left"/>
      <w:pPr>
        <w:ind w:left="0" w:firstLine="0"/>
      </w:pPr>
      <w:rPr>
        <w:rFonts w:hint="default"/>
      </w:rPr>
    </w:lvl>
    <w:lvl w:ilvl="8">
      <w:start w:val="1"/>
      <w:numFmt w:val="decimal"/>
      <w:suff w:val="space"/>
      <w:lvlText w:val="%1..%3.%4.%5.%6.%7.%8.%9."/>
      <w:lvlJc w:val="left"/>
      <w:pPr>
        <w:ind w:left="0" w:firstLine="0"/>
      </w:pPr>
      <w:rPr>
        <w:rFonts w:hint="default"/>
      </w:rPr>
    </w:lvl>
  </w:abstractNum>
  <w:abstractNum w:abstractNumId="11" w15:restartNumberingAfterBreak="0">
    <w:nsid w:val="330B7370"/>
    <w:multiLevelType w:val="hybridMultilevel"/>
    <w:tmpl w:val="12E2AD3A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51E0394"/>
    <w:multiLevelType w:val="hybridMultilevel"/>
    <w:tmpl w:val="806658E2"/>
    <w:lvl w:ilvl="0" w:tplc="14B0F7A8">
      <w:start w:val="1"/>
      <w:numFmt w:val="bullet"/>
      <w:pStyle w:val="CETnumberingbullets"/>
      <w:lvlText w:val=""/>
      <w:lvlJc w:val="left"/>
      <w:pPr>
        <w:ind w:left="340" w:hanging="227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9C329B9"/>
    <w:multiLevelType w:val="hybridMultilevel"/>
    <w:tmpl w:val="A2E6C3C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CB100E8"/>
    <w:multiLevelType w:val="hybridMultilevel"/>
    <w:tmpl w:val="6F34C070"/>
    <w:lvl w:ilvl="0" w:tplc="1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1440" w:hanging="360"/>
      </w:pPr>
    </w:lvl>
    <w:lvl w:ilvl="2" w:tplc="1409001B" w:tentative="1">
      <w:start w:val="1"/>
      <w:numFmt w:val="lowerRoman"/>
      <w:lvlText w:val="%3."/>
      <w:lvlJc w:val="right"/>
      <w:pPr>
        <w:ind w:left="2160" w:hanging="180"/>
      </w:pPr>
    </w:lvl>
    <w:lvl w:ilvl="3" w:tplc="1409000F" w:tentative="1">
      <w:start w:val="1"/>
      <w:numFmt w:val="decimal"/>
      <w:lvlText w:val="%4."/>
      <w:lvlJc w:val="left"/>
      <w:pPr>
        <w:ind w:left="2880" w:hanging="360"/>
      </w:pPr>
    </w:lvl>
    <w:lvl w:ilvl="4" w:tplc="14090019" w:tentative="1">
      <w:start w:val="1"/>
      <w:numFmt w:val="lowerLetter"/>
      <w:lvlText w:val="%5."/>
      <w:lvlJc w:val="left"/>
      <w:pPr>
        <w:ind w:left="3600" w:hanging="360"/>
      </w:pPr>
    </w:lvl>
    <w:lvl w:ilvl="5" w:tplc="1409001B" w:tentative="1">
      <w:start w:val="1"/>
      <w:numFmt w:val="lowerRoman"/>
      <w:lvlText w:val="%6."/>
      <w:lvlJc w:val="right"/>
      <w:pPr>
        <w:ind w:left="4320" w:hanging="180"/>
      </w:pPr>
    </w:lvl>
    <w:lvl w:ilvl="6" w:tplc="1409000F" w:tentative="1">
      <w:start w:val="1"/>
      <w:numFmt w:val="decimal"/>
      <w:lvlText w:val="%7."/>
      <w:lvlJc w:val="left"/>
      <w:pPr>
        <w:ind w:left="5040" w:hanging="360"/>
      </w:pPr>
    </w:lvl>
    <w:lvl w:ilvl="7" w:tplc="14090019" w:tentative="1">
      <w:start w:val="1"/>
      <w:numFmt w:val="lowerLetter"/>
      <w:lvlText w:val="%8."/>
      <w:lvlJc w:val="left"/>
      <w:pPr>
        <w:ind w:left="5760" w:hanging="360"/>
      </w:pPr>
    </w:lvl>
    <w:lvl w:ilvl="8" w:tplc="1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0A87BA7"/>
    <w:multiLevelType w:val="hybridMultilevel"/>
    <w:tmpl w:val="1F6A8AD4"/>
    <w:lvl w:ilvl="0" w:tplc="14B0F7A8">
      <w:start w:val="1"/>
      <w:numFmt w:val="bullet"/>
      <w:lvlText w:val=""/>
      <w:lvlJc w:val="left"/>
      <w:pPr>
        <w:ind w:left="340" w:hanging="227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2217387"/>
    <w:multiLevelType w:val="hybridMultilevel"/>
    <w:tmpl w:val="C2AE185A"/>
    <w:lvl w:ilvl="0" w:tplc="14090011">
      <w:start w:val="1"/>
      <w:numFmt w:val="decimal"/>
      <w:lvlText w:val="%1)"/>
      <w:lvlJc w:val="left"/>
      <w:pPr>
        <w:ind w:left="340" w:hanging="227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6205803"/>
    <w:multiLevelType w:val="multilevel"/>
    <w:tmpl w:val="444C89D0"/>
    <w:lvl w:ilvl="0">
      <w:start w:val="1"/>
      <w:numFmt w:val="decimal"/>
      <w:suff w:val="space"/>
      <w:lvlText w:val="Chapter %1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space"/>
      <w:lvlText w:val="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suff w:val="space"/>
      <w:lvlText w:val="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suff w:val="space"/>
      <w:lvlText w:val="%2.%3.%4."/>
      <w:lvlJc w:val="left"/>
      <w:pPr>
        <w:ind w:left="0" w:firstLine="0"/>
      </w:pPr>
      <w:rPr>
        <w:rFonts w:hint="default"/>
      </w:rPr>
    </w:lvl>
    <w:lvl w:ilvl="4">
      <w:start w:val="1"/>
      <w:numFmt w:val="decimal"/>
      <w:suff w:val="space"/>
      <w:lvlText w:val="%1.%2.%3.%4.%5."/>
      <w:lvlJc w:val="left"/>
      <w:pPr>
        <w:ind w:left="0" w:firstLine="0"/>
      </w:pPr>
      <w:rPr>
        <w:rFonts w:hint="default"/>
      </w:rPr>
    </w:lvl>
    <w:lvl w:ilvl="5">
      <w:start w:val="1"/>
      <w:numFmt w:val="decimal"/>
      <w:suff w:val="space"/>
      <w:lvlText w:val="%1.%2.%3.%4.%5.%6."/>
      <w:lvlJc w:val="left"/>
      <w:pPr>
        <w:ind w:left="0" w:firstLine="0"/>
      </w:pPr>
      <w:rPr>
        <w:rFonts w:hint="default"/>
      </w:rPr>
    </w:lvl>
    <w:lvl w:ilvl="6">
      <w:start w:val="1"/>
      <w:numFmt w:val="decimal"/>
      <w:suff w:val="space"/>
      <w:lvlText w:val="%1.%2.%3.%4.%5.%6.%7."/>
      <w:lvlJc w:val="left"/>
      <w:pPr>
        <w:ind w:left="0" w:firstLine="0"/>
      </w:pPr>
      <w:rPr>
        <w:rFonts w:hint="default"/>
      </w:rPr>
    </w:lvl>
    <w:lvl w:ilvl="7">
      <w:start w:val="1"/>
      <w:numFmt w:val="decimal"/>
      <w:suff w:val="space"/>
      <w:lvlText w:val="%1.%2.%3.%4.%5.%6.%7.%8."/>
      <w:lvlJc w:val="left"/>
      <w:pPr>
        <w:ind w:left="0" w:firstLine="0"/>
      </w:pPr>
      <w:rPr>
        <w:rFonts w:hint="default"/>
      </w:rPr>
    </w:lvl>
    <w:lvl w:ilvl="8">
      <w:start w:val="1"/>
      <w:numFmt w:val="decimal"/>
      <w:suff w:val="space"/>
      <w:lvlText w:val="%1..%3.%4.%5.%6.%7.%8.%9."/>
      <w:lvlJc w:val="left"/>
      <w:pPr>
        <w:ind w:left="0" w:firstLine="0"/>
      </w:pPr>
      <w:rPr>
        <w:rFonts w:hint="default"/>
      </w:rPr>
    </w:lvl>
  </w:abstractNum>
  <w:abstractNum w:abstractNumId="18" w15:restartNumberingAfterBreak="0">
    <w:nsid w:val="5AD311D0"/>
    <w:multiLevelType w:val="hybridMultilevel"/>
    <w:tmpl w:val="F198FF08"/>
    <w:lvl w:ilvl="0" w:tplc="62EA088C">
      <w:start w:val="1"/>
      <w:numFmt w:val="decimal"/>
      <w:pStyle w:val="CETnumbering1"/>
      <w:lvlText w:val="%1."/>
      <w:lvlJc w:val="left"/>
      <w:pPr>
        <w:ind w:left="720" w:hanging="360"/>
      </w:p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662015B5"/>
    <w:multiLevelType w:val="hybridMultilevel"/>
    <w:tmpl w:val="CCDE094E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865266D"/>
    <w:multiLevelType w:val="hybridMultilevel"/>
    <w:tmpl w:val="F5BE3C4A"/>
    <w:lvl w:ilvl="0" w:tplc="9FC4D28C">
      <w:start w:val="1"/>
      <w:numFmt w:val="lowerLetter"/>
      <w:pStyle w:val="CETnumberinga"/>
      <w:lvlText w:val="%1."/>
      <w:lvlJc w:val="left"/>
      <w:pPr>
        <w:ind w:left="340" w:hanging="227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8"/>
  </w:num>
  <w:num w:numId="3">
    <w:abstractNumId w:val="3"/>
  </w:num>
  <w:num w:numId="4">
    <w:abstractNumId w:val="2"/>
  </w:num>
  <w:num w:numId="5">
    <w:abstractNumId w:val="1"/>
  </w:num>
  <w:num w:numId="6">
    <w:abstractNumId w:val="0"/>
  </w:num>
  <w:num w:numId="7">
    <w:abstractNumId w:val="9"/>
  </w:num>
  <w:num w:numId="8">
    <w:abstractNumId w:val="7"/>
  </w:num>
  <w:num w:numId="9">
    <w:abstractNumId w:val="6"/>
  </w:num>
  <w:num w:numId="10">
    <w:abstractNumId w:val="5"/>
  </w:num>
  <w:num w:numId="11">
    <w:abstractNumId w:val="4"/>
  </w:num>
  <w:num w:numId="12">
    <w:abstractNumId w:val="17"/>
  </w:num>
  <w:num w:numId="13">
    <w:abstractNumId w:val="12"/>
  </w:num>
  <w:num w:numId="14">
    <w:abstractNumId w:val="18"/>
  </w:num>
  <w:num w:numId="15">
    <w:abstractNumId w:val="20"/>
  </w:num>
  <w:num w:numId="16">
    <w:abstractNumId w:val="19"/>
  </w:num>
  <w:num w:numId="17">
    <w:abstractNumId w:val="11"/>
  </w:num>
  <w:num w:numId="18">
    <w:abstractNumId w:val="12"/>
    <w:lvlOverride w:ilvl="0">
      <w:startOverride w:val="1"/>
    </w:lvlOverride>
  </w:num>
  <w:num w:numId="19">
    <w:abstractNumId w:val="16"/>
  </w:num>
  <w:num w:numId="20">
    <w:abstractNumId w:val="15"/>
  </w:num>
  <w:num w:numId="21">
    <w:abstractNumId w:val="14"/>
  </w:num>
  <w:num w:numId="22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hideSpellingErrors/>
  <w:hideGrammaticalErrors/>
  <w:proofState w:spelling="clean" w:grammar="clean"/>
  <w:stylePaneFormatFilter w:val="1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0" w:visibleStyles="0" w:alternateStyleNames="0"/>
  <w:documentProtection w:edit="forms" w:enforcement="0"/>
  <w:autoFormatOverride/>
  <w:styleLockTheme/>
  <w:styleLockQFSet/>
  <w:defaultTabStop w:val="708"/>
  <w:hyphenationZone w:val="283"/>
  <w:clickAndTypeStyle w:val="CETBodytext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0NTI0NzezsDA3M7MwMTJW0lEKTi0uzszPAykwMqgFADPRo54tAAAA"/>
  </w:docVars>
  <w:rsids>
    <w:rsidRoot w:val="000E414A"/>
    <w:rsid w:val="000027C0"/>
    <w:rsid w:val="000052FB"/>
    <w:rsid w:val="000117CB"/>
    <w:rsid w:val="0001211D"/>
    <w:rsid w:val="00024490"/>
    <w:rsid w:val="00027DD2"/>
    <w:rsid w:val="0003148D"/>
    <w:rsid w:val="00031EEC"/>
    <w:rsid w:val="00051566"/>
    <w:rsid w:val="00060420"/>
    <w:rsid w:val="00062A9A"/>
    <w:rsid w:val="0006480F"/>
    <w:rsid w:val="00065058"/>
    <w:rsid w:val="00070AF7"/>
    <w:rsid w:val="0008665E"/>
    <w:rsid w:val="00086C39"/>
    <w:rsid w:val="00093AA5"/>
    <w:rsid w:val="000A03B2"/>
    <w:rsid w:val="000A15B7"/>
    <w:rsid w:val="000B720C"/>
    <w:rsid w:val="000C6EA3"/>
    <w:rsid w:val="000D0268"/>
    <w:rsid w:val="000D0ED9"/>
    <w:rsid w:val="000D34BE"/>
    <w:rsid w:val="000E102F"/>
    <w:rsid w:val="000E36F1"/>
    <w:rsid w:val="000E3A73"/>
    <w:rsid w:val="000E414A"/>
    <w:rsid w:val="000F093C"/>
    <w:rsid w:val="000F5D04"/>
    <w:rsid w:val="000F787B"/>
    <w:rsid w:val="001165D5"/>
    <w:rsid w:val="00117419"/>
    <w:rsid w:val="00117E98"/>
    <w:rsid w:val="001208CD"/>
    <w:rsid w:val="0012091F"/>
    <w:rsid w:val="00122A6A"/>
    <w:rsid w:val="00126BC2"/>
    <w:rsid w:val="001308B6"/>
    <w:rsid w:val="0013121F"/>
    <w:rsid w:val="00131FE6"/>
    <w:rsid w:val="0013263F"/>
    <w:rsid w:val="001331DF"/>
    <w:rsid w:val="00134B44"/>
    <w:rsid w:val="00134DE4"/>
    <w:rsid w:val="00135A9F"/>
    <w:rsid w:val="0014034D"/>
    <w:rsid w:val="00144D16"/>
    <w:rsid w:val="00150E59"/>
    <w:rsid w:val="00152DE3"/>
    <w:rsid w:val="00164CF9"/>
    <w:rsid w:val="001667A6"/>
    <w:rsid w:val="001760D5"/>
    <w:rsid w:val="00184AD6"/>
    <w:rsid w:val="001A4AF7"/>
    <w:rsid w:val="001A5359"/>
    <w:rsid w:val="001B0349"/>
    <w:rsid w:val="001B0802"/>
    <w:rsid w:val="001B1E93"/>
    <w:rsid w:val="001B65C1"/>
    <w:rsid w:val="001C684B"/>
    <w:rsid w:val="001D0CFB"/>
    <w:rsid w:val="001D21AF"/>
    <w:rsid w:val="001D53FC"/>
    <w:rsid w:val="001E0BC9"/>
    <w:rsid w:val="001E4834"/>
    <w:rsid w:val="001E7429"/>
    <w:rsid w:val="001F42A5"/>
    <w:rsid w:val="001F7B9D"/>
    <w:rsid w:val="00201C93"/>
    <w:rsid w:val="00221BE2"/>
    <w:rsid w:val="0022210E"/>
    <w:rsid w:val="002224B4"/>
    <w:rsid w:val="00232B3A"/>
    <w:rsid w:val="002447EF"/>
    <w:rsid w:val="00251550"/>
    <w:rsid w:val="00263B05"/>
    <w:rsid w:val="0027221A"/>
    <w:rsid w:val="00275B61"/>
    <w:rsid w:val="00280FAF"/>
    <w:rsid w:val="00282656"/>
    <w:rsid w:val="00291679"/>
    <w:rsid w:val="00296B83"/>
    <w:rsid w:val="002A164C"/>
    <w:rsid w:val="002A4CE3"/>
    <w:rsid w:val="002B0DFE"/>
    <w:rsid w:val="002B4015"/>
    <w:rsid w:val="002B78CE"/>
    <w:rsid w:val="002C2FB6"/>
    <w:rsid w:val="002E5FA7"/>
    <w:rsid w:val="002F2771"/>
    <w:rsid w:val="002F3309"/>
    <w:rsid w:val="002F5EBA"/>
    <w:rsid w:val="003008CE"/>
    <w:rsid w:val="003009B7"/>
    <w:rsid w:val="00300E56"/>
    <w:rsid w:val="003020F1"/>
    <w:rsid w:val="0030469C"/>
    <w:rsid w:val="00321CA6"/>
    <w:rsid w:val="003226A0"/>
    <w:rsid w:val="00323763"/>
    <w:rsid w:val="00334C09"/>
    <w:rsid w:val="00352D66"/>
    <w:rsid w:val="00364203"/>
    <w:rsid w:val="003723D4"/>
    <w:rsid w:val="00381905"/>
    <w:rsid w:val="00384CC8"/>
    <w:rsid w:val="00385A4E"/>
    <w:rsid w:val="003871FD"/>
    <w:rsid w:val="00392709"/>
    <w:rsid w:val="003A1E30"/>
    <w:rsid w:val="003A2829"/>
    <w:rsid w:val="003A28F2"/>
    <w:rsid w:val="003A7D1C"/>
    <w:rsid w:val="003B304B"/>
    <w:rsid w:val="003B3146"/>
    <w:rsid w:val="003D0438"/>
    <w:rsid w:val="003F015E"/>
    <w:rsid w:val="00400414"/>
    <w:rsid w:val="00414443"/>
    <w:rsid w:val="0041446B"/>
    <w:rsid w:val="004203DE"/>
    <w:rsid w:val="0044071E"/>
    <w:rsid w:val="0044329C"/>
    <w:rsid w:val="00453E24"/>
    <w:rsid w:val="00456069"/>
    <w:rsid w:val="00457456"/>
    <w:rsid w:val="004577FE"/>
    <w:rsid w:val="00457B9C"/>
    <w:rsid w:val="0046164A"/>
    <w:rsid w:val="004628D2"/>
    <w:rsid w:val="00462DCD"/>
    <w:rsid w:val="004648AD"/>
    <w:rsid w:val="0046754C"/>
    <w:rsid w:val="00467DA1"/>
    <w:rsid w:val="004703A9"/>
    <w:rsid w:val="004760DE"/>
    <w:rsid w:val="00476354"/>
    <w:rsid w:val="004763D7"/>
    <w:rsid w:val="004A004E"/>
    <w:rsid w:val="004A24CF"/>
    <w:rsid w:val="004A7375"/>
    <w:rsid w:val="004C37C2"/>
    <w:rsid w:val="004C3D1D"/>
    <w:rsid w:val="004C3D70"/>
    <w:rsid w:val="004C7913"/>
    <w:rsid w:val="004C7E16"/>
    <w:rsid w:val="004E4DD6"/>
    <w:rsid w:val="004E6827"/>
    <w:rsid w:val="004F4A1B"/>
    <w:rsid w:val="004F5E36"/>
    <w:rsid w:val="00502557"/>
    <w:rsid w:val="00503B35"/>
    <w:rsid w:val="00504250"/>
    <w:rsid w:val="00507B47"/>
    <w:rsid w:val="00507BEF"/>
    <w:rsid w:val="00507CC9"/>
    <w:rsid w:val="005119A5"/>
    <w:rsid w:val="005278B7"/>
    <w:rsid w:val="00531BB7"/>
    <w:rsid w:val="00532016"/>
    <w:rsid w:val="005346C8"/>
    <w:rsid w:val="00543E7D"/>
    <w:rsid w:val="00547A68"/>
    <w:rsid w:val="005531C9"/>
    <w:rsid w:val="00570C43"/>
    <w:rsid w:val="005924D5"/>
    <w:rsid w:val="005A7AEE"/>
    <w:rsid w:val="005B2110"/>
    <w:rsid w:val="005B61E6"/>
    <w:rsid w:val="005C77E1"/>
    <w:rsid w:val="005D148B"/>
    <w:rsid w:val="005D668A"/>
    <w:rsid w:val="005D6A2F"/>
    <w:rsid w:val="005E1A82"/>
    <w:rsid w:val="005E794C"/>
    <w:rsid w:val="005F0A28"/>
    <w:rsid w:val="005F0E5E"/>
    <w:rsid w:val="005F5B98"/>
    <w:rsid w:val="00600535"/>
    <w:rsid w:val="006026A4"/>
    <w:rsid w:val="00610CD6"/>
    <w:rsid w:val="00613C73"/>
    <w:rsid w:val="00620DEE"/>
    <w:rsid w:val="00621F92"/>
    <w:rsid w:val="0062280A"/>
    <w:rsid w:val="00623CCC"/>
    <w:rsid w:val="00625639"/>
    <w:rsid w:val="0062741F"/>
    <w:rsid w:val="00631B33"/>
    <w:rsid w:val="00634E6F"/>
    <w:rsid w:val="0064184D"/>
    <w:rsid w:val="006422CC"/>
    <w:rsid w:val="006523DE"/>
    <w:rsid w:val="00655B1E"/>
    <w:rsid w:val="00660E3E"/>
    <w:rsid w:val="00662E74"/>
    <w:rsid w:val="00680C23"/>
    <w:rsid w:val="00693766"/>
    <w:rsid w:val="006A3281"/>
    <w:rsid w:val="006B0F16"/>
    <w:rsid w:val="006B1144"/>
    <w:rsid w:val="006B12C7"/>
    <w:rsid w:val="006B4888"/>
    <w:rsid w:val="006C2E45"/>
    <w:rsid w:val="006C359C"/>
    <w:rsid w:val="006C4063"/>
    <w:rsid w:val="006C5579"/>
    <w:rsid w:val="006D6E8B"/>
    <w:rsid w:val="006E0E79"/>
    <w:rsid w:val="006E1978"/>
    <w:rsid w:val="006E737D"/>
    <w:rsid w:val="006F23E4"/>
    <w:rsid w:val="007032F6"/>
    <w:rsid w:val="00710B88"/>
    <w:rsid w:val="00713973"/>
    <w:rsid w:val="007173ED"/>
    <w:rsid w:val="00720A24"/>
    <w:rsid w:val="0072535A"/>
    <w:rsid w:val="0072677E"/>
    <w:rsid w:val="00732386"/>
    <w:rsid w:val="00733865"/>
    <w:rsid w:val="0073514D"/>
    <w:rsid w:val="007447F3"/>
    <w:rsid w:val="0075499F"/>
    <w:rsid w:val="007651E6"/>
    <w:rsid w:val="007661C8"/>
    <w:rsid w:val="007662AC"/>
    <w:rsid w:val="0077098D"/>
    <w:rsid w:val="00774BAB"/>
    <w:rsid w:val="007931FA"/>
    <w:rsid w:val="0079323B"/>
    <w:rsid w:val="007A4861"/>
    <w:rsid w:val="007A7BBA"/>
    <w:rsid w:val="007B0C50"/>
    <w:rsid w:val="007B48F9"/>
    <w:rsid w:val="007C1A43"/>
    <w:rsid w:val="007D6F23"/>
    <w:rsid w:val="0080013E"/>
    <w:rsid w:val="00813288"/>
    <w:rsid w:val="008168FC"/>
    <w:rsid w:val="00830996"/>
    <w:rsid w:val="00831146"/>
    <w:rsid w:val="008329E6"/>
    <w:rsid w:val="008345F1"/>
    <w:rsid w:val="00865B07"/>
    <w:rsid w:val="008667EA"/>
    <w:rsid w:val="0087637F"/>
    <w:rsid w:val="00877A4C"/>
    <w:rsid w:val="008901C0"/>
    <w:rsid w:val="00892AD5"/>
    <w:rsid w:val="008952EE"/>
    <w:rsid w:val="008A1512"/>
    <w:rsid w:val="008A164E"/>
    <w:rsid w:val="008B5288"/>
    <w:rsid w:val="008D32B9"/>
    <w:rsid w:val="008D433B"/>
    <w:rsid w:val="008E21AD"/>
    <w:rsid w:val="008E566E"/>
    <w:rsid w:val="0090161A"/>
    <w:rsid w:val="00901C27"/>
    <w:rsid w:val="00901EB6"/>
    <w:rsid w:val="00904C62"/>
    <w:rsid w:val="00910AAE"/>
    <w:rsid w:val="00922BA8"/>
    <w:rsid w:val="00924899"/>
    <w:rsid w:val="00924DAC"/>
    <w:rsid w:val="00927058"/>
    <w:rsid w:val="00942750"/>
    <w:rsid w:val="009450CE"/>
    <w:rsid w:val="00947179"/>
    <w:rsid w:val="0095164B"/>
    <w:rsid w:val="00952A33"/>
    <w:rsid w:val="00954090"/>
    <w:rsid w:val="009573E7"/>
    <w:rsid w:val="00963E05"/>
    <w:rsid w:val="00964A45"/>
    <w:rsid w:val="00967843"/>
    <w:rsid w:val="00967D54"/>
    <w:rsid w:val="00971028"/>
    <w:rsid w:val="00985933"/>
    <w:rsid w:val="00985A55"/>
    <w:rsid w:val="00993B84"/>
    <w:rsid w:val="00996483"/>
    <w:rsid w:val="00996F5A"/>
    <w:rsid w:val="009A7A4F"/>
    <w:rsid w:val="009B041A"/>
    <w:rsid w:val="009C37C3"/>
    <w:rsid w:val="009C7C86"/>
    <w:rsid w:val="009D2FF7"/>
    <w:rsid w:val="009E7884"/>
    <w:rsid w:val="009E788A"/>
    <w:rsid w:val="009F0E08"/>
    <w:rsid w:val="009F26EF"/>
    <w:rsid w:val="00A054E9"/>
    <w:rsid w:val="00A07F9D"/>
    <w:rsid w:val="00A1763D"/>
    <w:rsid w:val="00A17CEC"/>
    <w:rsid w:val="00A27EF0"/>
    <w:rsid w:val="00A345AC"/>
    <w:rsid w:val="00A36525"/>
    <w:rsid w:val="00A42361"/>
    <w:rsid w:val="00A50B20"/>
    <w:rsid w:val="00A51390"/>
    <w:rsid w:val="00A55378"/>
    <w:rsid w:val="00A60D13"/>
    <w:rsid w:val="00A62B63"/>
    <w:rsid w:val="00A72745"/>
    <w:rsid w:val="00A74E08"/>
    <w:rsid w:val="00A76EFC"/>
    <w:rsid w:val="00A77AD0"/>
    <w:rsid w:val="00A91010"/>
    <w:rsid w:val="00A97F29"/>
    <w:rsid w:val="00AA702E"/>
    <w:rsid w:val="00AB0964"/>
    <w:rsid w:val="00AB5011"/>
    <w:rsid w:val="00AC7368"/>
    <w:rsid w:val="00AD16B9"/>
    <w:rsid w:val="00AE377D"/>
    <w:rsid w:val="00AF0EBA"/>
    <w:rsid w:val="00AF4E63"/>
    <w:rsid w:val="00B02C8A"/>
    <w:rsid w:val="00B02F20"/>
    <w:rsid w:val="00B0311F"/>
    <w:rsid w:val="00B149F2"/>
    <w:rsid w:val="00B17FBD"/>
    <w:rsid w:val="00B315A6"/>
    <w:rsid w:val="00B31813"/>
    <w:rsid w:val="00B33365"/>
    <w:rsid w:val="00B54229"/>
    <w:rsid w:val="00B57B36"/>
    <w:rsid w:val="00B57E6F"/>
    <w:rsid w:val="00B80A35"/>
    <w:rsid w:val="00B83EBA"/>
    <w:rsid w:val="00B8686D"/>
    <w:rsid w:val="00B93F69"/>
    <w:rsid w:val="00BB1DDC"/>
    <w:rsid w:val="00BB64DF"/>
    <w:rsid w:val="00BC30C9"/>
    <w:rsid w:val="00BD077D"/>
    <w:rsid w:val="00BE3E58"/>
    <w:rsid w:val="00BF18B3"/>
    <w:rsid w:val="00C01616"/>
    <w:rsid w:val="00C0162B"/>
    <w:rsid w:val="00C068ED"/>
    <w:rsid w:val="00C20707"/>
    <w:rsid w:val="00C22E0C"/>
    <w:rsid w:val="00C345B1"/>
    <w:rsid w:val="00C370D5"/>
    <w:rsid w:val="00C40142"/>
    <w:rsid w:val="00C52C3C"/>
    <w:rsid w:val="00C57182"/>
    <w:rsid w:val="00C57863"/>
    <w:rsid w:val="00C655FD"/>
    <w:rsid w:val="00C656B9"/>
    <w:rsid w:val="00C72A55"/>
    <w:rsid w:val="00C75407"/>
    <w:rsid w:val="00C870A8"/>
    <w:rsid w:val="00C94434"/>
    <w:rsid w:val="00CA0D75"/>
    <w:rsid w:val="00CA1C95"/>
    <w:rsid w:val="00CA5A9C"/>
    <w:rsid w:val="00CA7F53"/>
    <w:rsid w:val="00CB3AFC"/>
    <w:rsid w:val="00CB48A4"/>
    <w:rsid w:val="00CC4C20"/>
    <w:rsid w:val="00CD3517"/>
    <w:rsid w:val="00CD5FE2"/>
    <w:rsid w:val="00CE07CD"/>
    <w:rsid w:val="00CE3C53"/>
    <w:rsid w:val="00CE60D1"/>
    <w:rsid w:val="00CE7C68"/>
    <w:rsid w:val="00D02B4C"/>
    <w:rsid w:val="00D040C4"/>
    <w:rsid w:val="00D12602"/>
    <w:rsid w:val="00D4693F"/>
    <w:rsid w:val="00D46B7E"/>
    <w:rsid w:val="00D57C84"/>
    <w:rsid w:val="00D6057D"/>
    <w:rsid w:val="00D71640"/>
    <w:rsid w:val="00D744AE"/>
    <w:rsid w:val="00D836C5"/>
    <w:rsid w:val="00D84576"/>
    <w:rsid w:val="00D93E05"/>
    <w:rsid w:val="00DA1399"/>
    <w:rsid w:val="00DA24C6"/>
    <w:rsid w:val="00DA4D7B"/>
    <w:rsid w:val="00DE08EC"/>
    <w:rsid w:val="00DE25FE"/>
    <w:rsid w:val="00DE264A"/>
    <w:rsid w:val="00DF1665"/>
    <w:rsid w:val="00DF5072"/>
    <w:rsid w:val="00DF6964"/>
    <w:rsid w:val="00E0272E"/>
    <w:rsid w:val="00E02D18"/>
    <w:rsid w:val="00E041E7"/>
    <w:rsid w:val="00E06229"/>
    <w:rsid w:val="00E23CA1"/>
    <w:rsid w:val="00E31119"/>
    <w:rsid w:val="00E34F73"/>
    <w:rsid w:val="00E36142"/>
    <w:rsid w:val="00E409A8"/>
    <w:rsid w:val="00E409CE"/>
    <w:rsid w:val="00E4203B"/>
    <w:rsid w:val="00E50C12"/>
    <w:rsid w:val="00E570F4"/>
    <w:rsid w:val="00E65B91"/>
    <w:rsid w:val="00E7209D"/>
    <w:rsid w:val="00E72EAD"/>
    <w:rsid w:val="00E77223"/>
    <w:rsid w:val="00E8528B"/>
    <w:rsid w:val="00E85B94"/>
    <w:rsid w:val="00E978D0"/>
    <w:rsid w:val="00EA4613"/>
    <w:rsid w:val="00EA7F91"/>
    <w:rsid w:val="00EB1523"/>
    <w:rsid w:val="00EB56F9"/>
    <w:rsid w:val="00EC0E49"/>
    <w:rsid w:val="00EC0EB5"/>
    <w:rsid w:val="00EC101F"/>
    <w:rsid w:val="00EC1D9F"/>
    <w:rsid w:val="00ED023F"/>
    <w:rsid w:val="00ED3F20"/>
    <w:rsid w:val="00EE0131"/>
    <w:rsid w:val="00EE17B0"/>
    <w:rsid w:val="00EF06D9"/>
    <w:rsid w:val="00EF2760"/>
    <w:rsid w:val="00F30C64"/>
    <w:rsid w:val="00F32BA2"/>
    <w:rsid w:val="00F32CDB"/>
    <w:rsid w:val="00F565FE"/>
    <w:rsid w:val="00F63A70"/>
    <w:rsid w:val="00F7534E"/>
    <w:rsid w:val="00F97A90"/>
    <w:rsid w:val="00F97B33"/>
    <w:rsid w:val="00FA1802"/>
    <w:rsid w:val="00FA21D0"/>
    <w:rsid w:val="00FA2787"/>
    <w:rsid w:val="00FA2FD3"/>
    <w:rsid w:val="00FA5F5F"/>
    <w:rsid w:val="00FB5BDB"/>
    <w:rsid w:val="00FB730C"/>
    <w:rsid w:val="00FC2695"/>
    <w:rsid w:val="00FC36F8"/>
    <w:rsid w:val="00FC3E03"/>
    <w:rsid w:val="00FC3FC1"/>
    <w:rsid w:val="00FD0B75"/>
    <w:rsid w:val="00FF20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2AE0CC22"/>
  <w14:defaultImageDpi w14:val="330"/>
  <w15:docId w15:val="{0B95FB59-9D38-42B5-B090-D2348EE1E9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/>
    <w:lsdException w:name="heading 1" w:uiPriority="9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locked="1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iPriority="0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aliases w:val="CET Top_page"/>
    <w:rsid w:val="00620DEE"/>
    <w:pPr>
      <w:tabs>
        <w:tab w:val="right" w:pos="7100"/>
      </w:tabs>
      <w:spacing w:after="0" w:line="264" w:lineRule="auto"/>
      <w:jc w:val="both"/>
    </w:pPr>
    <w:rPr>
      <w:rFonts w:ascii="Arial" w:eastAsia="Times New Roman" w:hAnsi="Arial" w:cs="Times New Roman"/>
      <w:sz w:val="18"/>
      <w:szCs w:val="20"/>
      <w:lang w:val="en-GB"/>
    </w:rPr>
  </w:style>
  <w:style w:type="paragraph" w:styleId="Heading1">
    <w:name w:val="heading 1"/>
    <w:basedOn w:val="CETHeading1"/>
    <w:next w:val="Normal"/>
    <w:link w:val="Heading1Char"/>
    <w:uiPriority w:val="9"/>
    <w:rsid w:val="004F5E36"/>
    <w:pPr>
      <w:tabs>
        <w:tab w:val="clear" w:pos="360"/>
        <w:tab w:val="right" w:pos="7100"/>
      </w:tabs>
      <w:jc w:val="both"/>
      <w:outlineLvl w:val="0"/>
    </w:pPr>
    <w:rPr>
      <w:lang w:val="en-GB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03148D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3148D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03148D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3148D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03148D"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03148D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03148D"/>
    <w:pPr>
      <w:keepNext/>
      <w:keepLines/>
      <w:spacing w:before="200"/>
      <w:outlineLvl w:val="7"/>
    </w:pPr>
    <w:rPr>
      <w:rFonts w:asciiTheme="majorHAnsi" w:eastAsiaTheme="majorEastAsia" w:hAnsiTheme="majorHAnsi" w:cstheme="majorBidi"/>
      <w:color w:val="404040" w:themeColor="text1" w:themeTint="BF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03148D"/>
    <w:pPr>
      <w:keepNext/>
      <w:keepLines/>
      <w:spacing w:before="20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CETAuthors">
    <w:name w:val="CET Authors"/>
    <w:basedOn w:val="CETBodytext"/>
    <w:link w:val="CETAuthorsCarattere"/>
    <w:qFormat/>
    <w:rsid w:val="000E414A"/>
    <w:pPr>
      <w:keepNext/>
      <w:suppressAutoHyphens/>
      <w:spacing w:after="120"/>
    </w:pPr>
    <w:rPr>
      <w:noProof/>
      <w:sz w:val="24"/>
      <w:lang w:val="en-GB"/>
    </w:rPr>
  </w:style>
  <w:style w:type="paragraph" w:customStyle="1" w:styleId="CETTitle">
    <w:name w:val="CET Title"/>
    <w:next w:val="CETAuthors"/>
    <w:link w:val="CETTitleCarattere"/>
    <w:rsid w:val="00FB730C"/>
    <w:pPr>
      <w:suppressAutoHyphens/>
      <w:spacing w:before="480" w:after="120" w:line="264" w:lineRule="auto"/>
      <w:jc w:val="center"/>
      <w:outlineLvl w:val="0"/>
    </w:pPr>
    <w:rPr>
      <w:rFonts w:ascii="Arial" w:eastAsia="Times New Roman" w:hAnsi="Arial" w:cs="Times New Roman"/>
      <w:sz w:val="32"/>
      <w:szCs w:val="20"/>
      <w:lang w:val="en-GB"/>
    </w:rPr>
  </w:style>
  <w:style w:type="character" w:customStyle="1" w:styleId="CETAuthorsCarattere">
    <w:name w:val="CET Authors Carattere"/>
    <w:link w:val="CETAuthors"/>
    <w:rsid w:val="009E788A"/>
    <w:rPr>
      <w:rFonts w:ascii="Arial" w:eastAsia="Times New Roman" w:hAnsi="Arial" w:cs="Times New Roman"/>
      <w:noProof/>
      <w:sz w:val="24"/>
      <w:szCs w:val="20"/>
      <w:lang w:val="en-GB"/>
    </w:rPr>
  </w:style>
  <w:style w:type="character" w:customStyle="1" w:styleId="CETTitleCarattere">
    <w:name w:val="CET Title Carattere"/>
    <w:link w:val="CETTitle"/>
    <w:rsid w:val="00FB730C"/>
    <w:rPr>
      <w:rFonts w:ascii="Arial" w:eastAsia="Times New Roman" w:hAnsi="Arial" w:cs="Times New Roman"/>
      <w:sz w:val="32"/>
      <w:szCs w:val="20"/>
      <w:lang w:val="en-GB"/>
    </w:rPr>
  </w:style>
  <w:style w:type="paragraph" w:customStyle="1" w:styleId="CETHeading1">
    <w:name w:val="CET Heading1"/>
    <w:next w:val="CETBodytext"/>
    <w:qFormat/>
    <w:rsid w:val="009E788A"/>
    <w:pPr>
      <w:keepNext/>
      <w:numPr>
        <w:ilvl w:val="1"/>
        <w:numId w:val="1"/>
      </w:numPr>
      <w:tabs>
        <w:tab w:val="num" w:pos="360"/>
      </w:tabs>
      <w:suppressAutoHyphens/>
      <w:spacing w:before="240" w:after="120" w:line="240" w:lineRule="auto"/>
    </w:pPr>
    <w:rPr>
      <w:rFonts w:ascii="Arial" w:eastAsia="Times New Roman" w:hAnsi="Arial" w:cs="Times New Roman"/>
      <w:b/>
      <w:sz w:val="20"/>
      <w:szCs w:val="20"/>
      <w:lang w:val="en-US"/>
    </w:rPr>
  </w:style>
  <w:style w:type="paragraph" w:customStyle="1" w:styleId="CETBodytext">
    <w:name w:val="CET Body text"/>
    <w:link w:val="CETBodytextCarattere"/>
    <w:qFormat/>
    <w:rsid w:val="000E414A"/>
    <w:pPr>
      <w:tabs>
        <w:tab w:val="right" w:pos="7100"/>
      </w:tabs>
      <w:spacing w:after="0" w:line="264" w:lineRule="auto"/>
      <w:jc w:val="both"/>
    </w:pPr>
    <w:rPr>
      <w:rFonts w:ascii="Arial" w:eastAsia="Times New Roman" w:hAnsi="Arial" w:cs="Times New Roman"/>
      <w:sz w:val="18"/>
      <w:szCs w:val="20"/>
      <w:lang w:val="en-US"/>
    </w:rPr>
  </w:style>
  <w:style w:type="paragraph" w:customStyle="1" w:styleId="CETheadingx">
    <w:name w:val="CET headingx"/>
    <w:next w:val="CETBodytext"/>
    <w:link w:val="CETheadingxCarattere"/>
    <w:autoRedefine/>
    <w:qFormat/>
    <w:rsid w:val="00FA5F5F"/>
    <w:pPr>
      <w:keepNext/>
      <w:numPr>
        <w:ilvl w:val="2"/>
        <w:numId w:val="1"/>
      </w:numPr>
      <w:suppressAutoHyphens/>
      <w:spacing w:before="120" w:after="120" w:line="240" w:lineRule="auto"/>
    </w:pPr>
    <w:rPr>
      <w:rFonts w:ascii="Arial" w:eastAsia="Times New Roman" w:hAnsi="Arial" w:cs="Times New Roman"/>
      <w:b/>
      <w:sz w:val="18"/>
      <w:szCs w:val="20"/>
      <w:lang w:val="en-US"/>
    </w:rPr>
  </w:style>
  <w:style w:type="paragraph" w:customStyle="1" w:styleId="CETAddress">
    <w:name w:val="CET Address"/>
    <w:link w:val="CETAddressCarattere"/>
    <w:qFormat/>
    <w:rsid w:val="009E788A"/>
    <w:pPr>
      <w:keepNext/>
      <w:suppressAutoHyphens/>
      <w:spacing w:after="0"/>
      <w:contextualSpacing/>
    </w:pPr>
    <w:rPr>
      <w:rFonts w:ascii="Arial" w:eastAsia="Times New Roman" w:hAnsi="Arial" w:cs="Times New Roman"/>
      <w:noProof/>
      <w:sz w:val="16"/>
      <w:szCs w:val="20"/>
      <w:lang w:val="en-GB"/>
    </w:rPr>
  </w:style>
  <w:style w:type="table" w:styleId="TableSimple1">
    <w:name w:val="Table Simple 1"/>
    <w:basedOn w:val="TableNormal"/>
    <w:semiHidden/>
    <w:rsid w:val="000E414A"/>
    <w:pPr>
      <w:numPr>
        <w:ilvl w:val="3"/>
        <w:numId w:val="1"/>
      </w:numPr>
      <w:spacing w:after="0" w:line="264" w:lineRule="auto"/>
      <w:jc w:val="both"/>
    </w:pPr>
    <w:rPr>
      <w:rFonts w:ascii="Times New Roman" w:eastAsia="Times New Roman" w:hAnsi="Times New Roman" w:cs="Times New Roman"/>
      <w:sz w:val="20"/>
      <w:szCs w:val="20"/>
      <w:lang w:eastAsia="it-IT"/>
    </w:r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character" w:customStyle="1" w:styleId="CETBodytextCarattere">
    <w:name w:val="CET Body text Carattere"/>
    <w:link w:val="CETBodytext"/>
    <w:rsid w:val="000E414A"/>
    <w:rPr>
      <w:rFonts w:ascii="Arial" w:eastAsia="Times New Roman" w:hAnsi="Arial" w:cs="Times New Roman"/>
      <w:sz w:val="18"/>
      <w:szCs w:val="20"/>
      <w:lang w:val="en-US"/>
    </w:rPr>
  </w:style>
  <w:style w:type="paragraph" w:customStyle="1" w:styleId="CETReference">
    <w:name w:val="CET Reference"/>
    <w:qFormat/>
    <w:rsid w:val="00FC2695"/>
    <w:pPr>
      <w:spacing w:before="200" w:after="120" w:line="240" w:lineRule="auto"/>
    </w:pPr>
    <w:rPr>
      <w:rFonts w:ascii="Arial" w:eastAsia="Times New Roman" w:hAnsi="Arial" w:cs="Times New Roman"/>
      <w:b/>
      <w:sz w:val="18"/>
      <w:szCs w:val="20"/>
      <w:lang w:val="en-GB"/>
    </w:rPr>
  </w:style>
  <w:style w:type="paragraph" w:customStyle="1" w:styleId="CETCaption">
    <w:name w:val="CET Caption"/>
    <w:link w:val="CETCaptionCarattere"/>
    <w:qFormat/>
    <w:rsid w:val="00F7534E"/>
    <w:pPr>
      <w:spacing w:before="240" w:after="240" w:line="264" w:lineRule="auto"/>
      <w:jc w:val="both"/>
    </w:pPr>
    <w:rPr>
      <w:rFonts w:ascii="Arial" w:eastAsia="Times New Roman" w:hAnsi="Arial" w:cs="Times New Roman"/>
      <w:i/>
      <w:sz w:val="18"/>
      <w:szCs w:val="20"/>
      <w:lang w:val="en-GB"/>
    </w:rPr>
  </w:style>
  <w:style w:type="character" w:customStyle="1" w:styleId="CETheadingxCarattere">
    <w:name w:val="CET headingx Carattere"/>
    <w:link w:val="CETheadingx"/>
    <w:rsid w:val="00FA5F5F"/>
    <w:rPr>
      <w:rFonts w:ascii="Arial" w:eastAsia="Times New Roman" w:hAnsi="Arial" w:cs="Times New Roman"/>
      <w:b/>
      <w:sz w:val="18"/>
      <w:szCs w:val="20"/>
      <w:lang w:val="en-US"/>
    </w:rPr>
  </w:style>
  <w:style w:type="character" w:customStyle="1" w:styleId="CETCaptionCarattere">
    <w:name w:val="CET Caption Carattere"/>
    <w:link w:val="CETCaption"/>
    <w:rsid w:val="00F7534E"/>
    <w:rPr>
      <w:rFonts w:ascii="Arial" w:eastAsia="Times New Roman" w:hAnsi="Arial" w:cs="Times New Roman"/>
      <w:i/>
      <w:sz w:val="18"/>
      <w:szCs w:val="20"/>
      <w:lang w:val="en-GB"/>
    </w:rPr>
  </w:style>
  <w:style w:type="paragraph" w:customStyle="1" w:styleId="CETBodytextItalic">
    <w:name w:val="CET Body text (Italic)"/>
    <w:basedOn w:val="CETBodytext"/>
    <w:qFormat/>
    <w:rsid w:val="004F5E36"/>
    <w:rPr>
      <w:i/>
      <w:lang w:val="en-GB"/>
    </w:rPr>
  </w:style>
  <w:style w:type="character" w:styleId="CommentReference">
    <w:name w:val="annotation reference"/>
    <w:basedOn w:val="DefaultParagraphFont"/>
    <w:uiPriority w:val="99"/>
    <w:semiHidden/>
    <w:unhideWhenUsed/>
    <w:rsid w:val="004577FE"/>
    <w:rPr>
      <w:sz w:val="16"/>
      <w:szCs w:val="16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D34BE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D34BE"/>
    <w:rPr>
      <w:rFonts w:ascii="Tahoma" w:hAnsi="Tahoma" w:cs="Tahoma"/>
      <w:sz w:val="16"/>
      <w:szCs w:val="16"/>
    </w:rPr>
  </w:style>
  <w:style w:type="paragraph" w:styleId="Bibliography">
    <w:name w:val="Bibliography"/>
    <w:basedOn w:val="CETReferencetext"/>
    <w:uiPriority w:val="37"/>
    <w:unhideWhenUsed/>
    <w:rsid w:val="00631B33"/>
    <w:pPr>
      <w:spacing w:line="240" w:lineRule="auto"/>
      <w:ind w:left="720" w:hanging="720"/>
    </w:pPr>
  </w:style>
  <w:style w:type="paragraph" w:styleId="BodyText2">
    <w:name w:val="Body Text 2"/>
    <w:basedOn w:val="Normal"/>
    <w:link w:val="BodyText2Char"/>
    <w:uiPriority w:val="99"/>
    <w:semiHidden/>
    <w:unhideWhenUsed/>
    <w:rsid w:val="000314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03148D"/>
  </w:style>
  <w:style w:type="paragraph" w:styleId="BodyText3">
    <w:name w:val="Body Text 3"/>
    <w:basedOn w:val="Normal"/>
    <w:link w:val="BodyText3Char"/>
    <w:uiPriority w:val="99"/>
    <w:semiHidden/>
    <w:unhideWhenUsed/>
    <w:rsid w:val="000314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03148D"/>
    <w:rPr>
      <w:sz w:val="16"/>
      <w:szCs w:val="16"/>
    </w:rPr>
  </w:style>
  <w:style w:type="paragraph" w:styleId="BodyText">
    <w:name w:val="Body Text"/>
    <w:basedOn w:val="Normal"/>
    <w:link w:val="BodyTextChar"/>
    <w:uiPriority w:val="99"/>
    <w:semiHidden/>
    <w:unhideWhenUsed/>
    <w:rsid w:val="000314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03148D"/>
  </w:style>
  <w:style w:type="paragraph" w:styleId="Date">
    <w:name w:val="Date"/>
    <w:basedOn w:val="Normal"/>
    <w:next w:val="Normal"/>
    <w:link w:val="DateChar"/>
    <w:uiPriority w:val="99"/>
    <w:semiHidden/>
    <w:unhideWhenUsed/>
    <w:rsid w:val="0003148D"/>
  </w:style>
  <w:style w:type="character" w:customStyle="1" w:styleId="DateChar">
    <w:name w:val="Date Char"/>
    <w:basedOn w:val="DefaultParagraphFont"/>
    <w:link w:val="Date"/>
    <w:uiPriority w:val="99"/>
    <w:semiHidden/>
    <w:rsid w:val="0003148D"/>
  </w:style>
  <w:style w:type="paragraph" w:styleId="Caption">
    <w:name w:val="caption"/>
    <w:basedOn w:val="Normal"/>
    <w:next w:val="Normal"/>
    <w:uiPriority w:val="35"/>
    <w:semiHidden/>
    <w:unhideWhenUsed/>
    <w:qFormat/>
    <w:rsid w:val="0003148D"/>
    <w:pPr>
      <w:spacing w:line="240" w:lineRule="auto"/>
    </w:pPr>
    <w:rPr>
      <w:b/>
      <w:bCs/>
      <w:color w:val="4F81BD" w:themeColor="accent1"/>
      <w:szCs w:val="18"/>
    </w:rPr>
  </w:style>
  <w:style w:type="paragraph" w:styleId="List">
    <w:name w:val="List"/>
    <w:basedOn w:val="Normal"/>
    <w:uiPriority w:val="99"/>
    <w:semiHidden/>
    <w:unhideWhenUsed/>
    <w:rsid w:val="0003148D"/>
    <w:pPr>
      <w:ind w:left="283" w:hanging="283"/>
      <w:contextualSpacing/>
    </w:pPr>
  </w:style>
  <w:style w:type="paragraph" w:styleId="List2">
    <w:name w:val="List 2"/>
    <w:basedOn w:val="Normal"/>
    <w:uiPriority w:val="99"/>
    <w:semiHidden/>
    <w:unhideWhenUsed/>
    <w:rsid w:val="0003148D"/>
    <w:pPr>
      <w:ind w:left="566" w:hanging="283"/>
      <w:contextualSpacing/>
    </w:pPr>
  </w:style>
  <w:style w:type="paragraph" w:styleId="List3">
    <w:name w:val="List 3"/>
    <w:basedOn w:val="Normal"/>
    <w:uiPriority w:val="99"/>
    <w:semiHidden/>
    <w:unhideWhenUsed/>
    <w:rsid w:val="0003148D"/>
    <w:pPr>
      <w:ind w:left="849" w:hanging="283"/>
      <w:contextualSpacing/>
    </w:pPr>
  </w:style>
  <w:style w:type="paragraph" w:styleId="List4">
    <w:name w:val="List 4"/>
    <w:basedOn w:val="Normal"/>
    <w:uiPriority w:val="99"/>
    <w:semiHidden/>
    <w:unhideWhenUsed/>
    <w:rsid w:val="0003148D"/>
    <w:pPr>
      <w:ind w:left="1132" w:hanging="283"/>
      <w:contextualSpacing/>
    </w:pPr>
  </w:style>
  <w:style w:type="paragraph" w:styleId="List5">
    <w:name w:val="List 5"/>
    <w:basedOn w:val="Normal"/>
    <w:uiPriority w:val="99"/>
    <w:semiHidden/>
    <w:unhideWhenUsed/>
    <w:rsid w:val="0003148D"/>
    <w:pPr>
      <w:ind w:left="1415" w:hanging="283"/>
      <w:contextualSpacing/>
    </w:pPr>
  </w:style>
  <w:style w:type="paragraph" w:styleId="ListContinue">
    <w:name w:val="List Continue"/>
    <w:basedOn w:val="Normal"/>
    <w:uiPriority w:val="99"/>
    <w:semiHidden/>
    <w:unhideWhenUsed/>
    <w:rsid w:val="0003148D"/>
    <w:pPr>
      <w:spacing w:after="120"/>
      <w:ind w:left="283"/>
      <w:contextualSpacing/>
    </w:pPr>
  </w:style>
  <w:style w:type="paragraph" w:styleId="ListContinue2">
    <w:name w:val="List Continue 2"/>
    <w:basedOn w:val="Normal"/>
    <w:uiPriority w:val="99"/>
    <w:semiHidden/>
    <w:unhideWhenUsed/>
    <w:rsid w:val="0003148D"/>
    <w:pPr>
      <w:spacing w:after="120"/>
      <w:ind w:left="566"/>
      <w:contextualSpacing/>
    </w:pPr>
  </w:style>
  <w:style w:type="paragraph" w:styleId="ListContinue3">
    <w:name w:val="List Continue 3"/>
    <w:basedOn w:val="Normal"/>
    <w:uiPriority w:val="99"/>
    <w:semiHidden/>
    <w:unhideWhenUsed/>
    <w:rsid w:val="0003148D"/>
    <w:pPr>
      <w:spacing w:after="120"/>
      <w:ind w:left="849"/>
      <w:contextualSpacing/>
    </w:pPr>
  </w:style>
  <w:style w:type="paragraph" w:styleId="ListContinue4">
    <w:name w:val="List Continue 4"/>
    <w:basedOn w:val="Normal"/>
    <w:uiPriority w:val="99"/>
    <w:semiHidden/>
    <w:unhideWhenUsed/>
    <w:rsid w:val="0003148D"/>
    <w:pPr>
      <w:spacing w:after="120"/>
      <w:ind w:left="1132"/>
      <w:contextualSpacing/>
    </w:pPr>
  </w:style>
  <w:style w:type="paragraph" w:styleId="ListContinue5">
    <w:name w:val="List Continue 5"/>
    <w:basedOn w:val="Normal"/>
    <w:uiPriority w:val="99"/>
    <w:semiHidden/>
    <w:unhideWhenUsed/>
    <w:rsid w:val="0003148D"/>
    <w:pPr>
      <w:spacing w:after="120"/>
      <w:ind w:left="1415"/>
      <w:contextualSpacing/>
    </w:pPr>
  </w:style>
  <w:style w:type="paragraph" w:styleId="Signature">
    <w:name w:val="Signature"/>
    <w:basedOn w:val="Normal"/>
    <w:link w:val="SignatureChar"/>
    <w:uiPriority w:val="99"/>
    <w:semiHidden/>
    <w:unhideWhenUsed/>
    <w:rsid w:val="0003148D"/>
    <w:pPr>
      <w:spacing w:line="240" w:lineRule="auto"/>
      <w:ind w:left="4252"/>
    </w:pPr>
  </w:style>
  <w:style w:type="character" w:customStyle="1" w:styleId="SignatureChar">
    <w:name w:val="Signature Char"/>
    <w:basedOn w:val="DefaultParagraphFont"/>
    <w:link w:val="Signature"/>
    <w:uiPriority w:val="99"/>
    <w:semiHidden/>
    <w:rsid w:val="0003148D"/>
  </w:style>
  <w:style w:type="paragraph" w:styleId="E-mailSignature">
    <w:name w:val="E-mail Signature"/>
    <w:basedOn w:val="Normal"/>
    <w:link w:val="E-mailSignatureChar"/>
    <w:uiPriority w:val="99"/>
    <w:semiHidden/>
    <w:unhideWhenUsed/>
    <w:rsid w:val="0003148D"/>
    <w:pPr>
      <w:spacing w:line="240" w:lineRule="auto"/>
    </w:pPr>
  </w:style>
  <w:style w:type="character" w:customStyle="1" w:styleId="E-mailSignatureChar">
    <w:name w:val="E-mail Signature Char"/>
    <w:basedOn w:val="DefaultParagraphFont"/>
    <w:link w:val="E-mailSignature"/>
    <w:uiPriority w:val="99"/>
    <w:semiHidden/>
    <w:rsid w:val="0003148D"/>
  </w:style>
  <w:style w:type="paragraph" w:styleId="Salutation">
    <w:name w:val="Salutation"/>
    <w:basedOn w:val="Normal"/>
    <w:next w:val="Normal"/>
    <w:link w:val="SalutationChar"/>
    <w:uiPriority w:val="99"/>
    <w:semiHidden/>
    <w:unhideWhenUsed/>
    <w:rsid w:val="0003148D"/>
  </w:style>
  <w:style w:type="character" w:customStyle="1" w:styleId="SalutationChar">
    <w:name w:val="Salutation Char"/>
    <w:basedOn w:val="DefaultParagraphFont"/>
    <w:link w:val="Salutation"/>
    <w:uiPriority w:val="99"/>
    <w:semiHidden/>
    <w:rsid w:val="0003148D"/>
  </w:style>
  <w:style w:type="paragraph" w:styleId="Closing">
    <w:name w:val="Closing"/>
    <w:basedOn w:val="Normal"/>
    <w:link w:val="ClosingChar"/>
    <w:uiPriority w:val="99"/>
    <w:semiHidden/>
    <w:unhideWhenUsed/>
    <w:rsid w:val="0003148D"/>
    <w:pPr>
      <w:spacing w:line="240" w:lineRule="auto"/>
      <w:ind w:left="4252"/>
    </w:pPr>
  </w:style>
  <w:style w:type="character" w:customStyle="1" w:styleId="ClosingChar">
    <w:name w:val="Closing Char"/>
    <w:basedOn w:val="DefaultParagraphFont"/>
    <w:link w:val="Closing"/>
    <w:uiPriority w:val="99"/>
    <w:semiHidden/>
    <w:rsid w:val="0003148D"/>
  </w:style>
  <w:style w:type="paragraph" w:styleId="Index1">
    <w:name w:val="index 1"/>
    <w:basedOn w:val="Normal"/>
    <w:next w:val="Normal"/>
    <w:autoRedefine/>
    <w:uiPriority w:val="99"/>
    <w:semiHidden/>
    <w:unhideWhenUsed/>
    <w:rsid w:val="0003148D"/>
    <w:pPr>
      <w:spacing w:line="240" w:lineRule="auto"/>
      <w:ind w:left="220" w:hanging="220"/>
    </w:pPr>
  </w:style>
  <w:style w:type="paragraph" w:styleId="Index2">
    <w:name w:val="index 2"/>
    <w:basedOn w:val="Normal"/>
    <w:next w:val="Normal"/>
    <w:autoRedefine/>
    <w:uiPriority w:val="99"/>
    <w:semiHidden/>
    <w:unhideWhenUsed/>
    <w:rsid w:val="0003148D"/>
    <w:pPr>
      <w:spacing w:line="240" w:lineRule="auto"/>
      <w:ind w:left="440" w:hanging="220"/>
    </w:pPr>
  </w:style>
  <w:style w:type="paragraph" w:styleId="Index3">
    <w:name w:val="index 3"/>
    <w:basedOn w:val="Normal"/>
    <w:next w:val="Normal"/>
    <w:autoRedefine/>
    <w:uiPriority w:val="99"/>
    <w:semiHidden/>
    <w:unhideWhenUsed/>
    <w:rsid w:val="0003148D"/>
    <w:pPr>
      <w:spacing w:line="240" w:lineRule="auto"/>
      <w:ind w:left="660" w:hanging="220"/>
    </w:pPr>
  </w:style>
  <w:style w:type="paragraph" w:styleId="Index4">
    <w:name w:val="index 4"/>
    <w:basedOn w:val="Normal"/>
    <w:next w:val="Normal"/>
    <w:autoRedefine/>
    <w:uiPriority w:val="99"/>
    <w:semiHidden/>
    <w:unhideWhenUsed/>
    <w:rsid w:val="0003148D"/>
    <w:pPr>
      <w:spacing w:line="240" w:lineRule="auto"/>
      <w:ind w:left="880" w:hanging="220"/>
    </w:pPr>
  </w:style>
  <w:style w:type="paragraph" w:styleId="Index5">
    <w:name w:val="index 5"/>
    <w:basedOn w:val="Normal"/>
    <w:next w:val="Normal"/>
    <w:autoRedefine/>
    <w:uiPriority w:val="99"/>
    <w:semiHidden/>
    <w:unhideWhenUsed/>
    <w:rsid w:val="0003148D"/>
    <w:pPr>
      <w:spacing w:line="240" w:lineRule="auto"/>
      <w:ind w:left="1100" w:hanging="220"/>
    </w:pPr>
  </w:style>
  <w:style w:type="paragraph" w:styleId="Index6">
    <w:name w:val="index 6"/>
    <w:basedOn w:val="Normal"/>
    <w:next w:val="Normal"/>
    <w:autoRedefine/>
    <w:uiPriority w:val="99"/>
    <w:semiHidden/>
    <w:unhideWhenUsed/>
    <w:rsid w:val="0003148D"/>
    <w:pPr>
      <w:spacing w:line="240" w:lineRule="auto"/>
      <w:ind w:left="1320" w:hanging="220"/>
    </w:pPr>
  </w:style>
  <w:style w:type="paragraph" w:styleId="Index7">
    <w:name w:val="index 7"/>
    <w:basedOn w:val="Normal"/>
    <w:next w:val="Normal"/>
    <w:autoRedefine/>
    <w:uiPriority w:val="99"/>
    <w:semiHidden/>
    <w:unhideWhenUsed/>
    <w:rsid w:val="0003148D"/>
    <w:pPr>
      <w:spacing w:line="240" w:lineRule="auto"/>
      <w:ind w:left="1540" w:hanging="220"/>
    </w:pPr>
  </w:style>
  <w:style w:type="paragraph" w:styleId="Index8">
    <w:name w:val="index 8"/>
    <w:basedOn w:val="Normal"/>
    <w:next w:val="Normal"/>
    <w:autoRedefine/>
    <w:uiPriority w:val="99"/>
    <w:semiHidden/>
    <w:unhideWhenUsed/>
    <w:rsid w:val="0003148D"/>
    <w:pPr>
      <w:spacing w:line="240" w:lineRule="auto"/>
      <w:ind w:left="1760" w:hanging="220"/>
    </w:pPr>
  </w:style>
  <w:style w:type="paragraph" w:styleId="Index9">
    <w:name w:val="index 9"/>
    <w:basedOn w:val="Normal"/>
    <w:next w:val="Normal"/>
    <w:autoRedefine/>
    <w:uiPriority w:val="99"/>
    <w:semiHidden/>
    <w:unhideWhenUsed/>
    <w:rsid w:val="0003148D"/>
    <w:pPr>
      <w:spacing w:line="240" w:lineRule="auto"/>
      <w:ind w:left="1980" w:hanging="220"/>
    </w:pPr>
  </w:style>
  <w:style w:type="paragraph" w:styleId="TableofFigures">
    <w:name w:val="table of figures"/>
    <w:basedOn w:val="Normal"/>
    <w:next w:val="Normal"/>
    <w:uiPriority w:val="99"/>
    <w:semiHidden/>
    <w:unhideWhenUsed/>
    <w:rsid w:val="0003148D"/>
  </w:style>
  <w:style w:type="paragraph" w:styleId="TableofAuthorities">
    <w:name w:val="table of authorities"/>
    <w:basedOn w:val="Normal"/>
    <w:next w:val="Normal"/>
    <w:uiPriority w:val="99"/>
    <w:semiHidden/>
    <w:unhideWhenUsed/>
    <w:rsid w:val="0003148D"/>
    <w:pPr>
      <w:ind w:left="220" w:hanging="220"/>
    </w:pPr>
  </w:style>
  <w:style w:type="paragraph" w:styleId="EnvelopeAddress">
    <w:name w:val="envelope address"/>
    <w:basedOn w:val="Normal"/>
    <w:uiPriority w:val="99"/>
    <w:semiHidden/>
    <w:unhideWhenUsed/>
    <w:rsid w:val="0003148D"/>
    <w:pPr>
      <w:framePr w:w="7920" w:h="1980" w:hRule="exact" w:hSpace="180" w:wrap="auto" w:hAnchor="page" w:xAlign="center" w:yAlign="bottom"/>
      <w:spacing w:line="240" w:lineRule="auto"/>
      <w:ind w:left="2880"/>
    </w:pPr>
    <w:rPr>
      <w:rFonts w:asciiTheme="majorHAnsi" w:eastAsiaTheme="majorEastAsia" w:hAnsiTheme="majorHAnsi" w:cstheme="majorBidi"/>
      <w:sz w:val="24"/>
      <w:szCs w:val="24"/>
    </w:rPr>
  </w:style>
  <w:style w:type="paragraph" w:styleId="HTMLAddress">
    <w:name w:val="HTML Address"/>
    <w:basedOn w:val="Normal"/>
    <w:link w:val="HTMLAddressChar"/>
    <w:uiPriority w:val="99"/>
    <w:semiHidden/>
    <w:unhideWhenUsed/>
    <w:rsid w:val="0003148D"/>
    <w:pPr>
      <w:spacing w:line="240" w:lineRule="auto"/>
    </w:pPr>
    <w:rPr>
      <w:i/>
      <w:iCs/>
    </w:rPr>
  </w:style>
  <w:style w:type="character" w:customStyle="1" w:styleId="HTMLAddressChar">
    <w:name w:val="HTML Address Char"/>
    <w:basedOn w:val="DefaultParagraphFont"/>
    <w:link w:val="HTMLAddress"/>
    <w:uiPriority w:val="99"/>
    <w:semiHidden/>
    <w:rsid w:val="0003148D"/>
    <w:rPr>
      <w:i/>
      <w:iCs/>
    </w:rPr>
  </w:style>
  <w:style w:type="paragraph" w:styleId="EnvelopeReturn">
    <w:name w:val="envelope return"/>
    <w:basedOn w:val="Normal"/>
    <w:uiPriority w:val="99"/>
    <w:semiHidden/>
    <w:unhideWhenUsed/>
    <w:rsid w:val="0003148D"/>
    <w:pPr>
      <w:spacing w:line="240" w:lineRule="auto"/>
    </w:pPr>
    <w:rPr>
      <w:rFonts w:asciiTheme="majorHAnsi" w:eastAsiaTheme="majorEastAsia" w:hAnsiTheme="majorHAnsi" w:cstheme="majorBidi"/>
    </w:rPr>
  </w:style>
  <w:style w:type="paragraph" w:styleId="MessageHeader">
    <w:name w:val="Message Header"/>
    <w:basedOn w:val="Normal"/>
    <w:link w:val="MessageHeaderChar"/>
    <w:uiPriority w:val="99"/>
    <w:semiHidden/>
    <w:unhideWhenUsed/>
    <w:rsid w:val="0003148D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line="240" w:lineRule="auto"/>
      <w:ind w:left="1134" w:hanging="1134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MessageHeaderChar">
    <w:name w:val="Message Header Char"/>
    <w:basedOn w:val="DefaultParagraphFont"/>
    <w:link w:val="MessageHeader"/>
    <w:uiPriority w:val="99"/>
    <w:semiHidden/>
    <w:rsid w:val="0003148D"/>
    <w:rPr>
      <w:rFonts w:asciiTheme="majorHAnsi" w:eastAsiaTheme="majorEastAsia" w:hAnsiTheme="majorHAnsi" w:cstheme="majorBidi"/>
      <w:sz w:val="24"/>
      <w:szCs w:val="24"/>
      <w:shd w:val="pct20" w:color="auto" w:fill="auto"/>
    </w:rPr>
  </w:style>
  <w:style w:type="paragraph" w:styleId="NoteHeading">
    <w:name w:val="Note Heading"/>
    <w:basedOn w:val="Normal"/>
    <w:next w:val="Normal"/>
    <w:link w:val="NoteHeadingChar"/>
    <w:uiPriority w:val="99"/>
    <w:semiHidden/>
    <w:unhideWhenUsed/>
    <w:rsid w:val="0003148D"/>
    <w:pPr>
      <w:spacing w:line="240" w:lineRule="auto"/>
    </w:pPr>
  </w:style>
  <w:style w:type="character" w:customStyle="1" w:styleId="NoteHeadingChar">
    <w:name w:val="Note Heading Char"/>
    <w:basedOn w:val="DefaultParagraphFont"/>
    <w:link w:val="NoteHeading"/>
    <w:uiPriority w:val="99"/>
    <w:semiHidden/>
    <w:rsid w:val="0003148D"/>
  </w:style>
  <w:style w:type="paragraph" w:styleId="DocumentMap">
    <w:name w:val="Document Map"/>
    <w:basedOn w:val="Normal"/>
    <w:link w:val="DocumentMapChar"/>
    <w:uiPriority w:val="99"/>
    <w:semiHidden/>
    <w:unhideWhenUsed/>
    <w:rsid w:val="0003148D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03148D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semiHidden/>
    <w:unhideWhenUsed/>
    <w:rsid w:val="0003148D"/>
    <w:rPr>
      <w:sz w:val="24"/>
      <w:szCs w:val="24"/>
    </w:rPr>
  </w:style>
  <w:style w:type="paragraph" w:styleId="ListNumber">
    <w:name w:val="List Number"/>
    <w:basedOn w:val="Normal"/>
    <w:uiPriority w:val="99"/>
    <w:semiHidden/>
    <w:unhideWhenUsed/>
    <w:rsid w:val="0003148D"/>
    <w:pPr>
      <w:numPr>
        <w:numId w:val="2"/>
      </w:numPr>
      <w:contextualSpacing/>
    </w:pPr>
  </w:style>
  <w:style w:type="paragraph" w:styleId="ListNumber2">
    <w:name w:val="List Number 2"/>
    <w:basedOn w:val="Normal"/>
    <w:uiPriority w:val="99"/>
    <w:semiHidden/>
    <w:unhideWhenUsed/>
    <w:rsid w:val="0003148D"/>
    <w:pPr>
      <w:numPr>
        <w:numId w:val="3"/>
      </w:numPr>
      <w:contextualSpacing/>
    </w:pPr>
  </w:style>
  <w:style w:type="paragraph" w:styleId="ListNumber3">
    <w:name w:val="List Number 3"/>
    <w:basedOn w:val="Normal"/>
    <w:uiPriority w:val="99"/>
    <w:semiHidden/>
    <w:unhideWhenUsed/>
    <w:rsid w:val="0003148D"/>
    <w:pPr>
      <w:numPr>
        <w:numId w:val="4"/>
      </w:numPr>
      <w:contextualSpacing/>
    </w:pPr>
  </w:style>
  <w:style w:type="paragraph" w:styleId="ListNumber4">
    <w:name w:val="List Number 4"/>
    <w:basedOn w:val="Normal"/>
    <w:uiPriority w:val="99"/>
    <w:semiHidden/>
    <w:unhideWhenUsed/>
    <w:rsid w:val="0003148D"/>
    <w:pPr>
      <w:numPr>
        <w:numId w:val="5"/>
      </w:numPr>
      <w:contextualSpacing/>
    </w:pPr>
  </w:style>
  <w:style w:type="paragraph" w:styleId="ListNumber5">
    <w:name w:val="List Number 5"/>
    <w:basedOn w:val="Normal"/>
    <w:uiPriority w:val="99"/>
    <w:semiHidden/>
    <w:unhideWhenUsed/>
    <w:rsid w:val="0003148D"/>
    <w:pPr>
      <w:numPr>
        <w:numId w:val="6"/>
      </w:numPr>
      <w:contextualSpacing/>
    </w:p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03148D"/>
    <w:pPr>
      <w:spacing w:line="240" w:lineRule="auto"/>
    </w:pPr>
    <w:rPr>
      <w:rFonts w:ascii="Consolas" w:hAnsi="Consolas" w:cs="Consolas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03148D"/>
    <w:rPr>
      <w:rFonts w:ascii="Consolas" w:hAnsi="Consolas" w:cs="Consolas"/>
      <w:sz w:val="20"/>
      <w:szCs w:val="20"/>
    </w:rPr>
  </w:style>
  <w:style w:type="paragraph" w:styleId="BodyTextFirstIndent">
    <w:name w:val="Body Text First Indent"/>
    <w:basedOn w:val="BodyText"/>
    <w:link w:val="BodyTextFirstIndentChar"/>
    <w:uiPriority w:val="99"/>
    <w:semiHidden/>
    <w:unhideWhenUsed/>
    <w:rsid w:val="0003148D"/>
    <w:pPr>
      <w:spacing w:after="200"/>
      <w:ind w:firstLine="360"/>
    </w:pPr>
  </w:style>
  <w:style w:type="character" w:customStyle="1" w:styleId="BodyTextFirstIndentChar">
    <w:name w:val="Body Text First Indent Char"/>
    <w:basedOn w:val="BodyTextChar"/>
    <w:link w:val="BodyTextFirstIndent"/>
    <w:uiPriority w:val="99"/>
    <w:semiHidden/>
    <w:rsid w:val="0003148D"/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03148D"/>
    <w:pPr>
      <w:spacing w:after="120"/>
      <w:ind w:left="283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03148D"/>
  </w:style>
  <w:style w:type="paragraph" w:styleId="BodyTextFirstIndent2">
    <w:name w:val="Body Text First Indent 2"/>
    <w:basedOn w:val="BodyTextIndent"/>
    <w:link w:val="BodyTextFirstIndent2Char"/>
    <w:uiPriority w:val="99"/>
    <w:semiHidden/>
    <w:unhideWhenUsed/>
    <w:rsid w:val="0003148D"/>
    <w:pPr>
      <w:spacing w:after="200"/>
      <w:ind w:left="360" w:firstLine="360"/>
    </w:pPr>
  </w:style>
  <w:style w:type="character" w:customStyle="1" w:styleId="BodyTextFirstIndent2Char">
    <w:name w:val="Body Text First Indent 2 Char"/>
    <w:basedOn w:val="BodyTextIndentChar"/>
    <w:link w:val="BodyTextFirstIndent2"/>
    <w:uiPriority w:val="99"/>
    <w:semiHidden/>
    <w:rsid w:val="0003148D"/>
  </w:style>
  <w:style w:type="paragraph" w:styleId="ListBullet">
    <w:name w:val="List Bullet"/>
    <w:basedOn w:val="Normal"/>
    <w:uiPriority w:val="99"/>
    <w:semiHidden/>
    <w:unhideWhenUsed/>
    <w:rsid w:val="0003148D"/>
    <w:pPr>
      <w:numPr>
        <w:numId w:val="7"/>
      </w:numPr>
      <w:contextualSpacing/>
    </w:pPr>
  </w:style>
  <w:style w:type="paragraph" w:styleId="ListBullet2">
    <w:name w:val="List Bullet 2"/>
    <w:basedOn w:val="Normal"/>
    <w:uiPriority w:val="99"/>
    <w:semiHidden/>
    <w:unhideWhenUsed/>
    <w:rsid w:val="0003148D"/>
    <w:pPr>
      <w:numPr>
        <w:numId w:val="8"/>
      </w:numPr>
      <w:contextualSpacing/>
    </w:pPr>
  </w:style>
  <w:style w:type="paragraph" w:styleId="ListBullet3">
    <w:name w:val="List Bullet 3"/>
    <w:basedOn w:val="Normal"/>
    <w:uiPriority w:val="99"/>
    <w:semiHidden/>
    <w:unhideWhenUsed/>
    <w:rsid w:val="0003148D"/>
    <w:pPr>
      <w:numPr>
        <w:numId w:val="9"/>
      </w:numPr>
      <w:contextualSpacing/>
    </w:pPr>
  </w:style>
  <w:style w:type="paragraph" w:styleId="ListBullet4">
    <w:name w:val="List Bullet 4"/>
    <w:basedOn w:val="Normal"/>
    <w:uiPriority w:val="99"/>
    <w:semiHidden/>
    <w:unhideWhenUsed/>
    <w:rsid w:val="0003148D"/>
    <w:pPr>
      <w:numPr>
        <w:numId w:val="10"/>
      </w:numPr>
      <w:contextualSpacing/>
    </w:pPr>
  </w:style>
  <w:style w:type="paragraph" w:styleId="ListBullet5">
    <w:name w:val="List Bullet 5"/>
    <w:basedOn w:val="Normal"/>
    <w:uiPriority w:val="99"/>
    <w:semiHidden/>
    <w:unhideWhenUsed/>
    <w:rsid w:val="0003148D"/>
    <w:pPr>
      <w:numPr>
        <w:numId w:val="11"/>
      </w:numPr>
      <w:contextualSpacing/>
    </w:pPr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03148D"/>
    <w:pPr>
      <w:spacing w:after="120" w:line="480" w:lineRule="auto"/>
      <w:ind w:left="283"/>
    </w:p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03148D"/>
  </w:style>
  <w:style w:type="paragraph" w:styleId="BodyTextIndent3">
    <w:name w:val="Body Text Indent 3"/>
    <w:basedOn w:val="Normal"/>
    <w:link w:val="BodyTextIndent3Char"/>
    <w:uiPriority w:val="99"/>
    <w:semiHidden/>
    <w:unhideWhenUsed/>
    <w:rsid w:val="0003148D"/>
    <w:pPr>
      <w:spacing w:after="120"/>
      <w:ind w:left="283"/>
    </w:pPr>
    <w:rPr>
      <w:sz w:val="16"/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03148D"/>
    <w:rPr>
      <w:sz w:val="16"/>
      <w:szCs w:val="16"/>
    </w:rPr>
  </w:style>
  <w:style w:type="paragraph" w:styleId="NormalIndent">
    <w:name w:val="Normal Indent"/>
    <w:basedOn w:val="Normal"/>
    <w:uiPriority w:val="99"/>
    <w:semiHidden/>
    <w:unhideWhenUsed/>
    <w:rsid w:val="0003148D"/>
    <w:pPr>
      <w:ind w:left="720"/>
    </w:pPr>
  </w:style>
  <w:style w:type="paragraph" w:styleId="CommentText">
    <w:name w:val="annotation text"/>
    <w:basedOn w:val="Normal"/>
    <w:link w:val="CommentTextChar"/>
    <w:uiPriority w:val="99"/>
    <w:unhideWhenUsed/>
    <w:rsid w:val="0003148D"/>
    <w:pPr>
      <w:spacing w:line="240" w:lineRule="auto"/>
    </w:pPr>
  </w:style>
  <w:style w:type="character" w:customStyle="1" w:styleId="CommentTextChar">
    <w:name w:val="Comment Text Char"/>
    <w:basedOn w:val="DefaultParagraphFont"/>
    <w:link w:val="CommentText"/>
    <w:uiPriority w:val="99"/>
    <w:rsid w:val="0003148D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03148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03148D"/>
    <w:rPr>
      <w:b/>
      <w:bCs/>
      <w:sz w:val="20"/>
      <w:szCs w:val="20"/>
    </w:rPr>
  </w:style>
  <w:style w:type="paragraph" w:styleId="TOC1">
    <w:name w:val="toc 1"/>
    <w:basedOn w:val="Normal"/>
    <w:next w:val="Normal"/>
    <w:autoRedefine/>
    <w:uiPriority w:val="39"/>
    <w:semiHidden/>
    <w:unhideWhenUsed/>
    <w:rsid w:val="0003148D"/>
    <w:pPr>
      <w:spacing w:after="100"/>
    </w:pPr>
  </w:style>
  <w:style w:type="paragraph" w:styleId="TOC2">
    <w:name w:val="toc 2"/>
    <w:basedOn w:val="Normal"/>
    <w:next w:val="Normal"/>
    <w:autoRedefine/>
    <w:uiPriority w:val="39"/>
    <w:semiHidden/>
    <w:unhideWhenUsed/>
    <w:rsid w:val="0003148D"/>
    <w:pPr>
      <w:spacing w:after="100"/>
      <w:ind w:left="220"/>
    </w:pPr>
  </w:style>
  <w:style w:type="paragraph" w:styleId="TOC3">
    <w:name w:val="toc 3"/>
    <w:basedOn w:val="Normal"/>
    <w:next w:val="Normal"/>
    <w:autoRedefine/>
    <w:uiPriority w:val="39"/>
    <w:semiHidden/>
    <w:unhideWhenUsed/>
    <w:rsid w:val="0003148D"/>
    <w:pPr>
      <w:spacing w:after="100"/>
      <w:ind w:left="440"/>
    </w:pPr>
  </w:style>
  <w:style w:type="paragraph" w:styleId="TOC4">
    <w:name w:val="toc 4"/>
    <w:basedOn w:val="Normal"/>
    <w:next w:val="Normal"/>
    <w:autoRedefine/>
    <w:uiPriority w:val="39"/>
    <w:semiHidden/>
    <w:unhideWhenUsed/>
    <w:rsid w:val="0003148D"/>
    <w:pPr>
      <w:spacing w:after="100"/>
      <w:ind w:left="660"/>
    </w:pPr>
  </w:style>
  <w:style w:type="paragraph" w:styleId="TOC5">
    <w:name w:val="toc 5"/>
    <w:basedOn w:val="Normal"/>
    <w:next w:val="Normal"/>
    <w:autoRedefine/>
    <w:uiPriority w:val="39"/>
    <w:semiHidden/>
    <w:unhideWhenUsed/>
    <w:rsid w:val="0003148D"/>
    <w:pPr>
      <w:spacing w:after="100"/>
      <w:ind w:left="880"/>
    </w:pPr>
  </w:style>
  <w:style w:type="paragraph" w:styleId="TOC6">
    <w:name w:val="toc 6"/>
    <w:basedOn w:val="Normal"/>
    <w:next w:val="Normal"/>
    <w:autoRedefine/>
    <w:uiPriority w:val="39"/>
    <w:semiHidden/>
    <w:unhideWhenUsed/>
    <w:rsid w:val="0003148D"/>
    <w:pPr>
      <w:spacing w:after="100"/>
      <w:ind w:left="1100"/>
    </w:pPr>
  </w:style>
  <w:style w:type="paragraph" w:styleId="TOC7">
    <w:name w:val="toc 7"/>
    <w:basedOn w:val="Normal"/>
    <w:next w:val="Normal"/>
    <w:autoRedefine/>
    <w:uiPriority w:val="39"/>
    <w:semiHidden/>
    <w:unhideWhenUsed/>
    <w:rsid w:val="0003148D"/>
    <w:pPr>
      <w:spacing w:after="100"/>
      <w:ind w:left="1320"/>
    </w:pPr>
  </w:style>
  <w:style w:type="paragraph" w:styleId="TOC8">
    <w:name w:val="toc 8"/>
    <w:basedOn w:val="Normal"/>
    <w:next w:val="Normal"/>
    <w:autoRedefine/>
    <w:uiPriority w:val="39"/>
    <w:semiHidden/>
    <w:unhideWhenUsed/>
    <w:rsid w:val="0003148D"/>
    <w:pPr>
      <w:spacing w:after="100"/>
      <w:ind w:left="1540"/>
    </w:pPr>
  </w:style>
  <w:style w:type="paragraph" w:styleId="TOC9">
    <w:name w:val="toc 9"/>
    <w:basedOn w:val="Normal"/>
    <w:next w:val="Normal"/>
    <w:autoRedefine/>
    <w:uiPriority w:val="39"/>
    <w:semiHidden/>
    <w:unhideWhenUsed/>
    <w:rsid w:val="0003148D"/>
    <w:pPr>
      <w:spacing w:after="100"/>
      <w:ind w:left="1760"/>
    </w:pPr>
  </w:style>
  <w:style w:type="paragraph" w:styleId="BlockText">
    <w:name w:val="Block Text"/>
    <w:basedOn w:val="Normal"/>
    <w:uiPriority w:val="99"/>
    <w:semiHidden/>
    <w:unhideWhenUsed/>
    <w:rsid w:val="0003148D"/>
    <w:pPr>
      <w:pBdr>
        <w:top w:val="single" w:sz="2" w:space="10" w:color="4F81BD" w:themeColor="accent1"/>
        <w:left w:val="single" w:sz="2" w:space="10" w:color="4F81BD" w:themeColor="accent1"/>
        <w:bottom w:val="single" w:sz="2" w:space="10" w:color="4F81BD" w:themeColor="accent1"/>
        <w:right w:val="single" w:sz="2" w:space="10" w:color="4F81BD" w:themeColor="accent1"/>
      </w:pBdr>
      <w:ind w:left="1152" w:right="1152"/>
    </w:pPr>
    <w:rPr>
      <w:rFonts w:eastAsiaTheme="minorEastAsia"/>
      <w:i/>
      <w:iCs/>
      <w:color w:val="4F81BD" w:themeColor="accent1"/>
    </w:rPr>
  </w:style>
  <w:style w:type="paragraph" w:styleId="MacroText">
    <w:name w:val="macro"/>
    <w:link w:val="MacroTextChar"/>
    <w:uiPriority w:val="99"/>
    <w:semiHidden/>
    <w:unhideWhenUsed/>
    <w:rsid w:val="0003148D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 w:cs="Consolas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semiHidden/>
    <w:rsid w:val="0003148D"/>
    <w:rPr>
      <w:rFonts w:ascii="Consolas" w:hAnsi="Consolas" w:cs="Consolas"/>
      <w:sz w:val="20"/>
      <w:szCs w:val="20"/>
    </w:rPr>
  </w:style>
  <w:style w:type="paragraph" w:styleId="PlainText">
    <w:name w:val="Plain Text"/>
    <w:basedOn w:val="Normal"/>
    <w:link w:val="PlainTextChar"/>
    <w:uiPriority w:val="99"/>
    <w:semiHidden/>
    <w:unhideWhenUsed/>
    <w:rsid w:val="0003148D"/>
    <w:pPr>
      <w:spacing w:line="240" w:lineRule="auto"/>
    </w:pPr>
    <w:rPr>
      <w:rFonts w:ascii="Consolas" w:hAnsi="Consolas" w:cs="Consolas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03148D"/>
    <w:rPr>
      <w:rFonts w:ascii="Consolas" w:hAnsi="Consolas" w:cs="Consolas"/>
      <w:sz w:val="21"/>
      <w:szCs w:val="21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03148D"/>
    <w:pPr>
      <w:spacing w:line="240" w:lineRule="auto"/>
    </w:p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03148D"/>
    <w:rPr>
      <w:sz w:val="20"/>
      <w:szCs w:val="20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03148D"/>
    <w:pPr>
      <w:spacing w:line="240" w:lineRule="auto"/>
    </w:p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03148D"/>
    <w:rPr>
      <w:sz w:val="20"/>
      <w:szCs w:val="20"/>
    </w:rPr>
  </w:style>
  <w:style w:type="character" w:customStyle="1" w:styleId="Heading1Char">
    <w:name w:val="Heading 1 Char"/>
    <w:basedOn w:val="DefaultParagraphFont"/>
    <w:link w:val="Heading1"/>
    <w:uiPriority w:val="9"/>
    <w:rsid w:val="004F5E36"/>
    <w:rPr>
      <w:rFonts w:ascii="Arial" w:eastAsia="Times New Roman" w:hAnsi="Arial" w:cs="Times New Roman"/>
      <w:b/>
      <w:sz w:val="20"/>
      <w:szCs w:val="20"/>
      <w:lang w:val="en-GB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03148D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03148D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03148D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03148D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03148D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03148D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03148D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03148D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IndexHeading">
    <w:name w:val="index heading"/>
    <w:basedOn w:val="Normal"/>
    <w:next w:val="Index1"/>
    <w:uiPriority w:val="99"/>
    <w:semiHidden/>
    <w:unhideWhenUsed/>
    <w:rsid w:val="0003148D"/>
    <w:rPr>
      <w:rFonts w:asciiTheme="majorHAnsi" w:eastAsiaTheme="majorEastAsia" w:hAnsiTheme="majorHAnsi" w:cstheme="majorBidi"/>
      <w:b/>
      <w:bCs/>
    </w:rPr>
  </w:style>
  <w:style w:type="paragraph" w:styleId="TOAHeading">
    <w:name w:val="toa heading"/>
    <w:basedOn w:val="Normal"/>
    <w:next w:val="Normal"/>
    <w:uiPriority w:val="99"/>
    <w:semiHidden/>
    <w:unhideWhenUsed/>
    <w:rsid w:val="0003148D"/>
    <w:pPr>
      <w:spacing w:before="120"/>
    </w:pPr>
    <w:rPr>
      <w:rFonts w:asciiTheme="majorHAnsi" w:eastAsiaTheme="majorEastAsia" w:hAnsiTheme="majorHAnsi" w:cstheme="majorBidi"/>
      <w:b/>
      <w:bCs/>
      <w:sz w:val="24"/>
      <w:szCs w:val="24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03148D"/>
    <w:pPr>
      <w:outlineLvl w:val="9"/>
    </w:pPr>
  </w:style>
  <w:style w:type="paragraph" w:customStyle="1" w:styleId="CETemail">
    <w:name w:val="CET email"/>
    <w:next w:val="CETBodytext"/>
    <w:rsid w:val="009E788A"/>
    <w:pPr>
      <w:spacing w:after="240"/>
    </w:pPr>
    <w:rPr>
      <w:rFonts w:ascii="Arial" w:eastAsia="Times New Roman" w:hAnsi="Arial" w:cs="Times New Roman"/>
      <w:noProof/>
      <w:sz w:val="16"/>
      <w:szCs w:val="20"/>
      <w:lang w:val="en-GB"/>
    </w:rPr>
  </w:style>
  <w:style w:type="character" w:customStyle="1" w:styleId="CETAddressCarattere">
    <w:name w:val="CET Address Carattere"/>
    <w:basedOn w:val="DefaultParagraphFont"/>
    <w:link w:val="CETAddress"/>
    <w:rsid w:val="009E788A"/>
    <w:rPr>
      <w:rFonts w:ascii="Arial" w:eastAsia="Times New Roman" w:hAnsi="Arial" w:cs="Times New Roman"/>
      <w:noProof/>
      <w:sz w:val="16"/>
      <w:szCs w:val="20"/>
      <w:lang w:val="en-GB"/>
    </w:rPr>
  </w:style>
  <w:style w:type="paragraph" w:customStyle="1" w:styleId="CETBodytextBold">
    <w:name w:val="CET Body text (Bold)"/>
    <w:basedOn w:val="CETBodytext"/>
    <w:rsid w:val="00901EB6"/>
    <w:rPr>
      <w:b/>
    </w:rPr>
  </w:style>
  <w:style w:type="paragraph" w:customStyle="1" w:styleId="CETnumberingbullets">
    <w:name w:val="CET numbering (bullets)"/>
    <w:rsid w:val="008D433B"/>
    <w:pPr>
      <w:numPr>
        <w:numId w:val="13"/>
      </w:numPr>
      <w:spacing w:after="0" w:line="264" w:lineRule="auto"/>
    </w:pPr>
    <w:rPr>
      <w:rFonts w:ascii="Arial" w:eastAsia="Times New Roman" w:hAnsi="Arial" w:cs="Times New Roman"/>
      <w:sz w:val="18"/>
      <w:szCs w:val="20"/>
      <w:lang w:val="en-GB"/>
    </w:rPr>
  </w:style>
  <w:style w:type="paragraph" w:customStyle="1" w:styleId="CETnumbering1">
    <w:name w:val="CET numbering (1"/>
    <w:aliases w:val="2..)"/>
    <w:rsid w:val="00B57B36"/>
    <w:pPr>
      <w:numPr>
        <w:numId w:val="14"/>
      </w:numPr>
      <w:spacing w:after="0" w:line="264" w:lineRule="auto"/>
      <w:ind w:left="340" w:hanging="227"/>
    </w:pPr>
    <w:rPr>
      <w:rFonts w:ascii="Arial" w:eastAsia="Times New Roman" w:hAnsi="Arial" w:cs="Times New Roman"/>
      <w:sz w:val="18"/>
      <w:szCs w:val="20"/>
      <w:lang w:val="en-US"/>
    </w:rPr>
  </w:style>
  <w:style w:type="paragraph" w:customStyle="1" w:styleId="CETnumberinga">
    <w:name w:val="CET numbering (a"/>
    <w:aliases w:val="b,..)"/>
    <w:rsid w:val="00B57B36"/>
    <w:pPr>
      <w:numPr>
        <w:numId w:val="15"/>
      </w:numPr>
      <w:spacing w:after="0" w:line="264" w:lineRule="auto"/>
    </w:pPr>
    <w:rPr>
      <w:rFonts w:ascii="Arial" w:eastAsia="Times New Roman" w:hAnsi="Arial" w:cs="Times New Roman"/>
      <w:sz w:val="18"/>
      <w:szCs w:val="20"/>
      <w:lang w:val="en-GB"/>
    </w:rPr>
  </w:style>
  <w:style w:type="paragraph" w:styleId="Header">
    <w:name w:val="header"/>
    <w:basedOn w:val="Normal"/>
    <w:link w:val="HeaderChar"/>
    <w:uiPriority w:val="99"/>
    <w:unhideWhenUsed/>
    <w:rsid w:val="005278B7"/>
    <w:pPr>
      <w:tabs>
        <w:tab w:val="clear" w:pos="7100"/>
        <w:tab w:val="center" w:pos="4819"/>
        <w:tab w:val="right" w:pos="9638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278B7"/>
    <w:rPr>
      <w:rFonts w:ascii="Arial" w:eastAsia="Times New Roman" w:hAnsi="Arial" w:cs="Times New Roman"/>
      <w:sz w:val="18"/>
      <w:szCs w:val="20"/>
      <w:lang w:val="en-GB"/>
    </w:rPr>
  </w:style>
  <w:style w:type="paragraph" w:styleId="Footer">
    <w:name w:val="footer"/>
    <w:basedOn w:val="Normal"/>
    <w:link w:val="FooterChar"/>
    <w:uiPriority w:val="99"/>
    <w:unhideWhenUsed/>
    <w:rsid w:val="005278B7"/>
    <w:pPr>
      <w:tabs>
        <w:tab w:val="clear" w:pos="7100"/>
        <w:tab w:val="center" w:pos="4819"/>
        <w:tab w:val="right" w:pos="9638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278B7"/>
    <w:rPr>
      <w:rFonts w:ascii="Arial" w:eastAsia="Times New Roman" w:hAnsi="Arial" w:cs="Times New Roman"/>
      <w:sz w:val="18"/>
      <w:szCs w:val="20"/>
      <w:lang w:val="en-GB"/>
    </w:rPr>
  </w:style>
  <w:style w:type="table" w:styleId="TableGrid">
    <w:name w:val="Table Grid"/>
    <w:basedOn w:val="TableNormal"/>
    <w:uiPriority w:val="59"/>
    <w:rsid w:val="00660E3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904C62"/>
    <w:rPr>
      <w:color w:val="0000FF" w:themeColor="hyperlink"/>
      <w:u w:val="single"/>
    </w:rPr>
  </w:style>
  <w:style w:type="character" w:customStyle="1" w:styleId="eudoraheader">
    <w:name w:val="eudoraheader"/>
    <w:basedOn w:val="DefaultParagraphFont"/>
    <w:rsid w:val="00904C62"/>
  </w:style>
  <w:style w:type="paragraph" w:customStyle="1" w:styleId="CETListbullets">
    <w:name w:val="CET List bullets"/>
    <w:qFormat/>
    <w:rsid w:val="004577FE"/>
    <w:pPr>
      <w:spacing w:after="0" w:line="264" w:lineRule="auto"/>
      <w:ind w:left="340" w:hanging="227"/>
      <w:jc w:val="both"/>
    </w:pPr>
    <w:rPr>
      <w:rFonts w:ascii="Arial" w:eastAsia="Times New Roman" w:hAnsi="Arial" w:cs="Times New Roman"/>
      <w:sz w:val="18"/>
      <w:szCs w:val="20"/>
      <w:lang w:val="en-GB"/>
    </w:rPr>
  </w:style>
  <w:style w:type="paragraph" w:customStyle="1" w:styleId="CETReferencetext">
    <w:name w:val="CET Reference text"/>
    <w:qFormat/>
    <w:rsid w:val="00600535"/>
    <w:pPr>
      <w:spacing w:after="0" w:line="264" w:lineRule="auto"/>
      <w:ind w:left="284" w:hanging="284"/>
      <w:jc w:val="both"/>
    </w:pPr>
    <w:rPr>
      <w:rFonts w:ascii="Arial" w:eastAsia="Times New Roman" w:hAnsi="Arial" w:cs="Times New Roman"/>
      <w:sz w:val="18"/>
      <w:szCs w:val="20"/>
      <w:lang w:val="en-GB"/>
    </w:rPr>
  </w:style>
  <w:style w:type="paragraph" w:customStyle="1" w:styleId="CETTabletitle">
    <w:name w:val="CET Table title"/>
    <w:qFormat/>
    <w:rsid w:val="00600535"/>
    <w:pPr>
      <w:keepNext/>
      <w:spacing w:before="240" w:after="80" w:line="240" w:lineRule="exact"/>
    </w:pPr>
    <w:rPr>
      <w:rFonts w:ascii="Arial" w:eastAsia="Times New Roman" w:hAnsi="Arial" w:cs="Times New Roman"/>
      <w:i/>
      <w:sz w:val="18"/>
      <w:szCs w:val="20"/>
      <w:lang w:val="en-GB"/>
    </w:rPr>
  </w:style>
  <w:style w:type="paragraph" w:customStyle="1" w:styleId="CETAcknowledgementstitle">
    <w:name w:val="CET Acknowledgements title"/>
    <w:next w:val="CETBodytext"/>
    <w:qFormat/>
    <w:rsid w:val="00600535"/>
    <w:pPr>
      <w:spacing w:before="200" w:after="120"/>
    </w:pPr>
    <w:rPr>
      <w:rFonts w:ascii="Arial" w:eastAsia="Times New Roman" w:hAnsi="Arial" w:cs="Times New Roman"/>
      <w:b/>
      <w:sz w:val="18"/>
      <w:szCs w:val="20"/>
      <w:lang w:val="en-GB"/>
    </w:rPr>
  </w:style>
  <w:style w:type="paragraph" w:customStyle="1" w:styleId="CETEquation">
    <w:name w:val="CET Equation"/>
    <w:basedOn w:val="CETBodytext"/>
    <w:next w:val="CETBodytext"/>
    <w:qFormat/>
    <w:rsid w:val="00600535"/>
    <w:pPr>
      <w:spacing w:before="120" w:after="120"/>
      <w:jc w:val="left"/>
    </w:pPr>
    <w:rPr>
      <w:lang w:val="en-GB"/>
    </w:rPr>
  </w:style>
  <w:style w:type="paragraph" w:customStyle="1" w:styleId="CETHeadingxx">
    <w:name w:val="CET Headingxx"/>
    <w:basedOn w:val="CETheadingx"/>
    <w:link w:val="CETHeadingxxChar"/>
    <w:qFormat/>
    <w:rsid w:val="000F787B"/>
    <w:pPr>
      <w:numPr>
        <w:ilvl w:val="0"/>
        <w:numId w:val="0"/>
      </w:numPr>
    </w:pPr>
  </w:style>
  <w:style w:type="character" w:customStyle="1" w:styleId="CETHeadingxxChar">
    <w:name w:val="CET Headingxx Char"/>
    <w:basedOn w:val="CETheadingxCarattere"/>
    <w:link w:val="CETHeadingxx"/>
    <w:rsid w:val="000F787B"/>
    <w:rPr>
      <w:rFonts w:ascii="Arial" w:eastAsia="Times New Roman" w:hAnsi="Arial" w:cs="Times New Roman"/>
      <w:b/>
      <w:sz w:val="18"/>
      <w:szCs w:val="20"/>
      <w:lang w:val="en-US"/>
    </w:rPr>
  </w:style>
  <w:style w:type="paragraph" w:styleId="ListParagraph">
    <w:name w:val="List Paragraph"/>
    <w:basedOn w:val="Normal"/>
    <w:uiPriority w:val="34"/>
    <w:rsid w:val="00280FAF"/>
    <w:pPr>
      <w:ind w:left="720"/>
      <w:contextualSpacing/>
    </w:pPr>
  </w:style>
  <w:style w:type="character" w:styleId="FootnoteReference">
    <w:name w:val="footnote reference"/>
    <w:basedOn w:val="DefaultParagraphFont"/>
    <w:uiPriority w:val="99"/>
    <w:semiHidden/>
    <w:unhideWhenUsed/>
    <w:rsid w:val="00CE60D1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80609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825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8832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3321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735042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3056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0123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1461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9156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904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856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991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9083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8087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065976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tif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tiff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f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3.tiff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tiff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D3983C9-6D0A-480C-BF79-A63BD3D99EF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1953</TotalTime>
  <Pages>6</Pages>
  <Words>3057</Words>
  <Characters>16512</Characters>
  <Application>Microsoft Office Word</Application>
  <DocSecurity>0</DocSecurity>
  <Lines>137</Lines>
  <Paragraphs>39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Titolo</vt:lpstr>
      </vt:variant>
      <vt:variant>
        <vt:i4>1</vt:i4>
      </vt:variant>
    </vt:vector>
  </HeadingPairs>
  <TitlesOfParts>
    <vt:vector size="2" baseType="lpstr">
      <vt:lpstr/>
      <vt:lpstr/>
    </vt:vector>
  </TitlesOfParts>
  <Company>Dipartimento CMIC - Politecnico di Milano</Company>
  <LinksUpToDate>false</LinksUpToDate>
  <CharactersWithSpaces>19530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raffaella</dc:creator>
  <cp:lastModifiedBy>Jean Felipe Leal Silva</cp:lastModifiedBy>
  <cp:revision>45</cp:revision>
  <cp:lastPrinted>2015-05-12T18:31:00Z</cp:lastPrinted>
  <dcterms:created xsi:type="dcterms:W3CDTF">2021-09-21T10:42:00Z</dcterms:created>
  <dcterms:modified xsi:type="dcterms:W3CDTF">2022-03-30T02:29:00Z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ZOTERO_PREF_1">
    <vt:lpwstr>&lt;data data-version="3" zotero-version="4.0.29.17"&gt;&lt;session id="s8VwuD2U"/&gt;&lt;style id="http://www.zotero.org/styles/chemical-engineering-transactions" hasBibliography="1" bibliographyStyleHasBeenSet="1"/&gt;&lt;prefs&gt;&lt;pref name="fieldType" value="Field"/&gt;&lt;pref na</vt:lpwstr>
  </property>
  <property fmtid="{D5CDD505-2E9C-101B-9397-08002B2CF9AE}" pid="3" name="ZOTERO_PREF_2">
    <vt:lpwstr>me="storeReferences" value="true"/&gt;&lt;pref name="automaticJournalAbbreviations" value=""/&gt;&lt;pref name="noteType" value=""/&gt;&lt;/prefs&gt;&lt;/data&gt;</vt:lpwstr>
  </property>
  <property fmtid="{D5CDD505-2E9C-101B-9397-08002B2CF9AE}" pid="4" name="Mendeley Document_1">
    <vt:lpwstr>True</vt:lpwstr>
  </property>
  <property fmtid="{D5CDD505-2E9C-101B-9397-08002B2CF9AE}" pid="5" name="Mendeley Unique User Id_1">
    <vt:lpwstr>609e71e0-d672-3206-afb8-b7f5fba57d34</vt:lpwstr>
  </property>
  <property fmtid="{D5CDD505-2E9C-101B-9397-08002B2CF9AE}" pid="6" name="Mendeley Citation Style_1">
    <vt:lpwstr>http://www.zotero.org/styles/american-sociological-association</vt:lpwstr>
  </property>
  <property fmtid="{D5CDD505-2E9C-101B-9397-08002B2CF9AE}" pid="7" name="Mendeley Recent Style Id 0_1">
    <vt:lpwstr>http://www.zotero.org/styles/american-medical-association</vt:lpwstr>
  </property>
  <property fmtid="{D5CDD505-2E9C-101B-9397-08002B2CF9AE}" pid="8" name="Mendeley Recent Style Name 0_1">
    <vt:lpwstr>American Medical Association 11th edition</vt:lpwstr>
  </property>
  <property fmtid="{D5CDD505-2E9C-101B-9397-08002B2CF9AE}" pid="9" name="Mendeley Recent Style Id 1_1">
    <vt:lpwstr>http://www.zotero.org/styles/apa</vt:lpwstr>
  </property>
  <property fmtid="{D5CDD505-2E9C-101B-9397-08002B2CF9AE}" pid="10" name="Mendeley Recent Style Name 1_1">
    <vt:lpwstr>American Psychological Association 7th edition</vt:lpwstr>
  </property>
  <property fmtid="{D5CDD505-2E9C-101B-9397-08002B2CF9AE}" pid="11" name="Mendeley Recent Style Id 2_1">
    <vt:lpwstr>http://www.zotero.org/styles/american-sociological-association</vt:lpwstr>
  </property>
  <property fmtid="{D5CDD505-2E9C-101B-9397-08002B2CF9AE}" pid="12" name="Mendeley Recent Style Name 2_1">
    <vt:lpwstr>American Sociological Association 6th edition</vt:lpwstr>
  </property>
  <property fmtid="{D5CDD505-2E9C-101B-9397-08002B2CF9AE}" pid="13" name="Mendeley Recent Style Id 3_1">
    <vt:lpwstr>http://www.zotero.org/styles/bioresource-technology</vt:lpwstr>
  </property>
  <property fmtid="{D5CDD505-2E9C-101B-9397-08002B2CF9AE}" pid="14" name="Mendeley Recent Style Name 3_1">
    <vt:lpwstr>Bioresource Technology</vt:lpwstr>
  </property>
  <property fmtid="{D5CDD505-2E9C-101B-9397-08002B2CF9AE}" pid="15" name="Mendeley Recent Style Id 4_1">
    <vt:lpwstr>http://www.zotero.org/styles/chicago-author-date</vt:lpwstr>
  </property>
  <property fmtid="{D5CDD505-2E9C-101B-9397-08002B2CF9AE}" pid="16" name="Mendeley Recent Style Name 4_1">
    <vt:lpwstr>Chicago Manual of Style 17th edition (author-date)</vt:lpwstr>
  </property>
  <property fmtid="{D5CDD505-2E9C-101B-9397-08002B2CF9AE}" pid="17" name="Mendeley Recent Style Id 5_1">
    <vt:lpwstr>http://www.zotero.org/styles/harvard-cite-them-right</vt:lpwstr>
  </property>
  <property fmtid="{D5CDD505-2E9C-101B-9397-08002B2CF9AE}" pid="18" name="Mendeley Recent Style Name 5_1">
    <vt:lpwstr>Cite Them Right 10th edition - Harvard</vt:lpwstr>
  </property>
  <property fmtid="{D5CDD505-2E9C-101B-9397-08002B2CF9AE}" pid="19" name="Mendeley Recent Style Id 6_1">
    <vt:lpwstr>http://www.zotero.org/styles/fuel</vt:lpwstr>
  </property>
  <property fmtid="{D5CDD505-2E9C-101B-9397-08002B2CF9AE}" pid="20" name="Mendeley Recent Style Name 6_1">
    <vt:lpwstr>Fuel</vt:lpwstr>
  </property>
  <property fmtid="{D5CDD505-2E9C-101B-9397-08002B2CF9AE}" pid="21" name="Mendeley Recent Style Id 7_1">
    <vt:lpwstr>http://www.zotero.org/styles/journal-of-power-sources</vt:lpwstr>
  </property>
  <property fmtid="{D5CDD505-2E9C-101B-9397-08002B2CF9AE}" pid="22" name="Mendeley Recent Style Name 7_1">
    <vt:lpwstr>Journal of Power Sources</vt:lpwstr>
  </property>
  <property fmtid="{D5CDD505-2E9C-101B-9397-08002B2CF9AE}" pid="23" name="Mendeley Recent Style Id 8_1">
    <vt:lpwstr>http://www.zotero.org/styles/membranes</vt:lpwstr>
  </property>
  <property fmtid="{D5CDD505-2E9C-101B-9397-08002B2CF9AE}" pid="24" name="Mendeley Recent Style Name 8_1">
    <vt:lpwstr>Membranes</vt:lpwstr>
  </property>
  <property fmtid="{D5CDD505-2E9C-101B-9397-08002B2CF9AE}" pid="25" name="Mendeley Recent Style Id 9_1">
    <vt:lpwstr>http://www.zotero.org/styles/modern-humanities-research-association</vt:lpwstr>
  </property>
  <property fmtid="{D5CDD505-2E9C-101B-9397-08002B2CF9AE}" pid="26" name="Mendeley Recent Style Name 9_1">
    <vt:lpwstr>Modern Humanities Research Association 3rd edition (note with bibliography)</vt:lpwstr>
  </property>
</Properties>
</file>