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27045B" w14:paraId="2A131A54" w14:textId="77777777" w:rsidTr="00DE264A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38C3D2BA" w14:textId="77777777" w:rsidR="000A03B2" w:rsidRPr="0027045B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val="en-US" w:eastAsia="it-IT"/>
              </w:rPr>
            </w:pPr>
            <w:r w:rsidRPr="0027045B">
              <w:rPr>
                <w:rFonts w:ascii="AdvP6960" w:hAnsi="AdvP6960" w:cs="AdvP6960"/>
                <w:noProof/>
                <w:color w:val="241F20"/>
                <w:szCs w:val="18"/>
                <w:lang w:val="en-US" w:eastAsia="it-IT"/>
              </w:rPr>
              <w:drawing>
                <wp:inline distT="0" distB="0" distL="0" distR="0" wp14:anchorId="02B7C3D3" wp14:editId="5EE03112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45B">
              <w:rPr>
                <w:rFonts w:ascii="AdvP6960" w:hAnsi="AdvP6960" w:cs="AdvP6960"/>
                <w:color w:val="241F20"/>
                <w:szCs w:val="18"/>
                <w:lang w:val="en-US" w:eastAsia="it-IT"/>
              </w:rPr>
              <w:t xml:space="preserve"> </w:t>
            </w:r>
            <w:r w:rsidRPr="0027045B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val="en-US" w:eastAsia="it-IT"/>
              </w:rPr>
              <w:t>CHEMICAL ENGINEERING</w:t>
            </w:r>
            <w:r w:rsidRPr="0027045B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val="en-US" w:eastAsia="it-IT"/>
              </w:rPr>
              <w:t xml:space="preserve"> </w:t>
            </w:r>
            <w:r w:rsidRPr="0027045B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val="en-US" w:eastAsia="it-IT"/>
              </w:rPr>
              <w:t>TRANSACTIONS</w:t>
            </w:r>
            <w:r w:rsidRPr="0027045B">
              <w:rPr>
                <w:color w:val="333333"/>
                <w:sz w:val="24"/>
                <w:szCs w:val="24"/>
                <w:lang w:val="en-US" w:eastAsia="it-IT"/>
              </w:rPr>
              <w:t xml:space="preserve"> </w:t>
            </w:r>
            <w:r w:rsidRPr="0027045B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val="en-US" w:eastAsia="it-IT"/>
              </w:rPr>
              <w:br/>
            </w:r>
          </w:p>
          <w:p w14:paraId="4B780582" w14:textId="65D5BBBB" w:rsidR="000A03B2" w:rsidRPr="0027045B" w:rsidRDefault="00A76EFC" w:rsidP="001D21A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val="en-US" w:eastAsia="it-IT"/>
              </w:rPr>
            </w:pPr>
            <w:r w:rsidRPr="0027045B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val="en-US" w:eastAsia="it-IT"/>
              </w:rPr>
              <w:t xml:space="preserve">VOL. </w:t>
            </w:r>
            <w:r w:rsidR="00D46B7E" w:rsidRPr="0027045B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val="en-US" w:eastAsia="it-IT"/>
              </w:rPr>
              <w:t>9</w:t>
            </w:r>
            <w:r w:rsidR="001D21AF" w:rsidRPr="0027045B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val="en-US" w:eastAsia="it-IT"/>
              </w:rPr>
              <w:t>2</w:t>
            </w:r>
            <w:r w:rsidR="007B48F9" w:rsidRPr="0027045B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val="en-US" w:eastAsia="it-IT"/>
              </w:rPr>
              <w:t>,</w:t>
            </w:r>
            <w:r w:rsidR="00FA5F5F" w:rsidRPr="0027045B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val="en-US" w:eastAsia="it-IT"/>
              </w:rPr>
              <w:t xml:space="preserve"> 20</w:t>
            </w:r>
            <w:r w:rsidR="00DF5072" w:rsidRPr="0027045B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val="en-US" w:eastAsia="it-IT"/>
              </w:rPr>
              <w:t>2</w:t>
            </w:r>
            <w:r w:rsidR="007B48F9" w:rsidRPr="0027045B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val="en-US" w:eastAsia="it-IT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782132" w14:textId="77777777" w:rsidR="000A03B2" w:rsidRPr="0027045B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  <w:lang w:val="en-US"/>
              </w:rPr>
            </w:pPr>
            <w:r w:rsidRPr="0027045B">
              <w:rPr>
                <w:rFonts w:cs="Arial"/>
                <w:sz w:val="14"/>
                <w:szCs w:val="14"/>
                <w:lang w:val="en-US"/>
              </w:rPr>
              <w:t>A publication of</w:t>
            </w:r>
          </w:p>
          <w:p w14:paraId="599E5441" w14:textId="77777777" w:rsidR="000A03B2" w:rsidRPr="0027045B" w:rsidRDefault="000A03B2" w:rsidP="00CD5FE2">
            <w:pPr>
              <w:jc w:val="right"/>
              <w:rPr>
                <w:lang w:val="en-US"/>
              </w:rPr>
            </w:pPr>
            <w:r w:rsidRPr="0027045B">
              <w:rPr>
                <w:noProof/>
                <w:lang w:val="en-US" w:eastAsia="it-IT"/>
              </w:rPr>
              <w:drawing>
                <wp:inline distT="0" distB="0" distL="0" distR="0" wp14:anchorId="59C75AF4" wp14:editId="4FF92432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27045B" w14:paraId="380FA3CD" w14:textId="77777777" w:rsidTr="00DE264A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39E5E4C1" w14:textId="77777777" w:rsidR="000A03B2" w:rsidRPr="0027045B" w:rsidRDefault="000A03B2" w:rsidP="00CD5FE2">
            <w:pPr>
              <w:tabs>
                <w:tab w:val="left" w:pos="-108"/>
              </w:tabs>
              <w:rPr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858A98" w14:textId="77777777" w:rsidR="000A03B2" w:rsidRPr="0027045B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  <w:lang w:val="en-US"/>
              </w:rPr>
            </w:pPr>
            <w:r w:rsidRPr="0027045B">
              <w:rPr>
                <w:rFonts w:cs="Arial"/>
                <w:sz w:val="14"/>
                <w:szCs w:val="14"/>
                <w:lang w:val="en-US"/>
              </w:rPr>
              <w:t>The Italian Association</w:t>
            </w:r>
          </w:p>
          <w:p w14:paraId="7522B1D2" w14:textId="77777777" w:rsidR="000A03B2" w:rsidRPr="0027045B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  <w:lang w:val="en-US"/>
              </w:rPr>
            </w:pPr>
            <w:r w:rsidRPr="0027045B">
              <w:rPr>
                <w:rFonts w:cs="Arial"/>
                <w:sz w:val="14"/>
                <w:szCs w:val="14"/>
                <w:lang w:val="en-US"/>
              </w:rPr>
              <w:t>of Chemical Engineering</w:t>
            </w:r>
          </w:p>
          <w:p w14:paraId="4F0CC5DE" w14:textId="47FDB2FC" w:rsidR="000A03B2" w:rsidRPr="0027045B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  <w:lang w:val="en-US"/>
              </w:rPr>
            </w:pPr>
            <w:r w:rsidRPr="0027045B">
              <w:rPr>
                <w:rFonts w:cs="Arial"/>
                <w:sz w:val="13"/>
                <w:szCs w:val="13"/>
                <w:lang w:val="en-US"/>
              </w:rPr>
              <w:t>Online at www.cetjournal.it</w:t>
            </w:r>
          </w:p>
        </w:tc>
      </w:tr>
      <w:tr w:rsidR="000A03B2" w:rsidRPr="0027045B" w14:paraId="2D1B7169" w14:textId="77777777" w:rsidTr="00DE264A">
        <w:trPr>
          <w:trHeight w:val="68"/>
          <w:jc w:val="center"/>
        </w:trPr>
        <w:tc>
          <w:tcPr>
            <w:tcW w:w="8789" w:type="dxa"/>
            <w:gridSpan w:val="2"/>
          </w:tcPr>
          <w:p w14:paraId="4B0BB442" w14:textId="14967F0F" w:rsidR="00300E56" w:rsidRPr="002802D8" w:rsidRDefault="00300E56" w:rsidP="00B57E6F">
            <w:pPr>
              <w:ind w:left="-107"/>
              <w:outlineLvl w:val="2"/>
              <w:rPr>
                <w:rFonts w:ascii="Tahoma" w:hAnsi="Tahoma" w:cs="Tahoma"/>
                <w:bCs/>
                <w:color w:val="000000"/>
                <w:sz w:val="14"/>
                <w:szCs w:val="14"/>
                <w:lang w:val="it-IT" w:eastAsia="it-IT"/>
              </w:rPr>
            </w:pPr>
            <w:r w:rsidRPr="002802D8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="001D21AF" w:rsidRPr="002802D8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 xml:space="preserve"> Rubens Maciel </w:t>
            </w:r>
            <w:proofErr w:type="spellStart"/>
            <w:r w:rsidR="001D21AF" w:rsidRPr="002802D8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Filho</w:t>
            </w:r>
            <w:proofErr w:type="spellEnd"/>
            <w:r w:rsidR="00964A45" w:rsidRPr="002802D8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 xml:space="preserve">, Eliseo Ranzi, Leonardo </w:t>
            </w:r>
            <w:proofErr w:type="spellStart"/>
            <w:r w:rsidR="00964A45" w:rsidRPr="002802D8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Tognotti</w:t>
            </w:r>
            <w:proofErr w:type="spellEnd"/>
          </w:p>
          <w:p w14:paraId="1B0F1814" w14:textId="4A78A049" w:rsidR="000A03B2" w:rsidRPr="0027045B" w:rsidRDefault="00FA5F5F" w:rsidP="001D21AF">
            <w:pPr>
              <w:tabs>
                <w:tab w:val="left" w:pos="-108"/>
              </w:tabs>
              <w:spacing w:line="140" w:lineRule="atLeast"/>
              <w:ind w:left="-107"/>
              <w:jc w:val="left"/>
              <w:rPr>
                <w:lang w:val="en-US"/>
              </w:rPr>
            </w:pPr>
            <w:r w:rsidRPr="0027045B">
              <w:rPr>
                <w:rFonts w:ascii="Tahoma" w:hAnsi="Tahoma" w:cs="Tahoma"/>
                <w:iCs/>
                <w:color w:val="333333"/>
                <w:sz w:val="14"/>
                <w:szCs w:val="14"/>
                <w:lang w:val="en-US" w:eastAsia="it-IT"/>
              </w:rPr>
              <w:t>Copyright © 20</w:t>
            </w:r>
            <w:r w:rsidR="00DF5072" w:rsidRPr="0027045B">
              <w:rPr>
                <w:rFonts w:ascii="Tahoma" w:hAnsi="Tahoma" w:cs="Tahoma"/>
                <w:iCs/>
                <w:color w:val="333333"/>
                <w:sz w:val="14"/>
                <w:szCs w:val="14"/>
                <w:lang w:val="en-US" w:eastAsia="it-IT"/>
              </w:rPr>
              <w:t>2</w:t>
            </w:r>
            <w:r w:rsidR="00E72EAD" w:rsidRPr="0027045B">
              <w:rPr>
                <w:rFonts w:ascii="Tahoma" w:hAnsi="Tahoma" w:cs="Tahoma"/>
                <w:iCs/>
                <w:color w:val="333333"/>
                <w:sz w:val="14"/>
                <w:szCs w:val="14"/>
                <w:lang w:val="en-US" w:eastAsia="it-IT"/>
              </w:rPr>
              <w:t>2</w:t>
            </w:r>
            <w:r w:rsidR="00904C62" w:rsidRPr="0027045B">
              <w:rPr>
                <w:rFonts w:ascii="Tahoma" w:hAnsi="Tahoma" w:cs="Tahoma"/>
                <w:iCs/>
                <w:color w:val="333333"/>
                <w:sz w:val="14"/>
                <w:szCs w:val="14"/>
                <w:lang w:val="en-US" w:eastAsia="it-IT"/>
              </w:rPr>
              <w:t xml:space="preserve">, AIDIC </w:t>
            </w:r>
            <w:proofErr w:type="spellStart"/>
            <w:r w:rsidR="00904C62" w:rsidRPr="0027045B">
              <w:rPr>
                <w:rFonts w:ascii="Tahoma" w:hAnsi="Tahoma" w:cs="Tahoma"/>
                <w:iCs/>
                <w:color w:val="333333"/>
                <w:sz w:val="14"/>
                <w:szCs w:val="14"/>
                <w:lang w:val="en-US" w:eastAsia="it-IT"/>
              </w:rPr>
              <w:t>Servizi</w:t>
            </w:r>
            <w:proofErr w:type="spellEnd"/>
            <w:r w:rsidR="00904C62" w:rsidRPr="0027045B">
              <w:rPr>
                <w:rFonts w:ascii="Tahoma" w:hAnsi="Tahoma" w:cs="Tahoma"/>
                <w:iCs/>
                <w:color w:val="333333"/>
                <w:sz w:val="14"/>
                <w:szCs w:val="14"/>
                <w:lang w:val="en-US" w:eastAsia="it-IT"/>
              </w:rPr>
              <w:t xml:space="preserve"> </w:t>
            </w:r>
            <w:proofErr w:type="spellStart"/>
            <w:r w:rsidR="00904C62" w:rsidRPr="0027045B">
              <w:rPr>
                <w:rFonts w:ascii="Tahoma" w:hAnsi="Tahoma" w:cs="Tahoma"/>
                <w:iCs/>
                <w:color w:val="333333"/>
                <w:sz w:val="14"/>
                <w:szCs w:val="14"/>
                <w:lang w:val="en-US" w:eastAsia="it-IT"/>
              </w:rPr>
              <w:t>S.r.l</w:t>
            </w:r>
            <w:proofErr w:type="spellEnd"/>
            <w:r w:rsidR="00904C62" w:rsidRPr="0027045B">
              <w:rPr>
                <w:rFonts w:ascii="Tahoma" w:hAnsi="Tahoma" w:cs="Tahoma"/>
                <w:iCs/>
                <w:color w:val="333333"/>
                <w:sz w:val="14"/>
                <w:szCs w:val="14"/>
                <w:lang w:val="en-US" w:eastAsia="it-IT"/>
              </w:rPr>
              <w:t>.</w:t>
            </w:r>
            <w:r w:rsidR="00300E56" w:rsidRPr="0027045B">
              <w:rPr>
                <w:rFonts w:ascii="Tahoma" w:hAnsi="Tahoma" w:cs="Tahoma"/>
                <w:iCs/>
                <w:color w:val="333333"/>
                <w:sz w:val="14"/>
                <w:szCs w:val="14"/>
                <w:lang w:val="en-US" w:eastAsia="it-IT"/>
              </w:rPr>
              <w:br/>
            </w:r>
            <w:r w:rsidR="00300E56" w:rsidRPr="0027045B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val="en-US" w:eastAsia="it-IT"/>
              </w:rPr>
              <w:t>ISBN</w:t>
            </w:r>
            <w:r w:rsidR="00300E56" w:rsidRPr="0027045B">
              <w:rPr>
                <w:rFonts w:ascii="Tahoma" w:hAnsi="Tahoma" w:cs="Tahoma"/>
                <w:iCs/>
                <w:color w:val="000000"/>
                <w:sz w:val="14"/>
                <w:szCs w:val="14"/>
                <w:lang w:val="en-US" w:eastAsia="it-IT"/>
              </w:rPr>
              <w:t xml:space="preserve"> </w:t>
            </w:r>
            <w:r w:rsidR="008D32B9" w:rsidRPr="0027045B">
              <w:rPr>
                <w:rFonts w:ascii="Tahoma" w:hAnsi="Tahoma" w:cs="Tahoma"/>
                <w:sz w:val="14"/>
                <w:szCs w:val="14"/>
                <w:lang w:val="en-US"/>
              </w:rPr>
              <w:t>978-88-95608</w:t>
            </w:r>
            <w:r w:rsidR="00D46B7E" w:rsidRPr="0027045B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="001D21AF" w:rsidRPr="0027045B">
              <w:rPr>
                <w:rFonts w:ascii="Tahoma" w:hAnsi="Tahoma" w:cs="Tahoma"/>
                <w:sz w:val="14"/>
                <w:szCs w:val="14"/>
                <w:lang w:val="en-US"/>
              </w:rPr>
              <w:t>90</w:t>
            </w:r>
            <w:r w:rsidR="00D46B7E" w:rsidRPr="0027045B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="001D21AF" w:rsidRPr="0027045B">
              <w:rPr>
                <w:rFonts w:ascii="Tahoma" w:hAnsi="Tahoma" w:cs="Tahoma"/>
                <w:sz w:val="14"/>
                <w:szCs w:val="14"/>
                <w:lang w:val="en-US"/>
              </w:rPr>
              <w:t>7</w:t>
            </w:r>
            <w:r w:rsidR="007B48F9" w:rsidRPr="0027045B">
              <w:rPr>
                <w:rFonts w:ascii="Tahoma" w:hAnsi="Tahoma" w:cs="Tahoma"/>
                <w:iCs/>
                <w:color w:val="333333"/>
                <w:sz w:val="14"/>
                <w:szCs w:val="14"/>
                <w:lang w:val="en-US" w:eastAsia="it-IT"/>
              </w:rPr>
              <w:t>;</w:t>
            </w:r>
            <w:r w:rsidR="00300E56" w:rsidRPr="0027045B">
              <w:rPr>
                <w:rFonts w:ascii="Tahoma" w:hAnsi="Tahoma" w:cs="Tahoma"/>
                <w:iCs/>
                <w:color w:val="333333"/>
                <w:sz w:val="14"/>
                <w:szCs w:val="14"/>
                <w:lang w:val="en-US" w:eastAsia="it-IT"/>
              </w:rPr>
              <w:t xml:space="preserve"> </w:t>
            </w:r>
            <w:r w:rsidR="00300E56" w:rsidRPr="0027045B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val="en-US" w:eastAsia="it-IT"/>
              </w:rPr>
              <w:t>ISSN</w:t>
            </w:r>
            <w:r w:rsidR="00300E56" w:rsidRPr="0027045B">
              <w:rPr>
                <w:rFonts w:ascii="Tahoma" w:hAnsi="Tahoma" w:cs="Tahoma"/>
                <w:iCs/>
                <w:color w:val="333333"/>
                <w:sz w:val="14"/>
                <w:szCs w:val="14"/>
                <w:lang w:val="en-US" w:eastAsia="it-IT"/>
              </w:rPr>
              <w:t xml:space="preserve"> 2283-9216</w:t>
            </w:r>
          </w:p>
        </w:tc>
      </w:tr>
    </w:tbl>
    <w:p w14:paraId="10DAA130" w14:textId="77777777" w:rsidR="000A03B2" w:rsidRPr="0027045B" w:rsidRDefault="000A03B2" w:rsidP="000A03B2">
      <w:pPr>
        <w:pStyle w:val="CETAuthors"/>
        <w:rPr>
          <w:lang w:val="en-US"/>
        </w:rPr>
        <w:sectPr w:rsidR="000A03B2" w:rsidRPr="0027045B" w:rsidSect="00CD5FE2">
          <w:type w:val="continuous"/>
          <w:pgSz w:w="11906" w:h="16838" w:code="9"/>
          <w:pgMar w:top="1701" w:right="1418" w:bottom="1701" w:left="1701" w:header="1701" w:footer="0" w:gutter="0"/>
          <w:cols w:space="708"/>
          <w:titlePg/>
          <w:docGrid w:linePitch="360"/>
        </w:sectPr>
      </w:pPr>
    </w:p>
    <w:p w14:paraId="2E667253" w14:textId="6B117538" w:rsidR="00E978D0" w:rsidRPr="0027045B" w:rsidRDefault="00BC673E" w:rsidP="00E978D0">
      <w:pPr>
        <w:pStyle w:val="CETTitle"/>
        <w:rPr>
          <w:lang w:val="en-US"/>
        </w:rPr>
      </w:pPr>
      <w:r w:rsidRPr="0027045B">
        <w:rPr>
          <w:lang w:val="en-US"/>
        </w:rPr>
        <w:t>Catalytic Upgrade of Pyrolysis Vapors: Bio-Fuels Production from Acetic Acid on Ru/TiO</w:t>
      </w:r>
      <w:r w:rsidRPr="0027045B">
        <w:rPr>
          <w:vertAlign w:val="subscript"/>
          <w:lang w:val="en-US"/>
        </w:rPr>
        <w:t>2</w:t>
      </w:r>
      <w:r w:rsidRPr="0027045B">
        <w:rPr>
          <w:lang w:val="en-US"/>
        </w:rPr>
        <w:t xml:space="preserve"> catalyst</w:t>
      </w:r>
    </w:p>
    <w:p w14:paraId="0488FED2" w14:textId="0AEBB36D" w:rsidR="00B57E6F" w:rsidRPr="002802D8" w:rsidRDefault="00DE3CF2" w:rsidP="00B57E6F">
      <w:pPr>
        <w:pStyle w:val="CETAuthors"/>
        <w:rPr>
          <w:lang w:val="it-IT"/>
        </w:rPr>
      </w:pPr>
      <w:r w:rsidRPr="002802D8">
        <w:rPr>
          <w:lang w:val="it-IT"/>
        </w:rPr>
        <w:t>Veronica Piazza</w:t>
      </w:r>
      <w:r w:rsidR="00B57E6F" w:rsidRPr="002802D8">
        <w:rPr>
          <w:lang w:val="it-IT"/>
        </w:rPr>
        <w:t xml:space="preserve">, </w:t>
      </w:r>
      <w:r w:rsidR="00472BBC" w:rsidRPr="002802D8">
        <w:rPr>
          <w:lang w:val="it-IT"/>
        </w:rPr>
        <w:t>Luca Lietti</w:t>
      </w:r>
      <w:r w:rsidR="00B57E6F" w:rsidRPr="002802D8">
        <w:rPr>
          <w:lang w:val="it-IT"/>
        </w:rPr>
        <w:t xml:space="preserve">, </w:t>
      </w:r>
      <w:r w:rsidR="002E7E93" w:rsidRPr="002802D8">
        <w:rPr>
          <w:lang w:val="it-IT"/>
        </w:rPr>
        <w:t>Alessandra Beretta</w:t>
      </w:r>
      <w:r w:rsidR="00472BBC" w:rsidRPr="002802D8">
        <w:rPr>
          <w:lang w:val="it-IT"/>
        </w:rPr>
        <w:t>*</w:t>
      </w:r>
    </w:p>
    <w:p w14:paraId="6B2D21B3" w14:textId="0F4F2475" w:rsidR="00B57E6F" w:rsidRPr="0027045B" w:rsidRDefault="00431F04" w:rsidP="00B57E6F">
      <w:pPr>
        <w:pStyle w:val="CETAddress"/>
        <w:rPr>
          <w:lang w:val="en-US"/>
        </w:rPr>
      </w:pPr>
      <w:r w:rsidRPr="0027045B">
        <w:rPr>
          <w:lang w:val="en-US"/>
        </w:rPr>
        <w:t>LCCP – Laboratory of Catalysis and Catalytic Processes</w:t>
      </w:r>
      <w:r w:rsidR="008B6A00" w:rsidRPr="0027045B">
        <w:rPr>
          <w:lang w:val="en-US"/>
        </w:rPr>
        <w:t>, Politecnico di Milano, Milan, Italy</w:t>
      </w:r>
      <w:r w:rsidR="00B57E6F" w:rsidRPr="0027045B">
        <w:rPr>
          <w:lang w:val="en-US"/>
        </w:rPr>
        <w:t xml:space="preserve"> </w:t>
      </w:r>
    </w:p>
    <w:p w14:paraId="73F1267A" w14:textId="1CEC20AA" w:rsidR="00B57E6F" w:rsidRPr="0027045B" w:rsidRDefault="002E7E93" w:rsidP="00B57E6F">
      <w:pPr>
        <w:pStyle w:val="CETemail"/>
        <w:rPr>
          <w:lang w:val="en-US"/>
        </w:rPr>
      </w:pPr>
      <w:r w:rsidRPr="0027045B">
        <w:rPr>
          <w:lang w:val="en-US"/>
        </w:rPr>
        <w:t>alessandra.beretta@polimi.it</w:t>
      </w:r>
    </w:p>
    <w:p w14:paraId="5BD87A9A" w14:textId="1087A8ED" w:rsidR="00B356AD" w:rsidRPr="0027045B" w:rsidRDefault="00E44786" w:rsidP="0074048D">
      <w:pPr>
        <w:pStyle w:val="CETBodytext"/>
        <w:rPr>
          <w:szCs w:val="18"/>
        </w:rPr>
      </w:pPr>
      <w:r w:rsidRPr="0027045B">
        <w:rPr>
          <w:szCs w:val="18"/>
        </w:rPr>
        <w:t xml:space="preserve">The valorization of waste biomass is </w:t>
      </w:r>
      <w:r w:rsidR="001933F9" w:rsidRPr="0027045B">
        <w:rPr>
          <w:szCs w:val="18"/>
        </w:rPr>
        <w:t>a resource</w:t>
      </w:r>
      <w:r w:rsidRPr="0027045B">
        <w:rPr>
          <w:szCs w:val="18"/>
        </w:rPr>
        <w:t xml:space="preserve"> for the current energy transition</w:t>
      </w:r>
      <w:r w:rsidR="001933F9" w:rsidRPr="0027045B">
        <w:rPr>
          <w:szCs w:val="18"/>
        </w:rPr>
        <w:t xml:space="preserve"> and a pillar of circular economy</w:t>
      </w:r>
      <w:r w:rsidRPr="0027045B">
        <w:rPr>
          <w:szCs w:val="18"/>
        </w:rPr>
        <w:t xml:space="preserve">. In particular, the short-term evolution of the mobility sector requires a suitable green liquid fuel, especially for aviation and shipping market. </w:t>
      </w:r>
      <w:r w:rsidR="001933F9" w:rsidRPr="0027045B">
        <w:rPr>
          <w:szCs w:val="18"/>
        </w:rPr>
        <w:t xml:space="preserve">Pyrolysis </w:t>
      </w:r>
      <w:r w:rsidR="00EE6C2C" w:rsidRPr="0027045B">
        <w:rPr>
          <w:szCs w:val="18"/>
        </w:rPr>
        <w:t>is a promising technology to convert</w:t>
      </w:r>
      <w:r w:rsidR="001933F9" w:rsidRPr="0027045B">
        <w:rPr>
          <w:szCs w:val="18"/>
        </w:rPr>
        <w:t xml:space="preserve"> </w:t>
      </w:r>
      <w:r w:rsidRPr="0027045B">
        <w:rPr>
          <w:szCs w:val="18"/>
        </w:rPr>
        <w:t xml:space="preserve">lignocellulosic biomass </w:t>
      </w:r>
      <w:r w:rsidR="00EE6C2C" w:rsidRPr="0027045B">
        <w:rPr>
          <w:szCs w:val="18"/>
        </w:rPr>
        <w:t>into valuable fuels and chemicals</w:t>
      </w:r>
      <w:r w:rsidR="002B3B7E">
        <w:rPr>
          <w:szCs w:val="18"/>
        </w:rPr>
        <w:t>, b</w:t>
      </w:r>
      <w:r w:rsidR="006905CD" w:rsidRPr="0027045B">
        <w:rPr>
          <w:szCs w:val="18"/>
        </w:rPr>
        <w:t>ut</w:t>
      </w:r>
      <w:r w:rsidR="00EE6C2C" w:rsidRPr="0027045B">
        <w:rPr>
          <w:szCs w:val="18"/>
        </w:rPr>
        <w:t xml:space="preserve"> several </w:t>
      </w:r>
      <w:r w:rsidRPr="0027045B">
        <w:rPr>
          <w:szCs w:val="18"/>
        </w:rPr>
        <w:t>negative features</w:t>
      </w:r>
      <w:r w:rsidR="00EE6C2C" w:rsidRPr="0027045B">
        <w:rPr>
          <w:szCs w:val="18"/>
        </w:rPr>
        <w:t xml:space="preserve"> of bio-oil</w:t>
      </w:r>
      <w:r w:rsidRPr="0027045B">
        <w:rPr>
          <w:szCs w:val="18"/>
        </w:rPr>
        <w:t xml:space="preserve"> (poor stability, acidity, coking tendency, </w:t>
      </w:r>
      <w:r w:rsidR="0014335A" w:rsidRPr="0027045B">
        <w:rPr>
          <w:szCs w:val="18"/>
        </w:rPr>
        <w:t xml:space="preserve">high </w:t>
      </w:r>
      <w:r w:rsidRPr="0027045B">
        <w:rPr>
          <w:szCs w:val="18"/>
        </w:rPr>
        <w:t xml:space="preserve">oxygen content) limit both its direct use and its upgrading processes. These negative factors are mainly caused by the presence of C2-C4 oxygenates in bio-oil (aldehydes, ketones, acids). A possible solution </w:t>
      </w:r>
      <w:r w:rsidR="00A35CAC" w:rsidRPr="0027045B">
        <w:rPr>
          <w:szCs w:val="18"/>
        </w:rPr>
        <w:t>to improve bio-oil quality</w:t>
      </w:r>
      <w:r w:rsidRPr="0027045B">
        <w:rPr>
          <w:szCs w:val="18"/>
        </w:rPr>
        <w:t xml:space="preserve"> is the </w:t>
      </w:r>
      <w:r w:rsidR="008D3A6C" w:rsidRPr="0027045B">
        <w:rPr>
          <w:szCs w:val="18"/>
        </w:rPr>
        <w:t>addition</w:t>
      </w:r>
      <w:r w:rsidRPr="0027045B">
        <w:rPr>
          <w:szCs w:val="18"/>
        </w:rPr>
        <w:t xml:space="preserve"> of </w:t>
      </w:r>
      <w:r w:rsidR="003162B9" w:rsidRPr="0027045B">
        <w:rPr>
          <w:szCs w:val="18"/>
        </w:rPr>
        <w:t xml:space="preserve">a </w:t>
      </w:r>
      <w:r w:rsidRPr="0027045B">
        <w:rPr>
          <w:szCs w:val="18"/>
        </w:rPr>
        <w:t xml:space="preserve">catalytic upgrading stage, aiming to convert </w:t>
      </w:r>
      <w:proofErr w:type="gramStart"/>
      <w:r w:rsidR="00320CB7" w:rsidRPr="0027045B">
        <w:rPr>
          <w:szCs w:val="18"/>
        </w:rPr>
        <w:t>these</w:t>
      </w:r>
      <w:r w:rsidR="00051893" w:rsidRPr="0027045B">
        <w:rPr>
          <w:szCs w:val="18"/>
        </w:rPr>
        <w:t xml:space="preserve"> </w:t>
      </w:r>
      <w:r w:rsidR="00320CB7" w:rsidRPr="0027045B">
        <w:rPr>
          <w:szCs w:val="18"/>
        </w:rPr>
        <w:t>detrimental</w:t>
      </w:r>
      <w:r w:rsidRPr="0027045B">
        <w:rPr>
          <w:szCs w:val="18"/>
        </w:rPr>
        <w:t xml:space="preserve"> light</w:t>
      </w:r>
      <w:proofErr w:type="gramEnd"/>
      <w:r w:rsidRPr="0027045B">
        <w:rPr>
          <w:szCs w:val="18"/>
        </w:rPr>
        <w:t xml:space="preserve"> oxygenates</w:t>
      </w:r>
      <w:r w:rsidR="00EE6C2C" w:rsidRPr="0027045B">
        <w:rPr>
          <w:szCs w:val="18"/>
        </w:rPr>
        <w:t xml:space="preserve"> from the vapor-phase</w:t>
      </w:r>
      <w:r w:rsidRPr="0027045B">
        <w:rPr>
          <w:szCs w:val="18"/>
        </w:rPr>
        <w:t xml:space="preserve">. C-C coupling </w:t>
      </w:r>
      <w:r w:rsidR="00474CD8" w:rsidRPr="0027045B">
        <w:rPr>
          <w:szCs w:val="18"/>
        </w:rPr>
        <w:t xml:space="preserve">reactions </w:t>
      </w:r>
      <w:r w:rsidR="00310207" w:rsidRPr="0027045B">
        <w:rPr>
          <w:szCs w:val="18"/>
        </w:rPr>
        <w:t>-</w:t>
      </w:r>
      <w:r w:rsidRPr="0027045B">
        <w:rPr>
          <w:szCs w:val="18"/>
        </w:rPr>
        <w:t xml:space="preserve"> like ketonization and aldol condensation </w:t>
      </w:r>
      <w:r w:rsidR="00310207" w:rsidRPr="0027045B">
        <w:rPr>
          <w:szCs w:val="18"/>
        </w:rPr>
        <w:t xml:space="preserve">- </w:t>
      </w:r>
      <w:r w:rsidR="00474CD8" w:rsidRPr="0027045B">
        <w:rPr>
          <w:szCs w:val="18"/>
        </w:rPr>
        <w:t>can</w:t>
      </w:r>
      <w:r w:rsidR="00E40F20" w:rsidRPr="0027045B">
        <w:rPr>
          <w:szCs w:val="18"/>
        </w:rPr>
        <w:t xml:space="preserve"> increase </w:t>
      </w:r>
      <w:r w:rsidR="00474CD8" w:rsidRPr="0027045B">
        <w:rPr>
          <w:szCs w:val="18"/>
        </w:rPr>
        <w:t>the C</w:t>
      </w:r>
      <w:r w:rsidR="009A23EB" w:rsidRPr="0027045B">
        <w:rPr>
          <w:szCs w:val="18"/>
        </w:rPr>
        <w:t xml:space="preserve">-chain length </w:t>
      </w:r>
      <w:r w:rsidR="005C3EA3" w:rsidRPr="0027045B">
        <w:rPr>
          <w:szCs w:val="18"/>
        </w:rPr>
        <w:t>of bio-oil species</w:t>
      </w:r>
      <w:r w:rsidR="00474CD8" w:rsidRPr="0027045B">
        <w:rPr>
          <w:szCs w:val="18"/>
        </w:rPr>
        <w:t xml:space="preserve"> </w:t>
      </w:r>
      <w:r w:rsidR="000877A1" w:rsidRPr="0027045B">
        <w:rPr>
          <w:szCs w:val="18"/>
        </w:rPr>
        <w:t>while</w:t>
      </w:r>
      <w:r w:rsidRPr="0027045B">
        <w:rPr>
          <w:szCs w:val="18"/>
        </w:rPr>
        <w:t xml:space="preserve"> </w:t>
      </w:r>
      <w:r w:rsidR="00B01100" w:rsidRPr="0027045B">
        <w:rPr>
          <w:szCs w:val="18"/>
        </w:rPr>
        <w:t>reducing</w:t>
      </w:r>
      <w:r w:rsidR="000877A1" w:rsidRPr="0027045B">
        <w:rPr>
          <w:szCs w:val="18"/>
        </w:rPr>
        <w:t xml:space="preserve"> the overall</w:t>
      </w:r>
      <w:r w:rsidRPr="0027045B">
        <w:rPr>
          <w:szCs w:val="18"/>
        </w:rPr>
        <w:t xml:space="preserve"> O/C ratio</w:t>
      </w:r>
      <w:r w:rsidRPr="0027045B">
        <w:rPr>
          <w:szCs w:val="18"/>
          <w:vertAlign w:val="superscript"/>
        </w:rPr>
        <w:fldChar w:fldCharType="begin" w:fldLock="1"/>
      </w:r>
      <w:r w:rsidRPr="0027045B">
        <w:rPr>
          <w:szCs w:val="18"/>
        </w:rPr>
        <w:instrText>ADDIN CSL_CITATION {"citationItems":[{"id":"ITEM-1","itemData":{"DOI":"10.1016/j.apcatb.2009.11.001","ISSN":"09263373","abstract":"Ceria-zirconia mixed oxides with different compositions including pure ceria and pure zirconia were prepared and characterized using temperature-programmed desorption (TPD) of CO2 and NH3, X-ray diffraction (XRD), and BET surface area measurements. Bi-functional catalysts for C-C coupling of ketones by aldol condensation/hydrogenation were prepared by depositing palladium on these ceria-zirconia mixed oxides, and these catalysts were studied for the conversion of 2-hexanone, a representative ketone that can be derived from sugars in biomass. The Pd/ZrO2 catalyst showed the best resistance to inhibition by CO2, an important factor in catalyst performance because of the presence of CO2 in biomass-derived feed streams. Furthermore, this catalyst displayed high activity for aldol condensation, as well as good resistance to inhibition by water. These properties make Pd/ZrO2 a desirable catalyst for integration in a single reactor of aldol condensation/hydrogenation reactions with ketonization processes, the latter of which convert carboxylic acids to ketones plus CO2 and H2O. The feasibility of this integration was studied with the mixture of a carboxylic acid (butanoic acid) and a ketone (2-hexanone) in a double bed system, and the integrated process showed high activity as well as selectivity to C-C coupling products. © 2009 Elsevier B.V. All rights reserved.","author":[{"dropping-particle":"","family":"Gürbüz","given":"Elif I.","non-dropping-particle":"","parse-names":false,"suffix":""},{"dropping-particle":"","family":"Kunkes","given":"Edward L.","non-dropping-particle":"","parse-names":false,"suffix":""},{"dropping-particle":"","family":"Dumesic","given":"James A.","non-dropping-particle":"","parse-names":false,"suffix":""}],"container-title":"Applied Catalysis B: Environmental","id":"ITEM-1","issue":"1-2","issued":{"date-parts":[["2010"]]},"page":"134-141","title":"Integration of C-C coupling reactions of biomass-derived oxygenates to fuel-grade compounds","type":"article-journal","volume":"94"},"uris":["http://www.mendeley.com/documents/?uuid=9921f55a-8204-42eb-ba74-345b59549a64"]}],"mendeley":{"formattedCitation":"[1]","plainTextFormattedCitation":"[1]","previouslyFormattedCitation":"Elif I. Gürbüz, Edward L. Kunkes, and James A. Dumesic, ‘Integration of C-C Coupling Reactions of Biomass-Derived Oxygenates to Fuel-Grade Compounds’, &lt;i&gt;Applied Catalysis B: Environmental&lt;/i&gt;, 94.1–2 (2010), 134–41 &lt;https://doi.org/10.1016/j.apcatb.2009.11.001&gt;."},"properties":{"noteIndex":0},"schema":"https://github.com/citation-style-language/schema/raw/master/csl-citation.json"}</w:instrText>
      </w:r>
      <w:r w:rsidR="00164B59">
        <w:rPr>
          <w:szCs w:val="18"/>
          <w:vertAlign w:val="superscript"/>
        </w:rPr>
        <w:fldChar w:fldCharType="separate"/>
      </w:r>
      <w:r w:rsidRPr="0027045B">
        <w:rPr>
          <w:szCs w:val="18"/>
        </w:rPr>
        <w:fldChar w:fldCharType="end"/>
      </w:r>
      <w:r w:rsidRPr="0027045B">
        <w:rPr>
          <w:szCs w:val="18"/>
        </w:rPr>
        <w:t xml:space="preserve">. Catalysis is necessary to improve </w:t>
      </w:r>
      <w:r w:rsidR="00474CD8" w:rsidRPr="0027045B">
        <w:rPr>
          <w:szCs w:val="18"/>
        </w:rPr>
        <w:t xml:space="preserve">the kinetics (rate and selectivity) </w:t>
      </w:r>
      <w:r w:rsidR="00846452" w:rsidRPr="0027045B">
        <w:rPr>
          <w:szCs w:val="18"/>
        </w:rPr>
        <w:t>of these processes</w:t>
      </w:r>
      <w:r w:rsidRPr="0027045B">
        <w:rPr>
          <w:szCs w:val="18"/>
        </w:rPr>
        <w:t xml:space="preserve">. </w:t>
      </w:r>
      <w:r w:rsidR="00B356AD" w:rsidRPr="0027045B">
        <w:rPr>
          <w:szCs w:val="18"/>
        </w:rPr>
        <w:t>In this work, acetic acid chain-growth reactions are studied on TiO</w:t>
      </w:r>
      <w:r w:rsidR="00B356AD" w:rsidRPr="0027045B">
        <w:rPr>
          <w:szCs w:val="18"/>
          <w:vertAlign w:val="subscript"/>
        </w:rPr>
        <w:t>2</w:t>
      </w:r>
      <w:r w:rsidR="00B356AD" w:rsidRPr="0027045B">
        <w:rPr>
          <w:szCs w:val="18"/>
        </w:rPr>
        <w:t xml:space="preserve"> </w:t>
      </w:r>
      <w:r w:rsidR="0074048D" w:rsidRPr="0027045B">
        <w:rPr>
          <w:szCs w:val="18"/>
        </w:rPr>
        <w:t>and Ru/TiO</w:t>
      </w:r>
      <w:r w:rsidR="0074048D" w:rsidRPr="0027045B">
        <w:rPr>
          <w:szCs w:val="18"/>
          <w:vertAlign w:val="subscript"/>
        </w:rPr>
        <w:t>2</w:t>
      </w:r>
      <w:r w:rsidR="0074048D" w:rsidRPr="0027045B">
        <w:rPr>
          <w:szCs w:val="18"/>
        </w:rPr>
        <w:t xml:space="preserve"> catalysts</w:t>
      </w:r>
      <w:r w:rsidR="00B356AD" w:rsidRPr="0027045B">
        <w:rPr>
          <w:szCs w:val="18"/>
        </w:rPr>
        <w:t>, proving relevant performances in promoting not only ketonization but also secondary growth reactions with the formation of C8+ species.</w:t>
      </w:r>
    </w:p>
    <w:p w14:paraId="72C2CD6F" w14:textId="1AE45E48" w:rsidR="00E44786" w:rsidRPr="0027045B" w:rsidRDefault="00E44786" w:rsidP="00E44786">
      <w:pPr>
        <w:pStyle w:val="CETBodytext"/>
      </w:pPr>
    </w:p>
    <w:p w14:paraId="476B2F2E" w14:textId="77777777" w:rsidR="00600535" w:rsidRPr="0027045B" w:rsidRDefault="00600535" w:rsidP="00600535">
      <w:pPr>
        <w:pStyle w:val="CETHeading1"/>
      </w:pPr>
      <w:r w:rsidRPr="0027045B">
        <w:t>Introduction</w:t>
      </w:r>
    </w:p>
    <w:p w14:paraId="344308DF" w14:textId="4F77E7AB" w:rsidR="00F61880" w:rsidRPr="0027045B" w:rsidRDefault="006A0A36" w:rsidP="00BD1D8B">
      <w:pPr>
        <w:pStyle w:val="CETBodytext"/>
        <w:rPr>
          <w:kern w:val="1"/>
        </w:rPr>
      </w:pPr>
      <w:r w:rsidRPr="0027045B">
        <w:rPr>
          <w:kern w:val="1"/>
        </w:rPr>
        <w:t xml:space="preserve">The </w:t>
      </w:r>
      <w:r w:rsidR="00C75B32" w:rsidRPr="0027045B">
        <w:rPr>
          <w:kern w:val="1"/>
        </w:rPr>
        <w:t xml:space="preserve">current </w:t>
      </w:r>
      <w:r w:rsidR="00913291" w:rsidRPr="0027045B">
        <w:rPr>
          <w:kern w:val="1"/>
        </w:rPr>
        <w:t xml:space="preserve">energy </w:t>
      </w:r>
      <w:r w:rsidR="00FC7609" w:rsidRPr="0027045B">
        <w:rPr>
          <w:kern w:val="1"/>
        </w:rPr>
        <w:t xml:space="preserve">transition is </w:t>
      </w:r>
      <w:r w:rsidR="000D5E5B" w:rsidRPr="0027045B">
        <w:rPr>
          <w:kern w:val="1"/>
        </w:rPr>
        <w:t xml:space="preserve">asking for a lower dependence on fossil fuels </w:t>
      </w:r>
      <w:r w:rsidR="00611AE2" w:rsidRPr="0027045B">
        <w:rPr>
          <w:kern w:val="1"/>
        </w:rPr>
        <w:t>and n</w:t>
      </w:r>
      <w:r w:rsidR="00147A3A" w:rsidRPr="0027045B">
        <w:rPr>
          <w:kern w:val="1"/>
        </w:rPr>
        <w:t>ovel technologies based on s</w:t>
      </w:r>
      <w:r w:rsidR="00620861" w:rsidRPr="0027045B">
        <w:rPr>
          <w:kern w:val="1"/>
        </w:rPr>
        <w:t>ustainable energy sources</w:t>
      </w:r>
      <w:r w:rsidR="00147A3A" w:rsidRPr="0027045B">
        <w:rPr>
          <w:kern w:val="1"/>
        </w:rPr>
        <w:t xml:space="preserve"> are under investigation.</w:t>
      </w:r>
      <w:r w:rsidR="005F7016" w:rsidRPr="0027045B">
        <w:rPr>
          <w:kern w:val="1"/>
        </w:rPr>
        <w:t xml:space="preserve"> In this context, </w:t>
      </w:r>
      <w:r w:rsidR="002B5BE7" w:rsidRPr="0027045B">
        <w:rPr>
          <w:kern w:val="1"/>
        </w:rPr>
        <w:t xml:space="preserve">a possible route is the employment of </w:t>
      </w:r>
      <w:r w:rsidR="00136909" w:rsidRPr="0027045B">
        <w:rPr>
          <w:kern w:val="1"/>
        </w:rPr>
        <w:t>2</w:t>
      </w:r>
      <w:r w:rsidR="00136909" w:rsidRPr="0027045B">
        <w:rPr>
          <w:kern w:val="1"/>
          <w:vertAlign w:val="superscript"/>
        </w:rPr>
        <w:t>nd</w:t>
      </w:r>
      <w:r w:rsidR="00136909" w:rsidRPr="0027045B">
        <w:rPr>
          <w:kern w:val="1"/>
        </w:rPr>
        <w:t>-generation</w:t>
      </w:r>
      <w:r w:rsidR="002B5BE7" w:rsidRPr="0027045B">
        <w:rPr>
          <w:kern w:val="1"/>
        </w:rPr>
        <w:t xml:space="preserve"> biomasses, </w:t>
      </w:r>
      <w:r w:rsidR="00306849" w:rsidRPr="0027045B">
        <w:rPr>
          <w:kern w:val="1"/>
        </w:rPr>
        <w:t>which</w:t>
      </w:r>
      <w:r w:rsidR="00290C92" w:rsidRPr="0027045B">
        <w:rPr>
          <w:kern w:val="1"/>
        </w:rPr>
        <w:t xml:space="preserve"> </w:t>
      </w:r>
      <w:r w:rsidR="00136909" w:rsidRPr="0027045B">
        <w:rPr>
          <w:kern w:val="1"/>
        </w:rPr>
        <w:t xml:space="preserve">would allow to </w:t>
      </w:r>
      <w:r w:rsidR="0027045B" w:rsidRPr="0027045B">
        <w:rPr>
          <w:kern w:val="1"/>
        </w:rPr>
        <w:t>valorize</w:t>
      </w:r>
      <w:r w:rsidR="00AB4664" w:rsidRPr="0027045B">
        <w:rPr>
          <w:kern w:val="1"/>
        </w:rPr>
        <w:t xml:space="preserve"> waste according to</w:t>
      </w:r>
      <w:r w:rsidR="00221464" w:rsidRPr="0027045B">
        <w:rPr>
          <w:kern w:val="1"/>
        </w:rPr>
        <w:t xml:space="preserve"> the principles of </w:t>
      </w:r>
      <w:r w:rsidR="00960C6B" w:rsidRPr="0027045B">
        <w:rPr>
          <w:kern w:val="1"/>
        </w:rPr>
        <w:t>circular economy while</w:t>
      </w:r>
      <w:r w:rsidR="00290C92" w:rsidRPr="0027045B">
        <w:rPr>
          <w:kern w:val="1"/>
        </w:rPr>
        <w:t xml:space="preserve"> </w:t>
      </w:r>
      <w:r w:rsidR="00AB4664" w:rsidRPr="0027045B">
        <w:rPr>
          <w:kern w:val="1"/>
        </w:rPr>
        <w:t xml:space="preserve">abating the </w:t>
      </w:r>
      <w:r w:rsidR="002B5BE7" w:rsidRPr="0027045B">
        <w:rPr>
          <w:kern w:val="1"/>
        </w:rPr>
        <w:t>net CO</w:t>
      </w:r>
      <w:r w:rsidR="002B5BE7" w:rsidRPr="0027045B">
        <w:rPr>
          <w:kern w:val="1"/>
          <w:vertAlign w:val="subscript"/>
        </w:rPr>
        <w:t>2</w:t>
      </w:r>
      <w:r w:rsidR="002B5BE7" w:rsidRPr="0027045B">
        <w:rPr>
          <w:kern w:val="1"/>
        </w:rPr>
        <w:t xml:space="preserve"> production</w:t>
      </w:r>
      <w:r w:rsidR="00A743B4" w:rsidRPr="0027045B">
        <w:rPr>
          <w:kern w:val="1"/>
        </w:rPr>
        <w:t xml:space="preserve">. </w:t>
      </w:r>
      <w:r w:rsidR="005F7C87" w:rsidRPr="0027045B">
        <w:rPr>
          <w:kern w:val="1"/>
        </w:rPr>
        <w:t xml:space="preserve">In particular, liquid </w:t>
      </w:r>
      <w:proofErr w:type="gramStart"/>
      <w:r w:rsidR="005F7C87" w:rsidRPr="0027045B">
        <w:rPr>
          <w:kern w:val="1"/>
        </w:rPr>
        <w:t>bio-fuels</w:t>
      </w:r>
      <w:proofErr w:type="gramEnd"/>
      <w:r w:rsidR="00B51156" w:rsidRPr="0027045B">
        <w:rPr>
          <w:kern w:val="1"/>
        </w:rPr>
        <w:t xml:space="preserve"> are expected to play a critical role in the </w:t>
      </w:r>
      <w:r w:rsidR="00730B2F" w:rsidRPr="0027045B">
        <w:rPr>
          <w:kern w:val="1"/>
        </w:rPr>
        <w:t xml:space="preserve">short-term </w:t>
      </w:r>
      <w:r w:rsidR="00B51156" w:rsidRPr="0027045B">
        <w:rPr>
          <w:kern w:val="1"/>
        </w:rPr>
        <w:t xml:space="preserve">decarbonization of those sectors of mobility which are more difficult to </w:t>
      </w:r>
      <w:r w:rsidR="00853F15" w:rsidRPr="0027045B">
        <w:rPr>
          <w:kern w:val="1"/>
        </w:rPr>
        <w:t xml:space="preserve">be </w:t>
      </w:r>
      <w:r w:rsidR="00836366" w:rsidRPr="0027045B">
        <w:rPr>
          <w:kern w:val="1"/>
        </w:rPr>
        <w:t>electrified</w:t>
      </w:r>
      <w:r w:rsidR="00FE1E4B" w:rsidRPr="0027045B">
        <w:rPr>
          <w:kern w:val="1"/>
        </w:rPr>
        <w:t xml:space="preserve">, </w:t>
      </w:r>
      <w:r w:rsidR="00836366" w:rsidRPr="0027045B">
        <w:rPr>
          <w:kern w:val="1"/>
        </w:rPr>
        <w:t xml:space="preserve">that </w:t>
      </w:r>
      <w:r w:rsidR="003D23B8">
        <w:rPr>
          <w:kern w:val="1"/>
        </w:rPr>
        <w:t>are</w:t>
      </w:r>
      <w:r w:rsidR="00FE1E4B" w:rsidRPr="0027045B">
        <w:rPr>
          <w:kern w:val="1"/>
        </w:rPr>
        <w:t xml:space="preserve"> aviation </w:t>
      </w:r>
      <w:r w:rsidR="000444DF" w:rsidRPr="0027045B">
        <w:rPr>
          <w:kern w:val="1"/>
        </w:rPr>
        <w:t>and shipping</w:t>
      </w:r>
      <w:r w:rsidR="0098560B" w:rsidRPr="0027045B">
        <w:rPr>
          <w:kern w:val="1"/>
        </w:rPr>
        <w:t xml:space="preserve">. </w:t>
      </w:r>
      <w:r w:rsidR="003B4FEF" w:rsidRPr="0027045B">
        <w:rPr>
          <w:kern w:val="1"/>
        </w:rPr>
        <w:t>For instance</w:t>
      </w:r>
      <w:r w:rsidR="00010828" w:rsidRPr="0027045B">
        <w:rPr>
          <w:kern w:val="1"/>
        </w:rPr>
        <w:t>, th</w:t>
      </w:r>
      <w:r w:rsidR="00717BFD" w:rsidRPr="0027045B">
        <w:rPr>
          <w:kern w:val="1"/>
        </w:rPr>
        <w:t xml:space="preserve">e </w:t>
      </w:r>
      <w:r w:rsidR="004A613D" w:rsidRPr="0027045B">
        <w:rPr>
          <w:kern w:val="1"/>
        </w:rPr>
        <w:t>IEA</w:t>
      </w:r>
      <w:r w:rsidR="00717BFD" w:rsidRPr="0027045B">
        <w:rPr>
          <w:kern w:val="1"/>
        </w:rPr>
        <w:t xml:space="preserve"> (</w:t>
      </w:r>
      <w:r w:rsidR="004A613D" w:rsidRPr="0027045B">
        <w:rPr>
          <w:kern w:val="1"/>
        </w:rPr>
        <w:t>2021</w:t>
      </w:r>
      <w:r w:rsidR="00717BFD" w:rsidRPr="0027045B">
        <w:rPr>
          <w:kern w:val="1"/>
        </w:rPr>
        <w:t xml:space="preserve">) </w:t>
      </w:r>
      <w:r w:rsidR="00730B2F" w:rsidRPr="0027045B">
        <w:rPr>
          <w:kern w:val="1"/>
        </w:rPr>
        <w:t xml:space="preserve">predicts an increase of bio-fuels </w:t>
      </w:r>
      <w:r w:rsidR="00E22EBD" w:rsidRPr="0027045B">
        <w:rPr>
          <w:kern w:val="1"/>
        </w:rPr>
        <w:t>global demand of 28% over 2021-2026</w:t>
      </w:r>
      <w:r w:rsidR="00BE190A" w:rsidRPr="0027045B">
        <w:rPr>
          <w:kern w:val="1"/>
        </w:rPr>
        <w:t xml:space="preserve">, </w:t>
      </w:r>
      <w:r w:rsidR="00B123DE" w:rsidRPr="0027045B">
        <w:rPr>
          <w:kern w:val="1"/>
        </w:rPr>
        <w:t>including 4.1</w:t>
      </w:r>
      <w:r w:rsidR="00877C61" w:rsidRPr="0027045B">
        <w:rPr>
          <w:rFonts w:cs="Arial"/>
          <w:kern w:val="1"/>
        </w:rPr>
        <w:t>×</w:t>
      </w:r>
      <w:r w:rsidR="00A57F38" w:rsidRPr="0027045B">
        <w:t>10</w:t>
      </w:r>
      <w:r w:rsidR="00A57F38" w:rsidRPr="0027045B">
        <w:rPr>
          <w:vertAlign w:val="superscript"/>
        </w:rPr>
        <w:t xml:space="preserve">9 </w:t>
      </w:r>
      <w:r w:rsidR="008C28B8" w:rsidRPr="0027045B">
        <w:rPr>
          <w:kern w:val="1"/>
        </w:rPr>
        <w:t>liters</w:t>
      </w:r>
      <w:r w:rsidR="00B123DE" w:rsidRPr="0027045B">
        <w:rPr>
          <w:kern w:val="1"/>
        </w:rPr>
        <w:t>/year of jet-fuels</w:t>
      </w:r>
      <w:r w:rsidR="00730B2F" w:rsidRPr="0027045B">
        <w:rPr>
          <w:kern w:val="1"/>
        </w:rPr>
        <w:t>.</w:t>
      </w:r>
    </w:p>
    <w:p w14:paraId="353B877C" w14:textId="1746CFAF" w:rsidR="00620861" w:rsidRPr="0027045B" w:rsidRDefault="00716A89" w:rsidP="00BD1D8B">
      <w:pPr>
        <w:pStyle w:val="CETBodytext"/>
        <w:rPr>
          <w:kern w:val="1"/>
        </w:rPr>
      </w:pPr>
      <w:r w:rsidRPr="0027045B">
        <w:rPr>
          <w:kern w:val="1"/>
        </w:rPr>
        <w:t>Among the investigated biomass conversion routes pyrolysis</w:t>
      </w:r>
      <w:r w:rsidR="000102CB" w:rsidRPr="0027045B">
        <w:rPr>
          <w:kern w:val="1"/>
        </w:rPr>
        <w:t xml:space="preserve"> is</w:t>
      </w:r>
      <w:r w:rsidRPr="0027045B">
        <w:rPr>
          <w:kern w:val="1"/>
        </w:rPr>
        <w:t xml:space="preserve"> a </w:t>
      </w:r>
      <w:r w:rsidR="001575FD" w:rsidRPr="0027045B">
        <w:rPr>
          <w:kern w:val="1"/>
        </w:rPr>
        <w:t xml:space="preserve">thermochemical </w:t>
      </w:r>
      <w:r w:rsidRPr="0027045B">
        <w:rPr>
          <w:kern w:val="1"/>
        </w:rPr>
        <w:t xml:space="preserve">process where solid biomass is heated in the absence of oxygen </w:t>
      </w:r>
      <w:r w:rsidR="001575FD" w:rsidRPr="0027045B">
        <w:rPr>
          <w:kern w:val="1"/>
        </w:rPr>
        <w:t>and</w:t>
      </w:r>
      <w:r w:rsidRPr="0027045B">
        <w:rPr>
          <w:kern w:val="1"/>
        </w:rPr>
        <w:t xml:space="preserve"> three distinct streams of products</w:t>
      </w:r>
      <w:r w:rsidR="001575FD" w:rsidRPr="0027045B">
        <w:rPr>
          <w:kern w:val="1"/>
        </w:rPr>
        <w:t xml:space="preserve"> are produced</w:t>
      </w:r>
      <w:r w:rsidRPr="0027045B">
        <w:rPr>
          <w:kern w:val="1"/>
        </w:rPr>
        <w:t>: a gaseous stream (rich in light species as CO, CO</w:t>
      </w:r>
      <w:r w:rsidRPr="0027045B">
        <w:rPr>
          <w:kern w:val="1"/>
          <w:vertAlign w:val="subscript"/>
        </w:rPr>
        <w:t>2</w:t>
      </w:r>
      <w:r w:rsidRPr="0027045B">
        <w:rPr>
          <w:kern w:val="1"/>
        </w:rPr>
        <w:t>, H</w:t>
      </w:r>
      <w:r w:rsidRPr="0027045B">
        <w:rPr>
          <w:kern w:val="1"/>
          <w:vertAlign w:val="subscript"/>
        </w:rPr>
        <w:t>2</w:t>
      </w:r>
      <w:r w:rsidRPr="0027045B">
        <w:rPr>
          <w:kern w:val="1"/>
        </w:rPr>
        <w:t>, CH</w:t>
      </w:r>
      <w:r w:rsidRPr="0027045B">
        <w:rPr>
          <w:kern w:val="1"/>
          <w:vertAlign w:val="subscript"/>
        </w:rPr>
        <w:t>4</w:t>
      </w:r>
      <w:r w:rsidRPr="0027045B">
        <w:rPr>
          <w:kern w:val="1"/>
        </w:rPr>
        <w:t>), a liquid stream referred to as bio-oil (a complex mixture of oxygenated hydrocarbons) and char, a solid carbon-rich residual.</w:t>
      </w:r>
      <w:r w:rsidR="005D7E8A" w:rsidRPr="0027045B">
        <w:rPr>
          <w:kern w:val="1"/>
        </w:rPr>
        <w:t xml:space="preserve"> </w:t>
      </w:r>
      <w:r w:rsidR="003853FE" w:rsidRPr="0027045B">
        <w:rPr>
          <w:kern w:val="1"/>
        </w:rPr>
        <w:t xml:space="preserve">However, bio-oil has some negative features which </w:t>
      </w:r>
      <w:r w:rsidR="00C403EF" w:rsidRPr="0027045B">
        <w:rPr>
          <w:kern w:val="1"/>
        </w:rPr>
        <w:t>limit</w:t>
      </w:r>
      <w:r w:rsidR="00D14663" w:rsidRPr="0027045B">
        <w:rPr>
          <w:kern w:val="1"/>
        </w:rPr>
        <w:t xml:space="preserve"> </w:t>
      </w:r>
      <w:r w:rsidR="003853FE" w:rsidRPr="0027045B">
        <w:rPr>
          <w:kern w:val="1"/>
        </w:rPr>
        <w:t xml:space="preserve">both its direct use as fuel and </w:t>
      </w:r>
      <w:r w:rsidR="0053477B" w:rsidRPr="0027045B">
        <w:rPr>
          <w:kern w:val="1"/>
        </w:rPr>
        <w:t xml:space="preserve">its </w:t>
      </w:r>
      <w:r w:rsidR="003853FE" w:rsidRPr="0027045B">
        <w:rPr>
          <w:kern w:val="1"/>
        </w:rPr>
        <w:t xml:space="preserve">upgrading processes: poor stability, </w:t>
      </w:r>
      <w:r w:rsidR="0014335A" w:rsidRPr="0027045B">
        <w:rPr>
          <w:kern w:val="1"/>
        </w:rPr>
        <w:t xml:space="preserve">high </w:t>
      </w:r>
      <w:r w:rsidR="003853FE" w:rsidRPr="0027045B">
        <w:rPr>
          <w:kern w:val="1"/>
        </w:rPr>
        <w:t>acidity, coking tendency,</w:t>
      </w:r>
      <w:r w:rsidR="0014335A" w:rsidRPr="0027045B">
        <w:rPr>
          <w:kern w:val="1"/>
        </w:rPr>
        <w:t xml:space="preserve"> high</w:t>
      </w:r>
      <w:r w:rsidR="003853FE" w:rsidRPr="0027045B">
        <w:rPr>
          <w:kern w:val="1"/>
        </w:rPr>
        <w:t xml:space="preserve"> O</w:t>
      </w:r>
      <w:r w:rsidR="003853FE" w:rsidRPr="0027045B">
        <w:rPr>
          <w:kern w:val="1"/>
          <w:vertAlign w:val="subscript"/>
        </w:rPr>
        <w:t>2</w:t>
      </w:r>
      <w:r w:rsidR="003853FE" w:rsidRPr="0027045B">
        <w:rPr>
          <w:kern w:val="1"/>
        </w:rPr>
        <w:t xml:space="preserve">-content </w:t>
      </w:r>
      <w:r w:rsidR="00C403EF" w:rsidRPr="0027045B">
        <w:rPr>
          <w:kern w:val="1"/>
        </w:rPr>
        <w:t>(</w:t>
      </w:r>
      <w:r w:rsidR="003853FE" w:rsidRPr="0027045B">
        <w:rPr>
          <w:kern w:val="1"/>
        </w:rPr>
        <w:t>around 35 wt%</w:t>
      </w:r>
      <w:r w:rsidR="00C403EF" w:rsidRPr="0027045B">
        <w:rPr>
          <w:kern w:val="1"/>
        </w:rPr>
        <w:t>)</w:t>
      </w:r>
      <w:r w:rsidR="003853FE" w:rsidRPr="0027045B">
        <w:rPr>
          <w:kern w:val="1"/>
        </w:rPr>
        <w:t>.</w:t>
      </w:r>
      <w:r w:rsidR="003853FE" w:rsidRPr="0027045B">
        <w:t xml:space="preserve"> These negative factors are mainly caused by the presence of C2-C4 oxygenates (aldehydes, ketones, acids).</w:t>
      </w:r>
      <w:r w:rsidR="00F61880" w:rsidRPr="0027045B">
        <w:t xml:space="preserve"> A possible solution to improve bio-oil quality is the </w:t>
      </w:r>
      <w:r w:rsidR="000102CB" w:rsidRPr="0027045B">
        <w:t xml:space="preserve">development </w:t>
      </w:r>
      <w:r w:rsidR="00BD26D9" w:rsidRPr="0027045B">
        <w:t>of a</w:t>
      </w:r>
      <w:r w:rsidR="00F61880" w:rsidRPr="0027045B">
        <w:t xml:space="preserve"> catalytic upgrading stage</w:t>
      </w:r>
      <w:r w:rsidR="00BD26D9" w:rsidRPr="0027045B">
        <w:t xml:space="preserve"> o</w:t>
      </w:r>
      <w:r w:rsidR="000102CB" w:rsidRPr="0027045B">
        <w:t>f</w:t>
      </w:r>
      <w:r w:rsidR="00BD26D9" w:rsidRPr="0027045B">
        <w:t xml:space="preserve"> pyrolysis vapors</w:t>
      </w:r>
      <w:r w:rsidR="004C5354" w:rsidRPr="0027045B">
        <w:t xml:space="preserve"> (Catalytic Vapor Upgrading, CVU)</w:t>
      </w:r>
      <w:r w:rsidR="00F61880" w:rsidRPr="0027045B">
        <w:t xml:space="preserve">, aiming to convert </w:t>
      </w:r>
      <w:proofErr w:type="gramStart"/>
      <w:r w:rsidR="00F61880" w:rsidRPr="0027045B">
        <w:t>these detrimental light</w:t>
      </w:r>
      <w:proofErr w:type="gramEnd"/>
      <w:r w:rsidR="00F61880" w:rsidRPr="0027045B">
        <w:t xml:space="preserve"> oxygenates</w:t>
      </w:r>
      <w:r w:rsidR="00C403EF" w:rsidRPr="0027045B">
        <w:t xml:space="preserve"> into useful products</w:t>
      </w:r>
      <w:r w:rsidR="00F61880" w:rsidRPr="0027045B">
        <w:t>.</w:t>
      </w:r>
      <w:r w:rsidR="004C5354" w:rsidRPr="0027045B">
        <w:t xml:space="preserve"> </w:t>
      </w:r>
      <w:r w:rsidR="00A67AC5" w:rsidRPr="0027045B">
        <w:t>A possible CVU route involve</w:t>
      </w:r>
      <w:r w:rsidR="0034571B" w:rsidRPr="0027045B">
        <w:t>s</w:t>
      </w:r>
      <w:r w:rsidR="00A67AC5" w:rsidRPr="0027045B">
        <w:t xml:space="preserve"> </w:t>
      </w:r>
      <w:r w:rsidR="00DF7601" w:rsidRPr="0027045B">
        <w:t xml:space="preserve">C-C coupling processes, </w:t>
      </w:r>
      <w:r w:rsidR="007C1E38" w:rsidRPr="0027045B">
        <w:t xml:space="preserve">where C2-C4 oxygenates are </w:t>
      </w:r>
      <w:r w:rsidR="000264FF" w:rsidRPr="0027045B">
        <w:t>converted</w:t>
      </w:r>
      <w:r w:rsidR="00382338" w:rsidRPr="0027045B">
        <w:t xml:space="preserve"> </w:t>
      </w:r>
      <w:r w:rsidR="00CF4B79" w:rsidRPr="0027045B">
        <w:t>to higher species</w:t>
      </w:r>
      <w:r w:rsidR="008F6030" w:rsidRPr="0027045B">
        <w:t xml:space="preserve"> </w:t>
      </w:r>
      <w:r w:rsidR="00382338" w:rsidRPr="0027045B">
        <w:t xml:space="preserve">via </w:t>
      </w:r>
      <w:r w:rsidR="007C1E38" w:rsidRPr="0027045B">
        <w:t>chain-</w:t>
      </w:r>
      <w:r w:rsidR="004759CB" w:rsidRPr="0027045B">
        <w:t>growth</w:t>
      </w:r>
      <w:r w:rsidR="007C1E38" w:rsidRPr="0027045B">
        <w:t xml:space="preserve"> reactions</w:t>
      </w:r>
      <w:r w:rsidR="00382338" w:rsidRPr="0027045B">
        <w:t xml:space="preserve">, </w:t>
      </w:r>
      <w:r w:rsidR="0034571B" w:rsidRPr="0027045B">
        <w:t xml:space="preserve">thus increasing </w:t>
      </w:r>
      <w:r w:rsidR="008F6030" w:rsidRPr="0027045B">
        <w:t xml:space="preserve">the </w:t>
      </w:r>
      <w:r w:rsidR="0034571B" w:rsidRPr="0027045B">
        <w:t>carbon-chain length while reducing the overall O/C ratio</w:t>
      </w:r>
      <w:r w:rsidR="00BB5C37" w:rsidRPr="0027045B">
        <w:t>.</w:t>
      </w:r>
    </w:p>
    <w:p w14:paraId="7BB608C5" w14:textId="41A538D2" w:rsidR="00E8077B" w:rsidRPr="0027045B" w:rsidRDefault="00BD1D8B" w:rsidP="00BD1D8B">
      <w:pPr>
        <w:pStyle w:val="CETBodytext"/>
      </w:pPr>
      <w:proofErr w:type="gramStart"/>
      <w:r w:rsidRPr="0027045B">
        <w:t>In particular, two</w:t>
      </w:r>
      <w:proofErr w:type="gramEnd"/>
      <w:r w:rsidRPr="0027045B">
        <w:t xml:space="preserve"> </w:t>
      </w:r>
      <w:r w:rsidR="00921319" w:rsidRPr="0027045B">
        <w:t xml:space="preserve">important </w:t>
      </w:r>
      <w:r w:rsidRPr="0027045B">
        <w:t>chemical routes</w:t>
      </w:r>
      <w:r w:rsidR="0004415D" w:rsidRPr="0027045B">
        <w:t xml:space="preserve"> of</w:t>
      </w:r>
      <w:r w:rsidRPr="0027045B">
        <w:t xml:space="preserve"> </w:t>
      </w:r>
      <w:r w:rsidR="0004415D" w:rsidRPr="0027045B">
        <w:t xml:space="preserve">oxygenates </w:t>
      </w:r>
      <w:r w:rsidRPr="0027045B">
        <w:t xml:space="preserve">C-C coupling </w:t>
      </w:r>
      <w:r w:rsidR="0004415D" w:rsidRPr="0027045B">
        <w:t>are being investigated</w:t>
      </w:r>
      <w:r w:rsidRPr="0027045B">
        <w:t>: ketonization of carboxylic acids and aldol condensation of aldehydes/ketones</w:t>
      </w:r>
      <w:r w:rsidR="005B33B2" w:rsidRPr="0027045B">
        <w:t xml:space="preserve">, as </w:t>
      </w:r>
      <w:r w:rsidR="000102CB" w:rsidRPr="0027045B">
        <w:t>reviewed</w:t>
      </w:r>
      <w:r w:rsidR="005B33B2" w:rsidRPr="0027045B">
        <w:t xml:space="preserve"> by </w:t>
      </w:r>
      <w:r w:rsidR="00A86A9D" w:rsidRPr="0027045B">
        <w:t>G</w:t>
      </w:r>
      <w:r w:rsidR="00A86A9D" w:rsidRPr="0027045B">
        <w:rPr>
          <w:rFonts w:cs="Arial"/>
        </w:rPr>
        <w:t>ü</w:t>
      </w:r>
      <w:r w:rsidR="00A86A9D" w:rsidRPr="0027045B">
        <w:t>rb</w:t>
      </w:r>
      <w:r w:rsidR="00A86A9D" w:rsidRPr="0027045B">
        <w:rPr>
          <w:rFonts w:cs="Arial"/>
        </w:rPr>
        <w:t>ü</w:t>
      </w:r>
      <w:r w:rsidR="00A86A9D" w:rsidRPr="0027045B">
        <w:t>z et al. (2010)</w:t>
      </w:r>
      <w:r w:rsidRPr="0027045B">
        <w:t>. During ketonization</w:t>
      </w:r>
      <w:r w:rsidR="000102CB" w:rsidRPr="0027045B">
        <w:t>,</w:t>
      </w:r>
      <w:r w:rsidRPr="0027045B">
        <w:t xml:space="preserve"> two carboxylic acids react </w:t>
      </w:r>
      <w:r w:rsidR="008F6030" w:rsidRPr="0027045B">
        <w:t>to</w:t>
      </w:r>
      <w:r w:rsidRPr="0027045B">
        <w:t xml:space="preserve"> form a ketone</w:t>
      </w:r>
      <w:r w:rsidR="00F14BDC" w:rsidRPr="0027045B">
        <w:t>, with</w:t>
      </w:r>
      <w:r w:rsidRPr="0027045B">
        <w:t xml:space="preserve"> eliminat</w:t>
      </w:r>
      <w:r w:rsidR="00F14BDC" w:rsidRPr="0027045B">
        <w:t>ion</w:t>
      </w:r>
      <w:r w:rsidRPr="0027045B">
        <w:t xml:space="preserve"> a molecule of CO</w:t>
      </w:r>
      <w:r w:rsidRPr="0027045B">
        <w:rPr>
          <w:vertAlign w:val="subscript"/>
        </w:rPr>
        <w:t xml:space="preserve">2 </w:t>
      </w:r>
      <w:r w:rsidRPr="0027045B">
        <w:t>and a molecule of H</w:t>
      </w:r>
      <w:r w:rsidRPr="0027045B">
        <w:rPr>
          <w:vertAlign w:val="subscript"/>
        </w:rPr>
        <w:t>2</w:t>
      </w:r>
      <w:r w:rsidRPr="0027045B">
        <w:t>O</w:t>
      </w:r>
      <w:r w:rsidR="00B82672" w:rsidRPr="0027045B">
        <w:t xml:space="preserve"> </w:t>
      </w:r>
      <w:r w:rsidR="00E81287" w:rsidRPr="0027045B">
        <w:t>E</w:t>
      </w:r>
      <w:r w:rsidR="009C6676" w:rsidRPr="0027045B">
        <w:t>q(1)</w:t>
      </w:r>
      <w:r w:rsidR="000A50D4" w:rsidRPr="0027045B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3"/>
        <w:gridCol w:w="804"/>
      </w:tblGrid>
      <w:tr w:rsidR="00E8077B" w:rsidRPr="0027045B" w14:paraId="2ADEED44" w14:textId="77777777" w:rsidTr="00406084">
        <w:tc>
          <w:tcPr>
            <w:tcW w:w="8188" w:type="dxa"/>
            <w:shd w:val="clear" w:color="auto" w:fill="auto"/>
          </w:tcPr>
          <w:p w14:paraId="534D840E" w14:textId="2362298D" w:rsidR="00E8077B" w:rsidRPr="0027045B" w:rsidRDefault="00164B59" w:rsidP="00406084">
            <w:pPr>
              <w:pStyle w:val="CETEquation"/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COOH+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COOH→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CO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+C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O </m:t>
                </m:r>
              </m:oMath>
            </m:oMathPara>
          </w:p>
          <w:p w14:paraId="5FCFDC6F" w14:textId="77777777" w:rsidR="00E8077B" w:rsidRPr="0027045B" w:rsidRDefault="00E8077B" w:rsidP="00406084">
            <w:pPr>
              <w:pStyle w:val="CETBodytext"/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44875E0" w14:textId="7BEA9E67" w:rsidR="00E8077B" w:rsidRPr="0027045B" w:rsidRDefault="00E8077B" w:rsidP="00406084">
            <w:pPr>
              <w:pStyle w:val="CETEquation"/>
              <w:jc w:val="right"/>
              <w:rPr>
                <w:lang w:val="en-US"/>
              </w:rPr>
            </w:pPr>
            <w:r w:rsidRPr="0027045B">
              <w:rPr>
                <w:lang w:val="en-US"/>
              </w:rPr>
              <w:t>(</w:t>
            </w:r>
            <w:r w:rsidR="00E81287" w:rsidRPr="0027045B">
              <w:rPr>
                <w:lang w:val="en-US"/>
              </w:rPr>
              <w:t>1</w:t>
            </w:r>
            <w:r w:rsidRPr="0027045B">
              <w:rPr>
                <w:lang w:val="en-US"/>
              </w:rPr>
              <w:t>)</w:t>
            </w:r>
          </w:p>
        </w:tc>
      </w:tr>
    </w:tbl>
    <w:p w14:paraId="70DFECE6" w14:textId="2D18BCDA" w:rsidR="00BD1D8B" w:rsidRPr="0027045B" w:rsidRDefault="002E47E3" w:rsidP="00BD1D8B">
      <w:pPr>
        <w:pStyle w:val="CETBodytext"/>
      </w:pPr>
      <w:r w:rsidRPr="0027045B">
        <w:t>The</w:t>
      </w:r>
      <w:r w:rsidR="00BD1D8B" w:rsidRPr="0027045B">
        <w:t xml:space="preserve"> most </w:t>
      </w:r>
      <w:r w:rsidR="0058518B" w:rsidRPr="0027045B">
        <w:t>promising</w:t>
      </w:r>
      <w:r w:rsidR="00BD1D8B" w:rsidRPr="0027045B">
        <w:t xml:space="preserve"> catalysts are Ce, Zr, Ti oxides, where acid-base functionality </w:t>
      </w:r>
      <w:r w:rsidR="00B53546" w:rsidRPr="0027045B">
        <w:t>plays</w:t>
      </w:r>
      <w:r w:rsidR="00BD1D8B" w:rsidRPr="0027045B">
        <w:t xml:space="preserve"> a key role</w:t>
      </w:r>
      <w:r w:rsidR="00F45D64" w:rsidRPr="0027045B">
        <w:t xml:space="preserve"> (Kumar et al., 2018)</w:t>
      </w:r>
      <w:r w:rsidR="00BD1D8B" w:rsidRPr="0027045B">
        <w:t xml:space="preserve">. </w:t>
      </w:r>
      <w:r w:rsidR="00241662" w:rsidRPr="0027045B">
        <w:t>Gaertner</w:t>
      </w:r>
      <w:r w:rsidR="00BD1D8B" w:rsidRPr="0027045B">
        <w:t xml:space="preserve"> et al. </w:t>
      </w:r>
      <w:r w:rsidR="001D274C" w:rsidRPr="0027045B">
        <w:t>(</w:t>
      </w:r>
      <w:r w:rsidR="00241662" w:rsidRPr="0027045B">
        <w:t>2009</w:t>
      </w:r>
      <w:r w:rsidR="001D274C" w:rsidRPr="0027045B">
        <w:t xml:space="preserve">) </w:t>
      </w:r>
      <w:r w:rsidR="00BD1D8B" w:rsidRPr="0027045B">
        <w:t xml:space="preserve">investigated the ketonization of </w:t>
      </w:r>
      <w:r w:rsidR="00241662" w:rsidRPr="0027045B">
        <w:t>carbox</w:t>
      </w:r>
      <w:r w:rsidR="00164D68" w:rsidRPr="0027045B">
        <w:t>y</w:t>
      </w:r>
      <w:r w:rsidR="00241662" w:rsidRPr="0027045B">
        <w:t>lic</w:t>
      </w:r>
      <w:r w:rsidR="00BD1D8B" w:rsidRPr="0027045B">
        <w:t xml:space="preserve"> acids over </w:t>
      </w:r>
      <w:r w:rsidR="00164D68" w:rsidRPr="0027045B">
        <w:t>Ce</w:t>
      </w:r>
      <w:r w:rsidR="00BD1D8B" w:rsidRPr="0027045B">
        <w:t>O</w:t>
      </w:r>
      <w:r w:rsidR="00BD1D8B" w:rsidRPr="0027045B">
        <w:rPr>
          <w:vertAlign w:val="subscript"/>
        </w:rPr>
        <w:t>2</w:t>
      </w:r>
      <w:r w:rsidR="00164D68" w:rsidRPr="0027045B">
        <w:t>/ZrO</w:t>
      </w:r>
      <w:r w:rsidR="00164D68" w:rsidRPr="0027045B">
        <w:rPr>
          <w:vertAlign w:val="subscript"/>
        </w:rPr>
        <w:t>2</w:t>
      </w:r>
      <w:r w:rsidR="0058518B" w:rsidRPr="0027045B">
        <w:t>;</w:t>
      </w:r>
      <w:r w:rsidR="008A37D6" w:rsidRPr="0027045B">
        <w:t xml:space="preserve"> </w:t>
      </w:r>
      <w:r w:rsidR="0058518B" w:rsidRPr="0027045B">
        <w:t>they found</w:t>
      </w:r>
      <w:r w:rsidR="008A37D6" w:rsidRPr="0027045B">
        <w:t xml:space="preserve"> that also esterification</w:t>
      </w:r>
      <w:r w:rsidR="0058518B" w:rsidRPr="0027045B">
        <w:t>s</w:t>
      </w:r>
      <w:r w:rsidR="008A37D6" w:rsidRPr="0027045B">
        <w:t xml:space="preserve"> can play a role and develop</w:t>
      </w:r>
      <w:r w:rsidR="0058518B" w:rsidRPr="0027045B">
        <w:t>ed</w:t>
      </w:r>
      <w:r w:rsidR="008A37D6" w:rsidRPr="0027045B">
        <w:t xml:space="preserve"> a macro-kinetic scheme for hexanoic acid ketonization</w:t>
      </w:r>
      <w:r w:rsidR="00BD1D8B" w:rsidRPr="0027045B">
        <w:t xml:space="preserve">. </w:t>
      </w:r>
      <w:r w:rsidR="0058518B" w:rsidRPr="0027045B">
        <w:t>In the case</w:t>
      </w:r>
      <w:r w:rsidR="00BD1D8B" w:rsidRPr="0027045B">
        <w:t xml:space="preserve"> </w:t>
      </w:r>
      <w:r w:rsidR="0058518B" w:rsidRPr="0027045B">
        <w:t xml:space="preserve">of </w:t>
      </w:r>
      <w:r w:rsidR="00BD1D8B" w:rsidRPr="0027045B">
        <w:t>aldol condensation</w:t>
      </w:r>
      <w:r w:rsidR="0058518B" w:rsidRPr="0027045B">
        <w:t>s</w:t>
      </w:r>
      <w:r w:rsidR="004D4E68" w:rsidRPr="0027045B">
        <w:t xml:space="preserve"> of carbonyl compounds</w:t>
      </w:r>
      <w:r w:rsidR="0058518B" w:rsidRPr="0027045B">
        <w:t>,</w:t>
      </w:r>
      <w:r w:rsidR="00BD1D8B" w:rsidRPr="0027045B">
        <w:t xml:space="preserve"> bifunctional catalyst</w:t>
      </w:r>
      <w:r w:rsidR="008F6030" w:rsidRPr="0027045B">
        <w:t>s</w:t>
      </w:r>
      <w:r w:rsidR="00BD1D8B" w:rsidRPr="0027045B">
        <w:t xml:space="preserve"> are </w:t>
      </w:r>
      <w:r w:rsidR="00B67007" w:rsidRPr="0027045B">
        <w:t>preferred</w:t>
      </w:r>
      <w:r w:rsidR="00BD1D8B" w:rsidRPr="0027045B">
        <w:t>, with metal particles (</w:t>
      </w:r>
      <w:r w:rsidR="00306849" w:rsidRPr="0027045B">
        <w:t>e.g.,</w:t>
      </w:r>
      <w:r w:rsidR="00BD1D8B" w:rsidRPr="0027045B">
        <w:t xml:space="preserve"> Pd, Pt, Ru, Cu) supported on metal oxides (</w:t>
      </w:r>
      <w:r w:rsidR="00531C39" w:rsidRPr="0027045B">
        <w:t>e.g.,</w:t>
      </w:r>
      <w:r w:rsidR="00BD1D8B" w:rsidRPr="0027045B">
        <w:t xml:space="preserve"> CeO</w:t>
      </w:r>
      <w:r w:rsidR="00BD1D8B" w:rsidRPr="0027045B">
        <w:rPr>
          <w:vertAlign w:val="subscript"/>
        </w:rPr>
        <w:t>2</w:t>
      </w:r>
      <w:r w:rsidR="00BD1D8B" w:rsidRPr="0027045B">
        <w:t>, ZrO</w:t>
      </w:r>
      <w:r w:rsidR="00BD1D8B" w:rsidRPr="0027045B">
        <w:rPr>
          <w:vertAlign w:val="subscript"/>
        </w:rPr>
        <w:t>2</w:t>
      </w:r>
      <w:r w:rsidR="00BD1D8B" w:rsidRPr="0027045B">
        <w:t>, TiO</w:t>
      </w:r>
      <w:r w:rsidR="00BD1D8B" w:rsidRPr="0027045B">
        <w:rPr>
          <w:vertAlign w:val="subscript"/>
        </w:rPr>
        <w:t>2</w:t>
      </w:r>
      <w:r w:rsidR="00BD1D8B" w:rsidRPr="0027045B">
        <w:t xml:space="preserve">, MgO). Indeed, </w:t>
      </w:r>
      <w:r w:rsidR="00EB2811" w:rsidRPr="0027045B">
        <w:t xml:space="preserve">in </w:t>
      </w:r>
      <w:r w:rsidR="00BD1D8B" w:rsidRPr="0027045B">
        <w:t>the presence of H</w:t>
      </w:r>
      <w:r w:rsidR="00BD1D8B" w:rsidRPr="0027045B">
        <w:rPr>
          <w:vertAlign w:val="subscript"/>
        </w:rPr>
        <w:t>2</w:t>
      </w:r>
      <w:r w:rsidR="00BD1D8B" w:rsidRPr="0027045B">
        <w:t xml:space="preserve"> co-feed </w:t>
      </w:r>
      <w:r w:rsidR="00BB064D" w:rsidRPr="0027045B">
        <w:t>the metal site</w:t>
      </w:r>
      <w:r w:rsidR="00911318" w:rsidRPr="0027045B">
        <w:t>s are</w:t>
      </w:r>
      <w:r w:rsidR="00BB064D" w:rsidRPr="0027045B">
        <w:t xml:space="preserve"> expected to favor the</w:t>
      </w:r>
      <w:r w:rsidR="00BD1D8B" w:rsidRPr="0027045B">
        <w:t xml:space="preserve"> hydrogenat</w:t>
      </w:r>
      <w:r w:rsidR="00BB064D" w:rsidRPr="0027045B">
        <w:t>ion of</w:t>
      </w:r>
      <w:r w:rsidR="00BD1D8B" w:rsidRPr="0027045B">
        <w:t xml:space="preserve"> unsaturated intermediates </w:t>
      </w:r>
      <w:r w:rsidR="000755EF" w:rsidRPr="0027045B">
        <w:t>that are f</w:t>
      </w:r>
      <w:r w:rsidR="00171CED" w:rsidRPr="0027045B">
        <w:t>ormed according to aldol condensation mechanism</w:t>
      </w:r>
      <w:r w:rsidR="00EB2811" w:rsidRPr="0027045B">
        <w:t xml:space="preserve">. This is expected to mitigate </w:t>
      </w:r>
      <w:r w:rsidR="00BB064D" w:rsidRPr="0027045B">
        <w:t xml:space="preserve">C-poisoning </w:t>
      </w:r>
      <w:r w:rsidR="000E2399" w:rsidRPr="0027045B">
        <w:t>and catalyst deactivation (</w:t>
      </w:r>
      <w:r w:rsidR="00BA2C5C" w:rsidRPr="0027045B">
        <w:t>Wang et al., 2016</w:t>
      </w:r>
      <w:r w:rsidR="000E2399" w:rsidRPr="0027045B">
        <w:t>)</w:t>
      </w:r>
      <w:r w:rsidR="00BD1D8B" w:rsidRPr="0027045B">
        <w:t xml:space="preserve">. </w:t>
      </w:r>
      <w:r w:rsidR="00FB4FE8">
        <w:t>Indeed</w:t>
      </w:r>
      <w:r w:rsidR="00BA2C5C" w:rsidRPr="0027045B">
        <w:t xml:space="preserve">, </w:t>
      </w:r>
      <w:r w:rsidR="00D24274" w:rsidRPr="0027045B">
        <w:t xml:space="preserve">light oxygenates are </w:t>
      </w:r>
      <w:r w:rsidR="004D65B3" w:rsidRPr="0027045B">
        <w:t xml:space="preserve">widely known for their </w:t>
      </w:r>
      <w:r w:rsidR="00AE5093" w:rsidRPr="0027045B">
        <w:t xml:space="preserve">marked </w:t>
      </w:r>
      <w:r w:rsidR="004D65B3" w:rsidRPr="0027045B">
        <w:t xml:space="preserve">coking tendency </w:t>
      </w:r>
      <w:r w:rsidR="008B26C9" w:rsidRPr="0027045B">
        <w:t>(Ochoa et al., 2020)</w:t>
      </w:r>
      <w:r w:rsidR="004D65B3" w:rsidRPr="0027045B">
        <w:t xml:space="preserve"> and this opens new challenges in terms of catalyst </w:t>
      </w:r>
      <w:r w:rsidR="007B0B0C" w:rsidRPr="0027045B">
        <w:t>formulation</w:t>
      </w:r>
      <w:r w:rsidR="008B26C9" w:rsidRPr="0027045B">
        <w:t>.</w:t>
      </w:r>
    </w:p>
    <w:p w14:paraId="3C4E875E" w14:textId="507A1606" w:rsidR="00DF4FE7" w:rsidRPr="0027045B" w:rsidRDefault="008358AA" w:rsidP="00BD1D8B">
      <w:pPr>
        <w:pStyle w:val="CETBodytext"/>
      </w:pPr>
      <w:r w:rsidRPr="0027045B">
        <w:t xml:space="preserve">In this work, </w:t>
      </w:r>
      <w:r w:rsidR="00F41CBC" w:rsidRPr="0027045B">
        <w:t>as a first step in the study of catalytic upgrading processes of pyrolysis vapors</w:t>
      </w:r>
      <w:r w:rsidR="004833DF" w:rsidRPr="0027045B">
        <w:t>,</w:t>
      </w:r>
      <w:r w:rsidR="00F41CBC" w:rsidRPr="0027045B">
        <w:t xml:space="preserve"> </w:t>
      </w:r>
      <w:r w:rsidRPr="0027045B">
        <w:t xml:space="preserve">the reactivity of </w:t>
      </w:r>
      <w:r w:rsidR="00C05E42" w:rsidRPr="0027045B">
        <w:t>acetic acid (</w:t>
      </w:r>
      <w:r w:rsidR="00BD4AAA" w:rsidRPr="0027045B">
        <w:t>chosen as</w:t>
      </w:r>
      <w:r w:rsidRPr="0027045B">
        <w:t xml:space="preserve"> model C2 oxygenate) in </w:t>
      </w:r>
      <w:r w:rsidR="00131517" w:rsidRPr="0027045B">
        <w:t>chain-growth reactions</w:t>
      </w:r>
      <w:r w:rsidRPr="0027045B">
        <w:t xml:space="preserve"> over TiO</w:t>
      </w:r>
      <w:r w:rsidRPr="0027045B">
        <w:rPr>
          <w:vertAlign w:val="subscript"/>
        </w:rPr>
        <w:t>2</w:t>
      </w:r>
      <w:r w:rsidRPr="0027045B">
        <w:t xml:space="preserve"> and Ru/TiO</w:t>
      </w:r>
      <w:r w:rsidRPr="0027045B">
        <w:rPr>
          <w:vertAlign w:val="subscript"/>
        </w:rPr>
        <w:t>2</w:t>
      </w:r>
      <w:r w:rsidRPr="0027045B">
        <w:t xml:space="preserve"> catalysts </w:t>
      </w:r>
      <w:r w:rsidR="00C05E42" w:rsidRPr="0027045B">
        <w:t>was</w:t>
      </w:r>
      <w:r w:rsidRPr="0027045B">
        <w:t xml:space="preserve"> investigated</w:t>
      </w:r>
      <w:r w:rsidR="00F41CBC" w:rsidRPr="0027045B">
        <w:t xml:space="preserve"> </w:t>
      </w:r>
      <w:r w:rsidR="004833DF" w:rsidRPr="0027045B">
        <w:t>in a micro</w:t>
      </w:r>
      <w:r w:rsidR="00915E96" w:rsidRPr="0027045B">
        <w:t xml:space="preserve"> packed-</w:t>
      </w:r>
      <w:r w:rsidR="004833DF" w:rsidRPr="0027045B">
        <w:t>bed reactor</w:t>
      </w:r>
      <w:r w:rsidR="00313BE4" w:rsidRPr="0027045B">
        <w:t>.</w:t>
      </w:r>
      <w:r w:rsidR="00983BA9" w:rsidRPr="0027045B">
        <w:t xml:space="preserve"> </w:t>
      </w:r>
      <w:r w:rsidR="00174BB5" w:rsidRPr="0027045B">
        <w:t>Aim of this study was the</w:t>
      </w:r>
      <w:r w:rsidR="00983BA9" w:rsidRPr="0027045B">
        <w:t xml:space="preserve"> analysis</w:t>
      </w:r>
      <w:r w:rsidR="0005486D" w:rsidRPr="0027045B">
        <w:t xml:space="preserve"> and rationalization of the behavior of TiO</w:t>
      </w:r>
      <w:r w:rsidR="0005486D" w:rsidRPr="0027045B">
        <w:rPr>
          <w:vertAlign w:val="subscript"/>
        </w:rPr>
        <w:t>2</w:t>
      </w:r>
      <w:r w:rsidR="0005486D" w:rsidRPr="0027045B">
        <w:t>-based catalytic materials</w:t>
      </w:r>
      <w:r w:rsidR="0062308C" w:rsidRPr="0027045B">
        <w:t xml:space="preserve"> in ketonization reaction under different conditions.</w:t>
      </w:r>
      <w:r w:rsidR="00983BA9" w:rsidRPr="0027045B">
        <w:t xml:space="preserve"> </w:t>
      </w:r>
      <w:r w:rsidR="0062308C" w:rsidRPr="0027045B">
        <w:t>Besides, t</w:t>
      </w:r>
      <w:r w:rsidR="00A24BFB" w:rsidRPr="0027045B">
        <w:t xml:space="preserve">he reacting system was pushed to </w:t>
      </w:r>
      <w:r w:rsidR="003024A5" w:rsidRPr="0027045B">
        <w:t>more severe conditions (</w:t>
      </w:r>
      <w:r w:rsidR="00321AF0" w:rsidRPr="0027045B">
        <w:t>i.e.,</w:t>
      </w:r>
      <w:r w:rsidR="003024A5" w:rsidRPr="0027045B">
        <w:t xml:space="preserve"> </w:t>
      </w:r>
      <w:r w:rsidR="00A24BFB" w:rsidRPr="0027045B">
        <w:t>high temperature and high conversion</w:t>
      </w:r>
      <w:r w:rsidR="003024A5" w:rsidRPr="0027045B">
        <w:t>)</w:t>
      </w:r>
      <w:r w:rsidR="00A24BFB" w:rsidRPr="0027045B">
        <w:t xml:space="preserve"> </w:t>
      </w:r>
      <w:proofErr w:type="gramStart"/>
      <w:r w:rsidR="00A24BFB" w:rsidRPr="0027045B">
        <w:t>in order to</w:t>
      </w:r>
      <w:proofErr w:type="gramEnd"/>
      <w:r w:rsidR="00A24BFB" w:rsidRPr="0027045B">
        <w:t xml:space="preserve"> </w:t>
      </w:r>
      <w:r w:rsidR="00952DC3" w:rsidRPr="0027045B">
        <w:t xml:space="preserve">promote </w:t>
      </w:r>
      <w:r w:rsidR="001E5E8C" w:rsidRPr="0027045B">
        <w:t xml:space="preserve">the </w:t>
      </w:r>
      <w:r w:rsidR="00CE10DE" w:rsidRPr="0027045B">
        <w:t>production</w:t>
      </w:r>
      <w:r w:rsidR="001E5E8C" w:rsidRPr="0027045B">
        <w:t xml:space="preserve"> of </w:t>
      </w:r>
      <w:r w:rsidR="003024A5" w:rsidRPr="0027045B">
        <w:t>species</w:t>
      </w:r>
      <w:r w:rsidR="00CE10DE" w:rsidRPr="0027045B">
        <w:t xml:space="preserve"> in the fuel-range.</w:t>
      </w:r>
      <w:r w:rsidR="001E5E8C" w:rsidRPr="0027045B">
        <w:t xml:space="preserve"> </w:t>
      </w:r>
      <w:r w:rsidR="00952DC3" w:rsidRPr="0027045B">
        <w:t>For this purpose</w:t>
      </w:r>
      <w:r w:rsidR="001E5E8C" w:rsidRPr="0027045B">
        <w:t>,</w:t>
      </w:r>
      <w:r w:rsidR="007D7EE6" w:rsidRPr="0027045B">
        <w:t xml:space="preserve"> a</w:t>
      </w:r>
      <w:r w:rsidR="00CB6A5E" w:rsidRPr="0027045B">
        <w:t xml:space="preserve">n </w:t>
      </w:r>
      <w:r w:rsidR="007D7EE6" w:rsidRPr="0027045B">
        <w:t xml:space="preserve">experimental </w:t>
      </w:r>
      <w:proofErr w:type="gramStart"/>
      <w:r w:rsidR="007D7EE6" w:rsidRPr="0027045B">
        <w:t>set-up</w:t>
      </w:r>
      <w:proofErr w:type="gramEnd"/>
      <w:r w:rsidR="007D7EE6" w:rsidRPr="0027045B">
        <w:t xml:space="preserve"> and </w:t>
      </w:r>
      <w:r w:rsidR="00CB6A5E" w:rsidRPr="0027045B">
        <w:t xml:space="preserve">an </w:t>
      </w:r>
      <w:r w:rsidR="007D7EE6" w:rsidRPr="0027045B">
        <w:t xml:space="preserve">analytical methodology </w:t>
      </w:r>
      <w:r w:rsidR="00CB6A5E" w:rsidRPr="0027045B">
        <w:t>suitable for the detailed speciation o</w:t>
      </w:r>
      <w:r w:rsidR="00364337" w:rsidRPr="0027045B">
        <w:t xml:space="preserve">f complex products mixtures </w:t>
      </w:r>
      <w:r w:rsidR="001E5E8C" w:rsidRPr="0027045B">
        <w:t>were developed</w:t>
      </w:r>
      <w:r w:rsidR="00CC77F5" w:rsidRPr="0027045B">
        <w:t>.</w:t>
      </w:r>
    </w:p>
    <w:p w14:paraId="68702EF0" w14:textId="77777777" w:rsidR="00EF16B0" w:rsidRPr="0027045B" w:rsidRDefault="00EF16B0" w:rsidP="00600535">
      <w:pPr>
        <w:pStyle w:val="CETBodytext"/>
      </w:pPr>
    </w:p>
    <w:p w14:paraId="5741900F" w14:textId="573FFEA1" w:rsidR="00453E24" w:rsidRPr="0027045B" w:rsidRDefault="00BF3A25" w:rsidP="00453E24">
      <w:pPr>
        <w:pStyle w:val="CETHeading1"/>
      </w:pPr>
      <w:r w:rsidRPr="0027045B">
        <w:t>Materials and methods</w:t>
      </w:r>
    </w:p>
    <w:p w14:paraId="0636B784" w14:textId="4CA49952" w:rsidR="00453E24" w:rsidRPr="0027045B" w:rsidRDefault="00ED014F" w:rsidP="00453E24">
      <w:pPr>
        <w:pStyle w:val="CETheadingx"/>
      </w:pPr>
      <w:r w:rsidRPr="0027045B">
        <w:t>Catalyst preparation and characterization</w:t>
      </w:r>
    </w:p>
    <w:p w14:paraId="7C2B0064" w14:textId="4A54397E" w:rsidR="00453E24" w:rsidRPr="0027045B" w:rsidRDefault="004560CD" w:rsidP="00453E24">
      <w:pPr>
        <w:pStyle w:val="CETBodytext"/>
      </w:pPr>
      <w:r w:rsidRPr="0027045B">
        <w:t xml:space="preserve">Experiments were performed on </w:t>
      </w:r>
      <w:r w:rsidR="005C4680" w:rsidRPr="0027045B">
        <w:t>TiO</w:t>
      </w:r>
      <w:r w:rsidR="005C4680" w:rsidRPr="0027045B">
        <w:rPr>
          <w:vertAlign w:val="subscript"/>
        </w:rPr>
        <w:t>2</w:t>
      </w:r>
      <w:r w:rsidR="005C4680" w:rsidRPr="0027045B">
        <w:t xml:space="preserve"> and 1.2 wt% Ru/TiO</w:t>
      </w:r>
      <w:r w:rsidR="005C4680" w:rsidRPr="0027045B">
        <w:rPr>
          <w:vertAlign w:val="subscript"/>
        </w:rPr>
        <w:t>2</w:t>
      </w:r>
      <w:r w:rsidR="005C4680" w:rsidRPr="0027045B">
        <w:t xml:space="preserve"> </w:t>
      </w:r>
      <w:r w:rsidR="007074E8" w:rsidRPr="0027045B">
        <w:t>catalytic powders</w:t>
      </w:r>
      <w:r w:rsidR="0013732A" w:rsidRPr="0027045B">
        <w:t xml:space="preserve">. </w:t>
      </w:r>
      <w:r w:rsidR="008D0A19" w:rsidRPr="0027045B">
        <w:t xml:space="preserve">A commercial anatase </w:t>
      </w:r>
      <w:r w:rsidR="00D06FDD" w:rsidRPr="0027045B">
        <w:t>TiO</w:t>
      </w:r>
      <w:r w:rsidR="00D06FDD" w:rsidRPr="0027045B">
        <w:rPr>
          <w:vertAlign w:val="subscript"/>
        </w:rPr>
        <w:t>2</w:t>
      </w:r>
      <w:r w:rsidR="00D06FDD" w:rsidRPr="0027045B">
        <w:t xml:space="preserve"> </w:t>
      </w:r>
      <w:r w:rsidR="0093563D" w:rsidRPr="0027045B">
        <w:t>powder</w:t>
      </w:r>
      <w:r w:rsidR="003E0C02" w:rsidRPr="0027045B">
        <w:t xml:space="preserve"> (DT-51D, Tronox) was employed, after calcination at 400°C for 3h</w:t>
      </w:r>
      <w:r w:rsidR="00D06FDD" w:rsidRPr="0027045B">
        <w:t xml:space="preserve">. </w:t>
      </w:r>
      <w:r w:rsidR="004D4C40" w:rsidRPr="0027045B">
        <w:t xml:space="preserve">The </w:t>
      </w:r>
      <w:r w:rsidR="006712E9" w:rsidRPr="0027045B">
        <w:t>1.2</w:t>
      </w:r>
      <w:r w:rsidR="003B5AD2" w:rsidRPr="0027045B">
        <w:t xml:space="preserve"> </w:t>
      </w:r>
      <w:r w:rsidR="006712E9" w:rsidRPr="0027045B">
        <w:t>wt% Ru/TiO</w:t>
      </w:r>
      <w:r w:rsidR="006712E9" w:rsidRPr="0027045B">
        <w:rPr>
          <w:vertAlign w:val="subscript"/>
        </w:rPr>
        <w:t>2</w:t>
      </w:r>
      <w:r w:rsidR="006712E9" w:rsidRPr="0027045B">
        <w:t xml:space="preserve"> catalyst was </w:t>
      </w:r>
      <w:r w:rsidR="004D4C40" w:rsidRPr="0027045B">
        <w:t>obtained</w:t>
      </w:r>
      <w:r w:rsidR="006712E9" w:rsidRPr="0027045B">
        <w:t xml:space="preserve"> via </w:t>
      </w:r>
      <w:r w:rsidR="00911318" w:rsidRPr="0027045B">
        <w:t>incipient wetness</w:t>
      </w:r>
      <w:r w:rsidR="006712E9" w:rsidRPr="0027045B">
        <w:t xml:space="preserve"> impregnation</w:t>
      </w:r>
      <w:r w:rsidR="004D4C40" w:rsidRPr="0027045B">
        <w:t xml:space="preserve">, </w:t>
      </w:r>
      <w:r w:rsidR="00DB2487" w:rsidRPr="0027045B">
        <w:t>using an aqueous solution</w:t>
      </w:r>
      <w:r w:rsidR="003B5AD2" w:rsidRPr="0027045B">
        <w:t xml:space="preserve"> of</w:t>
      </w:r>
      <w:r w:rsidR="006712E9" w:rsidRPr="0027045B">
        <w:t xml:space="preserve"> RuCl</w:t>
      </w:r>
      <w:r w:rsidR="006712E9" w:rsidRPr="0027045B">
        <w:rPr>
          <w:vertAlign w:val="subscript"/>
        </w:rPr>
        <w:t>3</w:t>
      </w:r>
      <w:r w:rsidR="006712E9" w:rsidRPr="0027045B">
        <w:t xml:space="preserve"> salt.</w:t>
      </w:r>
      <w:r w:rsidR="00DB2487" w:rsidRPr="0027045B">
        <w:t xml:space="preserve"> </w:t>
      </w:r>
      <w:r w:rsidR="008E07F8" w:rsidRPr="0027045B">
        <w:t>The metal content was verified by</w:t>
      </w:r>
      <w:r w:rsidR="00A710A8" w:rsidRPr="0027045B">
        <w:t xml:space="preserve"> ICP-MS analysis. </w:t>
      </w:r>
      <w:r w:rsidR="00F650AA" w:rsidRPr="0027045B">
        <w:t xml:space="preserve">After the impregnation, </w:t>
      </w:r>
      <w:r w:rsidR="00DF5F70" w:rsidRPr="0027045B">
        <w:t>Ru/TiO</w:t>
      </w:r>
      <w:r w:rsidR="00DF5F70" w:rsidRPr="0027045B">
        <w:rPr>
          <w:vertAlign w:val="subscript"/>
        </w:rPr>
        <w:t>2</w:t>
      </w:r>
      <w:r w:rsidR="00DF5F70" w:rsidRPr="0027045B">
        <w:t xml:space="preserve"> powders were</w:t>
      </w:r>
      <w:r w:rsidR="00F650AA" w:rsidRPr="0027045B">
        <w:t xml:space="preserve"> calcined at 400°C for 3h</w:t>
      </w:r>
      <w:r w:rsidR="00DF5F70" w:rsidRPr="0027045B">
        <w:t xml:space="preserve">. </w:t>
      </w:r>
      <w:r w:rsidR="00A05A2B" w:rsidRPr="0027045B">
        <w:t>Both TiO</w:t>
      </w:r>
      <w:r w:rsidR="00A05A2B" w:rsidRPr="0027045B">
        <w:rPr>
          <w:vertAlign w:val="subscript"/>
        </w:rPr>
        <w:t>2</w:t>
      </w:r>
      <w:r w:rsidR="00A05A2B" w:rsidRPr="0027045B">
        <w:t xml:space="preserve"> and 1.2 wt% Ru/TiO</w:t>
      </w:r>
      <w:r w:rsidR="00A05A2B" w:rsidRPr="0027045B">
        <w:rPr>
          <w:vertAlign w:val="subscript"/>
        </w:rPr>
        <w:t>2</w:t>
      </w:r>
      <w:r w:rsidR="00A05A2B" w:rsidRPr="0027045B">
        <w:t xml:space="preserve"> catalysts were sieved (140–200 mesh) to obtain </w:t>
      </w:r>
      <w:r w:rsidR="00470F1F" w:rsidRPr="0027045B">
        <w:t>the desired particle</w:t>
      </w:r>
      <w:r w:rsidR="0002640B" w:rsidRPr="0027045B">
        <w:t>s</w:t>
      </w:r>
      <w:r w:rsidR="00470F1F" w:rsidRPr="0027045B">
        <w:t xml:space="preserve"> </w:t>
      </w:r>
      <w:r w:rsidR="00EE34CB" w:rsidRPr="0027045B">
        <w:t xml:space="preserve">size </w:t>
      </w:r>
      <w:r w:rsidR="00A05A2B" w:rsidRPr="0027045B">
        <w:t xml:space="preserve">for the kinetic investigation in </w:t>
      </w:r>
      <w:r w:rsidR="0002640B" w:rsidRPr="0027045B">
        <w:t>the</w:t>
      </w:r>
      <w:r w:rsidR="00A05A2B" w:rsidRPr="0027045B">
        <w:t xml:space="preserve"> </w:t>
      </w:r>
      <w:r w:rsidR="00EE34CB" w:rsidRPr="0027045B">
        <w:t>micro</w:t>
      </w:r>
      <w:r w:rsidR="00A05A2B" w:rsidRPr="0027045B">
        <w:t xml:space="preserve"> packed-bed reactor.</w:t>
      </w:r>
      <w:r w:rsidR="007A4F1B" w:rsidRPr="0027045B">
        <w:t xml:space="preserve"> Prior to testing, the catalyst was pre-reduced </w:t>
      </w:r>
      <w:r w:rsidR="005B6471" w:rsidRPr="0027045B">
        <w:t>in flowing H</w:t>
      </w:r>
      <w:r w:rsidR="005B6471" w:rsidRPr="0027045B">
        <w:rPr>
          <w:vertAlign w:val="subscript"/>
        </w:rPr>
        <w:t>2</w:t>
      </w:r>
      <w:r w:rsidR="00422074" w:rsidRPr="0027045B">
        <w:t xml:space="preserve"> in </w:t>
      </w:r>
      <w:r w:rsidR="00105ADF" w:rsidRPr="0027045B">
        <w:t>the</w:t>
      </w:r>
      <w:r w:rsidR="00422074" w:rsidRPr="0027045B">
        <w:t xml:space="preserve"> packed-bed reactor</w:t>
      </w:r>
      <w:r w:rsidR="002B22A1" w:rsidRPr="0027045B">
        <w:t xml:space="preserve"> at 400°C for 1h</w:t>
      </w:r>
      <w:r w:rsidR="005B6471" w:rsidRPr="0027045B">
        <w:t>, following a 10°C/min temperature ramp</w:t>
      </w:r>
      <w:r w:rsidR="0072482D" w:rsidRPr="0027045B">
        <w:t xml:space="preserve">. </w:t>
      </w:r>
    </w:p>
    <w:p w14:paraId="43E85BBA" w14:textId="25618746" w:rsidR="00220144" w:rsidRPr="0027045B" w:rsidRDefault="00F71A2F" w:rsidP="00453E24">
      <w:pPr>
        <w:pStyle w:val="CETBodytext"/>
      </w:pPr>
      <w:r w:rsidRPr="0027045B">
        <w:t xml:space="preserve">BET-surface area </w:t>
      </w:r>
      <w:r w:rsidR="009373D3" w:rsidRPr="0027045B">
        <w:t xml:space="preserve">of </w:t>
      </w:r>
      <w:r w:rsidR="00CD2D54" w:rsidRPr="0027045B">
        <w:t xml:space="preserve">powders </w:t>
      </w:r>
      <w:r w:rsidR="009373D3" w:rsidRPr="0027045B">
        <w:t>w</w:t>
      </w:r>
      <w:r w:rsidRPr="0027045B">
        <w:t>as</w:t>
      </w:r>
      <w:r w:rsidR="009373D3" w:rsidRPr="0027045B">
        <w:t xml:space="preserve"> determined via</w:t>
      </w:r>
      <w:r w:rsidR="00CD2D54" w:rsidRPr="0027045B">
        <w:t xml:space="preserve"> N</w:t>
      </w:r>
      <w:r w:rsidR="00CD2D54" w:rsidRPr="0027045B">
        <w:rPr>
          <w:vertAlign w:val="subscript"/>
        </w:rPr>
        <w:t>2</w:t>
      </w:r>
      <w:r w:rsidRPr="0027045B">
        <w:t xml:space="preserve"> adsorption/desorption</w:t>
      </w:r>
      <w:r w:rsidR="009373D3" w:rsidRPr="0027045B">
        <w:t xml:space="preserve"> </w:t>
      </w:r>
      <w:r w:rsidR="00C86F42" w:rsidRPr="0027045B">
        <w:t>(Tristar Micrometrics 3000)</w:t>
      </w:r>
      <w:r w:rsidR="00710964">
        <w:t xml:space="preserve"> and t</w:t>
      </w:r>
      <w:r w:rsidR="00D36D72" w:rsidRPr="0027045B">
        <w:t xml:space="preserve">he crystalline structure of </w:t>
      </w:r>
      <w:r w:rsidR="0068119F" w:rsidRPr="0027045B">
        <w:t>TiO</w:t>
      </w:r>
      <w:r w:rsidR="0068119F" w:rsidRPr="0027045B">
        <w:rPr>
          <w:vertAlign w:val="subscript"/>
        </w:rPr>
        <w:t>2</w:t>
      </w:r>
      <w:r w:rsidR="0068119F" w:rsidRPr="0027045B">
        <w:t xml:space="preserve"> </w:t>
      </w:r>
      <w:r w:rsidR="00D36D72" w:rsidRPr="0027045B">
        <w:t xml:space="preserve">was </w:t>
      </w:r>
      <w:r w:rsidRPr="0027045B">
        <w:t>analyzed by</w:t>
      </w:r>
      <w:r w:rsidR="00D36D72" w:rsidRPr="0027045B">
        <w:t xml:space="preserve"> </w:t>
      </w:r>
      <w:r w:rsidR="00D7692C" w:rsidRPr="0027045B">
        <w:t>XRD</w:t>
      </w:r>
      <w:r w:rsidRPr="0027045B">
        <w:t xml:space="preserve"> (</w:t>
      </w:r>
      <w:r w:rsidR="00AF55CC" w:rsidRPr="0027045B">
        <w:t>Bruker D8 Advanced diffractometer</w:t>
      </w:r>
      <w:r w:rsidRPr="0027045B">
        <w:t>)</w:t>
      </w:r>
      <w:r w:rsidR="00D7692C" w:rsidRPr="0027045B">
        <w:t>.</w:t>
      </w:r>
    </w:p>
    <w:p w14:paraId="18BAFA6F" w14:textId="15B72AD2" w:rsidR="00453E24" w:rsidRPr="0027045B" w:rsidRDefault="00ED014F" w:rsidP="00453E24">
      <w:pPr>
        <w:pStyle w:val="CETheadingx"/>
      </w:pPr>
      <w:r w:rsidRPr="0027045B">
        <w:t xml:space="preserve">Lab-scale </w:t>
      </w:r>
      <w:r w:rsidR="004A7255" w:rsidRPr="0027045B">
        <w:t xml:space="preserve">apparatus for catalytic activity </w:t>
      </w:r>
      <w:r w:rsidR="00926436" w:rsidRPr="0027045B">
        <w:t>tests</w:t>
      </w:r>
    </w:p>
    <w:p w14:paraId="6ED5DC5A" w14:textId="5C5DCAC0" w:rsidR="00C47180" w:rsidRPr="0027045B" w:rsidRDefault="00F71283" w:rsidP="00453E24">
      <w:pPr>
        <w:pStyle w:val="CETBodytext"/>
      </w:pPr>
      <w:r w:rsidRPr="0027045B">
        <w:t>C-C coupling experiments</w:t>
      </w:r>
      <w:r w:rsidR="00355BC2" w:rsidRPr="0027045B">
        <w:t xml:space="preserve"> were </w:t>
      </w:r>
      <w:r w:rsidRPr="0027045B">
        <w:t>carried out</w:t>
      </w:r>
      <w:r w:rsidR="00355BC2" w:rsidRPr="0027045B">
        <w:t xml:space="preserve"> in a micro fixed-bed reactor, consisting of a quartz tube (with 9 mm ID)</w:t>
      </w:r>
      <w:r w:rsidR="005C1DCE" w:rsidRPr="0027045B">
        <w:t>, where the TiO</w:t>
      </w:r>
      <w:r w:rsidR="005C1DCE" w:rsidRPr="0027045B">
        <w:rPr>
          <w:vertAlign w:val="subscript"/>
        </w:rPr>
        <w:t>2</w:t>
      </w:r>
      <w:r w:rsidR="005C1DCE" w:rsidRPr="0027045B">
        <w:t xml:space="preserve"> and 1.2 wt% Ru/TiO</w:t>
      </w:r>
      <w:r w:rsidR="005C1DCE" w:rsidRPr="0027045B">
        <w:rPr>
          <w:vertAlign w:val="subscript"/>
        </w:rPr>
        <w:t>2</w:t>
      </w:r>
      <w:r w:rsidR="005C1DCE" w:rsidRPr="0027045B">
        <w:t xml:space="preserve"> catalysts were tested in powder form and without dilution. </w:t>
      </w:r>
      <w:r w:rsidR="00EB5C78" w:rsidRPr="0027045B">
        <w:t xml:space="preserve">The catalyst load </w:t>
      </w:r>
      <w:r w:rsidR="00E67282" w:rsidRPr="0027045B">
        <w:t xml:space="preserve">amounted to </w:t>
      </w:r>
      <w:r w:rsidR="00A710A8" w:rsidRPr="0027045B">
        <w:t>300</w:t>
      </w:r>
      <w:r w:rsidR="00E67282" w:rsidRPr="0027045B">
        <w:t xml:space="preserve"> mg, corresponding to a bed height of </w:t>
      </w:r>
      <w:r w:rsidR="004A3FA4" w:rsidRPr="0027045B">
        <w:t>8 mm</w:t>
      </w:r>
      <w:r w:rsidR="00E67282" w:rsidRPr="0027045B">
        <w:t xml:space="preserve">. </w:t>
      </w:r>
      <w:r w:rsidR="00114F6C" w:rsidRPr="0027045B">
        <w:t>A</w:t>
      </w:r>
      <w:r w:rsidR="00355BC2" w:rsidRPr="0027045B">
        <w:t xml:space="preserve"> </w:t>
      </w:r>
      <w:r w:rsidR="00A00178" w:rsidRPr="0027045B">
        <w:t>column</w:t>
      </w:r>
      <w:r w:rsidR="00355BC2" w:rsidRPr="0027045B">
        <w:t xml:space="preserve"> of quartz </w:t>
      </w:r>
      <w:r w:rsidR="00A00178" w:rsidRPr="0027045B">
        <w:t>grains</w:t>
      </w:r>
      <w:r w:rsidR="00355BC2" w:rsidRPr="0027045B">
        <w:t xml:space="preserve"> (</w:t>
      </w:r>
      <w:r w:rsidR="002B59E2" w:rsidRPr="0027045B">
        <w:t>20-35</w:t>
      </w:r>
      <w:r w:rsidR="00355BC2" w:rsidRPr="0027045B">
        <w:t xml:space="preserve"> mesh) was loaded </w:t>
      </w:r>
      <w:r w:rsidR="004B1616" w:rsidRPr="0027045B">
        <w:t xml:space="preserve">above the catalytic bed </w:t>
      </w:r>
      <w:r w:rsidR="00355BC2" w:rsidRPr="0027045B">
        <w:t xml:space="preserve">to obtain uniform flow distribution and pre-heating of the inlet stream. </w:t>
      </w:r>
      <w:r w:rsidR="00114F6C" w:rsidRPr="0027045B">
        <w:t xml:space="preserve">An additional bed of quartz grains </w:t>
      </w:r>
      <w:r w:rsidR="0068797D" w:rsidRPr="0027045B">
        <w:t xml:space="preserve">was placed below </w:t>
      </w:r>
      <w:r w:rsidR="0079399C" w:rsidRPr="0027045B">
        <w:t>to hold the catalytic bed</w:t>
      </w:r>
      <w:r w:rsidR="00730122" w:rsidRPr="0027045B">
        <w:t xml:space="preserve">. </w:t>
      </w:r>
      <w:r w:rsidR="00355BC2" w:rsidRPr="0027045B">
        <w:t>The reactor was placed in</w:t>
      </w:r>
      <w:r w:rsidR="00297F00" w:rsidRPr="0027045B">
        <w:t>side</w:t>
      </w:r>
      <w:r w:rsidR="00355BC2" w:rsidRPr="0027045B">
        <w:t xml:space="preserve"> a</w:t>
      </w:r>
      <w:r w:rsidR="00730122" w:rsidRPr="0027045B">
        <w:t xml:space="preserve"> vertical tubular</w:t>
      </w:r>
      <w:r w:rsidR="00355BC2" w:rsidRPr="0027045B">
        <w:t xml:space="preserve"> electric</w:t>
      </w:r>
      <w:r w:rsidR="0055754A" w:rsidRPr="0027045B">
        <w:t xml:space="preserve"> </w:t>
      </w:r>
      <w:r w:rsidR="00355BC2" w:rsidRPr="0027045B">
        <w:t xml:space="preserve">oven </w:t>
      </w:r>
      <w:r w:rsidR="00730122" w:rsidRPr="0027045B">
        <w:t xml:space="preserve">(Carbolite), </w:t>
      </w:r>
      <w:r w:rsidR="00E67282" w:rsidRPr="0027045B">
        <w:t>whose heating</w:t>
      </w:r>
      <w:r w:rsidR="00355BC2" w:rsidRPr="0027045B">
        <w:t xml:space="preserve"> was controlled by a K</w:t>
      </w:r>
      <w:r w:rsidR="00F15E81" w:rsidRPr="0027045B">
        <w:t>-</w:t>
      </w:r>
      <w:r w:rsidR="00355BC2" w:rsidRPr="0027045B">
        <w:t xml:space="preserve">thermocouple placed in the catalytic bed. </w:t>
      </w:r>
      <w:r w:rsidR="00465C63" w:rsidRPr="0027045B">
        <w:t xml:space="preserve">Mass flow controllers (Brooks) were employed to supply feed gases, while acetic acid was fed </w:t>
      </w:r>
      <w:r w:rsidR="00E04ABA" w:rsidRPr="0027045B">
        <w:t xml:space="preserve">by bubbling a stream </w:t>
      </w:r>
      <w:proofErr w:type="gramStart"/>
      <w:r w:rsidR="00E04ABA" w:rsidRPr="0027045B">
        <w:t>of</w:t>
      </w:r>
      <w:proofErr w:type="gramEnd"/>
      <w:r w:rsidR="00E04ABA" w:rsidRPr="0027045B">
        <w:t xml:space="preserve"> He into </w:t>
      </w:r>
      <w:r w:rsidR="00465C63" w:rsidRPr="0027045B">
        <w:t xml:space="preserve">a saturator, </w:t>
      </w:r>
      <w:r w:rsidR="00011CFA" w:rsidRPr="0027045B">
        <w:t xml:space="preserve">which </w:t>
      </w:r>
      <w:r w:rsidR="00465C63" w:rsidRPr="0027045B">
        <w:t xml:space="preserve">was maintained at 35°C. </w:t>
      </w:r>
      <w:r w:rsidR="004F24EF" w:rsidRPr="0027045B">
        <w:t>The composition of inlet feed and ou</w:t>
      </w:r>
      <w:r w:rsidR="00AF75A9" w:rsidRPr="0027045B">
        <w:t>t</w:t>
      </w:r>
      <w:r w:rsidR="004F24EF" w:rsidRPr="0027045B">
        <w:t>let products</w:t>
      </w:r>
      <w:r w:rsidR="00AF75A9" w:rsidRPr="0027045B">
        <w:t xml:space="preserve"> mixture was measured with a</w:t>
      </w:r>
      <w:r w:rsidR="003A7489" w:rsidRPr="0027045B">
        <w:t>n online GC</w:t>
      </w:r>
      <w:r w:rsidR="00802BA7" w:rsidRPr="0027045B">
        <w:t xml:space="preserve"> (</w:t>
      </w:r>
      <w:r w:rsidR="004F24EF" w:rsidRPr="0027045B">
        <w:t>Agilent 6890)</w:t>
      </w:r>
      <w:r w:rsidR="00AF75A9" w:rsidRPr="0027045B">
        <w:t xml:space="preserve">, equipped with </w:t>
      </w:r>
      <w:r w:rsidR="00D31FBE" w:rsidRPr="0027045B">
        <w:t xml:space="preserve">TCD detectors, </w:t>
      </w:r>
      <w:r w:rsidR="00AF75A9" w:rsidRPr="0027045B">
        <w:t xml:space="preserve">a </w:t>
      </w:r>
      <w:r w:rsidR="00833F53" w:rsidRPr="0027045B">
        <w:t>Mol</w:t>
      </w:r>
      <w:r w:rsidR="001C2C5B" w:rsidRPr="0027045B">
        <w:t>e</w:t>
      </w:r>
      <w:r w:rsidR="00833F53" w:rsidRPr="0027045B">
        <w:t xml:space="preserve">cular Sieve and a PlotU </w:t>
      </w:r>
      <w:r w:rsidR="00D31FBE" w:rsidRPr="0027045B">
        <w:t>capillary</w:t>
      </w:r>
      <w:r w:rsidR="00833F53" w:rsidRPr="0027045B">
        <w:t xml:space="preserve"> columns</w:t>
      </w:r>
      <w:r w:rsidR="00D31FBE" w:rsidRPr="0027045B">
        <w:t>.</w:t>
      </w:r>
      <w:r w:rsidR="00416107" w:rsidRPr="0027045B">
        <w:t xml:space="preserve"> </w:t>
      </w:r>
      <w:r w:rsidR="007102D9" w:rsidRPr="0027045B">
        <w:t xml:space="preserve">Nitrogen was used as internal standard for </w:t>
      </w:r>
      <w:r w:rsidR="00BD3EBA" w:rsidRPr="0027045B">
        <w:t xml:space="preserve">the </w:t>
      </w:r>
      <w:r w:rsidR="008F63C1">
        <w:t>quantitative analysis</w:t>
      </w:r>
      <w:r w:rsidR="00BD3EBA" w:rsidRPr="0027045B">
        <w:t xml:space="preserve"> </w:t>
      </w:r>
      <w:r w:rsidR="00607A1E">
        <w:t xml:space="preserve">of </w:t>
      </w:r>
      <w:r w:rsidR="00BD3EBA" w:rsidRPr="0027045B">
        <w:t xml:space="preserve">mixture </w:t>
      </w:r>
      <w:r w:rsidR="00F015C6" w:rsidRPr="0027045B">
        <w:t xml:space="preserve">composition. </w:t>
      </w:r>
      <w:r w:rsidR="00D33F98" w:rsidRPr="0027045B">
        <w:t>Additionally, o</w:t>
      </w:r>
      <w:r w:rsidR="004557ED" w:rsidRPr="0027045B">
        <w:t xml:space="preserve">ffline measurements in </w:t>
      </w:r>
      <w:r w:rsidR="00D33F98" w:rsidRPr="0027045B">
        <w:t xml:space="preserve">a </w:t>
      </w:r>
      <w:r w:rsidR="004557ED" w:rsidRPr="0027045B">
        <w:t>GC-MS</w:t>
      </w:r>
      <w:r w:rsidR="00D33F98" w:rsidRPr="0027045B">
        <w:t xml:space="preserve"> instrument</w:t>
      </w:r>
      <w:r w:rsidR="004557ED" w:rsidRPr="0027045B">
        <w:t xml:space="preserve"> (Agilent 6890, 5973 MSD)</w:t>
      </w:r>
      <w:r w:rsidR="00D33F98" w:rsidRPr="0027045B">
        <w:t xml:space="preserve"> </w:t>
      </w:r>
      <w:r w:rsidR="000368C4" w:rsidRPr="0027045B">
        <w:t xml:space="preserve">were performed to identify the chemical structure of </w:t>
      </w:r>
      <w:r w:rsidR="006252DA" w:rsidRPr="0027045B">
        <w:t>unknown species</w:t>
      </w:r>
      <w:r w:rsidR="00E15C12" w:rsidRPr="0027045B">
        <w:t xml:space="preserve"> found in products mixture</w:t>
      </w:r>
      <w:r w:rsidR="00320B10" w:rsidRPr="0027045B">
        <w:t xml:space="preserve">. </w:t>
      </w:r>
      <w:r w:rsidR="0079399C" w:rsidRPr="0027045B">
        <w:t>For</w:t>
      </w:r>
      <w:r w:rsidR="00320B10" w:rsidRPr="0027045B">
        <w:t xml:space="preserve"> this purpose,</w:t>
      </w:r>
      <w:r w:rsidR="006635D7" w:rsidRPr="0027045B">
        <w:t xml:space="preserve"> </w:t>
      </w:r>
      <w:r w:rsidR="00A13F16" w:rsidRPr="0027045B">
        <w:t xml:space="preserve">a </w:t>
      </w:r>
      <w:r w:rsidR="004557ED" w:rsidRPr="0027045B">
        <w:t xml:space="preserve">syringe </w:t>
      </w:r>
      <w:r w:rsidR="00D72D89" w:rsidRPr="0027045B">
        <w:t>was used to sample</w:t>
      </w:r>
      <w:r w:rsidR="00D91A1B" w:rsidRPr="0027045B">
        <w:t xml:space="preserve"> the</w:t>
      </w:r>
      <w:r w:rsidR="00D72D89" w:rsidRPr="0027045B">
        <w:t xml:space="preserve"> </w:t>
      </w:r>
      <w:r w:rsidR="004557ED" w:rsidRPr="0027045B">
        <w:t>vapor product</w:t>
      </w:r>
      <w:r w:rsidR="002B6C59" w:rsidRPr="0027045B">
        <w:t>s</w:t>
      </w:r>
      <w:r w:rsidR="004557ED" w:rsidRPr="0027045B">
        <w:t xml:space="preserve"> mixture</w:t>
      </w:r>
      <w:r w:rsidR="00D91A1B" w:rsidRPr="0027045B">
        <w:t xml:space="preserve"> at the outlet of the reactor. </w:t>
      </w:r>
    </w:p>
    <w:p w14:paraId="6B955F07" w14:textId="23A75B7C" w:rsidR="00C47180" w:rsidRPr="0027045B" w:rsidRDefault="002F1CD3" w:rsidP="00453E24">
      <w:pPr>
        <w:pStyle w:val="CETBodytext"/>
      </w:pPr>
      <w:r w:rsidRPr="0027045B">
        <w:t xml:space="preserve">All </w:t>
      </w:r>
      <w:r w:rsidR="002B6C59" w:rsidRPr="0027045B">
        <w:t>C-C coupling</w:t>
      </w:r>
      <w:r w:rsidRPr="0027045B">
        <w:t xml:space="preserve"> experiments were </w:t>
      </w:r>
      <w:r w:rsidR="00B7708B" w:rsidRPr="0027045B">
        <w:t>run</w:t>
      </w:r>
      <w:r w:rsidRPr="0027045B">
        <w:t xml:space="preserve"> at atmospheric pressure and </w:t>
      </w:r>
      <w:r w:rsidR="00B7708B" w:rsidRPr="0027045B">
        <w:t>high dilution (</w:t>
      </w:r>
      <w:r w:rsidR="0069666E" w:rsidRPr="0027045B">
        <w:t xml:space="preserve">with &gt;95% </w:t>
      </w:r>
      <w:r w:rsidR="0069666E" w:rsidRPr="000B1A44">
        <w:t>He</w:t>
      </w:r>
      <w:r w:rsidR="008B7A33" w:rsidRPr="000B1A44">
        <w:t xml:space="preserve"> and N</w:t>
      </w:r>
      <w:r w:rsidR="008B7A33" w:rsidRPr="000B1A44">
        <w:rPr>
          <w:vertAlign w:val="subscript"/>
        </w:rPr>
        <w:t>2</w:t>
      </w:r>
      <w:r w:rsidR="0069666E" w:rsidRPr="000B1A44">
        <w:t>),</w:t>
      </w:r>
      <w:r w:rsidR="0069666E" w:rsidRPr="0027045B">
        <w:t xml:space="preserve"> aiming to</w:t>
      </w:r>
      <w:r w:rsidR="00AC1489" w:rsidRPr="0027045B">
        <w:t xml:space="preserve"> keep the </w:t>
      </w:r>
      <w:r w:rsidR="00E67282" w:rsidRPr="0027045B">
        <w:t>bed isothermal</w:t>
      </w:r>
      <w:r w:rsidR="00AC1489" w:rsidRPr="0027045B">
        <w:t>.</w:t>
      </w:r>
      <w:r w:rsidR="0069666E" w:rsidRPr="0027045B">
        <w:t xml:space="preserve"> </w:t>
      </w:r>
      <w:r w:rsidR="00AC1489" w:rsidRPr="0027045B">
        <w:t>The s</w:t>
      </w:r>
      <w:r w:rsidR="00B175E8" w:rsidRPr="0027045B">
        <w:t>tandard a</w:t>
      </w:r>
      <w:r w:rsidR="00DC76EA" w:rsidRPr="0027045B">
        <w:t>cetic acid ketonization test over TiO</w:t>
      </w:r>
      <w:r w:rsidR="00DC76EA" w:rsidRPr="0027045B">
        <w:rPr>
          <w:vertAlign w:val="subscript"/>
        </w:rPr>
        <w:t>2</w:t>
      </w:r>
      <w:r w:rsidR="00DC76EA" w:rsidRPr="0027045B">
        <w:t xml:space="preserve"> catalyst </w:t>
      </w:r>
      <w:r w:rsidR="00627CDE" w:rsidRPr="0027045B">
        <w:t>was performed with a G</w:t>
      </w:r>
      <w:r w:rsidR="00A079D6" w:rsidRPr="0027045B">
        <w:t>as Hourly Space Velocity (GHSV) of 20</w:t>
      </w:r>
      <w:r w:rsidR="00844A72" w:rsidRPr="0027045B">
        <w:t>,000 NL/</w:t>
      </w:r>
      <w:r w:rsidR="006459C8" w:rsidRPr="0027045B">
        <w:t>h/kg</w:t>
      </w:r>
      <w:r w:rsidR="006459C8" w:rsidRPr="0027045B">
        <w:rPr>
          <w:vertAlign w:val="subscript"/>
        </w:rPr>
        <w:t>cat</w:t>
      </w:r>
      <w:r w:rsidR="006459C8" w:rsidRPr="0027045B">
        <w:t xml:space="preserve">, feeding 3% </w:t>
      </w:r>
      <w:r w:rsidR="00B02125" w:rsidRPr="0027045B">
        <w:t>acetic acid</w:t>
      </w:r>
      <w:r w:rsidR="009B400C" w:rsidRPr="0027045B">
        <w:t xml:space="preserve"> and</w:t>
      </w:r>
      <w:r w:rsidR="0069784E" w:rsidRPr="0027045B">
        <w:t xml:space="preserve"> 10% N</w:t>
      </w:r>
      <w:r w:rsidR="0069784E" w:rsidRPr="0027045B">
        <w:rPr>
          <w:vertAlign w:val="subscript"/>
        </w:rPr>
        <w:t>2</w:t>
      </w:r>
      <w:r w:rsidR="00B02125" w:rsidRPr="0027045B">
        <w:t xml:space="preserve"> in </w:t>
      </w:r>
      <w:proofErr w:type="gramStart"/>
      <w:r w:rsidR="00B02125" w:rsidRPr="0027045B">
        <w:t>He</w:t>
      </w:r>
      <w:proofErr w:type="gramEnd"/>
      <w:r w:rsidR="00B02125" w:rsidRPr="0027045B">
        <w:t xml:space="preserve">. The effect of inlet acetic acid </w:t>
      </w:r>
      <w:r w:rsidR="00247A56" w:rsidRPr="0027045B">
        <w:t xml:space="preserve">concentration </w:t>
      </w:r>
      <w:r w:rsidR="004F4160" w:rsidRPr="0027045B">
        <w:t xml:space="preserve">(in the range of 1.5-3.6%) </w:t>
      </w:r>
      <w:r w:rsidR="00247A56" w:rsidRPr="0027045B">
        <w:t>and of H</w:t>
      </w:r>
      <w:r w:rsidR="00247A56" w:rsidRPr="0027045B">
        <w:rPr>
          <w:vertAlign w:val="subscript"/>
        </w:rPr>
        <w:t>2</w:t>
      </w:r>
      <w:r w:rsidR="00247A56" w:rsidRPr="0027045B">
        <w:t xml:space="preserve"> co-feed </w:t>
      </w:r>
      <w:r w:rsidR="007A27C6" w:rsidRPr="0027045B">
        <w:t xml:space="preserve">(0-20%) </w:t>
      </w:r>
      <w:r w:rsidR="001D268C" w:rsidRPr="0027045B">
        <w:t>were</w:t>
      </w:r>
      <w:r w:rsidR="00247A56" w:rsidRPr="0027045B">
        <w:t xml:space="preserve"> then explored. </w:t>
      </w:r>
      <w:r w:rsidR="006728D2" w:rsidRPr="0027045B">
        <w:t>Tests were performed under steady state conditions</w:t>
      </w:r>
      <w:r w:rsidR="007D5E1F" w:rsidRPr="0027045B">
        <w:t xml:space="preserve"> at different temperatures in the range</w:t>
      </w:r>
      <w:r w:rsidR="00896664" w:rsidRPr="0027045B">
        <w:t xml:space="preserve"> of 225-400°C</w:t>
      </w:r>
      <w:r w:rsidR="007D5E1F" w:rsidRPr="0027045B">
        <w:t xml:space="preserve">, by keeping the catalyst at the desired temperature for </w:t>
      </w:r>
      <w:r w:rsidR="00896664" w:rsidRPr="0027045B">
        <w:t>1</w:t>
      </w:r>
      <w:r w:rsidR="007D5E1F" w:rsidRPr="0027045B">
        <w:t xml:space="preserve"> h while monitoring </w:t>
      </w:r>
      <w:r w:rsidR="0062642A" w:rsidRPr="0027045B">
        <w:t xml:space="preserve">the outlet composition </w:t>
      </w:r>
      <w:r w:rsidR="007D5E1F" w:rsidRPr="0027045B">
        <w:t>by online GC</w:t>
      </w:r>
      <w:r w:rsidR="0066297F" w:rsidRPr="0027045B">
        <w:t xml:space="preserve">. </w:t>
      </w:r>
      <w:r w:rsidR="00F30408" w:rsidRPr="0027045B">
        <w:t>High temperature performances of TiO</w:t>
      </w:r>
      <w:r w:rsidR="00F30408" w:rsidRPr="0027045B">
        <w:rPr>
          <w:vertAlign w:val="subscript"/>
        </w:rPr>
        <w:t>2</w:t>
      </w:r>
      <w:r w:rsidR="00F30408" w:rsidRPr="0027045B">
        <w:t xml:space="preserve"> were then further investigated </w:t>
      </w:r>
      <w:r w:rsidR="000B720C" w:rsidRPr="0027045B">
        <w:t>and compared with Ru/TiO</w:t>
      </w:r>
      <w:r w:rsidR="000B720C" w:rsidRPr="0027045B">
        <w:rPr>
          <w:vertAlign w:val="subscript"/>
        </w:rPr>
        <w:t>2</w:t>
      </w:r>
      <w:r w:rsidR="000B720C" w:rsidRPr="0027045B">
        <w:t xml:space="preserve">: in this case, the </w:t>
      </w:r>
      <w:r w:rsidR="00A9240E" w:rsidRPr="0027045B">
        <w:t>catalytic</w:t>
      </w:r>
      <w:r w:rsidR="00F30408" w:rsidRPr="0027045B">
        <w:t xml:space="preserve"> activity </w:t>
      </w:r>
      <w:r w:rsidR="00080673" w:rsidRPr="0027045B">
        <w:t xml:space="preserve">was </w:t>
      </w:r>
      <w:r w:rsidR="00EB7F31" w:rsidRPr="0027045B">
        <w:t>monitored</w:t>
      </w:r>
      <w:r w:rsidR="001E23E8" w:rsidRPr="0027045B">
        <w:t xml:space="preserve"> </w:t>
      </w:r>
      <w:r w:rsidR="001A1B88" w:rsidRPr="0027045B">
        <w:t>along 4h of Time on Stream (ToS)</w:t>
      </w:r>
      <w:r w:rsidR="00F30408" w:rsidRPr="0027045B">
        <w:t xml:space="preserve"> </w:t>
      </w:r>
      <w:r w:rsidR="00B439BD" w:rsidRPr="0027045B">
        <w:t>at constant temperature (400°C)</w:t>
      </w:r>
      <w:r w:rsidR="00EB2B66" w:rsidRPr="0027045B">
        <w:t xml:space="preserve"> while </w:t>
      </w:r>
      <w:r w:rsidR="008C28B8" w:rsidRPr="0027045B">
        <w:t>analyzing</w:t>
      </w:r>
      <w:r w:rsidR="00EB2B66" w:rsidRPr="0027045B">
        <w:t xml:space="preserve"> the composition of products mixture</w:t>
      </w:r>
      <w:r w:rsidR="004C1FAE" w:rsidRPr="0027045B">
        <w:t>.</w:t>
      </w:r>
    </w:p>
    <w:p w14:paraId="6A19FE81" w14:textId="03466F3F" w:rsidR="00B53842" w:rsidRPr="0027045B" w:rsidRDefault="00B53842">
      <w:pPr>
        <w:tabs>
          <w:tab w:val="clear" w:pos="7100"/>
        </w:tabs>
        <w:spacing w:after="200" w:line="276" w:lineRule="auto"/>
        <w:jc w:val="left"/>
        <w:rPr>
          <w:b/>
          <w:sz w:val="20"/>
          <w:lang w:val="en-US"/>
        </w:rPr>
      </w:pPr>
    </w:p>
    <w:p w14:paraId="677EBFF0" w14:textId="0DE01F35" w:rsidR="00600535" w:rsidRPr="0027045B" w:rsidRDefault="00C42125" w:rsidP="00600535">
      <w:pPr>
        <w:pStyle w:val="CETHeading1"/>
        <w:tabs>
          <w:tab w:val="clear" w:pos="360"/>
          <w:tab w:val="right" w:pos="7100"/>
        </w:tabs>
        <w:jc w:val="both"/>
      </w:pPr>
      <w:r w:rsidRPr="0027045B">
        <w:lastRenderedPageBreak/>
        <w:t>Results</w:t>
      </w:r>
    </w:p>
    <w:p w14:paraId="04963A06" w14:textId="721FCBFD" w:rsidR="00600535" w:rsidRPr="0027045B" w:rsidRDefault="006607E4" w:rsidP="00FA5F5F">
      <w:pPr>
        <w:pStyle w:val="CETheadingx"/>
      </w:pPr>
      <w:r w:rsidRPr="0027045B">
        <w:t>Catalyst characterization</w:t>
      </w:r>
    </w:p>
    <w:p w14:paraId="18DCE330" w14:textId="0C2738C7" w:rsidR="00991A74" w:rsidRPr="0027045B" w:rsidRDefault="00B42A39" w:rsidP="00600535">
      <w:pPr>
        <w:pStyle w:val="CETBodytext"/>
      </w:pPr>
      <w:r w:rsidRPr="0027045B">
        <w:t>Morphological analyses performed on calcined TiO</w:t>
      </w:r>
      <w:r w:rsidRPr="0027045B">
        <w:rPr>
          <w:vertAlign w:val="subscript"/>
        </w:rPr>
        <w:t>2</w:t>
      </w:r>
      <w:r w:rsidRPr="0027045B">
        <w:t xml:space="preserve"> powders revealed a BET surface area of </w:t>
      </w:r>
      <w:r w:rsidR="00B32400" w:rsidRPr="0027045B">
        <w:t>75 m</w:t>
      </w:r>
      <w:r w:rsidR="00B32400" w:rsidRPr="0027045B">
        <w:rPr>
          <w:vertAlign w:val="superscript"/>
        </w:rPr>
        <w:t>2</w:t>
      </w:r>
      <w:r w:rsidR="00B32400" w:rsidRPr="0027045B">
        <w:t>/g</w:t>
      </w:r>
      <w:r w:rsidR="0080650C" w:rsidRPr="0027045B">
        <w:t xml:space="preserve"> and a pore volume of 0.38 cm</w:t>
      </w:r>
      <w:r w:rsidR="00573127" w:rsidRPr="0027045B">
        <w:rPr>
          <w:vertAlign w:val="superscript"/>
        </w:rPr>
        <w:t>3</w:t>
      </w:r>
      <w:r w:rsidR="0080650C" w:rsidRPr="0027045B">
        <w:t>/g</w:t>
      </w:r>
      <w:r w:rsidR="00917B68" w:rsidRPr="0027045B">
        <w:t xml:space="preserve">, with a pore size distribution centered on </w:t>
      </w:r>
      <w:r w:rsidR="0039079C" w:rsidRPr="0027045B">
        <w:t>pore diameters of 9 and 13 nm.</w:t>
      </w:r>
      <w:r w:rsidR="00E5317B" w:rsidRPr="0027045B">
        <w:t xml:space="preserve"> The addition of ruthenium in Ru/TiO</w:t>
      </w:r>
      <w:r w:rsidR="00E5317B" w:rsidRPr="0027045B">
        <w:rPr>
          <w:vertAlign w:val="subscript"/>
        </w:rPr>
        <w:t>2</w:t>
      </w:r>
      <w:r w:rsidR="00E5317B" w:rsidRPr="0027045B">
        <w:t xml:space="preserve"> caused a </w:t>
      </w:r>
      <w:r w:rsidR="003C2E11" w:rsidRPr="0027045B">
        <w:t xml:space="preserve">partial </w:t>
      </w:r>
      <w:r w:rsidR="00E5317B" w:rsidRPr="0027045B">
        <w:t xml:space="preserve">decrease of </w:t>
      </w:r>
      <w:r w:rsidR="0031482A" w:rsidRPr="0027045B">
        <w:t xml:space="preserve">pore volume </w:t>
      </w:r>
      <w:r w:rsidR="00573127" w:rsidRPr="0027045B">
        <w:t>(</w:t>
      </w:r>
      <w:r w:rsidR="00F725BB" w:rsidRPr="0027045B">
        <w:t>0.</w:t>
      </w:r>
      <w:r w:rsidR="00573127" w:rsidRPr="0027045B">
        <w:t>31 cm</w:t>
      </w:r>
      <w:r w:rsidR="00573127" w:rsidRPr="0027045B">
        <w:rPr>
          <w:vertAlign w:val="superscript"/>
        </w:rPr>
        <w:t>3</w:t>
      </w:r>
      <w:r w:rsidR="00573127" w:rsidRPr="0027045B">
        <w:t>/g)</w:t>
      </w:r>
      <w:r w:rsidR="00410308" w:rsidRPr="0027045B">
        <w:t xml:space="preserve">, </w:t>
      </w:r>
      <w:r w:rsidR="003C2E11" w:rsidRPr="0027045B">
        <w:t>and a moderate decrease</w:t>
      </w:r>
      <w:r w:rsidR="00B51ACC" w:rsidRPr="0027045B">
        <w:t xml:space="preserve"> of surf</w:t>
      </w:r>
      <w:r w:rsidR="00410308" w:rsidRPr="0027045B">
        <w:t xml:space="preserve">ace area </w:t>
      </w:r>
      <w:r w:rsidR="00B616DA" w:rsidRPr="0027045B">
        <w:t>(68 m</w:t>
      </w:r>
      <w:r w:rsidR="00B616DA" w:rsidRPr="0027045B">
        <w:rPr>
          <w:vertAlign w:val="superscript"/>
        </w:rPr>
        <w:t>2</w:t>
      </w:r>
      <w:r w:rsidR="00B616DA" w:rsidRPr="0027045B">
        <w:t>/g).</w:t>
      </w:r>
      <w:r w:rsidR="00C82728" w:rsidRPr="0027045B">
        <w:t xml:space="preserve"> </w:t>
      </w:r>
      <w:r w:rsidR="00FD7350" w:rsidRPr="0027045B">
        <w:t xml:space="preserve">These results </w:t>
      </w:r>
      <w:r w:rsidR="00BF7E25" w:rsidRPr="0027045B">
        <w:t>show that the</w:t>
      </w:r>
      <w:r w:rsidR="00991A74" w:rsidRPr="0027045B">
        <w:t xml:space="preserve"> TiO</w:t>
      </w:r>
      <w:r w:rsidR="00991A74" w:rsidRPr="0027045B">
        <w:rPr>
          <w:vertAlign w:val="subscript"/>
        </w:rPr>
        <w:t>2</w:t>
      </w:r>
      <w:r w:rsidR="00991A74" w:rsidRPr="0027045B">
        <w:t xml:space="preserve"> and Ru/TiO</w:t>
      </w:r>
      <w:r w:rsidR="00991A74" w:rsidRPr="0027045B">
        <w:rPr>
          <w:vertAlign w:val="subscript"/>
        </w:rPr>
        <w:t>2</w:t>
      </w:r>
      <w:r w:rsidR="00991A74" w:rsidRPr="0027045B">
        <w:t xml:space="preserve"> catalysts</w:t>
      </w:r>
      <w:r w:rsidR="00BF7E25" w:rsidRPr="0027045B">
        <w:t xml:space="preserve"> </w:t>
      </w:r>
      <w:r w:rsidR="00EC18B4" w:rsidRPr="0027045B">
        <w:t xml:space="preserve">compared in the present work </w:t>
      </w:r>
      <w:r w:rsidR="00F146F5" w:rsidRPr="0027045B">
        <w:t xml:space="preserve">share similar </w:t>
      </w:r>
      <w:r w:rsidR="00BF7E25" w:rsidRPr="0027045B">
        <w:t xml:space="preserve">morphological </w:t>
      </w:r>
      <w:r w:rsidR="008E07F8" w:rsidRPr="0027045B">
        <w:t>properties</w:t>
      </w:r>
      <w:r w:rsidR="00F146F5" w:rsidRPr="0027045B">
        <w:t>.</w:t>
      </w:r>
    </w:p>
    <w:p w14:paraId="1F795C8C" w14:textId="17B45577" w:rsidR="00B53842" w:rsidRPr="0027045B" w:rsidRDefault="004215E5" w:rsidP="00C95C1A">
      <w:pPr>
        <w:pStyle w:val="CETBodytext"/>
      </w:pPr>
      <w:r w:rsidRPr="0027045B">
        <w:t>T</w:t>
      </w:r>
      <w:r w:rsidR="00E66D7E" w:rsidRPr="0027045B">
        <w:t>he crystalline structure of TiO</w:t>
      </w:r>
      <w:r w:rsidR="00E66D7E" w:rsidRPr="0027045B">
        <w:rPr>
          <w:vertAlign w:val="subscript"/>
        </w:rPr>
        <w:t>2</w:t>
      </w:r>
      <w:r w:rsidR="00E66D7E" w:rsidRPr="0027045B">
        <w:t xml:space="preserve"> support was </w:t>
      </w:r>
      <w:r w:rsidR="008C28B8" w:rsidRPr="0027045B">
        <w:t>analyzed</w:t>
      </w:r>
      <w:r w:rsidR="00E66D7E" w:rsidRPr="0027045B">
        <w:t xml:space="preserve"> via XRD</w:t>
      </w:r>
      <w:r w:rsidR="009A33E3" w:rsidRPr="0027045B">
        <w:t xml:space="preserve"> </w:t>
      </w:r>
      <w:proofErr w:type="gramStart"/>
      <w:r w:rsidR="009A33E3" w:rsidRPr="0027045B">
        <w:t>and,</w:t>
      </w:r>
      <w:proofErr w:type="gramEnd"/>
      <w:r w:rsidR="009A33E3" w:rsidRPr="0027045B">
        <w:t xml:space="preserve"> a</w:t>
      </w:r>
      <w:r w:rsidR="00E66D7E" w:rsidRPr="0027045B">
        <w:t>s expected, the anatase phase of the original commercial TiO</w:t>
      </w:r>
      <w:r w:rsidR="00E66D7E" w:rsidRPr="0027045B">
        <w:rPr>
          <w:vertAlign w:val="subscript"/>
        </w:rPr>
        <w:t>2</w:t>
      </w:r>
      <w:r w:rsidR="00E66D7E" w:rsidRPr="0027045B">
        <w:t xml:space="preserve"> was maintained after the calcination procedure at 400°C</w:t>
      </w:r>
      <w:r w:rsidR="005C730F" w:rsidRPr="0027045B">
        <w:t>.</w:t>
      </w:r>
      <w:r w:rsidR="001C2932" w:rsidRPr="0027045B">
        <w:t xml:space="preserve"> </w:t>
      </w:r>
      <w:r w:rsidR="00E66D7E" w:rsidRPr="0027045B">
        <w:t xml:space="preserve">It was also verified </w:t>
      </w:r>
      <w:r w:rsidR="00D22D79">
        <w:t>via</w:t>
      </w:r>
      <w:r w:rsidR="00E66D7E" w:rsidRPr="0027045B">
        <w:t xml:space="preserve"> XRD analysis that anatase phase remained unaltered after the addition of Ru.</w:t>
      </w:r>
    </w:p>
    <w:p w14:paraId="1F96CA21" w14:textId="11B955E6" w:rsidR="00600535" w:rsidRPr="0027045B" w:rsidRDefault="008A0198" w:rsidP="00FA5F5F">
      <w:pPr>
        <w:pStyle w:val="CETheadingx"/>
      </w:pPr>
      <w:r w:rsidRPr="0027045B">
        <w:t xml:space="preserve">Acetic acid </w:t>
      </w:r>
      <w:r w:rsidR="00057C62" w:rsidRPr="0027045B">
        <w:t>ketonization</w:t>
      </w:r>
      <w:r w:rsidR="00F9010E" w:rsidRPr="0027045B">
        <w:t xml:space="preserve"> </w:t>
      </w:r>
      <w:r w:rsidR="000A2D0E" w:rsidRPr="0027045B">
        <w:t>on TiO</w:t>
      </w:r>
      <w:r w:rsidR="000A2D0E" w:rsidRPr="0027045B">
        <w:rPr>
          <w:vertAlign w:val="subscript"/>
        </w:rPr>
        <w:t>2</w:t>
      </w:r>
      <w:r w:rsidR="00502072" w:rsidRPr="0027045B">
        <w:t>: low temperature</w:t>
      </w:r>
      <w:r w:rsidR="0077448D" w:rsidRPr="0027045B">
        <w:t xml:space="preserve"> vs high temperature</w:t>
      </w:r>
      <w:r w:rsidR="00502072" w:rsidRPr="0027045B">
        <w:t xml:space="preserve"> investigation</w:t>
      </w:r>
    </w:p>
    <w:p w14:paraId="09958873" w14:textId="30A8E44F" w:rsidR="00A10B0A" w:rsidRPr="0027045B" w:rsidRDefault="00684F98" w:rsidP="0088299F">
      <w:pPr>
        <w:pStyle w:val="CETBodytext"/>
      </w:pPr>
      <w:r w:rsidRPr="0027045B">
        <w:t>Experiments of a</w:t>
      </w:r>
      <w:r w:rsidR="0088299F" w:rsidRPr="0027045B">
        <w:t xml:space="preserve">cetic acid ketonization </w:t>
      </w:r>
      <w:r w:rsidR="00B703C3" w:rsidRPr="0027045B">
        <w:t xml:space="preserve">were performed </w:t>
      </w:r>
      <w:r w:rsidR="009C1877" w:rsidRPr="0027045B">
        <w:t>on TiO</w:t>
      </w:r>
      <w:r w:rsidR="009C1877" w:rsidRPr="0027045B">
        <w:rPr>
          <w:vertAlign w:val="subscript"/>
        </w:rPr>
        <w:t>2</w:t>
      </w:r>
      <w:r w:rsidR="009C1877" w:rsidRPr="0027045B">
        <w:t xml:space="preserve"> </w:t>
      </w:r>
      <w:r w:rsidR="00B703C3" w:rsidRPr="0027045B">
        <w:t xml:space="preserve">with standard GHSV </w:t>
      </w:r>
      <w:r w:rsidR="0088299F" w:rsidRPr="0027045B">
        <w:t>at varying inlet acid concentration</w:t>
      </w:r>
      <w:r w:rsidR="00222C02" w:rsidRPr="0027045B">
        <w:t>, in a low temperature range</w:t>
      </w:r>
      <w:r w:rsidR="00521DEC" w:rsidRPr="0027045B">
        <w:t xml:space="preserve">. The results are </w:t>
      </w:r>
      <w:r w:rsidR="0088299F" w:rsidRPr="0027045B">
        <w:t xml:space="preserve">presented in Figure </w:t>
      </w:r>
      <w:r w:rsidR="000567F1" w:rsidRPr="0027045B">
        <w:t>1</w:t>
      </w:r>
      <w:r w:rsidR="00521DEC" w:rsidRPr="0027045B">
        <w:t xml:space="preserve">, where acetic acid conversion and </w:t>
      </w:r>
      <w:r w:rsidR="008B22A5" w:rsidRPr="0027045B">
        <w:t xml:space="preserve">product molar </w:t>
      </w:r>
      <w:r w:rsidR="005B203E">
        <w:t>flowrates</w:t>
      </w:r>
      <w:r w:rsidR="008B22A5" w:rsidRPr="0027045B">
        <w:t xml:space="preserve"> are plotted agai</w:t>
      </w:r>
      <w:r w:rsidR="00521DEC" w:rsidRPr="0027045B">
        <w:t xml:space="preserve">nst </w:t>
      </w:r>
      <w:r w:rsidR="00702EC3" w:rsidRPr="0027045B">
        <w:t>reaction temperature</w:t>
      </w:r>
      <w:r w:rsidR="0088299F" w:rsidRPr="0027045B">
        <w:t xml:space="preserve">. Acetic acid conversion </w:t>
      </w:r>
      <w:r w:rsidR="006970E2" w:rsidRPr="0027045B">
        <w:t>was</w:t>
      </w:r>
      <w:r w:rsidR="006878FC" w:rsidRPr="0027045B">
        <w:t xml:space="preserve"> seen starting from</w:t>
      </w:r>
      <w:r w:rsidR="0088299F" w:rsidRPr="0027045B">
        <w:t xml:space="preserve"> 2</w:t>
      </w:r>
      <w:r w:rsidR="00B57332" w:rsidRPr="0027045B">
        <w:t>35</w:t>
      </w:r>
      <w:r w:rsidR="0088299F" w:rsidRPr="0027045B">
        <w:t>°C, and it increase</w:t>
      </w:r>
      <w:r w:rsidR="005B00B9" w:rsidRPr="0027045B">
        <w:t>d</w:t>
      </w:r>
      <w:r w:rsidR="0088299F" w:rsidRPr="0027045B">
        <w:t xml:space="preserve"> with temperature together with acetone</w:t>
      </w:r>
      <w:r w:rsidR="00B57332" w:rsidRPr="0027045B">
        <w:t>, CO</w:t>
      </w:r>
      <w:r w:rsidR="00B57332" w:rsidRPr="0027045B">
        <w:rPr>
          <w:vertAlign w:val="subscript"/>
        </w:rPr>
        <w:t>2</w:t>
      </w:r>
      <w:r w:rsidR="00B57332" w:rsidRPr="0027045B">
        <w:t xml:space="preserve"> </w:t>
      </w:r>
      <w:r w:rsidR="0085139A" w:rsidRPr="0027045B">
        <w:t>and H</w:t>
      </w:r>
      <w:r w:rsidR="0085139A" w:rsidRPr="0027045B">
        <w:rPr>
          <w:vertAlign w:val="subscript"/>
        </w:rPr>
        <w:t>2</w:t>
      </w:r>
      <w:r w:rsidR="0085139A" w:rsidRPr="0027045B">
        <w:t>O</w:t>
      </w:r>
      <w:r w:rsidR="0088299F" w:rsidRPr="0027045B">
        <w:t xml:space="preserve"> production according to the ketonization reaction stoichiometry</w:t>
      </w:r>
      <w:r w:rsidR="00A10B0A" w:rsidRPr="0027045B">
        <w:t xml:space="preserve"> </w:t>
      </w:r>
      <w:proofErr w:type="gramStart"/>
      <w:r w:rsidR="00B82672" w:rsidRPr="0027045B">
        <w:t>Eq</w:t>
      </w:r>
      <w:r w:rsidR="00A10B0A" w:rsidRPr="0027045B">
        <w:t>(</w:t>
      </w:r>
      <w:proofErr w:type="gramEnd"/>
      <w:r w:rsidR="000F08A3" w:rsidRPr="0027045B">
        <w:t>2</w:t>
      </w:r>
      <w:r w:rsidR="00A10B0A" w:rsidRPr="0027045B">
        <w:t>).</w:t>
      </w:r>
      <w:r w:rsidR="00051EA2" w:rsidRPr="0027045B"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3"/>
        <w:gridCol w:w="804"/>
      </w:tblGrid>
      <w:tr w:rsidR="00A10B0A" w:rsidRPr="0027045B" w14:paraId="5BF3D543" w14:textId="77777777" w:rsidTr="009A1207">
        <w:tc>
          <w:tcPr>
            <w:tcW w:w="8188" w:type="dxa"/>
            <w:shd w:val="clear" w:color="auto" w:fill="auto"/>
            <w:vAlign w:val="center"/>
          </w:tcPr>
          <w:p w14:paraId="78FAC730" w14:textId="3E50108F" w:rsidR="00A10B0A" w:rsidRPr="0027045B" w:rsidRDefault="00C85161" w:rsidP="009A1207">
            <w:pPr>
              <w:pStyle w:val="CETEquation"/>
              <w:jc w:val="center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2C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COOH→C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COC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+C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O</m:t>
                </m:r>
              </m:oMath>
            </m:oMathPara>
          </w:p>
          <w:p w14:paraId="48A049FE" w14:textId="5F3114E0" w:rsidR="001B4C38" w:rsidRPr="0027045B" w:rsidRDefault="001B4C38" w:rsidP="009A1207">
            <w:pPr>
              <w:pStyle w:val="CETBodytext"/>
              <w:jc w:val="center"/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843612D" w14:textId="60263574" w:rsidR="00A10B0A" w:rsidRPr="0027045B" w:rsidRDefault="00A10B0A" w:rsidP="009A1207">
            <w:pPr>
              <w:pStyle w:val="CETEquation"/>
              <w:jc w:val="center"/>
              <w:rPr>
                <w:lang w:val="en-US"/>
              </w:rPr>
            </w:pPr>
            <w:r w:rsidRPr="0027045B">
              <w:rPr>
                <w:lang w:val="en-US"/>
              </w:rPr>
              <w:t>(</w:t>
            </w:r>
            <w:r w:rsidR="000F08A3" w:rsidRPr="0027045B">
              <w:rPr>
                <w:lang w:val="en-US"/>
              </w:rPr>
              <w:t>2</w:t>
            </w:r>
            <w:r w:rsidRPr="0027045B">
              <w:rPr>
                <w:lang w:val="en-US"/>
              </w:rPr>
              <w:t>)</w:t>
            </w:r>
          </w:p>
        </w:tc>
      </w:tr>
    </w:tbl>
    <w:p w14:paraId="2E42AA59" w14:textId="1F75B064" w:rsidR="0088299F" w:rsidRPr="0027045B" w:rsidRDefault="005B00B9" w:rsidP="0088299F">
      <w:pPr>
        <w:pStyle w:val="CETBodytext"/>
      </w:pPr>
      <w:r w:rsidRPr="0027045B">
        <w:t>The</w:t>
      </w:r>
      <w:r w:rsidR="000D5092" w:rsidRPr="0027045B">
        <w:t xml:space="preserve"> o</w:t>
      </w:r>
      <w:r w:rsidR="00AD7E8F" w:rsidRPr="0027045B">
        <w:t xml:space="preserve">utlet molar </w:t>
      </w:r>
      <w:r w:rsidR="004D1F42">
        <w:t>flowrates</w:t>
      </w:r>
      <w:r w:rsidR="004D1F42" w:rsidRPr="0027045B">
        <w:t xml:space="preserve"> </w:t>
      </w:r>
      <w:r w:rsidR="00FE3A90" w:rsidRPr="0027045B">
        <w:t>of products were</w:t>
      </w:r>
      <w:r w:rsidRPr="0027045B">
        <w:t xml:space="preserve"> </w:t>
      </w:r>
      <w:r w:rsidR="004051E1" w:rsidRPr="0027045B">
        <w:t xml:space="preserve">insensitive </w:t>
      </w:r>
      <w:r w:rsidRPr="0027045B">
        <w:t>to</w:t>
      </w:r>
      <w:r w:rsidR="004051E1" w:rsidRPr="0027045B">
        <w:t xml:space="preserve"> inlet </w:t>
      </w:r>
      <w:r w:rsidR="00EA58B0" w:rsidRPr="0027045B">
        <w:t>acetic acid concentration throughout the entire temperature range (</w:t>
      </w:r>
      <w:r w:rsidRPr="0027045B">
        <w:t>thus</w:t>
      </w:r>
      <w:r w:rsidR="00EA58B0" w:rsidRPr="0027045B">
        <w:t xml:space="preserve"> </w:t>
      </w:r>
      <w:r w:rsidR="00560B31" w:rsidRPr="0027045B">
        <w:t>both in differential and integral regimes</w:t>
      </w:r>
      <w:r w:rsidR="00EA58B0" w:rsidRPr="0027045B">
        <w:t>)</w:t>
      </w:r>
      <w:r w:rsidR="00560B31" w:rsidRPr="0027045B">
        <w:t>.</w:t>
      </w:r>
      <w:r w:rsidR="00F55054" w:rsidRPr="0027045B">
        <w:t xml:space="preserve"> </w:t>
      </w:r>
      <w:r w:rsidRPr="0027045B">
        <w:t>Consistently</w:t>
      </w:r>
      <w:r w:rsidR="00F55054" w:rsidRPr="0027045B">
        <w:t xml:space="preserve">, the conversion of acetic acid </w:t>
      </w:r>
      <w:r w:rsidRPr="0027045B">
        <w:t xml:space="preserve">decreased </w:t>
      </w:r>
      <w:r w:rsidR="00F55054" w:rsidRPr="0027045B">
        <w:t xml:space="preserve">with </w:t>
      </w:r>
      <w:r w:rsidRPr="0027045B">
        <w:t>increasing</w:t>
      </w:r>
      <w:r w:rsidR="00F57805" w:rsidRPr="0027045B">
        <w:t xml:space="preserve"> acid concentration in the feed.</w:t>
      </w:r>
    </w:p>
    <w:p w14:paraId="608768FD" w14:textId="349E8F01" w:rsidR="00912741" w:rsidRDefault="00FE3A90" w:rsidP="0088299F">
      <w:pPr>
        <w:pStyle w:val="CETBodytext"/>
      </w:pPr>
      <w:r w:rsidRPr="0027045B">
        <w:t xml:space="preserve">On purpose, the preliminary </w:t>
      </w:r>
      <w:r w:rsidR="00F015C6" w:rsidRPr="0027045B">
        <w:t xml:space="preserve">ketonization </w:t>
      </w:r>
      <w:r w:rsidR="005B00B9" w:rsidRPr="0027045B">
        <w:t xml:space="preserve">runs </w:t>
      </w:r>
      <w:r w:rsidR="00F015C6" w:rsidRPr="0027045B">
        <w:t xml:space="preserve">were stopped when </w:t>
      </w:r>
      <w:r w:rsidR="009A6EA0" w:rsidRPr="0027045B">
        <w:t>acetic acid conversion reached 50% (in the 26</w:t>
      </w:r>
      <w:r w:rsidR="00214BFE" w:rsidRPr="0027045B">
        <w:t>2-288°C</w:t>
      </w:r>
      <w:r w:rsidR="00A27A85" w:rsidRPr="0027045B">
        <w:t xml:space="preserve"> range</w:t>
      </w:r>
      <w:r w:rsidR="00214BFE" w:rsidRPr="0027045B">
        <w:t>)</w:t>
      </w:r>
      <w:r w:rsidR="004D7644" w:rsidRPr="0027045B">
        <w:t xml:space="preserve">, aiming to preserve </w:t>
      </w:r>
      <w:r w:rsidR="005B00B9" w:rsidRPr="0027045B">
        <w:t xml:space="preserve">the </w:t>
      </w:r>
      <w:r w:rsidR="004D7644" w:rsidRPr="0027045B">
        <w:t xml:space="preserve">catalyst stability and to </w:t>
      </w:r>
      <w:r w:rsidR="005B00B9" w:rsidRPr="0027045B">
        <w:t xml:space="preserve">maximize the </w:t>
      </w:r>
      <w:r w:rsidR="007935DD" w:rsidRPr="0027045B">
        <w:t xml:space="preserve">selectivity </w:t>
      </w:r>
      <w:r w:rsidR="005B00B9" w:rsidRPr="0027045B">
        <w:t>of</w:t>
      </w:r>
      <w:r w:rsidR="007935DD" w:rsidRPr="0027045B">
        <w:t xml:space="preserve"> </w:t>
      </w:r>
      <w:r w:rsidR="005B00B9" w:rsidRPr="0027045B">
        <w:t xml:space="preserve">the </w:t>
      </w:r>
      <w:r w:rsidR="007935DD" w:rsidRPr="0027045B">
        <w:t xml:space="preserve">ketonization route. Indeed, </w:t>
      </w:r>
      <w:r w:rsidR="003762A7" w:rsidRPr="0027045B">
        <w:t>the</w:t>
      </w:r>
      <w:r w:rsidR="007C67FC" w:rsidRPr="0027045B">
        <w:t xml:space="preserve"> multiple</w:t>
      </w:r>
      <w:r w:rsidR="003762A7" w:rsidRPr="0027045B">
        <w:t xml:space="preserve"> repetition</w:t>
      </w:r>
      <w:r w:rsidR="007C67FC" w:rsidRPr="0027045B">
        <w:t>s</w:t>
      </w:r>
      <w:r w:rsidR="003762A7" w:rsidRPr="0027045B">
        <w:t xml:space="preserve"> of standard ketonization test</w:t>
      </w:r>
      <w:r w:rsidR="005B00B9" w:rsidRPr="0027045B">
        <w:t>s</w:t>
      </w:r>
      <w:r w:rsidR="003762A7" w:rsidRPr="0027045B">
        <w:t xml:space="preserve"> on the same TiO</w:t>
      </w:r>
      <w:r w:rsidR="003762A7" w:rsidRPr="0027045B">
        <w:rPr>
          <w:vertAlign w:val="subscript"/>
        </w:rPr>
        <w:t>2</w:t>
      </w:r>
      <w:r w:rsidR="003762A7" w:rsidRPr="0027045B">
        <w:t xml:space="preserve"> </w:t>
      </w:r>
      <w:r w:rsidR="00F65094" w:rsidRPr="0027045B">
        <w:t>showed reproducible results, thus pro</w:t>
      </w:r>
      <w:r w:rsidR="0028316D" w:rsidRPr="0027045B">
        <w:t>ving that the catalyst was not subjected to deactivation</w:t>
      </w:r>
      <w:r w:rsidR="00FB551E" w:rsidRPr="0027045B">
        <w:t xml:space="preserve"> when tested under these operating conditions</w:t>
      </w:r>
      <w:r w:rsidR="0028316D" w:rsidRPr="0027045B">
        <w:t>.</w:t>
      </w:r>
      <w:r w:rsidR="00FB551E" w:rsidRPr="0027045B">
        <w:t xml:space="preserve"> </w:t>
      </w:r>
      <w:r w:rsidR="007B6EC8" w:rsidRPr="0027045B">
        <w:t xml:space="preserve">Moreover, the closure of atomic balances </w:t>
      </w:r>
      <w:r w:rsidR="008F0669" w:rsidRPr="0027045B">
        <w:t xml:space="preserve">proved </w:t>
      </w:r>
      <w:r w:rsidR="00F84EAB" w:rsidRPr="0027045B">
        <w:t xml:space="preserve">that acetic acid ketonization was the only active route in this </w:t>
      </w:r>
      <w:r w:rsidR="008F0669" w:rsidRPr="0027045B">
        <w:t>temperature range</w:t>
      </w:r>
      <w:r w:rsidR="00BE33FC" w:rsidRPr="0027045B">
        <w:t xml:space="preserve"> and that </w:t>
      </w:r>
      <w:r w:rsidR="00763447" w:rsidRPr="0027045B">
        <w:t>the possible formation of surface carbon-deposits was negligible</w:t>
      </w:r>
      <w:r w:rsidR="008F0669" w:rsidRPr="0027045B">
        <w:t>.</w:t>
      </w:r>
    </w:p>
    <w:p w14:paraId="69CCE271" w14:textId="48E7C533" w:rsidR="004046F5" w:rsidRDefault="001D2688" w:rsidP="00B31FCF">
      <w:pPr>
        <w:pStyle w:val="CETBodytextItalic"/>
        <w:rPr>
          <w:rStyle w:val="CETCaptionCarattere"/>
          <w:i/>
          <w:lang w:val="en-US"/>
        </w:rPr>
      </w:pPr>
      <w:r>
        <w:object w:dxaOrig="6335" w:dyaOrig="4433" w14:anchorId="7C8063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16.9pt;height:221.55pt" o:ole="">
            <v:imagedata r:id="rId10" o:title=""/>
          </v:shape>
          <o:OLEObject Type="Embed" ProgID="Origin95.Graph" ShapeID="_x0000_i1033" DrawAspect="Content" ObjectID="_1709562447" r:id="rId11"/>
        </w:object>
      </w:r>
    </w:p>
    <w:p w14:paraId="2E522C9D" w14:textId="0F5F71DB" w:rsidR="001869E9" w:rsidRPr="0027045B" w:rsidRDefault="00F92428" w:rsidP="00B31FCF">
      <w:pPr>
        <w:pStyle w:val="CETBodytextItalic"/>
        <w:rPr>
          <w:lang w:val="en-US"/>
        </w:rPr>
      </w:pPr>
      <w:r w:rsidRPr="0027045B">
        <w:rPr>
          <w:rStyle w:val="CETCaptionCarattere"/>
          <w:i/>
          <w:lang w:val="en-US"/>
        </w:rPr>
        <w:t xml:space="preserve">Figure </w:t>
      </w:r>
      <w:r w:rsidR="00122936" w:rsidRPr="0027045B">
        <w:rPr>
          <w:rStyle w:val="CETCaptionCarattere"/>
          <w:lang w:val="en-US"/>
        </w:rPr>
        <w:t>1</w:t>
      </w:r>
      <w:r w:rsidRPr="0027045B">
        <w:rPr>
          <w:rStyle w:val="CETCaptionCarattere"/>
          <w:i/>
          <w:lang w:val="en-US"/>
        </w:rPr>
        <w:t xml:space="preserve">: </w:t>
      </w:r>
      <w:r w:rsidRPr="0027045B">
        <w:rPr>
          <w:lang w:val="en-US"/>
        </w:rPr>
        <w:t>Experimental results of acetic acid ketonization on TiO</w:t>
      </w:r>
      <w:r w:rsidRPr="0027045B">
        <w:rPr>
          <w:vertAlign w:val="subscript"/>
          <w:lang w:val="en-US"/>
        </w:rPr>
        <w:t>2</w:t>
      </w:r>
      <w:r w:rsidR="00AD2F38" w:rsidRPr="0027045B">
        <w:rPr>
          <w:lang w:val="en-US"/>
        </w:rPr>
        <w:t>: effect of inlet acid concentration</w:t>
      </w:r>
      <w:r w:rsidRPr="0027045B">
        <w:rPr>
          <w:lang w:val="en-US"/>
        </w:rPr>
        <w:t>. GHSV = 20,000 NL/h/kg</w:t>
      </w:r>
      <w:r w:rsidRPr="0027045B">
        <w:rPr>
          <w:vertAlign w:val="subscript"/>
          <w:lang w:val="en-US"/>
        </w:rPr>
        <w:t>cat</w:t>
      </w:r>
      <w:r w:rsidR="00992821">
        <w:rPr>
          <w:vertAlign w:val="subscript"/>
          <w:lang w:val="en-US"/>
        </w:rPr>
        <w:t xml:space="preserve"> </w:t>
      </w:r>
      <w:r w:rsidR="00992821">
        <w:rPr>
          <w:lang w:val="en-US"/>
        </w:rPr>
        <w:t>(</w:t>
      </w:r>
      <w:r w:rsidR="001D0BEA">
        <w:rPr>
          <w:lang w:val="en-US"/>
        </w:rPr>
        <w:t xml:space="preserve">total flowrate = </w:t>
      </w:r>
      <w:r w:rsidR="00992821">
        <w:rPr>
          <w:lang w:val="en-US"/>
        </w:rPr>
        <w:t xml:space="preserve">4470 </w:t>
      </w:r>
      <w:proofErr w:type="spellStart"/>
      <w:r w:rsidR="00992821">
        <w:rPr>
          <w:rFonts w:cs="Arial"/>
          <w:lang w:val="en-US"/>
        </w:rPr>
        <w:t>μ</w:t>
      </w:r>
      <w:r w:rsidR="00992821">
        <w:rPr>
          <w:lang w:val="en-US"/>
        </w:rPr>
        <w:t>mol</w:t>
      </w:r>
      <w:proofErr w:type="spellEnd"/>
      <w:r w:rsidR="00992821">
        <w:rPr>
          <w:lang w:val="en-US"/>
        </w:rPr>
        <w:t>/min)</w:t>
      </w:r>
      <w:r w:rsidRPr="0027045B">
        <w:rPr>
          <w:lang w:val="en-US"/>
        </w:rPr>
        <w:t xml:space="preserve">. </w:t>
      </w:r>
      <w:r w:rsidR="00A43D67" w:rsidRPr="0027045B">
        <w:rPr>
          <w:lang w:val="en-US"/>
        </w:rPr>
        <w:t>Feed composition: CH</w:t>
      </w:r>
      <w:r w:rsidR="00A43D67" w:rsidRPr="0027045B">
        <w:rPr>
          <w:vertAlign w:val="subscript"/>
          <w:lang w:val="en-US"/>
        </w:rPr>
        <w:t>3</w:t>
      </w:r>
      <w:r w:rsidR="00A43D67" w:rsidRPr="0027045B">
        <w:rPr>
          <w:lang w:val="en-US"/>
        </w:rPr>
        <w:t>COOH=</w:t>
      </w:r>
      <w:r w:rsidR="009A0C60" w:rsidRPr="0027045B">
        <w:rPr>
          <w:lang w:val="en-US"/>
        </w:rPr>
        <w:t>1.5</w:t>
      </w:r>
      <w:r w:rsidR="00A43D67" w:rsidRPr="0027045B">
        <w:rPr>
          <w:lang w:val="en-US"/>
        </w:rPr>
        <w:t>%, N</w:t>
      </w:r>
      <w:r w:rsidR="00A43D67" w:rsidRPr="0027045B">
        <w:rPr>
          <w:vertAlign w:val="subscript"/>
          <w:lang w:val="en-US"/>
        </w:rPr>
        <w:t>2</w:t>
      </w:r>
      <w:r w:rsidR="00A43D67" w:rsidRPr="0027045B">
        <w:rPr>
          <w:lang w:val="en-US"/>
        </w:rPr>
        <w:t xml:space="preserve">=10% in He, </w:t>
      </w:r>
      <w:r w:rsidR="009A0C60" w:rsidRPr="0027045B">
        <w:rPr>
          <w:lang w:val="en-US"/>
        </w:rPr>
        <w:t>green</w:t>
      </w:r>
      <w:r w:rsidR="00A43D67" w:rsidRPr="0027045B">
        <w:rPr>
          <w:lang w:val="en-US"/>
        </w:rPr>
        <w:t xml:space="preserve"> symbols; CH</w:t>
      </w:r>
      <w:r w:rsidR="00A43D67" w:rsidRPr="0027045B">
        <w:rPr>
          <w:vertAlign w:val="subscript"/>
          <w:lang w:val="en-US"/>
        </w:rPr>
        <w:t>3</w:t>
      </w:r>
      <w:r w:rsidR="00A43D67" w:rsidRPr="0027045B">
        <w:rPr>
          <w:lang w:val="en-US"/>
        </w:rPr>
        <w:t>COOH=</w:t>
      </w:r>
      <w:r w:rsidR="00C47616" w:rsidRPr="0027045B">
        <w:rPr>
          <w:lang w:val="en-US"/>
        </w:rPr>
        <w:t>2.4</w:t>
      </w:r>
      <w:r w:rsidR="00A43D67" w:rsidRPr="0027045B">
        <w:rPr>
          <w:lang w:val="en-US"/>
        </w:rPr>
        <w:t>%, N</w:t>
      </w:r>
      <w:r w:rsidR="00A43D67" w:rsidRPr="0027045B">
        <w:rPr>
          <w:vertAlign w:val="subscript"/>
          <w:lang w:val="en-US"/>
        </w:rPr>
        <w:t>2</w:t>
      </w:r>
      <w:r w:rsidR="00A43D67" w:rsidRPr="0027045B">
        <w:rPr>
          <w:lang w:val="en-US"/>
        </w:rPr>
        <w:t>=10%</w:t>
      </w:r>
      <w:r w:rsidR="00C47616" w:rsidRPr="0027045B">
        <w:rPr>
          <w:lang w:val="en-US"/>
        </w:rPr>
        <w:t xml:space="preserve"> </w:t>
      </w:r>
      <w:r w:rsidR="00A43D67" w:rsidRPr="0027045B">
        <w:rPr>
          <w:lang w:val="en-US"/>
        </w:rPr>
        <w:t xml:space="preserve">in He, </w:t>
      </w:r>
      <w:r w:rsidR="009A0C60" w:rsidRPr="0027045B">
        <w:rPr>
          <w:lang w:val="en-US"/>
        </w:rPr>
        <w:t>red</w:t>
      </w:r>
      <w:r w:rsidR="00A43D67" w:rsidRPr="0027045B">
        <w:rPr>
          <w:lang w:val="en-US"/>
        </w:rPr>
        <w:t xml:space="preserve"> symbols</w:t>
      </w:r>
      <w:r w:rsidR="00C47616" w:rsidRPr="0027045B">
        <w:rPr>
          <w:lang w:val="en-US"/>
        </w:rPr>
        <w:t>; CH</w:t>
      </w:r>
      <w:r w:rsidR="00C47616" w:rsidRPr="0027045B">
        <w:rPr>
          <w:vertAlign w:val="subscript"/>
          <w:lang w:val="en-US"/>
        </w:rPr>
        <w:t>3</w:t>
      </w:r>
      <w:r w:rsidR="00C47616" w:rsidRPr="0027045B">
        <w:rPr>
          <w:lang w:val="en-US"/>
        </w:rPr>
        <w:t>COOH=</w:t>
      </w:r>
      <w:r w:rsidR="00356CB3" w:rsidRPr="0027045B">
        <w:rPr>
          <w:lang w:val="en-US"/>
        </w:rPr>
        <w:t>3.6</w:t>
      </w:r>
      <w:r w:rsidR="00C47616" w:rsidRPr="0027045B">
        <w:rPr>
          <w:lang w:val="en-US"/>
        </w:rPr>
        <w:t>%, N</w:t>
      </w:r>
      <w:r w:rsidR="00C47616" w:rsidRPr="0027045B">
        <w:rPr>
          <w:vertAlign w:val="subscript"/>
          <w:lang w:val="en-US"/>
        </w:rPr>
        <w:t>2</w:t>
      </w:r>
      <w:r w:rsidR="00C47616" w:rsidRPr="0027045B">
        <w:rPr>
          <w:lang w:val="en-US"/>
        </w:rPr>
        <w:t>=10% in He, blue symbols.</w:t>
      </w:r>
    </w:p>
    <w:p w14:paraId="0ABEB720" w14:textId="097B1840" w:rsidR="009A33E3" w:rsidRPr="0027045B" w:rsidRDefault="009A33E3" w:rsidP="009A33E3">
      <w:pPr>
        <w:pStyle w:val="CETBodytextItalic"/>
        <w:rPr>
          <w:lang w:val="en-US"/>
        </w:rPr>
      </w:pPr>
    </w:p>
    <w:p w14:paraId="2F768E6B" w14:textId="7F9019A7" w:rsidR="00594B15" w:rsidRPr="0027045B" w:rsidRDefault="009A33E3" w:rsidP="009A33E3">
      <w:pPr>
        <w:pStyle w:val="CETBodytextItalic"/>
        <w:rPr>
          <w:i w:val="0"/>
          <w:iCs/>
          <w:lang w:val="en-US"/>
        </w:rPr>
      </w:pPr>
      <w:r w:rsidRPr="0027045B">
        <w:rPr>
          <w:i w:val="0"/>
          <w:iCs/>
          <w:lang w:val="en-US"/>
        </w:rPr>
        <w:t>High temperature performances of TiO</w:t>
      </w:r>
      <w:r w:rsidRPr="0027045B">
        <w:rPr>
          <w:i w:val="0"/>
          <w:iCs/>
          <w:vertAlign w:val="subscript"/>
          <w:lang w:val="en-US"/>
        </w:rPr>
        <w:t>2</w:t>
      </w:r>
      <w:r w:rsidRPr="0027045B">
        <w:rPr>
          <w:i w:val="0"/>
          <w:iCs/>
          <w:lang w:val="en-US"/>
        </w:rPr>
        <w:t xml:space="preserve"> were then investigated, by extending the analysis to 400°C and complete acetic acid conversion. For this purpose, 20% H</w:t>
      </w:r>
      <w:r w:rsidRPr="0027045B">
        <w:rPr>
          <w:i w:val="0"/>
          <w:iCs/>
          <w:vertAlign w:val="subscript"/>
          <w:lang w:val="en-US"/>
        </w:rPr>
        <w:t>2</w:t>
      </w:r>
      <w:r w:rsidRPr="0027045B">
        <w:rPr>
          <w:i w:val="0"/>
          <w:iCs/>
          <w:lang w:val="en-US"/>
        </w:rPr>
        <w:t xml:space="preserve"> was added in the feed, </w:t>
      </w:r>
      <w:proofErr w:type="gramStart"/>
      <w:r w:rsidRPr="0027045B">
        <w:rPr>
          <w:i w:val="0"/>
          <w:iCs/>
          <w:lang w:val="en-US"/>
        </w:rPr>
        <w:t>in order to</w:t>
      </w:r>
      <w:proofErr w:type="gramEnd"/>
      <w:r w:rsidRPr="0027045B">
        <w:rPr>
          <w:i w:val="0"/>
          <w:iCs/>
          <w:lang w:val="en-US"/>
        </w:rPr>
        <w:t xml:space="preserve"> hinder possible coking phenomena. Figure </w:t>
      </w:r>
      <w:r w:rsidR="000567F1" w:rsidRPr="0027045B">
        <w:rPr>
          <w:i w:val="0"/>
          <w:iCs/>
          <w:lang w:val="en-US"/>
        </w:rPr>
        <w:t>2</w:t>
      </w:r>
      <w:r w:rsidRPr="0027045B">
        <w:rPr>
          <w:i w:val="0"/>
          <w:iCs/>
          <w:lang w:val="en-US"/>
        </w:rPr>
        <w:t xml:space="preserve"> compares the results of two experiments run with and without H</w:t>
      </w:r>
      <w:r w:rsidRPr="0027045B">
        <w:rPr>
          <w:i w:val="0"/>
          <w:iCs/>
          <w:vertAlign w:val="subscript"/>
          <w:lang w:val="en-US"/>
        </w:rPr>
        <w:t>2</w:t>
      </w:r>
      <w:r w:rsidRPr="0027045B">
        <w:rPr>
          <w:i w:val="0"/>
          <w:iCs/>
          <w:lang w:val="en-US"/>
        </w:rPr>
        <w:t xml:space="preserve"> co-feed </w:t>
      </w:r>
      <w:r w:rsidR="00EC3DAC" w:rsidRPr="0027045B">
        <w:rPr>
          <w:i w:val="0"/>
          <w:iCs/>
          <w:lang w:val="en-US"/>
        </w:rPr>
        <w:t xml:space="preserve">(blue and red symbols, respectively) </w:t>
      </w:r>
      <w:r w:rsidRPr="0027045B">
        <w:rPr>
          <w:i w:val="0"/>
          <w:iCs/>
          <w:lang w:val="en-US"/>
        </w:rPr>
        <w:t>at standard acid concentration and GHSV. It was observed that, in the low temperature region</w:t>
      </w:r>
      <w:r w:rsidR="00377BDD" w:rsidRPr="0027045B">
        <w:rPr>
          <w:i w:val="0"/>
          <w:iCs/>
          <w:lang w:val="en-US"/>
        </w:rPr>
        <w:t xml:space="preserve"> (below 275°C)</w:t>
      </w:r>
      <w:r w:rsidRPr="0027045B">
        <w:rPr>
          <w:i w:val="0"/>
          <w:iCs/>
          <w:lang w:val="en-US"/>
        </w:rPr>
        <w:t xml:space="preserve">, acetone production and thus the ketonization reaction rate was not affected </w:t>
      </w:r>
      <w:r w:rsidRPr="0027045B">
        <w:rPr>
          <w:i w:val="0"/>
          <w:iCs/>
          <w:lang w:val="en-US"/>
        </w:rPr>
        <w:lastRenderedPageBreak/>
        <w:t>by the presence of H</w:t>
      </w:r>
      <w:r w:rsidRPr="0027045B">
        <w:rPr>
          <w:i w:val="0"/>
          <w:iCs/>
          <w:vertAlign w:val="subscript"/>
          <w:lang w:val="en-US"/>
        </w:rPr>
        <w:t>2</w:t>
      </w:r>
      <w:r w:rsidRPr="0027045B">
        <w:rPr>
          <w:i w:val="0"/>
          <w:iCs/>
          <w:lang w:val="en-US"/>
        </w:rPr>
        <w:t xml:space="preserve"> in the reacting mixture. </w:t>
      </w:r>
      <w:r w:rsidR="00811233" w:rsidRPr="0027045B">
        <w:rPr>
          <w:i w:val="0"/>
          <w:iCs/>
          <w:lang w:val="en-US"/>
        </w:rPr>
        <w:t xml:space="preserve">The reactivity at higher temperatures was </w:t>
      </w:r>
      <w:r w:rsidR="00CF0CB7" w:rsidRPr="0027045B">
        <w:rPr>
          <w:i w:val="0"/>
          <w:iCs/>
          <w:lang w:val="en-US"/>
        </w:rPr>
        <w:t xml:space="preserve">then </w:t>
      </w:r>
      <w:r w:rsidR="00811233" w:rsidRPr="0027045B">
        <w:rPr>
          <w:i w:val="0"/>
          <w:iCs/>
          <w:lang w:val="en-US"/>
        </w:rPr>
        <w:t>investigated in the presence of H</w:t>
      </w:r>
      <w:r w:rsidR="00811233" w:rsidRPr="0027045B">
        <w:rPr>
          <w:i w:val="0"/>
          <w:iCs/>
          <w:vertAlign w:val="subscript"/>
          <w:lang w:val="en-US"/>
        </w:rPr>
        <w:t>2</w:t>
      </w:r>
      <w:r w:rsidR="00811233" w:rsidRPr="0027045B">
        <w:rPr>
          <w:i w:val="0"/>
          <w:iCs/>
          <w:lang w:val="en-US"/>
        </w:rPr>
        <w:t xml:space="preserve"> (blue symbols). A</w:t>
      </w:r>
      <w:r w:rsidRPr="0027045B">
        <w:rPr>
          <w:i w:val="0"/>
          <w:iCs/>
          <w:lang w:val="en-US"/>
        </w:rPr>
        <w:t>cetic acid conversion grew with temperature and achieved 100% at 325°C: consistently, also CO</w:t>
      </w:r>
      <w:r w:rsidRPr="0027045B">
        <w:rPr>
          <w:i w:val="0"/>
          <w:iCs/>
          <w:vertAlign w:val="subscript"/>
          <w:lang w:val="en-US"/>
        </w:rPr>
        <w:t>2</w:t>
      </w:r>
      <w:r w:rsidRPr="0027045B">
        <w:rPr>
          <w:i w:val="0"/>
          <w:iCs/>
          <w:lang w:val="en-US"/>
        </w:rPr>
        <w:t xml:space="preserve"> production progressively increased until reaching a plateau value, while </w:t>
      </w:r>
      <w:r w:rsidR="00645E5E" w:rsidRPr="0027045B">
        <w:rPr>
          <w:i w:val="0"/>
          <w:iCs/>
          <w:lang w:val="en-US"/>
        </w:rPr>
        <w:t>at variance</w:t>
      </w:r>
      <w:r w:rsidRPr="0027045B">
        <w:rPr>
          <w:i w:val="0"/>
          <w:iCs/>
          <w:lang w:val="en-US"/>
        </w:rPr>
        <w:t xml:space="preserve"> acetone passed through a maximum value at 325°C and then decreased at higher temperatures. </w:t>
      </w:r>
      <w:r w:rsidR="005155CA" w:rsidRPr="0027045B">
        <w:rPr>
          <w:i w:val="0"/>
          <w:iCs/>
          <w:lang w:val="en-US"/>
        </w:rPr>
        <w:t>Notably</w:t>
      </w:r>
      <w:r w:rsidRPr="0027045B">
        <w:rPr>
          <w:i w:val="0"/>
          <w:iCs/>
          <w:lang w:val="en-US"/>
        </w:rPr>
        <w:t>, the carbon-balance to ketonization products (</w:t>
      </w:r>
      <w:r w:rsidR="00306849" w:rsidRPr="0027045B">
        <w:rPr>
          <w:i w:val="0"/>
          <w:iCs/>
          <w:lang w:val="en-US"/>
        </w:rPr>
        <w:t>i.e.,</w:t>
      </w:r>
      <w:r w:rsidR="00777D88" w:rsidRPr="0027045B">
        <w:rPr>
          <w:i w:val="0"/>
          <w:iCs/>
          <w:lang w:val="en-US"/>
        </w:rPr>
        <w:t xml:space="preserve"> considering acetone and CO</w:t>
      </w:r>
      <w:r w:rsidR="00777D88" w:rsidRPr="0027045B">
        <w:rPr>
          <w:i w:val="0"/>
          <w:iCs/>
          <w:vertAlign w:val="subscript"/>
          <w:lang w:val="en-US"/>
        </w:rPr>
        <w:t>2</w:t>
      </w:r>
      <w:r w:rsidR="00777D88" w:rsidRPr="0027045B">
        <w:rPr>
          <w:i w:val="0"/>
          <w:iCs/>
          <w:lang w:val="en-US"/>
        </w:rPr>
        <w:t xml:space="preserve"> only</w:t>
      </w:r>
      <w:r w:rsidRPr="0027045B">
        <w:rPr>
          <w:i w:val="0"/>
          <w:iCs/>
          <w:lang w:val="en-US"/>
        </w:rPr>
        <w:t>) declined above 275°C</w:t>
      </w:r>
      <w:r w:rsidR="00777D88" w:rsidRPr="0027045B">
        <w:rPr>
          <w:i w:val="0"/>
          <w:iCs/>
          <w:lang w:val="en-US"/>
        </w:rPr>
        <w:t>, and this indicates</w:t>
      </w:r>
      <w:r w:rsidRPr="0027045B">
        <w:rPr>
          <w:i w:val="0"/>
          <w:iCs/>
          <w:lang w:val="en-US"/>
        </w:rPr>
        <w:t xml:space="preserve"> that ketonization alone could not explain high temperature conversion of acetic acid.  For this reason, </w:t>
      </w:r>
      <w:r w:rsidR="00B50402" w:rsidRPr="0027045B">
        <w:rPr>
          <w:i w:val="0"/>
          <w:iCs/>
          <w:lang w:val="en-US"/>
        </w:rPr>
        <w:t xml:space="preserve">the </w:t>
      </w:r>
      <w:r w:rsidRPr="0027045B">
        <w:rPr>
          <w:i w:val="0"/>
          <w:iCs/>
          <w:lang w:val="en-US"/>
        </w:rPr>
        <w:t xml:space="preserve">high temperature </w:t>
      </w:r>
      <w:r w:rsidR="008974C7" w:rsidRPr="0027045B">
        <w:rPr>
          <w:i w:val="0"/>
          <w:iCs/>
          <w:lang w:val="en-US"/>
        </w:rPr>
        <w:t>reactivity</w:t>
      </w:r>
      <w:r w:rsidRPr="0027045B">
        <w:rPr>
          <w:i w:val="0"/>
          <w:iCs/>
          <w:lang w:val="en-US"/>
        </w:rPr>
        <w:t xml:space="preserve"> of TiO</w:t>
      </w:r>
      <w:r w:rsidRPr="0027045B">
        <w:rPr>
          <w:i w:val="0"/>
          <w:iCs/>
          <w:vertAlign w:val="subscript"/>
          <w:lang w:val="en-US"/>
        </w:rPr>
        <w:t>2</w:t>
      </w:r>
      <w:r w:rsidRPr="0027045B">
        <w:rPr>
          <w:i w:val="0"/>
          <w:iCs/>
          <w:lang w:val="en-US"/>
        </w:rPr>
        <w:t xml:space="preserve"> catalyst </w:t>
      </w:r>
      <w:r w:rsidR="008974C7" w:rsidRPr="0027045B">
        <w:rPr>
          <w:i w:val="0"/>
          <w:iCs/>
          <w:lang w:val="en-US"/>
        </w:rPr>
        <w:t>was</w:t>
      </w:r>
      <w:r w:rsidRPr="0027045B">
        <w:rPr>
          <w:i w:val="0"/>
          <w:iCs/>
          <w:lang w:val="en-US"/>
        </w:rPr>
        <w:t xml:space="preserve"> further investigated</w:t>
      </w:r>
      <w:r w:rsidR="008974C7" w:rsidRPr="0027045B">
        <w:rPr>
          <w:i w:val="0"/>
          <w:iCs/>
          <w:lang w:val="en-US"/>
        </w:rPr>
        <w:t>, and</w:t>
      </w:r>
      <w:r w:rsidRPr="0027045B">
        <w:rPr>
          <w:i w:val="0"/>
          <w:iCs/>
          <w:lang w:val="en-US"/>
        </w:rPr>
        <w:t xml:space="preserve"> analytical improvements were developed to fully identify and quantify the </w:t>
      </w:r>
      <w:r w:rsidR="00611D67" w:rsidRPr="0027045B">
        <w:rPr>
          <w:i w:val="0"/>
          <w:iCs/>
          <w:lang w:val="en-US"/>
        </w:rPr>
        <w:t xml:space="preserve">formed </w:t>
      </w:r>
      <w:r w:rsidRPr="0027045B">
        <w:rPr>
          <w:i w:val="0"/>
          <w:iCs/>
          <w:lang w:val="en-US"/>
        </w:rPr>
        <w:t>product</w:t>
      </w:r>
      <w:r w:rsidR="00611D67" w:rsidRPr="0027045B">
        <w:rPr>
          <w:i w:val="0"/>
          <w:iCs/>
          <w:lang w:val="en-US"/>
        </w:rPr>
        <w:t>s</w:t>
      </w:r>
      <w:r w:rsidRPr="0027045B">
        <w:rPr>
          <w:i w:val="0"/>
          <w:iCs/>
          <w:lang w:val="en-US"/>
        </w:rPr>
        <w:t>.</w:t>
      </w:r>
    </w:p>
    <w:p w14:paraId="07ED42B4" w14:textId="196E87CC" w:rsidR="007747CA" w:rsidRDefault="00171E5C" w:rsidP="00101CAF">
      <w:pPr>
        <w:pStyle w:val="CETBodytextItalic"/>
        <w:rPr>
          <w:rStyle w:val="CETCaptionCarattere"/>
          <w:i/>
          <w:lang w:val="en-US"/>
        </w:rPr>
      </w:pPr>
      <w:r>
        <w:object w:dxaOrig="16657" w:dyaOrig="5561" w14:anchorId="54FB3016">
          <v:shape id="_x0000_i1029" type="#_x0000_t75" style="width:440pt;height:147.1pt" o:ole="">
            <v:imagedata r:id="rId12" o:title="" cropleft="584f"/>
          </v:shape>
          <o:OLEObject Type="Embed" ProgID="Origin95.Graph" ShapeID="_x0000_i1029" DrawAspect="Content" ObjectID="_1709562448" r:id="rId13"/>
        </w:object>
      </w:r>
    </w:p>
    <w:p w14:paraId="4C4C9D3D" w14:textId="7733831A" w:rsidR="00C95C1A" w:rsidRPr="0027045B" w:rsidRDefault="00915179" w:rsidP="00101CAF">
      <w:pPr>
        <w:pStyle w:val="CETBodytextItalic"/>
        <w:rPr>
          <w:i w:val="0"/>
          <w:iCs/>
          <w:lang w:val="en-US"/>
        </w:rPr>
      </w:pPr>
      <w:r w:rsidRPr="0027045B">
        <w:rPr>
          <w:rStyle w:val="CETCaptionCarattere"/>
          <w:i/>
          <w:lang w:val="en-US"/>
        </w:rPr>
        <w:t xml:space="preserve">Figure </w:t>
      </w:r>
      <w:r w:rsidR="00122936" w:rsidRPr="0027045B">
        <w:rPr>
          <w:rStyle w:val="CETCaptionCarattere"/>
          <w:lang w:val="en-US"/>
        </w:rPr>
        <w:t>2</w:t>
      </w:r>
      <w:r w:rsidRPr="0027045B">
        <w:rPr>
          <w:rStyle w:val="CETCaptionCarattere"/>
          <w:i/>
          <w:lang w:val="en-US"/>
        </w:rPr>
        <w:t xml:space="preserve">: </w:t>
      </w:r>
      <w:r w:rsidRPr="0027045B">
        <w:rPr>
          <w:lang w:val="en-US"/>
        </w:rPr>
        <w:t>Experimental results of acetic acid ketonization on TiO</w:t>
      </w:r>
      <w:r w:rsidRPr="0027045B">
        <w:rPr>
          <w:vertAlign w:val="subscript"/>
          <w:lang w:val="en-US"/>
        </w:rPr>
        <w:t>2</w:t>
      </w:r>
      <w:r w:rsidRPr="0027045B">
        <w:rPr>
          <w:lang w:val="en-US"/>
        </w:rPr>
        <w:t>: effect of H</w:t>
      </w:r>
      <w:r w:rsidRPr="0027045B">
        <w:rPr>
          <w:vertAlign w:val="subscript"/>
          <w:lang w:val="en-US"/>
        </w:rPr>
        <w:t>2</w:t>
      </w:r>
      <w:r w:rsidRPr="0027045B">
        <w:rPr>
          <w:lang w:val="en-US"/>
        </w:rPr>
        <w:t xml:space="preserve"> co-feed. GHSV = 20,000 NL/h/kg</w:t>
      </w:r>
      <w:r w:rsidRPr="0027045B">
        <w:rPr>
          <w:vertAlign w:val="subscript"/>
          <w:lang w:val="en-US"/>
        </w:rPr>
        <w:t>cat</w:t>
      </w:r>
      <w:r w:rsidR="001D0BEA">
        <w:rPr>
          <w:vertAlign w:val="subscript"/>
          <w:lang w:val="en-US"/>
        </w:rPr>
        <w:t xml:space="preserve"> </w:t>
      </w:r>
      <w:r w:rsidR="001D0BEA">
        <w:rPr>
          <w:lang w:val="en-US"/>
        </w:rPr>
        <w:t xml:space="preserve">(total flowrate = 4470 </w:t>
      </w:r>
      <w:proofErr w:type="spellStart"/>
      <w:r w:rsidR="001D0BEA">
        <w:rPr>
          <w:rFonts w:cs="Arial"/>
          <w:lang w:val="en-US"/>
        </w:rPr>
        <w:t>μ</w:t>
      </w:r>
      <w:r w:rsidR="001D0BEA">
        <w:rPr>
          <w:lang w:val="en-US"/>
        </w:rPr>
        <w:t>mol</w:t>
      </w:r>
      <w:proofErr w:type="spellEnd"/>
      <w:r w:rsidR="001D0BEA">
        <w:rPr>
          <w:lang w:val="en-US"/>
        </w:rPr>
        <w:t>/min)</w:t>
      </w:r>
      <w:r w:rsidRPr="0027045B">
        <w:rPr>
          <w:lang w:val="en-US"/>
        </w:rPr>
        <w:t xml:space="preserve">. Feed composition: </w:t>
      </w:r>
      <w:r w:rsidR="00C93E9C" w:rsidRPr="0027045B">
        <w:rPr>
          <w:lang w:val="en-US"/>
        </w:rPr>
        <w:t>CH</w:t>
      </w:r>
      <w:r w:rsidR="00C93E9C" w:rsidRPr="0027045B">
        <w:rPr>
          <w:vertAlign w:val="subscript"/>
          <w:lang w:val="en-US"/>
        </w:rPr>
        <w:t>3</w:t>
      </w:r>
      <w:r w:rsidR="00C93E9C" w:rsidRPr="0027045B">
        <w:rPr>
          <w:lang w:val="en-US"/>
        </w:rPr>
        <w:t>COOH=3%, N</w:t>
      </w:r>
      <w:r w:rsidR="00C93E9C" w:rsidRPr="0027045B">
        <w:rPr>
          <w:vertAlign w:val="subscript"/>
          <w:lang w:val="en-US"/>
        </w:rPr>
        <w:t>2</w:t>
      </w:r>
      <w:r w:rsidR="00C93E9C" w:rsidRPr="0027045B">
        <w:rPr>
          <w:lang w:val="en-US"/>
        </w:rPr>
        <w:t xml:space="preserve">=10% in He, </w:t>
      </w:r>
      <w:r w:rsidR="00AF0B4E" w:rsidRPr="0027045B">
        <w:rPr>
          <w:lang w:val="en-US"/>
        </w:rPr>
        <w:t>r</w:t>
      </w:r>
      <w:r w:rsidR="00C93E9C" w:rsidRPr="0027045B">
        <w:rPr>
          <w:lang w:val="en-US"/>
        </w:rPr>
        <w:t>ed symbols; CH</w:t>
      </w:r>
      <w:r w:rsidR="00C93E9C" w:rsidRPr="0027045B">
        <w:rPr>
          <w:vertAlign w:val="subscript"/>
          <w:lang w:val="en-US"/>
        </w:rPr>
        <w:t>3</w:t>
      </w:r>
      <w:r w:rsidR="00C93E9C" w:rsidRPr="0027045B">
        <w:rPr>
          <w:lang w:val="en-US"/>
        </w:rPr>
        <w:t>COOH=3%, N</w:t>
      </w:r>
      <w:r w:rsidR="00C93E9C" w:rsidRPr="0027045B">
        <w:rPr>
          <w:vertAlign w:val="subscript"/>
          <w:lang w:val="en-US"/>
        </w:rPr>
        <w:t>2</w:t>
      </w:r>
      <w:r w:rsidR="00C93E9C" w:rsidRPr="0027045B">
        <w:rPr>
          <w:lang w:val="en-US"/>
        </w:rPr>
        <w:t>=10%, H</w:t>
      </w:r>
      <w:r w:rsidR="00C93E9C" w:rsidRPr="0027045B">
        <w:rPr>
          <w:vertAlign w:val="subscript"/>
          <w:lang w:val="en-US"/>
        </w:rPr>
        <w:t>2</w:t>
      </w:r>
      <w:r w:rsidR="00C93E9C" w:rsidRPr="0027045B">
        <w:rPr>
          <w:lang w:val="en-US"/>
        </w:rPr>
        <w:t>=20% in He, blue symbols.</w:t>
      </w:r>
    </w:p>
    <w:p w14:paraId="4A870989" w14:textId="7DA4D0B6" w:rsidR="00636AD4" w:rsidRPr="0027045B" w:rsidRDefault="00636AD4" w:rsidP="00930D0B">
      <w:pPr>
        <w:pStyle w:val="CETBodytext"/>
      </w:pPr>
    </w:p>
    <w:p w14:paraId="275C2E48" w14:textId="15E7F3E1" w:rsidR="00070D13" w:rsidRPr="000B1A44" w:rsidRDefault="00636AD4" w:rsidP="00930D0B">
      <w:pPr>
        <w:pStyle w:val="CETheadingx"/>
      </w:pPr>
      <w:r w:rsidRPr="000B1A44">
        <w:t xml:space="preserve">Acetic acid ketonization </w:t>
      </w:r>
      <w:r w:rsidR="00A70C09" w:rsidRPr="000B1A44">
        <w:t xml:space="preserve">at </w:t>
      </w:r>
      <w:r w:rsidRPr="000B1A44">
        <w:t>high temperature</w:t>
      </w:r>
      <w:r w:rsidR="0037260D" w:rsidRPr="000B1A44">
        <w:t>: TiO</w:t>
      </w:r>
      <w:r w:rsidR="0037260D" w:rsidRPr="000B1A44">
        <w:rPr>
          <w:vertAlign w:val="subscript"/>
        </w:rPr>
        <w:t xml:space="preserve">2 </w:t>
      </w:r>
      <w:r w:rsidR="0037260D" w:rsidRPr="000B1A44">
        <w:t>vs Ru/TiO</w:t>
      </w:r>
      <w:r w:rsidR="0037260D" w:rsidRPr="000B1A44">
        <w:rPr>
          <w:vertAlign w:val="subscript"/>
        </w:rPr>
        <w:t>2</w:t>
      </w:r>
    </w:p>
    <w:p w14:paraId="7D1CB896" w14:textId="264D4C4A" w:rsidR="003310D6" w:rsidRPr="003310D6" w:rsidRDefault="003310D6" w:rsidP="003310D6">
      <w:pPr>
        <w:pStyle w:val="CETBodytext"/>
      </w:pPr>
      <w:r w:rsidRPr="000B1A44">
        <w:t>The study of high temperature performances of TiO</w:t>
      </w:r>
      <w:r w:rsidRPr="000B1A44">
        <w:rPr>
          <w:vertAlign w:val="subscript"/>
        </w:rPr>
        <w:t>2</w:t>
      </w:r>
      <w:r w:rsidRPr="000B1A44">
        <w:t xml:space="preserve"> required the improvement of the experimental </w:t>
      </w:r>
      <w:proofErr w:type="gramStart"/>
      <w:r w:rsidRPr="000B1A44">
        <w:t>set-up, since</w:t>
      </w:r>
      <w:proofErr w:type="gramEnd"/>
      <w:r w:rsidRPr="000B1A44">
        <w:t xml:space="preserve"> outlet mixtures of highly complex chemical nature were obtained. A different analytical methodology was developed </w:t>
      </w:r>
      <w:proofErr w:type="gramStart"/>
      <w:r w:rsidRPr="000B1A44">
        <w:t>in order to</w:t>
      </w:r>
      <w:proofErr w:type="gramEnd"/>
      <w:r w:rsidRPr="000B1A44">
        <w:t xml:space="preserve"> successfully fulfil the qualitative and quantitative speciation of outlet mixture. </w:t>
      </w:r>
      <w:proofErr w:type="gramStart"/>
      <w:r w:rsidRPr="000B1A44">
        <w:t>In particular a</w:t>
      </w:r>
      <w:proofErr w:type="gramEnd"/>
      <w:r w:rsidRPr="000B1A44">
        <w:t xml:space="preserve"> combined analytical methodology was used, where online analysis in GC were coupled with offline analysis in GC-MS, via syringe sampling of vapor products mixture as explained in 2.2. Accordingly, GC-MS measurements allowed the qualitative analysis of the reaction products, whereas online analysis GC were used for the quantification of species concentration.</w:t>
      </w:r>
      <w:r w:rsidRPr="003310D6">
        <w:t xml:space="preserve"> </w:t>
      </w:r>
    </w:p>
    <w:p w14:paraId="32D087EC" w14:textId="02AB6FAB" w:rsidR="00746178" w:rsidRDefault="00735441" w:rsidP="00930D0B">
      <w:pPr>
        <w:pStyle w:val="CETBodytext"/>
      </w:pPr>
      <w:r>
        <w:t xml:space="preserve">High </w:t>
      </w:r>
      <w:r w:rsidR="00EB66A8" w:rsidRPr="0027045B">
        <w:t>temperature performances of TiO</w:t>
      </w:r>
      <w:r w:rsidR="00EB66A8" w:rsidRPr="0027045B">
        <w:rPr>
          <w:vertAlign w:val="subscript"/>
        </w:rPr>
        <w:t>2</w:t>
      </w:r>
      <w:r w:rsidR="00EB66A8" w:rsidRPr="0027045B">
        <w:t xml:space="preserve"> were investigated by analyzing the catalyst activity at 400°C for 4h while monitoring the evolution of product distribution. </w:t>
      </w:r>
      <w:r w:rsidR="00740D39" w:rsidRPr="0027045B">
        <w:t>Carbon</w:t>
      </w:r>
      <w:r w:rsidR="00F65345" w:rsidRPr="0027045B">
        <w:t xml:space="preserve"> selectivities to all detected products were measured at the beginning (4 min) and at the end of the test (4 h) and shown in Figure </w:t>
      </w:r>
      <w:r w:rsidR="000567F1" w:rsidRPr="0027045B">
        <w:t>3</w:t>
      </w:r>
      <w:r w:rsidR="00F65345" w:rsidRPr="0027045B">
        <w:t xml:space="preserve">a and </w:t>
      </w:r>
      <w:r w:rsidR="000567F1" w:rsidRPr="0027045B">
        <w:t>3</w:t>
      </w:r>
      <w:r w:rsidR="00F65345" w:rsidRPr="0027045B">
        <w:t>b, respectively. This</w:t>
      </w:r>
      <w:r w:rsidR="00384002" w:rsidRPr="0027045B">
        <w:t xml:space="preserve"> test was performed with 20% H</w:t>
      </w:r>
      <w:r w:rsidR="00384002" w:rsidRPr="0027045B">
        <w:rPr>
          <w:vertAlign w:val="subscript"/>
        </w:rPr>
        <w:t>2</w:t>
      </w:r>
      <w:r w:rsidR="00384002" w:rsidRPr="0027045B">
        <w:t xml:space="preserve"> co-feed aiming to </w:t>
      </w:r>
      <w:r w:rsidR="00A301BD" w:rsidRPr="0027045B">
        <w:t xml:space="preserve">hinder possible catalyst deactivation phenomena, which are </w:t>
      </w:r>
      <w:r w:rsidR="000F07EF" w:rsidRPr="0027045B">
        <w:t>well documented</w:t>
      </w:r>
      <w:r w:rsidR="00A301BD" w:rsidRPr="0027045B">
        <w:t xml:space="preserve"> in </w:t>
      </w:r>
      <w:r w:rsidR="000F07EF" w:rsidRPr="0027045B">
        <w:t>literature (</w:t>
      </w:r>
      <w:r w:rsidR="00756772" w:rsidRPr="0027045B">
        <w:t>Wang</w:t>
      </w:r>
      <w:r w:rsidR="00D24598" w:rsidRPr="0027045B">
        <w:t xml:space="preserve"> </w:t>
      </w:r>
      <w:r w:rsidR="00D1628D" w:rsidRPr="0027045B">
        <w:t>et al.</w:t>
      </w:r>
      <w:r w:rsidR="00756772" w:rsidRPr="0027045B">
        <w:t>, 201</w:t>
      </w:r>
      <w:r w:rsidR="00D1628D" w:rsidRPr="0027045B">
        <w:t>6</w:t>
      </w:r>
      <w:r w:rsidR="00756772" w:rsidRPr="0027045B">
        <w:t>).</w:t>
      </w:r>
    </w:p>
    <w:p w14:paraId="10CE3453" w14:textId="05E79DAF" w:rsidR="00A441FD" w:rsidRPr="0027045B" w:rsidRDefault="007142A5" w:rsidP="00600535">
      <w:pPr>
        <w:pStyle w:val="CETBodytext"/>
      </w:pPr>
      <w:r w:rsidRPr="0027045B">
        <w:t>In the case of the bare TiO</w:t>
      </w:r>
      <w:r w:rsidRPr="0027045B">
        <w:rPr>
          <w:vertAlign w:val="subscript"/>
        </w:rPr>
        <w:t>2</w:t>
      </w:r>
      <w:r w:rsidRPr="0027045B">
        <w:t xml:space="preserve"> sample, </w:t>
      </w:r>
      <w:r w:rsidR="005C7C5D" w:rsidRPr="0027045B">
        <w:t>conversion of acetic acid was complete throughout the entire experiment</w:t>
      </w:r>
      <w:r w:rsidR="00F434DD" w:rsidRPr="0027045B">
        <w:t xml:space="preserve">, </w:t>
      </w:r>
      <w:r w:rsidR="00601602" w:rsidRPr="0027045B">
        <w:t xml:space="preserve">but </w:t>
      </w:r>
      <w:r w:rsidR="00F434DD" w:rsidRPr="0027045B">
        <w:t>changes in product distribution were observed</w:t>
      </w:r>
      <w:r w:rsidR="005C7C5D" w:rsidRPr="0027045B">
        <w:t xml:space="preserve">. </w:t>
      </w:r>
      <w:r w:rsidR="00A441FD" w:rsidRPr="0027045B">
        <w:t>At</w:t>
      </w:r>
      <w:r w:rsidR="005D2D8D" w:rsidRPr="0027045B">
        <w:t xml:space="preserve"> the beginning of the </w:t>
      </w:r>
      <w:r w:rsidR="002147A8" w:rsidRPr="0027045B">
        <w:t>test</w:t>
      </w:r>
      <w:r w:rsidR="00A441FD" w:rsidRPr="0027045B">
        <w:t xml:space="preserve"> (Fig</w:t>
      </w:r>
      <w:r w:rsidR="00837DDF" w:rsidRPr="0027045B">
        <w:t>ure</w:t>
      </w:r>
      <w:r w:rsidR="00A441FD" w:rsidRPr="0027045B">
        <w:t xml:space="preserve"> </w:t>
      </w:r>
      <w:r w:rsidR="000567F1" w:rsidRPr="0027045B">
        <w:t>3</w:t>
      </w:r>
      <w:r w:rsidR="00A441FD" w:rsidRPr="0027045B">
        <w:t>a)</w:t>
      </w:r>
      <w:r w:rsidR="002147A8" w:rsidRPr="0027045B">
        <w:t xml:space="preserve">, </w:t>
      </w:r>
      <w:r w:rsidR="00044F1B" w:rsidRPr="0027045B">
        <w:t xml:space="preserve">besides ketonization products, other </w:t>
      </w:r>
      <w:r w:rsidR="00405142" w:rsidRPr="0027045B">
        <w:t xml:space="preserve">species </w:t>
      </w:r>
      <w:r w:rsidR="00044F1B" w:rsidRPr="0027045B">
        <w:t>were identified</w:t>
      </w:r>
      <w:r w:rsidR="00D02F9D" w:rsidRPr="0027045B">
        <w:t xml:space="preserve">: </w:t>
      </w:r>
      <w:r w:rsidR="00DE59CE" w:rsidRPr="0027045B">
        <w:t>CO, CH</w:t>
      </w:r>
      <w:r w:rsidR="00DE59CE" w:rsidRPr="0027045B">
        <w:rPr>
          <w:vertAlign w:val="subscript"/>
        </w:rPr>
        <w:t>4</w:t>
      </w:r>
      <w:r w:rsidR="00DE59CE" w:rsidRPr="0027045B">
        <w:t>, C3 hydrocarbons (propylene, propanal), C6 (</w:t>
      </w:r>
      <w:r w:rsidR="00306849" w:rsidRPr="0027045B">
        <w:t>e.g.,</w:t>
      </w:r>
      <w:r w:rsidR="00044F1B" w:rsidRPr="0027045B">
        <w:t xml:space="preserve"> </w:t>
      </w:r>
      <w:r w:rsidR="00DE59CE" w:rsidRPr="0027045B">
        <w:t>mesityl oxide, methyl isobutyl ketone), C</w:t>
      </w:r>
      <w:r w:rsidR="00833672" w:rsidRPr="0027045B">
        <w:t>8</w:t>
      </w:r>
      <w:r w:rsidR="00DE59CE" w:rsidRPr="0027045B">
        <w:t xml:space="preserve"> (</w:t>
      </w:r>
      <w:r w:rsidR="00531C39" w:rsidRPr="0027045B">
        <w:t>e.g.,</w:t>
      </w:r>
      <w:r w:rsidR="00044F1B" w:rsidRPr="0027045B">
        <w:t xml:space="preserve"> </w:t>
      </w:r>
      <w:r w:rsidR="00DE59CE" w:rsidRPr="0027045B">
        <w:t>dimethylphenol) and C9 (</w:t>
      </w:r>
      <w:r w:rsidR="00531C39" w:rsidRPr="0027045B">
        <w:t>e.g.,</w:t>
      </w:r>
      <w:r w:rsidR="00044F1B" w:rsidRPr="0027045B">
        <w:t xml:space="preserve"> </w:t>
      </w:r>
      <w:r w:rsidR="00DE59CE" w:rsidRPr="0027045B">
        <w:t xml:space="preserve">mesitylene). The </w:t>
      </w:r>
      <w:r w:rsidR="00132D5C" w:rsidRPr="0027045B">
        <w:t xml:space="preserve">presence of heavy species indicates the activation of secondary </w:t>
      </w:r>
      <w:r w:rsidR="00A70F74" w:rsidRPr="0027045B">
        <w:t xml:space="preserve">chain-growth reactions, where acetone </w:t>
      </w:r>
      <w:r w:rsidR="005129A4" w:rsidRPr="0027045B">
        <w:t xml:space="preserve">(produced by the </w:t>
      </w:r>
      <w:r w:rsidR="00BE6524" w:rsidRPr="0027045B">
        <w:t xml:space="preserve">acetic acid ketonization) </w:t>
      </w:r>
      <w:r w:rsidR="00A70F74" w:rsidRPr="0027045B">
        <w:t>play</w:t>
      </w:r>
      <w:r w:rsidR="00A441FD" w:rsidRPr="0027045B">
        <w:t>ed</w:t>
      </w:r>
      <w:r w:rsidR="00A70F74" w:rsidRPr="0027045B">
        <w:t xml:space="preserve"> a crucial role.</w:t>
      </w:r>
      <w:r w:rsidR="00A441FD" w:rsidRPr="0027045B">
        <w:t xml:space="preserve"> With time on stream (Fig</w:t>
      </w:r>
      <w:r w:rsidR="00AF1B72" w:rsidRPr="0027045B">
        <w:t>ure</w:t>
      </w:r>
      <w:r w:rsidR="00A441FD" w:rsidRPr="0027045B">
        <w:t xml:space="preserve"> </w:t>
      </w:r>
      <w:r w:rsidR="000567F1" w:rsidRPr="0027045B">
        <w:t>3</w:t>
      </w:r>
      <w:r w:rsidR="00A441FD" w:rsidRPr="0027045B">
        <w:t>b</w:t>
      </w:r>
      <w:r w:rsidR="004B3DAA" w:rsidRPr="0027045B">
        <w:t>)</w:t>
      </w:r>
      <w:r w:rsidR="001C0692" w:rsidRPr="0027045B">
        <w:t xml:space="preserve">, </w:t>
      </w:r>
      <w:r w:rsidR="002F15C7" w:rsidRPr="0027045B">
        <w:t>these reaction routes</w:t>
      </w:r>
      <w:r w:rsidR="00930D0B" w:rsidRPr="0027045B">
        <w:t xml:space="preserve"> </w:t>
      </w:r>
      <w:r w:rsidR="003E631F" w:rsidRPr="0027045B">
        <w:t>were</w:t>
      </w:r>
      <w:r w:rsidR="00930D0B" w:rsidRPr="0027045B">
        <w:t xml:space="preserve"> </w:t>
      </w:r>
      <w:r w:rsidR="00CB4172" w:rsidRPr="0027045B">
        <w:t xml:space="preserve">inhibited, such that </w:t>
      </w:r>
      <w:r w:rsidR="00930D0B" w:rsidRPr="0027045B">
        <w:t xml:space="preserve">selectivity to the ketonization </w:t>
      </w:r>
      <w:r w:rsidR="00FE7AE2" w:rsidRPr="0027045B">
        <w:t>product acetone</w:t>
      </w:r>
      <w:r w:rsidR="00930D0B" w:rsidRPr="0027045B">
        <w:t xml:space="preserve"> increase</w:t>
      </w:r>
      <w:r w:rsidR="00FE7AE2" w:rsidRPr="0027045B">
        <w:t>d</w:t>
      </w:r>
      <w:r w:rsidR="00930D0B" w:rsidRPr="0027045B">
        <w:t>.</w:t>
      </w:r>
      <w:r w:rsidR="00611ECA" w:rsidRPr="0027045B">
        <w:t xml:space="preserve"> The detailed </w:t>
      </w:r>
      <w:r w:rsidR="00601602" w:rsidRPr="0027045B">
        <w:t>detection</w:t>
      </w:r>
      <w:r w:rsidR="00611ECA" w:rsidRPr="0027045B">
        <w:t xml:space="preserve"> of outlet mixture </w:t>
      </w:r>
      <w:r w:rsidR="009C19A1" w:rsidRPr="0027045B">
        <w:t xml:space="preserve">composition </w:t>
      </w:r>
      <w:r w:rsidR="00611ECA" w:rsidRPr="0027045B">
        <w:t xml:space="preserve">allowed to close </w:t>
      </w:r>
      <w:r w:rsidR="00CA6691" w:rsidRPr="0027045B">
        <w:t>C-balance</w:t>
      </w:r>
      <w:r w:rsidR="00611ECA" w:rsidRPr="0027045B">
        <w:t xml:space="preserve"> at the beginning of the test (compare Figure </w:t>
      </w:r>
      <w:r w:rsidR="000055BC" w:rsidRPr="0027045B">
        <w:t>2</w:t>
      </w:r>
      <w:r w:rsidR="00611ECA" w:rsidRPr="0027045B">
        <w:t xml:space="preserve"> and Figure </w:t>
      </w:r>
      <w:r w:rsidR="000055BC" w:rsidRPr="0027045B">
        <w:t>3c</w:t>
      </w:r>
      <w:r w:rsidR="00611ECA" w:rsidRPr="0027045B">
        <w:t>)</w:t>
      </w:r>
      <w:r w:rsidR="00856430" w:rsidRPr="0027045B">
        <w:t xml:space="preserve">; however, upon </w:t>
      </w:r>
      <w:r w:rsidR="00CA6691" w:rsidRPr="0027045B">
        <w:t>increasing</w:t>
      </w:r>
      <w:r w:rsidR="00856430" w:rsidRPr="0027045B">
        <w:t xml:space="preserve"> the</w:t>
      </w:r>
      <w:r w:rsidR="00CA6691" w:rsidRPr="0027045B">
        <w:t xml:space="preserve"> time on stream</w:t>
      </w:r>
      <w:r w:rsidR="00856430" w:rsidRPr="0027045B">
        <w:t>,</w:t>
      </w:r>
      <w:r w:rsidR="00CA6691" w:rsidRPr="0027045B">
        <w:t xml:space="preserve"> </w:t>
      </w:r>
      <w:r w:rsidR="00AF5EDD" w:rsidRPr="0027045B">
        <w:t>C-balances significantly decrease (from 1.0</w:t>
      </w:r>
      <w:r w:rsidR="00BD1494" w:rsidRPr="0027045B">
        <w:t>3 to 0.88)</w:t>
      </w:r>
      <w:r w:rsidR="00B4359A" w:rsidRPr="0027045B">
        <w:t xml:space="preserve">, suggesting the onset of </w:t>
      </w:r>
      <w:r w:rsidR="00660F1D" w:rsidRPr="0027045B">
        <w:t>carbon deposition</w:t>
      </w:r>
      <w:r w:rsidR="00B4359A" w:rsidRPr="0027045B">
        <w:t xml:space="preserve"> on the surface.</w:t>
      </w:r>
    </w:p>
    <w:p w14:paraId="42504246" w14:textId="55305DBA" w:rsidR="00A441FD" w:rsidRPr="0027045B" w:rsidRDefault="00660F1D" w:rsidP="00600535">
      <w:pPr>
        <w:pStyle w:val="CETBodytext"/>
      </w:pPr>
      <w:r w:rsidRPr="0027045B">
        <w:t>T</w:t>
      </w:r>
      <w:r w:rsidR="00771B1A" w:rsidRPr="0027045B">
        <w:t xml:space="preserve">he same test was </w:t>
      </w:r>
      <w:r w:rsidR="00121708" w:rsidRPr="0027045B">
        <w:t>repeated with Ru/TiO</w:t>
      </w:r>
      <w:r w:rsidR="00121708" w:rsidRPr="0027045B">
        <w:rPr>
          <w:vertAlign w:val="subscript"/>
        </w:rPr>
        <w:t>2</w:t>
      </w:r>
      <w:r w:rsidR="00587EEB" w:rsidRPr="0027045B">
        <w:t xml:space="preserve"> to investigate the effect of</w:t>
      </w:r>
      <w:r w:rsidR="00333240" w:rsidRPr="0027045B">
        <w:t xml:space="preserve"> the presence of the</w:t>
      </w:r>
      <w:r w:rsidR="00587EEB" w:rsidRPr="0027045B">
        <w:t xml:space="preserve"> metal phase</w:t>
      </w:r>
      <w:r w:rsidR="00C4699D" w:rsidRPr="0027045B">
        <w:t xml:space="preserve">. </w:t>
      </w:r>
      <w:r w:rsidR="00950D87" w:rsidRPr="0027045B">
        <w:t xml:space="preserve">Also in this case, complete acetic acid </w:t>
      </w:r>
      <w:r w:rsidR="00492948" w:rsidRPr="0027045B">
        <w:t xml:space="preserve">conversion </w:t>
      </w:r>
      <w:r w:rsidR="007630EB" w:rsidRPr="0027045B">
        <w:t xml:space="preserve">was found with ToS </w:t>
      </w:r>
      <w:r w:rsidR="00950D87" w:rsidRPr="0027045B">
        <w:t>a</w:t>
      </w:r>
      <w:r w:rsidR="009B6549" w:rsidRPr="0027045B">
        <w:t>nd a</w:t>
      </w:r>
      <w:r w:rsidR="00A441FD" w:rsidRPr="0027045B">
        <w:t xml:space="preserve">t the </w:t>
      </w:r>
      <w:r w:rsidR="00333240" w:rsidRPr="0027045B">
        <w:t>beginning</w:t>
      </w:r>
      <w:r w:rsidR="00A441FD" w:rsidRPr="0027045B">
        <w:t xml:space="preserve"> of the experiment</w:t>
      </w:r>
      <w:r w:rsidR="00C4699D" w:rsidRPr="0027045B">
        <w:t xml:space="preserve"> (Figure </w:t>
      </w:r>
      <w:r w:rsidR="000055BC" w:rsidRPr="0027045B">
        <w:t>3</w:t>
      </w:r>
      <w:r w:rsidR="00C4699D" w:rsidRPr="0027045B">
        <w:t xml:space="preserve">a), </w:t>
      </w:r>
      <w:r w:rsidR="000E47CB" w:rsidRPr="0027045B">
        <w:t xml:space="preserve">a considerable share of C-selectivity was </w:t>
      </w:r>
      <w:r w:rsidR="00236CF1" w:rsidRPr="0027045B">
        <w:t>covered by heavy species, similarly to TiO</w:t>
      </w:r>
      <w:r w:rsidR="00236CF1" w:rsidRPr="0027045B">
        <w:rPr>
          <w:vertAlign w:val="subscript"/>
        </w:rPr>
        <w:t>2</w:t>
      </w:r>
      <w:r w:rsidR="00236CF1" w:rsidRPr="0027045B">
        <w:t xml:space="preserve"> experiment</w:t>
      </w:r>
      <w:r w:rsidR="00B13571" w:rsidRPr="0027045B">
        <w:t xml:space="preserve">. </w:t>
      </w:r>
      <w:r w:rsidR="00F30335" w:rsidRPr="0027045B">
        <w:t xml:space="preserve">The speciation of outlet mixture </w:t>
      </w:r>
      <w:r w:rsidR="00180ADB" w:rsidRPr="0027045B">
        <w:t xml:space="preserve">indicated the presence of the same </w:t>
      </w:r>
      <w:r w:rsidR="009D18CE" w:rsidRPr="0027045B">
        <w:t>compounds, w</w:t>
      </w:r>
      <w:r w:rsidR="00590846" w:rsidRPr="0027045B">
        <w:t xml:space="preserve">ith </w:t>
      </w:r>
      <w:r w:rsidR="00D11900" w:rsidRPr="0027045B">
        <w:t xml:space="preserve">mesityl </w:t>
      </w:r>
      <w:r w:rsidR="00590846" w:rsidRPr="0027045B">
        <w:t xml:space="preserve">oxide and methyl isobutyl ketone, dimethylphenol and </w:t>
      </w:r>
      <w:r w:rsidR="00D11900" w:rsidRPr="0027045B">
        <w:t>mesitylene accounting for the greatest share of C6, C8 and C9 species, respectively.</w:t>
      </w:r>
      <w:r w:rsidR="000B1A44">
        <w:t xml:space="preserve"> </w:t>
      </w:r>
      <w:r w:rsidR="00E5336F" w:rsidRPr="000B1A44">
        <w:t>Differently from what observed in Figure</w:t>
      </w:r>
      <w:r w:rsidR="000B4C6B" w:rsidRPr="000B1A44">
        <w:t xml:space="preserve"> 2, </w:t>
      </w:r>
      <w:r w:rsidR="00510A7E" w:rsidRPr="000B1A44">
        <w:t>H</w:t>
      </w:r>
      <w:r w:rsidR="00510A7E" w:rsidRPr="000B1A44">
        <w:rPr>
          <w:vertAlign w:val="subscript"/>
        </w:rPr>
        <w:t>2</w:t>
      </w:r>
      <w:r w:rsidR="00510A7E" w:rsidRPr="000B1A44">
        <w:t xml:space="preserve"> co-feed played a role </w:t>
      </w:r>
      <w:r w:rsidR="000B4C6B" w:rsidRPr="000B1A44">
        <w:t xml:space="preserve">in this high-temperature experiment with Ru: </w:t>
      </w:r>
      <w:proofErr w:type="gramStart"/>
      <w:r w:rsidR="000B4C6B" w:rsidRPr="000B1A44">
        <w:t>i</w:t>
      </w:r>
      <w:r w:rsidR="00D80369" w:rsidRPr="000B1A44">
        <w:t>ndeed</w:t>
      </w:r>
      <w:proofErr w:type="gramEnd"/>
      <w:r w:rsidR="00DD2885" w:rsidRPr="000B1A44">
        <w:t xml:space="preserve"> formed products </w:t>
      </w:r>
      <w:r w:rsidR="006469C8" w:rsidRPr="000B1A44">
        <w:t>exhibi</w:t>
      </w:r>
      <w:r w:rsidR="006469C8" w:rsidRPr="0027045B">
        <w:t>ted a</w:t>
      </w:r>
      <w:r w:rsidR="00C2032F" w:rsidRPr="0027045B">
        <w:t xml:space="preserve"> higher level of hydrogenation (</w:t>
      </w:r>
      <w:r w:rsidR="00306849" w:rsidRPr="0027045B">
        <w:t>e.g.,</w:t>
      </w:r>
      <w:r w:rsidR="00C2032F" w:rsidRPr="0027045B">
        <w:t xml:space="preserve"> &gt; </w:t>
      </w:r>
      <w:r w:rsidR="006469C8" w:rsidRPr="0027045B">
        <w:t xml:space="preserve">methyl isobutyl and &lt; mesityl oxide </w:t>
      </w:r>
      <w:r w:rsidR="00AB6E52" w:rsidRPr="0027045B">
        <w:t xml:space="preserve">than </w:t>
      </w:r>
      <w:r w:rsidR="00E52ACD" w:rsidRPr="0027045B">
        <w:t xml:space="preserve">over </w:t>
      </w:r>
      <w:r w:rsidR="00AB6E52" w:rsidRPr="0027045B">
        <w:t>TiO</w:t>
      </w:r>
      <w:r w:rsidR="00AB6E52" w:rsidRPr="0027045B">
        <w:rPr>
          <w:vertAlign w:val="subscript"/>
        </w:rPr>
        <w:t>2</w:t>
      </w:r>
      <w:r w:rsidR="00AB6E52" w:rsidRPr="0027045B">
        <w:t>)</w:t>
      </w:r>
      <w:r w:rsidR="006469C8" w:rsidRPr="0027045B">
        <w:t>.</w:t>
      </w:r>
      <w:r w:rsidR="00DD2570" w:rsidRPr="0027045B">
        <w:t xml:space="preserve"> </w:t>
      </w:r>
      <w:r w:rsidR="007A1BFF" w:rsidRPr="0027045B">
        <w:t>An increased production of C</w:t>
      </w:r>
      <w:r w:rsidR="00762363" w:rsidRPr="0027045B">
        <w:t>H</w:t>
      </w:r>
      <w:r w:rsidR="007A1BFF" w:rsidRPr="0027045B">
        <w:rPr>
          <w:vertAlign w:val="subscript"/>
        </w:rPr>
        <w:t>4</w:t>
      </w:r>
      <w:r w:rsidR="007A1BFF" w:rsidRPr="0027045B">
        <w:t xml:space="preserve"> was also observed, due to the activation of methanation routes </w:t>
      </w:r>
      <w:r w:rsidR="001C68C3" w:rsidRPr="0027045B">
        <w:t xml:space="preserve">by Ru. </w:t>
      </w:r>
      <w:r w:rsidR="0089678B" w:rsidRPr="0027045B">
        <w:t xml:space="preserve">Also in this case, </w:t>
      </w:r>
      <w:r w:rsidR="008418C2" w:rsidRPr="0027045B">
        <w:t>a</w:t>
      </w:r>
      <w:r w:rsidR="00B13571" w:rsidRPr="0027045B">
        <w:t>fter</w:t>
      </w:r>
      <w:r w:rsidR="001C68C3" w:rsidRPr="0027045B">
        <w:t xml:space="preserve"> 4 h (Figure </w:t>
      </w:r>
      <w:r w:rsidR="000055BC" w:rsidRPr="0027045B">
        <w:t>3</w:t>
      </w:r>
      <w:r w:rsidR="001C68C3" w:rsidRPr="0027045B">
        <w:t>b)</w:t>
      </w:r>
      <w:r w:rsidR="008418C2" w:rsidRPr="0027045B">
        <w:t xml:space="preserve"> secondary chain-growth reactions </w:t>
      </w:r>
      <w:r w:rsidR="008D2752" w:rsidRPr="0027045B">
        <w:t xml:space="preserve">slowed </w:t>
      </w:r>
      <w:r w:rsidR="008D2752" w:rsidRPr="0027045B">
        <w:lastRenderedPageBreak/>
        <w:t xml:space="preserve">down, as proved by the </w:t>
      </w:r>
      <w:r w:rsidR="00D97F59" w:rsidRPr="0027045B">
        <w:t xml:space="preserve">increased selectivity to acetone </w:t>
      </w:r>
      <w:r w:rsidR="001F4DAE" w:rsidRPr="0027045B">
        <w:t>at the expense of heavier C6-C9 species.</w:t>
      </w:r>
      <w:r w:rsidR="008418C2" w:rsidRPr="0027045B">
        <w:t xml:space="preserve"> </w:t>
      </w:r>
      <w:r w:rsidR="00B0207F" w:rsidRPr="0027045B">
        <w:t xml:space="preserve">Differently </w:t>
      </w:r>
      <w:r w:rsidR="00866E45" w:rsidRPr="007504E2">
        <w:rPr>
          <w:noProof/>
        </w:rPr>
        <w:drawing>
          <wp:anchor distT="0" distB="0" distL="114300" distR="114300" simplePos="0" relativeHeight="251664385" behindDoc="0" locked="0" layoutInCell="1" allowOverlap="1" wp14:anchorId="7EE4ECB2" wp14:editId="3B889644">
            <wp:simplePos x="0" y="0"/>
            <wp:positionH relativeFrom="margin">
              <wp:align>right</wp:align>
            </wp:positionH>
            <wp:positionV relativeFrom="paragraph">
              <wp:posOffset>407446</wp:posOffset>
            </wp:positionV>
            <wp:extent cx="5579745" cy="2237740"/>
            <wp:effectExtent l="0" t="0" r="0" b="0"/>
            <wp:wrapTopAndBottom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207F" w:rsidRPr="0027045B">
        <w:t>from TiO</w:t>
      </w:r>
      <w:r w:rsidR="00B0207F" w:rsidRPr="0027045B">
        <w:rPr>
          <w:vertAlign w:val="subscript"/>
        </w:rPr>
        <w:t>2</w:t>
      </w:r>
      <w:r w:rsidR="00B0207F" w:rsidRPr="0027045B">
        <w:t xml:space="preserve">, </w:t>
      </w:r>
      <w:r w:rsidR="00AF71D6" w:rsidRPr="0027045B">
        <w:t>C</w:t>
      </w:r>
      <w:r w:rsidR="00B0207F" w:rsidRPr="0027045B">
        <w:t xml:space="preserve">-balance remained constant (0.96) </w:t>
      </w:r>
      <w:r w:rsidR="00762363" w:rsidRPr="0027045B">
        <w:t>throughout</w:t>
      </w:r>
      <w:r w:rsidR="00B0207F" w:rsidRPr="0027045B">
        <w:t xml:space="preserve"> the entire test</w:t>
      </w:r>
      <w:r w:rsidR="00AD21C5" w:rsidRPr="0027045B">
        <w:t>, which apparently excludes coking</w:t>
      </w:r>
      <w:r w:rsidR="00B0207F" w:rsidRPr="0027045B">
        <w:t>.</w:t>
      </w:r>
    </w:p>
    <w:p w14:paraId="4E1139EF" w14:textId="44AB3682" w:rsidR="000247AB" w:rsidRPr="0027045B" w:rsidRDefault="000247AB" w:rsidP="00600535">
      <w:pPr>
        <w:pStyle w:val="CETBodytext"/>
      </w:pPr>
    </w:p>
    <w:p w14:paraId="125FAA9F" w14:textId="19DE582F" w:rsidR="00250487" w:rsidRPr="0027045B" w:rsidRDefault="005B0D4D" w:rsidP="007504E2">
      <w:pPr>
        <w:pStyle w:val="CETBodytext"/>
      </w:pPr>
      <w:r w:rsidRPr="0027045B">
        <w:rPr>
          <w:rStyle w:val="CETCaptionCarattere"/>
          <w:lang w:val="en-US"/>
        </w:rPr>
        <w:t xml:space="preserve">Figure </w:t>
      </w:r>
      <w:r w:rsidR="00122936" w:rsidRPr="0027045B">
        <w:rPr>
          <w:rStyle w:val="CETCaptionCarattere"/>
          <w:lang w:val="en-US"/>
        </w:rPr>
        <w:t>3</w:t>
      </w:r>
      <w:r w:rsidRPr="0027045B">
        <w:rPr>
          <w:rStyle w:val="CETCaptionCarattere"/>
          <w:lang w:val="en-US"/>
        </w:rPr>
        <w:t xml:space="preserve">: </w:t>
      </w:r>
      <w:r w:rsidR="00C66026" w:rsidRPr="0027045B">
        <w:t>Experimental results of acetic acid ketonization</w:t>
      </w:r>
      <w:r w:rsidR="00632F50" w:rsidRPr="0027045B">
        <w:t xml:space="preserve"> at 400°</w:t>
      </w:r>
      <w:r w:rsidR="00632F50" w:rsidRPr="000B1A44">
        <w:t>C</w:t>
      </w:r>
      <w:r w:rsidR="00F41D1F" w:rsidRPr="000B1A44">
        <w:t xml:space="preserve">: </w:t>
      </w:r>
      <w:r w:rsidR="00127A6C" w:rsidRPr="000B1A44">
        <w:t>C-</w:t>
      </w:r>
      <w:proofErr w:type="spellStart"/>
      <w:r w:rsidR="00127A6C" w:rsidRPr="000B1A44">
        <w:t>selectivities</w:t>
      </w:r>
      <w:proofErr w:type="spellEnd"/>
      <w:r w:rsidR="00127A6C" w:rsidRPr="000B1A44">
        <w:t xml:space="preserve"> after </w:t>
      </w:r>
      <w:r w:rsidR="00CC179C" w:rsidRPr="000B1A44">
        <w:t xml:space="preserve">4min </w:t>
      </w:r>
      <w:proofErr w:type="spellStart"/>
      <w:r w:rsidR="00CC179C" w:rsidRPr="000B1A44">
        <w:t>ToS</w:t>
      </w:r>
      <w:proofErr w:type="spellEnd"/>
      <w:r w:rsidR="00CC179C" w:rsidRPr="000B1A44">
        <w:t xml:space="preserve"> (a), C-</w:t>
      </w:r>
      <w:proofErr w:type="spellStart"/>
      <w:r w:rsidR="00CC179C" w:rsidRPr="000B1A44">
        <w:t>selectivities</w:t>
      </w:r>
      <w:proofErr w:type="spellEnd"/>
      <w:r w:rsidR="00CC179C" w:rsidRPr="000B1A44">
        <w:t xml:space="preserve"> after 4</w:t>
      </w:r>
      <w:r w:rsidR="0004298B" w:rsidRPr="000B1A44">
        <w:t>h</w:t>
      </w:r>
      <w:r w:rsidR="00CC179C" w:rsidRPr="000B1A44">
        <w:t xml:space="preserve"> </w:t>
      </w:r>
      <w:proofErr w:type="spellStart"/>
      <w:r w:rsidR="00CC179C" w:rsidRPr="000B1A44">
        <w:t>ToS</w:t>
      </w:r>
      <w:proofErr w:type="spellEnd"/>
      <w:r w:rsidR="00CC179C" w:rsidRPr="000B1A44">
        <w:t xml:space="preserve"> (b) and </w:t>
      </w:r>
      <w:r w:rsidR="00F41D1F" w:rsidRPr="000B1A44">
        <w:t xml:space="preserve">dynamic </w:t>
      </w:r>
      <w:r w:rsidR="00316DE6" w:rsidRPr="000B1A44">
        <w:t>trend of C-balance</w:t>
      </w:r>
      <w:r w:rsidR="00127A6C" w:rsidRPr="000B1A44">
        <w:t xml:space="preserve"> (c)</w:t>
      </w:r>
      <w:r w:rsidR="00C66026" w:rsidRPr="000B1A44">
        <w:t>. GHS</w:t>
      </w:r>
      <w:r w:rsidR="00C66026" w:rsidRPr="0027045B">
        <w:t>V = 2</w:t>
      </w:r>
      <w:r w:rsidR="00632F50" w:rsidRPr="0027045B">
        <w:t xml:space="preserve">0,000 </w:t>
      </w:r>
      <w:r w:rsidR="00C66026" w:rsidRPr="0027045B">
        <w:t>NL/h/kg</w:t>
      </w:r>
      <w:r w:rsidR="00C66026" w:rsidRPr="0027045B">
        <w:rPr>
          <w:vertAlign w:val="subscript"/>
        </w:rPr>
        <w:t>cat</w:t>
      </w:r>
      <w:r w:rsidR="00C66026" w:rsidRPr="0027045B">
        <w:t>. Feed composition: CH</w:t>
      </w:r>
      <w:r w:rsidR="00C66026" w:rsidRPr="0027045B">
        <w:rPr>
          <w:vertAlign w:val="subscript"/>
        </w:rPr>
        <w:t>3</w:t>
      </w:r>
      <w:r w:rsidR="00C66026" w:rsidRPr="0027045B">
        <w:t>COOH=3%, H</w:t>
      </w:r>
      <w:r w:rsidR="00C66026" w:rsidRPr="0027045B">
        <w:rPr>
          <w:vertAlign w:val="subscript"/>
        </w:rPr>
        <w:t>2</w:t>
      </w:r>
      <w:r w:rsidR="00C66026" w:rsidRPr="0027045B">
        <w:t>=20%, N</w:t>
      </w:r>
      <w:r w:rsidR="00C66026" w:rsidRPr="0027045B">
        <w:rPr>
          <w:vertAlign w:val="subscript"/>
        </w:rPr>
        <w:t>2</w:t>
      </w:r>
      <w:r w:rsidR="00C66026" w:rsidRPr="0027045B">
        <w:t>=10%, He diluent. Red = TiO</w:t>
      </w:r>
      <w:r w:rsidR="00C66026" w:rsidRPr="0027045B">
        <w:rPr>
          <w:vertAlign w:val="subscript"/>
        </w:rPr>
        <w:t>2</w:t>
      </w:r>
      <w:r w:rsidR="00C66026" w:rsidRPr="0027045B">
        <w:t>. Blue = Ru/TiO</w:t>
      </w:r>
      <w:r w:rsidR="00C66026" w:rsidRPr="0027045B">
        <w:rPr>
          <w:vertAlign w:val="subscript"/>
        </w:rPr>
        <w:t>2</w:t>
      </w:r>
      <w:r w:rsidR="00C66026" w:rsidRPr="0027045B">
        <w:t>.</w:t>
      </w:r>
    </w:p>
    <w:p w14:paraId="68D26B83" w14:textId="12202A5D" w:rsidR="00600535" w:rsidRPr="0027045B" w:rsidRDefault="009C26F5" w:rsidP="00600535">
      <w:pPr>
        <w:pStyle w:val="CETHeading1"/>
      </w:pPr>
      <w:r w:rsidRPr="0027045B">
        <w:t>Discussion</w:t>
      </w:r>
    </w:p>
    <w:p w14:paraId="1F00257F" w14:textId="6104C290" w:rsidR="00057D8F" w:rsidRPr="0027045B" w:rsidRDefault="00040CDC" w:rsidP="0080742C">
      <w:pPr>
        <w:pStyle w:val="CETBodytext"/>
      </w:pPr>
      <w:r w:rsidRPr="0027045B">
        <w:t>Anatase TiO</w:t>
      </w:r>
      <w:r w:rsidRPr="0027045B">
        <w:rPr>
          <w:vertAlign w:val="subscript"/>
        </w:rPr>
        <w:t>2</w:t>
      </w:r>
      <w:r w:rsidRPr="0027045B">
        <w:t xml:space="preserve"> proved relevant performances in the promotion of acetic acid ketonization. </w:t>
      </w:r>
      <w:r w:rsidR="00185DEF" w:rsidRPr="0027045B">
        <w:t xml:space="preserve">Wang and Iglesia (2017) </w:t>
      </w:r>
      <w:r w:rsidR="00F217F6" w:rsidRPr="0027045B">
        <w:t xml:space="preserve">demonstrated that </w:t>
      </w:r>
      <w:r w:rsidR="00D64818" w:rsidRPr="0027045B">
        <w:t xml:space="preserve">the active sites for ketonization are </w:t>
      </w:r>
      <w:r w:rsidR="00795530" w:rsidRPr="0027045B">
        <w:t>acid-base Ti-O pairs</w:t>
      </w:r>
      <w:r w:rsidR="007C43A1" w:rsidRPr="0027045B">
        <w:t xml:space="preserve">, where the kinetically relevant step is the C-C coupling between an intermediate </w:t>
      </w:r>
      <w:r w:rsidR="00A733FC" w:rsidRPr="0027045B">
        <w:t xml:space="preserve">hydroxy </w:t>
      </w:r>
      <w:r w:rsidR="007C43A1" w:rsidRPr="0027045B">
        <w:t>enolate and</w:t>
      </w:r>
      <w:r w:rsidR="001440AF" w:rsidRPr="0027045B">
        <w:t xml:space="preserve"> an acid </w:t>
      </w:r>
      <w:r w:rsidR="009779F0" w:rsidRPr="0027045B">
        <w:t xml:space="preserve">molecule co-adsorbed in a vicinal acid-base pair. Experiments in the </w:t>
      </w:r>
      <w:r w:rsidR="00E9086A" w:rsidRPr="0027045B">
        <w:t>micro</w:t>
      </w:r>
      <w:r w:rsidR="009779F0" w:rsidRPr="0027045B">
        <w:t xml:space="preserve"> </w:t>
      </w:r>
      <w:r w:rsidR="00E9086A" w:rsidRPr="0027045B">
        <w:t>fixed-</w:t>
      </w:r>
      <w:r w:rsidR="009779F0" w:rsidRPr="0027045B">
        <w:t xml:space="preserve">bed reactor </w:t>
      </w:r>
      <w:r w:rsidR="004D2AB4" w:rsidRPr="0027045B">
        <w:t xml:space="preserve">here presented </w:t>
      </w:r>
      <w:r w:rsidR="009779F0" w:rsidRPr="0027045B">
        <w:t xml:space="preserve">clearly showed that </w:t>
      </w:r>
      <w:r w:rsidR="00246022" w:rsidRPr="0027045B">
        <w:t xml:space="preserve">the concentration of acetic acid in the gas-phase does not influence ketonization reaction rate, </w:t>
      </w:r>
      <w:r w:rsidR="00E61C31" w:rsidRPr="0027045B">
        <w:t>so</w:t>
      </w:r>
      <w:r w:rsidR="00246022" w:rsidRPr="0027045B">
        <w:t xml:space="preserve"> that </w:t>
      </w:r>
      <w:r w:rsidR="00A17C18" w:rsidRPr="0027045B">
        <w:t xml:space="preserve">acetone production was not affected </w:t>
      </w:r>
      <w:r w:rsidR="009B0C76" w:rsidRPr="0027045B">
        <w:t xml:space="preserve">by acid concentration in the </w:t>
      </w:r>
      <w:r w:rsidR="009B0C76" w:rsidRPr="000B1A44">
        <w:t xml:space="preserve">feed. </w:t>
      </w:r>
      <w:r w:rsidR="000B1A44" w:rsidRPr="000B1A44">
        <w:t>Consistently,</w:t>
      </w:r>
      <w:r w:rsidR="00753B3D" w:rsidRPr="000B1A44">
        <w:t xml:space="preserve"> </w:t>
      </w:r>
      <w:r w:rsidR="00BF4D78" w:rsidRPr="000B1A44">
        <w:t xml:space="preserve">acetic </w:t>
      </w:r>
      <w:r w:rsidR="00753B3D" w:rsidRPr="000B1A44">
        <w:t>acid conversion diminishes with the increase of it</w:t>
      </w:r>
      <w:r w:rsidR="00EB219F" w:rsidRPr="000B1A44">
        <w:t xml:space="preserve">s inlet </w:t>
      </w:r>
      <w:proofErr w:type="gramStart"/>
      <w:r w:rsidR="00EB219F" w:rsidRPr="000B1A44">
        <w:t>concentration, since</w:t>
      </w:r>
      <w:proofErr w:type="gramEnd"/>
      <w:r w:rsidR="00EB219F" w:rsidRPr="000B1A44">
        <w:t xml:space="preserve"> the </w:t>
      </w:r>
      <w:r w:rsidR="00560E86" w:rsidRPr="000B1A44">
        <w:t>net moles consumption remain</w:t>
      </w:r>
      <w:r w:rsidR="00890B7C" w:rsidRPr="000B1A44">
        <w:t>s</w:t>
      </w:r>
      <w:r w:rsidR="00673610" w:rsidRPr="000B1A44">
        <w:t xml:space="preserve"> unchanged</w:t>
      </w:r>
      <w:r w:rsidR="00AB4428" w:rsidRPr="000B1A44">
        <w:t xml:space="preserve"> even if more acid is fed</w:t>
      </w:r>
      <w:r w:rsidR="0059227E" w:rsidRPr="000B1A44">
        <w:t xml:space="preserve"> in the reactor</w:t>
      </w:r>
      <w:r w:rsidR="00753B3D" w:rsidRPr="000B1A44">
        <w:t xml:space="preserve">. </w:t>
      </w:r>
      <w:r w:rsidR="009B0C76" w:rsidRPr="000B1A44">
        <w:t xml:space="preserve">These findings reveal a zeroth order dependence </w:t>
      </w:r>
      <w:r w:rsidR="00C76DAA" w:rsidRPr="000B1A44">
        <w:t>of</w:t>
      </w:r>
      <w:r w:rsidR="009153C3" w:rsidRPr="000B1A44">
        <w:t xml:space="preserve"> acetic acid</w:t>
      </w:r>
      <w:r w:rsidR="00C76DAA" w:rsidRPr="000B1A44">
        <w:t xml:space="preserve"> ketonization</w:t>
      </w:r>
      <w:r w:rsidR="009153C3" w:rsidRPr="000B1A44">
        <w:t>, a</w:t>
      </w:r>
      <w:r w:rsidR="0006257A" w:rsidRPr="000B1A44">
        <w:t>s also found</w:t>
      </w:r>
      <w:r w:rsidR="00531003" w:rsidRPr="000B1A44">
        <w:t xml:space="preserve"> by Pham et al. (2014).</w:t>
      </w:r>
      <w:r w:rsidR="00942178" w:rsidRPr="000B1A44">
        <w:t xml:space="preserve"> </w:t>
      </w:r>
      <w:r w:rsidR="00B5199C" w:rsidRPr="000B1A44">
        <w:t>It was also proved that the ad</w:t>
      </w:r>
      <w:r w:rsidR="00B5199C" w:rsidRPr="0027045B">
        <w:t xml:space="preserve">dition of </w:t>
      </w:r>
      <w:r w:rsidR="00026F22" w:rsidRPr="0027045B">
        <w:t>excess H</w:t>
      </w:r>
      <w:r w:rsidR="00026F22" w:rsidRPr="0027045B">
        <w:rPr>
          <w:vertAlign w:val="subscript"/>
        </w:rPr>
        <w:t>2</w:t>
      </w:r>
      <w:r w:rsidR="00026F22" w:rsidRPr="0027045B">
        <w:t xml:space="preserve"> co-feed did not affect catalyst performances in the low temperature region.</w:t>
      </w:r>
      <w:r w:rsidR="005124A7" w:rsidRPr="0027045B">
        <w:t xml:space="preserve"> </w:t>
      </w:r>
    </w:p>
    <w:p w14:paraId="68F0DAC6" w14:textId="34D5964A" w:rsidR="000B2AA3" w:rsidRPr="0027045B" w:rsidRDefault="0075320E" w:rsidP="0080742C">
      <w:pPr>
        <w:pStyle w:val="CETBodytext"/>
      </w:pPr>
      <w:r w:rsidRPr="0027045B">
        <w:t>High temperature performances of TiO</w:t>
      </w:r>
      <w:r w:rsidRPr="0027045B">
        <w:rPr>
          <w:vertAlign w:val="subscript"/>
        </w:rPr>
        <w:t>2</w:t>
      </w:r>
      <w:r w:rsidRPr="0027045B">
        <w:t xml:space="preserve"> were then investigated by analyzing the catalyst activity at 400°C for 4h while monitoring the product distribution. </w:t>
      </w:r>
      <w:r w:rsidR="002F0C8F" w:rsidRPr="0027045B">
        <w:t>It turned out that at the beginning of the test (ToS = 4min), besides ketonization products, heavy C6-C9 species were detected among products as well as traces of CH</w:t>
      </w:r>
      <w:r w:rsidR="002F0C8F" w:rsidRPr="0027045B">
        <w:rPr>
          <w:vertAlign w:val="subscript"/>
        </w:rPr>
        <w:t>4</w:t>
      </w:r>
      <w:r w:rsidR="002F0C8F" w:rsidRPr="0027045B">
        <w:t>, CO</w:t>
      </w:r>
      <w:r w:rsidR="0096751A" w:rsidRPr="0027045B">
        <w:t>,</w:t>
      </w:r>
      <w:r w:rsidR="002F0C8F" w:rsidRPr="0027045B">
        <w:t xml:space="preserve"> propylene and propanal. </w:t>
      </w:r>
      <w:r w:rsidR="00C76DAA" w:rsidRPr="0027045B">
        <w:t>Indeed, the</w:t>
      </w:r>
      <w:r w:rsidR="00744E25" w:rsidRPr="0027045B">
        <w:t xml:space="preserve"> successful combination of online GC analysis for species quantification and offline GC-MS analyses for species identification, allowed to </w:t>
      </w:r>
      <w:r w:rsidR="0060179B" w:rsidRPr="0027045B">
        <w:t>recognize</w:t>
      </w:r>
      <w:r w:rsidR="008C20CA" w:rsidRPr="0027045B">
        <w:t xml:space="preserve"> and quantify</w:t>
      </w:r>
      <w:r w:rsidR="00C75938" w:rsidRPr="0027045B">
        <w:t xml:space="preserve"> </w:t>
      </w:r>
      <w:r w:rsidR="005F2B6C" w:rsidRPr="0027045B">
        <w:t>a great variety of products species, ranging from light</w:t>
      </w:r>
      <w:r w:rsidR="00E56D40" w:rsidRPr="0027045B">
        <w:t xml:space="preserve"> </w:t>
      </w:r>
      <w:r w:rsidR="005F2B6C" w:rsidRPr="0027045B">
        <w:t xml:space="preserve">gases </w:t>
      </w:r>
      <w:r w:rsidR="00E56D40" w:rsidRPr="0027045B">
        <w:t>(</w:t>
      </w:r>
      <w:r w:rsidR="00306849" w:rsidRPr="0027045B">
        <w:t>e.g.,</w:t>
      </w:r>
      <w:r w:rsidR="005F2B6C" w:rsidRPr="0027045B">
        <w:t xml:space="preserve"> CH</w:t>
      </w:r>
      <w:r w:rsidR="005F2B6C" w:rsidRPr="0027045B">
        <w:rPr>
          <w:vertAlign w:val="subscript"/>
        </w:rPr>
        <w:t>4</w:t>
      </w:r>
      <w:r w:rsidR="005F2B6C" w:rsidRPr="0027045B">
        <w:t xml:space="preserve">, CO) to </w:t>
      </w:r>
      <w:r w:rsidR="008B4AA3" w:rsidRPr="0027045B">
        <w:t>jet</w:t>
      </w:r>
      <w:r w:rsidR="007C6BAA" w:rsidRPr="0027045B">
        <w:t xml:space="preserve"> </w:t>
      </w:r>
      <w:r w:rsidR="008B4AA3" w:rsidRPr="0027045B">
        <w:t>fuel-like compounds</w:t>
      </w:r>
      <w:r w:rsidR="00D8694E" w:rsidRPr="0027045B">
        <w:t xml:space="preserve"> (</w:t>
      </w:r>
      <w:r w:rsidR="00531C39" w:rsidRPr="0027045B">
        <w:t>i.e.,</w:t>
      </w:r>
      <w:r w:rsidR="00D8694E" w:rsidRPr="0027045B">
        <w:t xml:space="preserve"> C8+)</w:t>
      </w:r>
      <w:r w:rsidR="008C20CA" w:rsidRPr="0027045B">
        <w:t xml:space="preserve">. </w:t>
      </w:r>
      <w:r w:rsidR="0053687F" w:rsidRPr="0027045B">
        <w:t>The chemical pathways responsible for the conversion of acetic acid to valuable C8+ compounds were then identified; acetone, the primary ketonization product, plays here a crucial role.</w:t>
      </w:r>
      <w:r w:rsidR="007B63C2" w:rsidRPr="0027045B">
        <w:t xml:space="preserve"> </w:t>
      </w:r>
      <w:r w:rsidR="00667BBB" w:rsidRPr="0027045B">
        <w:t xml:space="preserve">C6 mesityl oxide and methyl isobutyl oxide </w:t>
      </w:r>
      <w:r w:rsidR="006A062C" w:rsidRPr="0027045B">
        <w:t>were detected</w:t>
      </w:r>
      <w:r w:rsidR="00580509" w:rsidRPr="0027045B">
        <w:t>, and</w:t>
      </w:r>
      <w:r w:rsidR="006A062C" w:rsidRPr="0027045B">
        <w:t xml:space="preserve"> these </w:t>
      </w:r>
      <w:r w:rsidR="00667BBB" w:rsidRPr="0027045B">
        <w:t>are respectively the unsaturated and the saturated products of acetone aldol condensation</w:t>
      </w:r>
      <w:r w:rsidR="003430F8" w:rsidRPr="0027045B">
        <w:t xml:space="preserve"> (</w:t>
      </w:r>
      <w:r w:rsidR="00182412" w:rsidRPr="0027045B">
        <w:t>2C3</w:t>
      </w:r>
      <w:r w:rsidR="00182412" w:rsidRPr="0027045B">
        <w:sym w:font="Wingdings" w:char="F0E0"/>
      </w:r>
      <w:r w:rsidR="00182412" w:rsidRPr="0027045B">
        <w:t>C6)</w:t>
      </w:r>
      <w:r w:rsidR="00667BBB" w:rsidRPr="0027045B">
        <w:t xml:space="preserve">. The subsequent aldol condensation between mesityl oxide and another acetone originates a </w:t>
      </w:r>
      <w:r w:rsidR="00824ED9" w:rsidRPr="0027045B">
        <w:t xml:space="preserve">linear </w:t>
      </w:r>
      <w:r w:rsidR="00667BBB" w:rsidRPr="0027045B">
        <w:t>C9 species</w:t>
      </w:r>
      <w:r w:rsidR="00182412" w:rsidRPr="0027045B">
        <w:t xml:space="preserve">, </w:t>
      </w:r>
      <w:r w:rsidR="00667BBB" w:rsidRPr="0027045B">
        <w:t>2,4-dimethylhepta-2,4-dien-6-one</w:t>
      </w:r>
      <w:r w:rsidR="00182412" w:rsidRPr="0027045B">
        <w:t xml:space="preserve"> (C3+C6</w:t>
      </w:r>
      <w:r w:rsidR="00182412" w:rsidRPr="0027045B">
        <w:sym w:font="Wingdings" w:char="F0E0"/>
      </w:r>
      <w:r w:rsidR="00824ED9" w:rsidRPr="0027045B">
        <w:t xml:space="preserve">linear </w:t>
      </w:r>
      <w:r w:rsidR="00182412" w:rsidRPr="0027045B">
        <w:t>C9)</w:t>
      </w:r>
      <w:r w:rsidR="00667BBB" w:rsidRPr="0027045B">
        <w:t xml:space="preserve">. </w:t>
      </w:r>
      <w:r w:rsidR="00306D19" w:rsidRPr="0027045B">
        <w:t>This species was however not detected in the reaction products, possibly because it undergoes an intramolecular 1,6 aldol condensation to mesitylene</w:t>
      </w:r>
      <w:r w:rsidR="00635580" w:rsidRPr="0027045B">
        <w:t xml:space="preserve"> (</w:t>
      </w:r>
      <w:r w:rsidR="00450A96" w:rsidRPr="0027045B">
        <w:t xml:space="preserve">linear </w:t>
      </w:r>
      <w:r w:rsidR="00635580" w:rsidRPr="0027045B">
        <w:t>C9</w:t>
      </w:r>
      <w:r w:rsidR="00635580" w:rsidRPr="0027045B">
        <w:sym w:font="Wingdings" w:char="F0E0"/>
      </w:r>
      <w:r w:rsidR="00635580" w:rsidRPr="0027045B">
        <w:t>cyclic C9)</w:t>
      </w:r>
      <w:r w:rsidR="00306D19" w:rsidRPr="0027045B">
        <w:t>, as suggested by Lippert et al. (1991). In fact</w:t>
      </w:r>
      <w:r w:rsidR="00AD37B6" w:rsidRPr="0027045B">
        <w:t>,</w:t>
      </w:r>
      <w:r w:rsidR="00306D19" w:rsidRPr="0027045B">
        <w:t xml:space="preserve"> mesitylene accounts for the whole C9 selectivity in the reaction mixture.</w:t>
      </w:r>
      <w:r w:rsidR="00667BBB" w:rsidRPr="0027045B">
        <w:t xml:space="preserve"> Moreover, </w:t>
      </w:r>
      <w:r w:rsidR="008B7CAA" w:rsidRPr="0027045B">
        <w:t xml:space="preserve">C8 </w:t>
      </w:r>
      <w:r w:rsidR="00667BBB" w:rsidRPr="0027045B">
        <w:t xml:space="preserve">dimethyl-phenol was observed </w:t>
      </w:r>
      <w:r w:rsidR="000B2AA3" w:rsidRPr="0027045B">
        <w:t>(</w:t>
      </w:r>
      <w:r w:rsidR="00667BBB" w:rsidRPr="0027045B">
        <w:t>accounting for 2% of carbon-selectivity</w:t>
      </w:r>
      <w:r w:rsidR="000B2AA3" w:rsidRPr="0027045B">
        <w:t xml:space="preserve">), as well as traces of </w:t>
      </w:r>
      <w:r w:rsidR="002B1366" w:rsidRPr="0027045B">
        <w:t>deoxygenated</w:t>
      </w:r>
      <w:r w:rsidR="00667BBB" w:rsidRPr="0027045B">
        <w:t xml:space="preserve"> </w:t>
      </w:r>
      <w:r w:rsidR="002B1366" w:rsidRPr="0027045B">
        <w:t xml:space="preserve">C7 and C10 compounds (dimethyl-pentadiene and tetramethyl-cyclohexadiene, respectively). </w:t>
      </w:r>
      <w:r w:rsidR="00482665" w:rsidRPr="0027045B">
        <w:t>Even if f</w:t>
      </w:r>
      <w:r w:rsidR="002B1366" w:rsidRPr="0027045B">
        <w:t xml:space="preserve">urther efforts and dedicated experiments are needed </w:t>
      </w:r>
      <w:r w:rsidR="00362815" w:rsidRPr="0027045B">
        <w:t>to identify the whole reaction network</w:t>
      </w:r>
      <w:r w:rsidR="00482665" w:rsidRPr="0027045B">
        <w:t xml:space="preserve">, the detailed speciation of outlet mixture </w:t>
      </w:r>
      <w:r w:rsidR="00D72DD9" w:rsidRPr="0027045B">
        <w:t>proved that TiO</w:t>
      </w:r>
      <w:r w:rsidR="00D72DD9" w:rsidRPr="0027045B">
        <w:rPr>
          <w:vertAlign w:val="subscript"/>
        </w:rPr>
        <w:t>2</w:t>
      </w:r>
      <w:r w:rsidR="00D72DD9" w:rsidRPr="0027045B">
        <w:t xml:space="preserve"> </w:t>
      </w:r>
      <w:proofErr w:type="gramStart"/>
      <w:r w:rsidR="00134AC5" w:rsidRPr="0027045B">
        <w:t>is able to</w:t>
      </w:r>
      <w:proofErr w:type="gramEnd"/>
      <w:r w:rsidR="00134AC5" w:rsidRPr="0027045B">
        <w:t xml:space="preserve"> promote not only ketonization reaction but also secondary-chain growth pathways, leading to the production of oxygenated and deoxygenated </w:t>
      </w:r>
      <w:r w:rsidR="00CE3E1B" w:rsidRPr="0027045B">
        <w:t xml:space="preserve">heavy species, </w:t>
      </w:r>
      <w:r w:rsidR="009261EA" w:rsidRPr="0027045B">
        <w:t>which</w:t>
      </w:r>
      <w:r w:rsidR="00CE3E1B" w:rsidRPr="0027045B">
        <w:t xml:space="preserve"> represent interesting compounds for the synthesis of biomass-derived jet-fuels.</w:t>
      </w:r>
      <w:r w:rsidR="00482665" w:rsidRPr="0027045B">
        <w:t xml:space="preserve"> </w:t>
      </w:r>
      <w:r w:rsidR="00CE3E1B" w:rsidRPr="0027045B">
        <w:t xml:space="preserve">However, </w:t>
      </w:r>
      <w:r w:rsidR="00C0759D" w:rsidRPr="0027045B">
        <w:t>it was found that secondary-chain growth reactions were significantly hindered with time on stream: the decreasing trend of C-balance indicates that carbon deposits were formed on the surface and catalyst deactivation was in progress.</w:t>
      </w:r>
    </w:p>
    <w:p w14:paraId="0290ED0E" w14:textId="0CF620BB" w:rsidR="00FC05D3" w:rsidRPr="0027045B" w:rsidRDefault="00FC05D3" w:rsidP="009809B9">
      <w:pPr>
        <w:pStyle w:val="CETBodytext"/>
      </w:pPr>
      <w:r w:rsidRPr="0027045B">
        <w:t xml:space="preserve">The addition of ruthenium </w:t>
      </w:r>
      <w:r w:rsidR="0098298E" w:rsidRPr="0027045B">
        <w:t>to the</w:t>
      </w:r>
      <w:r w:rsidRPr="0027045B">
        <w:t xml:space="preserve"> catalyst formulation as well as the co-feed of </w:t>
      </w:r>
      <w:r w:rsidR="008267F3" w:rsidRPr="0027045B">
        <w:t>20%</w:t>
      </w:r>
      <w:r w:rsidRPr="0027045B">
        <w:t xml:space="preserve"> H</w:t>
      </w:r>
      <w:r w:rsidRPr="0027045B">
        <w:rPr>
          <w:vertAlign w:val="subscript"/>
        </w:rPr>
        <w:t>2</w:t>
      </w:r>
      <w:r w:rsidRPr="0027045B">
        <w:t xml:space="preserve"> in the feed did not significantly affect the speciation at 400°C</w:t>
      </w:r>
      <w:r w:rsidR="000E36D9" w:rsidRPr="0027045B">
        <w:t xml:space="preserve"> for low ToS</w:t>
      </w:r>
      <w:r w:rsidRPr="0027045B">
        <w:t>. As in the case of TiO</w:t>
      </w:r>
      <w:r w:rsidRPr="0027045B">
        <w:rPr>
          <w:vertAlign w:val="subscript"/>
        </w:rPr>
        <w:t>2</w:t>
      </w:r>
      <w:r w:rsidRPr="0027045B">
        <w:t xml:space="preserve">, the product distribution included </w:t>
      </w:r>
      <w:r w:rsidRPr="0027045B">
        <w:lastRenderedPageBreak/>
        <w:t>ketonization products as well as products in the fuel-range</w:t>
      </w:r>
      <w:r w:rsidR="00BC6733">
        <w:t xml:space="preserve">, and </w:t>
      </w:r>
      <w:r w:rsidR="000E36D9" w:rsidRPr="0027045B">
        <w:t>with</w:t>
      </w:r>
      <w:r w:rsidRPr="0027045B">
        <w:t xml:space="preserve"> </w:t>
      </w:r>
      <w:proofErr w:type="spellStart"/>
      <w:r w:rsidRPr="0027045B">
        <w:t>ToS</w:t>
      </w:r>
      <w:proofErr w:type="spellEnd"/>
      <w:r w:rsidRPr="0027045B">
        <w:t xml:space="preserve"> an increased selectivity to acetone and a decreased selectivity to heavier compounds</w:t>
      </w:r>
      <w:r w:rsidR="00D95410" w:rsidRPr="0027045B">
        <w:t xml:space="preserve"> was seen</w:t>
      </w:r>
      <w:r w:rsidRPr="0027045B">
        <w:t xml:space="preserve">. </w:t>
      </w:r>
      <w:r w:rsidR="00D95410" w:rsidRPr="0027045B">
        <w:t>Notably</w:t>
      </w:r>
      <w:r w:rsidRPr="0027045B">
        <w:t>, the C-balance</w:t>
      </w:r>
      <w:r w:rsidR="00A26AD9" w:rsidRPr="0027045B">
        <w:t xml:space="preserve"> always</w:t>
      </w:r>
      <w:r w:rsidRPr="0027045B">
        <w:t xml:space="preserve"> kept close to 1, which would suggest that no severe coking occurred within the time frame investigated and catalyst stability was preserved.</w:t>
      </w:r>
      <w:r w:rsidR="005072D0">
        <w:t xml:space="preserve"> On-going Raman</w:t>
      </w:r>
      <w:r w:rsidR="009F5F54">
        <w:t xml:space="preserve"> analys</w:t>
      </w:r>
      <w:r w:rsidR="001454EA">
        <w:t>e</w:t>
      </w:r>
      <w:r w:rsidR="009F5F54">
        <w:t xml:space="preserve">s and TPO tests are aimed to better characterized spent </w:t>
      </w:r>
      <w:r w:rsidR="009F5F54" w:rsidRPr="0027045B">
        <w:t>TiO</w:t>
      </w:r>
      <w:r w:rsidR="009F5F54" w:rsidRPr="0027045B">
        <w:rPr>
          <w:vertAlign w:val="subscript"/>
        </w:rPr>
        <w:t>2</w:t>
      </w:r>
      <w:r w:rsidR="009F5F54">
        <w:rPr>
          <w:vertAlign w:val="subscript"/>
        </w:rPr>
        <w:t xml:space="preserve"> </w:t>
      </w:r>
      <w:r w:rsidR="009F5F54">
        <w:t>and Ru/</w:t>
      </w:r>
      <w:r w:rsidR="009F5F54" w:rsidRPr="009F5F54">
        <w:t xml:space="preserve"> </w:t>
      </w:r>
      <w:r w:rsidR="009F5F54" w:rsidRPr="0027045B">
        <w:t>TiO</w:t>
      </w:r>
      <w:r w:rsidR="009F5F54" w:rsidRPr="0027045B">
        <w:rPr>
          <w:vertAlign w:val="subscript"/>
        </w:rPr>
        <w:t>2</w:t>
      </w:r>
      <w:r w:rsidR="009F5F54">
        <w:t xml:space="preserve"> catalysts.</w:t>
      </w:r>
    </w:p>
    <w:p w14:paraId="44BE193B" w14:textId="75622466" w:rsidR="00AA5607" w:rsidRPr="0027045B" w:rsidRDefault="009C26F5" w:rsidP="00AA5607">
      <w:pPr>
        <w:pStyle w:val="CETHeading1"/>
      </w:pPr>
      <w:r w:rsidRPr="0027045B">
        <w:t>Conclusions</w:t>
      </w:r>
    </w:p>
    <w:p w14:paraId="13AA01DE" w14:textId="73FE1F74" w:rsidR="004304FC" w:rsidRPr="0027045B" w:rsidRDefault="007A5952" w:rsidP="00F61CEB">
      <w:pPr>
        <w:pStyle w:val="CETBodytext"/>
      </w:pPr>
      <w:bookmarkStart w:id="0" w:name="_Hlk89200167"/>
      <w:r w:rsidRPr="0027045B">
        <w:t>C-C coupling processes of C2-C4 oxygenates represent an interesting solution for the upgrade of pyrolysis vapors and bio</w:t>
      </w:r>
      <w:r w:rsidR="004304FC" w:rsidRPr="0027045B">
        <w:t>-</w:t>
      </w:r>
      <w:r w:rsidRPr="0027045B">
        <w:t xml:space="preserve">fuels production. In this respect, </w:t>
      </w:r>
      <w:r w:rsidR="00124769" w:rsidRPr="0027045B">
        <w:t>chain-growth reactions</w:t>
      </w:r>
      <w:r w:rsidRPr="0027045B">
        <w:t xml:space="preserve"> of acetic acid on TiO</w:t>
      </w:r>
      <w:r w:rsidRPr="0027045B">
        <w:rPr>
          <w:vertAlign w:val="subscript"/>
        </w:rPr>
        <w:t>2</w:t>
      </w:r>
      <w:r w:rsidRPr="0027045B">
        <w:t xml:space="preserve"> and Ru/TiO</w:t>
      </w:r>
      <w:r w:rsidRPr="0027045B">
        <w:rPr>
          <w:vertAlign w:val="subscript"/>
        </w:rPr>
        <w:t>2</w:t>
      </w:r>
      <w:r w:rsidRPr="0027045B">
        <w:t xml:space="preserve"> catalysts </w:t>
      </w:r>
      <w:r w:rsidR="00124769" w:rsidRPr="0027045B">
        <w:t>were</w:t>
      </w:r>
      <w:r w:rsidRPr="0027045B">
        <w:t xml:space="preserve"> investigated in the present work.</w:t>
      </w:r>
    </w:p>
    <w:p w14:paraId="461A4011" w14:textId="44E15BC6" w:rsidR="004359EB" w:rsidRPr="0027045B" w:rsidRDefault="00160D97" w:rsidP="00F61CEB">
      <w:pPr>
        <w:pStyle w:val="CETBodytext"/>
      </w:pPr>
      <w:r w:rsidRPr="0027045B">
        <w:t>In line with the present literature, t</w:t>
      </w:r>
      <w:r w:rsidR="0034505D" w:rsidRPr="0027045B">
        <w:t xml:space="preserve">he investigation of </w:t>
      </w:r>
      <w:r w:rsidR="006F07E0" w:rsidRPr="0027045B">
        <w:t>acetic acid ketonization in the low temperature range (225-</w:t>
      </w:r>
      <w:r w:rsidR="00C731AB" w:rsidRPr="0027045B">
        <w:t>28</w:t>
      </w:r>
      <w:r w:rsidR="00C409CF" w:rsidRPr="0027045B">
        <w:t>5</w:t>
      </w:r>
      <w:r w:rsidR="006F07E0" w:rsidRPr="0027045B">
        <w:t>°C</w:t>
      </w:r>
      <w:r w:rsidR="002207EB" w:rsidRPr="0027045B">
        <w:t>, where 50% conversion maximum was reached) proved relevant performances of a</w:t>
      </w:r>
      <w:r w:rsidR="00D1533A" w:rsidRPr="0027045B">
        <w:t>natase TiO</w:t>
      </w:r>
      <w:r w:rsidR="00D1533A" w:rsidRPr="0027045B">
        <w:rPr>
          <w:vertAlign w:val="subscript"/>
        </w:rPr>
        <w:t>2</w:t>
      </w:r>
      <w:r w:rsidRPr="0027045B">
        <w:t xml:space="preserve"> and a </w:t>
      </w:r>
      <w:r w:rsidR="00EB7036" w:rsidRPr="0027045B">
        <w:t>zeroth order dependence of k</w:t>
      </w:r>
      <w:r w:rsidR="00CF4A0E" w:rsidRPr="0027045B">
        <w:t>etonization reaction rate</w:t>
      </w:r>
      <w:r w:rsidR="00C24D76" w:rsidRPr="0027045B">
        <w:t>, suggesting a wide coverage of catalyst active sites by the acid</w:t>
      </w:r>
      <w:r w:rsidR="001777DC" w:rsidRPr="0027045B">
        <w:t xml:space="preserve"> molecules</w:t>
      </w:r>
      <w:r w:rsidR="00C24D76" w:rsidRPr="0027045B">
        <w:t>.</w:t>
      </w:r>
      <w:r w:rsidR="000808D8" w:rsidRPr="0027045B">
        <w:t xml:space="preserve"> </w:t>
      </w:r>
      <w:r w:rsidR="00606FC9" w:rsidRPr="0027045B">
        <w:t xml:space="preserve">It was also proved that </w:t>
      </w:r>
      <w:r w:rsidR="00437109" w:rsidRPr="0027045B">
        <w:t>ketonization reaction rate was not affected by</w:t>
      </w:r>
      <w:r w:rsidR="00A0408E" w:rsidRPr="0027045B">
        <w:t xml:space="preserve"> the presence of</w:t>
      </w:r>
      <w:r w:rsidR="00437109" w:rsidRPr="0027045B">
        <w:t xml:space="preserve"> H</w:t>
      </w:r>
      <w:r w:rsidR="00437109" w:rsidRPr="0027045B">
        <w:rPr>
          <w:vertAlign w:val="subscript"/>
        </w:rPr>
        <w:t>2</w:t>
      </w:r>
      <w:r w:rsidR="00437109" w:rsidRPr="0027045B">
        <w:t xml:space="preserve"> in the </w:t>
      </w:r>
      <w:r w:rsidR="00A0408E" w:rsidRPr="0027045B">
        <w:t>reacting mixture.</w:t>
      </w:r>
    </w:p>
    <w:p w14:paraId="3207CC71" w14:textId="25ECBF0C" w:rsidR="00AC7937" w:rsidRPr="0027045B" w:rsidRDefault="0035733D" w:rsidP="00BD5A76">
      <w:pPr>
        <w:pStyle w:val="CETBodytext"/>
      </w:pPr>
      <w:r w:rsidRPr="0027045B">
        <w:t>When the</w:t>
      </w:r>
      <w:r w:rsidR="002018C9" w:rsidRPr="0027045B">
        <w:t xml:space="preserve"> reacting system was pushed t</w:t>
      </w:r>
      <w:r w:rsidR="006A247B" w:rsidRPr="0027045B">
        <w:t>o</w:t>
      </w:r>
      <w:r w:rsidR="002018C9" w:rsidRPr="0027045B">
        <w:t xml:space="preserve"> more sever</w:t>
      </w:r>
      <w:r w:rsidR="00A362D2" w:rsidRPr="0027045B">
        <w:t>e</w:t>
      </w:r>
      <w:r w:rsidR="002018C9" w:rsidRPr="0027045B">
        <w:t xml:space="preserve"> conditions</w:t>
      </w:r>
      <w:r w:rsidR="00A362D2" w:rsidRPr="0027045B">
        <w:t xml:space="preserve"> and high temperature rang</w:t>
      </w:r>
      <w:r w:rsidR="006B773E" w:rsidRPr="0027045B">
        <w:t>e was explored (</w:t>
      </w:r>
      <w:r w:rsidR="00C731AB" w:rsidRPr="0027045B">
        <w:t>28</w:t>
      </w:r>
      <w:r w:rsidR="00C409CF" w:rsidRPr="0027045B">
        <w:t>5</w:t>
      </w:r>
      <w:r w:rsidR="006B773E" w:rsidRPr="0027045B">
        <w:t>-400°C, until complete acetic acid conversion)</w:t>
      </w:r>
      <w:r w:rsidR="007E52CF" w:rsidRPr="0027045B">
        <w:t>, the production of heavy species in the fuel-range was observed</w:t>
      </w:r>
      <w:r w:rsidR="00CE2B56" w:rsidRPr="0027045B">
        <w:t xml:space="preserve">, </w:t>
      </w:r>
      <w:r w:rsidR="00E66AC7" w:rsidRPr="0027045B">
        <w:t xml:space="preserve">with </w:t>
      </w:r>
      <w:r w:rsidR="00CE2B56" w:rsidRPr="0027045B">
        <w:t xml:space="preserve">C6-C9 compounds </w:t>
      </w:r>
      <w:r w:rsidR="00E66AC7" w:rsidRPr="0027045B">
        <w:t>accounting for 23% C-selectivity at 400°C.</w:t>
      </w:r>
      <w:r w:rsidR="00BD5A76" w:rsidRPr="0027045B">
        <w:t xml:space="preserve"> However, it was found that secondary-chain growth reactions were significantly hindered with time on stream</w:t>
      </w:r>
      <w:r w:rsidR="00AC7937" w:rsidRPr="0027045B">
        <w:t xml:space="preserve">, with an increased selectivity to acetone and a decreased selectivity to heavier compounds. </w:t>
      </w:r>
      <w:r w:rsidR="00BD5A76" w:rsidRPr="0027045B">
        <w:t xml:space="preserve"> </w:t>
      </w:r>
      <w:proofErr w:type="gramStart"/>
      <w:r w:rsidR="009B289F" w:rsidRPr="0027045B">
        <w:t>Moreover</w:t>
      </w:r>
      <w:proofErr w:type="gramEnd"/>
      <w:r w:rsidR="009B289F" w:rsidRPr="0027045B">
        <w:t xml:space="preserve"> </w:t>
      </w:r>
      <w:r w:rsidR="0001152D" w:rsidRPr="0027045B">
        <w:t xml:space="preserve">the decreasing trend of </w:t>
      </w:r>
      <w:r w:rsidR="009B289F" w:rsidRPr="0027045B">
        <w:t xml:space="preserve">C-balance </w:t>
      </w:r>
      <w:r w:rsidR="0001152D" w:rsidRPr="0027045B">
        <w:t>suggested</w:t>
      </w:r>
      <w:r w:rsidR="00B27CA9" w:rsidRPr="0027045B">
        <w:t xml:space="preserve"> the </w:t>
      </w:r>
      <w:r w:rsidR="00CE549C" w:rsidRPr="0027045B">
        <w:t>activation</w:t>
      </w:r>
      <w:r w:rsidR="00B27CA9" w:rsidRPr="0027045B">
        <w:t xml:space="preserve"> of coking </w:t>
      </w:r>
      <w:r w:rsidR="00CE549C" w:rsidRPr="0027045B">
        <w:t xml:space="preserve">phenomena </w:t>
      </w:r>
      <w:r w:rsidR="00B27CA9" w:rsidRPr="0027045B">
        <w:t>on TiO</w:t>
      </w:r>
      <w:r w:rsidR="00B27CA9" w:rsidRPr="0027045B">
        <w:rPr>
          <w:vertAlign w:val="subscript"/>
        </w:rPr>
        <w:t>2</w:t>
      </w:r>
      <w:r w:rsidR="00B27CA9" w:rsidRPr="0027045B">
        <w:t xml:space="preserve">. </w:t>
      </w:r>
      <w:r w:rsidR="005E2A6C" w:rsidRPr="0027045B">
        <w:t xml:space="preserve">The addition of </w:t>
      </w:r>
      <w:r w:rsidR="0098298E" w:rsidRPr="0027045B">
        <w:t xml:space="preserve">ruthenium to the </w:t>
      </w:r>
      <w:r w:rsidR="00CE549C" w:rsidRPr="0027045B">
        <w:t xml:space="preserve">catalyst formulation </w:t>
      </w:r>
      <w:r w:rsidR="008267F3" w:rsidRPr="0027045B">
        <w:t xml:space="preserve">and </w:t>
      </w:r>
      <w:r w:rsidR="00CE549C" w:rsidRPr="0027045B">
        <w:t xml:space="preserve">the </w:t>
      </w:r>
      <w:r w:rsidR="008267F3" w:rsidRPr="0027045B">
        <w:t>presence of H</w:t>
      </w:r>
      <w:r w:rsidR="008267F3" w:rsidRPr="0027045B">
        <w:rPr>
          <w:vertAlign w:val="subscript"/>
        </w:rPr>
        <w:t>2</w:t>
      </w:r>
      <w:r w:rsidR="008267F3" w:rsidRPr="0027045B">
        <w:t xml:space="preserve"> in the reacting mixture </w:t>
      </w:r>
      <w:r w:rsidR="004533FA" w:rsidRPr="0027045B">
        <w:t>proved promising performances in preventing</w:t>
      </w:r>
      <w:r w:rsidR="00AB448B" w:rsidRPr="0027045B">
        <w:t xml:space="preserve"> this C-loss</w:t>
      </w:r>
      <w:r w:rsidR="0016045D" w:rsidRPr="0027045B">
        <w:t xml:space="preserve"> dynamic</w:t>
      </w:r>
      <w:r w:rsidR="00AB448B" w:rsidRPr="0027045B">
        <w:t>.</w:t>
      </w:r>
    </w:p>
    <w:p w14:paraId="7AA2A8C0" w14:textId="791B27B6" w:rsidR="009F4678" w:rsidRPr="0027045B" w:rsidRDefault="00074B72" w:rsidP="00F61CEB">
      <w:pPr>
        <w:pStyle w:val="CETBodytext"/>
      </w:pPr>
      <w:r w:rsidRPr="0027045B">
        <w:t xml:space="preserve">Further </w:t>
      </w:r>
      <w:r w:rsidR="0095510F" w:rsidRPr="0027045B">
        <w:t xml:space="preserve">studies are needed to better comprehend the nature of </w:t>
      </w:r>
      <w:r w:rsidR="003D72B2" w:rsidRPr="0027045B">
        <w:t xml:space="preserve">the </w:t>
      </w:r>
      <w:r w:rsidR="00AB448B" w:rsidRPr="0027045B">
        <w:t xml:space="preserve">observed </w:t>
      </w:r>
      <w:r w:rsidR="0095510F" w:rsidRPr="0027045B">
        <w:t xml:space="preserve">dynamic </w:t>
      </w:r>
      <w:r w:rsidR="008C28B8" w:rsidRPr="0027045B">
        <w:t>behavior</w:t>
      </w:r>
      <w:r w:rsidR="0095510F" w:rsidRPr="0027045B">
        <w:t xml:space="preserve"> of TiO</w:t>
      </w:r>
      <w:r w:rsidR="0095510F" w:rsidRPr="0027045B">
        <w:rPr>
          <w:vertAlign w:val="subscript"/>
        </w:rPr>
        <w:t>2</w:t>
      </w:r>
      <w:r w:rsidR="0095510F" w:rsidRPr="0027045B">
        <w:t xml:space="preserve"> </w:t>
      </w:r>
      <w:r w:rsidR="00531C39" w:rsidRPr="0027045B">
        <w:t>catalysts,</w:t>
      </w:r>
      <w:r w:rsidR="0095510F" w:rsidRPr="0027045B">
        <w:t xml:space="preserve"> </w:t>
      </w:r>
      <w:r w:rsidR="00530E41" w:rsidRPr="0027045B">
        <w:t>and this will help to develop a</w:t>
      </w:r>
      <w:r w:rsidR="00D22C0A" w:rsidRPr="0027045B">
        <w:t>n active and stable catalytic</w:t>
      </w:r>
      <w:r w:rsidR="006B7370" w:rsidRPr="0027045B">
        <w:t xml:space="preserve"> material</w:t>
      </w:r>
      <w:r w:rsidR="00B25E16" w:rsidRPr="0027045B">
        <w:t>, able to block deactivation and coking.</w:t>
      </w:r>
    </w:p>
    <w:bookmarkEnd w:id="0"/>
    <w:p w14:paraId="459D05E6" w14:textId="77777777" w:rsidR="00600535" w:rsidRPr="0027045B" w:rsidRDefault="00600535" w:rsidP="00600535">
      <w:pPr>
        <w:pStyle w:val="CETAcknowledgementstitle"/>
        <w:rPr>
          <w:lang w:val="en-US"/>
        </w:rPr>
      </w:pPr>
      <w:r w:rsidRPr="0027045B">
        <w:rPr>
          <w:lang w:val="en-US"/>
        </w:rPr>
        <w:t>Acknowledgments</w:t>
      </w:r>
    </w:p>
    <w:p w14:paraId="20C65995" w14:textId="1D202CB2" w:rsidR="00EF16B0" w:rsidRPr="0027045B" w:rsidRDefault="00EA5BFA" w:rsidP="00600535">
      <w:pPr>
        <w:pStyle w:val="CETBodytext"/>
      </w:pPr>
      <w:r w:rsidRPr="0027045B">
        <w:t>Eni is gratefully acknowledged for funding V. P. PhD grant.</w:t>
      </w:r>
    </w:p>
    <w:p w14:paraId="428B022A" w14:textId="5EEEA9C0" w:rsidR="00E65B91" w:rsidRPr="0027045B" w:rsidRDefault="00600535" w:rsidP="007A0B2B">
      <w:pPr>
        <w:pStyle w:val="CETReference"/>
        <w:rPr>
          <w:lang w:val="en-US"/>
        </w:rPr>
      </w:pPr>
      <w:r w:rsidRPr="0027045B">
        <w:rPr>
          <w:lang w:val="en-US"/>
        </w:rPr>
        <w:t>References</w:t>
      </w:r>
    </w:p>
    <w:p w14:paraId="3C42104F" w14:textId="734CF368" w:rsidR="00BD4D4E" w:rsidRPr="0027045B" w:rsidRDefault="00777C08" w:rsidP="00BD4D4E">
      <w:pPr>
        <w:pStyle w:val="CETReferencetext"/>
        <w:rPr>
          <w:lang w:val="en-US"/>
        </w:rPr>
      </w:pPr>
      <w:r w:rsidRPr="0027045B">
        <w:rPr>
          <w:lang w:val="en-US"/>
        </w:rPr>
        <w:t>Gaertner</w:t>
      </w:r>
      <w:r w:rsidR="00BD4D4E" w:rsidRPr="0027045B">
        <w:rPr>
          <w:lang w:val="en-US"/>
        </w:rPr>
        <w:t xml:space="preserve"> </w:t>
      </w:r>
      <w:r w:rsidRPr="0027045B">
        <w:rPr>
          <w:lang w:val="en-US"/>
        </w:rPr>
        <w:t>C.A.</w:t>
      </w:r>
      <w:r w:rsidR="00BD4D4E" w:rsidRPr="0027045B">
        <w:rPr>
          <w:lang w:val="en-US"/>
        </w:rPr>
        <w:t xml:space="preserve">, </w:t>
      </w:r>
      <w:r w:rsidRPr="0027045B">
        <w:rPr>
          <w:lang w:val="en-US"/>
        </w:rPr>
        <w:t>Serrano-Ruiz J.C.</w:t>
      </w:r>
      <w:r w:rsidR="00BD4D4E" w:rsidRPr="0027045B">
        <w:rPr>
          <w:lang w:val="en-US"/>
        </w:rPr>
        <w:t xml:space="preserve">, </w:t>
      </w:r>
      <w:r w:rsidRPr="0027045B">
        <w:rPr>
          <w:lang w:val="en-US"/>
        </w:rPr>
        <w:t>Braden D.</w:t>
      </w:r>
      <w:r w:rsidR="00BD4D4E" w:rsidRPr="0027045B">
        <w:rPr>
          <w:lang w:val="en-US"/>
        </w:rPr>
        <w:t xml:space="preserve">J., </w:t>
      </w:r>
      <w:r w:rsidR="0003395D" w:rsidRPr="0027045B">
        <w:rPr>
          <w:lang w:val="en-US"/>
        </w:rPr>
        <w:t xml:space="preserve">Dumesic A., </w:t>
      </w:r>
      <w:r w:rsidR="00BD4D4E" w:rsidRPr="0027045B">
        <w:rPr>
          <w:lang w:val="en-US"/>
        </w:rPr>
        <w:t>20</w:t>
      </w:r>
      <w:r w:rsidR="00241662" w:rsidRPr="0027045B">
        <w:rPr>
          <w:lang w:val="en-US"/>
        </w:rPr>
        <w:t>09</w:t>
      </w:r>
      <w:r w:rsidR="00BD4D4E" w:rsidRPr="0027045B">
        <w:rPr>
          <w:lang w:val="en-US"/>
        </w:rPr>
        <w:t xml:space="preserve">, </w:t>
      </w:r>
      <w:r w:rsidR="00241662" w:rsidRPr="0027045B">
        <w:rPr>
          <w:lang w:val="en-US"/>
        </w:rPr>
        <w:t>Catalytic coupling of carboxylic acids by ketonization as a processing step in biomass conversion</w:t>
      </w:r>
      <w:r w:rsidR="00BD4D4E" w:rsidRPr="0027045B">
        <w:rPr>
          <w:lang w:val="en-US"/>
        </w:rPr>
        <w:t xml:space="preserve">, </w:t>
      </w:r>
      <w:r w:rsidR="00241662" w:rsidRPr="0027045B">
        <w:rPr>
          <w:lang w:val="en-US"/>
        </w:rPr>
        <w:t>Journal of Catalysis</w:t>
      </w:r>
      <w:r w:rsidR="00BD4D4E" w:rsidRPr="0027045B">
        <w:rPr>
          <w:lang w:val="en-US"/>
        </w:rPr>
        <w:t xml:space="preserve">, </w:t>
      </w:r>
      <w:r w:rsidR="00241662" w:rsidRPr="0027045B">
        <w:rPr>
          <w:lang w:val="en-US"/>
        </w:rPr>
        <w:t>266</w:t>
      </w:r>
      <w:r w:rsidR="00BD4D4E" w:rsidRPr="0027045B">
        <w:rPr>
          <w:lang w:val="en-US"/>
        </w:rPr>
        <w:t xml:space="preserve">, </w:t>
      </w:r>
      <w:r w:rsidR="00241662" w:rsidRPr="0027045B">
        <w:rPr>
          <w:lang w:val="en-US"/>
        </w:rPr>
        <w:t>71-78</w:t>
      </w:r>
      <w:r w:rsidR="00BD4D4E" w:rsidRPr="0027045B">
        <w:rPr>
          <w:lang w:val="en-US"/>
        </w:rPr>
        <w:t>.</w:t>
      </w:r>
    </w:p>
    <w:p w14:paraId="6CF2598F" w14:textId="49296319" w:rsidR="00A86A9D" w:rsidRPr="0027045B" w:rsidRDefault="00A86A9D" w:rsidP="00A86A9D">
      <w:pPr>
        <w:pStyle w:val="CETReferencetext"/>
        <w:rPr>
          <w:lang w:val="en-US"/>
        </w:rPr>
      </w:pPr>
      <w:r w:rsidRPr="0027045B">
        <w:rPr>
          <w:lang w:val="en-US"/>
        </w:rPr>
        <w:t>G</w:t>
      </w:r>
      <w:r w:rsidRPr="0027045B">
        <w:rPr>
          <w:rFonts w:cs="Arial"/>
          <w:lang w:val="en-US"/>
        </w:rPr>
        <w:t>ü</w:t>
      </w:r>
      <w:r w:rsidRPr="0027045B">
        <w:rPr>
          <w:lang w:val="en-US"/>
        </w:rPr>
        <w:t>rb</w:t>
      </w:r>
      <w:r w:rsidRPr="0027045B">
        <w:rPr>
          <w:rFonts w:cs="Arial"/>
          <w:lang w:val="en-US"/>
        </w:rPr>
        <w:t>ü</w:t>
      </w:r>
      <w:r w:rsidRPr="0027045B">
        <w:rPr>
          <w:lang w:val="en-US"/>
        </w:rPr>
        <w:t xml:space="preserve">z </w:t>
      </w:r>
      <w:r w:rsidR="00930F5B" w:rsidRPr="0027045B">
        <w:rPr>
          <w:lang w:val="en-US"/>
        </w:rPr>
        <w:t>E</w:t>
      </w:r>
      <w:r w:rsidRPr="0027045B">
        <w:rPr>
          <w:lang w:val="en-US"/>
        </w:rPr>
        <w:t>.</w:t>
      </w:r>
      <w:r w:rsidR="00930F5B" w:rsidRPr="0027045B">
        <w:rPr>
          <w:lang w:val="en-US"/>
        </w:rPr>
        <w:t>I.</w:t>
      </w:r>
      <w:r w:rsidRPr="0027045B">
        <w:rPr>
          <w:lang w:val="en-US"/>
        </w:rPr>
        <w:t xml:space="preserve">, </w:t>
      </w:r>
      <w:r w:rsidR="00930F5B" w:rsidRPr="0027045B">
        <w:rPr>
          <w:lang w:val="en-US"/>
        </w:rPr>
        <w:t>Kunkes</w:t>
      </w:r>
      <w:r w:rsidRPr="0027045B">
        <w:rPr>
          <w:lang w:val="en-US"/>
        </w:rPr>
        <w:t xml:space="preserve"> </w:t>
      </w:r>
      <w:r w:rsidR="00930F5B" w:rsidRPr="0027045B">
        <w:rPr>
          <w:lang w:val="en-US"/>
        </w:rPr>
        <w:t>E.L</w:t>
      </w:r>
      <w:r w:rsidRPr="0027045B">
        <w:rPr>
          <w:lang w:val="en-US"/>
        </w:rPr>
        <w:t xml:space="preserve">., </w:t>
      </w:r>
      <w:r w:rsidR="00930F5B" w:rsidRPr="0027045B">
        <w:rPr>
          <w:lang w:val="en-US"/>
        </w:rPr>
        <w:t>Dumesic</w:t>
      </w:r>
      <w:r w:rsidRPr="0027045B">
        <w:rPr>
          <w:lang w:val="en-US"/>
        </w:rPr>
        <w:t xml:space="preserve"> </w:t>
      </w:r>
      <w:r w:rsidR="00930F5B" w:rsidRPr="0027045B">
        <w:rPr>
          <w:lang w:val="en-US"/>
        </w:rPr>
        <w:t>J.A</w:t>
      </w:r>
      <w:r w:rsidRPr="0027045B">
        <w:rPr>
          <w:lang w:val="en-US"/>
        </w:rPr>
        <w:t xml:space="preserve">., </w:t>
      </w:r>
      <w:r w:rsidR="00930F5B" w:rsidRPr="0027045B">
        <w:rPr>
          <w:lang w:val="en-US"/>
        </w:rPr>
        <w:t>2010</w:t>
      </w:r>
      <w:r w:rsidRPr="0027045B">
        <w:rPr>
          <w:lang w:val="en-US"/>
        </w:rPr>
        <w:t xml:space="preserve">, </w:t>
      </w:r>
      <w:r w:rsidR="00F1257A" w:rsidRPr="0027045B">
        <w:rPr>
          <w:lang w:val="en-US"/>
        </w:rPr>
        <w:t>Integration of C–C coupling reactions of biomass-derived oxygenates to fuel-grade compounds</w:t>
      </w:r>
      <w:r w:rsidRPr="0027045B">
        <w:rPr>
          <w:lang w:val="en-US"/>
        </w:rPr>
        <w:t xml:space="preserve">, </w:t>
      </w:r>
      <w:r w:rsidR="009A5658" w:rsidRPr="0027045B">
        <w:rPr>
          <w:lang w:val="en-US"/>
        </w:rPr>
        <w:t>Applied Catalysis B: Environmental</w:t>
      </w:r>
      <w:r w:rsidRPr="0027045B">
        <w:rPr>
          <w:lang w:val="en-US"/>
        </w:rPr>
        <w:t xml:space="preserve">, </w:t>
      </w:r>
      <w:r w:rsidR="009A5658" w:rsidRPr="0027045B">
        <w:rPr>
          <w:lang w:val="en-US"/>
        </w:rPr>
        <w:t>94</w:t>
      </w:r>
      <w:r w:rsidRPr="0027045B">
        <w:rPr>
          <w:lang w:val="en-US"/>
        </w:rPr>
        <w:t xml:space="preserve">, </w:t>
      </w:r>
      <w:r w:rsidR="009A5658" w:rsidRPr="0027045B">
        <w:rPr>
          <w:lang w:val="en-US"/>
        </w:rPr>
        <w:t>134-141</w:t>
      </w:r>
      <w:r w:rsidRPr="0027045B">
        <w:rPr>
          <w:lang w:val="en-US"/>
        </w:rPr>
        <w:t>.</w:t>
      </w:r>
    </w:p>
    <w:p w14:paraId="53CBA0DB" w14:textId="5AB804FD" w:rsidR="00DA7920" w:rsidRPr="0027045B" w:rsidRDefault="000E272E" w:rsidP="00DA7920">
      <w:pPr>
        <w:pStyle w:val="CETReferencetext"/>
        <w:rPr>
          <w:lang w:val="en-US"/>
        </w:rPr>
      </w:pPr>
      <w:r w:rsidRPr="0027045B">
        <w:rPr>
          <w:lang w:val="en-US"/>
        </w:rPr>
        <w:t>IEA Renewables 2021</w:t>
      </w:r>
      <w:r w:rsidR="00DA7920" w:rsidRPr="0027045B">
        <w:rPr>
          <w:lang w:val="en-US"/>
        </w:rPr>
        <w:t xml:space="preserve">, </w:t>
      </w:r>
      <w:r w:rsidRPr="0027045B">
        <w:rPr>
          <w:lang w:val="en-US"/>
        </w:rPr>
        <w:t>Analysis and forecast to 2026</w:t>
      </w:r>
      <w:r w:rsidR="00DA7920" w:rsidRPr="0027045B">
        <w:rPr>
          <w:lang w:val="en-US"/>
        </w:rPr>
        <w:t xml:space="preserve"> &lt;</w:t>
      </w:r>
      <w:bookmarkStart w:id="1" w:name="_Hlk93056041"/>
      <w:r w:rsidRPr="0027045B">
        <w:rPr>
          <w:lang w:val="en-US"/>
        </w:rPr>
        <w:t>iea.blob.core.windows.net/assets/5ae32253-7409-4f9a-a91d-1493ffb9777a/Renewables2021-Analysisandforecastto2026.pdf</w:t>
      </w:r>
      <w:bookmarkEnd w:id="1"/>
      <w:r w:rsidR="00DA7920" w:rsidRPr="0027045B">
        <w:rPr>
          <w:lang w:val="en-US"/>
        </w:rPr>
        <w:t>&gt; accessed 1</w:t>
      </w:r>
      <w:r w:rsidR="008B2293" w:rsidRPr="0027045B">
        <w:rPr>
          <w:lang w:val="en-US"/>
        </w:rPr>
        <w:t>4</w:t>
      </w:r>
      <w:r w:rsidR="00DA7920" w:rsidRPr="0027045B">
        <w:rPr>
          <w:lang w:val="en-US"/>
        </w:rPr>
        <w:t>.01.2022.</w:t>
      </w:r>
    </w:p>
    <w:p w14:paraId="02E9AD99" w14:textId="6990809D" w:rsidR="009E09D0" w:rsidRPr="0027045B" w:rsidRDefault="003E3214" w:rsidP="009E09D0">
      <w:pPr>
        <w:pStyle w:val="CETReferencetext"/>
        <w:rPr>
          <w:lang w:val="en-US"/>
        </w:rPr>
      </w:pPr>
      <w:r w:rsidRPr="0027045B">
        <w:rPr>
          <w:lang w:val="en-US"/>
        </w:rPr>
        <w:t>Kumar R.</w:t>
      </w:r>
      <w:r w:rsidR="009E09D0" w:rsidRPr="0027045B">
        <w:rPr>
          <w:lang w:val="en-US"/>
        </w:rPr>
        <w:t xml:space="preserve">, </w:t>
      </w:r>
      <w:r w:rsidRPr="0027045B">
        <w:rPr>
          <w:lang w:val="en-US"/>
        </w:rPr>
        <w:t>Enjamuri</w:t>
      </w:r>
      <w:r w:rsidR="009E09D0" w:rsidRPr="0027045B">
        <w:rPr>
          <w:lang w:val="en-US"/>
        </w:rPr>
        <w:t xml:space="preserve"> </w:t>
      </w:r>
      <w:r w:rsidRPr="0027045B">
        <w:rPr>
          <w:lang w:val="en-US"/>
        </w:rPr>
        <w:t>N</w:t>
      </w:r>
      <w:r w:rsidR="009E09D0" w:rsidRPr="0027045B">
        <w:rPr>
          <w:lang w:val="en-US"/>
        </w:rPr>
        <w:t xml:space="preserve">., </w:t>
      </w:r>
      <w:r w:rsidRPr="0027045B">
        <w:rPr>
          <w:lang w:val="en-US"/>
        </w:rPr>
        <w:t>Shah</w:t>
      </w:r>
      <w:r w:rsidR="009E09D0" w:rsidRPr="0027045B">
        <w:rPr>
          <w:lang w:val="en-US"/>
        </w:rPr>
        <w:t xml:space="preserve"> </w:t>
      </w:r>
      <w:r w:rsidRPr="0027045B">
        <w:rPr>
          <w:lang w:val="en-US"/>
        </w:rPr>
        <w:t>S</w:t>
      </w:r>
      <w:r w:rsidR="009E09D0" w:rsidRPr="0027045B">
        <w:rPr>
          <w:lang w:val="en-US"/>
        </w:rPr>
        <w:t>.,</w:t>
      </w:r>
      <w:r w:rsidR="006F713C" w:rsidRPr="0027045B">
        <w:rPr>
          <w:lang w:val="en-US"/>
        </w:rPr>
        <w:t xml:space="preserve"> Al-Fatesh A.S., Bravo-Suàrez J.J.</w:t>
      </w:r>
      <w:r w:rsidR="00E84B54" w:rsidRPr="0027045B">
        <w:rPr>
          <w:lang w:val="en-US"/>
        </w:rPr>
        <w:t>, Chowdhury B.,</w:t>
      </w:r>
      <w:r w:rsidR="009E09D0" w:rsidRPr="0027045B">
        <w:rPr>
          <w:lang w:val="en-US"/>
        </w:rPr>
        <w:t xml:space="preserve"> </w:t>
      </w:r>
      <w:r w:rsidR="00E84B54" w:rsidRPr="0027045B">
        <w:rPr>
          <w:lang w:val="en-US"/>
        </w:rPr>
        <w:t>2018</w:t>
      </w:r>
      <w:r w:rsidR="009E09D0" w:rsidRPr="0027045B">
        <w:rPr>
          <w:lang w:val="en-US"/>
        </w:rPr>
        <w:t xml:space="preserve">, Ketonization of oxygenated hydrocarbons on metal oxide based catalysts, </w:t>
      </w:r>
      <w:r w:rsidR="00E84B54" w:rsidRPr="0027045B">
        <w:rPr>
          <w:lang w:val="en-US"/>
        </w:rPr>
        <w:t>Catalysis Today</w:t>
      </w:r>
      <w:r w:rsidR="009E09D0" w:rsidRPr="0027045B">
        <w:rPr>
          <w:lang w:val="en-US"/>
        </w:rPr>
        <w:t xml:space="preserve">, </w:t>
      </w:r>
      <w:r w:rsidR="00E84B54" w:rsidRPr="0027045B">
        <w:rPr>
          <w:lang w:val="en-US"/>
        </w:rPr>
        <w:t>302</w:t>
      </w:r>
      <w:r w:rsidR="009E09D0" w:rsidRPr="0027045B">
        <w:rPr>
          <w:lang w:val="en-US"/>
        </w:rPr>
        <w:t xml:space="preserve">, </w:t>
      </w:r>
      <w:r w:rsidR="00E84B54" w:rsidRPr="0027045B">
        <w:rPr>
          <w:lang w:val="en-US"/>
        </w:rPr>
        <w:t>16-49</w:t>
      </w:r>
      <w:r w:rsidR="009E09D0" w:rsidRPr="0027045B">
        <w:rPr>
          <w:lang w:val="en-US"/>
        </w:rPr>
        <w:t>.</w:t>
      </w:r>
    </w:p>
    <w:p w14:paraId="08EC5CCE" w14:textId="29A8EF6F" w:rsidR="00600535" w:rsidRPr="0027045B" w:rsidRDefault="00130014" w:rsidP="006B4888">
      <w:pPr>
        <w:pStyle w:val="CETReferencetext"/>
        <w:rPr>
          <w:lang w:val="en-US"/>
        </w:rPr>
      </w:pPr>
      <w:r w:rsidRPr="0027045B">
        <w:rPr>
          <w:lang w:val="en-US"/>
        </w:rPr>
        <w:t>Lippert</w:t>
      </w:r>
      <w:r w:rsidR="00600535" w:rsidRPr="0027045B">
        <w:rPr>
          <w:lang w:val="en-US"/>
        </w:rPr>
        <w:t xml:space="preserve"> </w:t>
      </w:r>
      <w:r w:rsidRPr="0027045B">
        <w:rPr>
          <w:lang w:val="en-US"/>
        </w:rPr>
        <w:t>S</w:t>
      </w:r>
      <w:r w:rsidR="00600535" w:rsidRPr="0027045B">
        <w:rPr>
          <w:lang w:val="en-US"/>
        </w:rPr>
        <w:t xml:space="preserve">., </w:t>
      </w:r>
      <w:r w:rsidR="003D77F3" w:rsidRPr="0027045B">
        <w:rPr>
          <w:lang w:val="en-US"/>
        </w:rPr>
        <w:t>Baumann</w:t>
      </w:r>
      <w:r w:rsidR="00600535" w:rsidRPr="0027045B">
        <w:rPr>
          <w:lang w:val="en-US"/>
        </w:rPr>
        <w:t xml:space="preserve"> </w:t>
      </w:r>
      <w:r w:rsidR="003D77F3" w:rsidRPr="0027045B">
        <w:rPr>
          <w:lang w:val="en-US"/>
        </w:rPr>
        <w:t>W</w:t>
      </w:r>
      <w:r w:rsidR="00600535" w:rsidRPr="0027045B">
        <w:rPr>
          <w:lang w:val="en-US"/>
        </w:rPr>
        <w:t xml:space="preserve">., </w:t>
      </w:r>
      <w:r w:rsidR="003D77F3" w:rsidRPr="0027045B">
        <w:rPr>
          <w:lang w:val="en-US"/>
        </w:rPr>
        <w:t>Thomke</w:t>
      </w:r>
      <w:r w:rsidR="00600535" w:rsidRPr="0027045B">
        <w:rPr>
          <w:lang w:val="en-US"/>
        </w:rPr>
        <w:t xml:space="preserve"> </w:t>
      </w:r>
      <w:r w:rsidR="003D77F3" w:rsidRPr="0027045B">
        <w:rPr>
          <w:lang w:val="en-US"/>
        </w:rPr>
        <w:t>K</w:t>
      </w:r>
      <w:r w:rsidR="00600535" w:rsidRPr="0027045B">
        <w:rPr>
          <w:lang w:val="en-US"/>
        </w:rPr>
        <w:t xml:space="preserve">., </w:t>
      </w:r>
      <w:r w:rsidR="00712377" w:rsidRPr="0027045B">
        <w:rPr>
          <w:lang w:val="en-US"/>
        </w:rPr>
        <w:t>1991</w:t>
      </w:r>
      <w:r w:rsidR="00600535" w:rsidRPr="0027045B">
        <w:rPr>
          <w:lang w:val="en-US"/>
        </w:rPr>
        <w:t xml:space="preserve">, </w:t>
      </w:r>
      <w:r w:rsidR="00712377" w:rsidRPr="0027045B">
        <w:rPr>
          <w:lang w:val="en-US"/>
        </w:rPr>
        <w:t>Secondary reactions of the base-catalyzed aldol condensation of acetone</w:t>
      </w:r>
      <w:r w:rsidR="00600535" w:rsidRPr="0027045B">
        <w:rPr>
          <w:lang w:val="en-US"/>
        </w:rPr>
        <w:t xml:space="preserve">, </w:t>
      </w:r>
      <w:r w:rsidR="003C4091" w:rsidRPr="0027045B">
        <w:rPr>
          <w:lang w:val="en-US"/>
        </w:rPr>
        <w:t>J</w:t>
      </w:r>
      <w:r w:rsidR="00712377" w:rsidRPr="0027045B">
        <w:rPr>
          <w:lang w:val="en-US"/>
        </w:rPr>
        <w:t>ournal of Molecular Catalysis</w:t>
      </w:r>
      <w:r w:rsidR="00830996" w:rsidRPr="0027045B">
        <w:rPr>
          <w:lang w:val="en-US"/>
        </w:rPr>
        <w:t xml:space="preserve">, </w:t>
      </w:r>
      <w:r w:rsidR="00712377" w:rsidRPr="0027045B">
        <w:rPr>
          <w:lang w:val="en-US"/>
        </w:rPr>
        <w:t>69</w:t>
      </w:r>
      <w:r w:rsidR="00830996" w:rsidRPr="0027045B">
        <w:rPr>
          <w:lang w:val="en-US"/>
        </w:rPr>
        <w:t xml:space="preserve">, </w:t>
      </w:r>
      <w:r w:rsidR="00712377" w:rsidRPr="0027045B">
        <w:rPr>
          <w:lang w:val="en-US"/>
        </w:rPr>
        <w:t>199-214</w:t>
      </w:r>
      <w:r w:rsidR="00830996" w:rsidRPr="0027045B">
        <w:rPr>
          <w:lang w:val="en-US"/>
        </w:rPr>
        <w:t>.</w:t>
      </w:r>
    </w:p>
    <w:p w14:paraId="50F63829" w14:textId="48FE55A7" w:rsidR="008B26C9" w:rsidRPr="0027045B" w:rsidRDefault="005B5B2B" w:rsidP="008B26C9">
      <w:pPr>
        <w:pStyle w:val="CETReferencetext"/>
        <w:rPr>
          <w:lang w:val="en-US"/>
        </w:rPr>
      </w:pPr>
      <w:r w:rsidRPr="0027045B">
        <w:rPr>
          <w:lang w:val="en-US"/>
        </w:rPr>
        <w:t>Ochoa</w:t>
      </w:r>
      <w:r w:rsidR="008B26C9" w:rsidRPr="0027045B">
        <w:rPr>
          <w:lang w:val="en-US"/>
        </w:rPr>
        <w:t xml:space="preserve"> </w:t>
      </w:r>
      <w:r w:rsidRPr="0027045B">
        <w:rPr>
          <w:lang w:val="en-US"/>
        </w:rPr>
        <w:t>A</w:t>
      </w:r>
      <w:r w:rsidR="008B26C9" w:rsidRPr="0027045B">
        <w:rPr>
          <w:lang w:val="en-US"/>
        </w:rPr>
        <w:t xml:space="preserve">., </w:t>
      </w:r>
      <w:r w:rsidRPr="0027045B">
        <w:rPr>
          <w:lang w:val="en-US"/>
        </w:rPr>
        <w:t>Bilbao</w:t>
      </w:r>
      <w:r w:rsidR="008B26C9" w:rsidRPr="0027045B">
        <w:rPr>
          <w:lang w:val="en-US"/>
        </w:rPr>
        <w:t xml:space="preserve"> </w:t>
      </w:r>
      <w:r w:rsidRPr="0027045B">
        <w:rPr>
          <w:lang w:val="en-US"/>
        </w:rPr>
        <w:t>J</w:t>
      </w:r>
      <w:r w:rsidR="008B26C9" w:rsidRPr="0027045B">
        <w:rPr>
          <w:lang w:val="en-US"/>
        </w:rPr>
        <w:t xml:space="preserve">., </w:t>
      </w:r>
      <w:r w:rsidRPr="0027045B">
        <w:rPr>
          <w:lang w:val="en-US"/>
        </w:rPr>
        <w:t>Gayubo</w:t>
      </w:r>
      <w:r w:rsidR="008B26C9" w:rsidRPr="0027045B">
        <w:rPr>
          <w:lang w:val="en-US"/>
        </w:rPr>
        <w:t xml:space="preserve"> </w:t>
      </w:r>
      <w:r w:rsidRPr="0027045B">
        <w:rPr>
          <w:lang w:val="en-US"/>
        </w:rPr>
        <w:t>A.G</w:t>
      </w:r>
      <w:r w:rsidR="008B26C9" w:rsidRPr="0027045B">
        <w:rPr>
          <w:lang w:val="en-US"/>
        </w:rPr>
        <w:t>.,</w:t>
      </w:r>
      <w:r w:rsidR="00C071D7" w:rsidRPr="0027045B">
        <w:rPr>
          <w:lang w:val="en-US"/>
        </w:rPr>
        <w:t xml:space="preserve"> Casta</w:t>
      </w:r>
      <w:r w:rsidR="00027070" w:rsidRPr="0027045B">
        <w:rPr>
          <w:lang w:val="en-US"/>
        </w:rPr>
        <w:t>ñ</w:t>
      </w:r>
      <w:r w:rsidR="00C071D7" w:rsidRPr="0027045B">
        <w:rPr>
          <w:lang w:val="en-US"/>
        </w:rPr>
        <w:t>o P., 2020</w:t>
      </w:r>
      <w:r w:rsidR="008B26C9" w:rsidRPr="0027045B">
        <w:rPr>
          <w:lang w:val="en-US"/>
        </w:rPr>
        <w:t xml:space="preserve">, </w:t>
      </w:r>
      <w:r w:rsidR="00312091" w:rsidRPr="0027045B">
        <w:rPr>
          <w:lang w:val="en-US"/>
        </w:rPr>
        <w:t>Coke formation and deactivation during catalytic reforming of biomass and waste pyrolysis products: A review</w:t>
      </w:r>
      <w:r w:rsidR="008B26C9" w:rsidRPr="0027045B">
        <w:rPr>
          <w:lang w:val="en-US"/>
        </w:rPr>
        <w:t xml:space="preserve">, </w:t>
      </w:r>
      <w:r w:rsidR="00312091" w:rsidRPr="0027045B">
        <w:rPr>
          <w:lang w:val="en-US"/>
        </w:rPr>
        <w:t>Renewable and Sustainable Energy Reviews</w:t>
      </w:r>
      <w:r w:rsidR="008B26C9" w:rsidRPr="0027045B">
        <w:rPr>
          <w:lang w:val="en-US"/>
        </w:rPr>
        <w:t xml:space="preserve">, </w:t>
      </w:r>
      <w:r w:rsidR="00312091" w:rsidRPr="0027045B">
        <w:rPr>
          <w:lang w:val="en-US"/>
        </w:rPr>
        <w:t>119</w:t>
      </w:r>
      <w:r w:rsidR="008B26C9" w:rsidRPr="0027045B">
        <w:rPr>
          <w:lang w:val="en-US"/>
        </w:rPr>
        <w:t>, 1</w:t>
      </w:r>
      <w:r w:rsidR="00D24274" w:rsidRPr="0027045B">
        <w:rPr>
          <w:lang w:val="en-US"/>
        </w:rPr>
        <w:t>09600</w:t>
      </w:r>
      <w:r w:rsidR="008B26C9" w:rsidRPr="0027045B">
        <w:rPr>
          <w:lang w:val="en-US"/>
        </w:rPr>
        <w:t>.</w:t>
      </w:r>
    </w:p>
    <w:p w14:paraId="31E748F6" w14:textId="06AA84A0" w:rsidR="00797FD1" w:rsidRPr="0027045B" w:rsidRDefault="00797FD1" w:rsidP="00797FD1">
      <w:pPr>
        <w:pStyle w:val="CETReferencetext"/>
        <w:rPr>
          <w:lang w:val="en-US"/>
        </w:rPr>
      </w:pPr>
      <w:r w:rsidRPr="0027045B">
        <w:rPr>
          <w:lang w:val="en-US"/>
        </w:rPr>
        <w:t xml:space="preserve">Pham T.N., Shi D., Resasco D.E., </w:t>
      </w:r>
      <w:r w:rsidR="004C5EF9" w:rsidRPr="0027045B">
        <w:rPr>
          <w:lang w:val="en-US"/>
        </w:rPr>
        <w:t>2014</w:t>
      </w:r>
      <w:r w:rsidRPr="0027045B">
        <w:rPr>
          <w:lang w:val="en-US"/>
        </w:rPr>
        <w:t xml:space="preserve">, </w:t>
      </w:r>
      <w:r w:rsidR="004C5EF9" w:rsidRPr="0027045B">
        <w:rPr>
          <w:lang w:val="en-US"/>
        </w:rPr>
        <w:t xml:space="preserve">Reaction kinetics and mechanism of ketonization </w:t>
      </w:r>
      <w:r w:rsidR="00815314" w:rsidRPr="0027045B">
        <w:rPr>
          <w:lang w:val="en-US"/>
        </w:rPr>
        <w:t>of aliphatic carboxylic acids with different carbon chain lengths over Ru/TiO</w:t>
      </w:r>
      <w:r w:rsidR="00815314" w:rsidRPr="0027045B">
        <w:rPr>
          <w:vertAlign w:val="subscript"/>
          <w:lang w:val="en-US"/>
        </w:rPr>
        <w:t>2</w:t>
      </w:r>
      <w:r w:rsidR="00815314" w:rsidRPr="0027045B">
        <w:rPr>
          <w:lang w:val="en-US"/>
        </w:rPr>
        <w:t xml:space="preserve"> catalyst</w:t>
      </w:r>
      <w:r w:rsidRPr="0027045B">
        <w:rPr>
          <w:lang w:val="en-US"/>
        </w:rPr>
        <w:t xml:space="preserve">, Journal of Catalysis, </w:t>
      </w:r>
      <w:r w:rsidR="004C5EF9" w:rsidRPr="0027045B">
        <w:rPr>
          <w:lang w:val="en-US"/>
        </w:rPr>
        <w:t>314</w:t>
      </w:r>
      <w:r w:rsidRPr="0027045B">
        <w:rPr>
          <w:lang w:val="en-US"/>
        </w:rPr>
        <w:t xml:space="preserve">, </w:t>
      </w:r>
      <w:r w:rsidR="004C5EF9" w:rsidRPr="0027045B">
        <w:rPr>
          <w:lang w:val="en-US"/>
        </w:rPr>
        <w:t>149-158</w:t>
      </w:r>
      <w:r w:rsidRPr="0027045B">
        <w:rPr>
          <w:lang w:val="en-US"/>
        </w:rPr>
        <w:t>.</w:t>
      </w:r>
    </w:p>
    <w:p w14:paraId="56AEA5CC" w14:textId="0B5A5017" w:rsidR="009A3B2B" w:rsidRPr="0027045B" w:rsidRDefault="009A3B2B" w:rsidP="009A3B2B">
      <w:pPr>
        <w:pStyle w:val="CETReferencetext"/>
        <w:rPr>
          <w:lang w:val="en-US"/>
        </w:rPr>
      </w:pPr>
      <w:r w:rsidRPr="0027045B">
        <w:rPr>
          <w:lang w:val="en-US"/>
        </w:rPr>
        <w:t>Wang S., Goulas K., Iglesia E., 2016, Condensation and esterification reactions of alkanals, alkanones, and alkanols on TiO</w:t>
      </w:r>
      <w:r w:rsidRPr="0027045B">
        <w:rPr>
          <w:vertAlign w:val="subscript"/>
          <w:lang w:val="en-US"/>
        </w:rPr>
        <w:t>2</w:t>
      </w:r>
      <w:r w:rsidRPr="0027045B">
        <w:rPr>
          <w:lang w:val="en-US"/>
        </w:rPr>
        <w:t>: Elementary steps, site requirements, and synergistic effects of bifunctional strategies, Journal of Catalysis, 340, 302-320.</w:t>
      </w:r>
    </w:p>
    <w:p w14:paraId="4E888564" w14:textId="017BA41E" w:rsidR="003C4091" w:rsidRPr="0027045B" w:rsidRDefault="003C4091" w:rsidP="003C4091">
      <w:pPr>
        <w:pStyle w:val="CETReferencetext"/>
        <w:rPr>
          <w:lang w:val="en-US"/>
        </w:rPr>
      </w:pPr>
      <w:r w:rsidRPr="0027045B">
        <w:rPr>
          <w:lang w:val="en-US"/>
        </w:rPr>
        <w:t xml:space="preserve">Wang S., </w:t>
      </w:r>
      <w:r w:rsidR="000F037C" w:rsidRPr="0027045B">
        <w:rPr>
          <w:lang w:val="en-US"/>
        </w:rPr>
        <w:t>Iglesia</w:t>
      </w:r>
      <w:r w:rsidRPr="0027045B">
        <w:rPr>
          <w:lang w:val="en-US"/>
        </w:rPr>
        <w:t xml:space="preserve"> </w:t>
      </w:r>
      <w:r w:rsidR="000F037C" w:rsidRPr="0027045B">
        <w:rPr>
          <w:lang w:val="en-US"/>
        </w:rPr>
        <w:t>E</w:t>
      </w:r>
      <w:r w:rsidRPr="0027045B">
        <w:rPr>
          <w:lang w:val="en-US"/>
        </w:rPr>
        <w:t xml:space="preserve">., </w:t>
      </w:r>
      <w:r w:rsidR="000F037C" w:rsidRPr="0027045B">
        <w:rPr>
          <w:lang w:val="en-US"/>
        </w:rPr>
        <w:t>2017</w:t>
      </w:r>
      <w:r w:rsidRPr="0027045B">
        <w:rPr>
          <w:lang w:val="en-US"/>
        </w:rPr>
        <w:t xml:space="preserve">, </w:t>
      </w:r>
      <w:r w:rsidR="000D2CB7" w:rsidRPr="0027045B">
        <w:rPr>
          <w:lang w:val="en-US"/>
        </w:rPr>
        <w:t>Experimental and theoretical assessment of the mechanism and site requirements for ketonization of carboxylic acids on oxides</w:t>
      </w:r>
      <w:r w:rsidRPr="0027045B">
        <w:rPr>
          <w:lang w:val="en-US"/>
        </w:rPr>
        <w:t xml:space="preserve">, Journal of Catalysis, </w:t>
      </w:r>
      <w:r w:rsidR="000D2CB7" w:rsidRPr="0027045B">
        <w:rPr>
          <w:lang w:val="en-US"/>
        </w:rPr>
        <w:t>345</w:t>
      </w:r>
      <w:r w:rsidRPr="0027045B">
        <w:rPr>
          <w:lang w:val="en-US"/>
        </w:rPr>
        <w:t xml:space="preserve">, </w:t>
      </w:r>
      <w:r w:rsidR="000D2CB7" w:rsidRPr="0027045B">
        <w:rPr>
          <w:lang w:val="en-US"/>
        </w:rPr>
        <w:t>183-206</w:t>
      </w:r>
      <w:r w:rsidRPr="0027045B">
        <w:rPr>
          <w:lang w:val="en-US"/>
        </w:rPr>
        <w:t>.</w:t>
      </w:r>
    </w:p>
    <w:sectPr w:rsidR="003C4091" w:rsidRPr="0027045B" w:rsidSect="00EF06D9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67AD" w14:textId="77777777" w:rsidR="00164B59" w:rsidRDefault="00164B59" w:rsidP="004F5E36">
      <w:r>
        <w:separator/>
      </w:r>
    </w:p>
  </w:endnote>
  <w:endnote w:type="continuationSeparator" w:id="0">
    <w:p w14:paraId="0E363FE8" w14:textId="77777777" w:rsidR="00164B59" w:rsidRDefault="00164B59" w:rsidP="004F5E36">
      <w:r>
        <w:continuationSeparator/>
      </w:r>
    </w:p>
  </w:endnote>
  <w:endnote w:type="continuationNotice" w:id="1">
    <w:p w14:paraId="3D889203" w14:textId="77777777" w:rsidR="00164B59" w:rsidRDefault="00164B5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27E3" w14:textId="77777777" w:rsidR="00164B59" w:rsidRDefault="00164B59" w:rsidP="004F5E36">
      <w:r>
        <w:separator/>
      </w:r>
    </w:p>
  </w:footnote>
  <w:footnote w:type="continuationSeparator" w:id="0">
    <w:p w14:paraId="72AD14C5" w14:textId="77777777" w:rsidR="00164B59" w:rsidRDefault="00164B59" w:rsidP="004F5E36">
      <w:r>
        <w:continuationSeparator/>
      </w:r>
    </w:p>
  </w:footnote>
  <w:footnote w:type="continuationNotice" w:id="1">
    <w:p w14:paraId="061A86DE" w14:textId="77777777" w:rsidR="00164B59" w:rsidRDefault="00164B5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CA45038"/>
    <w:multiLevelType w:val="hybridMultilevel"/>
    <w:tmpl w:val="17B28820"/>
    <w:lvl w:ilvl="0" w:tplc="8AD6B5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329B9"/>
    <w:multiLevelType w:val="hybridMultilevel"/>
    <w:tmpl w:val="A2E6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13"/>
  </w:num>
  <w:num w:numId="14">
    <w:abstractNumId w:val="19"/>
  </w:num>
  <w:num w:numId="15">
    <w:abstractNumId w:val="21"/>
  </w:num>
  <w:num w:numId="16">
    <w:abstractNumId w:val="20"/>
  </w:num>
  <w:num w:numId="17">
    <w:abstractNumId w:val="12"/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196F"/>
    <w:rsid w:val="000027C0"/>
    <w:rsid w:val="000052FB"/>
    <w:rsid w:val="000055BC"/>
    <w:rsid w:val="00005978"/>
    <w:rsid w:val="00006C8E"/>
    <w:rsid w:val="000102CB"/>
    <w:rsid w:val="00010828"/>
    <w:rsid w:val="0001152D"/>
    <w:rsid w:val="000117CB"/>
    <w:rsid w:val="00011CFA"/>
    <w:rsid w:val="00014EC0"/>
    <w:rsid w:val="000164FD"/>
    <w:rsid w:val="000207E3"/>
    <w:rsid w:val="00023FC9"/>
    <w:rsid w:val="00024344"/>
    <w:rsid w:val="000247AB"/>
    <w:rsid w:val="0002640B"/>
    <w:rsid w:val="000264FF"/>
    <w:rsid w:val="00026F22"/>
    <w:rsid w:val="00027070"/>
    <w:rsid w:val="00027C96"/>
    <w:rsid w:val="0003148D"/>
    <w:rsid w:val="00031EEC"/>
    <w:rsid w:val="00032F33"/>
    <w:rsid w:val="0003395D"/>
    <w:rsid w:val="00034A2B"/>
    <w:rsid w:val="00035C8A"/>
    <w:rsid w:val="000368C4"/>
    <w:rsid w:val="00037E52"/>
    <w:rsid w:val="00040CDC"/>
    <w:rsid w:val="0004298B"/>
    <w:rsid w:val="0004415D"/>
    <w:rsid w:val="000444DF"/>
    <w:rsid w:val="00044F1B"/>
    <w:rsid w:val="00045635"/>
    <w:rsid w:val="00051566"/>
    <w:rsid w:val="00051893"/>
    <w:rsid w:val="00051EA2"/>
    <w:rsid w:val="0005486D"/>
    <w:rsid w:val="000567F1"/>
    <w:rsid w:val="00057B93"/>
    <w:rsid w:val="00057C62"/>
    <w:rsid w:val="00057D8F"/>
    <w:rsid w:val="0006257A"/>
    <w:rsid w:val="00062A9A"/>
    <w:rsid w:val="00062B46"/>
    <w:rsid w:val="00065058"/>
    <w:rsid w:val="00070D13"/>
    <w:rsid w:val="00071444"/>
    <w:rsid w:val="00071654"/>
    <w:rsid w:val="00074B72"/>
    <w:rsid w:val="000755EF"/>
    <w:rsid w:val="00080673"/>
    <w:rsid w:val="000808D8"/>
    <w:rsid w:val="00083EBE"/>
    <w:rsid w:val="00086C39"/>
    <w:rsid w:val="000877A1"/>
    <w:rsid w:val="00091633"/>
    <w:rsid w:val="000939AA"/>
    <w:rsid w:val="000A03B2"/>
    <w:rsid w:val="000A2D0E"/>
    <w:rsid w:val="000A3FB6"/>
    <w:rsid w:val="000A50D4"/>
    <w:rsid w:val="000B1A44"/>
    <w:rsid w:val="000B2AA3"/>
    <w:rsid w:val="000B4970"/>
    <w:rsid w:val="000B4C6B"/>
    <w:rsid w:val="000B65E8"/>
    <w:rsid w:val="000B720C"/>
    <w:rsid w:val="000B742D"/>
    <w:rsid w:val="000C1226"/>
    <w:rsid w:val="000C2547"/>
    <w:rsid w:val="000C4BE9"/>
    <w:rsid w:val="000D0268"/>
    <w:rsid w:val="000D14C2"/>
    <w:rsid w:val="000D153C"/>
    <w:rsid w:val="000D2CB7"/>
    <w:rsid w:val="000D34BE"/>
    <w:rsid w:val="000D4C06"/>
    <w:rsid w:val="000D5092"/>
    <w:rsid w:val="000D5E5B"/>
    <w:rsid w:val="000D6D96"/>
    <w:rsid w:val="000E102F"/>
    <w:rsid w:val="000E2399"/>
    <w:rsid w:val="000E272E"/>
    <w:rsid w:val="000E36D9"/>
    <w:rsid w:val="000E36F1"/>
    <w:rsid w:val="000E3A73"/>
    <w:rsid w:val="000E414A"/>
    <w:rsid w:val="000E47CB"/>
    <w:rsid w:val="000E6918"/>
    <w:rsid w:val="000E7937"/>
    <w:rsid w:val="000F037C"/>
    <w:rsid w:val="000F07EF"/>
    <w:rsid w:val="000F08A3"/>
    <w:rsid w:val="000F093C"/>
    <w:rsid w:val="000F1871"/>
    <w:rsid w:val="000F2357"/>
    <w:rsid w:val="000F605B"/>
    <w:rsid w:val="000F6749"/>
    <w:rsid w:val="000F787B"/>
    <w:rsid w:val="00101CAF"/>
    <w:rsid w:val="00105ADF"/>
    <w:rsid w:val="00106E01"/>
    <w:rsid w:val="001078A0"/>
    <w:rsid w:val="001124B2"/>
    <w:rsid w:val="00112B1E"/>
    <w:rsid w:val="00113512"/>
    <w:rsid w:val="00114CB5"/>
    <w:rsid w:val="00114F6C"/>
    <w:rsid w:val="001170DF"/>
    <w:rsid w:val="0012091F"/>
    <w:rsid w:val="00121708"/>
    <w:rsid w:val="00122826"/>
    <w:rsid w:val="00122936"/>
    <w:rsid w:val="00122E68"/>
    <w:rsid w:val="00124769"/>
    <w:rsid w:val="00126BC2"/>
    <w:rsid w:val="00127A6C"/>
    <w:rsid w:val="00130014"/>
    <w:rsid w:val="001308B6"/>
    <w:rsid w:val="0013121F"/>
    <w:rsid w:val="00131517"/>
    <w:rsid w:val="00131FE6"/>
    <w:rsid w:val="0013263F"/>
    <w:rsid w:val="00132D5C"/>
    <w:rsid w:val="001331DF"/>
    <w:rsid w:val="00134AC5"/>
    <w:rsid w:val="00134DE4"/>
    <w:rsid w:val="00136909"/>
    <w:rsid w:val="0013732A"/>
    <w:rsid w:val="00137888"/>
    <w:rsid w:val="0014034D"/>
    <w:rsid w:val="00140E4C"/>
    <w:rsid w:val="0014335A"/>
    <w:rsid w:val="001433EE"/>
    <w:rsid w:val="001440AF"/>
    <w:rsid w:val="001447FB"/>
    <w:rsid w:val="00144D16"/>
    <w:rsid w:val="001454EA"/>
    <w:rsid w:val="0014582F"/>
    <w:rsid w:val="00145F7B"/>
    <w:rsid w:val="0014722F"/>
    <w:rsid w:val="00147A3A"/>
    <w:rsid w:val="00150E59"/>
    <w:rsid w:val="00152DE3"/>
    <w:rsid w:val="00153321"/>
    <w:rsid w:val="00155B5D"/>
    <w:rsid w:val="001575FD"/>
    <w:rsid w:val="00157CD2"/>
    <w:rsid w:val="0016045D"/>
    <w:rsid w:val="00160D97"/>
    <w:rsid w:val="00163063"/>
    <w:rsid w:val="00164B59"/>
    <w:rsid w:val="00164CF9"/>
    <w:rsid w:val="00164D66"/>
    <w:rsid w:val="00164D68"/>
    <w:rsid w:val="00164DE7"/>
    <w:rsid w:val="001659B3"/>
    <w:rsid w:val="001667A6"/>
    <w:rsid w:val="00171CED"/>
    <w:rsid w:val="00171E5C"/>
    <w:rsid w:val="00171F54"/>
    <w:rsid w:val="00174BB5"/>
    <w:rsid w:val="00175183"/>
    <w:rsid w:val="00175F7C"/>
    <w:rsid w:val="001777DC"/>
    <w:rsid w:val="001803EA"/>
    <w:rsid w:val="00180ADB"/>
    <w:rsid w:val="00182412"/>
    <w:rsid w:val="00182C46"/>
    <w:rsid w:val="00184AD6"/>
    <w:rsid w:val="00185DEF"/>
    <w:rsid w:val="0018610D"/>
    <w:rsid w:val="001862A7"/>
    <w:rsid w:val="001869E9"/>
    <w:rsid w:val="001933F9"/>
    <w:rsid w:val="00194BAC"/>
    <w:rsid w:val="001A1B88"/>
    <w:rsid w:val="001A4AF7"/>
    <w:rsid w:val="001B0349"/>
    <w:rsid w:val="001B1E93"/>
    <w:rsid w:val="001B479B"/>
    <w:rsid w:val="001B4C38"/>
    <w:rsid w:val="001B65C1"/>
    <w:rsid w:val="001C0692"/>
    <w:rsid w:val="001C07E4"/>
    <w:rsid w:val="001C2932"/>
    <w:rsid w:val="001C2C5B"/>
    <w:rsid w:val="001C684B"/>
    <w:rsid w:val="001C68C3"/>
    <w:rsid w:val="001C7AAB"/>
    <w:rsid w:val="001D0BEA"/>
    <w:rsid w:val="001D0CFB"/>
    <w:rsid w:val="001D1AAB"/>
    <w:rsid w:val="001D21AF"/>
    <w:rsid w:val="001D2688"/>
    <w:rsid w:val="001D268C"/>
    <w:rsid w:val="001D274C"/>
    <w:rsid w:val="001D402A"/>
    <w:rsid w:val="001D47C8"/>
    <w:rsid w:val="001D53FC"/>
    <w:rsid w:val="001D5883"/>
    <w:rsid w:val="001E0267"/>
    <w:rsid w:val="001E1AEF"/>
    <w:rsid w:val="001E23E8"/>
    <w:rsid w:val="001E3239"/>
    <w:rsid w:val="001E5D0F"/>
    <w:rsid w:val="001E5E8C"/>
    <w:rsid w:val="001E6487"/>
    <w:rsid w:val="001F42A5"/>
    <w:rsid w:val="001F4DAE"/>
    <w:rsid w:val="001F54DB"/>
    <w:rsid w:val="001F78F2"/>
    <w:rsid w:val="001F7B9D"/>
    <w:rsid w:val="002018C9"/>
    <w:rsid w:val="00201C93"/>
    <w:rsid w:val="0020303A"/>
    <w:rsid w:val="00211A5A"/>
    <w:rsid w:val="002147A8"/>
    <w:rsid w:val="00214BFE"/>
    <w:rsid w:val="002175A7"/>
    <w:rsid w:val="00220144"/>
    <w:rsid w:val="002207EB"/>
    <w:rsid w:val="00221464"/>
    <w:rsid w:val="002224B4"/>
    <w:rsid w:val="00222C02"/>
    <w:rsid w:val="00226FAE"/>
    <w:rsid w:val="00230FD1"/>
    <w:rsid w:val="002321FD"/>
    <w:rsid w:val="002353B9"/>
    <w:rsid w:val="0023583C"/>
    <w:rsid w:val="00236CF1"/>
    <w:rsid w:val="00240369"/>
    <w:rsid w:val="00240903"/>
    <w:rsid w:val="00241662"/>
    <w:rsid w:val="002447EF"/>
    <w:rsid w:val="00246022"/>
    <w:rsid w:val="00247A56"/>
    <w:rsid w:val="00250487"/>
    <w:rsid w:val="00250D40"/>
    <w:rsid w:val="00251550"/>
    <w:rsid w:val="00256CED"/>
    <w:rsid w:val="00260F1C"/>
    <w:rsid w:val="00263B05"/>
    <w:rsid w:val="00264FAB"/>
    <w:rsid w:val="00265664"/>
    <w:rsid w:val="002666A1"/>
    <w:rsid w:val="00267F96"/>
    <w:rsid w:val="0027045B"/>
    <w:rsid w:val="0027221A"/>
    <w:rsid w:val="002727E0"/>
    <w:rsid w:val="00272C46"/>
    <w:rsid w:val="00273AB3"/>
    <w:rsid w:val="00275B61"/>
    <w:rsid w:val="002802D8"/>
    <w:rsid w:val="00280FAF"/>
    <w:rsid w:val="002812F3"/>
    <w:rsid w:val="00281301"/>
    <w:rsid w:val="00282656"/>
    <w:rsid w:val="0028316D"/>
    <w:rsid w:val="002842D7"/>
    <w:rsid w:val="002857BF"/>
    <w:rsid w:val="00290C92"/>
    <w:rsid w:val="002944F8"/>
    <w:rsid w:val="00296B83"/>
    <w:rsid w:val="00297F00"/>
    <w:rsid w:val="002A16C5"/>
    <w:rsid w:val="002B1366"/>
    <w:rsid w:val="002B22A1"/>
    <w:rsid w:val="002B3B7E"/>
    <w:rsid w:val="002B4015"/>
    <w:rsid w:val="002B59E2"/>
    <w:rsid w:val="002B5BE7"/>
    <w:rsid w:val="002B6C59"/>
    <w:rsid w:val="002B78CE"/>
    <w:rsid w:val="002B7F62"/>
    <w:rsid w:val="002C2FB6"/>
    <w:rsid w:val="002C41BF"/>
    <w:rsid w:val="002C513E"/>
    <w:rsid w:val="002D6230"/>
    <w:rsid w:val="002E0E0F"/>
    <w:rsid w:val="002E47E3"/>
    <w:rsid w:val="002E47F2"/>
    <w:rsid w:val="002E524B"/>
    <w:rsid w:val="002E5FA7"/>
    <w:rsid w:val="002E7E93"/>
    <w:rsid w:val="002F0C8F"/>
    <w:rsid w:val="002F15C7"/>
    <w:rsid w:val="002F1CD3"/>
    <w:rsid w:val="002F32CA"/>
    <w:rsid w:val="002F3309"/>
    <w:rsid w:val="002F5185"/>
    <w:rsid w:val="003008CE"/>
    <w:rsid w:val="003009B7"/>
    <w:rsid w:val="00300E56"/>
    <w:rsid w:val="0030140F"/>
    <w:rsid w:val="00301D2B"/>
    <w:rsid w:val="003024A5"/>
    <w:rsid w:val="00302D5A"/>
    <w:rsid w:val="0030469C"/>
    <w:rsid w:val="00306849"/>
    <w:rsid w:val="00306D19"/>
    <w:rsid w:val="00310207"/>
    <w:rsid w:val="003105ED"/>
    <w:rsid w:val="00312091"/>
    <w:rsid w:val="00313BE4"/>
    <w:rsid w:val="0031482A"/>
    <w:rsid w:val="00315711"/>
    <w:rsid w:val="003162B9"/>
    <w:rsid w:val="00316DE6"/>
    <w:rsid w:val="00320B10"/>
    <w:rsid w:val="00320CB7"/>
    <w:rsid w:val="00321AF0"/>
    <w:rsid w:val="00321CA6"/>
    <w:rsid w:val="00323763"/>
    <w:rsid w:val="003310D6"/>
    <w:rsid w:val="003324C3"/>
    <w:rsid w:val="00332644"/>
    <w:rsid w:val="00333240"/>
    <w:rsid w:val="00334C09"/>
    <w:rsid w:val="003430F8"/>
    <w:rsid w:val="00343B08"/>
    <w:rsid w:val="00344B1C"/>
    <w:rsid w:val="0034505D"/>
    <w:rsid w:val="0034571B"/>
    <w:rsid w:val="0034580D"/>
    <w:rsid w:val="00346900"/>
    <w:rsid w:val="00347FED"/>
    <w:rsid w:val="003504A5"/>
    <w:rsid w:val="0035056D"/>
    <w:rsid w:val="00350D97"/>
    <w:rsid w:val="00355BC2"/>
    <w:rsid w:val="0035677A"/>
    <w:rsid w:val="00356CB3"/>
    <w:rsid w:val="0035733D"/>
    <w:rsid w:val="00362815"/>
    <w:rsid w:val="00364337"/>
    <w:rsid w:val="00365446"/>
    <w:rsid w:val="00370C60"/>
    <w:rsid w:val="003723D4"/>
    <w:rsid w:val="0037260D"/>
    <w:rsid w:val="003737B1"/>
    <w:rsid w:val="003740DE"/>
    <w:rsid w:val="00375728"/>
    <w:rsid w:val="003762A7"/>
    <w:rsid w:val="00377BDD"/>
    <w:rsid w:val="0038131C"/>
    <w:rsid w:val="003817D5"/>
    <w:rsid w:val="00381905"/>
    <w:rsid w:val="00382338"/>
    <w:rsid w:val="00384002"/>
    <w:rsid w:val="00384780"/>
    <w:rsid w:val="00384CC8"/>
    <w:rsid w:val="003853FE"/>
    <w:rsid w:val="003858A8"/>
    <w:rsid w:val="00386B02"/>
    <w:rsid w:val="003871FD"/>
    <w:rsid w:val="0039079C"/>
    <w:rsid w:val="003924EA"/>
    <w:rsid w:val="00397205"/>
    <w:rsid w:val="003A1E0A"/>
    <w:rsid w:val="003A1E30"/>
    <w:rsid w:val="003A2829"/>
    <w:rsid w:val="003A2887"/>
    <w:rsid w:val="003A43D9"/>
    <w:rsid w:val="003A5A5D"/>
    <w:rsid w:val="003A7489"/>
    <w:rsid w:val="003A7D1C"/>
    <w:rsid w:val="003B0D68"/>
    <w:rsid w:val="003B2D73"/>
    <w:rsid w:val="003B304B"/>
    <w:rsid w:val="003B3146"/>
    <w:rsid w:val="003B4FEF"/>
    <w:rsid w:val="003B5AD2"/>
    <w:rsid w:val="003B6B46"/>
    <w:rsid w:val="003C2E11"/>
    <w:rsid w:val="003C4091"/>
    <w:rsid w:val="003D202C"/>
    <w:rsid w:val="003D215D"/>
    <w:rsid w:val="003D23B8"/>
    <w:rsid w:val="003D397D"/>
    <w:rsid w:val="003D4B17"/>
    <w:rsid w:val="003D6533"/>
    <w:rsid w:val="003D72B2"/>
    <w:rsid w:val="003D77F3"/>
    <w:rsid w:val="003E0ABB"/>
    <w:rsid w:val="003E0C02"/>
    <w:rsid w:val="003E1600"/>
    <w:rsid w:val="003E19B0"/>
    <w:rsid w:val="003E27FF"/>
    <w:rsid w:val="003E3214"/>
    <w:rsid w:val="003E32D1"/>
    <w:rsid w:val="003E54C8"/>
    <w:rsid w:val="003E631F"/>
    <w:rsid w:val="003F015E"/>
    <w:rsid w:val="003F02C2"/>
    <w:rsid w:val="00400414"/>
    <w:rsid w:val="00403089"/>
    <w:rsid w:val="0040380B"/>
    <w:rsid w:val="004046F5"/>
    <w:rsid w:val="00405142"/>
    <w:rsid w:val="004051E1"/>
    <w:rsid w:val="004055F8"/>
    <w:rsid w:val="00410308"/>
    <w:rsid w:val="004116CD"/>
    <w:rsid w:val="0041361B"/>
    <w:rsid w:val="0041446B"/>
    <w:rsid w:val="004160D3"/>
    <w:rsid w:val="00416107"/>
    <w:rsid w:val="004215E5"/>
    <w:rsid w:val="00422074"/>
    <w:rsid w:val="0042705D"/>
    <w:rsid w:val="004270EE"/>
    <w:rsid w:val="00427180"/>
    <w:rsid w:val="0042784C"/>
    <w:rsid w:val="004304FC"/>
    <w:rsid w:val="004308AA"/>
    <w:rsid w:val="00431F04"/>
    <w:rsid w:val="004359EB"/>
    <w:rsid w:val="00436541"/>
    <w:rsid w:val="004366AB"/>
    <w:rsid w:val="00437109"/>
    <w:rsid w:val="0044071E"/>
    <w:rsid w:val="0044329C"/>
    <w:rsid w:val="00450A96"/>
    <w:rsid w:val="004533FA"/>
    <w:rsid w:val="00453E24"/>
    <w:rsid w:val="00454215"/>
    <w:rsid w:val="004557ED"/>
    <w:rsid w:val="004560CD"/>
    <w:rsid w:val="00457456"/>
    <w:rsid w:val="004577FE"/>
    <w:rsid w:val="00457B9C"/>
    <w:rsid w:val="0046164A"/>
    <w:rsid w:val="004618B2"/>
    <w:rsid w:val="004628D2"/>
    <w:rsid w:val="00462DCD"/>
    <w:rsid w:val="004648AD"/>
    <w:rsid w:val="00465C63"/>
    <w:rsid w:val="004703A9"/>
    <w:rsid w:val="00470F1F"/>
    <w:rsid w:val="00470FC4"/>
    <w:rsid w:val="00472BBC"/>
    <w:rsid w:val="00473FA2"/>
    <w:rsid w:val="00474CD8"/>
    <w:rsid w:val="004759CB"/>
    <w:rsid w:val="004760DE"/>
    <w:rsid w:val="004763D7"/>
    <w:rsid w:val="0048235A"/>
    <w:rsid w:val="00482665"/>
    <w:rsid w:val="004833DF"/>
    <w:rsid w:val="0048754D"/>
    <w:rsid w:val="00491DCA"/>
    <w:rsid w:val="00492948"/>
    <w:rsid w:val="00493775"/>
    <w:rsid w:val="004953DD"/>
    <w:rsid w:val="004A004E"/>
    <w:rsid w:val="004A24CF"/>
    <w:rsid w:val="004A3FA4"/>
    <w:rsid w:val="004A613D"/>
    <w:rsid w:val="004A7255"/>
    <w:rsid w:val="004A7D06"/>
    <w:rsid w:val="004A7DEE"/>
    <w:rsid w:val="004B13A6"/>
    <w:rsid w:val="004B1616"/>
    <w:rsid w:val="004B2BBF"/>
    <w:rsid w:val="004B3DAA"/>
    <w:rsid w:val="004B3F14"/>
    <w:rsid w:val="004B697B"/>
    <w:rsid w:val="004C1FAE"/>
    <w:rsid w:val="004C332E"/>
    <w:rsid w:val="004C3D1D"/>
    <w:rsid w:val="004C5354"/>
    <w:rsid w:val="004C5EF9"/>
    <w:rsid w:val="004C7913"/>
    <w:rsid w:val="004D0F96"/>
    <w:rsid w:val="004D1F42"/>
    <w:rsid w:val="004D2AB4"/>
    <w:rsid w:val="004D3A19"/>
    <w:rsid w:val="004D4C40"/>
    <w:rsid w:val="004D4E68"/>
    <w:rsid w:val="004D65B3"/>
    <w:rsid w:val="004D6FAA"/>
    <w:rsid w:val="004D743D"/>
    <w:rsid w:val="004D7644"/>
    <w:rsid w:val="004E1A66"/>
    <w:rsid w:val="004E350A"/>
    <w:rsid w:val="004E4069"/>
    <w:rsid w:val="004E4DD6"/>
    <w:rsid w:val="004E7B92"/>
    <w:rsid w:val="004F0A8B"/>
    <w:rsid w:val="004F1A52"/>
    <w:rsid w:val="004F24EF"/>
    <w:rsid w:val="004F40A5"/>
    <w:rsid w:val="004F4160"/>
    <w:rsid w:val="004F5E36"/>
    <w:rsid w:val="004F6C1E"/>
    <w:rsid w:val="004F785E"/>
    <w:rsid w:val="00500A4F"/>
    <w:rsid w:val="00502072"/>
    <w:rsid w:val="00503D56"/>
    <w:rsid w:val="005044B0"/>
    <w:rsid w:val="00506047"/>
    <w:rsid w:val="00506A0B"/>
    <w:rsid w:val="005072D0"/>
    <w:rsid w:val="00507B47"/>
    <w:rsid w:val="00507BEF"/>
    <w:rsid w:val="00507CC9"/>
    <w:rsid w:val="00507F43"/>
    <w:rsid w:val="00510A7E"/>
    <w:rsid w:val="005119A5"/>
    <w:rsid w:val="005124A7"/>
    <w:rsid w:val="005129A4"/>
    <w:rsid w:val="005155CA"/>
    <w:rsid w:val="00517378"/>
    <w:rsid w:val="00521DEC"/>
    <w:rsid w:val="005253FD"/>
    <w:rsid w:val="0052582A"/>
    <w:rsid w:val="005258B2"/>
    <w:rsid w:val="005278B7"/>
    <w:rsid w:val="00530E41"/>
    <w:rsid w:val="00531003"/>
    <w:rsid w:val="00531C39"/>
    <w:rsid w:val="00532016"/>
    <w:rsid w:val="005346C8"/>
    <w:rsid w:val="0053477B"/>
    <w:rsid w:val="0053687F"/>
    <w:rsid w:val="00540381"/>
    <w:rsid w:val="00543A65"/>
    <w:rsid w:val="00543E7D"/>
    <w:rsid w:val="005451CC"/>
    <w:rsid w:val="0054586E"/>
    <w:rsid w:val="005460E3"/>
    <w:rsid w:val="00546F15"/>
    <w:rsid w:val="0054701D"/>
    <w:rsid w:val="00547A68"/>
    <w:rsid w:val="00550F58"/>
    <w:rsid w:val="005531C9"/>
    <w:rsid w:val="00553481"/>
    <w:rsid w:val="00554506"/>
    <w:rsid w:val="0055754A"/>
    <w:rsid w:val="00560B31"/>
    <w:rsid w:val="00560E86"/>
    <w:rsid w:val="00562474"/>
    <w:rsid w:val="0056386C"/>
    <w:rsid w:val="00570C43"/>
    <w:rsid w:val="00570C5F"/>
    <w:rsid w:val="0057102A"/>
    <w:rsid w:val="005717DE"/>
    <w:rsid w:val="00573127"/>
    <w:rsid w:val="0057554A"/>
    <w:rsid w:val="00577EB9"/>
    <w:rsid w:val="00580509"/>
    <w:rsid w:val="00582623"/>
    <w:rsid w:val="00584C0A"/>
    <w:rsid w:val="0058518B"/>
    <w:rsid w:val="005855AE"/>
    <w:rsid w:val="00587EEB"/>
    <w:rsid w:val="00590524"/>
    <w:rsid w:val="00590846"/>
    <w:rsid w:val="00591FA0"/>
    <w:rsid w:val="0059227E"/>
    <w:rsid w:val="00594B15"/>
    <w:rsid w:val="00596B54"/>
    <w:rsid w:val="005A3738"/>
    <w:rsid w:val="005B00B9"/>
    <w:rsid w:val="005B0D4D"/>
    <w:rsid w:val="005B203E"/>
    <w:rsid w:val="005B2110"/>
    <w:rsid w:val="005B33B2"/>
    <w:rsid w:val="005B499B"/>
    <w:rsid w:val="005B5B2B"/>
    <w:rsid w:val="005B5B6E"/>
    <w:rsid w:val="005B61E6"/>
    <w:rsid w:val="005B6471"/>
    <w:rsid w:val="005C0C66"/>
    <w:rsid w:val="005C1535"/>
    <w:rsid w:val="005C1DCE"/>
    <w:rsid w:val="005C326D"/>
    <w:rsid w:val="005C3EA3"/>
    <w:rsid w:val="005C4680"/>
    <w:rsid w:val="005C64ED"/>
    <w:rsid w:val="005C730F"/>
    <w:rsid w:val="005C77E1"/>
    <w:rsid w:val="005C7C5D"/>
    <w:rsid w:val="005D011D"/>
    <w:rsid w:val="005D0244"/>
    <w:rsid w:val="005D2800"/>
    <w:rsid w:val="005D2D8D"/>
    <w:rsid w:val="005D668A"/>
    <w:rsid w:val="005D6A2F"/>
    <w:rsid w:val="005D7E8A"/>
    <w:rsid w:val="005E1A82"/>
    <w:rsid w:val="005E2A6C"/>
    <w:rsid w:val="005E31BC"/>
    <w:rsid w:val="005E5D87"/>
    <w:rsid w:val="005E6F93"/>
    <w:rsid w:val="005E794C"/>
    <w:rsid w:val="005F0A28"/>
    <w:rsid w:val="005F0E5E"/>
    <w:rsid w:val="005F2B6C"/>
    <w:rsid w:val="005F2F9E"/>
    <w:rsid w:val="005F5E15"/>
    <w:rsid w:val="005F7016"/>
    <w:rsid w:val="005F7C87"/>
    <w:rsid w:val="00600535"/>
    <w:rsid w:val="00601602"/>
    <w:rsid w:val="0060179B"/>
    <w:rsid w:val="006020C0"/>
    <w:rsid w:val="006028EF"/>
    <w:rsid w:val="00602AB1"/>
    <w:rsid w:val="00603FC3"/>
    <w:rsid w:val="00606FC9"/>
    <w:rsid w:val="00607367"/>
    <w:rsid w:val="00607A1E"/>
    <w:rsid w:val="00610CD6"/>
    <w:rsid w:val="00611AE2"/>
    <w:rsid w:val="00611D67"/>
    <w:rsid w:val="00611ECA"/>
    <w:rsid w:val="00614285"/>
    <w:rsid w:val="006160B8"/>
    <w:rsid w:val="00617882"/>
    <w:rsid w:val="00620861"/>
    <w:rsid w:val="00620DEE"/>
    <w:rsid w:val="00621F92"/>
    <w:rsid w:val="0062280A"/>
    <w:rsid w:val="0062308C"/>
    <w:rsid w:val="006252DA"/>
    <w:rsid w:val="00625639"/>
    <w:rsid w:val="0062642A"/>
    <w:rsid w:val="00627CDE"/>
    <w:rsid w:val="00630EFB"/>
    <w:rsid w:val="00631B33"/>
    <w:rsid w:val="0063298A"/>
    <w:rsid w:val="00632C60"/>
    <w:rsid w:val="00632F50"/>
    <w:rsid w:val="00635580"/>
    <w:rsid w:val="0063592B"/>
    <w:rsid w:val="00636400"/>
    <w:rsid w:val="00636AD4"/>
    <w:rsid w:val="00636CCC"/>
    <w:rsid w:val="0064184D"/>
    <w:rsid w:val="006422CC"/>
    <w:rsid w:val="006459C8"/>
    <w:rsid w:val="00645E5E"/>
    <w:rsid w:val="006469C8"/>
    <w:rsid w:val="0064796B"/>
    <w:rsid w:val="0065104B"/>
    <w:rsid w:val="00652BC1"/>
    <w:rsid w:val="00653B63"/>
    <w:rsid w:val="006607E4"/>
    <w:rsid w:val="00660E3E"/>
    <w:rsid w:val="00660F1D"/>
    <w:rsid w:val="0066297F"/>
    <w:rsid w:val="00662E74"/>
    <w:rsid w:val="00663173"/>
    <w:rsid w:val="006635D7"/>
    <w:rsid w:val="00666E9D"/>
    <w:rsid w:val="0066764F"/>
    <w:rsid w:val="00667BBB"/>
    <w:rsid w:val="006709C4"/>
    <w:rsid w:val="006712E9"/>
    <w:rsid w:val="006728D2"/>
    <w:rsid w:val="006731B2"/>
    <w:rsid w:val="00673610"/>
    <w:rsid w:val="006736EF"/>
    <w:rsid w:val="00680C23"/>
    <w:rsid w:val="0068119F"/>
    <w:rsid w:val="00684F98"/>
    <w:rsid w:val="00686FC0"/>
    <w:rsid w:val="0068740A"/>
    <w:rsid w:val="006878FC"/>
    <w:rsid w:val="0068797D"/>
    <w:rsid w:val="006905CD"/>
    <w:rsid w:val="00690AAA"/>
    <w:rsid w:val="00693766"/>
    <w:rsid w:val="006961F2"/>
    <w:rsid w:val="0069666E"/>
    <w:rsid w:val="006970E2"/>
    <w:rsid w:val="00697405"/>
    <w:rsid w:val="0069784E"/>
    <w:rsid w:val="00697CA6"/>
    <w:rsid w:val="006A0565"/>
    <w:rsid w:val="006A062C"/>
    <w:rsid w:val="006A0A36"/>
    <w:rsid w:val="006A0AE9"/>
    <w:rsid w:val="006A0CEA"/>
    <w:rsid w:val="006A1BF1"/>
    <w:rsid w:val="006A247B"/>
    <w:rsid w:val="006A3281"/>
    <w:rsid w:val="006B035A"/>
    <w:rsid w:val="006B21AA"/>
    <w:rsid w:val="006B4888"/>
    <w:rsid w:val="006B727B"/>
    <w:rsid w:val="006B7370"/>
    <w:rsid w:val="006B773E"/>
    <w:rsid w:val="006C1996"/>
    <w:rsid w:val="006C2E45"/>
    <w:rsid w:val="006C359C"/>
    <w:rsid w:val="006C5579"/>
    <w:rsid w:val="006C5ECB"/>
    <w:rsid w:val="006C6F90"/>
    <w:rsid w:val="006C71D4"/>
    <w:rsid w:val="006D6E8B"/>
    <w:rsid w:val="006E5E3F"/>
    <w:rsid w:val="006E737D"/>
    <w:rsid w:val="006F07E0"/>
    <w:rsid w:val="006F32E4"/>
    <w:rsid w:val="006F3CA5"/>
    <w:rsid w:val="006F713C"/>
    <w:rsid w:val="00702EC3"/>
    <w:rsid w:val="007053FA"/>
    <w:rsid w:val="007074E8"/>
    <w:rsid w:val="007102C1"/>
    <w:rsid w:val="007102D9"/>
    <w:rsid w:val="00710964"/>
    <w:rsid w:val="0071163C"/>
    <w:rsid w:val="00712377"/>
    <w:rsid w:val="00712491"/>
    <w:rsid w:val="00713973"/>
    <w:rsid w:val="007142A5"/>
    <w:rsid w:val="00716A89"/>
    <w:rsid w:val="00717717"/>
    <w:rsid w:val="0071776F"/>
    <w:rsid w:val="00717BFD"/>
    <w:rsid w:val="00720A24"/>
    <w:rsid w:val="007232C8"/>
    <w:rsid w:val="0072482D"/>
    <w:rsid w:val="00730122"/>
    <w:rsid w:val="00730B2F"/>
    <w:rsid w:val="00730F3F"/>
    <w:rsid w:val="00732386"/>
    <w:rsid w:val="00733BCA"/>
    <w:rsid w:val="0073514D"/>
    <w:rsid w:val="00735441"/>
    <w:rsid w:val="0073773A"/>
    <w:rsid w:val="0074048D"/>
    <w:rsid w:val="00740513"/>
    <w:rsid w:val="00740D39"/>
    <w:rsid w:val="00742D3A"/>
    <w:rsid w:val="007447F3"/>
    <w:rsid w:val="00744E25"/>
    <w:rsid w:val="007453B1"/>
    <w:rsid w:val="00746178"/>
    <w:rsid w:val="007504E2"/>
    <w:rsid w:val="0075320E"/>
    <w:rsid w:val="00753B3D"/>
    <w:rsid w:val="0075499F"/>
    <w:rsid w:val="00756772"/>
    <w:rsid w:val="0075780A"/>
    <w:rsid w:val="0076192D"/>
    <w:rsid w:val="00761AE2"/>
    <w:rsid w:val="00762363"/>
    <w:rsid w:val="007630EB"/>
    <w:rsid w:val="00763447"/>
    <w:rsid w:val="007661C8"/>
    <w:rsid w:val="00767D17"/>
    <w:rsid w:val="0077098D"/>
    <w:rsid w:val="00771B1A"/>
    <w:rsid w:val="0077448D"/>
    <w:rsid w:val="007747CA"/>
    <w:rsid w:val="00774F7B"/>
    <w:rsid w:val="007768EB"/>
    <w:rsid w:val="00776E7D"/>
    <w:rsid w:val="00777C08"/>
    <w:rsid w:val="00777D88"/>
    <w:rsid w:val="007806FB"/>
    <w:rsid w:val="00783BE7"/>
    <w:rsid w:val="00783F23"/>
    <w:rsid w:val="00785574"/>
    <w:rsid w:val="00787C3A"/>
    <w:rsid w:val="0079138A"/>
    <w:rsid w:val="007931FA"/>
    <w:rsid w:val="007935DD"/>
    <w:rsid w:val="0079399C"/>
    <w:rsid w:val="00795530"/>
    <w:rsid w:val="00797D93"/>
    <w:rsid w:val="00797FD1"/>
    <w:rsid w:val="007A0B2B"/>
    <w:rsid w:val="007A18D6"/>
    <w:rsid w:val="007A1BFF"/>
    <w:rsid w:val="007A21FF"/>
    <w:rsid w:val="007A27C6"/>
    <w:rsid w:val="007A2B9A"/>
    <w:rsid w:val="007A2BBF"/>
    <w:rsid w:val="007A3757"/>
    <w:rsid w:val="007A4861"/>
    <w:rsid w:val="007A4B33"/>
    <w:rsid w:val="007A4F1B"/>
    <w:rsid w:val="007A58B1"/>
    <w:rsid w:val="007A5952"/>
    <w:rsid w:val="007A7984"/>
    <w:rsid w:val="007A7BBA"/>
    <w:rsid w:val="007B0B0C"/>
    <w:rsid w:val="007B0C50"/>
    <w:rsid w:val="007B48F9"/>
    <w:rsid w:val="007B5A9C"/>
    <w:rsid w:val="007B63C2"/>
    <w:rsid w:val="007B6605"/>
    <w:rsid w:val="007B6EC8"/>
    <w:rsid w:val="007C1A43"/>
    <w:rsid w:val="007C1E38"/>
    <w:rsid w:val="007C3448"/>
    <w:rsid w:val="007C43A1"/>
    <w:rsid w:val="007C46B2"/>
    <w:rsid w:val="007C67FC"/>
    <w:rsid w:val="007C6BAA"/>
    <w:rsid w:val="007D0757"/>
    <w:rsid w:val="007D27C9"/>
    <w:rsid w:val="007D4EA7"/>
    <w:rsid w:val="007D5E1F"/>
    <w:rsid w:val="007D617A"/>
    <w:rsid w:val="007D7EE6"/>
    <w:rsid w:val="007E03BC"/>
    <w:rsid w:val="007E52CF"/>
    <w:rsid w:val="007E5659"/>
    <w:rsid w:val="007F1315"/>
    <w:rsid w:val="0080013E"/>
    <w:rsid w:val="00802BA7"/>
    <w:rsid w:val="0080650C"/>
    <w:rsid w:val="0080742C"/>
    <w:rsid w:val="00807B1A"/>
    <w:rsid w:val="008107F8"/>
    <w:rsid w:val="00811233"/>
    <w:rsid w:val="00813288"/>
    <w:rsid w:val="00813D2D"/>
    <w:rsid w:val="00815314"/>
    <w:rsid w:val="008168FC"/>
    <w:rsid w:val="008204F4"/>
    <w:rsid w:val="0082118D"/>
    <w:rsid w:val="00824ED9"/>
    <w:rsid w:val="008267F3"/>
    <w:rsid w:val="00830996"/>
    <w:rsid w:val="00830C59"/>
    <w:rsid w:val="00832130"/>
    <w:rsid w:val="00833672"/>
    <w:rsid w:val="00833F53"/>
    <w:rsid w:val="00834509"/>
    <w:rsid w:val="008345F1"/>
    <w:rsid w:val="008358AA"/>
    <w:rsid w:val="00835EAD"/>
    <w:rsid w:val="00835F69"/>
    <w:rsid w:val="00836366"/>
    <w:rsid w:val="0083797C"/>
    <w:rsid w:val="00837DDF"/>
    <w:rsid w:val="008418C2"/>
    <w:rsid w:val="00844A72"/>
    <w:rsid w:val="00846452"/>
    <w:rsid w:val="00850ACF"/>
    <w:rsid w:val="0085139A"/>
    <w:rsid w:val="008525C1"/>
    <w:rsid w:val="00853F15"/>
    <w:rsid w:val="00856430"/>
    <w:rsid w:val="008600A1"/>
    <w:rsid w:val="00860175"/>
    <w:rsid w:val="008640FC"/>
    <w:rsid w:val="00865B07"/>
    <w:rsid w:val="008667EA"/>
    <w:rsid w:val="00866E45"/>
    <w:rsid w:val="0087361A"/>
    <w:rsid w:val="0087637F"/>
    <w:rsid w:val="00876F47"/>
    <w:rsid w:val="00877313"/>
    <w:rsid w:val="00877C61"/>
    <w:rsid w:val="008823CB"/>
    <w:rsid w:val="00882948"/>
    <w:rsid w:val="0088299F"/>
    <w:rsid w:val="00890B7C"/>
    <w:rsid w:val="008927AF"/>
    <w:rsid w:val="00892AD5"/>
    <w:rsid w:val="00893A97"/>
    <w:rsid w:val="00896629"/>
    <w:rsid w:val="00896664"/>
    <w:rsid w:val="0089678B"/>
    <w:rsid w:val="008974C7"/>
    <w:rsid w:val="008A0198"/>
    <w:rsid w:val="008A1512"/>
    <w:rsid w:val="008A37D6"/>
    <w:rsid w:val="008A748D"/>
    <w:rsid w:val="008B0FFD"/>
    <w:rsid w:val="008B1977"/>
    <w:rsid w:val="008B1EFD"/>
    <w:rsid w:val="008B2293"/>
    <w:rsid w:val="008B22A5"/>
    <w:rsid w:val="008B26C9"/>
    <w:rsid w:val="008B4AA3"/>
    <w:rsid w:val="008B625B"/>
    <w:rsid w:val="008B6A00"/>
    <w:rsid w:val="008B7A33"/>
    <w:rsid w:val="008B7CAA"/>
    <w:rsid w:val="008C20CA"/>
    <w:rsid w:val="008C239B"/>
    <w:rsid w:val="008C28B8"/>
    <w:rsid w:val="008C70CD"/>
    <w:rsid w:val="008C765A"/>
    <w:rsid w:val="008C7821"/>
    <w:rsid w:val="008D0A19"/>
    <w:rsid w:val="008D2752"/>
    <w:rsid w:val="008D32B9"/>
    <w:rsid w:val="008D3A6C"/>
    <w:rsid w:val="008D433B"/>
    <w:rsid w:val="008E07F8"/>
    <w:rsid w:val="008E08B9"/>
    <w:rsid w:val="008E092B"/>
    <w:rsid w:val="008E566E"/>
    <w:rsid w:val="008E5FBA"/>
    <w:rsid w:val="008E76DD"/>
    <w:rsid w:val="008F0669"/>
    <w:rsid w:val="008F0868"/>
    <w:rsid w:val="008F2D4E"/>
    <w:rsid w:val="008F4517"/>
    <w:rsid w:val="008F6030"/>
    <w:rsid w:val="008F63C1"/>
    <w:rsid w:val="0090161A"/>
    <w:rsid w:val="00901EB6"/>
    <w:rsid w:val="00902CC4"/>
    <w:rsid w:val="0090435D"/>
    <w:rsid w:val="00904C62"/>
    <w:rsid w:val="00911318"/>
    <w:rsid w:val="00912741"/>
    <w:rsid w:val="00913209"/>
    <w:rsid w:val="00913291"/>
    <w:rsid w:val="00915179"/>
    <w:rsid w:val="009153C3"/>
    <w:rsid w:val="00915E96"/>
    <w:rsid w:val="00915ED3"/>
    <w:rsid w:val="00917B68"/>
    <w:rsid w:val="009209BD"/>
    <w:rsid w:val="00921319"/>
    <w:rsid w:val="009217A0"/>
    <w:rsid w:val="00921EDF"/>
    <w:rsid w:val="00922BA8"/>
    <w:rsid w:val="00922DED"/>
    <w:rsid w:val="00924DAC"/>
    <w:rsid w:val="00925174"/>
    <w:rsid w:val="00925DBB"/>
    <w:rsid w:val="009261EA"/>
    <w:rsid w:val="00926436"/>
    <w:rsid w:val="00927012"/>
    <w:rsid w:val="00927058"/>
    <w:rsid w:val="00930D0B"/>
    <w:rsid w:val="00930F5B"/>
    <w:rsid w:val="0093563D"/>
    <w:rsid w:val="009373D3"/>
    <w:rsid w:val="009416EA"/>
    <w:rsid w:val="00942178"/>
    <w:rsid w:val="00942750"/>
    <w:rsid w:val="0094292F"/>
    <w:rsid w:val="00942C48"/>
    <w:rsid w:val="009450CE"/>
    <w:rsid w:val="00947179"/>
    <w:rsid w:val="00950D87"/>
    <w:rsid w:val="0095164B"/>
    <w:rsid w:val="00952DC3"/>
    <w:rsid w:val="00954090"/>
    <w:rsid w:val="0095510F"/>
    <w:rsid w:val="00955F6B"/>
    <w:rsid w:val="009560DD"/>
    <w:rsid w:val="009570CF"/>
    <w:rsid w:val="009573E7"/>
    <w:rsid w:val="00960C6B"/>
    <w:rsid w:val="00961FE9"/>
    <w:rsid w:val="009622B7"/>
    <w:rsid w:val="00963E05"/>
    <w:rsid w:val="00964A45"/>
    <w:rsid w:val="00964DE0"/>
    <w:rsid w:val="00965427"/>
    <w:rsid w:val="0096751A"/>
    <w:rsid w:val="00967843"/>
    <w:rsid w:val="00967D54"/>
    <w:rsid w:val="00970D38"/>
    <w:rsid w:val="00971028"/>
    <w:rsid w:val="00972C99"/>
    <w:rsid w:val="00973E6A"/>
    <w:rsid w:val="00975F51"/>
    <w:rsid w:val="009779F0"/>
    <w:rsid w:val="009809B9"/>
    <w:rsid w:val="009810C7"/>
    <w:rsid w:val="0098298E"/>
    <w:rsid w:val="00983BA9"/>
    <w:rsid w:val="00984AEE"/>
    <w:rsid w:val="0098560B"/>
    <w:rsid w:val="00991A74"/>
    <w:rsid w:val="00991F99"/>
    <w:rsid w:val="00992092"/>
    <w:rsid w:val="00992821"/>
    <w:rsid w:val="00993B84"/>
    <w:rsid w:val="00996483"/>
    <w:rsid w:val="00996F5A"/>
    <w:rsid w:val="00996F61"/>
    <w:rsid w:val="009A0C60"/>
    <w:rsid w:val="009A0DBA"/>
    <w:rsid w:val="009A1207"/>
    <w:rsid w:val="009A23EB"/>
    <w:rsid w:val="009A33E3"/>
    <w:rsid w:val="009A3B2B"/>
    <w:rsid w:val="009A5658"/>
    <w:rsid w:val="009A6EA0"/>
    <w:rsid w:val="009B041A"/>
    <w:rsid w:val="009B0C76"/>
    <w:rsid w:val="009B0E0D"/>
    <w:rsid w:val="009B22C4"/>
    <w:rsid w:val="009B289F"/>
    <w:rsid w:val="009B341C"/>
    <w:rsid w:val="009B400C"/>
    <w:rsid w:val="009B6549"/>
    <w:rsid w:val="009B69FE"/>
    <w:rsid w:val="009C1877"/>
    <w:rsid w:val="009C19A1"/>
    <w:rsid w:val="009C26F5"/>
    <w:rsid w:val="009C37C3"/>
    <w:rsid w:val="009C6676"/>
    <w:rsid w:val="009C6688"/>
    <w:rsid w:val="009C7AFA"/>
    <w:rsid w:val="009C7C86"/>
    <w:rsid w:val="009D18CE"/>
    <w:rsid w:val="009D1D99"/>
    <w:rsid w:val="009D2FF7"/>
    <w:rsid w:val="009D58E3"/>
    <w:rsid w:val="009D78A0"/>
    <w:rsid w:val="009E09D0"/>
    <w:rsid w:val="009E1382"/>
    <w:rsid w:val="009E1DD9"/>
    <w:rsid w:val="009E2389"/>
    <w:rsid w:val="009E3C81"/>
    <w:rsid w:val="009E591D"/>
    <w:rsid w:val="009E760E"/>
    <w:rsid w:val="009E7884"/>
    <w:rsid w:val="009E788A"/>
    <w:rsid w:val="009F0E08"/>
    <w:rsid w:val="009F4678"/>
    <w:rsid w:val="009F5941"/>
    <w:rsid w:val="009F5F54"/>
    <w:rsid w:val="00A00178"/>
    <w:rsid w:val="00A032E4"/>
    <w:rsid w:val="00A0408E"/>
    <w:rsid w:val="00A05A2B"/>
    <w:rsid w:val="00A079D6"/>
    <w:rsid w:val="00A07A11"/>
    <w:rsid w:val="00A10268"/>
    <w:rsid w:val="00A10B0A"/>
    <w:rsid w:val="00A13F16"/>
    <w:rsid w:val="00A1763D"/>
    <w:rsid w:val="00A17C18"/>
    <w:rsid w:val="00A17CEC"/>
    <w:rsid w:val="00A24BFB"/>
    <w:rsid w:val="00A25971"/>
    <w:rsid w:val="00A26AD9"/>
    <w:rsid w:val="00A27A85"/>
    <w:rsid w:val="00A27EF0"/>
    <w:rsid w:val="00A3015A"/>
    <w:rsid w:val="00A301BD"/>
    <w:rsid w:val="00A30AC1"/>
    <w:rsid w:val="00A33E2A"/>
    <w:rsid w:val="00A3411C"/>
    <w:rsid w:val="00A35CAC"/>
    <w:rsid w:val="00A362D2"/>
    <w:rsid w:val="00A42361"/>
    <w:rsid w:val="00A43D67"/>
    <w:rsid w:val="00A441FD"/>
    <w:rsid w:val="00A45E2C"/>
    <w:rsid w:val="00A506A2"/>
    <w:rsid w:val="00A50B20"/>
    <w:rsid w:val="00A51390"/>
    <w:rsid w:val="00A523E4"/>
    <w:rsid w:val="00A5320C"/>
    <w:rsid w:val="00A57F38"/>
    <w:rsid w:val="00A60D13"/>
    <w:rsid w:val="00A67AC5"/>
    <w:rsid w:val="00A70C09"/>
    <w:rsid w:val="00A70F74"/>
    <w:rsid w:val="00A710A8"/>
    <w:rsid w:val="00A72745"/>
    <w:rsid w:val="00A72B2A"/>
    <w:rsid w:val="00A733FC"/>
    <w:rsid w:val="00A73BED"/>
    <w:rsid w:val="00A73E0C"/>
    <w:rsid w:val="00A743B4"/>
    <w:rsid w:val="00A74FEE"/>
    <w:rsid w:val="00A75055"/>
    <w:rsid w:val="00A755CB"/>
    <w:rsid w:val="00A75FAA"/>
    <w:rsid w:val="00A76EFC"/>
    <w:rsid w:val="00A77A5C"/>
    <w:rsid w:val="00A80812"/>
    <w:rsid w:val="00A80D27"/>
    <w:rsid w:val="00A83365"/>
    <w:rsid w:val="00A86A9D"/>
    <w:rsid w:val="00A91010"/>
    <w:rsid w:val="00A9240E"/>
    <w:rsid w:val="00A9460D"/>
    <w:rsid w:val="00A94DAE"/>
    <w:rsid w:val="00A94FA9"/>
    <w:rsid w:val="00A97F29"/>
    <w:rsid w:val="00AA5607"/>
    <w:rsid w:val="00AA5831"/>
    <w:rsid w:val="00AA702E"/>
    <w:rsid w:val="00AA718D"/>
    <w:rsid w:val="00AB0283"/>
    <w:rsid w:val="00AB0964"/>
    <w:rsid w:val="00AB0D3C"/>
    <w:rsid w:val="00AB0EF8"/>
    <w:rsid w:val="00AB1A22"/>
    <w:rsid w:val="00AB439D"/>
    <w:rsid w:val="00AB4428"/>
    <w:rsid w:val="00AB448B"/>
    <w:rsid w:val="00AB4664"/>
    <w:rsid w:val="00AB5011"/>
    <w:rsid w:val="00AB6E52"/>
    <w:rsid w:val="00AB730C"/>
    <w:rsid w:val="00AB776A"/>
    <w:rsid w:val="00AC1489"/>
    <w:rsid w:val="00AC2533"/>
    <w:rsid w:val="00AC7368"/>
    <w:rsid w:val="00AC7937"/>
    <w:rsid w:val="00AD16B9"/>
    <w:rsid w:val="00AD21C5"/>
    <w:rsid w:val="00AD2F38"/>
    <w:rsid w:val="00AD37B6"/>
    <w:rsid w:val="00AD7E8F"/>
    <w:rsid w:val="00AE22EB"/>
    <w:rsid w:val="00AE377D"/>
    <w:rsid w:val="00AE3B67"/>
    <w:rsid w:val="00AE5093"/>
    <w:rsid w:val="00AE5D04"/>
    <w:rsid w:val="00AF0B4E"/>
    <w:rsid w:val="00AF0EBA"/>
    <w:rsid w:val="00AF1B72"/>
    <w:rsid w:val="00AF4FCD"/>
    <w:rsid w:val="00AF55CC"/>
    <w:rsid w:val="00AF5EDD"/>
    <w:rsid w:val="00AF64F7"/>
    <w:rsid w:val="00AF71D6"/>
    <w:rsid w:val="00AF75A9"/>
    <w:rsid w:val="00B01100"/>
    <w:rsid w:val="00B0207F"/>
    <w:rsid w:val="00B02125"/>
    <w:rsid w:val="00B02C8A"/>
    <w:rsid w:val="00B047A3"/>
    <w:rsid w:val="00B06064"/>
    <w:rsid w:val="00B123DE"/>
    <w:rsid w:val="00B13571"/>
    <w:rsid w:val="00B175E8"/>
    <w:rsid w:val="00B17FBD"/>
    <w:rsid w:val="00B23CC4"/>
    <w:rsid w:val="00B24376"/>
    <w:rsid w:val="00B24D04"/>
    <w:rsid w:val="00B25E16"/>
    <w:rsid w:val="00B26D07"/>
    <w:rsid w:val="00B27CA9"/>
    <w:rsid w:val="00B3156A"/>
    <w:rsid w:val="00B315A6"/>
    <w:rsid w:val="00B31813"/>
    <w:rsid w:val="00B31FCF"/>
    <w:rsid w:val="00B32400"/>
    <w:rsid w:val="00B33365"/>
    <w:rsid w:val="00B356AD"/>
    <w:rsid w:val="00B35EB9"/>
    <w:rsid w:val="00B42488"/>
    <w:rsid w:val="00B42A39"/>
    <w:rsid w:val="00B43075"/>
    <w:rsid w:val="00B4359A"/>
    <w:rsid w:val="00B439BD"/>
    <w:rsid w:val="00B50402"/>
    <w:rsid w:val="00B506D9"/>
    <w:rsid w:val="00B51156"/>
    <w:rsid w:val="00B5162A"/>
    <w:rsid w:val="00B5199C"/>
    <w:rsid w:val="00B51ACC"/>
    <w:rsid w:val="00B53546"/>
    <w:rsid w:val="00B53842"/>
    <w:rsid w:val="00B54514"/>
    <w:rsid w:val="00B57332"/>
    <w:rsid w:val="00B57639"/>
    <w:rsid w:val="00B5776B"/>
    <w:rsid w:val="00B57B36"/>
    <w:rsid w:val="00B57E6F"/>
    <w:rsid w:val="00B616DA"/>
    <w:rsid w:val="00B649EC"/>
    <w:rsid w:val="00B66B86"/>
    <w:rsid w:val="00B67007"/>
    <w:rsid w:val="00B703C3"/>
    <w:rsid w:val="00B72F37"/>
    <w:rsid w:val="00B7607C"/>
    <w:rsid w:val="00B7708B"/>
    <w:rsid w:val="00B80686"/>
    <w:rsid w:val="00B80990"/>
    <w:rsid w:val="00B82067"/>
    <w:rsid w:val="00B82672"/>
    <w:rsid w:val="00B8686D"/>
    <w:rsid w:val="00B87974"/>
    <w:rsid w:val="00B91E03"/>
    <w:rsid w:val="00B93F69"/>
    <w:rsid w:val="00B95281"/>
    <w:rsid w:val="00B97D6F"/>
    <w:rsid w:val="00BA2C5C"/>
    <w:rsid w:val="00BA2CD7"/>
    <w:rsid w:val="00BA30DC"/>
    <w:rsid w:val="00BA33B8"/>
    <w:rsid w:val="00BA4FA1"/>
    <w:rsid w:val="00BB064D"/>
    <w:rsid w:val="00BB1DDC"/>
    <w:rsid w:val="00BB36F6"/>
    <w:rsid w:val="00BB417B"/>
    <w:rsid w:val="00BB4CA8"/>
    <w:rsid w:val="00BB5C37"/>
    <w:rsid w:val="00BC30C9"/>
    <w:rsid w:val="00BC6733"/>
    <w:rsid w:val="00BC673E"/>
    <w:rsid w:val="00BD0731"/>
    <w:rsid w:val="00BD077D"/>
    <w:rsid w:val="00BD1494"/>
    <w:rsid w:val="00BD1D8B"/>
    <w:rsid w:val="00BD26D9"/>
    <w:rsid w:val="00BD3942"/>
    <w:rsid w:val="00BD3EBA"/>
    <w:rsid w:val="00BD45A1"/>
    <w:rsid w:val="00BD49CB"/>
    <w:rsid w:val="00BD4AAA"/>
    <w:rsid w:val="00BD4D4E"/>
    <w:rsid w:val="00BD51CE"/>
    <w:rsid w:val="00BD56DD"/>
    <w:rsid w:val="00BD5A76"/>
    <w:rsid w:val="00BE190A"/>
    <w:rsid w:val="00BE33FC"/>
    <w:rsid w:val="00BE378E"/>
    <w:rsid w:val="00BE3E58"/>
    <w:rsid w:val="00BE4C05"/>
    <w:rsid w:val="00BE55C1"/>
    <w:rsid w:val="00BE6524"/>
    <w:rsid w:val="00BF0AFD"/>
    <w:rsid w:val="00BF2329"/>
    <w:rsid w:val="00BF3A25"/>
    <w:rsid w:val="00BF4D78"/>
    <w:rsid w:val="00BF607D"/>
    <w:rsid w:val="00BF7E25"/>
    <w:rsid w:val="00C01616"/>
    <w:rsid w:val="00C0162B"/>
    <w:rsid w:val="00C04B09"/>
    <w:rsid w:val="00C0545B"/>
    <w:rsid w:val="00C05E42"/>
    <w:rsid w:val="00C067FB"/>
    <w:rsid w:val="00C068ED"/>
    <w:rsid w:val="00C071D7"/>
    <w:rsid w:val="00C0759D"/>
    <w:rsid w:val="00C11662"/>
    <w:rsid w:val="00C132F1"/>
    <w:rsid w:val="00C15322"/>
    <w:rsid w:val="00C2032F"/>
    <w:rsid w:val="00C22768"/>
    <w:rsid w:val="00C22CB0"/>
    <w:rsid w:val="00C22E0C"/>
    <w:rsid w:val="00C236CB"/>
    <w:rsid w:val="00C24D76"/>
    <w:rsid w:val="00C261FE"/>
    <w:rsid w:val="00C322C7"/>
    <w:rsid w:val="00C337BB"/>
    <w:rsid w:val="00C345B1"/>
    <w:rsid w:val="00C3495A"/>
    <w:rsid w:val="00C40142"/>
    <w:rsid w:val="00C403EF"/>
    <w:rsid w:val="00C409CF"/>
    <w:rsid w:val="00C41EA5"/>
    <w:rsid w:val="00C42125"/>
    <w:rsid w:val="00C4699D"/>
    <w:rsid w:val="00C47180"/>
    <w:rsid w:val="00C47616"/>
    <w:rsid w:val="00C47A25"/>
    <w:rsid w:val="00C5254D"/>
    <w:rsid w:val="00C52C3C"/>
    <w:rsid w:val="00C54E70"/>
    <w:rsid w:val="00C5638D"/>
    <w:rsid w:val="00C57182"/>
    <w:rsid w:val="00C57863"/>
    <w:rsid w:val="00C57B2E"/>
    <w:rsid w:val="00C622B6"/>
    <w:rsid w:val="00C636A0"/>
    <w:rsid w:val="00C655FD"/>
    <w:rsid w:val="00C66026"/>
    <w:rsid w:val="00C731AB"/>
    <w:rsid w:val="00C74A59"/>
    <w:rsid w:val="00C75407"/>
    <w:rsid w:val="00C75938"/>
    <w:rsid w:val="00C75B32"/>
    <w:rsid w:val="00C76DAA"/>
    <w:rsid w:val="00C82003"/>
    <w:rsid w:val="00C82728"/>
    <w:rsid w:val="00C85161"/>
    <w:rsid w:val="00C866A5"/>
    <w:rsid w:val="00C86F42"/>
    <w:rsid w:val="00C870A8"/>
    <w:rsid w:val="00C912ED"/>
    <w:rsid w:val="00C93E9C"/>
    <w:rsid w:val="00C94434"/>
    <w:rsid w:val="00C95C1A"/>
    <w:rsid w:val="00C96E31"/>
    <w:rsid w:val="00C97B25"/>
    <w:rsid w:val="00CA027F"/>
    <w:rsid w:val="00CA0D75"/>
    <w:rsid w:val="00CA15A1"/>
    <w:rsid w:val="00CA1771"/>
    <w:rsid w:val="00CA1C95"/>
    <w:rsid w:val="00CA3C5E"/>
    <w:rsid w:val="00CA557A"/>
    <w:rsid w:val="00CA590E"/>
    <w:rsid w:val="00CA5A55"/>
    <w:rsid w:val="00CA5A9C"/>
    <w:rsid w:val="00CA6691"/>
    <w:rsid w:val="00CA734B"/>
    <w:rsid w:val="00CA7A42"/>
    <w:rsid w:val="00CB3C30"/>
    <w:rsid w:val="00CB4172"/>
    <w:rsid w:val="00CB5323"/>
    <w:rsid w:val="00CB6A5E"/>
    <w:rsid w:val="00CB7B01"/>
    <w:rsid w:val="00CC0549"/>
    <w:rsid w:val="00CC08EA"/>
    <w:rsid w:val="00CC179C"/>
    <w:rsid w:val="00CC4C20"/>
    <w:rsid w:val="00CC77F5"/>
    <w:rsid w:val="00CD250C"/>
    <w:rsid w:val="00CD2D54"/>
    <w:rsid w:val="00CD3517"/>
    <w:rsid w:val="00CD5FE2"/>
    <w:rsid w:val="00CE10DE"/>
    <w:rsid w:val="00CE2202"/>
    <w:rsid w:val="00CE2B56"/>
    <w:rsid w:val="00CE3E1B"/>
    <w:rsid w:val="00CE549C"/>
    <w:rsid w:val="00CE6AEB"/>
    <w:rsid w:val="00CE7C68"/>
    <w:rsid w:val="00CF0CB7"/>
    <w:rsid w:val="00CF33DA"/>
    <w:rsid w:val="00CF4A0E"/>
    <w:rsid w:val="00CF4B79"/>
    <w:rsid w:val="00CF6FDD"/>
    <w:rsid w:val="00CF72CA"/>
    <w:rsid w:val="00D02B4C"/>
    <w:rsid w:val="00D02F9D"/>
    <w:rsid w:val="00D0360B"/>
    <w:rsid w:val="00D040C4"/>
    <w:rsid w:val="00D06FDD"/>
    <w:rsid w:val="00D11900"/>
    <w:rsid w:val="00D14663"/>
    <w:rsid w:val="00D1533A"/>
    <w:rsid w:val="00D1628D"/>
    <w:rsid w:val="00D22551"/>
    <w:rsid w:val="00D22C0A"/>
    <w:rsid w:val="00D22D79"/>
    <w:rsid w:val="00D24274"/>
    <w:rsid w:val="00D24598"/>
    <w:rsid w:val="00D2675D"/>
    <w:rsid w:val="00D31FBE"/>
    <w:rsid w:val="00D33F98"/>
    <w:rsid w:val="00D34ABB"/>
    <w:rsid w:val="00D36D72"/>
    <w:rsid w:val="00D3707A"/>
    <w:rsid w:val="00D46B7E"/>
    <w:rsid w:val="00D52146"/>
    <w:rsid w:val="00D53B34"/>
    <w:rsid w:val="00D57C84"/>
    <w:rsid w:val="00D60461"/>
    <w:rsid w:val="00D6057D"/>
    <w:rsid w:val="00D61157"/>
    <w:rsid w:val="00D64818"/>
    <w:rsid w:val="00D64F2F"/>
    <w:rsid w:val="00D65D9F"/>
    <w:rsid w:val="00D67B3B"/>
    <w:rsid w:val="00D71640"/>
    <w:rsid w:val="00D722F2"/>
    <w:rsid w:val="00D724EB"/>
    <w:rsid w:val="00D72D89"/>
    <w:rsid w:val="00D72DD9"/>
    <w:rsid w:val="00D72EAA"/>
    <w:rsid w:val="00D7465B"/>
    <w:rsid w:val="00D767BB"/>
    <w:rsid w:val="00D7692C"/>
    <w:rsid w:val="00D80369"/>
    <w:rsid w:val="00D836C5"/>
    <w:rsid w:val="00D84576"/>
    <w:rsid w:val="00D858AB"/>
    <w:rsid w:val="00D86789"/>
    <w:rsid w:val="00D8694E"/>
    <w:rsid w:val="00D90F4D"/>
    <w:rsid w:val="00D91A1B"/>
    <w:rsid w:val="00D92EA2"/>
    <w:rsid w:val="00D93059"/>
    <w:rsid w:val="00D95410"/>
    <w:rsid w:val="00D96DAA"/>
    <w:rsid w:val="00D97F59"/>
    <w:rsid w:val="00DA1399"/>
    <w:rsid w:val="00DA24C6"/>
    <w:rsid w:val="00DA4783"/>
    <w:rsid w:val="00DA4D7B"/>
    <w:rsid w:val="00DA7920"/>
    <w:rsid w:val="00DB2487"/>
    <w:rsid w:val="00DB3930"/>
    <w:rsid w:val="00DB7035"/>
    <w:rsid w:val="00DB7D39"/>
    <w:rsid w:val="00DB7F11"/>
    <w:rsid w:val="00DC04CF"/>
    <w:rsid w:val="00DC0777"/>
    <w:rsid w:val="00DC118C"/>
    <w:rsid w:val="00DC251B"/>
    <w:rsid w:val="00DC34B0"/>
    <w:rsid w:val="00DC76EA"/>
    <w:rsid w:val="00DD2570"/>
    <w:rsid w:val="00DD286F"/>
    <w:rsid w:val="00DD2885"/>
    <w:rsid w:val="00DD3B5E"/>
    <w:rsid w:val="00DD4999"/>
    <w:rsid w:val="00DD72F7"/>
    <w:rsid w:val="00DE264A"/>
    <w:rsid w:val="00DE2C04"/>
    <w:rsid w:val="00DE3CF2"/>
    <w:rsid w:val="00DE4ED5"/>
    <w:rsid w:val="00DE5300"/>
    <w:rsid w:val="00DE59CE"/>
    <w:rsid w:val="00DF4FE7"/>
    <w:rsid w:val="00DF5072"/>
    <w:rsid w:val="00DF5F70"/>
    <w:rsid w:val="00DF7601"/>
    <w:rsid w:val="00DF7617"/>
    <w:rsid w:val="00E00506"/>
    <w:rsid w:val="00E02C65"/>
    <w:rsid w:val="00E02D18"/>
    <w:rsid w:val="00E041E7"/>
    <w:rsid w:val="00E04ABA"/>
    <w:rsid w:val="00E069CA"/>
    <w:rsid w:val="00E079FA"/>
    <w:rsid w:val="00E12E11"/>
    <w:rsid w:val="00E15C12"/>
    <w:rsid w:val="00E20CEA"/>
    <w:rsid w:val="00E216BC"/>
    <w:rsid w:val="00E21AE7"/>
    <w:rsid w:val="00E22EBD"/>
    <w:rsid w:val="00E23820"/>
    <w:rsid w:val="00E23CA1"/>
    <w:rsid w:val="00E23EE6"/>
    <w:rsid w:val="00E3482B"/>
    <w:rsid w:val="00E37487"/>
    <w:rsid w:val="00E409A8"/>
    <w:rsid w:val="00E40F20"/>
    <w:rsid w:val="00E44786"/>
    <w:rsid w:val="00E44F0F"/>
    <w:rsid w:val="00E50C12"/>
    <w:rsid w:val="00E52ACD"/>
    <w:rsid w:val="00E5317B"/>
    <w:rsid w:val="00E5336F"/>
    <w:rsid w:val="00E537AF"/>
    <w:rsid w:val="00E537DB"/>
    <w:rsid w:val="00E561B7"/>
    <w:rsid w:val="00E56D40"/>
    <w:rsid w:val="00E61C31"/>
    <w:rsid w:val="00E65B91"/>
    <w:rsid w:val="00E669D2"/>
    <w:rsid w:val="00E66AC7"/>
    <w:rsid w:val="00E66D7E"/>
    <w:rsid w:val="00E67282"/>
    <w:rsid w:val="00E67DA8"/>
    <w:rsid w:val="00E706DD"/>
    <w:rsid w:val="00E7209D"/>
    <w:rsid w:val="00E72EAD"/>
    <w:rsid w:val="00E76993"/>
    <w:rsid w:val="00E77223"/>
    <w:rsid w:val="00E8077B"/>
    <w:rsid w:val="00E81287"/>
    <w:rsid w:val="00E837C5"/>
    <w:rsid w:val="00E84B54"/>
    <w:rsid w:val="00E8528B"/>
    <w:rsid w:val="00E85B94"/>
    <w:rsid w:val="00E904F8"/>
    <w:rsid w:val="00E9086A"/>
    <w:rsid w:val="00E91080"/>
    <w:rsid w:val="00E93F64"/>
    <w:rsid w:val="00E978D0"/>
    <w:rsid w:val="00EA2517"/>
    <w:rsid w:val="00EA4613"/>
    <w:rsid w:val="00EA58B0"/>
    <w:rsid w:val="00EA5BFA"/>
    <w:rsid w:val="00EA7A8A"/>
    <w:rsid w:val="00EA7F91"/>
    <w:rsid w:val="00EB1523"/>
    <w:rsid w:val="00EB1D73"/>
    <w:rsid w:val="00EB219F"/>
    <w:rsid w:val="00EB249B"/>
    <w:rsid w:val="00EB2811"/>
    <w:rsid w:val="00EB2B66"/>
    <w:rsid w:val="00EB349D"/>
    <w:rsid w:val="00EB3648"/>
    <w:rsid w:val="00EB3EC7"/>
    <w:rsid w:val="00EB5C78"/>
    <w:rsid w:val="00EB66A8"/>
    <w:rsid w:val="00EB7036"/>
    <w:rsid w:val="00EB7E3A"/>
    <w:rsid w:val="00EB7F31"/>
    <w:rsid w:val="00EC0929"/>
    <w:rsid w:val="00EC0E49"/>
    <w:rsid w:val="00EC101F"/>
    <w:rsid w:val="00EC18B4"/>
    <w:rsid w:val="00EC1D9F"/>
    <w:rsid w:val="00EC3DAC"/>
    <w:rsid w:val="00EC4A38"/>
    <w:rsid w:val="00ED014F"/>
    <w:rsid w:val="00ED1C76"/>
    <w:rsid w:val="00ED2AED"/>
    <w:rsid w:val="00EE0131"/>
    <w:rsid w:val="00EE1322"/>
    <w:rsid w:val="00EE14FB"/>
    <w:rsid w:val="00EE17B0"/>
    <w:rsid w:val="00EE2F95"/>
    <w:rsid w:val="00EE34CB"/>
    <w:rsid w:val="00EE395B"/>
    <w:rsid w:val="00EE6423"/>
    <w:rsid w:val="00EE6C2C"/>
    <w:rsid w:val="00EE7BC1"/>
    <w:rsid w:val="00EF01E4"/>
    <w:rsid w:val="00EF06D9"/>
    <w:rsid w:val="00EF16B0"/>
    <w:rsid w:val="00EF4CB6"/>
    <w:rsid w:val="00F015C6"/>
    <w:rsid w:val="00F0182F"/>
    <w:rsid w:val="00F02E1B"/>
    <w:rsid w:val="00F03857"/>
    <w:rsid w:val="00F052F7"/>
    <w:rsid w:val="00F104C2"/>
    <w:rsid w:val="00F1144F"/>
    <w:rsid w:val="00F1257A"/>
    <w:rsid w:val="00F146F5"/>
    <w:rsid w:val="00F14BDC"/>
    <w:rsid w:val="00F15E81"/>
    <w:rsid w:val="00F217F6"/>
    <w:rsid w:val="00F22413"/>
    <w:rsid w:val="00F24204"/>
    <w:rsid w:val="00F24F85"/>
    <w:rsid w:val="00F30335"/>
    <w:rsid w:val="00F30408"/>
    <w:rsid w:val="00F30C64"/>
    <w:rsid w:val="00F32BA2"/>
    <w:rsid w:val="00F32CDB"/>
    <w:rsid w:val="00F36049"/>
    <w:rsid w:val="00F41990"/>
    <w:rsid w:val="00F41CBC"/>
    <w:rsid w:val="00F41D1F"/>
    <w:rsid w:val="00F4217A"/>
    <w:rsid w:val="00F42619"/>
    <w:rsid w:val="00F426DC"/>
    <w:rsid w:val="00F434DD"/>
    <w:rsid w:val="00F435A7"/>
    <w:rsid w:val="00F45D64"/>
    <w:rsid w:val="00F50A60"/>
    <w:rsid w:val="00F50C29"/>
    <w:rsid w:val="00F52E3C"/>
    <w:rsid w:val="00F530E1"/>
    <w:rsid w:val="00F55054"/>
    <w:rsid w:val="00F565FE"/>
    <w:rsid w:val="00F5673F"/>
    <w:rsid w:val="00F56A81"/>
    <w:rsid w:val="00F57805"/>
    <w:rsid w:val="00F61880"/>
    <w:rsid w:val="00F61CEB"/>
    <w:rsid w:val="00F63A70"/>
    <w:rsid w:val="00F63EF4"/>
    <w:rsid w:val="00F65094"/>
    <w:rsid w:val="00F650AA"/>
    <w:rsid w:val="00F65345"/>
    <w:rsid w:val="00F653CF"/>
    <w:rsid w:val="00F6736E"/>
    <w:rsid w:val="00F71283"/>
    <w:rsid w:val="00F71A2F"/>
    <w:rsid w:val="00F725BB"/>
    <w:rsid w:val="00F7534E"/>
    <w:rsid w:val="00F8100A"/>
    <w:rsid w:val="00F81880"/>
    <w:rsid w:val="00F84EAB"/>
    <w:rsid w:val="00F867DC"/>
    <w:rsid w:val="00F9010E"/>
    <w:rsid w:val="00F90AA0"/>
    <w:rsid w:val="00F91BC5"/>
    <w:rsid w:val="00F92428"/>
    <w:rsid w:val="00F951CD"/>
    <w:rsid w:val="00F97F9F"/>
    <w:rsid w:val="00FA1802"/>
    <w:rsid w:val="00FA21D0"/>
    <w:rsid w:val="00FA3040"/>
    <w:rsid w:val="00FA5F5F"/>
    <w:rsid w:val="00FA6077"/>
    <w:rsid w:val="00FB3191"/>
    <w:rsid w:val="00FB34A2"/>
    <w:rsid w:val="00FB4FE8"/>
    <w:rsid w:val="00FB551E"/>
    <w:rsid w:val="00FB72D3"/>
    <w:rsid w:val="00FB730C"/>
    <w:rsid w:val="00FB7D35"/>
    <w:rsid w:val="00FC05D3"/>
    <w:rsid w:val="00FC18D8"/>
    <w:rsid w:val="00FC2695"/>
    <w:rsid w:val="00FC317A"/>
    <w:rsid w:val="00FC3E03"/>
    <w:rsid w:val="00FC3FC1"/>
    <w:rsid w:val="00FC5454"/>
    <w:rsid w:val="00FC7609"/>
    <w:rsid w:val="00FD7350"/>
    <w:rsid w:val="00FE18BB"/>
    <w:rsid w:val="00FE1E4B"/>
    <w:rsid w:val="00FE3A90"/>
    <w:rsid w:val="00FE7AE2"/>
    <w:rsid w:val="00FF34C9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E0CC22"/>
  <w14:defaultImageDpi w14:val="330"/>
  <w15:docId w15:val="{0B95FB59-9D38-42B5-B090-D2348EE1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4577F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unhideWhenUs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Carpredefinitoparagraf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Paragrafoelenco">
    <w:name w:val="List Paragraph"/>
    <w:basedOn w:val="Normale"/>
    <w:uiPriority w:val="34"/>
    <w:rsid w:val="00280FAF"/>
    <w:pPr>
      <w:ind w:left="720"/>
      <w:contextualSpacing/>
    </w:pPr>
  </w:style>
  <w:style w:type="paragraph" w:customStyle="1" w:styleId="BodyTextNACS">
    <w:name w:val="Body Text NACS"/>
    <w:basedOn w:val="Corpotesto"/>
    <w:rsid w:val="0073773A"/>
    <w:pPr>
      <w:tabs>
        <w:tab w:val="clear" w:pos="7100"/>
      </w:tabs>
      <w:spacing w:after="0" w:line="240" w:lineRule="auto"/>
    </w:pPr>
    <w:rPr>
      <w:rFonts w:ascii="Times New Roman" w:hAnsi="Times New Roman"/>
      <w:sz w:val="16"/>
      <w:lang w:val="en-US"/>
    </w:rPr>
  </w:style>
  <w:style w:type="character" w:styleId="Testosegnaposto">
    <w:name w:val="Placeholder Text"/>
    <w:basedOn w:val="Carpredefinitoparagrafo"/>
    <w:uiPriority w:val="99"/>
    <w:semiHidden/>
    <w:rsid w:val="001D5883"/>
    <w:rPr>
      <w:color w:val="808080"/>
    </w:rPr>
  </w:style>
  <w:style w:type="character" w:styleId="Enfasicorsivo">
    <w:name w:val="Emphasis"/>
    <w:basedOn w:val="Carpredefinitoparagrafo"/>
    <w:uiPriority w:val="20"/>
    <w:qFormat/>
    <w:rsid w:val="00027070"/>
    <w:rPr>
      <w:i/>
      <w:iCs/>
    </w:rPr>
  </w:style>
  <w:style w:type="paragraph" w:styleId="Revisione">
    <w:name w:val="Revision"/>
    <w:hidden/>
    <w:uiPriority w:val="99"/>
    <w:semiHidden/>
    <w:rsid w:val="001933F9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983C9-6D0A-480C-BF79-A63BD3D9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4121</Words>
  <Characters>23496</Characters>
  <Application>Microsoft Office Word</Application>
  <DocSecurity>0</DocSecurity>
  <Lines>195</Lines>
  <Paragraphs>55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27562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Veronica Piazza</cp:lastModifiedBy>
  <cp:revision>103</cp:revision>
  <cp:lastPrinted>2022-01-13T16:33:00Z</cp:lastPrinted>
  <dcterms:created xsi:type="dcterms:W3CDTF">2022-01-15T19:28:00Z</dcterms:created>
  <dcterms:modified xsi:type="dcterms:W3CDTF">2022-03-23T16:40:00Z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</Properties>
</file>